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876881"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0D4880CA" w:rsidR="00002A97" w:rsidRPr="00CB172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CB172A">
              <w:rPr>
                <w:rFonts w:eastAsia="Times New Roman" w:cs="Arial"/>
                <w:szCs w:val="24"/>
                <w:lang w:eastAsia="es-ES"/>
              </w:rPr>
              <w:t>UNEP/CMS/COP1</w:t>
            </w:r>
            <w:r w:rsidR="000F4BDA" w:rsidRPr="00CB172A">
              <w:rPr>
                <w:rFonts w:eastAsia="Times New Roman" w:cs="Arial"/>
                <w:szCs w:val="24"/>
                <w:lang w:eastAsia="es-ES"/>
              </w:rPr>
              <w:t>4</w:t>
            </w:r>
            <w:r w:rsidRPr="00CB172A">
              <w:rPr>
                <w:rFonts w:eastAsia="Times New Roman" w:cs="Arial"/>
                <w:szCs w:val="24"/>
                <w:lang w:eastAsia="es-ES"/>
              </w:rPr>
              <w:t>/</w:t>
            </w:r>
            <w:r w:rsidR="00800CB3" w:rsidRPr="00CB172A">
              <w:rPr>
                <w:rFonts w:eastAsia="Times New Roman" w:cs="Arial"/>
                <w:szCs w:val="24"/>
                <w:lang w:eastAsia="es-ES"/>
              </w:rPr>
              <w:t>Doc</w:t>
            </w:r>
            <w:r w:rsidRPr="00CB172A">
              <w:rPr>
                <w:rFonts w:eastAsia="Times New Roman" w:cs="Arial"/>
                <w:szCs w:val="24"/>
                <w:lang w:eastAsia="es-ES"/>
              </w:rPr>
              <w:t>.</w:t>
            </w:r>
            <w:r w:rsidR="00193B9C" w:rsidRPr="00CB172A">
              <w:rPr>
                <w:rFonts w:eastAsia="Times New Roman" w:cs="Arial"/>
                <w:szCs w:val="24"/>
                <w:lang w:eastAsia="es-ES"/>
              </w:rPr>
              <w:t>27.6.1</w:t>
            </w:r>
            <w:r w:rsidR="00CB172A" w:rsidRPr="00CB172A">
              <w:rPr>
                <w:rFonts w:eastAsia="Times New Roman" w:cs="Arial"/>
                <w:szCs w:val="24"/>
                <w:lang w:eastAsia="es-ES"/>
              </w:rPr>
              <w:t>/Rev</w:t>
            </w:r>
            <w:r w:rsidR="00CB172A">
              <w:rPr>
                <w:rFonts w:eastAsia="Times New Roman" w:cs="Arial"/>
                <w:szCs w:val="24"/>
                <w:lang w:eastAsia="es-ES"/>
              </w:rPr>
              <w:t>.1</w:t>
            </w:r>
          </w:p>
          <w:p w14:paraId="5F9B9DE6" w14:textId="41C90087" w:rsidR="00002A97" w:rsidRPr="00876881" w:rsidRDefault="00CB172A"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w:t>
            </w:r>
            <w:r w:rsidR="00876881" w:rsidRPr="00876881">
              <w:rPr>
                <w:rFonts w:eastAsia="Times New Roman" w:cs="Arial"/>
                <w:szCs w:val="24"/>
                <w:lang w:val="es-ES" w:eastAsia="es-ES"/>
              </w:rPr>
              <w:t xml:space="preserve">8 de </w:t>
            </w:r>
            <w:r>
              <w:rPr>
                <w:rFonts w:eastAsia="Times New Roman" w:cs="Arial"/>
                <w:szCs w:val="24"/>
                <w:lang w:val="es-ES" w:eastAsia="es-ES"/>
              </w:rPr>
              <w:t>sept</w:t>
            </w:r>
            <w:r w:rsidR="00E55548">
              <w:rPr>
                <w:rFonts w:eastAsia="Times New Roman" w:cs="Arial"/>
                <w:szCs w:val="24"/>
                <w:lang w:val="es-ES" w:eastAsia="es-ES"/>
              </w:rPr>
              <w:t>iembre</w:t>
            </w:r>
            <w:r w:rsidR="00876881">
              <w:rPr>
                <w:rFonts w:eastAsia="Times New Roman" w:cs="Arial"/>
                <w:szCs w:val="24"/>
                <w:lang w:val="es-ES" w:eastAsia="es-ES"/>
              </w:rPr>
              <w:t xml:space="preserve"> 2023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0A909E99"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CB172A">
        <w:rPr>
          <w:rFonts w:eastAsia="Times New Roman" w:cs="Arial"/>
          <w:bCs/>
          <w:szCs w:val="24"/>
          <w:lang w:val="es-ES" w:eastAsia="es-ES"/>
        </w:rPr>
        <w:t>12 – 17 de febrero 2024</w:t>
      </w:r>
    </w:p>
    <w:p w14:paraId="500F7C6B" w14:textId="2DFF8EA0"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193B9C">
        <w:rPr>
          <w:rFonts w:eastAsia="Times New Roman" w:cs="Arial"/>
          <w:szCs w:val="24"/>
          <w:lang w:val="es-ES" w:eastAsia="es-ES"/>
        </w:rPr>
        <w:t>27.6</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5784D95A" w14:textId="77777777" w:rsidR="00793B4F" w:rsidRDefault="00793B4F" w:rsidP="00793B4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lang w:val="es-ES"/>
        </w:rPr>
      </w:pPr>
      <w:r>
        <w:rPr>
          <w:rFonts w:eastAsia="Times New Roman" w:cs="Arial"/>
          <w:b/>
          <w:bCs/>
          <w:lang w:val="es-ES"/>
        </w:rPr>
        <w:t>TORTUGAS MARINAS</w:t>
      </w:r>
    </w:p>
    <w:p w14:paraId="649BC530" w14:textId="68B5C128" w:rsidR="00002A97" w:rsidRPr="00002A97" w:rsidRDefault="00E77A9F"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(Preparado por la </w:t>
      </w:r>
      <w:r w:rsidR="00800CB3">
        <w:rPr>
          <w:rFonts w:eastAsia="Times New Roman" w:cs="Arial"/>
          <w:i/>
          <w:szCs w:val="24"/>
          <w:lang w:val="es-ES" w:eastAsia="es-ES"/>
        </w:rPr>
        <w:t>Secretaría</w:t>
      </w:r>
      <w:r>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50014303">
                <wp:simplePos x="0" y="0"/>
                <wp:positionH relativeFrom="column">
                  <wp:posOffset>1143000</wp:posOffset>
                </wp:positionH>
                <wp:positionV relativeFrom="paragraph">
                  <wp:posOffset>147320</wp:posOffset>
                </wp:positionV>
                <wp:extent cx="4048125" cy="15049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4048125" cy="1504950"/>
                        </a:xfrm>
                        <a:prstGeom prst="rect">
                          <a:avLst/>
                        </a:prstGeom>
                        <a:solidFill>
                          <a:srgbClr val="FFFFFF"/>
                        </a:solidFill>
                        <a:ln w="3172">
                          <a:solidFill>
                            <a:srgbClr val="000000"/>
                          </a:solidFill>
                          <a:prstDash val="solid"/>
                        </a:ln>
                      </wps:spPr>
                      <wps:txbx>
                        <w:txbxContent>
                          <w:p w14:paraId="78EFDF6D" w14:textId="1DCE26E8" w:rsidR="002D5F2A" w:rsidRPr="00B94C08" w:rsidRDefault="002D5F2A" w:rsidP="006408DB">
                            <w:pPr>
                              <w:spacing w:after="0" w:line="240" w:lineRule="auto"/>
                              <w:rPr>
                                <w:lang w:val="es-ES"/>
                              </w:rPr>
                            </w:pPr>
                            <w:r w:rsidRPr="00B94C08">
                              <w:rPr>
                                <w:rFonts w:eastAsia="Arial" w:cs="Arial"/>
                                <w:lang w:val="es-ES"/>
                              </w:rPr>
                              <w:t>Resumen:</w:t>
                            </w:r>
                          </w:p>
                          <w:p w14:paraId="255B4E63" w14:textId="77777777" w:rsidR="002D5F2A" w:rsidRPr="00B94C08" w:rsidRDefault="002D5F2A" w:rsidP="006408DB">
                            <w:pPr>
                              <w:spacing w:after="0" w:line="240" w:lineRule="auto"/>
                              <w:rPr>
                                <w:rFonts w:cs="Arial"/>
                                <w:lang w:val="es-ES"/>
                              </w:rPr>
                            </w:pPr>
                          </w:p>
                          <w:p w14:paraId="0724B229" w14:textId="77777777" w:rsidR="006408DB" w:rsidRPr="006408DB" w:rsidRDefault="006408DB" w:rsidP="006408DB">
                            <w:pPr>
                              <w:spacing w:after="0" w:line="240" w:lineRule="auto"/>
                              <w:jc w:val="both"/>
                              <w:rPr>
                                <w:rFonts w:cs="Arial"/>
                                <w:i/>
                                <w:sz w:val="21"/>
                                <w:szCs w:val="21"/>
                                <w:lang w:val="es-ES"/>
                              </w:rPr>
                            </w:pPr>
                            <w:r w:rsidRPr="006408DB">
                              <w:rPr>
                                <w:rFonts w:cs="Arial"/>
                                <w:lang w:val="es-ES"/>
                              </w:rPr>
                              <w:t xml:space="preserve">Este documento informa acerca de los avances realizados en la implementación de las Decisiones 13.69-13.70 </w:t>
                            </w:r>
                            <w:r w:rsidRPr="006408DB">
                              <w:rPr>
                                <w:rFonts w:cs="Arial"/>
                                <w:iCs/>
                                <w:color w:val="000000"/>
                                <w:lang w:val="es-ES"/>
                              </w:rPr>
                              <w:t>y contiene los proyectos de Decisiones para su adopción</w:t>
                            </w:r>
                            <w:r w:rsidRPr="006408DB">
                              <w:rPr>
                                <w:rFonts w:cs="Arial"/>
                                <w:lang w:val="es-ES"/>
                              </w:rPr>
                              <w:t>.</w:t>
                            </w:r>
                          </w:p>
                          <w:p w14:paraId="2648803D" w14:textId="77777777" w:rsidR="006408DB" w:rsidRDefault="006408DB" w:rsidP="006408DB">
                            <w:pPr>
                              <w:spacing w:after="0" w:line="240" w:lineRule="auto"/>
                              <w:rPr>
                                <w:rFonts w:cs="Arial"/>
                                <w:lang w:val="es-ES"/>
                              </w:rPr>
                            </w:pPr>
                          </w:p>
                          <w:p w14:paraId="1305EC60" w14:textId="26D1CFDB" w:rsidR="00C82DB7" w:rsidRDefault="00C82DB7" w:rsidP="00C82DB7">
                            <w:pPr>
                              <w:jc w:val="both"/>
                              <w:rPr>
                                <w:lang w:val="es-ES"/>
                              </w:rPr>
                            </w:pPr>
                            <w:r>
                              <w:rPr>
                                <w:lang w:val="es-ES"/>
                              </w:rPr>
                              <w:t>Rev.1 hace consistente el lenguaje en las Decisiones dirigidas al Consejo Científico. </w:t>
                            </w:r>
                          </w:p>
                          <w:p w14:paraId="314601F1" w14:textId="77777777" w:rsidR="00C82DB7" w:rsidRPr="006408DB" w:rsidRDefault="00C82DB7" w:rsidP="006408DB">
                            <w:pPr>
                              <w:spacing w:after="0" w:line="240" w:lineRule="auto"/>
                              <w:rPr>
                                <w:rFonts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5" o:spid="_x0000_s1026" type="#_x0000_t202" style="position:absolute;margin-left:90pt;margin-top:11.6pt;width:318.75pt;height: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" strokeweight=".08811mm">
                <v:textbox>
                  <w:txbxContent>
                    <w:p w14:paraId="78EFDF6D" w14:textId="1DCE26E8" w:rsidR="002D5F2A" w:rsidRPr="00B94C08" w:rsidRDefault="002D5F2A" w:rsidP="006408DB">
                      <w:pPr>
                        <w:spacing w:after="0" w:line="240" w:lineRule="auto"/>
                        <w:rPr>
                          <w:lang w:val="es-ES"/>
                        </w:rPr>
                      </w:pPr>
                      <w:r w:rsidRPr="00B94C08">
                        <w:rPr>
                          <w:rFonts w:eastAsia="Arial" w:cs="Arial"/>
                          <w:lang w:val="es-ES"/>
                        </w:rPr>
                        <w:t>Resumen:</w:t>
                      </w:r>
                    </w:p>
                    <w:p w14:paraId="255B4E63" w14:textId="77777777" w:rsidR="002D5F2A" w:rsidRPr="00B94C08" w:rsidRDefault="002D5F2A" w:rsidP="006408DB">
                      <w:pPr>
                        <w:spacing w:after="0" w:line="240" w:lineRule="auto"/>
                        <w:rPr>
                          <w:rFonts w:cs="Arial"/>
                          <w:lang w:val="es-ES"/>
                        </w:rPr>
                      </w:pPr>
                    </w:p>
                    <w:p w14:paraId="0724B229" w14:textId="77777777" w:rsidR="006408DB" w:rsidRPr="006408DB" w:rsidRDefault="006408DB" w:rsidP="006408DB">
                      <w:pPr>
                        <w:spacing w:after="0" w:line="240" w:lineRule="auto"/>
                        <w:jc w:val="both"/>
                        <w:rPr>
                          <w:rFonts w:cs="Arial"/>
                          <w:i/>
                          <w:sz w:val="21"/>
                          <w:szCs w:val="21"/>
                          <w:lang w:val="es-ES"/>
                        </w:rPr>
                      </w:pPr>
                      <w:r w:rsidRPr="006408DB">
                        <w:rPr>
                          <w:rFonts w:cs="Arial"/>
                          <w:lang w:val="es-ES"/>
                        </w:rPr>
                        <w:t xml:space="preserve">Este documento informa acerca de los avances realizados en la implementación de las Decisiones 13.69-13.70 </w:t>
                      </w:r>
                      <w:r w:rsidRPr="006408DB">
                        <w:rPr>
                          <w:rFonts w:cs="Arial"/>
                          <w:iCs/>
                          <w:color w:val="000000"/>
                          <w:lang w:val="es-ES"/>
                        </w:rPr>
                        <w:t>y contiene los proyectos de Decisiones para su adopción</w:t>
                      </w:r>
                      <w:r w:rsidRPr="006408DB">
                        <w:rPr>
                          <w:rFonts w:cs="Arial"/>
                          <w:lang w:val="es-ES"/>
                        </w:rPr>
                        <w:t>.</w:t>
                      </w:r>
                    </w:p>
                    <w:p w14:paraId="2648803D" w14:textId="77777777" w:rsidR="006408DB" w:rsidRDefault="006408DB" w:rsidP="006408DB">
                      <w:pPr>
                        <w:spacing w:after="0" w:line="240" w:lineRule="auto"/>
                        <w:rPr>
                          <w:rFonts w:cs="Arial"/>
                          <w:lang w:val="es-ES"/>
                        </w:rPr>
                      </w:pPr>
                    </w:p>
                    <w:p w14:paraId="1305EC60" w14:textId="26D1CFDB" w:rsidR="00C82DB7" w:rsidRDefault="00C82DB7" w:rsidP="00C82DB7">
                      <w:pPr>
                        <w:jc w:val="both"/>
                        <w:rPr>
                          <w:lang w:val="es-ES"/>
                        </w:rPr>
                      </w:pPr>
                      <w:r>
                        <w:rPr>
                          <w:lang w:val="es-ES"/>
                        </w:rPr>
                        <w:t>Rev.1 hace consistente el lenguaje en las Decisiones dirigidas al Consejo Científico. </w:t>
                      </w:r>
                    </w:p>
                    <w:p w14:paraId="314601F1" w14:textId="77777777" w:rsidR="00C82DB7" w:rsidRPr="006408DB" w:rsidRDefault="00C82DB7" w:rsidP="006408DB">
                      <w:pPr>
                        <w:spacing w:after="0" w:line="240" w:lineRule="auto"/>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45A85423" w14:textId="77777777" w:rsidR="00A133AE" w:rsidRPr="00A133AE" w:rsidRDefault="00A133AE" w:rsidP="00A133A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outlineLvl w:val="1"/>
        <w:rPr>
          <w:rFonts w:eastAsia="Times New Roman" w:cs="Arial"/>
          <w:b/>
          <w:caps/>
          <w:lang w:val="es-ES"/>
        </w:rPr>
      </w:pPr>
      <w:r w:rsidRPr="00A133AE">
        <w:rPr>
          <w:rFonts w:eastAsia="Times New Roman" w:cs="Arial"/>
          <w:b/>
          <w:caps/>
          <w:lang w:val="es-ES"/>
        </w:rPr>
        <w:lastRenderedPageBreak/>
        <w:t>Tortugas marinas</w:t>
      </w:r>
    </w:p>
    <w:p w14:paraId="65B0A2D9" w14:textId="77777777" w:rsidR="00A133AE" w:rsidRPr="00A133AE" w:rsidRDefault="00A133AE" w:rsidP="00A133AE">
      <w:pPr>
        <w:suppressAutoHyphens/>
        <w:autoSpaceDN w:val="0"/>
        <w:spacing w:after="0" w:line="240" w:lineRule="auto"/>
        <w:textAlignment w:val="baseline"/>
        <w:rPr>
          <w:rFonts w:eastAsia="Calibri" w:cs="Arial"/>
          <w:lang w:val="es-ES"/>
        </w:rPr>
      </w:pPr>
    </w:p>
    <w:p w14:paraId="44643A65" w14:textId="77777777" w:rsidR="00A133AE" w:rsidRPr="00A133AE" w:rsidRDefault="00A133AE" w:rsidP="00A133AE">
      <w:pPr>
        <w:suppressAutoHyphens/>
        <w:autoSpaceDN w:val="0"/>
        <w:spacing w:after="0" w:line="240" w:lineRule="auto"/>
        <w:textAlignment w:val="baseline"/>
        <w:rPr>
          <w:rFonts w:eastAsia="Calibri" w:cs="Arial"/>
          <w:lang w:val="es-ES"/>
        </w:rPr>
      </w:pPr>
    </w:p>
    <w:p w14:paraId="54210D2E" w14:textId="77777777" w:rsidR="00A133AE" w:rsidRPr="00A133AE" w:rsidRDefault="00A133AE" w:rsidP="00A133AE">
      <w:pPr>
        <w:suppressAutoHyphens/>
        <w:autoSpaceDN w:val="0"/>
        <w:spacing w:after="0" w:line="240" w:lineRule="auto"/>
        <w:textAlignment w:val="baseline"/>
        <w:rPr>
          <w:rFonts w:eastAsia="Calibri" w:cs="Arial"/>
          <w:u w:val="single"/>
          <w:lang w:val="es-ES"/>
        </w:rPr>
      </w:pPr>
      <w:r w:rsidRPr="00A133AE">
        <w:rPr>
          <w:rFonts w:eastAsia="Calibri" w:cs="Arial"/>
          <w:u w:val="single"/>
          <w:lang w:val="es-ES"/>
        </w:rPr>
        <w:t>Antecedentes</w:t>
      </w:r>
    </w:p>
    <w:p w14:paraId="13038B69" w14:textId="77777777" w:rsidR="00A133AE" w:rsidRPr="00A133AE" w:rsidRDefault="00A133AE" w:rsidP="00A133AE">
      <w:pPr>
        <w:spacing w:after="0" w:line="240" w:lineRule="auto"/>
        <w:rPr>
          <w:rFonts w:eastAsia="Calibri" w:cs="Arial"/>
          <w:lang w:val="es-ES"/>
        </w:rPr>
      </w:pPr>
    </w:p>
    <w:p w14:paraId="0A07EBA0" w14:textId="77777777" w:rsidR="00A133AE" w:rsidRPr="00A133AE" w:rsidRDefault="00A133AE" w:rsidP="00A133AE">
      <w:pPr>
        <w:widowControl w:val="0"/>
        <w:numPr>
          <w:ilvl w:val="0"/>
          <w:numId w:val="13"/>
        </w:numPr>
        <w:autoSpaceDE w:val="0"/>
        <w:autoSpaceDN w:val="0"/>
        <w:adjustRightInd w:val="0"/>
        <w:spacing w:after="0" w:line="240" w:lineRule="auto"/>
        <w:ind w:left="567" w:hanging="567"/>
        <w:jc w:val="both"/>
        <w:rPr>
          <w:rFonts w:eastAsia="Calibri" w:cs="Arial"/>
          <w:lang w:val="es-ES"/>
        </w:rPr>
      </w:pPr>
      <w:r w:rsidRPr="00A133AE">
        <w:rPr>
          <w:rFonts w:eastAsia="Calibri" w:cs="Arial"/>
          <w:lang w:val="es-ES"/>
        </w:rPr>
        <w:t>Seis de las siete especies de tortugas marinas reconocidas a nivel mundial figuran en el Apéndice I de la CMS, y las siete aparecen en el Apéndice II de la CMS. El estado de conservación de las siete especies continúa siendo muy preocupante, con las tortugas carey y lora catalogadas por la UICN como En Grave Peligro de Extinción</w:t>
      </w:r>
      <w:r w:rsidRPr="00A133AE">
        <w:rPr>
          <w:rFonts w:eastAsia="Calibri" w:cs="Arial"/>
          <w:vertAlign w:val="superscript"/>
          <w:lang w:val="es-ES"/>
        </w:rPr>
        <w:footnoteReference w:id="2"/>
      </w:r>
      <w:r w:rsidRPr="00A133AE">
        <w:rPr>
          <w:rFonts w:eastAsia="Calibri" w:cs="Arial"/>
          <w:lang w:val="es-ES"/>
        </w:rPr>
        <w:t>.</w:t>
      </w:r>
    </w:p>
    <w:p w14:paraId="6CE7209B" w14:textId="77777777" w:rsidR="00A133AE" w:rsidRPr="00A133AE" w:rsidRDefault="00A133AE" w:rsidP="00A133AE">
      <w:pPr>
        <w:widowControl w:val="0"/>
        <w:autoSpaceDE w:val="0"/>
        <w:autoSpaceDN w:val="0"/>
        <w:adjustRightInd w:val="0"/>
        <w:spacing w:after="0" w:line="240" w:lineRule="auto"/>
        <w:ind w:left="567"/>
        <w:jc w:val="both"/>
        <w:rPr>
          <w:rFonts w:eastAsia="Calibri" w:cs="Arial"/>
          <w:lang w:val="es-ES"/>
        </w:rPr>
      </w:pPr>
    </w:p>
    <w:p w14:paraId="79DABF15" w14:textId="48438818" w:rsidR="00A133AE" w:rsidRPr="00A133AE" w:rsidRDefault="00A133AE" w:rsidP="00A133AE">
      <w:pPr>
        <w:widowControl w:val="0"/>
        <w:numPr>
          <w:ilvl w:val="0"/>
          <w:numId w:val="13"/>
        </w:numPr>
        <w:autoSpaceDE w:val="0"/>
        <w:autoSpaceDN w:val="0"/>
        <w:adjustRightInd w:val="0"/>
        <w:spacing w:after="0" w:line="240" w:lineRule="auto"/>
        <w:ind w:left="567" w:hanging="567"/>
        <w:jc w:val="both"/>
        <w:rPr>
          <w:rFonts w:eastAsia="Calibri" w:cs="Arial"/>
          <w:lang w:val="es-ES"/>
        </w:rPr>
      </w:pPr>
      <w:r w:rsidRPr="00A133AE">
        <w:rPr>
          <w:rFonts w:eastAsia="Calibri" w:cs="Arial"/>
          <w:lang w:val="es-ES"/>
        </w:rPr>
        <w:t xml:space="preserve">En el marco de la CMS, se firmaron dos Memorandos de Entendimiento para abordar las necesidades de conservación de las tortugas marinas en un contexto regional; a saber, el </w:t>
      </w:r>
      <w:hyperlink r:id="rId12" w:history="1">
        <w:r w:rsidRPr="00A133AE">
          <w:rPr>
            <w:rFonts w:eastAsia="Calibri" w:cs="Arial"/>
            <w:color w:val="0563C1" w:themeColor="hyperlink"/>
            <w:u w:val="single"/>
            <w:lang w:val="es-ES"/>
          </w:rPr>
          <w:t>Memorando de Entendimiento relativo a las Medidas de Conservación para las Tortugas Marinas de la Costa Atlántica de África</w:t>
        </w:r>
      </w:hyperlink>
      <w:r w:rsidRPr="00A133AE">
        <w:rPr>
          <w:rFonts w:eastAsia="Calibri" w:cs="Arial"/>
          <w:lang w:val="es-ES"/>
        </w:rPr>
        <w:t xml:space="preserve"> (1999), y el </w:t>
      </w:r>
      <w:hyperlink r:id="rId13" w:history="1">
        <w:r w:rsidRPr="00A133AE">
          <w:rPr>
            <w:rFonts w:eastAsia="Calibri" w:cs="Arial"/>
            <w:color w:val="0563C1" w:themeColor="hyperlink"/>
            <w:u w:val="single"/>
            <w:lang w:val="es-ES"/>
          </w:rPr>
          <w:t>Memorando de Entendimiento sobre la Conservación y Gestión de las Tortugas Marinas y sus Hábitats del Océano Índico y el Sudeste Asiático</w:t>
        </w:r>
      </w:hyperlink>
      <w:r w:rsidRPr="00A133AE">
        <w:rPr>
          <w:rFonts w:eastAsia="Calibri" w:cs="Arial"/>
          <w:lang w:val="es-ES"/>
        </w:rPr>
        <w:t xml:space="preserve"> (2001). Además, se han elaborado dos Planes de Acción para Especies Únicas, el </w:t>
      </w:r>
      <w:hyperlink r:id="rId14" w:history="1">
        <w:r w:rsidRPr="00A133AE">
          <w:rPr>
            <w:rFonts w:eastAsia="Calibri" w:cs="Arial"/>
            <w:color w:val="0563C1" w:themeColor="hyperlink"/>
            <w:u w:val="single"/>
            <w:lang w:val="es-ES"/>
          </w:rPr>
          <w:t>Plan de Acción para Especies Únicas para la Tortuga Boba (</w:t>
        </w:r>
        <w:r w:rsidRPr="00A133AE">
          <w:rPr>
            <w:rFonts w:eastAsia="Calibri" w:cs="Arial"/>
            <w:i/>
            <w:iCs/>
            <w:color w:val="0563C1" w:themeColor="hyperlink"/>
            <w:u w:val="single"/>
            <w:lang w:val="es-ES"/>
          </w:rPr>
          <w:t>Caretta caretta</w:t>
        </w:r>
        <w:r w:rsidRPr="00A133AE">
          <w:rPr>
            <w:rFonts w:eastAsia="Calibri" w:cs="Arial"/>
            <w:color w:val="0563C1" w:themeColor="hyperlink"/>
            <w:u w:val="single"/>
            <w:lang w:val="es-ES"/>
          </w:rPr>
          <w:t>) en el Océano Pacífico Sur</w:t>
        </w:r>
      </w:hyperlink>
      <w:r w:rsidRPr="00A133AE">
        <w:rPr>
          <w:rFonts w:eastAsia="Calibri" w:cs="Arial"/>
          <w:lang w:val="es-ES"/>
        </w:rPr>
        <w:t xml:space="preserve"> (adoptado en 2014) y el </w:t>
      </w:r>
      <w:hyperlink r:id="rId15" w:history="1">
        <w:r w:rsidRPr="00A133AE">
          <w:rPr>
            <w:rFonts w:eastAsia="Calibri" w:cs="Arial"/>
            <w:color w:val="0563C1" w:themeColor="hyperlink"/>
            <w:u w:val="single"/>
            <w:lang w:val="es-ES"/>
          </w:rPr>
          <w:t>Plan de Acción para Especies Únicas para la conservación de las Tortugas Carey (</w:t>
        </w:r>
        <w:r w:rsidRPr="00A133AE">
          <w:rPr>
            <w:rFonts w:eastAsia="Calibri" w:cs="Arial"/>
            <w:i/>
            <w:iCs/>
            <w:color w:val="0563C1" w:themeColor="hyperlink"/>
            <w:u w:val="single"/>
            <w:lang w:val="es-ES"/>
          </w:rPr>
          <w:t>Eretmochelys imbricata</w:t>
        </w:r>
        <w:r w:rsidRPr="00A133AE">
          <w:rPr>
            <w:rFonts w:eastAsia="Calibri" w:cs="Arial"/>
            <w:color w:val="0563C1" w:themeColor="hyperlink"/>
            <w:u w:val="single"/>
            <w:lang w:val="es-ES"/>
          </w:rPr>
          <w:t>) en el Sudeste Asiático y la Región del Océano Pacífico Occidental</w:t>
        </w:r>
      </w:hyperlink>
      <w:r w:rsidRPr="00A133AE">
        <w:rPr>
          <w:rFonts w:eastAsia="Calibri" w:cs="Arial"/>
          <w:lang w:val="es-ES"/>
        </w:rPr>
        <w:t xml:space="preserve"> (adoptado en 2022; véase </w:t>
      </w:r>
      <w:hyperlink r:id="rId16" w:history="1">
        <w:r w:rsidR="00065034" w:rsidRPr="00B94C08">
          <w:rPr>
            <w:rStyle w:val="Hyperlink"/>
            <w:rFonts w:cs="Arial"/>
            <w:lang w:val="es-ES"/>
          </w:rPr>
          <w:t>UNEP/CMS/COP14/Doc.27.6.2</w:t>
        </w:r>
      </w:hyperlink>
      <w:r w:rsidRPr="00A133AE">
        <w:rPr>
          <w:rFonts w:eastAsia="Calibri" w:cs="Arial"/>
          <w:lang w:val="es-ES"/>
        </w:rPr>
        <w:t>).</w:t>
      </w:r>
    </w:p>
    <w:p w14:paraId="57E194AB" w14:textId="77777777" w:rsidR="00A133AE" w:rsidRPr="00A133AE" w:rsidRDefault="00A133AE" w:rsidP="00A133AE">
      <w:pPr>
        <w:widowControl w:val="0"/>
        <w:autoSpaceDE w:val="0"/>
        <w:autoSpaceDN w:val="0"/>
        <w:adjustRightInd w:val="0"/>
        <w:spacing w:after="0" w:line="240" w:lineRule="auto"/>
        <w:ind w:left="567"/>
        <w:jc w:val="both"/>
        <w:rPr>
          <w:rFonts w:eastAsia="Calibri" w:cs="Arial"/>
          <w:lang w:val="es-ES"/>
        </w:rPr>
      </w:pPr>
    </w:p>
    <w:p w14:paraId="041150B2" w14:textId="77777777" w:rsidR="00A133AE" w:rsidRPr="00A133AE" w:rsidRDefault="00A133AE" w:rsidP="00FA2F5D">
      <w:pPr>
        <w:widowControl w:val="0"/>
        <w:numPr>
          <w:ilvl w:val="0"/>
          <w:numId w:val="13"/>
        </w:numPr>
        <w:autoSpaceDE w:val="0"/>
        <w:autoSpaceDN w:val="0"/>
        <w:adjustRightInd w:val="0"/>
        <w:spacing w:after="80" w:line="240" w:lineRule="auto"/>
        <w:ind w:left="562" w:hanging="562"/>
        <w:jc w:val="both"/>
        <w:rPr>
          <w:rFonts w:eastAsia="Calibri" w:cs="Arial"/>
          <w:i/>
          <w:iCs/>
          <w:lang w:val="es-ES"/>
        </w:rPr>
      </w:pPr>
      <w:r w:rsidRPr="00A133AE">
        <w:rPr>
          <w:rFonts w:eastAsia="Calibri" w:cs="Arial"/>
          <w:lang w:val="es-ES"/>
        </w:rPr>
        <w:t>En la actualidad, no existe ninguna resolución específica de la CMS en vigor sobre las tortugas marinas. La COP13 adoptó dos Decisiones con respecto a las tortugas marinas:</w:t>
      </w:r>
    </w:p>
    <w:p w14:paraId="0B0FC717" w14:textId="77777777" w:rsidR="00065034" w:rsidRDefault="00065034" w:rsidP="00FA2F5D">
      <w:pPr>
        <w:spacing w:after="80" w:line="240" w:lineRule="auto"/>
        <w:ind w:left="720"/>
        <w:rPr>
          <w:rFonts w:eastAsia="Calibri" w:cs="Arial"/>
          <w:i/>
          <w:iCs/>
          <w:sz w:val="20"/>
          <w:szCs w:val="20"/>
          <w:lang w:val="es-ES"/>
        </w:rPr>
      </w:pPr>
    </w:p>
    <w:p w14:paraId="3533F419" w14:textId="537A049C" w:rsidR="00A133AE" w:rsidRPr="00065034" w:rsidRDefault="00A133AE" w:rsidP="00FA2F5D">
      <w:pPr>
        <w:spacing w:after="80" w:line="240" w:lineRule="auto"/>
        <w:ind w:left="720"/>
        <w:rPr>
          <w:rFonts w:eastAsia="Calibri" w:cs="Arial"/>
          <w:b/>
          <w:bCs/>
          <w:i/>
          <w:iCs/>
          <w:sz w:val="20"/>
          <w:szCs w:val="20"/>
          <w:lang w:val="es-ES"/>
        </w:rPr>
      </w:pPr>
      <w:r w:rsidRPr="00065034">
        <w:rPr>
          <w:rFonts w:eastAsia="Calibri" w:cs="Arial"/>
          <w:b/>
          <w:bCs/>
          <w:i/>
          <w:iCs/>
          <w:sz w:val="20"/>
          <w:szCs w:val="20"/>
          <w:lang w:val="es-ES"/>
        </w:rPr>
        <w:t>13.69 Decisión dirigida a las Partes</w:t>
      </w:r>
    </w:p>
    <w:p w14:paraId="7EAF8528" w14:textId="77777777" w:rsidR="00EA0704" w:rsidRDefault="00EA0704" w:rsidP="00FA2F5D">
      <w:pPr>
        <w:spacing w:after="80" w:line="240" w:lineRule="auto"/>
        <w:ind w:left="720"/>
        <w:jc w:val="both"/>
        <w:rPr>
          <w:rFonts w:eastAsia="Calibri" w:cs="Arial"/>
          <w:i/>
          <w:iCs/>
          <w:sz w:val="20"/>
          <w:szCs w:val="20"/>
          <w:lang w:val="es-ES"/>
        </w:rPr>
      </w:pPr>
    </w:p>
    <w:p w14:paraId="11EA101A" w14:textId="53D071ED" w:rsidR="00A133AE" w:rsidRPr="00A133AE" w:rsidRDefault="00A133AE" w:rsidP="00FA2F5D">
      <w:pPr>
        <w:spacing w:after="80" w:line="240" w:lineRule="auto"/>
        <w:ind w:left="720"/>
        <w:jc w:val="both"/>
        <w:rPr>
          <w:rFonts w:eastAsia="Calibri" w:cs="Arial"/>
          <w:i/>
          <w:iCs/>
          <w:sz w:val="20"/>
          <w:szCs w:val="20"/>
          <w:lang w:val="es-ES"/>
        </w:rPr>
      </w:pPr>
      <w:r w:rsidRPr="00A133AE">
        <w:rPr>
          <w:rFonts w:eastAsia="Calibri" w:cs="Arial"/>
          <w:i/>
          <w:iCs/>
          <w:sz w:val="20"/>
          <w:szCs w:val="20"/>
          <w:lang w:val="es-ES"/>
        </w:rPr>
        <w:t>Se invita a las Partes a proporcionar financiación a la Secretaría para apoyar la implementación de esta Decisión.</w:t>
      </w:r>
    </w:p>
    <w:p w14:paraId="73AEA34D" w14:textId="77777777" w:rsidR="00065034" w:rsidRDefault="00065034" w:rsidP="00FA2F5D">
      <w:pPr>
        <w:spacing w:after="80" w:line="240" w:lineRule="auto"/>
        <w:ind w:left="720"/>
        <w:jc w:val="both"/>
        <w:rPr>
          <w:rFonts w:eastAsia="Calibri" w:cs="Arial"/>
          <w:i/>
          <w:iCs/>
          <w:sz w:val="20"/>
          <w:szCs w:val="20"/>
          <w:lang w:val="es-ES"/>
        </w:rPr>
      </w:pPr>
    </w:p>
    <w:p w14:paraId="35AA6455" w14:textId="4F4F4D8C" w:rsidR="00A133AE" w:rsidRPr="00EA0704" w:rsidRDefault="00A133AE" w:rsidP="00FA2F5D">
      <w:pPr>
        <w:spacing w:after="80" w:line="240" w:lineRule="auto"/>
        <w:ind w:left="720"/>
        <w:jc w:val="both"/>
        <w:rPr>
          <w:rFonts w:eastAsia="Calibri" w:cs="Arial"/>
          <w:b/>
          <w:bCs/>
          <w:i/>
          <w:iCs/>
          <w:sz w:val="20"/>
          <w:szCs w:val="20"/>
          <w:lang w:val="es-ES"/>
        </w:rPr>
      </w:pPr>
      <w:r w:rsidRPr="00EA0704">
        <w:rPr>
          <w:rFonts w:eastAsia="Calibri" w:cs="Arial"/>
          <w:b/>
          <w:bCs/>
          <w:i/>
          <w:iCs/>
          <w:sz w:val="20"/>
          <w:szCs w:val="20"/>
          <w:lang w:val="es-ES"/>
        </w:rPr>
        <w:t>13.70 Decisión dirigida al Consejo Científico</w:t>
      </w:r>
    </w:p>
    <w:p w14:paraId="0CD7790C" w14:textId="77777777" w:rsidR="00EA0704" w:rsidRDefault="00EA0704" w:rsidP="001A2CAA">
      <w:pPr>
        <w:spacing w:after="0" w:line="240" w:lineRule="auto"/>
        <w:ind w:left="720"/>
        <w:jc w:val="both"/>
        <w:rPr>
          <w:rFonts w:eastAsia="Calibri" w:cs="Arial"/>
          <w:i/>
          <w:iCs/>
          <w:sz w:val="20"/>
          <w:szCs w:val="20"/>
          <w:lang w:val="es-ES"/>
        </w:rPr>
      </w:pPr>
    </w:p>
    <w:p w14:paraId="47E4A294" w14:textId="2E945D99" w:rsidR="00A133AE" w:rsidRPr="00A133AE" w:rsidRDefault="00A133AE" w:rsidP="001A2CAA">
      <w:pPr>
        <w:spacing w:after="0" w:line="240" w:lineRule="auto"/>
        <w:ind w:left="720"/>
        <w:jc w:val="both"/>
        <w:rPr>
          <w:rFonts w:eastAsia="Calibri" w:cs="Arial"/>
          <w:i/>
          <w:iCs/>
          <w:sz w:val="20"/>
          <w:szCs w:val="20"/>
          <w:lang w:val="es-ES"/>
        </w:rPr>
      </w:pPr>
      <w:r w:rsidRPr="00A133AE">
        <w:rPr>
          <w:rFonts w:eastAsia="Calibri" w:cs="Arial"/>
          <w:i/>
          <w:iCs/>
          <w:sz w:val="20"/>
          <w:szCs w:val="20"/>
          <w:lang w:val="es-ES"/>
        </w:rPr>
        <w:t>Se solicita al Consejo Científico, en función de la disponibilidad de recursos, lo siguiente:</w:t>
      </w:r>
    </w:p>
    <w:p w14:paraId="47BC9532" w14:textId="77777777" w:rsidR="00A133AE" w:rsidRPr="00A133AE" w:rsidRDefault="00A133AE" w:rsidP="00FA2F5D">
      <w:pPr>
        <w:numPr>
          <w:ilvl w:val="0"/>
          <w:numId w:val="14"/>
        </w:numPr>
        <w:spacing w:after="0" w:line="240" w:lineRule="auto"/>
        <w:ind w:left="1080"/>
        <w:contextualSpacing/>
        <w:jc w:val="both"/>
        <w:rPr>
          <w:rFonts w:cs="Arial"/>
          <w:i/>
          <w:iCs/>
          <w:sz w:val="20"/>
          <w:szCs w:val="20"/>
          <w:lang w:val="es-ES"/>
        </w:rPr>
      </w:pPr>
      <w:r w:rsidRPr="00A133AE">
        <w:rPr>
          <w:rFonts w:cs="Arial"/>
          <w:i/>
          <w:iCs/>
          <w:sz w:val="20"/>
          <w:szCs w:val="20"/>
          <w:lang w:val="es-ES"/>
        </w:rPr>
        <w:t xml:space="preserve">analizar, en la medida de lo posible, en colaboración con el Memorando de Entendimiento sobre la Conservación y Gestión de las Tortugas Marinas y sus Hábitats del Océano Índico y el Sudeste Asiático (MdE sobre Tortugas Marinas IOSEA) y la Convención Interamericana para la Protección y Conservación de las Tortugas Marinas, </w:t>
      </w:r>
      <w:bookmarkStart w:id="0" w:name="_Hlk133493201"/>
      <w:r w:rsidRPr="00A133AE">
        <w:rPr>
          <w:rFonts w:cs="Arial"/>
          <w:i/>
          <w:iCs/>
          <w:sz w:val="20"/>
          <w:szCs w:val="20"/>
          <w:lang w:val="es-ES"/>
        </w:rPr>
        <w:t xml:space="preserve">la información </w:t>
      </w:r>
      <w:r w:rsidRPr="00A133AE">
        <w:rPr>
          <w:rFonts w:cs="Arial"/>
          <w:i/>
          <w:iCs/>
          <w:sz w:val="20"/>
          <w:szCs w:val="20"/>
          <w:lang w:val="es-ES"/>
        </w:rPr>
        <w:lastRenderedPageBreak/>
        <w:t>científica pertinente sobre la conservación y las amenazas para las tortugas marinas</w:t>
      </w:r>
      <w:bookmarkEnd w:id="0"/>
      <w:r w:rsidRPr="00A133AE">
        <w:rPr>
          <w:rFonts w:cs="Arial"/>
          <w:i/>
          <w:iCs/>
          <w:sz w:val="20"/>
          <w:szCs w:val="20"/>
          <w:lang w:val="es-ES"/>
        </w:rPr>
        <w:t>, como el cambio climático;</w:t>
      </w:r>
    </w:p>
    <w:p w14:paraId="28B467D9" w14:textId="77777777" w:rsidR="00A133AE" w:rsidRPr="00A133AE" w:rsidRDefault="00A133AE" w:rsidP="00A133AE">
      <w:pPr>
        <w:spacing w:after="0" w:line="240" w:lineRule="auto"/>
        <w:ind w:left="1361"/>
        <w:contextualSpacing/>
        <w:jc w:val="both"/>
        <w:rPr>
          <w:rFonts w:cs="Arial"/>
          <w:i/>
          <w:iCs/>
          <w:sz w:val="20"/>
          <w:szCs w:val="20"/>
          <w:lang w:val="es-ES"/>
        </w:rPr>
      </w:pPr>
    </w:p>
    <w:p w14:paraId="2C00AAA7" w14:textId="77777777" w:rsidR="00A133AE" w:rsidRPr="00A133AE" w:rsidRDefault="00A133AE" w:rsidP="00FA2F5D">
      <w:pPr>
        <w:numPr>
          <w:ilvl w:val="0"/>
          <w:numId w:val="14"/>
        </w:numPr>
        <w:spacing w:after="0" w:line="240" w:lineRule="auto"/>
        <w:ind w:left="1080"/>
        <w:contextualSpacing/>
        <w:jc w:val="both"/>
        <w:rPr>
          <w:rFonts w:cs="Arial"/>
          <w:i/>
          <w:iCs/>
          <w:sz w:val="20"/>
          <w:szCs w:val="20"/>
          <w:lang w:val="es-ES"/>
        </w:rPr>
      </w:pPr>
      <w:r w:rsidRPr="00A133AE">
        <w:rPr>
          <w:rFonts w:cs="Arial"/>
          <w:i/>
          <w:iCs/>
          <w:sz w:val="20"/>
          <w:szCs w:val="20"/>
          <w:lang w:val="es-ES"/>
        </w:rPr>
        <w:t>según esta evaluación, elaborar nuevas recomendaciones para la conservación de todas las especies de tortugas marinas que figuran en el Apéndice I o II de la Convención, incluida la preservación de las playas de anidación actuales y la identificación de nuevas playas de anidación, para su presentación en la 14.ª reunión de la Conferencia de las Partes;</w:t>
      </w:r>
    </w:p>
    <w:p w14:paraId="309F92B3" w14:textId="77777777" w:rsidR="00A133AE" w:rsidRPr="00A133AE" w:rsidRDefault="00A133AE" w:rsidP="00FA2F5D">
      <w:pPr>
        <w:spacing w:after="0" w:line="240" w:lineRule="auto"/>
        <w:ind w:left="1080" w:hanging="360"/>
        <w:contextualSpacing/>
        <w:jc w:val="both"/>
        <w:rPr>
          <w:rFonts w:cs="Arial"/>
          <w:i/>
          <w:iCs/>
          <w:sz w:val="20"/>
          <w:szCs w:val="20"/>
          <w:lang w:val="es-ES"/>
        </w:rPr>
      </w:pPr>
    </w:p>
    <w:p w14:paraId="74CBA22F" w14:textId="77777777" w:rsidR="00A133AE" w:rsidRPr="00A133AE" w:rsidRDefault="00A133AE" w:rsidP="00FA2F5D">
      <w:pPr>
        <w:numPr>
          <w:ilvl w:val="0"/>
          <w:numId w:val="14"/>
        </w:numPr>
        <w:spacing w:after="0" w:line="240" w:lineRule="auto"/>
        <w:ind w:left="1080"/>
        <w:contextualSpacing/>
        <w:jc w:val="both"/>
        <w:rPr>
          <w:rFonts w:cs="Arial"/>
          <w:i/>
          <w:iCs/>
          <w:sz w:val="20"/>
          <w:szCs w:val="20"/>
          <w:lang w:val="es-ES"/>
        </w:rPr>
      </w:pPr>
      <w:r w:rsidRPr="00A133AE">
        <w:rPr>
          <w:rFonts w:cs="Arial"/>
          <w:i/>
          <w:iCs/>
          <w:sz w:val="20"/>
          <w:szCs w:val="20"/>
          <w:lang w:val="es-ES"/>
        </w:rPr>
        <w:t>desarrollar, en colaboración con el MdE de Tortugas Marinas IOSEA, la CITES, la Convención de Ramsar y las organizaciones no gubernamentales pertinentes, y con el apoyo de la Secretaría, un borrador de Plan de Acción de Especies Únicas para la conservación de la tortuga carey, que se presentará de forma preferente en la 14.ª reunión de la Conferencia de las Partes, para abordar su comercio y uso en el Sudeste Asiático y el Pacífico Occidental adyacente, y teniendo en cuenta el Informe CITES de 2019 sobre la Situación, Alcance y Tendencias del Comercio Internacional Legal e Ilegal de Tortugas Marinas, sus Impactos sobre la Conservación, Opciones de Gestión y Prioridades para la Mitigación, así como la Evaluación de la tortuga carey que está elaborando el Comité Asesor del MdE sobre Tortugas Marinas IOSEA.</w:t>
      </w:r>
    </w:p>
    <w:p w14:paraId="5180DD81" w14:textId="77777777" w:rsidR="00A133AE" w:rsidRPr="00A133AE" w:rsidRDefault="00A133AE" w:rsidP="00A133AE">
      <w:pPr>
        <w:spacing w:after="0" w:line="240" w:lineRule="auto"/>
        <w:jc w:val="both"/>
        <w:rPr>
          <w:rFonts w:eastAsia="Calibri" w:cs="Arial"/>
          <w:lang w:val="es-ES"/>
        </w:rPr>
      </w:pPr>
    </w:p>
    <w:p w14:paraId="57BE85B6" w14:textId="77777777" w:rsidR="00A133AE" w:rsidRPr="00A133AE" w:rsidRDefault="00A133AE" w:rsidP="00A133AE">
      <w:pPr>
        <w:spacing w:after="0" w:line="240" w:lineRule="auto"/>
        <w:jc w:val="both"/>
        <w:rPr>
          <w:rFonts w:eastAsia="Calibri" w:cs="Arial"/>
          <w:u w:val="single"/>
          <w:lang w:val="es-ES"/>
        </w:rPr>
      </w:pPr>
      <w:r w:rsidRPr="00A133AE">
        <w:rPr>
          <w:rFonts w:eastAsia="Calibri" w:cs="Arial"/>
          <w:u w:val="single"/>
          <w:lang w:val="es-ES"/>
        </w:rPr>
        <w:t>Actividades para implementar la Decisión 13.70</w:t>
      </w:r>
    </w:p>
    <w:p w14:paraId="431C8DE1" w14:textId="77777777" w:rsidR="00A133AE" w:rsidRPr="00A133AE" w:rsidRDefault="00A133AE" w:rsidP="00A133AE">
      <w:pPr>
        <w:spacing w:after="0" w:line="240" w:lineRule="auto"/>
        <w:jc w:val="both"/>
        <w:rPr>
          <w:rFonts w:eastAsia="Calibri" w:cs="Arial"/>
          <w:u w:val="single"/>
          <w:lang w:val="es-ES"/>
        </w:rPr>
      </w:pPr>
    </w:p>
    <w:p w14:paraId="397BC6C2" w14:textId="77777777" w:rsidR="00A133AE" w:rsidRPr="00A133AE" w:rsidRDefault="00A133AE" w:rsidP="00A133AE">
      <w:pPr>
        <w:widowControl w:val="0"/>
        <w:numPr>
          <w:ilvl w:val="0"/>
          <w:numId w:val="13"/>
        </w:numPr>
        <w:autoSpaceDE w:val="0"/>
        <w:autoSpaceDN w:val="0"/>
        <w:adjustRightInd w:val="0"/>
        <w:spacing w:after="0" w:line="240" w:lineRule="auto"/>
        <w:ind w:left="567" w:hanging="567"/>
        <w:jc w:val="both"/>
        <w:rPr>
          <w:rFonts w:eastAsia="Calibri" w:cs="Arial"/>
          <w:lang w:val="es-ES"/>
        </w:rPr>
      </w:pPr>
      <w:r w:rsidRPr="00A133AE">
        <w:rPr>
          <w:rFonts w:eastAsia="Calibri" w:cs="Arial"/>
          <w:lang w:val="es-ES"/>
        </w:rPr>
        <w:t>Los párrafos a) y b) de la Decisión 13.70 no se pudieron abordar en el trienio actual debido a la falta de fondos y de capacidad. Además, se está llevando a cabo una revisión global de las Unidades Regionales de Gestión (RMU) para las tortugas marinas, basada en el trabajo publicado por Wallace et al. (2010)</w:t>
      </w:r>
      <w:r w:rsidRPr="00A133AE">
        <w:rPr>
          <w:rFonts w:eastAsia="Calibri" w:cs="Arial"/>
          <w:vertAlign w:val="superscript"/>
          <w:lang w:val="es-ES"/>
        </w:rPr>
        <w:footnoteReference w:id="3"/>
      </w:r>
      <w:r w:rsidRPr="00A133AE">
        <w:rPr>
          <w:rFonts w:eastAsia="Calibri" w:cs="Arial"/>
          <w:lang w:val="es-ES"/>
        </w:rPr>
        <w:t>. Una vez publicados los resultados de este análisis, constituirán una base excelente para el análisis de la información científica pertinente sobre la conservación y las amenazas para las tortugas marinas prevista en la Decisión 13.70 a), así como para la elaboración de las recomendaciones solicitadas en la Decisión 13.70 b). Además, la metodología de Evaluación de la Vulnerabilidad Climática de las Especies Protegidas (PSCVA) desarrollada recientemente por la Administración Nacional Oceánica y Atmosférica de los Estados Unidos (NOAA Fisheries) proporciona una herramienta excepcional para evaluar la vulnerabilidad de las diferentes poblaciones de tortugas y los esfuerzos que se deberían realizar para integrar este enfoque en los trabajos de la CMS sobre el tema.</w:t>
      </w:r>
    </w:p>
    <w:p w14:paraId="5C84C808" w14:textId="77777777" w:rsidR="00A133AE" w:rsidRPr="00A133AE" w:rsidRDefault="00A133AE" w:rsidP="00A133AE">
      <w:pPr>
        <w:spacing w:after="0" w:line="240" w:lineRule="auto"/>
        <w:ind w:left="360"/>
        <w:jc w:val="both"/>
        <w:rPr>
          <w:rFonts w:eastAsia="Calibri" w:cs="Arial"/>
          <w:i/>
          <w:lang w:val="es-ES"/>
        </w:rPr>
      </w:pPr>
    </w:p>
    <w:p w14:paraId="6CFAC6A7" w14:textId="77777777" w:rsidR="00A133AE" w:rsidRPr="00A133AE" w:rsidRDefault="00A133AE" w:rsidP="00A133AE">
      <w:pPr>
        <w:widowControl w:val="0"/>
        <w:numPr>
          <w:ilvl w:val="0"/>
          <w:numId w:val="13"/>
        </w:numPr>
        <w:autoSpaceDE w:val="0"/>
        <w:autoSpaceDN w:val="0"/>
        <w:adjustRightInd w:val="0"/>
        <w:spacing w:after="0" w:line="240" w:lineRule="auto"/>
        <w:ind w:left="567" w:hanging="567"/>
        <w:jc w:val="both"/>
        <w:rPr>
          <w:rFonts w:eastAsia="Calibri" w:cs="Arial"/>
          <w:lang w:val="es-ES"/>
        </w:rPr>
      </w:pPr>
      <w:r w:rsidRPr="00A133AE">
        <w:rPr>
          <w:rFonts w:eastAsia="Calibri" w:cs="Arial"/>
          <w:lang w:val="es-ES"/>
        </w:rPr>
        <w:t>Por consiguiente, se propone renovar esta Decisión con un texto ligeramente modificado, tal como se recomienda en el Anexo del presente documento.</w:t>
      </w:r>
    </w:p>
    <w:p w14:paraId="6BA3D626" w14:textId="77777777" w:rsidR="00A133AE" w:rsidRPr="00A133AE" w:rsidRDefault="00A133AE" w:rsidP="00A133AE">
      <w:pPr>
        <w:spacing w:after="0" w:line="240" w:lineRule="auto"/>
        <w:jc w:val="both"/>
        <w:rPr>
          <w:rFonts w:eastAsia="Calibri" w:cs="Arial"/>
          <w:lang w:val="es-ES"/>
        </w:rPr>
      </w:pPr>
    </w:p>
    <w:p w14:paraId="075B55C9" w14:textId="6891DF5B" w:rsidR="00A133AE" w:rsidRPr="00A133AE" w:rsidRDefault="00A133AE" w:rsidP="00A133AE">
      <w:pPr>
        <w:widowControl w:val="0"/>
        <w:numPr>
          <w:ilvl w:val="0"/>
          <w:numId w:val="13"/>
        </w:numPr>
        <w:spacing w:after="0" w:line="240" w:lineRule="auto"/>
        <w:ind w:left="567" w:hanging="567"/>
        <w:jc w:val="both"/>
        <w:rPr>
          <w:rFonts w:eastAsia="Calibri" w:cs="Arial"/>
          <w:lang w:val="es-ES"/>
        </w:rPr>
      </w:pPr>
      <w:r w:rsidRPr="00A133AE">
        <w:rPr>
          <w:rFonts w:eastAsia="Calibri" w:cs="Arial"/>
          <w:lang w:val="es-ES"/>
        </w:rPr>
        <w:t xml:space="preserve">Se ha implementado en su totalidad el párrafo c) de la Decisión 13.70, y se ha finalizado un </w:t>
      </w:r>
      <w:r w:rsidRPr="00A133AE">
        <w:rPr>
          <w:rFonts w:eastAsia="Calibri" w:cs="Arial"/>
          <w:i/>
          <w:lang w:val="es-ES"/>
        </w:rPr>
        <w:t>Plan de Acción de Especies Únicas para la tortuga carey (</w:t>
      </w:r>
      <w:r w:rsidRPr="00A133AE">
        <w:rPr>
          <w:rFonts w:eastAsia="Calibri" w:cs="Arial"/>
          <w:i/>
          <w:iCs/>
          <w:lang w:val="es-ES"/>
        </w:rPr>
        <w:t>Eretmochelys imbricata</w:t>
      </w:r>
      <w:r w:rsidRPr="00A133AE">
        <w:rPr>
          <w:rFonts w:eastAsia="Calibri" w:cs="Arial"/>
          <w:i/>
          <w:lang w:val="es-ES"/>
        </w:rPr>
        <w:t>) en el Sudeste Asiático y la Región del Océano Pacífico Occidental.</w:t>
      </w:r>
      <w:r w:rsidRPr="00A133AE">
        <w:rPr>
          <w:rFonts w:eastAsia="Calibri" w:cs="Arial"/>
          <w:lang w:val="es-ES"/>
        </w:rPr>
        <w:t xml:space="preserve"> Consulte el </w:t>
      </w:r>
      <w:hyperlink r:id="rId17" w:history="1">
        <w:r w:rsidR="00065034" w:rsidRPr="00B94C08">
          <w:rPr>
            <w:rStyle w:val="Hyperlink"/>
            <w:rFonts w:cs="Arial"/>
            <w:lang w:val="es-ES"/>
          </w:rPr>
          <w:t>UNEP/CMS/COP14/Doc.27.6.2</w:t>
        </w:r>
      </w:hyperlink>
      <w:r w:rsidR="00065034" w:rsidRPr="00B94C08">
        <w:rPr>
          <w:rStyle w:val="Hyperlink"/>
          <w:rFonts w:cs="Arial"/>
          <w:color w:val="auto"/>
          <w:u w:val="none"/>
          <w:lang w:val="es-ES"/>
        </w:rPr>
        <w:t>.</w:t>
      </w:r>
      <w:r w:rsidRPr="00A133AE">
        <w:rPr>
          <w:rFonts w:eastAsia="Calibri" w:cs="Arial"/>
          <w:lang w:val="es-ES"/>
        </w:rPr>
        <w:t xml:space="preserve"> Por consiguiente, se propone suprimir este párrafo de la Decisión.</w:t>
      </w:r>
    </w:p>
    <w:p w14:paraId="758D1294" w14:textId="77777777" w:rsidR="00A133AE" w:rsidRPr="00A133AE" w:rsidRDefault="00A133AE" w:rsidP="00A133AE">
      <w:pPr>
        <w:spacing w:after="0" w:line="240" w:lineRule="auto"/>
        <w:ind w:left="567" w:hanging="567"/>
        <w:jc w:val="both"/>
        <w:rPr>
          <w:rFonts w:eastAsia="Calibri" w:cs="Arial"/>
          <w:lang w:val="es-ES"/>
        </w:rPr>
      </w:pPr>
    </w:p>
    <w:p w14:paraId="400EBE90" w14:textId="77777777" w:rsidR="00A133AE" w:rsidRPr="00A133AE" w:rsidRDefault="00A133AE" w:rsidP="00A133AE">
      <w:pPr>
        <w:spacing w:after="0" w:line="240" w:lineRule="auto"/>
        <w:jc w:val="both"/>
        <w:rPr>
          <w:rFonts w:eastAsia="Calibri" w:cs="Arial"/>
          <w:i/>
          <w:iCs/>
          <w:u w:val="single"/>
          <w:lang w:val="es-ES"/>
        </w:rPr>
      </w:pPr>
      <w:r w:rsidRPr="00A133AE">
        <w:rPr>
          <w:rFonts w:eastAsia="Calibri" w:cs="Arial"/>
          <w:u w:val="single"/>
          <w:lang w:val="es-ES"/>
        </w:rPr>
        <w:t>Iniciativa para la mitigación de las capturas incidentales de tortugas</w:t>
      </w:r>
    </w:p>
    <w:p w14:paraId="10B16B77" w14:textId="77777777" w:rsidR="00A133AE" w:rsidRPr="00A133AE" w:rsidRDefault="00A133AE" w:rsidP="00A133AE">
      <w:pPr>
        <w:spacing w:after="0" w:line="240" w:lineRule="auto"/>
        <w:jc w:val="both"/>
        <w:rPr>
          <w:rFonts w:eastAsia="Calibri" w:cs="Arial"/>
          <w:lang w:val="es-ES"/>
        </w:rPr>
      </w:pPr>
    </w:p>
    <w:p w14:paraId="01745CD9" w14:textId="57ABACD5" w:rsidR="00A133AE" w:rsidRPr="00A133AE" w:rsidRDefault="00A133AE" w:rsidP="00EE7966">
      <w:pPr>
        <w:widowControl w:val="0"/>
        <w:numPr>
          <w:ilvl w:val="0"/>
          <w:numId w:val="13"/>
        </w:numPr>
        <w:autoSpaceDE w:val="0"/>
        <w:autoSpaceDN w:val="0"/>
        <w:adjustRightInd w:val="0"/>
        <w:spacing w:after="0" w:line="240" w:lineRule="auto"/>
        <w:ind w:left="540" w:hanging="540"/>
        <w:jc w:val="both"/>
        <w:rPr>
          <w:rFonts w:eastAsia="Calibri" w:cs="Arial"/>
          <w:lang w:val="es-ES"/>
        </w:rPr>
      </w:pPr>
      <w:r w:rsidRPr="29A319B8">
        <w:rPr>
          <w:rFonts w:eastAsia="Calibri" w:cs="Arial"/>
          <w:lang w:val="es-ES"/>
        </w:rPr>
        <w:t xml:space="preserve">En la actualidad, no existe una perspectiva global de las medidas disponibles para mitigar las capturas incidentales de tortugas marinas en todos los tipos de pesquerías. En consecuencia, el Comité Asesor del MdE sobre Tortugas Marinas IOSEA señaló la necesidad de prestar más atención a esta gran amenaza, comenzando con una perspectiva general del estado de los conocimientos relativos a la mitigación de la captura incidental de tortugas, similar a la que se había producido en relación con la mitigación de la captura incidental de mamíferos marinos, tal como se presentó en </w:t>
      </w:r>
      <w:hyperlink r:id="rId18" w:history="1">
        <w:r w:rsidR="00193B9C" w:rsidRPr="00B94C08">
          <w:rPr>
            <w:rStyle w:val="Hyperlink"/>
            <w:rFonts w:cs="Arial"/>
            <w:lang w:val="es-ES"/>
          </w:rPr>
          <w:t>UNEP/CMS/COP13/Inf.11</w:t>
        </w:r>
      </w:hyperlink>
      <w:r w:rsidR="62835BEB" w:rsidRPr="29A319B8">
        <w:rPr>
          <w:rFonts w:eastAsia="Calibri" w:cs="Arial"/>
          <w:lang w:val="es-ES"/>
        </w:rPr>
        <w:t>, sólo disponible en inglés</w:t>
      </w:r>
      <w:r w:rsidRPr="29A319B8">
        <w:rPr>
          <w:rFonts w:eastAsia="Calibri" w:cs="Arial"/>
          <w:lang w:val="es-ES"/>
        </w:rPr>
        <w:t xml:space="preserve">. La información sobre una propuesta del camino a seguir, que prevé esto como una iniciativa conjunta entre la CMS y el MdE de Tortugas Marinas IOSEA, se presenta en el </w:t>
      </w:r>
      <w:hyperlink r:id="rId19">
        <w:r w:rsidR="00D348A2" w:rsidRPr="00B94C08">
          <w:rPr>
            <w:rStyle w:val="Hyperlink"/>
            <w:rFonts w:cs="Arial"/>
            <w:lang w:val="es-ES"/>
          </w:rPr>
          <w:t>UNEP/CMS/COP14/Doc.27.1.1</w:t>
        </w:r>
      </w:hyperlink>
      <w:r w:rsidR="00D348A2" w:rsidRPr="00B94C08">
        <w:rPr>
          <w:rStyle w:val="Hyperlink"/>
          <w:rFonts w:cs="Arial"/>
          <w:u w:val="none"/>
          <w:lang w:val="es-ES"/>
        </w:rPr>
        <w:t xml:space="preserve"> </w:t>
      </w:r>
      <w:r w:rsidRPr="29A319B8">
        <w:rPr>
          <w:rFonts w:eastAsia="Calibri" w:cs="Arial"/>
          <w:i/>
          <w:iCs/>
          <w:lang w:val="es-ES"/>
        </w:rPr>
        <w:t>Captura incidental</w:t>
      </w:r>
      <w:r w:rsidRPr="29A319B8">
        <w:rPr>
          <w:rFonts w:eastAsia="Calibri" w:cs="Arial"/>
          <w:lang w:val="es-ES"/>
        </w:rPr>
        <w:t xml:space="preserve"> y en el proyecto de Decisiones asociadas.</w:t>
      </w:r>
    </w:p>
    <w:p w14:paraId="5DF3A0D7" w14:textId="77777777" w:rsidR="00A133AE" w:rsidRPr="00A133AE" w:rsidRDefault="00A133AE" w:rsidP="00A133AE">
      <w:pPr>
        <w:spacing w:after="0" w:line="240" w:lineRule="auto"/>
        <w:jc w:val="both"/>
        <w:rPr>
          <w:rFonts w:eastAsia="Calibri" w:cs="Arial"/>
          <w:u w:val="single"/>
          <w:lang w:val="es-ES"/>
        </w:rPr>
      </w:pPr>
    </w:p>
    <w:p w14:paraId="666E4832" w14:textId="77777777" w:rsidR="00A133AE" w:rsidRPr="00A133AE" w:rsidRDefault="00A133AE" w:rsidP="00A133AE">
      <w:pPr>
        <w:spacing w:after="0" w:line="240" w:lineRule="auto"/>
        <w:jc w:val="both"/>
        <w:rPr>
          <w:rFonts w:eastAsia="Calibri" w:cs="Arial"/>
          <w:u w:val="single"/>
          <w:lang w:val="es-ES"/>
        </w:rPr>
      </w:pPr>
      <w:r w:rsidRPr="00A133AE">
        <w:rPr>
          <w:rFonts w:eastAsia="Calibri" w:cs="Arial"/>
          <w:u w:val="single"/>
          <w:lang w:val="es-ES"/>
        </w:rPr>
        <w:t>Debate y análisis</w:t>
      </w:r>
    </w:p>
    <w:p w14:paraId="2FD49C2D" w14:textId="77777777" w:rsidR="00A133AE" w:rsidRPr="00A133AE" w:rsidRDefault="00A133AE" w:rsidP="00A133AE">
      <w:pPr>
        <w:spacing w:after="0" w:line="240" w:lineRule="auto"/>
        <w:jc w:val="both"/>
        <w:rPr>
          <w:rFonts w:eastAsia="Calibri" w:cs="Arial"/>
          <w:lang w:val="es-ES"/>
        </w:rPr>
      </w:pPr>
    </w:p>
    <w:p w14:paraId="0A78476A" w14:textId="77777777" w:rsidR="00A133AE" w:rsidRPr="00A133AE" w:rsidRDefault="00A133AE" w:rsidP="00A133AE">
      <w:pPr>
        <w:widowControl w:val="0"/>
        <w:numPr>
          <w:ilvl w:val="0"/>
          <w:numId w:val="13"/>
        </w:numPr>
        <w:autoSpaceDE w:val="0"/>
        <w:autoSpaceDN w:val="0"/>
        <w:adjustRightInd w:val="0"/>
        <w:spacing w:after="0" w:line="240" w:lineRule="auto"/>
        <w:ind w:left="567" w:hanging="567"/>
        <w:jc w:val="both"/>
        <w:rPr>
          <w:rFonts w:eastAsia="Calibri" w:cs="Arial"/>
          <w:lang w:val="es-ES"/>
        </w:rPr>
      </w:pPr>
      <w:r w:rsidRPr="00A133AE">
        <w:rPr>
          <w:rFonts w:eastAsia="Calibri" w:cs="Arial"/>
          <w:lang w:val="es-ES"/>
        </w:rPr>
        <w:t xml:space="preserve">Debido al preocupante estado de conservación de todas las especies de tortugas marinas, continúa siendo prioritario elaborar recomendaciones de medidas de conservación con base científica y específicas para cada región y especie, así como subsanar las graves lagunas en los conocimientos. Por lo tanto, el análisis previsto en la Decisión 13.70 a) y b) continúa siendo necesario. </w:t>
      </w:r>
    </w:p>
    <w:p w14:paraId="4358518C" w14:textId="77777777" w:rsidR="00A133AE" w:rsidRPr="00A133AE" w:rsidRDefault="00A133AE" w:rsidP="00A133AE">
      <w:pPr>
        <w:widowControl w:val="0"/>
        <w:autoSpaceDE w:val="0"/>
        <w:autoSpaceDN w:val="0"/>
        <w:adjustRightInd w:val="0"/>
        <w:spacing w:after="0" w:line="240" w:lineRule="auto"/>
        <w:jc w:val="both"/>
        <w:rPr>
          <w:rFonts w:eastAsia="Calibri" w:cs="Arial"/>
          <w:lang w:val="es-ES"/>
        </w:rPr>
      </w:pPr>
    </w:p>
    <w:p w14:paraId="2E3D4FDC" w14:textId="77777777" w:rsidR="00A133AE" w:rsidRPr="00A133AE" w:rsidRDefault="00A133AE" w:rsidP="00A133AE">
      <w:pPr>
        <w:spacing w:after="0" w:line="240" w:lineRule="auto"/>
        <w:jc w:val="both"/>
        <w:rPr>
          <w:rFonts w:eastAsia="Calibri" w:cs="Arial"/>
          <w:lang w:val="es-ES"/>
        </w:rPr>
      </w:pPr>
      <w:r w:rsidRPr="00A133AE">
        <w:rPr>
          <w:rFonts w:eastAsia="Calibri" w:cs="Arial"/>
          <w:u w:val="single"/>
          <w:lang w:val="es-ES"/>
        </w:rPr>
        <w:t>Acciones recomendadas</w:t>
      </w:r>
    </w:p>
    <w:p w14:paraId="012D8943" w14:textId="77777777" w:rsidR="00A133AE" w:rsidRPr="00A133AE" w:rsidRDefault="00A133AE" w:rsidP="00A133AE">
      <w:pPr>
        <w:spacing w:after="0" w:line="240" w:lineRule="auto"/>
        <w:jc w:val="both"/>
        <w:rPr>
          <w:rFonts w:eastAsia="Calibri" w:cs="Arial"/>
          <w:lang w:val="es-ES"/>
        </w:rPr>
      </w:pPr>
    </w:p>
    <w:p w14:paraId="4AF776C0" w14:textId="20257073" w:rsidR="00A133AE" w:rsidRPr="00A133AE" w:rsidRDefault="00A133AE" w:rsidP="00A133AE">
      <w:pPr>
        <w:widowControl w:val="0"/>
        <w:numPr>
          <w:ilvl w:val="0"/>
          <w:numId w:val="13"/>
        </w:numPr>
        <w:autoSpaceDE w:val="0"/>
        <w:autoSpaceDN w:val="0"/>
        <w:adjustRightInd w:val="0"/>
        <w:spacing w:after="0" w:line="240" w:lineRule="auto"/>
        <w:ind w:left="567" w:hanging="567"/>
        <w:jc w:val="both"/>
        <w:rPr>
          <w:rFonts w:eastAsia="Calibri" w:cs="Arial"/>
          <w:lang w:val="es-ES"/>
        </w:rPr>
      </w:pPr>
      <w:r w:rsidRPr="00A133AE">
        <w:rPr>
          <w:rFonts w:eastAsia="Calibri" w:cs="Arial"/>
          <w:lang w:val="es-ES" w:eastAsia="es-ES"/>
        </w:rPr>
        <w:t>Se recomienda a la Conferencia de las Partes:</w:t>
      </w:r>
    </w:p>
    <w:p w14:paraId="1293926C" w14:textId="77777777" w:rsidR="00A133AE" w:rsidRPr="00A133AE" w:rsidRDefault="00A133AE" w:rsidP="00A133AE">
      <w:pPr>
        <w:spacing w:after="0" w:line="240" w:lineRule="auto"/>
        <w:jc w:val="both"/>
        <w:rPr>
          <w:rFonts w:cs="Arial"/>
          <w:lang w:val="es-ES"/>
        </w:rPr>
      </w:pPr>
    </w:p>
    <w:p w14:paraId="4265030A" w14:textId="7C574949" w:rsidR="00A133AE" w:rsidRPr="00FA2F5D" w:rsidRDefault="00A133AE" w:rsidP="00FA2F5D">
      <w:pPr>
        <w:pStyle w:val="ListParagraph"/>
        <w:numPr>
          <w:ilvl w:val="1"/>
          <w:numId w:val="15"/>
        </w:numPr>
        <w:spacing w:after="0" w:line="240" w:lineRule="auto"/>
        <w:ind w:left="900"/>
        <w:jc w:val="both"/>
        <w:rPr>
          <w:rFonts w:cs="Arial"/>
          <w:lang w:val="es-ES"/>
        </w:rPr>
      </w:pPr>
      <w:r w:rsidRPr="00FA2F5D">
        <w:rPr>
          <w:rFonts w:cs="Arial"/>
          <w:lang w:val="es-ES"/>
        </w:rPr>
        <w:t>adopt</w:t>
      </w:r>
      <w:r w:rsidR="00480F9B">
        <w:rPr>
          <w:rFonts w:cs="Arial"/>
          <w:lang w:val="es-ES"/>
        </w:rPr>
        <w:t>ar</w:t>
      </w:r>
      <w:r w:rsidRPr="00FA2F5D">
        <w:rPr>
          <w:rFonts w:cs="Arial"/>
          <w:lang w:val="es-ES"/>
        </w:rPr>
        <w:t xml:space="preserve"> el proyecto de Decisiones que figura en el Anexo del presente documento;</w:t>
      </w:r>
    </w:p>
    <w:p w14:paraId="38326D40" w14:textId="77777777" w:rsidR="00A133AE" w:rsidRPr="00A133AE" w:rsidRDefault="00A133AE" w:rsidP="00FA2F5D">
      <w:pPr>
        <w:spacing w:after="0" w:line="240" w:lineRule="auto"/>
        <w:ind w:left="900" w:hanging="360"/>
        <w:jc w:val="both"/>
        <w:rPr>
          <w:rFonts w:cs="Arial"/>
          <w:lang w:val="es-ES"/>
        </w:rPr>
      </w:pPr>
    </w:p>
    <w:p w14:paraId="01960932" w14:textId="770A6B85" w:rsidR="00A133AE" w:rsidRPr="00FA2F5D" w:rsidRDefault="00A133AE" w:rsidP="00FA2F5D">
      <w:pPr>
        <w:pStyle w:val="ListParagraph"/>
        <w:numPr>
          <w:ilvl w:val="1"/>
          <w:numId w:val="15"/>
        </w:numPr>
        <w:spacing w:after="0" w:line="240" w:lineRule="auto"/>
        <w:ind w:left="900"/>
        <w:jc w:val="both"/>
        <w:rPr>
          <w:rFonts w:cs="Arial"/>
          <w:lang w:val="es-ES"/>
        </w:rPr>
      </w:pPr>
      <w:r w:rsidRPr="00FA2F5D">
        <w:rPr>
          <w:rFonts w:cs="Arial"/>
          <w:lang w:val="es-ES"/>
        </w:rPr>
        <w:t>suprim</w:t>
      </w:r>
      <w:r w:rsidR="0010442F">
        <w:rPr>
          <w:rFonts w:cs="Arial"/>
          <w:lang w:val="es-ES"/>
        </w:rPr>
        <w:t>ir</w:t>
      </w:r>
      <w:r w:rsidRPr="00FA2F5D">
        <w:rPr>
          <w:rFonts w:cs="Arial"/>
          <w:lang w:val="es-ES"/>
        </w:rPr>
        <w:t xml:space="preserve"> las Decisiones 13.69 y 13.70.</w:t>
      </w:r>
    </w:p>
    <w:p w14:paraId="6E10C141" w14:textId="77777777" w:rsidR="002D5F2A" w:rsidRDefault="002D5F2A" w:rsidP="00A133AE">
      <w:pPr>
        <w:pStyle w:val="Firstnumbering1"/>
        <w:numPr>
          <w:ilvl w:val="0"/>
          <w:numId w:val="0"/>
        </w:numPr>
        <w:ind w:left="567"/>
      </w:pPr>
    </w:p>
    <w:p w14:paraId="0689D1E1" w14:textId="77777777" w:rsidR="001E05C2" w:rsidRDefault="001E05C2" w:rsidP="00A133AE">
      <w:pPr>
        <w:pStyle w:val="Firstnumbering1"/>
        <w:numPr>
          <w:ilvl w:val="0"/>
          <w:numId w:val="0"/>
        </w:numPr>
        <w:ind w:left="567"/>
        <w:sectPr w:rsidR="001E05C2" w:rsidSect="00323406">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59383C06" w14:textId="77777777" w:rsidR="00776A5B" w:rsidRPr="004B7E07" w:rsidRDefault="00776A5B" w:rsidP="00776A5B">
      <w:pPr>
        <w:spacing w:after="0" w:line="240" w:lineRule="auto"/>
        <w:jc w:val="right"/>
        <w:rPr>
          <w:rFonts w:cs="Arial"/>
          <w:b/>
          <w:bCs/>
          <w:caps/>
          <w:lang w:val="es-ES"/>
        </w:rPr>
      </w:pPr>
      <w:r w:rsidRPr="004B7E07">
        <w:rPr>
          <w:rFonts w:cs="Arial"/>
          <w:b/>
          <w:bCs/>
          <w:caps/>
          <w:lang w:val="es-ES"/>
        </w:rPr>
        <w:lastRenderedPageBreak/>
        <w:t>Anexo</w:t>
      </w:r>
    </w:p>
    <w:p w14:paraId="5D638B58" w14:textId="77777777" w:rsidR="00776A5B" w:rsidRPr="004B7E07" w:rsidRDefault="00776A5B" w:rsidP="00776A5B">
      <w:pPr>
        <w:spacing w:after="0" w:line="240" w:lineRule="auto"/>
        <w:rPr>
          <w:rFonts w:cs="Arial"/>
          <w:lang w:val="es-ES"/>
        </w:rPr>
      </w:pPr>
    </w:p>
    <w:p w14:paraId="4EE58EA7" w14:textId="77777777" w:rsidR="00776A5B" w:rsidRPr="004B7E07" w:rsidRDefault="00776A5B" w:rsidP="00776A5B">
      <w:pPr>
        <w:spacing w:after="0" w:line="240" w:lineRule="auto"/>
        <w:jc w:val="center"/>
        <w:rPr>
          <w:rFonts w:cs="Arial"/>
          <w:lang w:val="es-ES"/>
        </w:rPr>
      </w:pPr>
      <w:r w:rsidRPr="004B7E07">
        <w:rPr>
          <w:rFonts w:cs="Arial"/>
          <w:lang w:val="es-ES"/>
        </w:rPr>
        <w:t>PROYECTO DE DECISIONES</w:t>
      </w:r>
    </w:p>
    <w:p w14:paraId="74F30DDF" w14:textId="77777777" w:rsidR="00776A5B" w:rsidRPr="004B7E07" w:rsidRDefault="00776A5B" w:rsidP="00776A5B">
      <w:pPr>
        <w:spacing w:after="0" w:line="240" w:lineRule="auto"/>
        <w:jc w:val="center"/>
        <w:rPr>
          <w:rFonts w:cs="Arial"/>
          <w:lang w:val="es-ES"/>
        </w:rPr>
      </w:pPr>
    </w:p>
    <w:p w14:paraId="2B680F76" w14:textId="77777777" w:rsidR="00776A5B" w:rsidRPr="004B7E07" w:rsidRDefault="00776A5B" w:rsidP="00776A5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4B7E07">
        <w:rPr>
          <w:rFonts w:cs="Arial"/>
          <w:b/>
          <w:caps/>
          <w:lang w:val="es-ES"/>
        </w:rPr>
        <w:t>Tortugas MARINAS</w:t>
      </w:r>
    </w:p>
    <w:p w14:paraId="59B05CBF" w14:textId="77777777" w:rsidR="00776A5B" w:rsidRDefault="00776A5B" w:rsidP="00776A5B">
      <w:pPr>
        <w:spacing w:after="0" w:line="240" w:lineRule="auto"/>
        <w:jc w:val="both"/>
        <w:rPr>
          <w:rFonts w:cs="Arial"/>
          <w:lang w:val="es-ES"/>
        </w:rPr>
      </w:pPr>
    </w:p>
    <w:p w14:paraId="22FA3938" w14:textId="77777777" w:rsidR="00EA7EF9" w:rsidRPr="004B7E07" w:rsidRDefault="00EA7EF9" w:rsidP="00776A5B">
      <w:pPr>
        <w:spacing w:after="0" w:line="240" w:lineRule="auto"/>
        <w:jc w:val="both"/>
        <w:rPr>
          <w:rFonts w:cs="Arial"/>
          <w:lang w:val="es-ES"/>
        </w:rPr>
      </w:pPr>
    </w:p>
    <w:p w14:paraId="1BDB97CC" w14:textId="1E0DA1DA" w:rsidR="00776A5B" w:rsidRPr="00A87769" w:rsidRDefault="00551FE1" w:rsidP="00776A5B">
      <w:pPr>
        <w:pStyle w:val="paragraph"/>
        <w:spacing w:before="0" w:beforeAutospacing="0" w:after="0" w:afterAutospacing="0"/>
        <w:ind w:left="840" w:hanging="840"/>
        <w:jc w:val="both"/>
        <w:textAlignment w:val="baseline"/>
        <w:rPr>
          <w:rStyle w:val="normaltextrun"/>
          <w:rFonts w:ascii="Arial" w:hAnsi="Arial" w:cs="Arial"/>
          <w:b/>
          <w:bCs/>
          <w:i/>
          <w:iCs/>
          <w:sz w:val="22"/>
          <w:szCs w:val="22"/>
          <w:lang w:val="en-US"/>
        </w:rPr>
      </w:pPr>
      <w:r w:rsidRPr="00A87769">
        <w:rPr>
          <w:rStyle w:val="normaltextrun"/>
          <w:rFonts w:ascii="Arial" w:hAnsi="Arial" w:cs="Arial"/>
          <w:b/>
          <w:bCs/>
          <w:i/>
          <w:iCs/>
          <w:sz w:val="22"/>
          <w:szCs w:val="22"/>
          <w:lang w:val="en-US"/>
        </w:rPr>
        <w:t>Dirigido a las Partes</w:t>
      </w:r>
    </w:p>
    <w:p w14:paraId="1A6B3150" w14:textId="77777777" w:rsidR="00551FE1" w:rsidRPr="00A87769" w:rsidDel="00ED4C91" w:rsidRDefault="00551FE1" w:rsidP="00776A5B">
      <w:pPr>
        <w:pStyle w:val="paragraph"/>
        <w:spacing w:before="0" w:beforeAutospacing="0" w:after="0" w:afterAutospacing="0"/>
        <w:ind w:left="840" w:hanging="840"/>
        <w:jc w:val="both"/>
        <w:textAlignment w:val="baseline"/>
        <w:rPr>
          <w:rStyle w:val="eop"/>
          <w:rFonts w:ascii="Arial" w:hAnsi="Arial" w:cs="Arial"/>
          <w:sz w:val="22"/>
          <w:szCs w:val="22"/>
          <w:highlight w:val="yellow"/>
          <w:lang w:val="en-US"/>
        </w:rPr>
      </w:pPr>
    </w:p>
    <w:p w14:paraId="38631C74" w14:textId="303F0ACE" w:rsidR="00A87769" w:rsidRPr="0010442F" w:rsidRDefault="00776A5B" w:rsidP="0010442F">
      <w:pPr>
        <w:pStyle w:val="paragraph"/>
        <w:spacing w:before="0" w:beforeAutospacing="0" w:after="0" w:afterAutospacing="0"/>
        <w:ind w:left="900" w:hanging="900"/>
        <w:jc w:val="both"/>
        <w:textAlignment w:val="baseline"/>
        <w:rPr>
          <w:rStyle w:val="normaltextrun"/>
          <w:rFonts w:ascii="Arial" w:hAnsi="Arial" w:cs="Arial"/>
          <w:sz w:val="22"/>
          <w:szCs w:val="22"/>
          <w:lang w:val="es-ES"/>
        </w:rPr>
      </w:pPr>
      <w:r w:rsidRPr="006E4C07" w:rsidDel="00ED4C91">
        <w:rPr>
          <w:rStyle w:val="normaltextrun"/>
          <w:rFonts w:ascii="Arial" w:hAnsi="Arial" w:cs="Arial"/>
          <w:sz w:val="22"/>
          <w:szCs w:val="22"/>
          <w:lang w:val="es-ES"/>
        </w:rPr>
        <w:t>14.AA</w:t>
      </w:r>
      <w:r w:rsidRPr="006E4C07" w:rsidDel="00ED4C91">
        <w:rPr>
          <w:rStyle w:val="tabchar"/>
          <w:rFonts w:ascii="Arial" w:hAnsi="Arial" w:cs="Arial"/>
          <w:sz w:val="22"/>
          <w:szCs w:val="22"/>
          <w:lang w:val="es-ES"/>
        </w:rPr>
        <w:tab/>
      </w:r>
      <w:r w:rsidR="00A87769" w:rsidRPr="0010442F">
        <w:rPr>
          <w:rStyle w:val="normaltextrun"/>
          <w:rFonts w:ascii="Arial" w:hAnsi="Arial" w:cs="Arial"/>
          <w:sz w:val="22"/>
          <w:szCs w:val="22"/>
          <w:lang w:val="es-ES"/>
        </w:rPr>
        <w:t>Se solicita a las Partes a aportar fondos a la Secretaría con el fin de</w:t>
      </w:r>
      <w:r w:rsidR="00A87769" w:rsidRPr="0010442F">
        <w:rPr>
          <w:rStyle w:val="normaltextrun"/>
          <w:rFonts w:ascii="Arial" w:hAnsi="Arial" w:cs="Arial"/>
          <w:strike/>
          <w:sz w:val="22"/>
          <w:szCs w:val="22"/>
          <w:lang w:val="es-ES"/>
        </w:rPr>
        <w:t xml:space="preserve"> </w:t>
      </w:r>
      <w:r w:rsidR="009C543D" w:rsidRPr="0010442F">
        <w:rPr>
          <w:rStyle w:val="normaltextrun"/>
          <w:rFonts w:ascii="Arial" w:hAnsi="Arial" w:cs="Arial"/>
          <w:sz w:val="22"/>
          <w:szCs w:val="22"/>
          <w:lang w:val="es-ES"/>
        </w:rPr>
        <w:t>garantizar</w:t>
      </w:r>
      <w:r w:rsidR="00DB2AD1" w:rsidRPr="0010442F">
        <w:rPr>
          <w:rStyle w:val="normaltextrun"/>
          <w:rFonts w:ascii="Arial" w:hAnsi="Arial" w:cs="Arial"/>
          <w:sz w:val="22"/>
          <w:szCs w:val="22"/>
          <w:lang w:val="es-ES"/>
        </w:rPr>
        <w:t xml:space="preserve"> los conocimientos externos necesarios para elaborar un proyecto de revisión y recomendaciones para su consideración por el Consejo Científico, tal como se prevé en la Decisión 14.BB.</w:t>
      </w:r>
    </w:p>
    <w:p w14:paraId="355B8387" w14:textId="77777777" w:rsidR="00776A5B" w:rsidRPr="00B94C08" w:rsidRDefault="00776A5B" w:rsidP="00776A5B">
      <w:pPr>
        <w:spacing w:after="0" w:line="240" w:lineRule="auto"/>
        <w:jc w:val="both"/>
        <w:rPr>
          <w:rFonts w:cs="Arial"/>
          <w:highlight w:val="yellow"/>
          <w:lang w:val="es-ES"/>
        </w:rPr>
      </w:pPr>
    </w:p>
    <w:p w14:paraId="12D1A6DD" w14:textId="7316FE6C" w:rsidR="00776A5B" w:rsidRPr="00B8580F" w:rsidRDefault="003D6EA4" w:rsidP="00776A5B">
      <w:pPr>
        <w:spacing w:after="0" w:line="240" w:lineRule="auto"/>
        <w:jc w:val="both"/>
        <w:rPr>
          <w:rFonts w:cs="Arial"/>
          <w:highlight w:val="yellow"/>
          <w:lang w:val="es-ES"/>
        </w:rPr>
      </w:pPr>
      <w:r w:rsidRPr="00B8580F">
        <w:rPr>
          <w:rFonts w:cs="Arial"/>
          <w:b/>
          <w:i/>
          <w:lang w:val="es-ES"/>
        </w:rPr>
        <w:t>Dirigido a</w:t>
      </w:r>
      <w:r w:rsidR="002441D2">
        <w:rPr>
          <w:rFonts w:cs="Arial"/>
          <w:b/>
          <w:i/>
          <w:lang w:val="es-ES"/>
        </w:rPr>
        <w:t>l</w:t>
      </w:r>
      <w:r w:rsidRPr="00B8580F">
        <w:rPr>
          <w:rFonts w:cs="Arial"/>
          <w:b/>
          <w:i/>
          <w:lang w:val="es-ES"/>
        </w:rPr>
        <w:t xml:space="preserve"> Consejo Científico</w:t>
      </w:r>
      <w:r w:rsidR="00776A5B" w:rsidRPr="00B8580F">
        <w:rPr>
          <w:rFonts w:cs="Arial"/>
          <w:b/>
          <w:i/>
          <w:highlight w:val="yellow"/>
          <w:lang w:val="es-ES"/>
        </w:rPr>
        <w:t xml:space="preserve"> </w:t>
      </w:r>
    </w:p>
    <w:p w14:paraId="0FFB3771" w14:textId="77777777" w:rsidR="00776A5B" w:rsidRPr="00B8580F" w:rsidRDefault="00776A5B" w:rsidP="00776A5B">
      <w:pPr>
        <w:spacing w:after="0" w:line="240" w:lineRule="auto"/>
        <w:jc w:val="both"/>
        <w:rPr>
          <w:rFonts w:cs="Arial"/>
          <w:highlight w:val="yellow"/>
          <w:lang w:val="es-ES"/>
        </w:rPr>
      </w:pPr>
    </w:p>
    <w:p w14:paraId="338AA4A5" w14:textId="3F6ECBB7" w:rsidR="00776A5B" w:rsidRDefault="00776A5B" w:rsidP="0010442F">
      <w:pPr>
        <w:spacing w:after="0" w:line="240" w:lineRule="auto"/>
        <w:ind w:left="900" w:hanging="900"/>
        <w:jc w:val="both"/>
        <w:rPr>
          <w:rFonts w:cs="Arial"/>
          <w:u w:val="single"/>
          <w:lang w:val="es-ES"/>
        </w:rPr>
      </w:pPr>
      <w:r w:rsidRPr="000F640B">
        <w:rPr>
          <w:rFonts w:cs="Arial"/>
          <w:lang w:val="es-ES"/>
        </w:rPr>
        <w:t>14.BB</w:t>
      </w:r>
      <w:r w:rsidRPr="000F640B">
        <w:rPr>
          <w:rFonts w:cs="Arial"/>
          <w:lang w:val="es-ES"/>
        </w:rPr>
        <w:tab/>
      </w:r>
      <w:r w:rsidR="00B8580F" w:rsidRPr="00C82DB7">
        <w:rPr>
          <w:rFonts w:cs="Arial"/>
          <w:lang w:val="es-ES"/>
        </w:rPr>
        <w:t>Se solicita a</w:t>
      </w:r>
      <w:r w:rsidR="00C82DB7">
        <w:rPr>
          <w:rFonts w:cs="Arial"/>
          <w:lang w:val="es-ES"/>
        </w:rPr>
        <w:t>l</w:t>
      </w:r>
      <w:r w:rsidR="00B8580F" w:rsidRPr="00B8580F">
        <w:rPr>
          <w:rFonts w:cs="Arial"/>
          <w:lang w:val="es-ES"/>
        </w:rPr>
        <w:t xml:space="preserve"> Consejo Científico, sujeto a la disponibilidad de recursos</w:t>
      </w:r>
      <w:r w:rsidR="002441D2">
        <w:rPr>
          <w:rFonts w:cs="Arial"/>
          <w:lang w:val="es-ES"/>
        </w:rPr>
        <w:t>:</w:t>
      </w:r>
    </w:p>
    <w:p w14:paraId="0139BE44" w14:textId="77777777" w:rsidR="00ED2969" w:rsidRDefault="00ED2969" w:rsidP="00776A5B">
      <w:pPr>
        <w:spacing w:after="0" w:line="240" w:lineRule="auto"/>
        <w:ind w:left="851" w:hanging="851"/>
        <w:jc w:val="both"/>
        <w:rPr>
          <w:rFonts w:cs="Arial"/>
          <w:u w:val="single"/>
          <w:lang w:val="es-ES"/>
        </w:rPr>
      </w:pPr>
    </w:p>
    <w:p w14:paraId="2AB2FE4F" w14:textId="429AEE61" w:rsidR="002E337B" w:rsidRPr="0010442F" w:rsidRDefault="002E337B" w:rsidP="0010442F">
      <w:pPr>
        <w:pStyle w:val="ListParagraph"/>
        <w:numPr>
          <w:ilvl w:val="0"/>
          <w:numId w:val="20"/>
        </w:numPr>
        <w:spacing w:after="0" w:line="240" w:lineRule="auto"/>
        <w:ind w:left="1260"/>
        <w:jc w:val="both"/>
        <w:rPr>
          <w:rFonts w:cs="Arial"/>
          <w:lang w:val="es-ES"/>
        </w:rPr>
      </w:pPr>
      <w:r w:rsidRPr="0010442F">
        <w:rPr>
          <w:rFonts w:cs="Arial"/>
          <w:lang w:val="es-ES"/>
        </w:rPr>
        <w:t>revisar, en la medida de lo posible y en colaboración con el Memorando de Entendimiento sobre medidas de Conservación y Gestión para las Tortugas marinas y sus hábitats del Océano Índico y el Sudeste Asiático. (MdE de la IOSEA) y la Convención Interamericana para la Protección y la Conservación de las Tortugas Marinas, la información científica relevante relativa a la conservación y las amenazas que pesan sobre las tortugas marinas en el contexto específico de cada región y especie, como su vulnerabilidad al cambio climático</w:t>
      </w:r>
      <w:r w:rsidR="0010442F">
        <w:rPr>
          <w:rFonts w:cs="Arial"/>
          <w:lang w:val="es-ES"/>
        </w:rPr>
        <w:t>. y</w:t>
      </w:r>
      <w:r w:rsidRPr="0010442F">
        <w:rPr>
          <w:rFonts w:cs="Arial"/>
          <w:lang w:val="es-ES"/>
        </w:rPr>
        <w:t>;</w:t>
      </w:r>
    </w:p>
    <w:p w14:paraId="3D94D276" w14:textId="77777777" w:rsidR="00EA7EF9" w:rsidRPr="002E337B" w:rsidRDefault="00EA7EF9" w:rsidP="003C64B0">
      <w:pPr>
        <w:pStyle w:val="ListParagraph"/>
        <w:spacing w:after="0" w:line="240" w:lineRule="auto"/>
        <w:ind w:left="1080" w:hanging="360"/>
        <w:jc w:val="both"/>
        <w:rPr>
          <w:rFonts w:cs="Arial"/>
          <w:u w:val="single"/>
          <w:lang w:val="es-ES"/>
        </w:rPr>
      </w:pPr>
    </w:p>
    <w:p w14:paraId="7E747B82" w14:textId="0242AA2A" w:rsidR="002E337B" w:rsidRPr="00EA7EF9" w:rsidRDefault="00EA7EF9" w:rsidP="0010442F">
      <w:pPr>
        <w:pStyle w:val="ListParagraph"/>
        <w:numPr>
          <w:ilvl w:val="0"/>
          <w:numId w:val="20"/>
        </w:numPr>
        <w:spacing w:after="0" w:line="240" w:lineRule="auto"/>
        <w:ind w:left="1260"/>
        <w:jc w:val="both"/>
        <w:rPr>
          <w:rFonts w:cs="Arial"/>
          <w:u w:val="single"/>
          <w:lang w:val="es-ES"/>
        </w:rPr>
      </w:pPr>
      <w:r w:rsidRPr="00EA7EF9">
        <w:rPr>
          <w:rFonts w:cs="Arial"/>
          <w:lang w:val="es-ES"/>
        </w:rPr>
        <w:t>de acuerdo con esta revisión, desarrollar nuevas recomendaciones para la conservación de todas las especies de tortugas marinas incluidas en el Apéndice I o II de la Convención, incluyendo la preservación de las actuales playas de anidación y la identificación de nuevas playas de anidación, para su presentación en la</w:t>
      </w:r>
      <w:r w:rsidR="0010442F">
        <w:rPr>
          <w:rFonts w:cs="Arial"/>
          <w:lang w:val="es-ES"/>
        </w:rPr>
        <w:t xml:space="preserve"> </w:t>
      </w:r>
      <w:r w:rsidRPr="0010442F">
        <w:rPr>
          <w:rFonts w:cs="Arial"/>
          <w:lang w:val="es-ES"/>
        </w:rPr>
        <w:t>15ª</w:t>
      </w:r>
      <w:r w:rsidRPr="00EA7EF9">
        <w:rPr>
          <w:rFonts w:cs="Arial"/>
          <w:lang w:val="es-ES"/>
        </w:rPr>
        <w:t xml:space="preserve"> Reunión de la Conferencia de las Parte</w:t>
      </w:r>
      <w:r>
        <w:rPr>
          <w:rFonts w:cs="Arial"/>
          <w:lang w:val="es-ES"/>
        </w:rPr>
        <w:t>s;</w:t>
      </w:r>
    </w:p>
    <w:p w14:paraId="6169BCEB" w14:textId="77777777" w:rsidR="00EA7EF9" w:rsidRPr="00EA7EF9" w:rsidRDefault="00EA7EF9" w:rsidP="003C64B0">
      <w:pPr>
        <w:spacing w:after="0" w:line="240" w:lineRule="auto"/>
        <w:ind w:left="1080" w:hanging="360"/>
        <w:jc w:val="both"/>
        <w:rPr>
          <w:rFonts w:cs="Arial"/>
          <w:u w:val="single"/>
          <w:lang w:val="es-ES"/>
        </w:rPr>
      </w:pPr>
    </w:p>
    <w:p w14:paraId="6DF628A0" w14:textId="6D92C487" w:rsidR="00776A5B" w:rsidRPr="004B7E07" w:rsidRDefault="00776A5B" w:rsidP="00776A5B">
      <w:pPr>
        <w:spacing w:after="0" w:line="240" w:lineRule="auto"/>
        <w:jc w:val="both"/>
        <w:rPr>
          <w:rFonts w:cs="Arial"/>
          <w:b/>
          <w:i/>
          <w:lang w:val="es-ES"/>
        </w:rPr>
      </w:pPr>
      <w:r w:rsidRPr="004B7E07">
        <w:rPr>
          <w:rFonts w:cs="Arial"/>
          <w:b/>
          <w:i/>
          <w:lang w:val="es-ES"/>
        </w:rPr>
        <w:t>Dirigido a la Secretaría</w:t>
      </w:r>
    </w:p>
    <w:p w14:paraId="17817DD6" w14:textId="77777777" w:rsidR="00776A5B" w:rsidRPr="004B7E07" w:rsidRDefault="00776A5B" w:rsidP="00776A5B">
      <w:pPr>
        <w:spacing w:after="0" w:line="240" w:lineRule="auto"/>
        <w:jc w:val="both"/>
        <w:rPr>
          <w:rFonts w:cs="Arial"/>
          <w:lang w:val="es-ES"/>
        </w:rPr>
      </w:pPr>
    </w:p>
    <w:p w14:paraId="5DC52A05" w14:textId="77777777" w:rsidR="00776A5B" w:rsidRPr="004B7E07" w:rsidRDefault="00776A5B" w:rsidP="0010442F">
      <w:pPr>
        <w:spacing w:after="0" w:line="240" w:lineRule="auto"/>
        <w:ind w:left="900" w:hanging="900"/>
        <w:jc w:val="both"/>
        <w:rPr>
          <w:rFonts w:cs="Arial"/>
          <w:iCs/>
          <w:lang w:val="es-ES"/>
        </w:rPr>
      </w:pPr>
      <w:r w:rsidRPr="004B7E07">
        <w:rPr>
          <w:rFonts w:cs="Arial"/>
          <w:lang w:val="es-ES"/>
        </w:rPr>
        <w:t>14.CC</w:t>
      </w:r>
      <w:r w:rsidRPr="004B7E07">
        <w:rPr>
          <w:rFonts w:cs="Arial"/>
          <w:lang w:val="es-ES"/>
        </w:rPr>
        <w:tab/>
        <w:t>La Secretaría, en función de la disponibilidad de recursos externos, debe:</w:t>
      </w:r>
    </w:p>
    <w:p w14:paraId="6FE9F341" w14:textId="77777777" w:rsidR="00776A5B" w:rsidRPr="004B7E07" w:rsidRDefault="00776A5B" w:rsidP="00776A5B">
      <w:pPr>
        <w:spacing w:after="0" w:line="240" w:lineRule="auto"/>
        <w:ind w:left="720" w:hanging="720"/>
        <w:jc w:val="both"/>
        <w:rPr>
          <w:rFonts w:cs="Arial"/>
          <w:iCs/>
          <w:lang w:val="es-ES"/>
        </w:rPr>
      </w:pPr>
    </w:p>
    <w:p w14:paraId="2859EBE6" w14:textId="77777777" w:rsidR="003C64B0" w:rsidRDefault="00776A5B" w:rsidP="0010442F">
      <w:pPr>
        <w:widowControl w:val="0"/>
        <w:numPr>
          <w:ilvl w:val="0"/>
          <w:numId w:val="16"/>
        </w:numPr>
        <w:autoSpaceDE w:val="0"/>
        <w:autoSpaceDN w:val="0"/>
        <w:adjustRightInd w:val="0"/>
        <w:spacing w:after="0" w:line="240" w:lineRule="auto"/>
        <w:ind w:left="1260"/>
        <w:jc w:val="both"/>
        <w:rPr>
          <w:rFonts w:cs="Arial"/>
          <w:lang w:val="es-ES"/>
        </w:rPr>
      </w:pPr>
      <w:r w:rsidRPr="00EA7EF9">
        <w:rPr>
          <w:rFonts w:cs="Arial"/>
          <w:lang w:val="es-ES"/>
        </w:rPr>
        <w:t>facilitar el análisis que debe llevar a cabo el Consejo Científico garantizando la financiación necesaria y el asesoramiento externo para elaborar borradores para que los revise el Consejo Científico; e</w:t>
      </w:r>
    </w:p>
    <w:p w14:paraId="670EE880" w14:textId="77777777" w:rsidR="003C64B0" w:rsidRDefault="003C64B0" w:rsidP="0010442F">
      <w:pPr>
        <w:widowControl w:val="0"/>
        <w:autoSpaceDE w:val="0"/>
        <w:autoSpaceDN w:val="0"/>
        <w:adjustRightInd w:val="0"/>
        <w:spacing w:after="0" w:line="240" w:lineRule="auto"/>
        <w:ind w:left="1260" w:hanging="360"/>
        <w:jc w:val="both"/>
        <w:rPr>
          <w:rFonts w:cs="Arial"/>
          <w:lang w:val="es-ES"/>
        </w:rPr>
      </w:pPr>
    </w:p>
    <w:p w14:paraId="3955F413" w14:textId="6FFBC24D" w:rsidR="00336B2B" w:rsidRPr="00EA7EF9" w:rsidRDefault="00776A5B" w:rsidP="0010442F">
      <w:pPr>
        <w:widowControl w:val="0"/>
        <w:numPr>
          <w:ilvl w:val="0"/>
          <w:numId w:val="16"/>
        </w:numPr>
        <w:autoSpaceDE w:val="0"/>
        <w:autoSpaceDN w:val="0"/>
        <w:adjustRightInd w:val="0"/>
        <w:spacing w:after="0" w:line="240" w:lineRule="auto"/>
        <w:ind w:left="1260"/>
        <w:jc w:val="both"/>
        <w:rPr>
          <w:rFonts w:cs="Arial"/>
          <w:lang w:val="es-ES"/>
        </w:rPr>
      </w:pPr>
      <w:r w:rsidRPr="00EA7EF9">
        <w:rPr>
          <w:rFonts w:cs="Arial"/>
          <w:lang w:val="es-ES"/>
        </w:rPr>
        <w:t>informar al Consejo Científico en la 7.</w:t>
      </w:r>
      <w:r w:rsidRPr="00EA7EF9">
        <w:rPr>
          <w:rFonts w:cs="Arial"/>
          <w:vertAlign w:val="superscript"/>
          <w:lang w:val="es-ES"/>
        </w:rPr>
        <w:t>ª</w:t>
      </w:r>
      <w:r w:rsidRPr="00EA7EF9">
        <w:rPr>
          <w:rFonts w:cs="Arial"/>
          <w:lang w:val="es-ES"/>
        </w:rPr>
        <w:t xml:space="preserve"> reunión de su Comité del Período de Sesiones acerca del avance en la implementación de esta Decisión.</w:t>
      </w:r>
    </w:p>
    <w:sectPr w:rsidR="00336B2B" w:rsidRPr="00EA7EF9" w:rsidSect="00776A5B">
      <w:headerReference w:type="even" r:id="rId26"/>
      <w:headerReference w:type="first" r:id="rId27"/>
      <w:footerReference w:type="first" r:id="rId2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3BBB8" w14:textId="77777777" w:rsidR="00350394" w:rsidRDefault="00350394" w:rsidP="00002A97">
      <w:pPr>
        <w:spacing w:after="0" w:line="240" w:lineRule="auto"/>
      </w:pPr>
      <w:r>
        <w:separator/>
      </w:r>
    </w:p>
  </w:endnote>
  <w:endnote w:type="continuationSeparator" w:id="0">
    <w:p w14:paraId="26340ABB" w14:textId="77777777" w:rsidR="00350394" w:rsidRDefault="00350394" w:rsidP="00002A97">
      <w:pPr>
        <w:spacing w:after="0" w:line="240" w:lineRule="auto"/>
      </w:pPr>
      <w:r>
        <w:continuationSeparator/>
      </w:r>
    </w:p>
  </w:endnote>
  <w:endnote w:type="continuationNotice" w:id="1">
    <w:p w14:paraId="652B5659" w14:textId="77777777" w:rsidR="00350394" w:rsidRDefault="003503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958C" w14:textId="476BFA32"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FF1F" w14:textId="7440E4F6" w:rsidR="00A7242F" w:rsidRPr="00A7242F" w:rsidRDefault="00A7242F">
    <w:pPr>
      <w:pStyle w:val="Footer"/>
      <w:jc w:val="center"/>
      <w:rPr>
        <w:sz w:val="18"/>
        <w:szCs w:val="18"/>
      </w:rPr>
    </w:pPr>
    <w:r w:rsidRPr="00A7242F">
      <w:rPr>
        <w:sz w:val="18"/>
        <w:szCs w:val="18"/>
      </w:rPr>
      <w:fldChar w:fldCharType="begin"/>
    </w:r>
    <w:r w:rsidRPr="00A7242F">
      <w:rPr>
        <w:sz w:val="18"/>
        <w:szCs w:val="18"/>
      </w:rPr>
      <w:instrText xml:space="preserve"> PAGE   \* MERGEFORMAT </w:instrText>
    </w:r>
    <w:r w:rsidRPr="00A7242F">
      <w:rPr>
        <w:sz w:val="18"/>
        <w:szCs w:val="18"/>
      </w:rPr>
      <w:fldChar w:fldCharType="separate"/>
    </w:r>
    <w:r w:rsidRPr="00A7242F">
      <w:rPr>
        <w:noProof/>
        <w:sz w:val="18"/>
        <w:szCs w:val="18"/>
      </w:rPr>
      <w:t>2</w:t>
    </w:r>
    <w:r w:rsidRPr="00A7242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27A12" w14:textId="77777777" w:rsidR="00350394" w:rsidRDefault="00350394" w:rsidP="00002A97">
      <w:pPr>
        <w:spacing w:after="0" w:line="240" w:lineRule="auto"/>
      </w:pPr>
      <w:r>
        <w:separator/>
      </w:r>
    </w:p>
  </w:footnote>
  <w:footnote w:type="continuationSeparator" w:id="0">
    <w:p w14:paraId="25D85F5D" w14:textId="77777777" w:rsidR="00350394" w:rsidRDefault="00350394" w:rsidP="00002A97">
      <w:pPr>
        <w:spacing w:after="0" w:line="240" w:lineRule="auto"/>
      </w:pPr>
      <w:r>
        <w:continuationSeparator/>
      </w:r>
    </w:p>
  </w:footnote>
  <w:footnote w:type="continuationNotice" w:id="1">
    <w:p w14:paraId="3F5D3A1B" w14:textId="77777777" w:rsidR="00350394" w:rsidRDefault="00350394">
      <w:pPr>
        <w:spacing w:after="0" w:line="240" w:lineRule="auto"/>
      </w:pPr>
    </w:p>
  </w:footnote>
  <w:footnote w:id="2">
    <w:p w14:paraId="73EB6794" w14:textId="77777777" w:rsidR="00A133AE" w:rsidRPr="00FA2F5D" w:rsidRDefault="00A133AE" w:rsidP="00A133AE">
      <w:pPr>
        <w:pStyle w:val="FootnoteText"/>
        <w:rPr>
          <w:sz w:val="16"/>
          <w:szCs w:val="16"/>
          <w:lang w:val="es-ES"/>
        </w:rPr>
      </w:pPr>
      <w:r w:rsidRPr="00FA2F5D">
        <w:rPr>
          <w:rStyle w:val="FootnoteReference"/>
          <w:sz w:val="16"/>
          <w:szCs w:val="16"/>
        </w:rPr>
        <w:footnoteRef/>
      </w:r>
      <w:r w:rsidRPr="00FA2F5D">
        <w:rPr>
          <w:sz w:val="16"/>
          <w:szCs w:val="16"/>
          <w:lang w:val="es-ES"/>
        </w:rPr>
        <w:t xml:space="preserve"> Resumen de la situación de las tortugas marinas en las listas de la CMS y en la Lista Roja de la UICN:</w:t>
      </w:r>
    </w:p>
    <w:tbl>
      <w:tblPr>
        <w:tblStyle w:val="TableGrid"/>
        <w:tblW w:w="0" w:type="auto"/>
        <w:tblInd w:w="562" w:type="dxa"/>
        <w:tblLook w:val="04A0" w:firstRow="1" w:lastRow="0" w:firstColumn="1" w:lastColumn="0" w:noHBand="0" w:noVBand="1"/>
      </w:tblPr>
      <w:tblGrid>
        <w:gridCol w:w="1015"/>
        <w:gridCol w:w="1418"/>
        <w:gridCol w:w="1763"/>
        <w:gridCol w:w="1778"/>
        <w:gridCol w:w="2480"/>
      </w:tblGrid>
      <w:tr w:rsidR="00A133AE" w:rsidRPr="00480F9B" w14:paraId="01854549" w14:textId="77777777">
        <w:tc>
          <w:tcPr>
            <w:tcW w:w="0" w:type="auto"/>
            <w:tcBorders>
              <w:top w:val="single" w:sz="4" w:space="0" w:color="auto"/>
              <w:left w:val="single" w:sz="4" w:space="0" w:color="auto"/>
              <w:bottom w:val="single" w:sz="4" w:space="0" w:color="auto"/>
              <w:right w:val="single" w:sz="4" w:space="0" w:color="auto"/>
            </w:tcBorders>
            <w:hideMark/>
          </w:tcPr>
          <w:p w14:paraId="28F17D3F" w14:textId="77777777" w:rsidR="00A133AE" w:rsidRPr="00FA2F5D" w:rsidRDefault="00A133AE">
            <w:pPr>
              <w:pStyle w:val="FootnoteText"/>
              <w:rPr>
                <w:b/>
                <w:bCs/>
                <w:sz w:val="16"/>
                <w:szCs w:val="16"/>
              </w:rPr>
            </w:pPr>
            <w:r w:rsidRPr="00FA2F5D">
              <w:rPr>
                <w:b/>
                <w:bCs/>
                <w:sz w:val="16"/>
                <w:szCs w:val="16"/>
              </w:rPr>
              <w:t>Nombre común</w:t>
            </w:r>
          </w:p>
        </w:tc>
        <w:tc>
          <w:tcPr>
            <w:tcW w:w="0" w:type="auto"/>
            <w:tcBorders>
              <w:top w:val="single" w:sz="4" w:space="0" w:color="auto"/>
              <w:left w:val="single" w:sz="4" w:space="0" w:color="auto"/>
              <w:bottom w:val="single" w:sz="4" w:space="0" w:color="auto"/>
              <w:right w:val="single" w:sz="4" w:space="0" w:color="auto"/>
            </w:tcBorders>
            <w:hideMark/>
          </w:tcPr>
          <w:p w14:paraId="535EAF3B" w14:textId="77777777" w:rsidR="00A133AE" w:rsidRPr="00FA2F5D" w:rsidRDefault="00A133AE">
            <w:pPr>
              <w:pStyle w:val="FootnoteText"/>
              <w:rPr>
                <w:b/>
                <w:bCs/>
                <w:sz w:val="16"/>
                <w:szCs w:val="16"/>
              </w:rPr>
            </w:pPr>
            <w:r w:rsidRPr="00FA2F5D">
              <w:rPr>
                <w:b/>
                <w:bCs/>
                <w:sz w:val="16"/>
                <w:szCs w:val="16"/>
              </w:rPr>
              <w:t>Nombre científico</w:t>
            </w:r>
          </w:p>
        </w:tc>
        <w:tc>
          <w:tcPr>
            <w:tcW w:w="0" w:type="auto"/>
            <w:tcBorders>
              <w:top w:val="single" w:sz="4" w:space="0" w:color="auto"/>
              <w:left w:val="single" w:sz="4" w:space="0" w:color="auto"/>
              <w:bottom w:val="single" w:sz="4" w:space="0" w:color="auto"/>
              <w:right w:val="single" w:sz="4" w:space="0" w:color="auto"/>
            </w:tcBorders>
            <w:hideMark/>
          </w:tcPr>
          <w:p w14:paraId="72754000" w14:textId="77777777" w:rsidR="00A133AE" w:rsidRPr="00FA2F5D" w:rsidRDefault="00A133AE">
            <w:pPr>
              <w:pStyle w:val="FootnoteText"/>
              <w:rPr>
                <w:b/>
                <w:bCs/>
                <w:sz w:val="16"/>
                <w:szCs w:val="16"/>
                <w:lang w:val="es-ES"/>
              </w:rPr>
            </w:pPr>
            <w:r w:rsidRPr="00FA2F5D">
              <w:rPr>
                <w:b/>
                <w:bCs/>
                <w:sz w:val="16"/>
                <w:szCs w:val="16"/>
                <w:lang w:val="es-ES"/>
              </w:rPr>
              <w:t>Año de inclusión en la lista del Apéndice I</w:t>
            </w:r>
          </w:p>
        </w:tc>
        <w:tc>
          <w:tcPr>
            <w:tcW w:w="0" w:type="auto"/>
            <w:tcBorders>
              <w:top w:val="single" w:sz="4" w:space="0" w:color="auto"/>
              <w:left w:val="single" w:sz="4" w:space="0" w:color="auto"/>
              <w:bottom w:val="single" w:sz="4" w:space="0" w:color="auto"/>
              <w:right w:val="single" w:sz="4" w:space="0" w:color="auto"/>
            </w:tcBorders>
            <w:hideMark/>
          </w:tcPr>
          <w:p w14:paraId="17252A7A" w14:textId="77777777" w:rsidR="00A133AE" w:rsidRPr="00FA2F5D" w:rsidRDefault="00A133AE">
            <w:pPr>
              <w:pStyle w:val="FootnoteText"/>
              <w:rPr>
                <w:b/>
                <w:bCs/>
                <w:sz w:val="16"/>
                <w:szCs w:val="16"/>
                <w:lang w:val="es-ES"/>
              </w:rPr>
            </w:pPr>
            <w:r w:rsidRPr="00FA2F5D">
              <w:rPr>
                <w:b/>
                <w:bCs/>
                <w:sz w:val="16"/>
                <w:szCs w:val="16"/>
                <w:lang w:val="es-ES"/>
              </w:rPr>
              <w:t>Año de inclusión en la lista del Apéndice II</w:t>
            </w:r>
          </w:p>
        </w:tc>
        <w:tc>
          <w:tcPr>
            <w:tcW w:w="0" w:type="auto"/>
            <w:tcBorders>
              <w:top w:val="single" w:sz="4" w:space="0" w:color="auto"/>
              <w:left w:val="single" w:sz="4" w:space="0" w:color="auto"/>
              <w:bottom w:val="single" w:sz="4" w:space="0" w:color="auto"/>
              <w:right w:val="single" w:sz="4" w:space="0" w:color="auto"/>
            </w:tcBorders>
            <w:hideMark/>
          </w:tcPr>
          <w:p w14:paraId="07DB4225" w14:textId="77777777" w:rsidR="00A133AE" w:rsidRPr="00FA2F5D" w:rsidRDefault="00A133AE">
            <w:pPr>
              <w:pStyle w:val="FootnoteText"/>
              <w:rPr>
                <w:b/>
                <w:bCs/>
                <w:sz w:val="16"/>
                <w:szCs w:val="16"/>
                <w:lang w:val="es-ES"/>
              </w:rPr>
            </w:pPr>
            <w:r w:rsidRPr="00FA2F5D">
              <w:rPr>
                <w:b/>
                <w:bCs/>
                <w:sz w:val="16"/>
                <w:szCs w:val="16"/>
                <w:lang w:val="es-ES"/>
              </w:rPr>
              <w:t>Situación y tendencias a nivel global de la Lista Roja de la UICN</w:t>
            </w:r>
            <w:r w:rsidRPr="00FA2F5D">
              <w:rPr>
                <w:b/>
                <w:bCs/>
                <w:sz w:val="16"/>
                <w:szCs w:val="16"/>
                <w:vertAlign w:val="superscript"/>
              </w:rPr>
              <w:footnoteRef/>
            </w:r>
          </w:p>
        </w:tc>
      </w:tr>
      <w:tr w:rsidR="00A133AE" w:rsidRPr="00FA2F5D" w14:paraId="3673AE4B" w14:textId="77777777">
        <w:tc>
          <w:tcPr>
            <w:tcW w:w="0" w:type="auto"/>
            <w:tcBorders>
              <w:top w:val="single" w:sz="4" w:space="0" w:color="auto"/>
              <w:left w:val="single" w:sz="4" w:space="0" w:color="auto"/>
              <w:bottom w:val="single" w:sz="4" w:space="0" w:color="auto"/>
              <w:right w:val="single" w:sz="4" w:space="0" w:color="auto"/>
            </w:tcBorders>
            <w:hideMark/>
          </w:tcPr>
          <w:p w14:paraId="70BFABB4" w14:textId="77777777" w:rsidR="00A133AE" w:rsidRPr="00FA2F5D" w:rsidRDefault="00A133AE">
            <w:pPr>
              <w:pStyle w:val="FootnoteText"/>
              <w:rPr>
                <w:sz w:val="16"/>
                <w:szCs w:val="16"/>
              </w:rPr>
            </w:pPr>
            <w:r w:rsidRPr="00FA2F5D">
              <w:rPr>
                <w:sz w:val="16"/>
                <w:szCs w:val="16"/>
              </w:rPr>
              <w:t>Tortuga verde</w:t>
            </w:r>
          </w:p>
        </w:tc>
        <w:tc>
          <w:tcPr>
            <w:tcW w:w="0" w:type="auto"/>
            <w:tcBorders>
              <w:top w:val="single" w:sz="4" w:space="0" w:color="auto"/>
              <w:left w:val="single" w:sz="4" w:space="0" w:color="auto"/>
              <w:bottom w:val="single" w:sz="4" w:space="0" w:color="auto"/>
              <w:right w:val="single" w:sz="4" w:space="0" w:color="auto"/>
            </w:tcBorders>
            <w:hideMark/>
          </w:tcPr>
          <w:p w14:paraId="042AFC5A" w14:textId="77777777" w:rsidR="00A133AE" w:rsidRPr="00FA2F5D" w:rsidRDefault="00A133AE">
            <w:pPr>
              <w:pStyle w:val="FootnoteText"/>
              <w:rPr>
                <w:i/>
                <w:iCs/>
                <w:sz w:val="16"/>
                <w:szCs w:val="16"/>
              </w:rPr>
            </w:pPr>
            <w:r w:rsidRPr="00FA2F5D">
              <w:rPr>
                <w:i/>
                <w:iCs/>
                <w:sz w:val="16"/>
                <w:szCs w:val="16"/>
              </w:rPr>
              <w:t>Chelonia mydas</w:t>
            </w:r>
          </w:p>
        </w:tc>
        <w:tc>
          <w:tcPr>
            <w:tcW w:w="0" w:type="auto"/>
            <w:tcBorders>
              <w:top w:val="single" w:sz="4" w:space="0" w:color="auto"/>
              <w:left w:val="single" w:sz="4" w:space="0" w:color="auto"/>
              <w:bottom w:val="single" w:sz="4" w:space="0" w:color="auto"/>
              <w:right w:val="single" w:sz="4" w:space="0" w:color="auto"/>
            </w:tcBorders>
            <w:hideMark/>
          </w:tcPr>
          <w:p w14:paraId="001FAD31" w14:textId="77777777" w:rsidR="00A133AE" w:rsidRPr="00FA2F5D" w:rsidRDefault="00A133AE">
            <w:pPr>
              <w:pStyle w:val="FootnoteText"/>
              <w:rPr>
                <w:sz w:val="16"/>
                <w:szCs w:val="16"/>
              </w:rPr>
            </w:pPr>
            <w:r w:rsidRPr="00FA2F5D">
              <w:rPr>
                <w:sz w:val="16"/>
                <w:szCs w:val="16"/>
              </w:rPr>
              <w:t>1979</w:t>
            </w:r>
          </w:p>
        </w:tc>
        <w:tc>
          <w:tcPr>
            <w:tcW w:w="0" w:type="auto"/>
            <w:tcBorders>
              <w:top w:val="single" w:sz="4" w:space="0" w:color="auto"/>
              <w:left w:val="single" w:sz="4" w:space="0" w:color="auto"/>
              <w:bottom w:val="single" w:sz="4" w:space="0" w:color="auto"/>
              <w:right w:val="single" w:sz="4" w:space="0" w:color="auto"/>
            </w:tcBorders>
            <w:hideMark/>
          </w:tcPr>
          <w:p w14:paraId="5A43CF85" w14:textId="77777777" w:rsidR="00A133AE" w:rsidRPr="00FA2F5D" w:rsidRDefault="00A133AE">
            <w:pPr>
              <w:pStyle w:val="FootnoteText"/>
              <w:rPr>
                <w:sz w:val="16"/>
                <w:szCs w:val="16"/>
              </w:rPr>
            </w:pPr>
            <w:r w:rsidRPr="00FA2F5D">
              <w:rPr>
                <w:sz w:val="16"/>
                <w:szCs w:val="16"/>
              </w:rPr>
              <w:t>1979</w:t>
            </w:r>
          </w:p>
        </w:tc>
        <w:tc>
          <w:tcPr>
            <w:tcW w:w="0" w:type="auto"/>
            <w:tcBorders>
              <w:top w:val="single" w:sz="4" w:space="0" w:color="auto"/>
              <w:left w:val="single" w:sz="4" w:space="0" w:color="auto"/>
              <w:bottom w:val="single" w:sz="4" w:space="0" w:color="auto"/>
              <w:right w:val="single" w:sz="4" w:space="0" w:color="auto"/>
            </w:tcBorders>
            <w:hideMark/>
          </w:tcPr>
          <w:p w14:paraId="767D0D49" w14:textId="77777777" w:rsidR="00A133AE" w:rsidRPr="00FA2F5D" w:rsidRDefault="00A133AE">
            <w:pPr>
              <w:pStyle w:val="FootnoteText"/>
              <w:rPr>
                <w:sz w:val="16"/>
                <w:szCs w:val="16"/>
              </w:rPr>
            </w:pPr>
            <w:r w:rsidRPr="00FA2F5D">
              <w:rPr>
                <w:sz w:val="16"/>
                <w:szCs w:val="16"/>
              </w:rPr>
              <w:t>EN (decreciente)</w:t>
            </w:r>
          </w:p>
        </w:tc>
      </w:tr>
      <w:tr w:rsidR="00A133AE" w:rsidRPr="00FA2F5D" w14:paraId="525A1EA0" w14:textId="77777777">
        <w:tc>
          <w:tcPr>
            <w:tcW w:w="0" w:type="auto"/>
            <w:tcBorders>
              <w:top w:val="single" w:sz="4" w:space="0" w:color="auto"/>
              <w:left w:val="single" w:sz="4" w:space="0" w:color="auto"/>
              <w:bottom w:val="single" w:sz="4" w:space="0" w:color="auto"/>
              <w:right w:val="single" w:sz="4" w:space="0" w:color="auto"/>
            </w:tcBorders>
            <w:hideMark/>
          </w:tcPr>
          <w:p w14:paraId="0EF247FE" w14:textId="77777777" w:rsidR="00A133AE" w:rsidRPr="00FA2F5D" w:rsidRDefault="00A133AE">
            <w:pPr>
              <w:pStyle w:val="FootnoteText"/>
              <w:rPr>
                <w:sz w:val="16"/>
                <w:szCs w:val="16"/>
              </w:rPr>
            </w:pPr>
            <w:r w:rsidRPr="00FA2F5D">
              <w:rPr>
                <w:sz w:val="16"/>
                <w:szCs w:val="16"/>
              </w:rPr>
              <w:t>Tortuga boba</w:t>
            </w:r>
          </w:p>
        </w:tc>
        <w:tc>
          <w:tcPr>
            <w:tcW w:w="0" w:type="auto"/>
            <w:tcBorders>
              <w:top w:val="single" w:sz="4" w:space="0" w:color="auto"/>
              <w:left w:val="single" w:sz="4" w:space="0" w:color="auto"/>
              <w:bottom w:val="single" w:sz="4" w:space="0" w:color="auto"/>
              <w:right w:val="single" w:sz="4" w:space="0" w:color="auto"/>
            </w:tcBorders>
            <w:hideMark/>
          </w:tcPr>
          <w:p w14:paraId="7FC09F74" w14:textId="77777777" w:rsidR="00A133AE" w:rsidRPr="00FA2F5D" w:rsidRDefault="00A133AE">
            <w:pPr>
              <w:pStyle w:val="FootnoteText"/>
              <w:rPr>
                <w:i/>
                <w:iCs/>
                <w:sz w:val="16"/>
                <w:szCs w:val="16"/>
              </w:rPr>
            </w:pPr>
            <w:r w:rsidRPr="00FA2F5D">
              <w:rPr>
                <w:i/>
                <w:iCs/>
                <w:sz w:val="16"/>
                <w:szCs w:val="16"/>
              </w:rPr>
              <w:t>Caretta caretta</w:t>
            </w:r>
          </w:p>
        </w:tc>
        <w:tc>
          <w:tcPr>
            <w:tcW w:w="0" w:type="auto"/>
            <w:tcBorders>
              <w:top w:val="single" w:sz="4" w:space="0" w:color="auto"/>
              <w:left w:val="single" w:sz="4" w:space="0" w:color="auto"/>
              <w:bottom w:val="single" w:sz="4" w:space="0" w:color="auto"/>
              <w:right w:val="single" w:sz="4" w:space="0" w:color="auto"/>
            </w:tcBorders>
            <w:hideMark/>
          </w:tcPr>
          <w:p w14:paraId="1BB23096" w14:textId="77777777" w:rsidR="00A133AE" w:rsidRPr="00FA2F5D" w:rsidRDefault="00A133AE">
            <w:pPr>
              <w:pStyle w:val="FootnoteText"/>
              <w:rPr>
                <w:sz w:val="16"/>
                <w:szCs w:val="16"/>
              </w:rPr>
            </w:pPr>
            <w:r w:rsidRPr="00FA2F5D">
              <w:rPr>
                <w:sz w:val="16"/>
                <w:szCs w:val="16"/>
              </w:rPr>
              <w:t>1985</w:t>
            </w:r>
          </w:p>
        </w:tc>
        <w:tc>
          <w:tcPr>
            <w:tcW w:w="0" w:type="auto"/>
            <w:tcBorders>
              <w:top w:val="single" w:sz="4" w:space="0" w:color="auto"/>
              <w:left w:val="single" w:sz="4" w:space="0" w:color="auto"/>
              <w:bottom w:val="single" w:sz="4" w:space="0" w:color="auto"/>
              <w:right w:val="single" w:sz="4" w:space="0" w:color="auto"/>
            </w:tcBorders>
            <w:hideMark/>
          </w:tcPr>
          <w:p w14:paraId="1DFE9F52" w14:textId="77777777" w:rsidR="00A133AE" w:rsidRPr="00FA2F5D" w:rsidRDefault="00A133AE">
            <w:pPr>
              <w:pStyle w:val="FootnoteText"/>
              <w:rPr>
                <w:sz w:val="16"/>
                <w:szCs w:val="16"/>
              </w:rPr>
            </w:pPr>
            <w:r w:rsidRPr="00FA2F5D">
              <w:rPr>
                <w:sz w:val="16"/>
                <w:szCs w:val="16"/>
              </w:rPr>
              <w:t>1979</w:t>
            </w:r>
          </w:p>
        </w:tc>
        <w:tc>
          <w:tcPr>
            <w:tcW w:w="0" w:type="auto"/>
            <w:tcBorders>
              <w:top w:val="single" w:sz="4" w:space="0" w:color="auto"/>
              <w:left w:val="single" w:sz="4" w:space="0" w:color="auto"/>
              <w:bottom w:val="single" w:sz="4" w:space="0" w:color="auto"/>
              <w:right w:val="single" w:sz="4" w:space="0" w:color="auto"/>
            </w:tcBorders>
            <w:hideMark/>
          </w:tcPr>
          <w:p w14:paraId="4C32C270" w14:textId="77777777" w:rsidR="00A133AE" w:rsidRPr="00FA2F5D" w:rsidRDefault="00A133AE">
            <w:pPr>
              <w:pStyle w:val="FootnoteText"/>
              <w:rPr>
                <w:sz w:val="16"/>
                <w:szCs w:val="16"/>
              </w:rPr>
            </w:pPr>
            <w:r w:rsidRPr="00FA2F5D">
              <w:rPr>
                <w:sz w:val="16"/>
                <w:szCs w:val="16"/>
              </w:rPr>
              <w:t>VU (decreciente)</w:t>
            </w:r>
          </w:p>
        </w:tc>
      </w:tr>
      <w:tr w:rsidR="00A133AE" w:rsidRPr="00FA2F5D" w14:paraId="4BEEC1DD" w14:textId="77777777">
        <w:tc>
          <w:tcPr>
            <w:tcW w:w="0" w:type="auto"/>
            <w:tcBorders>
              <w:top w:val="single" w:sz="4" w:space="0" w:color="auto"/>
              <w:left w:val="single" w:sz="4" w:space="0" w:color="auto"/>
              <w:bottom w:val="single" w:sz="4" w:space="0" w:color="auto"/>
              <w:right w:val="single" w:sz="4" w:space="0" w:color="auto"/>
            </w:tcBorders>
            <w:hideMark/>
          </w:tcPr>
          <w:p w14:paraId="6655B517" w14:textId="77777777" w:rsidR="00A133AE" w:rsidRPr="00FA2F5D" w:rsidRDefault="00A133AE">
            <w:pPr>
              <w:pStyle w:val="FootnoteText"/>
              <w:rPr>
                <w:sz w:val="16"/>
                <w:szCs w:val="16"/>
              </w:rPr>
            </w:pPr>
            <w:r w:rsidRPr="00FA2F5D">
              <w:rPr>
                <w:sz w:val="16"/>
                <w:szCs w:val="16"/>
              </w:rPr>
              <w:t>Tortuga carey</w:t>
            </w:r>
          </w:p>
        </w:tc>
        <w:tc>
          <w:tcPr>
            <w:tcW w:w="0" w:type="auto"/>
            <w:tcBorders>
              <w:top w:val="single" w:sz="4" w:space="0" w:color="auto"/>
              <w:left w:val="single" w:sz="4" w:space="0" w:color="auto"/>
              <w:bottom w:val="single" w:sz="4" w:space="0" w:color="auto"/>
              <w:right w:val="single" w:sz="4" w:space="0" w:color="auto"/>
            </w:tcBorders>
            <w:hideMark/>
          </w:tcPr>
          <w:p w14:paraId="011132D0" w14:textId="77777777" w:rsidR="00A133AE" w:rsidRPr="00FA2F5D" w:rsidRDefault="00A133AE">
            <w:pPr>
              <w:pStyle w:val="FootnoteText"/>
              <w:rPr>
                <w:i/>
                <w:iCs/>
                <w:sz w:val="16"/>
                <w:szCs w:val="16"/>
              </w:rPr>
            </w:pPr>
            <w:r w:rsidRPr="00FA2F5D">
              <w:rPr>
                <w:i/>
                <w:iCs/>
                <w:sz w:val="16"/>
                <w:szCs w:val="16"/>
              </w:rPr>
              <w:t>Eretmochelys imbricata</w:t>
            </w:r>
          </w:p>
        </w:tc>
        <w:tc>
          <w:tcPr>
            <w:tcW w:w="0" w:type="auto"/>
            <w:tcBorders>
              <w:top w:val="single" w:sz="4" w:space="0" w:color="auto"/>
              <w:left w:val="single" w:sz="4" w:space="0" w:color="auto"/>
              <w:bottom w:val="single" w:sz="4" w:space="0" w:color="auto"/>
              <w:right w:val="single" w:sz="4" w:space="0" w:color="auto"/>
            </w:tcBorders>
            <w:hideMark/>
          </w:tcPr>
          <w:p w14:paraId="0BD707EB" w14:textId="77777777" w:rsidR="00A133AE" w:rsidRPr="00FA2F5D" w:rsidRDefault="00A133AE">
            <w:pPr>
              <w:pStyle w:val="FootnoteText"/>
              <w:rPr>
                <w:sz w:val="16"/>
                <w:szCs w:val="16"/>
              </w:rPr>
            </w:pPr>
            <w:r w:rsidRPr="00FA2F5D">
              <w:rPr>
                <w:sz w:val="16"/>
                <w:szCs w:val="16"/>
              </w:rPr>
              <w:t>1985</w:t>
            </w:r>
          </w:p>
        </w:tc>
        <w:tc>
          <w:tcPr>
            <w:tcW w:w="0" w:type="auto"/>
            <w:tcBorders>
              <w:top w:val="single" w:sz="4" w:space="0" w:color="auto"/>
              <w:left w:val="single" w:sz="4" w:space="0" w:color="auto"/>
              <w:bottom w:val="single" w:sz="4" w:space="0" w:color="auto"/>
              <w:right w:val="single" w:sz="4" w:space="0" w:color="auto"/>
            </w:tcBorders>
            <w:hideMark/>
          </w:tcPr>
          <w:p w14:paraId="5357783F" w14:textId="77777777" w:rsidR="00A133AE" w:rsidRPr="00FA2F5D" w:rsidRDefault="00A133AE">
            <w:pPr>
              <w:pStyle w:val="FootnoteText"/>
              <w:rPr>
                <w:sz w:val="16"/>
                <w:szCs w:val="16"/>
              </w:rPr>
            </w:pPr>
            <w:r w:rsidRPr="00FA2F5D">
              <w:rPr>
                <w:sz w:val="16"/>
                <w:szCs w:val="16"/>
              </w:rPr>
              <w:t>1979</w:t>
            </w:r>
          </w:p>
        </w:tc>
        <w:tc>
          <w:tcPr>
            <w:tcW w:w="0" w:type="auto"/>
            <w:tcBorders>
              <w:top w:val="single" w:sz="4" w:space="0" w:color="auto"/>
              <w:left w:val="single" w:sz="4" w:space="0" w:color="auto"/>
              <w:bottom w:val="single" w:sz="4" w:space="0" w:color="auto"/>
              <w:right w:val="single" w:sz="4" w:space="0" w:color="auto"/>
            </w:tcBorders>
            <w:hideMark/>
          </w:tcPr>
          <w:p w14:paraId="5DACDEDE" w14:textId="77777777" w:rsidR="00A133AE" w:rsidRPr="00FA2F5D" w:rsidRDefault="00A133AE">
            <w:pPr>
              <w:pStyle w:val="FootnoteText"/>
              <w:rPr>
                <w:sz w:val="16"/>
                <w:szCs w:val="16"/>
              </w:rPr>
            </w:pPr>
            <w:r w:rsidRPr="00FA2F5D">
              <w:rPr>
                <w:sz w:val="16"/>
                <w:szCs w:val="16"/>
              </w:rPr>
              <w:t>CR (decreciente)</w:t>
            </w:r>
          </w:p>
        </w:tc>
      </w:tr>
      <w:tr w:rsidR="00A133AE" w:rsidRPr="00FA2F5D" w14:paraId="72E4830B" w14:textId="77777777">
        <w:tc>
          <w:tcPr>
            <w:tcW w:w="0" w:type="auto"/>
            <w:tcBorders>
              <w:top w:val="single" w:sz="4" w:space="0" w:color="auto"/>
              <w:left w:val="single" w:sz="4" w:space="0" w:color="auto"/>
              <w:bottom w:val="single" w:sz="4" w:space="0" w:color="auto"/>
              <w:right w:val="single" w:sz="4" w:space="0" w:color="auto"/>
            </w:tcBorders>
            <w:hideMark/>
          </w:tcPr>
          <w:p w14:paraId="2190259C" w14:textId="77777777" w:rsidR="00A133AE" w:rsidRPr="00FA2F5D" w:rsidRDefault="00A133AE">
            <w:pPr>
              <w:pStyle w:val="FootnoteText"/>
              <w:rPr>
                <w:sz w:val="16"/>
                <w:szCs w:val="16"/>
              </w:rPr>
            </w:pPr>
            <w:r w:rsidRPr="00FA2F5D">
              <w:rPr>
                <w:sz w:val="16"/>
                <w:szCs w:val="16"/>
              </w:rPr>
              <w:t>Tortuga lora</w:t>
            </w:r>
          </w:p>
        </w:tc>
        <w:tc>
          <w:tcPr>
            <w:tcW w:w="0" w:type="auto"/>
            <w:tcBorders>
              <w:top w:val="single" w:sz="4" w:space="0" w:color="auto"/>
              <w:left w:val="single" w:sz="4" w:space="0" w:color="auto"/>
              <w:bottom w:val="single" w:sz="4" w:space="0" w:color="auto"/>
              <w:right w:val="single" w:sz="4" w:space="0" w:color="auto"/>
            </w:tcBorders>
            <w:hideMark/>
          </w:tcPr>
          <w:p w14:paraId="31FFA1D9" w14:textId="77777777" w:rsidR="00A133AE" w:rsidRPr="00FA2F5D" w:rsidRDefault="00A133AE">
            <w:pPr>
              <w:pStyle w:val="FootnoteText"/>
              <w:rPr>
                <w:i/>
                <w:iCs/>
                <w:sz w:val="16"/>
                <w:szCs w:val="16"/>
              </w:rPr>
            </w:pPr>
            <w:r w:rsidRPr="00FA2F5D">
              <w:rPr>
                <w:i/>
                <w:iCs/>
                <w:sz w:val="16"/>
                <w:szCs w:val="16"/>
              </w:rPr>
              <w:t>Lepidochelys kempii</w:t>
            </w:r>
          </w:p>
        </w:tc>
        <w:tc>
          <w:tcPr>
            <w:tcW w:w="0" w:type="auto"/>
            <w:tcBorders>
              <w:top w:val="single" w:sz="4" w:space="0" w:color="auto"/>
              <w:left w:val="single" w:sz="4" w:space="0" w:color="auto"/>
              <w:bottom w:val="single" w:sz="4" w:space="0" w:color="auto"/>
              <w:right w:val="single" w:sz="4" w:space="0" w:color="auto"/>
            </w:tcBorders>
            <w:hideMark/>
          </w:tcPr>
          <w:p w14:paraId="36F0C2F2" w14:textId="77777777" w:rsidR="00A133AE" w:rsidRPr="00FA2F5D" w:rsidRDefault="00A133AE">
            <w:pPr>
              <w:pStyle w:val="FootnoteText"/>
              <w:rPr>
                <w:sz w:val="16"/>
                <w:szCs w:val="16"/>
              </w:rPr>
            </w:pPr>
            <w:r w:rsidRPr="00FA2F5D">
              <w:rPr>
                <w:sz w:val="16"/>
                <w:szCs w:val="16"/>
              </w:rPr>
              <w:t>1979</w:t>
            </w:r>
          </w:p>
        </w:tc>
        <w:tc>
          <w:tcPr>
            <w:tcW w:w="0" w:type="auto"/>
            <w:tcBorders>
              <w:top w:val="single" w:sz="4" w:space="0" w:color="auto"/>
              <w:left w:val="single" w:sz="4" w:space="0" w:color="auto"/>
              <w:bottom w:val="single" w:sz="4" w:space="0" w:color="auto"/>
              <w:right w:val="single" w:sz="4" w:space="0" w:color="auto"/>
            </w:tcBorders>
            <w:hideMark/>
          </w:tcPr>
          <w:p w14:paraId="4D7391D5" w14:textId="77777777" w:rsidR="00A133AE" w:rsidRPr="00FA2F5D" w:rsidRDefault="00A133AE">
            <w:pPr>
              <w:pStyle w:val="FootnoteText"/>
              <w:rPr>
                <w:sz w:val="16"/>
                <w:szCs w:val="16"/>
              </w:rPr>
            </w:pPr>
            <w:r w:rsidRPr="00FA2F5D">
              <w:rPr>
                <w:sz w:val="16"/>
                <w:szCs w:val="16"/>
              </w:rPr>
              <w:t>1979</w:t>
            </w:r>
          </w:p>
        </w:tc>
        <w:tc>
          <w:tcPr>
            <w:tcW w:w="0" w:type="auto"/>
            <w:tcBorders>
              <w:top w:val="single" w:sz="4" w:space="0" w:color="auto"/>
              <w:left w:val="single" w:sz="4" w:space="0" w:color="auto"/>
              <w:bottom w:val="single" w:sz="4" w:space="0" w:color="auto"/>
              <w:right w:val="single" w:sz="4" w:space="0" w:color="auto"/>
            </w:tcBorders>
            <w:hideMark/>
          </w:tcPr>
          <w:p w14:paraId="65AE8300" w14:textId="77777777" w:rsidR="00A133AE" w:rsidRPr="00FA2F5D" w:rsidRDefault="00A133AE">
            <w:pPr>
              <w:pStyle w:val="FootnoteText"/>
              <w:rPr>
                <w:sz w:val="16"/>
                <w:szCs w:val="16"/>
              </w:rPr>
            </w:pPr>
            <w:r w:rsidRPr="00FA2F5D">
              <w:rPr>
                <w:sz w:val="16"/>
                <w:szCs w:val="16"/>
              </w:rPr>
              <w:t>CR (se desconoce)</w:t>
            </w:r>
          </w:p>
        </w:tc>
      </w:tr>
      <w:tr w:rsidR="00A133AE" w:rsidRPr="00FA2F5D" w14:paraId="4ED6FA25" w14:textId="77777777">
        <w:tc>
          <w:tcPr>
            <w:tcW w:w="0" w:type="auto"/>
            <w:tcBorders>
              <w:top w:val="single" w:sz="4" w:space="0" w:color="auto"/>
              <w:left w:val="single" w:sz="4" w:space="0" w:color="auto"/>
              <w:bottom w:val="single" w:sz="4" w:space="0" w:color="auto"/>
              <w:right w:val="single" w:sz="4" w:space="0" w:color="auto"/>
            </w:tcBorders>
            <w:hideMark/>
          </w:tcPr>
          <w:p w14:paraId="43843A5A" w14:textId="77777777" w:rsidR="00A133AE" w:rsidRPr="00FA2F5D" w:rsidRDefault="00A133AE">
            <w:pPr>
              <w:pStyle w:val="FootnoteText"/>
              <w:rPr>
                <w:sz w:val="16"/>
                <w:szCs w:val="16"/>
              </w:rPr>
            </w:pPr>
            <w:r w:rsidRPr="00FA2F5D">
              <w:rPr>
                <w:sz w:val="16"/>
                <w:szCs w:val="16"/>
              </w:rPr>
              <w:t>Tortuga olivácea</w:t>
            </w:r>
          </w:p>
        </w:tc>
        <w:tc>
          <w:tcPr>
            <w:tcW w:w="0" w:type="auto"/>
            <w:tcBorders>
              <w:top w:val="single" w:sz="4" w:space="0" w:color="auto"/>
              <w:left w:val="single" w:sz="4" w:space="0" w:color="auto"/>
              <w:bottom w:val="single" w:sz="4" w:space="0" w:color="auto"/>
              <w:right w:val="single" w:sz="4" w:space="0" w:color="auto"/>
            </w:tcBorders>
            <w:hideMark/>
          </w:tcPr>
          <w:p w14:paraId="42BF6430" w14:textId="77777777" w:rsidR="00A133AE" w:rsidRPr="00FA2F5D" w:rsidRDefault="00A133AE">
            <w:pPr>
              <w:pStyle w:val="FootnoteText"/>
              <w:rPr>
                <w:i/>
                <w:iCs/>
                <w:sz w:val="16"/>
                <w:szCs w:val="16"/>
              </w:rPr>
            </w:pPr>
            <w:r w:rsidRPr="00FA2F5D">
              <w:rPr>
                <w:i/>
                <w:iCs/>
                <w:sz w:val="16"/>
                <w:szCs w:val="16"/>
              </w:rPr>
              <w:t>Lepidochelys olivacea</w:t>
            </w:r>
          </w:p>
        </w:tc>
        <w:tc>
          <w:tcPr>
            <w:tcW w:w="0" w:type="auto"/>
            <w:tcBorders>
              <w:top w:val="single" w:sz="4" w:space="0" w:color="auto"/>
              <w:left w:val="single" w:sz="4" w:space="0" w:color="auto"/>
              <w:bottom w:val="single" w:sz="4" w:space="0" w:color="auto"/>
              <w:right w:val="single" w:sz="4" w:space="0" w:color="auto"/>
            </w:tcBorders>
            <w:hideMark/>
          </w:tcPr>
          <w:p w14:paraId="437368F1" w14:textId="77777777" w:rsidR="00A133AE" w:rsidRPr="00FA2F5D" w:rsidRDefault="00A133AE">
            <w:pPr>
              <w:pStyle w:val="FootnoteText"/>
              <w:rPr>
                <w:sz w:val="16"/>
                <w:szCs w:val="16"/>
              </w:rPr>
            </w:pPr>
            <w:r w:rsidRPr="00FA2F5D">
              <w:rPr>
                <w:sz w:val="16"/>
                <w:szCs w:val="16"/>
              </w:rPr>
              <w:t>1985</w:t>
            </w:r>
          </w:p>
        </w:tc>
        <w:tc>
          <w:tcPr>
            <w:tcW w:w="0" w:type="auto"/>
            <w:tcBorders>
              <w:top w:val="single" w:sz="4" w:space="0" w:color="auto"/>
              <w:left w:val="single" w:sz="4" w:space="0" w:color="auto"/>
              <w:bottom w:val="single" w:sz="4" w:space="0" w:color="auto"/>
              <w:right w:val="single" w:sz="4" w:space="0" w:color="auto"/>
            </w:tcBorders>
            <w:hideMark/>
          </w:tcPr>
          <w:p w14:paraId="3D8DC7C8" w14:textId="77777777" w:rsidR="00A133AE" w:rsidRPr="00FA2F5D" w:rsidRDefault="00A133AE">
            <w:pPr>
              <w:pStyle w:val="FootnoteText"/>
              <w:rPr>
                <w:sz w:val="16"/>
                <w:szCs w:val="16"/>
              </w:rPr>
            </w:pPr>
            <w:r w:rsidRPr="00FA2F5D">
              <w:rPr>
                <w:sz w:val="16"/>
                <w:szCs w:val="16"/>
              </w:rPr>
              <w:t>1979</w:t>
            </w:r>
          </w:p>
        </w:tc>
        <w:tc>
          <w:tcPr>
            <w:tcW w:w="0" w:type="auto"/>
            <w:tcBorders>
              <w:top w:val="single" w:sz="4" w:space="0" w:color="auto"/>
              <w:left w:val="single" w:sz="4" w:space="0" w:color="auto"/>
              <w:bottom w:val="single" w:sz="4" w:space="0" w:color="auto"/>
              <w:right w:val="single" w:sz="4" w:space="0" w:color="auto"/>
            </w:tcBorders>
            <w:hideMark/>
          </w:tcPr>
          <w:p w14:paraId="03362285" w14:textId="77777777" w:rsidR="00A133AE" w:rsidRPr="00FA2F5D" w:rsidRDefault="00A133AE">
            <w:pPr>
              <w:pStyle w:val="FootnoteText"/>
              <w:rPr>
                <w:sz w:val="16"/>
                <w:szCs w:val="16"/>
              </w:rPr>
            </w:pPr>
            <w:r w:rsidRPr="00FA2F5D">
              <w:rPr>
                <w:sz w:val="16"/>
                <w:szCs w:val="16"/>
              </w:rPr>
              <w:t>VU (decreciente)</w:t>
            </w:r>
          </w:p>
        </w:tc>
      </w:tr>
      <w:tr w:rsidR="00A133AE" w:rsidRPr="00FA2F5D" w14:paraId="7EF751F3" w14:textId="77777777">
        <w:tc>
          <w:tcPr>
            <w:tcW w:w="0" w:type="auto"/>
            <w:tcBorders>
              <w:top w:val="single" w:sz="4" w:space="0" w:color="auto"/>
              <w:left w:val="single" w:sz="4" w:space="0" w:color="auto"/>
              <w:bottom w:val="single" w:sz="4" w:space="0" w:color="auto"/>
              <w:right w:val="single" w:sz="4" w:space="0" w:color="auto"/>
            </w:tcBorders>
            <w:hideMark/>
          </w:tcPr>
          <w:p w14:paraId="28472F44" w14:textId="77777777" w:rsidR="00A133AE" w:rsidRPr="00FA2F5D" w:rsidRDefault="00A133AE">
            <w:pPr>
              <w:pStyle w:val="FootnoteText"/>
              <w:rPr>
                <w:sz w:val="16"/>
                <w:szCs w:val="16"/>
              </w:rPr>
            </w:pPr>
            <w:r w:rsidRPr="00FA2F5D">
              <w:rPr>
                <w:sz w:val="16"/>
                <w:szCs w:val="16"/>
              </w:rPr>
              <w:t>Tortuga laúd</w:t>
            </w:r>
          </w:p>
        </w:tc>
        <w:tc>
          <w:tcPr>
            <w:tcW w:w="0" w:type="auto"/>
            <w:tcBorders>
              <w:top w:val="single" w:sz="4" w:space="0" w:color="auto"/>
              <w:left w:val="single" w:sz="4" w:space="0" w:color="auto"/>
              <w:bottom w:val="single" w:sz="4" w:space="0" w:color="auto"/>
              <w:right w:val="single" w:sz="4" w:space="0" w:color="auto"/>
            </w:tcBorders>
            <w:hideMark/>
          </w:tcPr>
          <w:p w14:paraId="4DED1BAB" w14:textId="77777777" w:rsidR="00A133AE" w:rsidRPr="00FA2F5D" w:rsidRDefault="00A133AE">
            <w:pPr>
              <w:pStyle w:val="FootnoteText"/>
              <w:rPr>
                <w:i/>
                <w:iCs/>
                <w:sz w:val="16"/>
                <w:szCs w:val="16"/>
              </w:rPr>
            </w:pPr>
            <w:r w:rsidRPr="00FA2F5D">
              <w:rPr>
                <w:i/>
                <w:iCs/>
                <w:sz w:val="16"/>
                <w:szCs w:val="16"/>
              </w:rPr>
              <w:t>Dermochelys coriacea</w:t>
            </w:r>
          </w:p>
        </w:tc>
        <w:tc>
          <w:tcPr>
            <w:tcW w:w="0" w:type="auto"/>
            <w:tcBorders>
              <w:top w:val="single" w:sz="4" w:space="0" w:color="auto"/>
              <w:left w:val="single" w:sz="4" w:space="0" w:color="auto"/>
              <w:bottom w:val="single" w:sz="4" w:space="0" w:color="auto"/>
              <w:right w:val="single" w:sz="4" w:space="0" w:color="auto"/>
            </w:tcBorders>
            <w:hideMark/>
          </w:tcPr>
          <w:p w14:paraId="1C4B5267" w14:textId="77777777" w:rsidR="00A133AE" w:rsidRPr="00FA2F5D" w:rsidRDefault="00A133AE">
            <w:pPr>
              <w:pStyle w:val="FootnoteText"/>
              <w:rPr>
                <w:sz w:val="16"/>
                <w:szCs w:val="16"/>
              </w:rPr>
            </w:pPr>
            <w:r w:rsidRPr="00FA2F5D">
              <w:rPr>
                <w:sz w:val="16"/>
                <w:szCs w:val="16"/>
              </w:rPr>
              <w:t>1979</w:t>
            </w:r>
          </w:p>
        </w:tc>
        <w:tc>
          <w:tcPr>
            <w:tcW w:w="0" w:type="auto"/>
            <w:tcBorders>
              <w:top w:val="single" w:sz="4" w:space="0" w:color="auto"/>
              <w:left w:val="single" w:sz="4" w:space="0" w:color="auto"/>
              <w:bottom w:val="single" w:sz="4" w:space="0" w:color="auto"/>
              <w:right w:val="single" w:sz="4" w:space="0" w:color="auto"/>
            </w:tcBorders>
            <w:hideMark/>
          </w:tcPr>
          <w:p w14:paraId="10A506BF" w14:textId="77777777" w:rsidR="00A133AE" w:rsidRPr="00FA2F5D" w:rsidRDefault="00A133AE">
            <w:pPr>
              <w:pStyle w:val="FootnoteText"/>
              <w:rPr>
                <w:sz w:val="16"/>
                <w:szCs w:val="16"/>
              </w:rPr>
            </w:pPr>
            <w:r w:rsidRPr="00FA2F5D">
              <w:rPr>
                <w:sz w:val="16"/>
                <w:szCs w:val="16"/>
              </w:rPr>
              <w:t>1979</w:t>
            </w:r>
          </w:p>
        </w:tc>
        <w:tc>
          <w:tcPr>
            <w:tcW w:w="0" w:type="auto"/>
            <w:tcBorders>
              <w:top w:val="single" w:sz="4" w:space="0" w:color="auto"/>
              <w:left w:val="single" w:sz="4" w:space="0" w:color="auto"/>
              <w:bottom w:val="single" w:sz="4" w:space="0" w:color="auto"/>
              <w:right w:val="single" w:sz="4" w:space="0" w:color="auto"/>
            </w:tcBorders>
            <w:hideMark/>
          </w:tcPr>
          <w:p w14:paraId="2600923F" w14:textId="77777777" w:rsidR="00A133AE" w:rsidRPr="00FA2F5D" w:rsidRDefault="00A133AE">
            <w:pPr>
              <w:pStyle w:val="FootnoteText"/>
              <w:rPr>
                <w:sz w:val="16"/>
                <w:szCs w:val="16"/>
              </w:rPr>
            </w:pPr>
            <w:r w:rsidRPr="00FA2F5D">
              <w:rPr>
                <w:sz w:val="16"/>
                <w:szCs w:val="16"/>
              </w:rPr>
              <w:t>VU (decreciente)</w:t>
            </w:r>
          </w:p>
        </w:tc>
      </w:tr>
      <w:tr w:rsidR="00A133AE" w:rsidRPr="00FA2F5D" w14:paraId="0360D045" w14:textId="77777777">
        <w:tc>
          <w:tcPr>
            <w:tcW w:w="0" w:type="auto"/>
            <w:tcBorders>
              <w:top w:val="single" w:sz="4" w:space="0" w:color="auto"/>
              <w:left w:val="single" w:sz="4" w:space="0" w:color="auto"/>
              <w:bottom w:val="single" w:sz="4" w:space="0" w:color="auto"/>
              <w:right w:val="single" w:sz="4" w:space="0" w:color="auto"/>
            </w:tcBorders>
            <w:hideMark/>
          </w:tcPr>
          <w:p w14:paraId="710FDA06" w14:textId="77777777" w:rsidR="00A133AE" w:rsidRPr="00FA2F5D" w:rsidRDefault="00A133AE">
            <w:pPr>
              <w:pStyle w:val="FootnoteText"/>
              <w:rPr>
                <w:sz w:val="16"/>
                <w:szCs w:val="16"/>
              </w:rPr>
            </w:pPr>
            <w:r w:rsidRPr="00FA2F5D">
              <w:rPr>
                <w:sz w:val="16"/>
                <w:szCs w:val="16"/>
              </w:rPr>
              <w:t>Tortuga kikila</w:t>
            </w:r>
          </w:p>
        </w:tc>
        <w:tc>
          <w:tcPr>
            <w:tcW w:w="0" w:type="auto"/>
            <w:tcBorders>
              <w:top w:val="single" w:sz="4" w:space="0" w:color="auto"/>
              <w:left w:val="single" w:sz="4" w:space="0" w:color="auto"/>
              <w:bottom w:val="single" w:sz="4" w:space="0" w:color="auto"/>
              <w:right w:val="single" w:sz="4" w:space="0" w:color="auto"/>
            </w:tcBorders>
            <w:hideMark/>
          </w:tcPr>
          <w:p w14:paraId="082C1709" w14:textId="77777777" w:rsidR="00A133AE" w:rsidRPr="00FA2F5D" w:rsidRDefault="00A133AE">
            <w:pPr>
              <w:pStyle w:val="FootnoteText"/>
              <w:rPr>
                <w:i/>
                <w:iCs/>
                <w:sz w:val="16"/>
                <w:szCs w:val="16"/>
              </w:rPr>
            </w:pPr>
            <w:r w:rsidRPr="00FA2F5D">
              <w:rPr>
                <w:i/>
                <w:iCs/>
                <w:sz w:val="16"/>
                <w:szCs w:val="16"/>
              </w:rPr>
              <w:t>Natator depressus</w:t>
            </w:r>
          </w:p>
        </w:tc>
        <w:tc>
          <w:tcPr>
            <w:tcW w:w="0" w:type="auto"/>
            <w:tcBorders>
              <w:top w:val="single" w:sz="4" w:space="0" w:color="auto"/>
              <w:left w:val="single" w:sz="4" w:space="0" w:color="auto"/>
              <w:bottom w:val="single" w:sz="4" w:space="0" w:color="auto"/>
              <w:right w:val="single" w:sz="4" w:space="0" w:color="auto"/>
            </w:tcBorders>
            <w:hideMark/>
          </w:tcPr>
          <w:p w14:paraId="1E7C7BAE" w14:textId="77777777" w:rsidR="00A133AE" w:rsidRPr="00FA2F5D" w:rsidRDefault="00A133AE">
            <w:pPr>
              <w:pStyle w:val="FootnoteText"/>
              <w:rPr>
                <w:sz w:val="16"/>
                <w:szCs w:val="16"/>
              </w:rPr>
            </w:pPr>
            <w:r w:rsidRPr="00FA2F5D">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14:paraId="28A179A9" w14:textId="77777777" w:rsidR="00A133AE" w:rsidRPr="00FA2F5D" w:rsidRDefault="00A133AE">
            <w:pPr>
              <w:pStyle w:val="FootnoteText"/>
              <w:rPr>
                <w:sz w:val="16"/>
                <w:szCs w:val="16"/>
              </w:rPr>
            </w:pPr>
            <w:r w:rsidRPr="00FA2F5D">
              <w:rPr>
                <w:sz w:val="16"/>
                <w:szCs w:val="16"/>
              </w:rPr>
              <w:t>1979</w:t>
            </w:r>
          </w:p>
        </w:tc>
        <w:tc>
          <w:tcPr>
            <w:tcW w:w="0" w:type="auto"/>
            <w:tcBorders>
              <w:top w:val="single" w:sz="4" w:space="0" w:color="auto"/>
              <w:left w:val="single" w:sz="4" w:space="0" w:color="auto"/>
              <w:bottom w:val="single" w:sz="4" w:space="0" w:color="auto"/>
              <w:right w:val="single" w:sz="4" w:space="0" w:color="auto"/>
            </w:tcBorders>
            <w:hideMark/>
          </w:tcPr>
          <w:p w14:paraId="55C50BC1" w14:textId="77777777" w:rsidR="00A133AE" w:rsidRPr="00FA2F5D" w:rsidRDefault="00A133AE">
            <w:pPr>
              <w:pStyle w:val="FootnoteText"/>
              <w:rPr>
                <w:sz w:val="16"/>
                <w:szCs w:val="16"/>
              </w:rPr>
            </w:pPr>
            <w:r w:rsidRPr="00FA2F5D">
              <w:rPr>
                <w:sz w:val="16"/>
                <w:szCs w:val="16"/>
              </w:rPr>
              <w:t>DD</w:t>
            </w:r>
          </w:p>
        </w:tc>
      </w:tr>
    </w:tbl>
    <w:p w14:paraId="3422A2C9" w14:textId="77777777" w:rsidR="00A133AE" w:rsidRPr="00FA2F5D" w:rsidRDefault="00A133AE" w:rsidP="00A133AE">
      <w:pPr>
        <w:pStyle w:val="FootnoteText"/>
        <w:ind w:left="397" w:firstLine="397"/>
        <w:rPr>
          <w:sz w:val="16"/>
          <w:szCs w:val="16"/>
          <w:lang w:val="es-ES"/>
        </w:rPr>
      </w:pPr>
      <w:r w:rsidRPr="00FA2F5D">
        <w:rPr>
          <w:sz w:val="16"/>
          <w:szCs w:val="16"/>
          <w:lang w:val="es-ES"/>
        </w:rPr>
        <w:t>EN = en peligro de extinción; VU = Vulnerable; CR = en grave peligro de extinción; DD = datos insuficientes</w:t>
      </w:r>
    </w:p>
  </w:footnote>
  <w:footnote w:id="3">
    <w:p w14:paraId="2FCBC9F2" w14:textId="77777777" w:rsidR="00A133AE" w:rsidRPr="00FA2F5D" w:rsidRDefault="00A133AE" w:rsidP="00A133AE">
      <w:pPr>
        <w:pStyle w:val="FootnoteText"/>
        <w:rPr>
          <w:sz w:val="16"/>
          <w:szCs w:val="16"/>
          <w:lang w:val="en-US"/>
        </w:rPr>
      </w:pPr>
      <w:r w:rsidRPr="00FA2F5D">
        <w:rPr>
          <w:rStyle w:val="FootnoteReference"/>
          <w:sz w:val="16"/>
          <w:szCs w:val="16"/>
        </w:rPr>
        <w:footnoteRef/>
      </w:r>
      <w:r w:rsidRPr="00FA2F5D">
        <w:rPr>
          <w:sz w:val="16"/>
          <w:szCs w:val="16"/>
          <w:lang w:val="es-ES"/>
        </w:rPr>
        <w:t xml:space="preserve"> Wallace et al. (2010). Unidades Regionales de Gestión de Tortugas Marinas: Un nuevo marco para priorizar la conservación y la investigación a múltiples escalas. </w:t>
      </w:r>
      <w:r w:rsidRPr="00FA2F5D">
        <w:rPr>
          <w:sz w:val="16"/>
          <w:szCs w:val="16"/>
        </w:rPr>
        <w:t>PLOS ONE 5(12): e15465. </w:t>
      </w:r>
      <w:hyperlink r:id="rId1" w:history="1">
        <w:r w:rsidRPr="00FA2F5D">
          <w:rPr>
            <w:rStyle w:val="Hyperlink"/>
            <w:sz w:val="16"/>
            <w:szCs w:val="16"/>
          </w:rPr>
          <w:t>https://doi.org/10.1371/journal.pone.0015465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5914A252" w:rsidR="00D70275" w:rsidRPr="0065025B"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65025B">
      <w:rPr>
        <w:rFonts w:eastAsia="Times New Roman" w:cs="Arial"/>
        <w:i/>
        <w:sz w:val="18"/>
        <w:szCs w:val="18"/>
        <w:lang w:eastAsia="es-ES"/>
      </w:rPr>
      <w:t>UNEP/CMS/COP1</w:t>
    </w:r>
    <w:r w:rsidR="000F4BDA" w:rsidRPr="0065025B">
      <w:rPr>
        <w:rFonts w:eastAsia="Times New Roman" w:cs="Arial"/>
        <w:i/>
        <w:sz w:val="18"/>
        <w:szCs w:val="18"/>
        <w:lang w:eastAsia="es-ES"/>
      </w:rPr>
      <w:t>4</w:t>
    </w:r>
    <w:r w:rsidRPr="0065025B">
      <w:rPr>
        <w:rFonts w:eastAsia="Times New Roman" w:cs="Arial"/>
        <w:i/>
        <w:sz w:val="18"/>
        <w:szCs w:val="18"/>
        <w:lang w:eastAsia="es-ES"/>
      </w:rPr>
      <w:t>/Doc.</w:t>
    </w:r>
    <w:bookmarkEnd w:id="1"/>
    <w:bookmarkEnd w:id="2"/>
    <w:bookmarkEnd w:id="3"/>
    <w:bookmarkEnd w:id="4"/>
    <w:bookmarkEnd w:id="5"/>
    <w:bookmarkEnd w:id="6"/>
    <w:bookmarkEnd w:id="7"/>
    <w:bookmarkEnd w:id="8"/>
    <w:r w:rsidR="00EA0704" w:rsidRPr="0065025B">
      <w:rPr>
        <w:rFonts w:eastAsia="Times New Roman" w:cs="Arial"/>
        <w:i/>
        <w:sz w:val="18"/>
        <w:szCs w:val="18"/>
        <w:lang w:eastAsia="es-ES"/>
      </w:rPr>
      <w:t>27.6.1</w:t>
    </w:r>
    <w:r w:rsidR="00CB172A" w:rsidRPr="0065025B">
      <w:rPr>
        <w:rFonts w:eastAsia="Times New Roman" w:cs="Arial"/>
        <w:i/>
        <w:sz w:val="18"/>
        <w:szCs w:val="18"/>
        <w:lang w:eastAsia="es-ES"/>
      </w:rPr>
      <w:t>/Rev</w:t>
    </w:r>
    <w:r w:rsidR="0065025B" w:rsidRPr="0065025B">
      <w:rPr>
        <w:rFonts w:eastAsia="Times New Roman" w:cs="Arial"/>
        <w:i/>
        <w:sz w:val="18"/>
        <w:szCs w:val="18"/>
        <w:lang w:eastAsia="es-ES"/>
      </w:rPr>
      <w:t>.</w:t>
    </w:r>
    <w:r w:rsidR="0065025B">
      <w:rPr>
        <w:rFonts w:eastAsia="Times New Roman" w:cs="Arial"/>
        <w:i/>
        <w:sz w:val="18"/>
        <w:szCs w:val="18"/>
        <w:lang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6B17E405" w:rsidR="000F4BDA" w:rsidRPr="0065025B" w:rsidRDefault="00EA0704" w:rsidP="000F4BDA">
    <w:pPr>
      <w:pStyle w:val="Header"/>
      <w:pBdr>
        <w:bottom w:val="single" w:sz="4" w:space="1" w:color="auto"/>
      </w:pBdr>
      <w:jc w:val="right"/>
      <w:rPr>
        <w:i/>
        <w:sz w:val="18"/>
        <w:szCs w:val="18"/>
      </w:rPr>
    </w:pPr>
    <w:r w:rsidRPr="0065025B">
      <w:rPr>
        <w:rFonts w:eastAsia="Times New Roman" w:cs="Arial"/>
        <w:i/>
        <w:sz w:val="18"/>
        <w:szCs w:val="18"/>
        <w:lang w:eastAsia="es-ES"/>
      </w:rPr>
      <w:t>UNEP/CMS/COP14/Doc.27.6.1</w:t>
    </w:r>
    <w:r w:rsidR="0065025B" w:rsidRPr="0065025B">
      <w:rPr>
        <w:rFonts w:eastAsia="Times New Roman" w:cs="Arial"/>
        <w:i/>
        <w:sz w:val="18"/>
        <w:szCs w:val="18"/>
        <w:lang w:eastAsia="es-ES"/>
      </w:rPr>
      <w:t>/Rev</w:t>
    </w:r>
    <w:r w:rsidR="0065025B">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331FA808"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7985422" w14:textId="760B85F9" w:rsidR="001E05C2" w:rsidRDefault="001E05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BD29" w14:textId="77777777" w:rsidR="002441D2" w:rsidRPr="00661875" w:rsidRDefault="00A7242F" w:rsidP="00371DE1">
    <w:pPr>
      <w:pStyle w:val="Header"/>
      <w:pBdr>
        <w:bottom w:val="single" w:sz="4" w:space="1" w:color="auto"/>
      </w:pBdr>
      <w:rPr>
        <w:rFonts w:cs="Arial"/>
        <w:i/>
        <w:sz w:val="18"/>
        <w:szCs w:val="18"/>
        <w:lang w:val="de-DE"/>
      </w:rPr>
    </w:pPr>
    <w:r w:rsidRPr="00661875">
      <w:rPr>
        <w:rFonts w:cs="Arial"/>
        <w:i/>
        <w:sz w:val="18"/>
        <w:szCs w:val="18"/>
        <w:lang w:val="de-DE"/>
      </w:rPr>
      <w:t>UNEP/CMS/COP13/Doc.[  ]/Annex[...]</w:t>
    </w:r>
  </w:p>
  <w:p w14:paraId="16DF93E1" w14:textId="77777777" w:rsidR="002441D2" w:rsidRPr="00371DE1" w:rsidRDefault="002441D2"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6E76" w14:textId="052E4435" w:rsidR="002441D2" w:rsidRPr="0065025B" w:rsidRDefault="00EA0704" w:rsidP="00CA103E">
    <w:pPr>
      <w:pStyle w:val="Header"/>
      <w:pBdr>
        <w:bottom w:val="single" w:sz="4" w:space="1" w:color="auto"/>
      </w:pBdr>
      <w:jc w:val="right"/>
      <w:rPr>
        <w:rFonts w:cs="Arial"/>
        <w:i/>
        <w:sz w:val="18"/>
        <w:szCs w:val="18"/>
      </w:rPr>
    </w:pPr>
    <w:r w:rsidRPr="0065025B">
      <w:rPr>
        <w:rFonts w:eastAsia="Times New Roman" w:cs="Arial"/>
        <w:i/>
        <w:sz w:val="18"/>
        <w:szCs w:val="18"/>
        <w:lang w:eastAsia="es-ES"/>
      </w:rPr>
      <w:t>UNEP/CMS/COP14/Doc.27.6.1</w:t>
    </w:r>
    <w:r w:rsidR="00A7242F" w:rsidRPr="0065025B">
      <w:rPr>
        <w:rFonts w:cs="Arial"/>
        <w:i/>
        <w:sz w:val="18"/>
        <w:szCs w:val="18"/>
      </w:rPr>
      <w:t>/</w:t>
    </w:r>
    <w:r w:rsidR="0065025B" w:rsidRPr="0065025B">
      <w:rPr>
        <w:rFonts w:cs="Arial"/>
        <w:i/>
        <w:sz w:val="18"/>
        <w:szCs w:val="18"/>
      </w:rPr>
      <w:t>Rev.1/</w:t>
    </w:r>
    <w:r w:rsidR="00A7242F" w:rsidRPr="0065025B">
      <w:rPr>
        <w:rFonts w:cs="Arial"/>
        <w:i/>
        <w:sz w:val="18"/>
        <w:szCs w:val="18"/>
      </w:rPr>
      <w:t>Anex</w:t>
    </w:r>
    <w:r w:rsidR="00095FAB" w:rsidRPr="0065025B">
      <w:rPr>
        <w:rFonts w:cs="Arial"/>
        <w:i/>
        <w:sz w:val="18"/>
        <w:szCs w:val="18"/>
      </w:rPr>
      <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67148"/>
    <w:multiLevelType w:val="hybridMultilevel"/>
    <w:tmpl w:val="32E01F7C"/>
    <w:lvl w:ilvl="0" w:tplc="42FE5672">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A42EC"/>
    <w:multiLevelType w:val="hybridMultilevel"/>
    <w:tmpl w:val="14A68270"/>
    <w:lvl w:ilvl="0" w:tplc="10000017">
      <w:start w:val="1"/>
      <w:numFmt w:val="lowerLetter"/>
      <w:lvlText w:val="%1)"/>
      <w:lvlJc w:val="left"/>
      <w:pPr>
        <w:ind w:left="720" w:hanging="360"/>
      </w:pPr>
    </w:lvl>
    <w:lvl w:ilvl="1" w:tplc="08090017">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0D695E"/>
    <w:multiLevelType w:val="hybridMultilevel"/>
    <w:tmpl w:val="26A6370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C6487B"/>
    <w:multiLevelType w:val="hybridMultilevel"/>
    <w:tmpl w:val="B0867B4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C5114F"/>
    <w:multiLevelType w:val="hybridMultilevel"/>
    <w:tmpl w:val="E7D44888"/>
    <w:lvl w:ilvl="0" w:tplc="EA7C1C6C">
      <w:start w:val="1"/>
      <w:numFmt w:val="decimal"/>
      <w:lvlText w:val="%1."/>
      <w:lvlJc w:val="left"/>
      <w:pPr>
        <w:ind w:left="360" w:hanging="360"/>
      </w:pPr>
      <w:rPr>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6C7F09A4"/>
    <w:multiLevelType w:val="hybridMultilevel"/>
    <w:tmpl w:val="339C465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6FFE4138"/>
    <w:multiLevelType w:val="hybridMultilevel"/>
    <w:tmpl w:val="D3C2401E"/>
    <w:lvl w:ilvl="0" w:tplc="0B2E1FD0">
      <w:start w:val="1"/>
      <w:numFmt w:val="lowerLetter"/>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9"/>
  </w:num>
  <w:num w:numId="5" w16cid:durableId="37974177">
    <w:abstractNumId w:val="5"/>
  </w:num>
  <w:num w:numId="6" w16cid:durableId="1958830237">
    <w:abstractNumId w:val="10"/>
  </w:num>
  <w:num w:numId="7" w16cid:durableId="396439182">
    <w:abstractNumId w:val="14"/>
  </w:num>
  <w:num w:numId="8" w16cid:durableId="260603560">
    <w:abstractNumId w:val="8"/>
  </w:num>
  <w:num w:numId="9" w16cid:durableId="1356272424">
    <w:abstractNumId w:val="6"/>
  </w:num>
  <w:num w:numId="10" w16cid:durableId="630594039">
    <w:abstractNumId w:val="19"/>
  </w:num>
  <w:num w:numId="11" w16cid:durableId="2069759870">
    <w:abstractNumId w:val="12"/>
  </w:num>
  <w:num w:numId="12" w16cid:durableId="904724938">
    <w:abstractNumId w:val="16"/>
  </w:num>
  <w:num w:numId="13" w16cid:durableId="113796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12242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2572024">
    <w:abstractNumId w:val="4"/>
  </w:num>
  <w:num w:numId="16" w16cid:durableId="1793866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3674271">
    <w:abstractNumId w:val="3"/>
  </w:num>
  <w:num w:numId="18" w16cid:durableId="1806923563">
    <w:abstractNumId w:val="17"/>
  </w:num>
  <w:num w:numId="19" w16cid:durableId="1283222196">
    <w:abstractNumId w:val="13"/>
  </w:num>
  <w:num w:numId="20" w16cid:durableId="1998220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65034"/>
    <w:rsid w:val="00095FAB"/>
    <w:rsid w:val="000E192F"/>
    <w:rsid w:val="000F4BDA"/>
    <w:rsid w:val="000F640B"/>
    <w:rsid w:val="0010442F"/>
    <w:rsid w:val="00127CCF"/>
    <w:rsid w:val="00192411"/>
    <w:rsid w:val="00193B9C"/>
    <w:rsid w:val="001A2CAA"/>
    <w:rsid w:val="001C6B01"/>
    <w:rsid w:val="001E05C2"/>
    <w:rsid w:val="00213A59"/>
    <w:rsid w:val="0024152C"/>
    <w:rsid w:val="002441D2"/>
    <w:rsid w:val="002A40B8"/>
    <w:rsid w:val="002A5ABE"/>
    <w:rsid w:val="002B6A55"/>
    <w:rsid w:val="002D5F2A"/>
    <w:rsid w:val="002E337B"/>
    <w:rsid w:val="002F7EC2"/>
    <w:rsid w:val="003133A7"/>
    <w:rsid w:val="00323406"/>
    <w:rsid w:val="00327F74"/>
    <w:rsid w:val="00336B2B"/>
    <w:rsid w:val="00350394"/>
    <w:rsid w:val="003C64B0"/>
    <w:rsid w:val="003D6EA4"/>
    <w:rsid w:val="00416858"/>
    <w:rsid w:val="00430A25"/>
    <w:rsid w:val="00457C8A"/>
    <w:rsid w:val="00480F9B"/>
    <w:rsid w:val="004C7808"/>
    <w:rsid w:val="004E0D7C"/>
    <w:rsid w:val="005156BF"/>
    <w:rsid w:val="005330F7"/>
    <w:rsid w:val="00551FE1"/>
    <w:rsid w:val="00563598"/>
    <w:rsid w:val="00591364"/>
    <w:rsid w:val="006408DB"/>
    <w:rsid w:val="0065025B"/>
    <w:rsid w:val="00671818"/>
    <w:rsid w:val="006C2EF5"/>
    <w:rsid w:val="006E4C07"/>
    <w:rsid w:val="006F22B0"/>
    <w:rsid w:val="00776A5B"/>
    <w:rsid w:val="00790422"/>
    <w:rsid w:val="00793B4F"/>
    <w:rsid w:val="007B53CC"/>
    <w:rsid w:val="007C212E"/>
    <w:rsid w:val="007E2C99"/>
    <w:rsid w:val="007E5A82"/>
    <w:rsid w:val="00800CB3"/>
    <w:rsid w:val="00810C64"/>
    <w:rsid w:val="00876881"/>
    <w:rsid w:val="009059D0"/>
    <w:rsid w:val="00943D15"/>
    <w:rsid w:val="009C543D"/>
    <w:rsid w:val="009F474D"/>
    <w:rsid w:val="00A133AE"/>
    <w:rsid w:val="00A7242F"/>
    <w:rsid w:val="00A87769"/>
    <w:rsid w:val="00AA690E"/>
    <w:rsid w:val="00AC09AE"/>
    <w:rsid w:val="00B104EC"/>
    <w:rsid w:val="00B22DF4"/>
    <w:rsid w:val="00B40E07"/>
    <w:rsid w:val="00B8580F"/>
    <w:rsid w:val="00B94C08"/>
    <w:rsid w:val="00BC5707"/>
    <w:rsid w:val="00BF7838"/>
    <w:rsid w:val="00C41DAD"/>
    <w:rsid w:val="00C82DB7"/>
    <w:rsid w:val="00CA103E"/>
    <w:rsid w:val="00CB172A"/>
    <w:rsid w:val="00CE1CBB"/>
    <w:rsid w:val="00D348A2"/>
    <w:rsid w:val="00D36BEA"/>
    <w:rsid w:val="00D70275"/>
    <w:rsid w:val="00D84650"/>
    <w:rsid w:val="00DA6434"/>
    <w:rsid w:val="00DB2AD1"/>
    <w:rsid w:val="00E44241"/>
    <w:rsid w:val="00E55548"/>
    <w:rsid w:val="00E607BD"/>
    <w:rsid w:val="00E77A9F"/>
    <w:rsid w:val="00E81B4A"/>
    <w:rsid w:val="00EA0704"/>
    <w:rsid w:val="00EA7EF9"/>
    <w:rsid w:val="00ED2969"/>
    <w:rsid w:val="00EE7966"/>
    <w:rsid w:val="00EF1D13"/>
    <w:rsid w:val="00F07E06"/>
    <w:rsid w:val="00F147ED"/>
    <w:rsid w:val="00F32236"/>
    <w:rsid w:val="00F34C7A"/>
    <w:rsid w:val="00FA2F5D"/>
    <w:rsid w:val="00FC2DE3"/>
    <w:rsid w:val="29A319B8"/>
    <w:rsid w:val="6283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semiHidden/>
    <w:unhideWhenUsed/>
    <w:rsid w:val="00A133AE"/>
    <w:pPr>
      <w:spacing w:after="0" w:line="240" w:lineRule="auto"/>
    </w:pPr>
    <w:rPr>
      <w:rFonts w:eastAsia="Calibri" w:cs="Arial"/>
      <w:sz w:val="20"/>
      <w:szCs w:val="20"/>
      <w:lang w:val="en-GB"/>
    </w:rPr>
  </w:style>
  <w:style w:type="character" w:customStyle="1" w:styleId="FootnoteTextChar">
    <w:name w:val="Footnote Text Char"/>
    <w:basedOn w:val="DefaultParagraphFont"/>
    <w:link w:val="FootnoteText"/>
    <w:uiPriority w:val="99"/>
    <w:semiHidden/>
    <w:rsid w:val="00A133AE"/>
    <w:rPr>
      <w:rFonts w:eastAsia="Calibri" w:cs="Arial"/>
      <w:sz w:val="20"/>
      <w:szCs w:val="20"/>
      <w:lang w:val="en-GB"/>
    </w:rPr>
  </w:style>
  <w:style w:type="table" w:styleId="TableGrid">
    <w:name w:val="Table Grid"/>
    <w:basedOn w:val="TableNormal"/>
    <w:uiPriority w:val="39"/>
    <w:rsid w:val="00A133AE"/>
    <w:pPr>
      <w:spacing w:after="0" w:line="240" w:lineRule="auto"/>
    </w:pPr>
    <w:rPr>
      <w:rFonts w:eastAsia="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76A5B"/>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776A5B"/>
  </w:style>
  <w:style w:type="character" w:customStyle="1" w:styleId="eop">
    <w:name w:val="eop"/>
    <w:basedOn w:val="DefaultParagraphFont"/>
    <w:rsid w:val="00776A5B"/>
  </w:style>
  <w:style w:type="character" w:customStyle="1" w:styleId="tabchar">
    <w:name w:val="tabchar"/>
    <w:basedOn w:val="DefaultParagraphFont"/>
    <w:rsid w:val="00776A5B"/>
  </w:style>
  <w:style w:type="character" w:styleId="CommentReference">
    <w:name w:val="annotation reference"/>
    <w:basedOn w:val="DefaultParagraphFont"/>
    <w:uiPriority w:val="99"/>
    <w:semiHidden/>
    <w:unhideWhenUsed/>
    <w:rsid w:val="00193B9C"/>
    <w:rPr>
      <w:sz w:val="16"/>
      <w:szCs w:val="16"/>
    </w:rPr>
  </w:style>
  <w:style w:type="paragraph" w:styleId="CommentText">
    <w:name w:val="annotation text"/>
    <w:basedOn w:val="Normal"/>
    <w:link w:val="CommentTextChar"/>
    <w:uiPriority w:val="99"/>
    <w:unhideWhenUsed/>
    <w:rsid w:val="00193B9C"/>
    <w:pPr>
      <w:spacing w:line="240" w:lineRule="auto"/>
    </w:pPr>
    <w:rPr>
      <w:sz w:val="20"/>
      <w:szCs w:val="20"/>
    </w:rPr>
  </w:style>
  <w:style w:type="character" w:customStyle="1" w:styleId="CommentTextChar">
    <w:name w:val="Comment Text Char"/>
    <w:basedOn w:val="DefaultParagraphFont"/>
    <w:link w:val="CommentText"/>
    <w:uiPriority w:val="99"/>
    <w:rsid w:val="00193B9C"/>
    <w:rPr>
      <w:sz w:val="20"/>
      <w:szCs w:val="20"/>
    </w:rPr>
  </w:style>
  <w:style w:type="paragraph" w:styleId="CommentSubject">
    <w:name w:val="annotation subject"/>
    <w:basedOn w:val="CommentText"/>
    <w:next w:val="CommentText"/>
    <w:link w:val="CommentSubjectChar"/>
    <w:uiPriority w:val="99"/>
    <w:semiHidden/>
    <w:unhideWhenUsed/>
    <w:rsid w:val="00193B9C"/>
    <w:rPr>
      <w:b/>
      <w:bCs/>
    </w:rPr>
  </w:style>
  <w:style w:type="character" w:customStyle="1" w:styleId="CommentSubjectChar">
    <w:name w:val="Comment Subject Char"/>
    <w:basedOn w:val="CommentTextChar"/>
    <w:link w:val="CommentSubject"/>
    <w:uiPriority w:val="99"/>
    <w:semiHidden/>
    <w:rsid w:val="00193B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900483">
      <w:bodyDiv w:val="1"/>
      <w:marLeft w:val="0"/>
      <w:marRight w:val="0"/>
      <w:marTop w:val="0"/>
      <w:marBottom w:val="0"/>
      <w:divBdr>
        <w:top w:val="none" w:sz="0" w:space="0" w:color="auto"/>
        <w:left w:val="none" w:sz="0" w:space="0" w:color="auto"/>
        <w:bottom w:val="none" w:sz="0" w:space="0" w:color="auto"/>
        <w:right w:val="none" w:sz="0" w:space="0" w:color="auto"/>
      </w:divBdr>
    </w:div>
    <w:div w:id="1052732086">
      <w:bodyDiv w:val="1"/>
      <w:marLeft w:val="0"/>
      <w:marRight w:val="0"/>
      <w:marTop w:val="0"/>
      <w:marBottom w:val="0"/>
      <w:divBdr>
        <w:top w:val="none" w:sz="0" w:space="0" w:color="auto"/>
        <w:left w:val="none" w:sz="0" w:space="0" w:color="auto"/>
        <w:bottom w:val="none" w:sz="0" w:space="0" w:color="auto"/>
        <w:right w:val="none" w:sz="0" w:space="0" w:color="auto"/>
      </w:divBdr>
    </w:div>
    <w:div w:id="1899317463">
      <w:bodyDiv w:val="1"/>
      <w:marLeft w:val="0"/>
      <w:marRight w:val="0"/>
      <w:marTop w:val="0"/>
      <w:marBottom w:val="0"/>
      <w:divBdr>
        <w:top w:val="none" w:sz="0" w:space="0" w:color="auto"/>
        <w:left w:val="none" w:sz="0" w:space="0" w:color="auto"/>
        <w:bottom w:val="none" w:sz="0" w:space="0" w:color="auto"/>
        <w:right w:val="none" w:sz="0" w:space="0" w:color="auto"/>
      </w:divBdr>
    </w:div>
    <w:div w:id="19400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iosea-turtles/en" TargetMode="External"/><Relationship Id="rId18" Type="http://schemas.openxmlformats.org/officeDocument/2006/relationships/hyperlink" Target="https://www.cms.int/en/document/technical-mitigation-reduce-marine-mammal-bycatch-and-entanglement-commercial-fishing-gear"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ms.int/atlantic-turtles/en/legalinstrument/atlantic-turtles-mou" TargetMode="External"/><Relationship Id="rId17" Type="http://schemas.openxmlformats.org/officeDocument/2006/relationships/hyperlink" Target="https://www.cms.int/en/document/single-species-action-plan-hawksbill-turtle-eretmochelys-imbricata-south-east-asia-and-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ms.int/en/document/single-species-action-plan-hawksbill-turtle-eretmochelys-imbricata-south-east-asia-and-0"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ms.int/en/document/single-species-action-plan-hawksbill-turtle-south-east-asia-western-pacific"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cms.int/en/document/bycatch-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single-species-action-plan-loggerhead-turtle-caretta-caretta-south-pacific-ocean-0"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371/journal.pone.0015465"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513970EF-778E-4893-8494-A9F2824C2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1422</Words>
  <Characters>8110</Characters>
  <Application>Microsoft Office Word</Application>
  <DocSecurity>0</DocSecurity>
  <Lines>67</Lines>
  <Paragraphs>19</Paragraphs>
  <ScaleCrop>false</ScaleCrop>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19</cp:revision>
  <dcterms:created xsi:type="dcterms:W3CDTF">2023-05-26T11:00:00Z</dcterms:created>
  <dcterms:modified xsi:type="dcterms:W3CDTF">2023-11-17T15:14:00Z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