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3F220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7E87CF30" w:rsidR="00EC2A58" w:rsidRPr="003F2200"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3F2200">
              <w:rPr>
                <w:rFonts w:eastAsia="Arial" w:cs="Arial"/>
              </w:rPr>
              <w:t>UNEP/CMS/COP1</w:t>
            </w:r>
            <w:r w:rsidR="00BA33FE" w:rsidRPr="003F2200">
              <w:rPr>
                <w:rFonts w:eastAsia="Arial" w:cs="Arial"/>
              </w:rPr>
              <w:t>4</w:t>
            </w:r>
            <w:r w:rsidRPr="003F2200">
              <w:rPr>
                <w:rFonts w:eastAsia="Arial" w:cs="Arial"/>
              </w:rPr>
              <w:t>/Doc.</w:t>
            </w:r>
            <w:r w:rsidR="001C79E6" w:rsidRPr="003F2200">
              <w:rPr>
                <w:rFonts w:eastAsia="Arial" w:cs="Arial"/>
              </w:rPr>
              <w:t>27.5.3</w:t>
            </w:r>
            <w:r w:rsidR="003F2200" w:rsidRPr="003F2200">
              <w:rPr>
                <w:rFonts w:eastAsia="Arial" w:cs="Arial"/>
              </w:rPr>
              <w:t>/Rev</w:t>
            </w:r>
            <w:r w:rsidR="003F2200">
              <w:rPr>
                <w:rFonts w:eastAsia="Arial" w:cs="Arial"/>
              </w:rPr>
              <w:t>.1</w:t>
            </w:r>
          </w:p>
          <w:p w14:paraId="51739494" w14:textId="0ACCED04" w:rsidR="00EC2A58" w:rsidRPr="00AD2748" w:rsidRDefault="001C79E6"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w:t>
            </w:r>
            <w:r w:rsidR="003F2200">
              <w:rPr>
                <w:rFonts w:eastAsia="Arial" w:cs="Arial"/>
                <w:lang w:val="fr-FR"/>
              </w:rPr>
              <w:t>8 septembre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6F3F358"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3F2200">
        <w:rPr>
          <w:rFonts w:eastAsia="Arial" w:cs="Arial"/>
          <w:bCs/>
          <w:lang w:val="fr-FR"/>
        </w:rPr>
        <w:t>1</w:t>
      </w:r>
      <w:r>
        <w:rPr>
          <w:rFonts w:eastAsia="Arial" w:cs="Arial"/>
          <w:bCs/>
          <w:lang w:val="fr-FR"/>
        </w:rPr>
        <w:t xml:space="preserve">2 – </w:t>
      </w:r>
      <w:r w:rsidR="003F2200">
        <w:rPr>
          <w:rFonts w:eastAsia="Arial" w:cs="Arial"/>
          <w:bCs/>
          <w:lang w:val="fr-FR"/>
        </w:rPr>
        <w:t>17 février 2024</w:t>
      </w:r>
    </w:p>
    <w:p w14:paraId="4DD0AB0D" w14:textId="25096546"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1C79E6">
        <w:rPr>
          <w:rFonts w:eastAsia="Arial" w:cs="Arial"/>
          <w:iCs/>
          <w:lang w:val="fr-FR"/>
        </w:rPr>
        <w:t>27.5</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006F3EE7" w:rsidR="00EC2A58" w:rsidRPr="001C79E6" w:rsidRDefault="001C79E6" w:rsidP="001C79E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SIRÉNIENS, PINNIPÈDES ET LOUTRES</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0A4445DD">
                <wp:simplePos x="0" y="0"/>
                <wp:positionH relativeFrom="column">
                  <wp:posOffset>781050</wp:posOffset>
                </wp:positionH>
                <wp:positionV relativeFrom="paragraph">
                  <wp:posOffset>147321</wp:posOffset>
                </wp:positionV>
                <wp:extent cx="4304666" cy="15430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543050"/>
                        </a:xfrm>
                        <a:prstGeom prst="rect">
                          <a:avLst/>
                        </a:prstGeom>
                        <a:solidFill>
                          <a:srgbClr val="FFFFFF"/>
                        </a:solidFill>
                        <a:ln w="3172">
                          <a:solidFill>
                            <a:srgbClr val="000000"/>
                          </a:solidFill>
                          <a:prstDash val="solid"/>
                        </a:ln>
                      </wps:spPr>
                      <wps:txbx>
                        <w:txbxContent>
                          <w:p w14:paraId="1663EA6C" w14:textId="77777777" w:rsidR="00EC2A58" w:rsidRPr="001C79E6"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63A1EE0" w14:textId="77777777" w:rsidR="001C79E6" w:rsidRPr="001C79E6" w:rsidRDefault="001C79E6" w:rsidP="001C79E6">
                            <w:pPr>
                              <w:jc w:val="both"/>
                              <w:rPr>
                                <w:rFonts w:cs="Arial"/>
                                <w:i/>
                                <w:lang w:val="fr-FR"/>
                              </w:rPr>
                            </w:pPr>
                            <w:r w:rsidRPr="001C79E6">
                              <w:rPr>
                                <w:rFonts w:cs="Arial"/>
                                <w:lang w:val="fr-FR"/>
                              </w:rPr>
                              <w:t>Le présent document fait état des progrès réalisés dans la mise en œuvre des Décisions 13.55 et 13.56 c), ainsi que 13.81-13.82, et propose des décisions pour adoption.</w:t>
                            </w:r>
                          </w:p>
                          <w:p w14:paraId="632D4326" w14:textId="77777777" w:rsidR="00233921" w:rsidRDefault="00233921" w:rsidP="00EC2A58">
                            <w:pPr>
                              <w:rPr>
                                <w:rFonts w:cs="Arial"/>
                                <w:lang w:val="fr-FR"/>
                              </w:rPr>
                            </w:pPr>
                          </w:p>
                          <w:p w14:paraId="2719F53F" w14:textId="34C2BA3C" w:rsidR="003F2200" w:rsidRDefault="003F2200" w:rsidP="00972ECD">
                            <w:pPr>
                              <w:jc w:val="both"/>
                              <w:rPr>
                                <w:rFonts w:cs="Arial"/>
                                <w:lang w:val="fr-FR"/>
                              </w:rPr>
                            </w:pPr>
                            <w:r>
                              <w:rPr>
                                <w:rFonts w:cs="Arial"/>
                                <w:lang w:val="fr-FR"/>
                              </w:rPr>
                              <w:t>La révision 1 harmonise la formulation des décisions adressées au Conseil scientifique.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38.95pt;height:1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" strokeweight=".08811mm">
                <v:textbox>
                  <w:txbxContent>
                    <w:p w14:paraId="1663EA6C" w14:textId="77777777" w:rsidR="00EC2A58" w:rsidRPr="001C79E6"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63A1EE0" w14:textId="77777777" w:rsidR="001C79E6" w:rsidRPr="001C79E6" w:rsidRDefault="001C79E6" w:rsidP="001C79E6">
                      <w:pPr>
                        <w:jc w:val="both"/>
                        <w:rPr>
                          <w:rFonts w:cs="Arial"/>
                          <w:i/>
                          <w:lang w:val="fr-FR"/>
                        </w:rPr>
                      </w:pPr>
                      <w:r w:rsidRPr="001C79E6">
                        <w:rPr>
                          <w:rFonts w:cs="Arial"/>
                          <w:lang w:val="fr-FR"/>
                        </w:rPr>
                        <w:t>Le présent document fait état des progrès réalisés dans la mise en œuvre des Décisions 13.55 et 13.56 c), ainsi que 13.81-13.82, et propose des décisions pour adoption.</w:t>
                      </w:r>
                    </w:p>
                    <w:p w14:paraId="632D4326" w14:textId="77777777" w:rsidR="00233921" w:rsidRDefault="00233921" w:rsidP="00EC2A58">
                      <w:pPr>
                        <w:rPr>
                          <w:rFonts w:cs="Arial"/>
                          <w:lang w:val="fr-FR"/>
                        </w:rPr>
                      </w:pPr>
                    </w:p>
                    <w:p w14:paraId="2719F53F" w14:textId="34C2BA3C" w:rsidR="003F2200" w:rsidRDefault="003F2200" w:rsidP="00972ECD">
                      <w:pPr>
                        <w:jc w:val="both"/>
                        <w:rPr>
                          <w:rFonts w:cs="Arial"/>
                          <w:lang w:val="fr-FR"/>
                        </w:rPr>
                      </w:pPr>
                      <w:r>
                        <w:rPr>
                          <w:rFonts w:cs="Arial"/>
                          <w:lang w:val="fr-FR"/>
                        </w:rPr>
                        <w:t>La révision 1 harmonise la formulation des décisions adressées au Conseil scientifique.</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24E58A5E" w14:textId="77777777" w:rsidR="001C79E6" w:rsidRPr="002E0DE9" w:rsidRDefault="001C79E6" w:rsidP="001C79E6">
      <w:pPr>
        <w:pStyle w:val="Title1"/>
        <w:rPr>
          <w:lang w:val="fr-FR"/>
        </w:rPr>
      </w:pPr>
      <w:r>
        <w:rPr>
          <w:bCs/>
          <w:lang w:val="fr-FR"/>
        </w:rPr>
        <w:lastRenderedPageBreak/>
        <w:t>SIRÉNIENS, PINNIPÈDES ET LOUTRES</w:t>
      </w:r>
    </w:p>
    <w:p w14:paraId="14FA05B4" w14:textId="77777777" w:rsidR="001C79E6" w:rsidRDefault="001C79E6" w:rsidP="001C79E6">
      <w:pPr>
        <w:suppressAutoHyphens/>
        <w:autoSpaceDN w:val="0"/>
        <w:textAlignment w:val="baseline"/>
        <w:rPr>
          <w:rFonts w:eastAsia="Calibri" w:cs="Arial"/>
          <w:lang w:val="fr-FR"/>
        </w:rPr>
      </w:pPr>
    </w:p>
    <w:p w14:paraId="56B97DCA" w14:textId="77777777" w:rsidR="001C79E6" w:rsidRPr="002E0DE9" w:rsidRDefault="001C79E6" w:rsidP="001C79E6">
      <w:pPr>
        <w:suppressAutoHyphens/>
        <w:autoSpaceDN w:val="0"/>
        <w:textAlignment w:val="baseline"/>
        <w:rPr>
          <w:rFonts w:eastAsia="Calibri" w:cs="Arial"/>
          <w:lang w:val="fr-FR"/>
        </w:rPr>
      </w:pPr>
    </w:p>
    <w:p w14:paraId="251B9F74" w14:textId="77777777" w:rsidR="001C79E6" w:rsidRPr="002E0DE9" w:rsidRDefault="001C79E6" w:rsidP="001C79E6">
      <w:pPr>
        <w:suppressAutoHyphens/>
        <w:autoSpaceDN w:val="0"/>
        <w:textAlignment w:val="baseline"/>
        <w:rPr>
          <w:rFonts w:eastAsia="Calibri" w:cs="Arial"/>
          <w:u w:val="single"/>
          <w:lang w:val="fr-FR"/>
        </w:rPr>
      </w:pPr>
      <w:r>
        <w:rPr>
          <w:rFonts w:eastAsia="Calibri" w:cs="Arial"/>
          <w:u w:val="single"/>
          <w:lang w:val="fr-FR"/>
        </w:rPr>
        <w:t>Contexte</w:t>
      </w:r>
    </w:p>
    <w:p w14:paraId="2FC0DC4A" w14:textId="77777777" w:rsidR="001C79E6" w:rsidRDefault="001C79E6" w:rsidP="001C79E6">
      <w:pPr>
        <w:rPr>
          <w:lang w:val="fr-FR"/>
        </w:rPr>
      </w:pPr>
    </w:p>
    <w:p w14:paraId="14CFD0BC" w14:textId="77777777" w:rsidR="001C79E6" w:rsidRDefault="001C79E6" w:rsidP="001C79E6">
      <w:pPr>
        <w:widowControl w:val="0"/>
        <w:numPr>
          <w:ilvl w:val="0"/>
          <w:numId w:val="3"/>
        </w:numPr>
        <w:autoSpaceDE w:val="0"/>
        <w:autoSpaceDN w:val="0"/>
        <w:adjustRightInd w:val="0"/>
        <w:ind w:left="567" w:hanging="567"/>
        <w:contextualSpacing/>
        <w:jc w:val="both"/>
        <w:rPr>
          <w:rFonts w:cs="Arial"/>
          <w:lang w:val="fr-FR"/>
        </w:rPr>
      </w:pPr>
      <w:r>
        <w:rPr>
          <w:rFonts w:cs="Arial"/>
          <w:lang w:val="fr-FR"/>
        </w:rPr>
        <w:t>Un mandat</w:t>
      </w:r>
      <w:r>
        <w:rPr>
          <w:rStyle w:val="FootnoteReference"/>
          <w:rFonts w:cs="Arial"/>
          <w:lang w:val="fr-FR"/>
        </w:rPr>
        <w:footnoteReference w:id="1"/>
      </w:r>
      <w:r>
        <w:rPr>
          <w:rFonts w:cs="Arial"/>
          <w:lang w:val="fr-FR"/>
        </w:rPr>
        <w:t xml:space="preserve"> pour l’examen des menaces pesant au niveau régional sur les mammifères aquatiques non cétacés, inscrits aux Annexes de la CMS, découle du Programme de travail mondial pour les cétacés (Résolution 10.15), adopté pour la première fois en 2011, puis repris dans une décision lors de la COP12. Sur la base de cet examen, le Conseil scientifique devait préparer une évaluation rigoureuse des menaces et des priorités régionales ainsi que des programmes de travail pour ces espèces de mammifères aquatiques non cétacés, à présenter à la COP11 de la CMS. Par manque de financement et de moyens d’action, ce mandat n’a pas été mis en œuvre et a été reporté sur les Décisions 13.81 et 13.82 dont les parties pertinentes sont reproduites ci-dessous :</w:t>
      </w:r>
    </w:p>
    <w:p w14:paraId="03878B93" w14:textId="77777777" w:rsidR="001C79E6" w:rsidRDefault="001C79E6" w:rsidP="001C79E6">
      <w:pPr>
        <w:widowControl w:val="0"/>
        <w:autoSpaceDE w:val="0"/>
        <w:autoSpaceDN w:val="0"/>
        <w:adjustRightInd w:val="0"/>
        <w:contextualSpacing/>
        <w:jc w:val="both"/>
        <w:rPr>
          <w:rFonts w:cs="Arial"/>
          <w:lang w:val="fr-FR"/>
        </w:rPr>
      </w:pPr>
    </w:p>
    <w:p w14:paraId="020240A0" w14:textId="71DAD9BB" w:rsidR="001C79E6" w:rsidRPr="001C79E6" w:rsidRDefault="001C79E6" w:rsidP="001C79E6">
      <w:pPr>
        <w:widowControl w:val="0"/>
        <w:autoSpaceDE w:val="0"/>
        <w:autoSpaceDN w:val="0"/>
        <w:adjustRightInd w:val="0"/>
        <w:ind w:left="709"/>
        <w:jc w:val="both"/>
        <w:rPr>
          <w:rFonts w:cs="Arial"/>
          <w:b/>
          <w:bCs/>
          <w:i/>
          <w:iCs/>
          <w:sz w:val="20"/>
          <w:szCs w:val="20"/>
          <w:lang w:val="fr-FR"/>
        </w:rPr>
      </w:pPr>
      <w:r w:rsidRPr="001C79E6">
        <w:rPr>
          <w:rFonts w:cs="Arial"/>
          <w:b/>
          <w:bCs/>
          <w:i/>
          <w:iCs/>
          <w:sz w:val="20"/>
          <w:szCs w:val="20"/>
          <w:lang w:val="fr-FR"/>
        </w:rPr>
        <w:t>13.81 Adressée au groupe de travail du Conseil scientifique sur les mammifères aquatiques</w:t>
      </w:r>
    </w:p>
    <w:p w14:paraId="2B75F2C6" w14:textId="77777777" w:rsidR="001C79E6" w:rsidRPr="001C79E6" w:rsidRDefault="001C79E6" w:rsidP="001C79E6">
      <w:pPr>
        <w:widowControl w:val="0"/>
        <w:autoSpaceDE w:val="0"/>
        <w:autoSpaceDN w:val="0"/>
        <w:adjustRightInd w:val="0"/>
        <w:ind w:left="709"/>
        <w:jc w:val="both"/>
        <w:rPr>
          <w:rFonts w:cs="Arial"/>
          <w:i/>
          <w:iCs/>
          <w:sz w:val="20"/>
          <w:szCs w:val="20"/>
          <w:lang w:val="fr-FR"/>
        </w:rPr>
      </w:pPr>
    </w:p>
    <w:p w14:paraId="66EF55B2" w14:textId="316FC7F7" w:rsidR="001C79E6" w:rsidRPr="001C79E6" w:rsidRDefault="001C79E6" w:rsidP="001C79E6">
      <w:pPr>
        <w:widowControl w:val="0"/>
        <w:autoSpaceDE w:val="0"/>
        <w:autoSpaceDN w:val="0"/>
        <w:adjustRightInd w:val="0"/>
        <w:ind w:left="709"/>
        <w:jc w:val="both"/>
        <w:rPr>
          <w:rFonts w:cs="Arial"/>
          <w:i/>
          <w:iCs/>
          <w:sz w:val="20"/>
          <w:szCs w:val="20"/>
          <w:lang w:val="fr-FR"/>
        </w:rPr>
      </w:pPr>
      <w:r w:rsidRPr="001C79E6">
        <w:rPr>
          <w:rFonts w:cs="Arial"/>
          <w:i/>
          <w:iCs/>
          <w:sz w:val="20"/>
          <w:szCs w:val="20"/>
          <w:lang w:val="fr-FR"/>
        </w:rPr>
        <w:t>Le groupe de travail sur les mammifères aquatiques, est prié, sous réserve de la disponibilité des ressources nécessaires, de :</w:t>
      </w:r>
    </w:p>
    <w:p w14:paraId="06B76E40" w14:textId="77777777" w:rsidR="001C79E6" w:rsidRPr="001C79E6" w:rsidRDefault="001C79E6" w:rsidP="001C79E6">
      <w:pPr>
        <w:widowControl w:val="0"/>
        <w:autoSpaceDE w:val="0"/>
        <w:autoSpaceDN w:val="0"/>
        <w:adjustRightInd w:val="0"/>
        <w:ind w:left="709"/>
        <w:jc w:val="both"/>
        <w:rPr>
          <w:rFonts w:cs="Arial"/>
          <w:i/>
          <w:iCs/>
          <w:sz w:val="20"/>
          <w:szCs w:val="20"/>
          <w:lang w:val="fr-FR"/>
        </w:rPr>
      </w:pPr>
    </w:p>
    <w:p w14:paraId="460D45E5" w14:textId="309BED8A" w:rsidR="001C79E6" w:rsidRPr="001C79E6" w:rsidRDefault="001C79E6" w:rsidP="001C79E6">
      <w:pPr>
        <w:pStyle w:val="ListParagraph"/>
        <w:widowControl w:val="0"/>
        <w:numPr>
          <w:ilvl w:val="0"/>
          <w:numId w:val="4"/>
        </w:numPr>
        <w:autoSpaceDE w:val="0"/>
        <w:autoSpaceDN w:val="0"/>
        <w:adjustRightInd w:val="0"/>
        <w:ind w:left="1134" w:hanging="425"/>
        <w:jc w:val="both"/>
        <w:rPr>
          <w:rFonts w:cs="Arial"/>
          <w:i/>
          <w:iCs/>
          <w:sz w:val="20"/>
          <w:szCs w:val="20"/>
          <w:lang w:val="fr-FR"/>
        </w:rPr>
      </w:pPr>
      <w:r w:rsidRPr="001C79E6">
        <w:rPr>
          <w:rFonts w:cs="Arial"/>
          <w:i/>
          <w:iCs/>
          <w:sz w:val="20"/>
          <w:szCs w:val="20"/>
          <w:lang w:val="fr-FR"/>
        </w:rPr>
        <w:t>examiner les menaces pesant au niveau régional sur les mammifères marins inscrits aux Annexes de la CMS non inclus dans le Programme de travail mondial pour les cétacés […];</w:t>
      </w:r>
    </w:p>
    <w:p w14:paraId="063F4853" w14:textId="77777777" w:rsidR="001C79E6" w:rsidRPr="001C79E6" w:rsidRDefault="001C79E6" w:rsidP="001C79E6">
      <w:pPr>
        <w:pStyle w:val="ListParagraph"/>
        <w:widowControl w:val="0"/>
        <w:autoSpaceDE w:val="0"/>
        <w:autoSpaceDN w:val="0"/>
        <w:adjustRightInd w:val="0"/>
        <w:ind w:left="1134" w:hanging="425"/>
        <w:jc w:val="both"/>
        <w:rPr>
          <w:rFonts w:cs="Arial"/>
          <w:i/>
          <w:iCs/>
          <w:sz w:val="20"/>
          <w:szCs w:val="20"/>
          <w:lang w:val="fr-FR"/>
        </w:rPr>
      </w:pPr>
    </w:p>
    <w:p w14:paraId="44C63B5E" w14:textId="074CE420" w:rsidR="001C79E6" w:rsidRPr="001C79E6" w:rsidRDefault="001C79E6" w:rsidP="001C79E6">
      <w:pPr>
        <w:pStyle w:val="ListParagraph"/>
        <w:widowControl w:val="0"/>
        <w:numPr>
          <w:ilvl w:val="0"/>
          <w:numId w:val="4"/>
        </w:numPr>
        <w:autoSpaceDE w:val="0"/>
        <w:autoSpaceDN w:val="0"/>
        <w:adjustRightInd w:val="0"/>
        <w:ind w:left="1134" w:hanging="425"/>
        <w:jc w:val="both"/>
        <w:rPr>
          <w:rFonts w:cs="Arial"/>
          <w:i/>
          <w:iCs/>
          <w:sz w:val="20"/>
          <w:szCs w:val="20"/>
          <w:lang w:val="fr-FR"/>
        </w:rPr>
      </w:pPr>
      <w:r w:rsidRPr="001C79E6">
        <w:rPr>
          <w:rFonts w:cs="Arial"/>
          <w:i/>
          <w:iCs/>
          <w:sz w:val="20"/>
          <w:szCs w:val="20"/>
          <w:lang w:val="fr-FR"/>
        </w:rPr>
        <w:t>sur la base de cette évaluation des menaces et des priorités régionales, préparer des programmes de travail pour ces autres espèces de mammifères aquatiques, pour examen par le Conseil scientifique lors de la 5e ou de la 6e réunion de son Comité de session;</w:t>
      </w:r>
    </w:p>
    <w:p w14:paraId="03E06D3A" w14:textId="77777777" w:rsidR="001C79E6" w:rsidRPr="001C79E6" w:rsidRDefault="001C79E6" w:rsidP="001C79E6">
      <w:pPr>
        <w:widowControl w:val="0"/>
        <w:autoSpaceDE w:val="0"/>
        <w:autoSpaceDN w:val="0"/>
        <w:adjustRightInd w:val="0"/>
        <w:ind w:left="709"/>
        <w:contextualSpacing/>
        <w:jc w:val="both"/>
        <w:rPr>
          <w:rFonts w:cs="Arial"/>
          <w:i/>
          <w:iCs/>
          <w:lang w:val="fr-FR"/>
        </w:rPr>
      </w:pPr>
    </w:p>
    <w:p w14:paraId="53CB0902" w14:textId="287835C5" w:rsidR="001C79E6" w:rsidRPr="001C79E6" w:rsidRDefault="001C79E6" w:rsidP="001C79E6">
      <w:pPr>
        <w:widowControl w:val="0"/>
        <w:autoSpaceDE w:val="0"/>
        <w:autoSpaceDN w:val="0"/>
        <w:adjustRightInd w:val="0"/>
        <w:ind w:left="709"/>
        <w:jc w:val="both"/>
        <w:rPr>
          <w:rFonts w:cs="Arial"/>
          <w:b/>
          <w:bCs/>
          <w:i/>
          <w:iCs/>
          <w:sz w:val="20"/>
          <w:szCs w:val="20"/>
          <w:lang w:val="fr-FR"/>
        </w:rPr>
      </w:pPr>
      <w:r w:rsidRPr="001C79E6">
        <w:rPr>
          <w:rFonts w:cs="Arial"/>
          <w:b/>
          <w:bCs/>
          <w:i/>
          <w:iCs/>
          <w:sz w:val="20"/>
          <w:szCs w:val="20"/>
          <w:lang w:val="fr-FR"/>
        </w:rPr>
        <w:t xml:space="preserve">13.82 Adressée au Conseil </w:t>
      </w:r>
      <w:proofErr w:type="spellStart"/>
      <w:r w:rsidRPr="001C79E6">
        <w:rPr>
          <w:rFonts w:cs="Arial"/>
          <w:b/>
          <w:bCs/>
          <w:i/>
          <w:iCs/>
          <w:sz w:val="20"/>
          <w:szCs w:val="20"/>
          <w:lang w:val="fr-FR"/>
        </w:rPr>
        <w:t>scientifiquel</w:t>
      </w:r>
      <w:proofErr w:type="spellEnd"/>
    </w:p>
    <w:p w14:paraId="2F2581BF" w14:textId="77777777" w:rsidR="001C79E6" w:rsidRPr="001C79E6" w:rsidRDefault="001C79E6" w:rsidP="001C79E6">
      <w:pPr>
        <w:widowControl w:val="0"/>
        <w:autoSpaceDE w:val="0"/>
        <w:autoSpaceDN w:val="0"/>
        <w:adjustRightInd w:val="0"/>
        <w:ind w:left="709"/>
        <w:jc w:val="both"/>
        <w:rPr>
          <w:rFonts w:cs="Arial"/>
          <w:i/>
          <w:iCs/>
          <w:sz w:val="20"/>
          <w:szCs w:val="20"/>
          <w:lang w:val="fr-FR"/>
        </w:rPr>
      </w:pPr>
    </w:p>
    <w:p w14:paraId="4CEF4511" w14:textId="60AF9281" w:rsidR="001C79E6" w:rsidRPr="001C79E6" w:rsidRDefault="001C79E6" w:rsidP="001C79E6">
      <w:pPr>
        <w:widowControl w:val="0"/>
        <w:autoSpaceDE w:val="0"/>
        <w:autoSpaceDN w:val="0"/>
        <w:adjustRightInd w:val="0"/>
        <w:ind w:left="709"/>
        <w:jc w:val="both"/>
        <w:rPr>
          <w:rFonts w:cs="Arial"/>
          <w:i/>
          <w:iCs/>
          <w:sz w:val="20"/>
          <w:szCs w:val="20"/>
          <w:lang w:val="fr-FR"/>
        </w:rPr>
      </w:pPr>
      <w:r w:rsidRPr="001C79E6">
        <w:rPr>
          <w:rFonts w:cs="Arial"/>
          <w:i/>
          <w:iCs/>
          <w:sz w:val="20"/>
          <w:szCs w:val="20"/>
          <w:lang w:val="fr-FR"/>
        </w:rPr>
        <w:t>Le conseil scientifique, est prié, sous réserve de la disponibilité des ressources nécessaires, de:</w:t>
      </w:r>
    </w:p>
    <w:p w14:paraId="12397E5C" w14:textId="77777777" w:rsidR="001C79E6" w:rsidRPr="001C79E6" w:rsidRDefault="001C79E6" w:rsidP="001C79E6">
      <w:pPr>
        <w:widowControl w:val="0"/>
        <w:autoSpaceDE w:val="0"/>
        <w:autoSpaceDN w:val="0"/>
        <w:adjustRightInd w:val="0"/>
        <w:ind w:left="709"/>
        <w:jc w:val="both"/>
        <w:rPr>
          <w:rFonts w:cs="Arial"/>
          <w:i/>
          <w:iCs/>
          <w:sz w:val="20"/>
          <w:szCs w:val="20"/>
          <w:lang w:val="fr-FR"/>
        </w:rPr>
      </w:pPr>
    </w:p>
    <w:p w14:paraId="42B15974" w14:textId="250F8729" w:rsidR="001C79E6" w:rsidRPr="001C79E6" w:rsidRDefault="001C79E6" w:rsidP="001C79E6">
      <w:pPr>
        <w:pStyle w:val="ListParagraph"/>
        <w:widowControl w:val="0"/>
        <w:numPr>
          <w:ilvl w:val="0"/>
          <w:numId w:val="5"/>
        </w:numPr>
        <w:autoSpaceDE w:val="0"/>
        <w:autoSpaceDN w:val="0"/>
        <w:adjustRightInd w:val="0"/>
        <w:ind w:left="1134" w:hanging="425"/>
        <w:jc w:val="both"/>
        <w:rPr>
          <w:rFonts w:cs="Arial"/>
          <w:i/>
          <w:iCs/>
          <w:sz w:val="20"/>
          <w:szCs w:val="20"/>
          <w:lang w:val="fr-FR"/>
        </w:rPr>
      </w:pPr>
      <w:r w:rsidRPr="001C79E6">
        <w:rPr>
          <w:rFonts w:cs="Arial"/>
          <w:i/>
          <w:iCs/>
          <w:sz w:val="20"/>
          <w:szCs w:val="20"/>
          <w:lang w:val="fr-FR"/>
        </w:rPr>
        <w:t>examiner les évaluations des menaces régionales et les programmes de travail résultants élaborés par le groupe de travail sur les mammifères aquatiques et formuler des recommandations à la COP14;</w:t>
      </w:r>
    </w:p>
    <w:p w14:paraId="28C17C4D" w14:textId="77777777" w:rsidR="001C79E6" w:rsidRPr="001C79E6" w:rsidRDefault="001C79E6" w:rsidP="001C79E6">
      <w:pPr>
        <w:pStyle w:val="ListParagraph"/>
        <w:widowControl w:val="0"/>
        <w:autoSpaceDE w:val="0"/>
        <w:autoSpaceDN w:val="0"/>
        <w:adjustRightInd w:val="0"/>
        <w:ind w:left="927"/>
        <w:jc w:val="both"/>
        <w:rPr>
          <w:rFonts w:cs="Arial"/>
          <w:i/>
          <w:iCs/>
          <w:lang w:val="fr-FR"/>
        </w:rPr>
      </w:pPr>
    </w:p>
    <w:p w14:paraId="21CA628D" w14:textId="75110819" w:rsidR="001C79E6" w:rsidRPr="00F251AB"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En outre, la COP13 de 2020 a adopté les décisions suivantes concernant les dugongs:</w:t>
      </w:r>
    </w:p>
    <w:p w14:paraId="6C33871F" w14:textId="77777777" w:rsidR="001C79E6" w:rsidRDefault="001C79E6" w:rsidP="001C79E6">
      <w:pPr>
        <w:widowControl w:val="0"/>
        <w:autoSpaceDE w:val="0"/>
        <w:autoSpaceDN w:val="0"/>
        <w:adjustRightInd w:val="0"/>
        <w:ind w:left="567"/>
        <w:contextualSpacing/>
        <w:jc w:val="both"/>
        <w:rPr>
          <w:rFonts w:cs="Arial"/>
          <w:b/>
          <w:bCs/>
          <w:i/>
          <w:iCs/>
          <w:sz w:val="20"/>
          <w:szCs w:val="20"/>
          <w:lang w:val="fr-FR"/>
        </w:rPr>
      </w:pPr>
    </w:p>
    <w:p w14:paraId="0FD3B08B" w14:textId="7B2797CF" w:rsidR="001C79E6" w:rsidRPr="009F1640" w:rsidRDefault="001C79E6" w:rsidP="001C79E6">
      <w:pPr>
        <w:widowControl w:val="0"/>
        <w:autoSpaceDE w:val="0"/>
        <w:autoSpaceDN w:val="0"/>
        <w:adjustRightInd w:val="0"/>
        <w:ind w:left="709"/>
        <w:contextualSpacing/>
        <w:jc w:val="both"/>
        <w:rPr>
          <w:rFonts w:cs="Arial"/>
          <w:b/>
          <w:bCs/>
          <w:i/>
          <w:iCs/>
          <w:sz w:val="20"/>
          <w:szCs w:val="20"/>
          <w:lang w:val="fr-FR"/>
        </w:rPr>
      </w:pPr>
      <w:r w:rsidRPr="009F1640">
        <w:rPr>
          <w:rFonts w:cs="Arial"/>
          <w:b/>
          <w:bCs/>
          <w:i/>
          <w:iCs/>
          <w:sz w:val="20"/>
          <w:szCs w:val="20"/>
          <w:lang w:val="fr-FR"/>
        </w:rPr>
        <w:t>13.55 Adressée aux Parties</w:t>
      </w:r>
    </w:p>
    <w:p w14:paraId="472876C6" w14:textId="77777777" w:rsidR="001C79E6" w:rsidRPr="009F1640" w:rsidRDefault="001C79E6" w:rsidP="001C79E6">
      <w:pPr>
        <w:widowControl w:val="0"/>
        <w:autoSpaceDE w:val="0"/>
        <w:autoSpaceDN w:val="0"/>
        <w:adjustRightInd w:val="0"/>
        <w:ind w:left="709"/>
        <w:contextualSpacing/>
        <w:jc w:val="both"/>
        <w:rPr>
          <w:rFonts w:cs="Arial"/>
          <w:b/>
          <w:bCs/>
          <w:i/>
          <w:iCs/>
          <w:sz w:val="20"/>
          <w:szCs w:val="20"/>
          <w:lang w:val="fr-FR"/>
        </w:rPr>
      </w:pPr>
    </w:p>
    <w:p w14:paraId="76615F32" w14:textId="1D2761E5" w:rsidR="001C79E6" w:rsidRPr="009F1640" w:rsidRDefault="001C79E6" w:rsidP="001C79E6">
      <w:pPr>
        <w:widowControl w:val="0"/>
        <w:autoSpaceDE w:val="0"/>
        <w:autoSpaceDN w:val="0"/>
        <w:adjustRightInd w:val="0"/>
        <w:ind w:left="709"/>
        <w:contextualSpacing/>
        <w:jc w:val="both"/>
        <w:rPr>
          <w:rFonts w:cs="Arial"/>
          <w:i/>
          <w:iCs/>
          <w:sz w:val="20"/>
          <w:szCs w:val="20"/>
          <w:lang w:val="fr-FR"/>
        </w:rPr>
      </w:pPr>
      <w:r w:rsidRPr="009F1640">
        <w:rPr>
          <w:rFonts w:cs="Arial"/>
          <w:i/>
          <w:iCs/>
          <w:sz w:val="20"/>
          <w:szCs w:val="20"/>
          <w:lang w:val="fr-FR"/>
        </w:rPr>
        <w:t xml:space="preserve">Les Parties qui sont des États de l’aire de répartition du Dugong dugon sont invitées à déterminer, en consultant notamment le Mémorandum d’entente sur la conservation et la gestion des dugongs (Dugong dugon) et de leurs habitats dans l’ensemble de leur aire de répartition, si leur population de l’espèce au niveau régional mérite d’être inscrite à l’Annexe I de la </w:t>
      </w:r>
      <w:proofErr w:type="gramStart"/>
      <w:r w:rsidRPr="009F1640">
        <w:rPr>
          <w:rFonts w:cs="Arial"/>
          <w:i/>
          <w:iCs/>
          <w:sz w:val="20"/>
          <w:szCs w:val="20"/>
          <w:lang w:val="fr-FR"/>
        </w:rPr>
        <w:t>CMS..</w:t>
      </w:r>
      <w:proofErr w:type="gramEnd"/>
    </w:p>
    <w:p w14:paraId="108DF621" w14:textId="77777777" w:rsidR="001C79E6" w:rsidRPr="009F1640" w:rsidRDefault="001C79E6" w:rsidP="001C79E6">
      <w:pPr>
        <w:widowControl w:val="0"/>
        <w:autoSpaceDE w:val="0"/>
        <w:autoSpaceDN w:val="0"/>
        <w:adjustRightInd w:val="0"/>
        <w:ind w:left="709"/>
        <w:contextualSpacing/>
        <w:jc w:val="both"/>
        <w:rPr>
          <w:rFonts w:cs="Arial"/>
          <w:b/>
          <w:bCs/>
          <w:i/>
          <w:iCs/>
          <w:sz w:val="20"/>
          <w:szCs w:val="20"/>
          <w:lang w:val="fr-FR"/>
        </w:rPr>
      </w:pPr>
    </w:p>
    <w:p w14:paraId="3128184C" w14:textId="53C7B869" w:rsidR="001C79E6" w:rsidRPr="009F1640" w:rsidRDefault="001C79E6" w:rsidP="001C79E6">
      <w:pPr>
        <w:widowControl w:val="0"/>
        <w:autoSpaceDE w:val="0"/>
        <w:autoSpaceDN w:val="0"/>
        <w:adjustRightInd w:val="0"/>
        <w:ind w:left="709"/>
        <w:contextualSpacing/>
        <w:jc w:val="both"/>
        <w:rPr>
          <w:rFonts w:cs="Arial"/>
          <w:b/>
          <w:i/>
          <w:sz w:val="20"/>
          <w:szCs w:val="20"/>
          <w:lang w:val="fr-FR"/>
        </w:rPr>
      </w:pPr>
      <w:r w:rsidRPr="009F1640">
        <w:rPr>
          <w:rFonts w:cs="Arial"/>
          <w:b/>
          <w:bCs/>
          <w:i/>
          <w:iCs/>
          <w:sz w:val="20"/>
          <w:szCs w:val="20"/>
          <w:lang w:val="fr-FR"/>
        </w:rPr>
        <w:t>13.56</w:t>
      </w:r>
      <w:r w:rsidRPr="009F1640">
        <w:rPr>
          <w:rFonts w:cs="Arial"/>
          <w:b/>
          <w:i/>
          <w:sz w:val="20"/>
          <w:szCs w:val="20"/>
          <w:lang w:val="fr-FR"/>
        </w:rPr>
        <w:t xml:space="preserve"> </w:t>
      </w:r>
      <w:r w:rsidRPr="009F1640">
        <w:rPr>
          <w:rFonts w:cs="Arial"/>
          <w:b/>
          <w:i/>
          <w:sz w:val="20"/>
          <w:szCs w:val="20"/>
          <w:lang w:val="fr-FR"/>
        </w:rPr>
        <w:tab/>
      </w:r>
      <w:r w:rsidR="009F1640" w:rsidRPr="009F1640">
        <w:rPr>
          <w:rFonts w:cs="Arial"/>
          <w:b/>
          <w:i/>
          <w:sz w:val="20"/>
          <w:szCs w:val="20"/>
          <w:lang w:val="fr-FR"/>
        </w:rPr>
        <w:t>Adressée au Conseil scientifique</w:t>
      </w:r>
    </w:p>
    <w:p w14:paraId="6A38D9F3" w14:textId="77777777" w:rsidR="001C79E6" w:rsidRPr="009F1640" w:rsidRDefault="001C79E6" w:rsidP="001C79E6">
      <w:pPr>
        <w:widowControl w:val="0"/>
        <w:autoSpaceDE w:val="0"/>
        <w:autoSpaceDN w:val="0"/>
        <w:adjustRightInd w:val="0"/>
        <w:ind w:left="709"/>
        <w:contextualSpacing/>
        <w:jc w:val="both"/>
        <w:rPr>
          <w:rFonts w:cs="Arial"/>
          <w:b/>
          <w:i/>
          <w:sz w:val="20"/>
          <w:szCs w:val="20"/>
          <w:lang w:val="fr-FR"/>
        </w:rPr>
      </w:pPr>
    </w:p>
    <w:p w14:paraId="50F1797D" w14:textId="7DD512C7" w:rsidR="009F1640" w:rsidRPr="009F1640" w:rsidRDefault="001C79E6" w:rsidP="009F1640">
      <w:pPr>
        <w:ind w:left="1134" w:hanging="425"/>
        <w:jc w:val="both"/>
        <w:rPr>
          <w:rFonts w:cs="Arial"/>
          <w:i/>
          <w:iCs/>
          <w:sz w:val="20"/>
          <w:szCs w:val="20"/>
          <w:lang w:val="fr-FR"/>
        </w:rPr>
      </w:pPr>
      <w:r w:rsidRPr="009F1640">
        <w:rPr>
          <w:rFonts w:cs="Arial"/>
          <w:i/>
          <w:iCs/>
          <w:sz w:val="20"/>
          <w:szCs w:val="20"/>
          <w:lang w:val="fr-FR"/>
        </w:rPr>
        <w:t>c)</w:t>
      </w:r>
      <w:r w:rsidRPr="009F1640">
        <w:rPr>
          <w:lang w:val="fr-FR"/>
        </w:rPr>
        <w:t xml:space="preserve"> </w:t>
      </w:r>
      <w:r w:rsidR="009F1640" w:rsidRPr="009F1640">
        <w:rPr>
          <w:lang w:val="fr-FR"/>
        </w:rPr>
        <w:tab/>
      </w:r>
      <w:r w:rsidR="009F1640" w:rsidRPr="009F1640">
        <w:rPr>
          <w:rFonts w:cs="Arial"/>
          <w:i/>
          <w:iCs/>
          <w:sz w:val="20"/>
          <w:szCs w:val="20"/>
          <w:lang w:val="fr-FR"/>
        </w:rPr>
        <w:t>fournir aux Parties, sur demande, des avis sur l’intérêt scientifique d’inscrire les populations régionales de Dugong dugon à l’Annexe I de la CMS.</w:t>
      </w:r>
    </w:p>
    <w:p w14:paraId="129E5D4C" w14:textId="77777777" w:rsidR="001C79E6" w:rsidRPr="003F2200" w:rsidRDefault="001C79E6" w:rsidP="009F1640">
      <w:pPr>
        <w:widowControl w:val="0"/>
        <w:autoSpaceDE w:val="0"/>
        <w:autoSpaceDN w:val="0"/>
        <w:adjustRightInd w:val="0"/>
        <w:contextualSpacing/>
        <w:jc w:val="both"/>
        <w:rPr>
          <w:rFonts w:cs="Arial"/>
          <w:lang w:val="fr-FR"/>
        </w:rPr>
      </w:pPr>
    </w:p>
    <w:p w14:paraId="606DE46E" w14:textId="77777777" w:rsidR="001C79E6" w:rsidRDefault="001C79E6" w:rsidP="001C79E6">
      <w:pPr>
        <w:widowControl w:val="0"/>
        <w:numPr>
          <w:ilvl w:val="0"/>
          <w:numId w:val="3"/>
        </w:numPr>
        <w:autoSpaceDE w:val="0"/>
        <w:autoSpaceDN w:val="0"/>
        <w:adjustRightInd w:val="0"/>
        <w:ind w:left="567" w:hanging="567"/>
        <w:contextualSpacing/>
        <w:jc w:val="both"/>
        <w:rPr>
          <w:rFonts w:cs="Arial"/>
          <w:lang w:val="fr-FR"/>
        </w:rPr>
      </w:pPr>
      <w:r>
        <w:rPr>
          <w:rFonts w:cs="Arial"/>
          <w:lang w:val="fr-FR"/>
        </w:rPr>
        <w:lastRenderedPageBreak/>
        <w:t>Les Annexes de la CMS contiennent quatre espèces de siréniens, six espèces de pinnipèdes et deux espèces de loutres :</w:t>
      </w:r>
    </w:p>
    <w:p w14:paraId="08CFF7DE" w14:textId="77777777" w:rsidR="001C79E6" w:rsidRDefault="001C79E6" w:rsidP="001C79E6">
      <w:pPr>
        <w:widowControl w:val="0"/>
        <w:autoSpaceDE w:val="0"/>
        <w:autoSpaceDN w:val="0"/>
        <w:adjustRightInd w:val="0"/>
        <w:contextualSpacing/>
        <w:jc w:val="both"/>
        <w:rPr>
          <w:rFonts w:cs="Arial"/>
          <w:lang w:val="fr-FR"/>
        </w:rPr>
      </w:pPr>
    </w:p>
    <w:tbl>
      <w:tblPr>
        <w:tblStyle w:val="TableGrid"/>
        <w:tblW w:w="0" w:type="auto"/>
        <w:tblLayout w:type="fixed"/>
        <w:tblLook w:val="04A0" w:firstRow="1" w:lastRow="0" w:firstColumn="1" w:lastColumn="0" w:noHBand="0" w:noVBand="1"/>
      </w:tblPr>
      <w:tblGrid>
        <w:gridCol w:w="1696"/>
        <w:gridCol w:w="1985"/>
        <w:gridCol w:w="1417"/>
        <w:gridCol w:w="1560"/>
        <w:gridCol w:w="2358"/>
      </w:tblGrid>
      <w:tr w:rsidR="001C79E6" w:rsidRPr="00972ECD" w14:paraId="3324E326" w14:textId="77777777" w:rsidTr="000248D6">
        <w:trPr>
          <w:trHeight w:val="375"/>
          <w:tblHeader/>
        </w:trPr>
        <w:tc>
          <w:tcPr>
            <w:tcW w:w="1696" w:type="dxa"/>
            <w:shd w:val="clear" w:color="auto" w:fill="BFBFBF" w:themeFill="background1" w:themeFillShade="BF"/>
            <w:noWrap/>
            <w:hideMark/>
          </w:tcPr>
          <w:p w14:paraId="2D64C5EF" w14:textId="77777777" w:rsidR="001C79E6" w:rsidRPr="00FC65D9" w:rsidRDefault="001C79E6" w:rsidP="000248D6">
            <w:pPr>
              <w:pStyle w:val="FootnoteText"/>
              <w:rPr>
                <w:rFonts w:cs="Arial"/>
                <w:b/>
                <w:lang w:val="fr-FR"/>
              </w:rPr>
            </w:pPr>
            <w:r>
              <w:rPr>
                <w:rFonts w:cs="Arial"/>
                <w:b/>
                <w:bCs/>
                <w:lang w:val="fr-FR"/>
              </w:rPr>
              <w:t>Nom scientifique</w:t>
            </w:r>
          </w:p>
        </w:tc>
        <w:tc>
          <w:tcPr>
            <w:tcW w:w="1985" w:type="dxa"/>
            <w:shd w:val="clear" w:color="auto" w:fill="BFBFBF" w:themeFill="background1" w:themeFillShade="BF"/>
            <w:noWrap/>
            <w:hideMark/>
          </w:tcPr>
          <w:p w14:paraId="0E0A23D7" w14:textId="77777777" w:rsidR="001C79E6" w:rsidRPr="00FC65D9" w:rsidRDefault="001C79E6" w:rsidP="000248D6">
            <w:pPr>
              <w:pStyle w:val="FootnoteText"/>
              <w:rPr>
                <w:rFonts w:cs="Arial"/>
                <w:b/>
                <w:bCs/>
                <w:lang w:val="fr-FR"/>
              </w:rPr>
            </w:pPr>
            <w:r>
              <w:rPr>
                <w:rFonts w:cs="Arial"/>
                <w:b/>
                <w:bCs/>
                <w:lang w:val="fr-FR"/>
              </w:rPr>
              <w:t>Nom commun</w:t>
            </w:r>
          </w:p>
        </w:tc>
        <w:tc>
          <w:tcPr>
            <w:tcW w:w="1417" w:type="dxa"/>
            <w:shd w:val="clear" w:color="auto" w:fill="BFBFBF" w:themeFill="background1" w:themeFillShade="BF"/>
            <w:noWrap/>
            <w:hideMark/>
          </w:tcPr>
          <w:p w14:paraId="360DA38E" w14:textId="77777777" w:rsidR="001C79E6" w:rsidRPr="00FC65D9" w:rsidRDefault="001C79E6" w:rsidP="000248D6">
            <w:pPr>
              <w:pStyle w:val="FootnoteText"/>
              <w:rPr>
                <w:rFonts w:cs="Arial"/>
                <w:b/>
                <w:bCs/>
                <w:lang w:val="fr-FR"/>
              </w:rPr>
            </w:pPr>
            <w:r>
              <w:rPr>
                <w:rFonts w:cs="Arial"/>
                <w:b/>
                <w:bCs/>
                <w:lang w:val="fr-FR"/>
              </w:rPr>
              <w:t xml:space="preserve">Année d’inscription </w:t>
            </w:r>
            <w:proofErr w:type="spellStart"/>
            <w:r>
              <w:rPr>
                <w:rFonts w:cs="Arial"/>
                <w:b/>
                <w:bCs/>
                <w:lang w:val="fr-FR"/>
              </w:rPr>
              <w:t>àl’Annexe</w:t>
            </w:r>
            <w:proofErr w:type="spellEnd"/>
            <w:r>
              <w:rPr>
                <w:rFonts w:cs="Arial"/>
                <w:b/>
                <w:bCs/>
                <w:lang w:val="fr-FR"/>
              </w:rPr>
              <w:t xml:space="preserve"> I</w:t>
            </w:r>
          </w:p>
        </w:tc>
        <w:tc>
          <w:tcPr>
            <w:tcW w:w="1560" w:type="dxa"/>
            <w:shd w:val="clear" w:color="auto" w:fill="BFBFBF" w:themeFill="background1" w:themeFillShade="BF"/>
            <w:noWrap/>
            <w:hideMark/>
          </w:tcPr>
          <w:p w14:paraId="44485E1F" w14:textId="77777777" w:rsidR="001C79E6" w:rsidRPr="00FC65D9" w:rsidRDefault="001C79E6" w:rsidP="000248D6">
            <w:pPr>
              <w:pStyle w:val="FootnoteText"/>
              <w:rPr>
                <w:rFonts w:cs="Arial"/>
                <w:b/>
                <w:bCs/>
                <w:lang w:val="fr-FR"/>
              </w:rPr>
            </w:pPr>
            <w:r>
              <w:rPr>
                <w:rFonts w:cs="Arial"/>
                <w:b/>
                <w:bCs/>
                <w:lang w:val="fr-FR"/>
              </w:rPr>
              <w:t xml:space="preserve">Année d’inscription </w:t>
            </w:r>
            <w:proofErr w:type="spellStart"/>
            <w:r>
              <w:rPr>
                <w:rFonts w:cs="Arial"/>
                <w:b/>
                <w:bCs/>
                <w:lang w:val="fr-FR"/>
              </w:rPr>
              <w:t>àl’Annexe</w:t>
            </w:r>
            <w:proofErr w:type="spellEnd"/>
            <w:r>
              <w:rPr>
                <w:rFonts w:cs="Arial"/>
                <w:b/>
                <w:bCs/>
                <w:lang w:val="fr-FR"/>
              </w:rPr>
              <w:t xml:space="preserve"> II</w:t>
            </w:r>
          </w:p>
        </w:tc>
        <w:tc>
          <w:tcPr>
            <w:tcW w:w="2358" w:type="dxa"/>
            <w:shd w:val="clear" w:color="auto" w:fill="BFBFBF" w:themeFill="background1" w:themeFillShade="BF"/>
          </w:tcPr>
          <w:p w14:paraId="274F9571" w14:textId="77777777" w:rsidR="001C79E6" w:rsidRPr="00FC65D9" w:rsidRDefault="001C79E6" w:rsidP="000248D6">
            <w:pPr>
              <w:pStyle w:val="FootnoteText"/>
              <w:rPr>
                <w:rFonts w:cs="Arial"/>
                <w:b/>
                <w:bCs/>
                <w:lang w:val="fr-FR"/>
              </w:rPr>
            </w:pPr>
            <w:r>
              <w:rPr>
                <w:rFonts w:cs="Arial"/>
                <w:b/>
                <w:bCs/>
                <w:lang w:val="fr-FR"/>
              </w:rPr>
              <w:t>État sur la Liste rouge de l’UICN et tendances à l’échelle mondiale</w:t>
            </w:r>
          </w:p>
        </w:tc>
      </w:tr>
      <w:tr w:rsidR="001C79E6" w:rsidRPr="00067939" w14:paraId="732F4556" w14:textId="77777777" w:rsidTr="000248D6">
        <w:trPr>
          <w:trHeight w:val="315"/>
        </w:trPr>
        <w:tc>
          <w:tcPr>
            <w:tcW w:w="1696" w:type="dxa"/>
            <w:shd w:val="clear" w:color="auto" w:fill="F2F2F2" w:themeFill="background1" w:themeFillShade="F2"/>
            <w:noWrap/>
            <w:hideMark/>
          </w:tcPr>
          <w:p w14:paraId="292AED24" w14:textId="77777777" w:rsidR="001C79E6" w:rsidRPr="00FC65D9" w:rsidRDefault="001C79E6" w:rsidP="000248D6">
            <w:pPr>
              <w:pStyle w:val="FootnoteText"/>
              <w:rPr>
                <w:rFonts w:cs="Arial"/>
                <w:i/>
                <w:iCs/>
              </w:rPr>
            </w:pPr>
            <w:r>
              <w:rPr>
                <w:rFonts w:cs="Arial"/>
                <w:i/>
                <w:iCs/>
              </w:rPr>
              <w:t>Dugong dugon</w:t>
            </w:r>
          </w:p>
        </w:tc>
        <w:tc>
          <w:tcPr>
            <w:tcW w:w="1985" w:type="dxa"/>
            <w:shd w:val="clear" w:color="auto" w:fill="F2F2F2" w:themeFill="background1" w:themeFillShade="F2"/>
            <w:noWrap/>
            <w:hideMark/>
          </w:tcPr>
          <w:p w14:paraId="6ED84ABA" w14:textId="77777777" w:rsidR="001C79E6" w:rsidRPr="00FC65D9" w:rsidRDefault="001C79E6" w:rsidP="000248D6">
            <w:pPr>
              <w:pStyle w:val="FootnoteText"/>
              <w:rPr>
                <w:rFonts w:cs="Arial"/>
                <w:lang w:val="fr-FR"/>
              </w:rPr>
            </w:pPr>
            <w:r>
              <w:rPr>
                <w:rFonts w:cs="Arial"/>
                <w:lang w:val="fr-FR"/>
              </w:rPr>
              <w:t>Dugong, vache de mer</w:t>
            </w:r>
          </w:p>
        </w:tc>
        <w:tc>
          <w:tcPr>
            <w:tcW w:w="1417" w:type="dxa"/>
            <w:shd w:val="clear" w:color="auto" w:fill="F2F2F2" w:themeFill="background1" w:themeFillShade="F2"/>
            <w:noWrap/>
            <w:hideMark/>
          </w:tcPr>
          <w:p w14:paraId="7AB7BACD" w14:textId="77777777" w:rsidR="001C79E6" w:rsidRPr="00FC65D9" w:rsidRDefault="001C79E6" w:rsidP="000248D6">
            <w:pPr>
              <w:pStyle w:val="FootnoteText"/>
              <w:rPr>
                <w:rFonts w:cs="Arial"/>
                <w:b/>
                <w:bCs/>
              </w:rPr>
            </w:pPr>
            <w:r>
              <w:rPr>
                <w:rFonts w:cs="Arial"/>
                <w:b/>
                <w:bCs/>
              </w:rPr>
              <w:t> </w:t>
            </w:r>
          </w:p>
        </w:tc>
        <w:tc>
          <w:tcPr>
            <w:tcW w:w="1560" w:type="dxa"/>
            <w:shd w:val="clear" w:color="auto" w:fill="F2F2F2" w:themeFill="background1" w:themeFillShade="F2"/>
            <w:noWrap/>
            <w:hideMark/>
          </w:tcPr>
          <w:p w14:paraId="758646C7" w14:textId="77777777" w:rsidR="001C79E6" w:rsidRPr="00FC65D9" w:rsidRDefault="001C79E6" w:rsidP="000248D6">
            <w:pPr>
              <w:pStyle w:val="FootnoteText"/>
              <w:rPr>
                <w:rFonts w:cs="Arial"/>
              </w:rPr>
            </w:pPr>
            <w:r>
              <w:rPr>
                <w:rFonts w:cs="Arial"/>
              </w:rPr>
              <w:t>1979</w:t>
            </w:r>
          </w:p>
        </w:tc>
        <w:tc>
          <w:tcPr>
            <w:tcW w:w="2358" w:type="dxa"/>
            <w:shd w:val="clear" w:color="auto" w:fill="F2F2F2" w:themeFill="background1" w:themeFillShade="F2"/>
          </w:tcPr>
          <w:p w14:paraId="3B562752" w14:textId="77777777" w:rsidR="001C79E6" w:rsidRPr="00FC65D9" w:rsidRDefault="001C79E6" w:rsidP="000248D6">
            <w:pPr>
              <w:pStyle w:val="FootnoteText"/>
              <w:rPr>
                <w:rFonts w:cs="Arial"/>
                <w:lang w:val="fr-FR"/>
              </w:rPr>
            </w:pPr>
            <w:r>
              <w:rPr>
                <w:rFonts w:cs="Arial"/>
                <w:lang w:val="fr-FR"/>
              </w:rPr>
              <w:t>VU (en baisse)</w:t>
            </w:r>
          </w:p>
        </w:tc>
      </w:tr>
      <w:tr w:rsidR="001C79E6" w:rsidRPr="00067939" w14:paraId="737A71C1" w14:textId="77777777" w:rsidTr="000248D6">
        <w:trPr>
          <w:trHeight w:val="315"/>
        </w:trPr>
        <w:tc>
          <w:tcPr>
            <w:tcW w:w="1696" w:type="dxa"/>
            <w:shd w:val="clear" w:color="auto" w:fill="F2F2F2" w:themeFill="background1" w:themeFillShade="F2"/>
            <w:noWrap/>
            <w:hideMark/>
          </w:tcPr>
          <w:p w14:paraId="7783D832" w14:textId="77777777" w:rsidR="001C79E6" w:rsidRPr="00FC65D9" w:rsidRDefault="001C79E6" w:rsidP="000248D6">
            <w:pPr>
              <w:pStyle w:val="FootnoteText"/>
              <w:rPr>
                <w:rFonts w:cs="Arial"/>
                <w:i/>
                <w:iCs/>
              </w:rPr>
            </w:pPr>
            <w:r>
              <w:rPr>
                <w:rFonts w:cs="Arial"/>
                <w:i/>
                <w:iCs/>
              </w:rPr>
              <w:t xml:space="preserve">Trichechus </w:t>
            </w:r>
            <w:proofErr w:type="spellStart"/>
            <w:r>
              <w:rPr>
                <w:rFonts w:cs="Arial"/>
                <w:i/>
                <w:iCs/>
              </w:rPr>
              <w:t>inunguis</w:t>
            </w:r>
            <w:proofErr w:type="spellEnd"/>
          </w:p>
        </w:tc>
        <w:tc>
          <w:tcPr>
            <w:tcW w:w="1985" w:type="dxa"/>
            <w:shd w:val="clear" w:color="auto" w:fill="F2F2F2" w:themeFill="background1" w:themeFillShade="F2"/>
            <w:noWrap/>
            <w:hideMark/>
          </w:tcPr>
          <w:p w14:paraId="1809DBFF" w14:textId="77777777" w:rsidR="001C79E6" w:rsidRPr="00FC65D9" w:rsidRDefault="001C79E6" w:rsidP="000248D6">
            <w:pPr>
              <w:pStyle w:val="FootnoteText"/>
              <w:rPr>
                <w:rFonts w:cs="Arial"/>
                <w:lang w:val="fr-FR"/>
              </w:rPr>
            </w:pPr>
            <w:r>
              <w:rPr>
                <w:rFonts w:cs="Arial"/>
                <w:lang w:val="fr-FR"/>
              </w:rPr>
              <w:t>Lamantin d’Amazonie</w:t>
            </w:r>
          </w:p>
        </w:tc>
        <w:tc>
          <w:tcPr>
            <w:tcW w:w="1417" w:type="dxa"/>
            <w:shd w:val="clear" w:color="auto" w:fill="F2F2F2" w:themeFill="background1" w:themeFillShade="F2"/>
            <w:noWrap/>
            <w:hideMark/>
          </w:tcPr>
          <w:p w14:paraId="4D49736B" w14:textId="77777777" w:rsidR="001C79E6" w:rsidRPr="00FC65D9" w:rsidRDefault="001C79E6" w:rsidP="000248D6">
            <w:pPr>
              <w:pStyle w:val="FootnoteText"/>
              <w:rPr>
                <w:rFonts w:cs="Arial"/>
                <w:b/>
                <w:bCs/>
              </w:rPr>
            </w:pPr>
            <w:r>
              <w:rPr>
                <w:rFonts w:cs="Arial"/>
                <w:b/>
                <w:bCs/>
              </w:rPr>
              <w:t> </w:t>
            </w:r>
          </w:p>
        </w:tc>
        <w:tc>
          <w:tcPr>
            <w:tcW w:w="1560" w:type="dxa"/>
            <w:shd w:val="clear" w:color="auto" w:fill="F2F2F2" w:themeFill="background1" w:themeFillShade="F2"/>
            <w:noWrap/>
            <w:hideMark/>
          </w:tcPr>
          <w:p w14:paraId="15DDA90A" w14:textId="77777777" w:rsidR="001C79E6" w:rsidRPr="00FC65D9" w:rsidRDefault="001C79E6" w:rsidP="000248D6">
            <w:pPr>
              <w:pStyle w:val="FootnoteText"/>
              <w:rPr>
                <w:rFonts w:cs="Arial"/>
              </w:rPr>
            </w:pPr>
            <w:r>
              <w:rPr>
                <w:rFonts w:cs="Arial"/>
              </w:rPr>
              <w:t>2002</w:t>
            </w:r>
          </w:p>
        </w:tc>
        <w:tc>
          <w:tcPr>
            <w:tcW w:w="2358" w:type="dxa"/>
            <w:shd w:val="clear" w:color="auto" w:fill="F2F2F2" w:themeFill="background1" w:themeFillShade="F2"/>
          </w:tcPr>
          <w:p w14:paraId="73AA9DF3" w14:textId="77777777" w:rsidR="001C79E6" w:rsidRPr="00FC65D9" w:rsidRDefault="001C79E6" w:rsidP="000248D6">
            <w:pPr>
              <w:pStyle w:val="FootnoteText"/>
              <w:rPr>
                <w:rFonts w:cs="Arial"/>
                <w:lang w:val="fr-FR"/>
              </w:rPr>
            </w:pPr>
            <w:r>
              <w:rPr>
                <w:rFonts w:cs="Arial"/>
                <w:lang w:val="fr-FR"/>
              </w:rPr>
              <w:t>VU (en baisse)</w:t>
            </w:r>
          </w:p>
        </w:tc>
      </w:tr>
      <w:tr w:rsidR="001C79E6" w:rsidRPr="00067939" w14:paraId="6B46D312" w14:textId="77777777" w:rsidTr="000248D6">
        <w:trPr>
          <w:trHeight w:val="315"/>
        </w:trPr>
        <w:tc>
          <w:tcPr>
            <w:tcW w:w="1696" w:type="dxa"/>
            <w:shd w:val="clear" w:color="auto" w:fill="F2F2F2" w:themeFill="background1" w:themeFillShade="F2"/>
            <w:noWrap/>
            <w:hideMark/>
          </w:tcPr>
          <w:p w14:paraId="3B6AEA55" w14:textId="77777777" w:rsidR="001C79E6" w:rsidRPr="00FC65D9" w:rsidRDefault="001C79E6" w:rsidP="000248D6">
            <w:pPr>
              <w:pStyle w:val="FootnoteText"/>
              <w:rPr>
                <w:rFonts w:cs="Arial"/>
                <w:i/>
                <w:iCs/>
              </w:rPr>
            </w:pPr>
            <w:r>
              <w:rPr>
                <w:rFonts w:cs="Arial"/>
                <w:i/>
                <w:iCs/>
              </w:rPr>
              <w:t>Trichechus manatus</w:t>
            </w:r>
          </w:p>
        </w:tc>
        <w:tc>
          <w:tcPr>
            <w:tcW w:w="1985" w:type="dxa"/>
            <w:shd w:val="clear" w:color="auto" w:fill="F2F2F2" w:themeFill="background1" w:themeFillShade="F2"/>
            <w:noWrap/>
            <w:hideMark/>
          </w:tcPr>
          <w:p w14:paraId="0FAC840A" w14:textId="77777777" w:rsidR="001C79E6" w:rsidRPr="00FC65D9" w:rsidRDefault="001C79E6" w:rsidP="000248D6">
            <w:pPr>
              <w:pStyle w:val="FootnoteText"/>
              <w:rPr>
                <w:rFonts w:cs="Arial"/>
                <w:lang w:val="fr-FR"/>
              </w:rPr>
            </w:pPr>
            <w:r>
              <w:rPr>
                <w:rFonts w:cs="Arial"/>
                <w:lang w:val="fr-FR"/>
              </w:rPr>
              <w:t>Lamantin</w:t>
            </w:r>
          </w:p>
        </w:tc>
        <w:tc>
          <w:tcPr>
            <w:tcW w:w="1417" w:type="dxa"/>
            <w:shd w:val="clear" w:color="auto" w:fill="F2F2F2" w:themeFill="background1" w:themeFillShade="F2"/>
            <w:noWrap/>
            <w:hideMark/>
          </w:tcPr>
          <w:p w14:paraId="68524035" w14:textId="77777777" w:rsidR="001C79E6" w:rsidRPr="00FC65D9" w:rsidRDefault="001C79E6" w:rsidP="000248D6">
            <w:pPr>
              <w:pStyle w:val="FootnoteText"/>
              <w:rPr>
                <w:rFonts w:cs="Arial"/>
              </w:rPr>
            </w:pPr>
            <w:r>
              <w:rPr>
                <w:rFonts w:cs="Arial"/>
              </w:rPr>
              <w:t>1999</w:t>
            </w:r>
          </w:p>
        </w:tc>
        <w:tc>
          <w:tcPr>
            <w:tcW w:w="1560" w:type="dxa"/>
            <w:shd w:val="clear" w:color="auto" w:fill="F2F2F2" w:themeFill="background1" w:themeFillShade="F2"/>
            <w:noWrap/>
            <w:hideMark/>
          </w:tcPr>
          <w:p w14:paraId="36762385" w14:textId="77777777" w:rsidR="001C79E6" w:rsidRPr="00FC65D9" w:rsidRDefault="001C79E6" w:rsidP="000248D6">
            <w:pPr>
              <w:pStyle w:val="FootnoteText"/>
              <w:rPr>
                <w:rFonts w:cs="Arial"/>
              </w:rPr>
            </w:pPr>
            <w:r>
              <w:rPr>
                <w:rFonts w:cs="Arial"/>
              </w:rPr>
              <w:t>1999</w:t>
            </w:r>
          </w:p>
        </w:tc>
        <w:tc>
          <w:tcPr>
            <w:tcW w:w="2358" w:type="dxa"/>
            <w:shd w:val="clear" w:color="auto" w:fill="F2F2F2" w:themeFill="background1" w:themeFillShade="F2"/>
          </w:tcPr>
          <w:p w14:paraId="6D3D7F3A" w14:textId="77777777" w:rsidR="001C79E6" w:rsidRPr="00FC65D9" w:rsidRDefault="001C79E6" w:rsidP="000248D6">
            <w:pPr>
              <w:pStyle w:val="FootnoteText"/>
              <w:rPr>
                <w:rFonts w:cs="Arial"/>
                <w:lang w:val="fr-FR"/>
              </w:rPr>
            </w:pPr>
            <w:r>
              <w:rPr>
                <w:rFonts w:cs="Arial"/>
                <w:lang w:val="fr-FR"/>
              </w:rPr>
              <w:t>VU (en baisse)</w:t>
            </w:r>
          </w:p>
        </w:tc>
      </w:tr>
      <w:tr w:rsidR="001C79E6" w:rsidRPr="00067939" w14:paraId="604FBAE2" w14:textId="77777777" w:rsidTr="000248D6">
        <w:trPr>
          <w:trHeight w:val="315"/>
        </w:trPr>
        <w:tc>
          <w:tcPr>
            <w:tcW w:w="1696" w:type="dxa"/>
            <w:shd w:val="clear" w:color="auto" w:fill="F2F2F2" w:themeFill="background1" w:themeFillShade="F2"/>
            <w:noWrap/>
            <w:hideMark/>
          </w:tcPr>
          <w:p w14:paraId="171C5540" w14:textId="77777777" w:rsidR="001C79E6" w:rsidRPr="00FC65D9" w:rsidRDefault="001C79E6" w:rsidP="000248D6">
            <w:pPr>
              <w:pStyle w:val="FootnoteText"/>
              <w:rPr>
                <w:rFonts w:cs="Arial"/>
                <w:i/>
                <w:iCs/>
              </w:rPr>
            </w:pPr>
            <w:r>
              <w:rPr>
                <w:rFonts w:cs="Arial"/>
                <w:i/>
                <w:iCs/>
              </w:rPr>
              <w:t>Trichechus senegalensis</w:t>
            </w:r>
          </w:p>
        </w:tc>
        <w:tc>
          <w:tcPr>
            <w:tcW w:w="1985" w:type="dxa"/>
            <w:shd w:val="clear" w:color="auto" w:fill="F2F2F2" w:themeFill="background1" w:themeFillShade="F2"/>
            <w:noWrap/>
            <w:hideMark/>
          </w:tcPr>
          <w:p w14:paraId="34FF2788" w14:textId="77777777" w:rsidR="001C79E6" w:rsidRPr="00FC65D9" w:rsidRDefault="001C79E6" w:rsidP="000248D6">
            <w:pPr>
              <w:pStyle w:val="FootnoteText"/>
              <w:rPr>
                <w:rFonts w:cs="Arial"/>
                <w:lang w:val="fr-FR"/>
              </w:rPr>
            </w:pPr>
            <w:r>
              <w:rPr>
                <w:rFonts w:cs="Arial"/>
                <w:lang w:val="fr-FR"/>
              </w:rPr>
              <w:t>Lamantin d’Afrique</w:t>
            </w:r>
          </w:p>
        </w:tc>
        <w:tc>
          <w:tcPr>
            <w:tcW w:w="1417" w:type="dxa"/>
            <w:shd w:val="clear" w:color="auto" w:fill="F2F2F2" w:themeFill="background1" w:themeFillShade="F2"/>
            <w:noWrap/>
            <w:hideMark/>
          </w:tcPr>
          <w:p w14:paraId="3B9C577C" w14:textId="77777777" w:rsidR="001C79E6" w:rsidRPr="00FC65D9" w:rsidRDefault="001C79E6" w:rsidP="000248D6">
            <w:pPr>
              <w:pStyle w:val="FootnoteText"/>
              <w:rPr>
                <w:rFonts w:cs="Arial"/>
              </w:rPr>
            </w:pPr>
            <w:r>
              <w:rPr>
                <w:rFonts w:cs="Arial"/>
              </w:rPr>
              <w:t>2009</w:t>
            </w:r>
          </w:p>
        </w:tc>
        <w:tc>
          <w:tcPr>
            <w:tcW w:w="1560" w:type="dxa"/>
            <w:shd w:val="clear" w:color="auto" w:fill="F2F2F2" w:themeFill="background1" w:themeFillShade="F2"/>
            <w:noWrap/>
            <w:hideMark/>
          </w:tcPr>
          <w:p w14:paraId="77D50A08" w14:textId="77777777" w:rsidR="001C79E6" w:rsidRPr="00FC65D9" w:rsidRDefault="001C79E6" w:rsidP="000248D6">
            <w:pPr>
              <w:pStyle w:val="FootnoteText"/>
              <w:rPr>
                <w:rFonts w:cs="Arial"/>
              </w:rPr>
            </w:pPr>
            <w:r>
              <w:rPr>
                <w:rFonts w:cs="Arial"/>
              </w:rPr>
              <w:t>2009</w:t>
            </w:r>
          </w:p>
        </w:tc>
        <w:tc>
          <w:tcPr>
            <w:tcW w:w="2358" w:type="dxa"/>
            <w:shd w:val="clear" w:color="auto" w:fill="F2F2F2" w:themeFill="background1" w:themeFillShade="F2"/>
          </w:tcPr>
          <w:p w14:paraId="42EEDAE1" w14:textId="77777777" w:rsidR="001C79E6" w:rsidRPr="00FC65D9" w:rsidRDefault="001C79E6" w:rsidP="000248D6">
            <w:pPr>
              <w:pStyle w:val="FootnoteText"/>
              <w:rPr>
                <w:rFonts w:cs="Arial"/>
                <w:lang w:val="fr-FR"/>
              </w:rPr>
            </w:pPr>
            <w:r>
              <w:rPr>
                <w:rFonts w:cs="Arial"/>
                <w:lang w:val="fr-FR"/>
              </w:rPr>
              <w:t>VU (inconnu)</w:t>
            </w:r>
          </w:p>
        </w:tc>
      </w:tr>
      <w:tr w:rsidR="001C79E6" w:rsidRPr="00067939" w14:paraId="2C4EA010" w14:textId="77777777" w:rsidTr="000248D6">
        <w:trPr>
          <w:trHeight w:val="315"/>
        </w:trPr>
        <w:tc>
          <w:tcPr>
            <w:tcW w:w="1696" w:type="dxa"/>
            <w:shd w:val="clear" w:color="auto" w:fill="D9D9D9" w:themeFill="background1" w:themeFillShade="D9"/>
            <w:noWrap/>
            <w:hideMark/>
          </w:tcPr>
          <w:p w14:paraId="6DC16570" w14:textId="77777777" w:rsidR="001C79E6" w:rsidRPr="00FC65D9" w:rsidRDefault="001C79E6" w:rsidP="000248D6">
            <w:pPr>
              <w:pStyle w:val="FootnoteText"/>
              <w:rPr>
                <w:rFonts w:cs="Arial"/>
                <w:i/>
                <w:iCs/>
              </w:rPr>
            </w:pPr>
            <w:r>
              <w:rPr>
                <w:rFonts w:cs="Arial"/>
                <w:i/>
                <w:iCs/>
              </w:rPr>
              <w:t>Arctocephalus australis</w:t>
            </w:r>
          </w:p>
        </w:tc>
        <w:tc>
          <w:tcPr>
            <w:tcW w:w="1985" w:type="dxa"/>
            <w:shd w:val="clear" w:color="auto" w:fill="D9D9D9" w:themeFill="background1" w:themeFillShade="D9"/>
            <w:noWrap/>
            <w:hideMark/>
          </w:tcPr>
          <w:p w14:paraId="2F5D64C3" w14:textId="77777777" w:rsidR="001C79E6" w:rsidRPr="00FC65D9" w:rsidRDefault="001C79E6" w:rsidP="000248D6">
            <w:pPr>
              <w:pStyle w:val="FootnoteText"/>
              <w:rPr>
                <w:rFonts w:cs="Arial"/>
                <w:lang w:val="fr-FR"/>
              </w:rPr>
            </w:pPr>
            <w:r>
              <w:rPr>
                <w:rFonts w:cs="Arial"/>
                <w:lang w:val="fr-FR"/>
              </w:rPr>
              <w:t>Otarie d’Amérique du Sud</w:t>
            </w:r>
          </w:p>
        </w:tc>
        <w:tc>
          <w:tcPr>
            <w:tcW w:w="1417" w:type="dxa"/>
            <w:shd w:val="clear" w:color="auto" w:fill="D9D9D9" w:themeFill="background1" w:themeFillShade="D9"/>
            <w:noWrap/>
            <w:hideMark/>
          </w:tcPr>
          <w:p w14:paraId="2CEF560C" w14:textId="77777777" w:rsidR="001C79E6" w:rsidRPr="00FC65D9" w:rsidRDefault="001C79E6" w:rsidP="000248D6">
            <w:pPr>
              <w:pStyle w:val="FootnoteText"/>
              <w:rPr>
                <w:rFonts w:cs="Arial"/>
              </w:rPr>
            </w:pPr>
            <w:r>
              <w:rPr>
                <w:rFonts w:cs="Arial"/>
              </w:rPr>
              <w:t> </w:t>
            </w:r>
          </w:p>
        </w:tc>
        <w:tc>
          <w:tcPr>
            <w:tcW w:w="1560" w:type="dxa"/>
            <w:shd w:val="clear" w:color="auto" w:fill="D9D9D9" w:themeFill="background1" w:themeFillShade="D9"/>
            <w:noWrap/>
            <w:hideMark/>
          </w:tcPr>
          <w:p w14:paraId="74C4CF97" w14:textId="77777777" w:rsidR="001C79E6" w:rsidRPr="00FC65D9" w:rsidRDefault="001C79E6" w:rsidP="000248D6">
            <w:pPr>
              <w:pStyle w:val="FootnoteText"/>
              <w:rPr>
                <w:rFonts w:cs="Arial"/>
              </w:rPr>
            </w:pPr>
            <w:r>
              <w:rPr>
                <w:rFonts w:cs="Arial"/>
              </w:rPr>
              <w:t>1979</w:t>
            </w:r>
          </w:p>
        </w:tc>
        <w:tc>
          <w:tcPr>
            <w:tcW w:w="2358" w:type="dxa"/>
            <w:shd w:val="clear" w:color="auto" w:fill="D9D9D9" w:themeFill="background1" w:themeFillShade="D9"/>
          </w:tcPr>
          <w:p w14:paraId="3D5CCDC4" w14:textId="77777777" w:rsidR="001C79E6" w:rsidRPr="00FC65D9" w:rsidRDefault="001C79E6" w:rsidP="000248D6">
            <w:pPr>
              <w:pStyle w:val="FootnoteText"/>
              <w:tabs>
                <w:tab w:val="left" w:pos="675"/>
              </w:tabs>
              <w:rPr>
                <w:rFonts w:cs="Arial"/>
                <w:lang w:val="fr-FR"/>
              </w:rPr>
            </w:pPr>
            <w:r>
              <w:rPr>
                <w:rFonts w:cs="Arial"/>
                <w:lang w:val="fr-FR"/>
              </w:rPr>
              <w:t>LC (en augmentation)</w:t>
            </w:r>
          </w:p>
        </w:tc>
      </w:tr>
      <w:tr w:rsidR="001C79E6" w:rsidRPr="00067939" w14:paraId="506E3640" w14:textId="77777777" w:rsidTr="000248D6">
        <w:trPr>
          <w:trHeight w:val="315"/>
        </w:trPr>
        <w:tc>
          <w:tcPr>
            <w:tcW w:w="1696" w:type="dxa"/>
            <w:shd w:val="clear" w:color="auto" w:fill="D9D9D9" w:themeFill="background1" w:themeFillShade="D9"/>
            <w:noWrap/>
            <w:hideMark/>
          </w:tcPr>
          <w:p w14:paraId="5F5F40B4" w14:textId="77777777" w:rsidR="001C79E6" w:rsidRPr="00FC65D9" w:rsidRDefault="001C79E6" w:rsidP="000248D6">
            <w:pPr>
              <w:pStyle w:val="FootnoteText"/>
              <w:rPr>
                <w:rFonts w:cs="Arial"/>
                <w:i/>
                <w:iCs/>
              </w:rPr>
            </w:pPr>
            <w:proofErr w:type="spellStart"/>
            <w:r>
              <w:rPr>
                <w:rFonts w:cs="Arial"/>
                <w:i/>
                <w:iCs/>
              </w:rPr>
              <w:t>Otaria</w:t>
            </w:r>
            <w:proofErr w:type="spellEnd"/>
            <w:r>
              <w:rPr>
                <w:rFonts w:cs="Arial"/>
                <w:i/>
                <w:iCs/>
              </w:rPr>
              <w:t xml:space="preserve"> </w:t>
            </w:r>
            <w:proofErr w:type="spellStart"/>
            <w:r>
              <w:rPr>
                <w:rFonts w:cs="Arial"/>
                <w:i/>
                <w:iCs/>
              </w:rPr>
              <w:t>flavescens</w:t>
            </w:r>
            <w:proofErr w:type="spellEnd"/>
          </w:p>
        </w:tc>
        <w:tc>
          <w:tcPr>
            <w:tcW w:w="1985" w:type="dxa"/>
            <w:shd w:val="clear" w:color="auto" w:fill="D9D9D9" w:themeFill="background1" w:themeFillShade="D9"/>
            <w:noWrap/>
            <w:hideMark/>
          </w:tcPr>
          <w:p w14:paraId="644230C0" w14:textId="77777777" w:rsidR="001C79E6" w:rsidRPr="00FC65D9" w:rsidRDefault="001C79E6" w:rsidP="000248D6">
            <w:pPr>
              <w:pStyle w:val="FootnoteText"/>
              <w:rPr>
                <w:rFonts w:cs="Arial"/>
                <w:lang w:val="fr-FR"/>
              </w:rPr>
            </w:pPr>
            <w:r>
              <w:rPr>
                <w:rFonts w:cs="Arial"/>
                <w:lang w:val="fr-FR"/>
              </w:rPr>
              <w:t>Lion de mer d’Amérique du Sud</w:t>
            </w:r>
          </w:p>
        </w:tc>
        <w:tc>
          <w:tcPr>
            <w:tcW w:w="1417" w:type="dxa"/>
            <w:shd w:val="clear" w:color="auto" w:fill="D9D9D9" w:themeFill="background1" w:themeFillShade="D9"/>
            <w:noWrap/>
            <w:hideMark/>
          </w:tcPr>
          <w:p w14:paraId="5A551D26" w14:textId="77777777" w:rsidR="001C79E6" w:rsidRPr="0004354A" w:rsidRDefault="001C79E6" w:rsidP="000248D6">
            <w:pPr>
              <w:pStyle w:val="FootnoteText"/>
              <w:rPr>
                <w:rFonts w:cs="Arial"/>
                <w:lang w:val="fr-FR"/>
              </w:rPr>
            </w:pPr>
            <w:r w:rsidRPr="0004354A">
              <w:rPr>
                <w:rFonts w:cs="Arial"/>
                <w:lang w:val="fr-FR"/>
              </w:rPr>
              <w:t> </w:t>
            </w:r>
          </w:p>
        </w:tc>
        <w:tc>
          <w:tcPr>
            <w:tcW w:w="1560" w:type="dxa"/>
            <w:shd w:val="clear" w:color="auto" w:fill="D9D9D9" w:themeFill="background1" w:themeFillShade="D9"/>
            <w:noWrap/>
            <w:hideMark/>
          </w:tcPr>
          <w:p w14:paraId="0E4C2E1F" w14:textId="77777777" w:rsidR="001C79E6" w:rsidRPr="00FC65D9" w:rsidRDefault="001C79E6" w:rsidP="000248D6">
            <w:pPr>
              <w:pStyle w:val="FootnoteText"/>
              <w:rPr>
                <w:rFonts w:cs="Arial"/>
              </w:rPr>
            </w:pPr>
            <w:r>
              <w:rPr>
                <w:rFonts w:cs="Arial"/>
              </w:rPr>
              <w:t>1979</w:t>
            </w:r>
          </w:p>
        </w:tc>
        <w:tc>
          <w:tcPr>
            <w:tcW w:w="2358" w:type="dxa"/>
            <w:shd w:val="clear" w:color="auto" w:fill="D9D9D9" w:themeFill="background1" w:themeFillShade="D9"/>
          </w:tcPr>
          <w:p w14:paraId="1B9223A5" w14:textId="77777777" w:rsidR="001C79E6" w:rsidRPr="00FC65D9" w:rsidRDefault="001C79E6" w:rsidP="000248D6">
            <w:pPr>
              <w:pStyle w:val="FootnoteText"/>
              <w:rPr>
                <w:rFonts w:cs="Arial"/>
              </w:rPr>
            </w:pPr>
            <w:r>
              <w:rPr>
                <w:rFonts w:cs="Arial"/>
              </w:rPr>
              <w:t>LC (stable)</w:t>
            </w:r>
          </w:p>
        </w:tc>
      </w:tr>
      <w:tr w:rsidR="001C79E6" w:rsidRPr="00067939" w14:paraId="210D2B75" w14:textId="77777777" w:rsidTr="000248D6">
        <w:trPr>
          <w:trHeight w:val="315"/>
        </w:trPr>
        <w:tc>
          <w:tcPr>
            <w:tcW w:w="1696" w:type="dxa"/>
            <w:shd w:val="clear" w:color="auto" w:fill="D9D9D9" w:themeFill="background1" w:themeFillShade="D9"/>
            <w:noWrap/>
            <w:hideMark/>
          </w:tcPr>
          <w:p w14:paraId="2F240FC4" w14:textId="77777777" w:rsidR="001C79E6" w:rsidRPr="00FC65D9" w:rsidRDefault="001C79E6" w:rsidP="000248D6">
            <w:pPr>
              <w:pStyle w:val="FootnoteText"/>
              <w:rPr>
                <w:rFonts w:cs="Arial"/>
                <w:i/>
                <w:iCs/>
              </w:rPr>
            </w:pPr>
            <w:r>
              <w:rPr>
                <w:rFonts w:cs="Arial"/>
                <w:i/>
                <w:iCs/>
              </w:rPr>
              <w:t xml:space="preserve">Halichoerus </w:t>
            </w:r>
            <w:proofErr w:type="spellStart"/>
            <w:r>
              <w:rPr>
                <w:rFonts w:cs="Arial"/>
                <w:i/>
                <w:iCs/>
              </w:rPr>
              <w:t>grypus</w:t>
            </w:r>
            <w:proofErr w:type="spellEnd"/>
          </w:p>
        </w:tc>
        <w:tc>
          <w:tcPr>
            <w:tcW w:w="1985" w:type="dxa"/>
            <w:shd w:val="clear" w:color="auto" w:fill="D9D9D9" w:themeFill="background1" w:themeFillShade="D9"/>
            <w:noWrap/>
            <w:hideMark/>
          </w:tcPr>
          <w:p w14:paraId="157D95DE" w14:textId="77777777" w:rsidR="001C79E6" w:rsidRPr="00FC65D9" w:rsidRDefault="001C79E6" w:rsidP="000248D6">
            <w:pPr>
              <w:pStyle w:val="FootnoteText"/>
              <w:rPr>
                <w:rFonts w:cs="Arial"/>
                <w:lang w:val="fr-FR"/>
              </w:rPr>
            </w:pPr>
            <w:r>
              <w:rPr>
                <w:rFonts w:cs="Arial"/>
                <w:lang w:val="fr-FR"/>
              </w:rPr>
              <w:t xml:space="preserve">Phoque gris </w:t>
            </w:r>
          </w:p>
        </w:tc>
        <w:tc>
          <w:tcPr>
            <w:tcW w:w="1417" w:type="dxa"/>
            <w:shd w:val="clear" w:color="auto" w:fill="D9D9D9" w:themeFill="background1" w:themeFillShade="D9"/>
            <w:noWrap/>
            <w:hideMark/>
          </w:tcPr>
          <w:p w14:paraId="0DEB19F4" w14:textId="77777777" w:rsidR="001C79E6" w:rsidRPr="00FC65D9" w:rsidRDefault="001C79E6" w:rsidP="000248D6">
            <w:pPr>
              <w:pStyle w:val="FootnoteText"/>
              <w:rPr>
                <w:rFonts w:cs="Arial"/>
              </w:rPr>
            </w:pPr>
            <w:r>
              <w:rPr>
                <w:rFonts w:cs="Arial"/>
              </w:rPr>
              <w:t> </w:t>
            </w:r>
          </w:p>
        </w:tc>
        <w:tc>
          <w:tcPr>
            <w:tcW w:w="1560" w:type="dxa"/>
            <w:shd w:val="clear" w:color="auto" w:fill="D9D9D9" w:themeFill="background1" w:themeFillShade="D9"/>
            <w:noWrap/>
            <w:hideMark/>
          </w:tcPr>
          <w:p w14:paraId="0F4F50E1" w14:textId="77777777" w:rsidR="001C79E6" w:rsidRPr="00FC65D9" w:rsidRDefault="001C79E6" w:rsidP="000248D6">
            <w:pPr>
              <w:pStyle w:val="FootnoteText"/>
              <w:rPr>
                <w:rFonts w:cs="Arial"/>
              </w:rPr>
            </w:pPr>
            <w:r>
              <w:rPr>
                <w:rFonts w:cs="Arial"/>
              </w:rPr>
              <w:t>1985</w:t>
            </w:r>
          </w:p>
        </w:tc>
        <w:tc>
          <w:tcPr>
            <w:tcW w:w="2358" w:type="dxa"/>
            <w:shd w:val="clear" w:color="auto" w:fill="D9D9D9" w:themeFill="background1" w:themeFillShade="D9"/>
          </w:tcPr>
          <w:p w14:paraId="70DE73CB" w14:textId="77777777" w:rsidR="001C79E6" w:rsidRPr="00FC65D9" w:rsidRDefault="001C79E6" w:rsidP="000248D6">
            <w:pPr>
              <w:pStyle w:val="FootnoteText"/>
              <w:rPr>
                <w:rFonts w:cs="Arial"/>
                <w:lang w:val="fr-FR"/>
              </w:rPr>
            </w:pPr>
            <w:r>
              <w:rPr>
                <w:rFonts w:cs="Arial"/>
                <w:lang w:val="fr-FR"/>
              </w:rPr>
              <w:t>LC (en augmentation)</w:t>
            </w:r>
          </w:p>
        </w:tc>
      </w:tr>
      <w:tr w:rsidR="001C79E6" w:rsidRPr="00067939" w14:paraId="700CA582" w14:textId="77777777" w:rsidTr="000248D6">
        <w:trPr>
          <w:trHeight w:val="315"/>
        </w:trPr>
        <w:tc>
          <w:tcPr>
            <w:tcW w:w="1696" w:type="dxa"/>
            <w:shd w:val="clear" w:color="auto" w:fill="D9D9D9" w:themeFill="background1" w:themeFillShade="D9"/>
            <w:noWrap/>
            <w:hideMark/>
          </w:tcPr>
          <w:p w14:paraId="1148F2F6" w14:textId="77777777" w:rsidR="001C79E6" w:rsidRPr="00FC65D9" w:rsidRDefault="001C79E6" w:rsidP="000248D6">
            <w:pPr>
              <w:pStyle w:val="FootnoteText"/>
              <w:rPr>
                <w:rFonts w:cs="Arial"/>
                <w:i/>
                <w:iCs/>
              </w:rPr>
            </w:pPr>
            <w:proofErr w:type="spellStart"/>
            <w:r>
              <w:rPr>
                <w:rFonts w:cs="Arial"/>
                <w:i/>
                <w:iCs/>
              </w:rPr>
              <w:t>Monachus</w:t>
            </w:r>
            <w:proofErr w:type="spellEnd"/>
            <w:r>
              <w:rPr>
                <w:rFonts w:cs="Arial"/>
                <w:i/>
                <w:iCs/>
              </w:rPr>
              <w:t xml:space="preserve"> </w:t>
            </w:r>
            <w:proofErr w:type="spellStart"/>
            <w:r>
              <w:rPr>
                <w:rFonts w:cs="Arial"/>
                <w:i/>
                <w:iCs/>
              </w:rPr>
              <w:t>monachus</w:t>
            </w:r>
            <w:proofErr w:type="spellEnd"/>
          </w:p>
        </w:tc>
        <w:tc>
          <w:tcPr>
            <w:tcW w:w="1985" w:type="dxa"/>
            <w:shd w:val="clear" w:color="auto" w:fill="D9D9D9" w:themeFill="background1" w:themeFillShade="D9"/>
            <w:noWrap/>
            <w:hideMark/>
          </w:tcPr>
          <w:p w14:paraId="369D7779" w14:textId="77777777" w:rsidR="001C79E6" w:rsidRPr="00FC65D9" w:rsidRDefault="001C79E6" w:rsidP="000248D6">
            <w:pPr>
              <w:pStyle w:val="FootnoteText"/>
              <w:rPr>
                <w:rFonts w:cs="Arial"/>
                <w:lang w:val="fr-FR"/>
              </w:rPr>
            </w:pPr>
            <w:r>
              <w:rPr>
                <w:rFonts w:cs="Arial"/>
                <w:lang w:val="fr-FR"/>
              </w:rPr>
              <w:t>Phoque moine de Méditerranée</w:t>
            </w:r>
          </w:p>
        </w:tc>
        <w:tc>
          <w:tcPr>
            <w:tcW w:w="1417" w:type="dxa"/>
            <w:shd w:val="clear" w:color="auto" w:fill="D9D9D9" w:themeFill="background1" w:themeFillShade="D9"/>
            <w:noWrap/>
            <w:hideMark/>
          </w:tcPr>
          <w:p w14:paraId="51FD27F6" w14:textId="77777777" w:rsidR="001C79E6" w:rsidRPr="00FC65D9" w:rsidRDefault="001C79E6" w:rsidP="000248D6">
            <w:pPr>
              <w:pStyle w:val="FootnoteText"/>
              <w:rPr>
                <w:rFonts w:cs="Arial"/>
              </w:rPr>
            </w:pPr>
            <w:r>
              <w:rPr>
                <w:rFonts w:cs="Arial"/>
              </w:rPr>
              <w:t>1979</w:t>
            </w:r>
          </w:p>
        </w:tc>
        <w:tc>
          <w:tcPr>
            <w:tcW w:w="1560" w:type="dxa"/>
            <w:shd w:val="clear" w:color="auto" w:fill="D9D9D9" w:themeFill="background1" w:themeFillShade="D9"/>
            <w:noWrap/>
            <w:hideMark/>
          </w:tcPr>
          <w:p w14:paraId="77F2DB62" w14:textId="77777777" w:rsidR="001C79E6" w:rsidRPr="00FC65D9" w:rsidRDefault="001C79E6" w:rsidP="000248D6">
            <w:pPr>
              <w:pStyle w:val="FootnoteText"/>
              <w:rPr>
                <w:rFonts w:cs="Arial"/>
              </w:rPr>
            </w:pPr>
            <w:r>
              <w:rPr>
                <w:rFonts w:cs="Arial"/>
              </w:rPr>
              <w:t>1979</w:t>
            </w:r>
          </w:p>
        </w:tc>
        <w:tc>
          <w:tcPr>
            <w:tcW w:w="2358" w:type="dxa"/>
            <w:shd w:val="clear" w:color="auto" w:fill="D9D9D9" w:themeFill="background1" w:themeFillShade="D9"/>
          </w:tcPr>
          <w:p w14:paraId="3AD748B2" w14:textId="77777777" w:rsidR="001C79E6" w:rsidRPr="00FC65D9" w:rsidRDefault="001C79E6" w:rsidP="000248D6">
            <w:pPr>
              <w:pStyle w:val="FootnoteText"/>
              <w:rPr>
                <w:rFonts w:cs="Arial"/>
                <w:lang w:val="fr-FR"/>
              </w:rPr>
            </w:pPr>
            <w:r>
              <w:rPr>
                <w:rFonts w:cs="Arial"/>
                <w:lang w:val="fr-FR"/>
              </w:rPr>
              <w:t>EN (en augmentation)</w:t>
            </w:r>
          </w:p>
        </w:tc>
      </w:tr>
      <w:tr w:rsidR="001C79E6" w:rsidRPr="00067939" w14:paraId="3B657F0C" w14:textId="77777777" w:rsidTr="000248D6">
        <w:trPr>
          <w:trHeight w:val="315"/>
        </w:trPr>
        <w:tc>
          <w:tcPr>
            <w:tcW w:w="1696" w:type="dxa"/>
            <w:shd w:val="clear" w:color="auto" w:fill="D9D9D9" w:themeFill="background1" w:themeFillShade="D9"/>
            <w:noWrap/>
            <w:hideMark/>
          </w:tcPr>
          <w:p w14:paraId="30366C0E" w14:textId="77777777" w:rsidR="001C79E6" w:rsidRPr="00FC65D9" w:rsidRDefault="001C79E6" w:rsidP="000248D6">
            <w:pPr>
              <w:pStyle w:val="FootnoteText"/>
              <w:rPr>
                <w:rFonts w:cs="Arial"/>
                <w:i/>
                <w:iCs/>
              </w:rPr>
            </w:pPr>
            <w:proofErr w:type="spellStart"/>
            <w:r>
              <w:rPr>
                <w:rFonts w:cs="Arial"/>
                <w:i/>
                <w:iCs/>
              </w:rPr>
              <w:t>Phoca</w:t>
            </w:r>
            <w:proofErr w:type="spellEnd"/>
            <w:r>
              <w:rPr>
                <w:rFonts w:cs="Arial"/>
                <w:i/>
                <w:iCs/>
              </w:rPr>
              <w:t xml:space="preserve"> </w:t>
            </w:r>
            <w:proofErr w:type="spellStart"/>
            <w:r>
              <w:rPr>
                <w:rFonts w:cs="Arial"/>
                <w:i/>
                <w:iCs/>
              </w:rPr>
              <w:t>vitulina</w:t>
            </w:r>
            <w:proofErr w:type="spellEnd"/>
          </w:p>
        </w:tc>
        <w:tc>
          <w:tcPr>
            <w:tcW w:w="1985" w:type="dxa"/>
            <w:shd w:val="clear" w:color="auto" w:fill="D9D9D9" w:themeFill="background1" w:themeFillShade="D9"/>
            <w:noWrap/>
            <w:hideMark/>
          </w:tcPr>
          <w:p w14:paraId="32DC2A6E" w14:textId="77777777" w:rsidR="001C79E6" w:rsidRPr="00FC65D9" w:rsidRDefault="001C79E6" w:rsidP="000248D6">
            <w:pPr>
              <w:pStyle w:val="FootnoteText"/>
              <w:rPr>
                <w:rFonts w:cs="Arial"/>
                <w:lang w:val="fr-FR"/>
              </w:rPr>
            </w:pPr>
            <w:r>
              <w:rPr>
                <w:rFonts w:cs="Arial"/>
                <w:lang w:val="fr-FR"/>
              </w:rPr>
              <w:t>Phoque commun, phoque veau-marin</w:t>
            </w:r>
          </w:p>
        </w:tc>
        <w:tc>
          <w:tcPr>
            <w:tcW w:w="1417" w:type="dxa"/>
            <w:shd w:val="clear" w:color="auto" w:fill="D9D9D9" w:themeFill="background1" w:themeFillShade="D9"/>
            <w:noWrap/>
            <w:hideMark/>
          </w:tcPr>
          <w:p w14:paraId="43549387" w14:textId="77777777" w:rsidR="001C79E6" w:rsidRPr="0004354A" w:rsidRDefault="001C79E6" w:rsidP="000248D6">
            <w:pPr>
              <w:pStyle w:val="FootnoteText"/>
              <w:rPr>
                <w:rFonts w:cs="Arial"/>
                <w:lang w:val="fr-FR"/>
              </w:rPr>
            </w:pPr>
            <w:r w:rsidRPr="0004354A">
              <w:rPr>
                <w:rFonts w:cs="Arial"/>
                <w:lang w:val="fr-FR"/>
              </w:rPr>
              <w:t> </w:t>
            </w:r>
          </w:p>
        </w:tc>
        <w:tc>
          <w:tcPr>
            <w:tcW w:w="1560" w:type="dxa"/>
            <w:shd w:val="clear" w:color="auto" w:fill="D9D9D9" w:themeFill="background1" w:themeFillShade="D9"/>
            <w:noWrap/>
            <w:hideMark/>
          </w:tcPr>
          <w:p w14:paraId="1EAC8C85" w14:textId="77777777" w:rsidR="001C79E6" w:rsidRPr="00FC65D9" w:rsidRDefault="001C79E6" w:rsidP="000248D6">
            <w:pPr>
              <w:pStyle w:val="FootnoteText"/>
              <w:rPr>
                <w:rFonts w:cs="Arial"/>
              </w:rPr>
            </w:pPr>
            <w:r>
              <w:rPr>
                <w:rFonts w:cs="Arial"/>
              </w:rPr>
              <w:t>1985</w:t>
            </w:r>
          </w:p>
        </w:tc>
        <w:tc>
          <w:tcPr>
            <w:tcW w:w="2358" w:type="dxa"/>
            <w:shd w:val="clear" w:color="auto" w:fill="D9D9D9" w:themeFill="background1" w:themeFillShade="D9"/>
          </w:tcPr>
          <w:p w14:paraId="5C978210" w14:textId="77777777" w:rsidR="001C79E6" w:rsidRPr="00FC65D9" w:rsidRDefault="001C79E6" w:rsidP="000248D6">
            <w:pPr>
              <w:pStyle w:val="FootnoteText"/>
              <w:rPr>
                <w:rFonts w:cs="Arial"/>
                <w:lang w:val="fr-FR"/>
              </w:rPr>
            </w:pPr>
            <w:r>
              <w:rPr>
                <w:rFonts w:cs="Arial"/>
                <w:lang w:val="fr-FR"/>
              </w:rPr>
              <w:t>CR (inconnu)</w:t>
            </w:r>
          </w:p>
        </w:tc>
      </w:tr>
      <w:tr w:rsidR="001C79E6" w:rsidRPr="00067939" w14:paraId="512CA4D3" w14:textId="77777777" w:rsidTr="000248D6">
        <w:trPr>
          <w:trHeight w:val="315"/>
        </w:trPr>
        <w:tc>
          <w:tcPr>
            <w:tcW w:w="1696" w:type="dxa"/>
            <w:shd w:val="clear" w:color="auto" w:fill="D9D9D9" w:themeFill="background1" w:themeFillShade="D9"/>
            <w:noWrap/>
            <w:hideMark/>
          </w:tcPr>
          <w:p w14:paraId="3FC7C407" w14:textId="77777777" w:rsidR="001C79E6" w:rsidRPr="00FC65D9" w:rsidRDefault="001C79E6" w:rsidP="000248D6">
            <w:pPr>
              <w:pStyle w:val="FootnoteText"/>
              <w:rPr>
                <w:rFonts w:cs="Arial"/>
                <w:i/>
                <w:iCs/>
              </w:rPr>
            </w:pPr>
            <w:r>
              <w:rPr>
                <w:rFonts w:cs="Arial"/>
                <w:i/>
                <w:iCs/>
              </w:rPr>
              <w:t xml:space="preserve">Pusa </w:t>
            </w:r>
            <w:proofErr w:type="spellStart"/>
            <w:r>
              <w:rPr>
                <w:rFonts w:cs="Arial"/>
                <w:i/>
                <w:iCs/>
              </w:rPr>
              <w:t>caspica</w:t>
            </w:r>
            <w:proofErr w:type="spellEnd"/>
          </w:p>
        </w:tc>
        <w:tc>
          <w:tcPr>
            <w:tcW w:w="1985" w:type="dxa"/>
            <w:shd w:val="clear" w:color="auto" w:fill="D9D9D9" w:themeFill="background1" w:themeFillShade="D9"/>
            <w:noWrap/>
            <w:hideMark/>
          </w:tcPr>
          <w:p w14:paraId="6DB8241F" w14:textId="77777777" w:rsidR="001C79E6" w:rsidRPr="00FC65D9" w:rsidRDefault="001C79E6" w:rsidP="000248D6">
            <w:pPr>
              <w:pStyle w:val="FootnoteText"/>
              <w:rPr>
                <w:rFonts w:cs="Arial"/>
                <w:lang w:val="fr-FR"/>
              </w:rPr>
            </w:pPr>
            <w:r>
              <w:rPr>
                <w:rFonts w:cs="Arial"/>
                <w:lang w:val="fr-FR"/>
              </w:rPr>
              <w:t>Phoque de la Caspienne</w:t>
            </w:r>
          </w:p>
        </w:tc>
        <w:tc>
          <w:tcPr>
            <w:tcW w:w="1417" w:type="dxa"/>
            <w:shd w:val="clear" w:color="auto" w:fill="D9D9D9" w:themeFill="background1" w:themeFillShade="D9"/>
            <w:noWrap/>
            <w:hideMark/>
          </w:tcPr>
          <w:p w14:paraId="4C4EA276" w14:textId="77777777" w:rsidR="001C79E6" w:rsidRPr="00FC65D9" w:rsidRDefault="001C79E6" w:rsidP="000248D6">
            <w:pPr>
              <w:pStyle w:val="FootnoteText"/>
              <w:rPr>
                <w:rFonts w:cs="Arial"/>
              </w:rPr>
            </w:pPr>
            <w:r>
              <w:rPr>
                <w:rFonts w:cs="Arial"/>
              </w:rPr>
              <w:t>2017</w:t>
            </w:r>
          </w:p>
        </w:tc>
        <w:tc>
          <w:tcPr>
            <w:tcW w:w="1560" w:type="dxa"/>
            <w:shd w:val="clear" w:color="auto" w:fill="D9D9D9" w:themeFill="background1" w:themeFillShade="D9"/>
            <w:noWrap/>
            <w:hideMark/>
          </w:tcPr>
          <w:p w14:paraId="7FBB639A" w14:textId="77777777" w:rsidR="001C79E6" w:rsidRPr="00FC65D9" w:rsidRDefault="001C79E6" w:rsidP="000248D6">
            <w:pPr>
              <w:pStyle w:val="FootnoteText"/>
              <w:rPr>
                <w:rFonts w:cs="Arial"/>
              </w:rPr>
            </w:pPr>
            <w:r>
              <w:rPr>
                <w:rFonts w:cs="Arial"/>
              </w:rPr>
              <w:t>2017</w:t>
            </w:r>
          </w:p>
        </w:tc>
        <w:tc>
          <w:tcPr>
            <w:tcW w:w="2358" w:type="dxa"/>
            <w:shd w:val="clear" w:color="auto" w:fill="D9D9D9" w:themeFill="background1" w:themeFillShade="D9"/>
          </w:tcPr>
          <w:p w14:paraId="52E909DF" w14:textId="77777777" w:rsidR="001C79E6" w:rsidRPr="00FC65D9" w:rsidRDefault="001C79E6" w:rsidP="000248D6">
            <w:pPr>
              <w:pStyle w:val="FootnoteText"/>
              <w:rPr>
                <w:rFonts w:cs="Arial"/>
                <w:lang w:val="fr-FR"/>
              </w:rPr>
            </w:pPr>
            <w:r>
              <w:rPr>
                <w:rFonts w:cs="Arial"/>
                <w:lang w:val="fr-FR"/>
              </w:rPr>
              <w:t>EN (inconnu)</w:t>
            </w:r>
          </w:p>
        </w:tc>
      </w:tr>
      <w:tr w:rsidR="001C79E6" w:rsidRPr="00067939" w14:paraId="349DD624" w14:textId="77777777" w:rsidTr="000248D6">
        <w:trPr>
          <w:trHeight w:val="315"/>
        </w:trPr>
        <w:tc>
          <w:tcPr>
            <w:tcW w:w="1696" w:type="dxa"/>
            <w:shd w:val="clear" w:color="auto" w:fill="F2F2F2" w:themeFill="background1" w:themeFillShade="F2"/>
            <w:noWrap/>
            <w:hideMark/>
          </w:tcPr>
          <w:p w14:paraId="38BC1350" w14:textId="77777777" w:rsidR="001C79E6" w:rsidRPr="00FC65D9" w:rsidRDefault="001C79E6" w:rsidP="000248D6">
            <w:pPr>
              <w:pStyle w:val="FootnoteText"/>
              <w:rPr>
                <w:rFonts w:cs="Arial"/>
                <w:i/>
                <w:iCs/>
              </w:rPr>
            </w:pPr>
            <w:proofErr w:type="spellStart"/>
            <w:r>
              <w:rPr>
                <w:rFonts w:cs="Arial"/>
                <w:i/>
                <w:iCs/>
              </w:rPr>
              <w:t>Lontra</w:t>
            </w:r>
            <w:proofErr w:type="spellEnd"/>
            <w:r>
              <w:rPr>
                <w:rFonts w:cs="Arial"/>
                <w:i/>
                <w:iCs/>
              </w:rPr>
              <w:t xml:space="preserve"> </w:t>
            </w:r>
            <w:proofErr w:type="spellStart"/>
            <w:r>
              <w:rPr>
                <w:rFonts w:cs="Arial"/>
                <w:i/>
                <w:iCs/>
              </w:rPr>
              <w:t>felina</w:t>
            </w:r>
            <w:proofErr w:type="spellEnd"/>
          </w:p>
        </w:tc>
        <w:tc>
          <w:tcPr>
            <w:tcW w:w="1985" w:type="dxa"/>
            <w:shd w:val="clear" w:color="auto" w:fill="F2F2F2" w:themeFill="background1" w:themeFillShade="F2"/>
            <w:noWrap/>
            <w:hideMark/>
          </w:tcPr>
          <w:p w14:paraId="223DA3AE" w14:textId="77777777" w:rsidR="001C79E6" w:rsidRPr="00FC65D9" w:rsidRDefault="001C79E6" w:rsidP="000248D6">
            <w:pPr>
              <w:pStyle w:val="FootnoteText"/>
              <w:rPr>
                <w:rFonts w:cs="Arial"/>
                <w:lang w:val="fr-FR"/>
              </w:rPr>
            </w:pPr>
            <w:r>
              <w:rPr>
                <w:rFonts w:cs="Arial"/>
                <w:lang w:val="fr-FR"/>
              </w:rPr>
              <w:t>Loutre de mer</w:t>
            </w:r>
          </w:p>
        </w:tc>
        <w:tc>
          <w:tcPr>
            <w:tcW w:w="1417" w:type="dxa"/>
            <w:shd w:val="clear" w:color="auto" w:fill="F2F2F2" w:themeFill="background1" w:themeFillShade="F2"/>
            <w:noWrap/>
            <w:hideMark/>
          </w:tcPr>
          <w:p w14:paraId="31BD05DB" w14:textId="77777777" w:rsidR="001C79E6" w:rsidRPr="00FC65D9" w:rsidRDefault="001C79E6" w:rsidP="000248D6">
            <w:pPr>
              <w:pStyle w:val="FootnoteText"/>
              <w:rPr>
                <w:rFonts w:cs="Arial"/>
              </w:rPr>
            </w:pPr>
            <w:r>
              <w:rPr>
                <w:rFonts w:cs="Arial"/>
              </w:rPr>
              <w:t>1979</w:t>
            </w:r>
          </w:p>
        </w:tc>
        <w:tc>
          <w:tcPr>
            <w:tcW w:w="1560" w:type="dxa"/>
            <w:shd w:val="clear" w:color="auto" w:fill="F2F2F2" w:themeFill="background1" w:themeFillShade="F2"/>
            <w:noWrap/>
            <w:hideMark/>
          </w:tcPr>
          <w:p w14:paraId="3B966C83" w14:textId="77777777" w:rsidR="001C79E6" w:rsidRPr="00FC65D9" w:rsidRDefault="001C79E6" w:rsidP="000248D6">
            <w:pPr>
              <w:pStyle w:val="FootnoteText"/>
              <w:rPr>
                <w:rFonts w:cs="Arial"/>
              </w:rPr>
            </w:pPr>
            <w:r>
              <w:rPr>
                <w:rFonts w:cs="Arial"/>
              </w:rPr>
              <w:t> </w:t>
            </w:r>
          </w:p>
        </w:tc>
        <w:tc>
          <w:tcPr>
            <w:tcW w:w="2358" w:type="dxa"/>
            <w:shd w:val="clear" w:color="auto" w:fill="F2F2F2" w:themeFill="background1" w:themeFillShade="F2"/>
          </w:tcPr>
          <w:p w14:paraId="14CDC226" w14:textId="77777777" w:rsidR="001C79E6" w:rsidRPr="00FC65D9" w:rsidRDefault="001C79E6" w:rsidP="000248D6">
            <w:pPr>
              <w:pStyle w:val="FootnoteText"/>
              <w:rPr>
                <w:rFonts w:cs="Arial"/>
                <w:lang w:val="fr-FR"/>
              </w:rPr>
            </w:pPr>
            <w:r>
              <w:rPr>
                <w:rFonts w:cs="Arial"/>
                <w:lang w:val="fr-FR"/>
              </w:rPr>
              <w:t>EN (en baisse)</w:t>
            </w:r>
          </w:p>
        </w:tc>
      </w:tr>
      <w:tr w:rsidR="001C79E6" w:rsidRPr="00067939" w14:paraId="4D2CC36F" w14:textId="77777777" w:rsidTr="000248D6">
        <w:trPr>
          <w:trHeight w:val="315"/>
        </w:trPr>
        <w:tc>
          <w:tcPr>
            <w:tcW w:w="1696" w:type="dxa"/>
            <w:shd w:val="clear" w:color="auto" w:fill="F2F2F2" w:themeFill="background1" w:themeFillShade="F2"/>
            <w:noWrap/>
            <w:hideMark/>
          </w:tcPr>
          <w:p w14:paraId="262CEE9C" w14:textId="77777777" w:rsidR="001C79E6" w:rsidRPr="00FC65D9" w:rsidRDefault="001C79E6" w:rsidP="000248D6">
            <w:pPr>
              <w:pStyle w:val="FootnoteText"/>
              <w:rPr>
                <w:rFonts w:cs="Arial"/>
                <w:i/>
                <w:iCs/>
              </w:rPr>
            </w:pPr>
            <w:proofErr w:type="spellStart"/>
            <w:r>
              <w:rPr>
                <w:rFonts w:cs="Arial"/>
                <w:i/>
                <w:iCs/>
              </w:rPr>
              <w:t>Lontra</w:t>
            </w:r>
            <w:proofErr w:type="spellEnd"/>
            <w:r>
              <w:rPr>
                <w:rFonts w:cs="Arial"/>
                <w:i/>
                <w:iCs/>
              </w:rPr>
              <w:t xml:space="preserve"> </w:t>
            </w:r>
            <w:proofErr w:type="spellStart"/>
            <w:r>
              <w:rPr>
                <w:rFonts w:cs="Arial"/>
                <w:i/>
                <w:iCs/>
              </w:rPr>
              <w:t>provocax</w:t>
            </w:r>
            <w:proofErr w:type="spellEnd"/>
          </w:p>
        </w:tc>
        <w:tc>
          <w:tcPr>
            <w:tcW w:w="1985" w:type="dxa"/>
            <w:shd w:val="clear" w:color="auto" w:fill="F2F2F2" w:themeFill="background1" w:themeFillShade="F2"/>
            <w:noWrap/>
            <w:hideMark/>
          </w:tcPr>
          <w:p w14:paraId="24CA8DBF" w14:textId="77777777" w:rsidR="001C79E6" w:rsidRPr="00FC65D9" w:rsidRDefault="001C79E6" w:rsidP="000248D6">
            <w:pPr>
              <w:pStyle w:val="FootnoteText"/>
              <w:rPr>
                <w:rFonts w:cs="Arial"/>
                <w:lang w:val="fr-FR"/>
              </w:rPr>
            </w:pPr>
            <w:r>
              <w:rPr>
                <w:rFonts w:cs="Arial"/>
                <w:lang w:val="fr-FR"/>
              </w:rPr>
              <w:t>Loutre du Chili</w:t>
            </w:r>
          </w:p>
        </w:tc>
        <w:tc>
          <w:tcPr>
            <w:tcW w:w="1417" w:type="dxa"/>
            <w:shd w:val="clear" w:color="auto" w:fill="F2F2F2" w:themeFill="background1" w:themeFillShade="F2"/>
            <w:noWrap/>
            <w:hideMark/>
          </w:tcPr>
          <w:p w14:paraId="09AC9F46" w14:textId="77777777" w:rsidR="001C79E6" w:rsidRPr="00FC65D9" w:rsidRDefault="001C79E6" w:rsidP="000248D6">
            <w:pPr>
              <w:pStyle w:val="FootnoteText"/>
              <w:rPr>
                <w:rFonts w:cs="Arial"/>
              </w:rPr>
            </w:pPr>
            <w:r>
              <w:rPr>
                <w:rFonts w:cs="Arial"/>
              </w:rPr>
              <w:t>1979</w:t>
            </w:r>
          </w:p>
        </w:tc>
        <w:tc>
          <w:tcPr>
            <w:tcW w:w="1560" w:type="dxa"/>
            <w:shd w:val="clear" w:color="auto" w:fill="F2F2F2" w:themeFill="background1" w:themeFillShade="F2"/>
            <w:noWrap/>
            <w:hideMark/>
          </w:tcPr>
          <w:p w14:paraId="3E66ED76" w14:textId="77777777" w:rsidR="001C79E6" w:rsidRPr="00FC65D9" w:rsidRDefault="001C79E6" w:rsidP="000248D6">
            <w:pPr>
              <w:pStyle w:val="FootnoteText"/>
              <w:rPr>
                <w:rFonts w:cs="Arial"/>
              </w:rPr>
            </w:pPr>
            <w:r>
              <w:rPr>
                <w:rFonts w:cs="Arial"/>
              </w:rPr>
              <w:t> </w:t>
            </w:r>
          </w:p>
        </w:tc>
        <w:tc>
          <w:tcPr>
            <w:tcW w:w="2358" w:type="dxa"/>
            <w:shd w:val="clear" w:color="auto" w:fill="F2F2F2" w:themeFill="background1" w:themeFillShade="F2"/>
          </w:tcPr>
          <w:p w14:paraId="0DB0A814" w14:textId="77777777" w:rsidR="001C79E6" w:rsidRPr="00FC65D9" w:rsidRDefault="001C79E6" w:rsidP="000248D6">
            <w:pPr>
              <w:pStyle w:val="FootnoteText"/>
              <w:rPr>
                <w:rFonts w:cs="Arial"/>
                <w:lang w:val="fr-FR"/>
              </w:rPr>
            </w:pPr>
            <w:r>
              <w:rPr>
                <w:rFonts w:cs="Arial"/>
                <w:lang w:val="fr-FR"/>
              </w:rPr>
              <w:t>EN (en baisse)</w:t>
            </w:r>
          </w:p>
        </w:tc>
      </w:tr>
    </w:tbl>
    <w:p w14:paraId="49524DB1" w14:textId="77777777" w:rsidR="001C79E6" w:rsidRPr="00067939" w:rsidRDefault="001C79E6" w:rsidP="001C79E6">
      <w:pPr>
        <w:widowControl w:val="0"/>
        <w:autoSpaceDE w:val="0"/>
        <w:autoSpaceDN w:val="0"/>
        <w:adjustRightInd w:val="0"/>
        <w:contextualSpacing/>
        <w:jc w:val="center"/>
        <w:rPr>
          <w:sz w:val="20"/>
          <w:szCs w:val="20"/>
          <w:lang w:val="fr-FR"/>
        </w:rPr>
      </w:pPr>
      <w:r>
        <w:rPr>
          <w:sz w:val="20"/>
          <w:szCs w:val="20"/>
          <w:lang w:val="fr-FR"/>
        </w:rPr>
        <w:t>EN = En danger ; VU = Vulnérable ; CR = En danger critique ; DD = Données insuffisantes</w:t>
      </w:r>
    </w:p>
    <w:p w14:paraId="1B1FA8D6" w14:textId="77777777" w:rsidR="001C79E6" w:rsidRDefault="001C79E6" w:rsidP="001C79E6">
      <w:pPr>
        <w:widowControl w:val="0"/>
        <w:autoSpaceDE w:val="0"/>
        <w:autoSpaceDN w:val="0"/>
        <w:adjustRightInd w:val="0"/>
        <w:contextualSpacing/>
        <w:jc w:val="both"/>
        <w:rPr>
          <w:rFonts w:cs="Arial"/>
          <w:lang w:val="fr-FR"/>
        </w:rPr>
      </w:pPr>
    </w:p>
    <w:p w14:paraId="289CCC9F" w14:textId="77777777" w:rsidR="001C79E6" w:rsidRPr="00AC5651" w:rsidRDefault="001C79E6" w:rsidP="001C79E6">
      <w:pPr>
        <w:widowControl w:val="0"/>
        <w:autoSpaceDE w:val="0"/>
        <w:autoSpaceDN w:val="0"/>
        <w:adjustRightInd w:val="0"/>
        <w:contextualSpacing/>
        <w:jc w:val="both"/>
        <w:rPr>
          <w:rFonts w:cs="Arial"/>
          <w:u w:val="single"/>
          <w:lang w:val="fr-FR"/>
        </w:rPr>
      </w:pPr>
      <w:r>
        <w:rPr>
          <w:rFonts w:cs="Arial"/>
          <w:u w:val="single"/>
          <w:lang w:val="fr-FR"/>
        </w:rPr>
        <w:t>Examen des menaces régionales pesant sur les mammifères aquatiques inscrits aux Annexes de la CMS non inclus dans le Programme de travail mondial pour les cétacés et préparation des programmes de travail</w:t>
      </w:r>
    </w:p>
    <w:p w14:paraId="2262B00D" w14:textId="77777777" w:rsidR="001C79E6" w:rsidRDefault="001C79E6" w:rsidP="001C79E6">
      <w:pPr>
        <w:widowControl w:val="0"/>
        <w:autoSpaceDE w:val="0"/>
        <w:autoSpaceDN w:val="0"/>
        <w:adjustRightInd w:val="0"/>
        <w:contextualSpacing/>
        <w:jc w:val="both"/>
        <w:rPr>
          <w:rFonts w:cs="Arial"/>
          <w:lang w:val="fr-FR"/>
        </w:rPr>
      </w:pPr>
    </w:p>
    <w:p w14:paraId="3F08B6B8" w14:textId="77777777" w:rsidR="001C79E6" w:rsidRDefault="001C79E6" w:rsidP="001C79E6">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Aucun progrès n’a été réalisé dans la mise en œuvre des activités pertinentes de la Décision 13.81 a) et b) par manque de ressources et de moyens d’action. En conséquence, le Conseil scientifique n’a pas été en mesure de mettre en œuvre la Décision 13.82 a).</w:t>
      </w:r>
    </w:p>
    <w:p w14:paraId="4C567C12" w14:textId="77777777" w:rsidR="001C79E6" w:rsidRDefault="001C79E6" w:rsidP="001C79E6">
      <w:pPr>
        <w:pStyle w:val="ListParagraph"/>
        <w:widowControl w:val="0"/>
        <w:autoSpaceDE w:val="0"/>
        <w:autoSpaceDN w:val="0"/>
        <w:adjustRightInd w:val="0"/>
        <w:ind w:left="567"/>
        <w:jc w:val="both"/>
        <w:rPr>
          <w:rFonts w:cs="Arial"/>
          <w:lang w:val="fr-FR"/>
        </w:rPr>
      </w:pPr>
    </w:p>
    <w:p w14:paraId="2CE2A677" w14:textId="77777777" w:rsidR="001C79E6" w:rsidRPr="005E68AB" w:rsidRDefault="001C79E6" w:rsidP="001C79E6">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 xml:space="preserve">Les sections ci-dessous </w:t>
      </w:r>
      <w:proofErr w:type="gramStart"/>
      <w:r>
        <w:rPr>
          <w:rFonts w:cs="Arial"/>
          <w:lang w:val="fr-FR"/>
        </w:rPr>
        <w:t>donnent</w:t>
      </w:r>
      <w:proofErr w:type="gramEnd"/>
      <w:r>
        <w:rPr>
          <w:rFonts w:cs="Arial"/>
          <w:lang w:val="fr-FR"/>
        </w:rPr>
        <w:t xml:space="preserve"> des informations générales sur les raisons pour lesquelles ces examens, et les recommandations qui en découlent, restent nécessaires.</w:t>
      </w:r>
    </w:p>
    <w:p w14:paraId="6F52917A" w14:textId="77777777" w:rsidR="001C79E6" w:rsidRDefault="001C79E6" w:rsidP="001C79E6">
      <w:pPr>
        <w:widowControl w:val="0"/>
        <w:autoSpaceDE w:val="0"/>
        <w:autoSpaceDN w:val="0"/>
        <w:adjustRightInd w:val="0"/>
        <w:contextualSpacing/>
        <w:jc w:val="both"/>
        <w:rPr>
          <w:rFonts w:cs="Arial"/>
          <w:lang w:val="fr-FR"/>
        </w:rPr>
      </w:pPr>
    </w:p>
    <w:p w14:paraId="4DA3E39D" w14:textId="77777777" w:rsidR="001C79E6" w:rsidRPr="00920CD7" w:rsidRDefault="001C79E6" w:rsidP="001C79E6">
      <w:pPr>
        <w:widowControl w:val="0"/>
        <w:autoSpaceDE w:val="0"/>
        <w:autoSpaceDN w:val="0"/>
        <w:adjustRightInd w:val="0"/>
        <w:contextualSpacing/>
        <w:jc w:val="both"/>
        <w:rPr>
          <w:rFonts w:cs="Arial"/>
          <w:u w:val="single"/>
          <w:lang w:val="fr-FR"/>
        </w:rPr>
      </w:pPr>
      <w:r>
        <w:rPr>
          <w:rFonts w:cs="Arial"/>
          <w:u w:val="single"/>
          <w:lang w:val="fr-FR"/>
        </w:rPr>
        <w:t xml:space="preserve">Inscription possible des populations régionales de </w:t>
      </w:r>
      <w:r>
        <w:rPr>
          <w:rFonts w:cs="Arial"/>
          <w:i/>
          <w:iCs/>
          <w:u w:val="single"/>
          <w:lang w:val="fr-FR"/>
        </w:rPr>
        <w:t>Dugong dugon</w:t>
      </w:r>
      <w:r>
        <w:rPr>
          <w:rFonts w:cs="Arial"/>
          <w:u w:val="single"/>
          <w:lang w:val="fr-FR"/>
        </w:rPr>
        <w:t xml:space="preserve"> à l’Annexe I de la CMS</w:t>
      </w:r>
    </w:p>
    <w:p w14:paraId="235FE643" w14:textId="77777777" w:rsidR="001C79E6" w:rsidRDefault="001C79E6" w:rsidP="001C79E6">
      <w:pPr>
        <w:widowControl w:val="0"/>
        <w:autoSpaceDE w:val="0"/>
        <w:autoSpaceDN w:val="0"/>
        <w:adjustRightInd w:val="0"/>
        <w:contextualSpacing/>
        <w:jc w:val="both"/>
        <w:rPr>
          <w:rFonts w:cs="Arial"/>
          <w:lang w:val="fr-FR"/>
        </w:rPr>
      </w:pPr>
    </w:p>
    <w:p w14:paraId="31116538" w14:textId="77777777" w:rsidR="001C79E6" w:rsidRPr="00920CD7" w:rsidRDefault="001C79E6" w:rsidP="001C79E6">
      <w:pPr>
        <w:pStyle w:val="ListParagraph"/>
        <w:widowControl w:val="0"/>
        <w:numPr>
          <w:ilvl w:val="0"/>
          <w:numId w:val="3"/>
        </w:numPr>
        <w:autoSpaceDE w:val="0"/>
        <w:autoSpaceDN w:val="0"/>
        <w:adjustRightInd w:val="0"/>
        <w:ind w:left="567" w:hanging="567"/>
        <w:jc w:val="both"/>
        <w:rPr>
          <w:rFonts w:cs="Arial"/>
          <w:lang w:val="fr-FR"/>
        </w:rPr>
      </w:pPr>
      <w:r>
        <w:rPr>
          <w:rFonts w:cs="Arial"/>
          <w:lang w:val="fr-FR"/>
        </w:rPr>
        <w:t xml:space="preserve">Le mandat donné au Conseil scientifique dans la Décision 13.56 c) peut être considéré comme exécuté en raison de l’action entreprise par le Groupe consultatif technique du </w:t>
      </w:r>
      <w:proofErr w:type="spellStart"/>
      <w:r>
        <w:rPr>
          <w:rFonts w:cs="Arial"/>
          <w:lang w:val="fr-FR"/>
        </w:rPr>
        <w:t>MdE</w:t>
      </w:r>
      <w:proofErr w:type="spellEnd"/>
      <w:r>
        <w:rPr>
          <w:rFonts w:cs="Arial"/>
          <w:lang w:val="fr-FR"/>
        </w:rPr>
        <w:t xml:space="preserve"> Dugong et par le Secrétariat, comme indiqué ci-dessous.</w:t>
      </w:r>
    </w:p>
    <w:p w14:paraId="0364D6C3" w14:textId="77777777" w:rsidR="001C79E6" w:rsidRDefault="001C79E6" w:rsidP="001C79E6">
      <w:pPr>
        <w:widowControl w:val="0"/>
        <w:autoSpaceDE w:val="0"/>
        <w:autoSpaceDN w:val="0"/>
        <w:adjustRightInd w:val="0"/>
        <w:contextualSpacing/>
        <w:jc w:val="both"/>
        <w:rPr>
          <w:rFonts w:cs="Arial"/>
          <w:lang w:val="fr-FR"/>
        </w:rPr>
      </w:pPr>
    </w:p>
    <w:p w14:paraId="4E8F99E8" w14:textId="77777777" w:rsidR="001C79E6" w:rsidRDefault="001C79E6" w:rsidP="001C79E6">
      <w:pPr>
        <w:rPr>
          <w:rFonts w:cs="Arial"/>
          <w:u w:val="single"/>
          <w:lang w:val="fr-FR"/>
        </w:rPr>
      </w:pPr>
      <w:r>
        <w:rPr>
          <w:rFonts w:cs="Arial"/>
          <w:u w:val="single"/>
          <w:lang w:val="fr-FR"/>
        </w:rPr>
        <w:t>Siréniens</w:t>
      </w:r>
    </w:p>
    <w:p w14:paraId="7610336B" w14:textId="77777777" w:rsidR="001C79E6" w:rsidRPr="00661875" w:rsidRDefault="001C79E6" w:rsidP="001C79E6">
      <w:pPr>
        <w:rPr>
          <w:rFonts w:cs="Arial"/>
          <w:u w:val="single"/>
          <w:lang w:val="fr-FR"/>
        </w:rPr>
      </w:pPr>
    </w:p>
    <w:p w14:paraId="66917D6A"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Les siréniens (</w:t>
      </w:r>
      <w:proofErr w:type="spellStart"/>
      <w:r>
        <w:rPr>
          <w:rFonts w:cs="Arial"/>
          <w:lang w:val="fr-FR"/>
        </w:rPr>
        <w:t>Sirenia</w:t>
      </w:r>
      <w:proofErr w:type="spellEnd"/>
      <w:r>
        <w:rPr>
          <w:rFonts w:cs="Arial"/>
          <w:lang w:val="fr-FR"/>
        </w:rPr>
        <w:t xml:space="preserve">), communément appelés vaches de mer, sont un ordre de mammifères herbivores entièrement aquatiques qui vivent dans les marécages, les rivières, les estuaires, les zones humides marines et les eaux marines côtières. Les siréniens vivants comprennent deux familles distinctes : les </w:t>
      </w:r>
      <w:proofErr w:type="spellStart"/>
      <w:r>
        <w:rPr>
          <w:rFonts w:cs="Arial"/>
          <w:lang w:val="fr-FR"/>
        </w:rPr>
        <w:t>Dugongidae</w:t>
      </w:r>
      <w:proofErr w:type="spellEnd"/>
      <w:r>
        <w:rPr>
          <w:rFonts w:cs="Arial"/>
          <w:lang w:val="fr-FR"/>
        </w:rPr>
        <w:t xml:space="preserve"> (qui incluent les dugongs et la </w:t>
      </w:r>
      <w:proofErr w:type="spellStart"/>
      <w:r>
        <w:rPr>
          <w:rFonts w:cs="Arial"/>
          <w:lang w:val="fr-FR"/>
        </w:rPr>
        <w:t>rythine</w:t>
      </w:r>
      <w:proofErr w:type="spellEnd"/>
      <w:r>
        <w:rPr>
          <w:rFonts w:cs="Arial"/>
          <w:lang w:val="fr-FR"/>
        </w:rPr>
        <w:t xml:space="preserve"> de </w:t>
      </w:r>
      <w:proofErr w:type="spellStart"/>
      <w:r>
        <w:rPr>
          <w:rFonts w:cs="Arial"/>
          <w:lang w:val="fr-FR"/>
        </w:rPr>
        <w:t>Steller</w:t>
      </w:r>
      <w:proofErr w:type="spellEnd"/>
      <w:r>
        <w:rPr>
          <w:rFonts w:cs="Arial"/>
          <w:lang w:val="fr-FR"/>
        </w:rPr>
        <w:t xml:space="preserve">, aujourd’hui éteinte) et les </w:t>
      </w:r>
      <w:proofErr w:type="spellStart"/>
      <w:r>
        <w:rPr>
          <w:rFonts w:cs="Arial"/>
          <w:lang w:val="fr-FR"/>
        </w:rPr>
        <w:t>Trichechidae</w:t>
      </w:r>
      <w:proofErr w:type="spellEnd"/>
      <w:r>
        <w:rPr>
          <w:rFonts w:cs="Arial"/>
          <w:lang w:val="fr-FR"/>
        </w:rPr>
        <w:t xml:space="preserve"> (qui incluent </w:t>
      </w:r>
      <w:r>
        <w:rPr>
          <w:rFonts w:cs="Arial"/>
          <w:lang w:val="fr-FR"/>
        </w:rPr>
        <w:lastRenderedPageBreak/>
        <w:t>les lamantins, à savoir le lamantin d’Amazonie, le lamantin des Caraïbes et le lamantin d’Afrique), avec un total de quatre espèces, toutes inscrites aux Annexes de la CMS.</w:t>
      </w:r>
    </w:p>
    <w:p w14:paraId="76853AEC" w14:textId="77777777" w:rsidR="001C79E6" w:rsidRDefault="001C79E6" w:rsidP="001C79E6">
      <w:pPr>
        <w:widowControl w:val="0"/>
        <w:autoSpaceDE w:val="0"/>
        <w:autoSpaceDN w:val="0"/>
        <w:adjustRightInd w:val="0"/>
        <w:ind w:left="567"/>
        <w:jc w:val="both"/>
        <w:rPr>
          <w:rFonts w:cs="Arial"/>
          <w:lang w:val="fr-FR"/>
        </w:rPr>
      </w:pPr>
    </w:p>
    <w:p w14:paraId="703273C1"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Le dugong (</w:t>
      </w:r>
      <w:r>
        <w:rPr>
          <w:rFonts w:cs="Arial"/>
          <w:i/>
          <w:iCs/>
          <w:lang w:val="fr-FR"/>
        </w:rPr>
        <w:t>Dugong dugon</w:t>
      </w:r>
      <w:r>
        <w:rPr>
          <w:rFonts w:cs="Arial"/>
          <w:lang w:val="fr-FR"/>
        </w:rPr>
        <w:t xml:space="preserve">) est le seul mammifère herbivore strictement marin et la seule espèce survivante de la famille des </w:t>
      </w:r>
      <w:proofErr w:type="spellStart"/>
      <w:r>
        <w:rPr>
          <w:rFonts w:cs="Arial"/>
          <w:lang w:val="fr-FR"/>
        </w:rPr>
        <w:t>Dugongidae</w:t>
      </w:r>
      <w:proofErr w:type="spellEnd"/>
      <w:r>
        <w:rPr>
          <w:rFonts w:cs="Arial"/>
          <w:lang w:val="fr-FR"/>
        </w:rPr>
        <w:t>. L’Union internationale pour la conservation de la nature (UICN) le répertorie comme « vulnérable » à l’extinction à l’échelle mondiale. Toutefois, les populations régionales de dugongs sont probablement exposées à un risque d’extinction plus élevé. L’aire de répartition du dugong s’étend sur près de 40 pays et territoires et comprend les eaux côtières et insulaires tropicales et subtropicales de l’Afrique de l’Est à Vanuatu, à une latitude d’environ 26° nord et sud de l’équateur. La survie des dugongs dépend fortement des écosystèmes d’herbiers marins, qui constituent leur principale source de nourriture. La grande majorité des dugongs se trouve en Australie, avec une population d’environ 165 000 individus selon le rapport sur l’état de l’environnement en Australie (</w:t>
      </w:r>
      <w:proofErr w:type="spellStart"/>
      <w:r>
        <w:fldChar w:fldCharType="begin"/>
      </w:r>
      <w:r w:rsidRPr="0004354A">
        <w:rPr>
          <w:lang w:val="fr-FR"/>
        </w:rPr>
        <w:instrText>HYPERLINK "https://soe.dcceew.gov.au/"</w:instrText>
      </w:r>
      <w:r>
        <w:fldChar w:fldCharType="separate"/>
      </w:r>
      <w:r>
        <w:rPr>
          <w:rStyle w:val="Hyperlink"/>
          <w:rFonts w:cs="Arial"/>
          <w:lang w:val="fr-FR"/>
        </w:rPr>
        <w:t>Australian</w:t>
      </w:r>
      <w:proofErr w:type="spellEnd"/>
      <w:r>
        <w:rPr>
          <w:rStyle w:val="Hyperlink"/>
          <w:rFonts w:cs="Arial"/>
          <w:lang w:val="fr-FR"/>
        </w:rPr>
        <w:t xml:space="preserve"> State of the </w:t>
      </w:r>
      <w:proofErr w:type="spellStart"/>
      <w:r>
        <w:rPr>
          <w:rStyle w:val="Hyperlink"/>
          <w:rFonts w:cs="Arial"/>
          <w:lang w:val="fr-FR"/>
        </w:rPr>
        <w:t>Environment</w:t>
      </w:r>
      <w:proofErr w:type="spellEnd"/>
      <w:r>
        <w:rPr>
          <w:rStyle w:val="Hyperlink"/>
          <w:rFonts w:cs="Arial"/>
          <w:lang w:val="fr-FR"/>
        </w:rPr>
        <w:t xml:space="preserve"> Report</w:t>
      </w:r>
      <w:r>
        <w:rPr>
          <w:rStyle w:val="Hyperlink"/>
          <w:rFonts w:cs="Arial"/>
          <w:lang w:val="fr-FR"/>
        </w:rPr>
        <w:fldChar w:fldCharType="end"/>
      </w:r>
      <w:r>
        <w:rPr>
          <w:rFonts w:cs="Arial"/>
          <w:lang w:val="fr-FR"/>
        </w:rPr>
        <w:t>). En dehors de l’Australie, une importante population de dugongs représentant plusieurs milliers d’individus est également présente dans le golfe Arabique. En 2022, les dugongs ont été déclarés fonctionnellement éteints en Chine.</w:t>
      </w:r>
    </w:p>
    <w:p w14:paraId="5A8FB56A" w14:textId="77777777" w:rsidR="001C79E6" w:rsidRDefault="001C79E6" w:rsidP="001C79E6">
      <w:pPr>
        <w:widowControl w:val="0"/>
        <w:autoSpaceDE w:val="0"/>
        <w:autoSpaceDN w:val="0"/>
        <w:adjustRightInd w:val="0"/>
        <w:ind w:left="567"/>
        <w:jc w:val="both"/>
        <w:rPr>
          <w:rFonts w:cs="Arial"/>
          <w:lang w:val="fr-FR"/>
        </w:rPr>
      </w:pPr>
    </w:p>
    <w:p w14:paraId="562F788D"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 xml:space="preserve">La CMS a mis en place un accord pour la conservation des dugongs, intitulé </w:t>
      </w:r>
      <w:hyperlink r:id="rId17" w:history="1">
        <w:r>
          <w:rPr>
            <w:rStyle w:val="Hyperlink"/>
            <w:rFonts w:cs="Arial"/>
            <w:lang w:val="fr-FR"/>
          </w:rPr>
          <w:t>Mémorandum d’entente sur la conservation et la gestion des dugongs (</w:t>
        </w:r>
        <w:r>
          <w:rPr>
            <w:rStyle w:val="Hyperlink"/>
            <w:rFonts w:cs="Arial"/>
            <w:i/>
            <w:iCs/>
            <w:lang w:val="fr-FR"/>
          </w:rPr>
          <w:t>Dugong dugon</w:t>
        </w:r>
        <w:r>
          <w:rPr>
            <w:rStyle w:val="Hyperlink"/>
            <w:rFonts w:cs="Arial"/>
            <w:lang w:val="fr-FR"/>
          </w:rPr>
          <w:t>) et de leurs habitats dans l’ensemble de leur aire de répartition</w:t>
        </w:r>
      </w:hyperlink>
      <w:r>
        <w:rPr>
          <w:rFonts w:cs="Arial"/>
          <w:lang w:val="fr-FR"/>
        </w:rPr>
        <w:t xml:space="preserve"> (</w:t>
      </w:r>
      <w:proofErr w:type="spellStart"/>
      <w:r>
        <w:rPr>
          <w:rFonts w:cs="Arial"/>
          <w:lang w:val="fr-FR"/>
        </w:rPr>
        <w:t>MdE</w:t>
      </w:r>
      <w:proofErr w:type="spellEnd"/>
      <w:r>
        <w:rPr>
          <w:rFonts w:cs="Arial"/>
          <w:lang w:val="fr-FR"/>
        </w:rPr>
        <w:t xml:space="preserve"> Dugong). Ce Mémorandum d’entente (</w:t>
      </w:r>
      <w:proofErr w:type="spellStart"/>
      <w:r>
        <w:rPr>
          <w:rFonts w:cs="Arial"/>
          <w:lang w:val="fr-FR"/>
        </w:rPr>
        <w:t>MdE</w:t>
      </w:r>
      <w:proofErr w:type="spellEnd"/>
      <w:r>
        <w:rPr>
          <w:rFonts w:cs="Arial"/>
          <w:lang w:val="fr-FR"/>
        </w:rPr>
        <w:t>) compte 27 signataires et vise à promouvoir des actions coordonnées au niveau international destinées à garantir la survie à long terme des dugongs et de leur habitat dans les herbiers marins dans l’ensemble de leur aire de répartition.</w:t>
      </w:r>
    </w:p>
    <w:p w14:paraId="76309947" w14:textId="77777777" w:rsidR="001C79E6" w:rsidRDefault="001C79E6" w:rsidP="001C79E6">
      <w:pPr>
        <w:widowControl w:val="0"/>
        <w:autoSpaceDE w:val="0"/>
        <w:autoSpaceDN w:val="0"/>
        <w:adjustRightInd w:val="0"/>
        <w:ind w:left="567"/>
        <w:jc w:val="both"/>
        <w:rPr>
          <w:rFonts w:cs="Arial"/>
          <w:lang w:val="fr-FR"/>
        </w:rPr>
      </w:pPr>
    </w:p>
    <w:p w14:paraId="417533C0"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 xml:space="preserve">Un examen de l’intérêt scientifique d’inscrire des populations régionales de </w:t>
      </w:r>
      <w:r>
        <w:rPr>
          <w:rFonts w:cs="Arial"/>
          <w:i/>
          <w:iCs/>
          <w:lang w:val="fr-FR"/>
        </w:rPr>
        <w:t>Dugong dugon</w:t>
      </w:r>
      <w:r>
        <w:rPr>
          <w:rFonts w:cs="Arial"/>
          <w:lang w:val="fr-FR"/>
        </w:rPr>
        <w:t xml:space="preserve"> à l’Annexe I de la CMS, comme demandé par la Décision 13.55, est utile car la population de dugongs est fragmentée. S’il est vrai que les dugongs sont classés comme « vulnérables » à l’extinction à l’échelle mondiale, certaines populations régionales hors de l’Australie courent un risque plus élevé de disparition en raison de la petite taille de leur population, du manque potentiel de connectivité avec d’autres populations de dugongs et de menaces anthropiques localisées plus importantes liées à la perte des herbiers marins et aux prises accessoires des pêcheries.</w:t>
      </w:r>
    </w:p>
    <w:p w14:paraId="484F2970" w14:textId="77777777" w:rsidR="001C79E6" w:rsidRDefault="001C79E6" w:rsidP="001C79E6">
      <w:pPr>
        <w:widowControl w:val="0"/>
        <w:autoSpaceDE w:val="0"/>
        <w:autoSpaceDN w:val="0"/>
        <w:adjustRightInd w:val="0"/>
        <w:ind w:left="567"/>
        <w:jc w:val="both"/>
        <w:rPr>
          <w:rFonts w:cs="Arial"/>
          <w:lang w:val="fr-FR"/>
        </w:rPr>
      </w:pPr>
    </w:p>
    <w:p w14:paraId="1FF57B9D"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Afin de répondre à la Décision 13.55, le Secrétariat de la CMS a soutenu deux évaluations régionales de la population de dugongs en Afrique de l’Est et en Nouvelle-Calédonie pour la Liste rouge de l’UICN, financées par l’Agence de l’environnement d’Abu Dhabi dans le cadre du programme des Champions sur les espèces migratrices. Lors de la mise à jour 2022 de la Liste rouge des espèces menacées de l’UICN, les populations de dugongs en Afrique de l’Est et en Nouvelle-Calédonie ont été classées respectivement dans les catégories « en danger critique » et « en danger », bien que l’espèce reste « vulnérable » à l’échelle mondiale. Les principales menaces sont la capture accidentelle dans les engins de pêche en Afrique de l’Est, le braconnage en Nouvelle-Calédonie et les blessures conséquentes aux collisions avec des bateaux dans ces deux zones. En Afrique de l’Est, l’exploration et la production de pétrole et de gaz, le chalutage de fond, la pollution chimique et le développement côtier non autorisé endommagent et détruisent les herbiers marins dont les dugongs dépendent pour se nourrir. La dégradation et la disparition des herbiers marins en Nouvelle-Calédonie sont dues au ruissellement agricole, à la pollution résultant de l’extraction de nickel et du développement côtier, ainsi qu’aux dommages causés par les ancres des bateaux. Les effets du changement climatique constituent une menace pour l’ensemble de l’aire de répartition des dugongs.</w:t>
      </w:r>
    </w:p>
    <w:p w14:paraId="27940C48" w14:textId="5614550D" w:rsidR="009F1640" w:rsidRDefault="009F1640" w:rsidP="001C79E6">
      <w:pPr>
        <w:widowControl w:val="0"/>
        <w:autoSpaceDE w:val="0"/>
        <w:autoSpaceDN w:val="0"/>
        <w:adjustRightInd w:val="0"/>
        <w:ind w:left="567"/>
        <w:jc w:val="both"/>
        <w:rPr>
          <w:rFonts w:cs="Arial"/>
          <w:lang w:val="fr-FR"/>
        </w:rPr>
      </w:pPr>
      <w:r>
        <w:rPr>
          <w:rFonts w:cs="Arial"/>
          <w:lang w:val="fr-FR"/>
        </w:rPr>
        <w:br w:type="page"/>
      </w:r>
    </w:p>
    <w:p w14:paraId="75A7DC40" w14:textId="77777777" w:rsidR="001C79E6" w:rsidRPr="00745D63"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lastRenderedPageBreak/>
        <w:t xml:space="preserve">Leur état « en danger critique » et « en danger » sur la Liste rouge de l’UICN confirme l’intérêt scientifique d’inscrire les populations régionales de dugongs à l’Annexe I de la CMS, point de vue partagé par le </w:t>
      </w:r>
      <w:hyperlink r:id="rId18" w:history="1">
        <w:r>
          <w:rPr>
            <w:rStyle w:val="Hyperlink"/>
            <w:rFonts w:cs="Arial"/>
            <w:lang w:val="fr-FR"/>
          </w:rPr>
          <w:t>Groupe consultatif technique</w:t>
        </w:r>
      </w:hyperlink>
      <w:r>
        <w:rPr>
          <w:rFonts w:cs="Arial"/>
          <w:lang w:val="fr-FR"/>
        </w:rPr>
        <w:t xml:space="preserve"> du </w:t>
      </w:r>
      <w:proofErr w:type="spellStart"/>
      <w:r>
        <w:rPr>
          <w:rFonts w:cs="Arial"/>
          <w:lang w:val="fr-FR"/>
        </w:rPr>
        <w:t>MdE</w:t>
      </w:r>
      <w:proofErr w:type="spellEnd"/>
      <w:r>
        <w:rPr>
          <w:rFonts w:cs="Arial"/>
          <w:lang w:val="fr-FR"/>
        </w:rPr>
        <w:t xml:space="preserve"> Dugong.</w:t>
      </w:r>
    </w:p>
    <w:p w14:paraId="43B988FF" w14:textId="77777777" w:rsidR="001C79E6" w:rsidRDefault="001C79E6" w:rsidP="001C79E6">
      <w:pPr>
        <w:widowControl w:val="0"/>
        <w:autoSpaceDE w:val="0"/>
        <w:autoSpaceDN w:val="0"/>
        <w:adjustRightInd w:val="0"/>
        <w:ind w:left="567"/>
        <w:jc w:val="both"/>
        <w:rPr>
          <w:rFonts w:cs="Arial"/>
          <w:lang w:val="fr-FR"/>
        </w:rPr>
      </w:pPr>
    </w:p>
    <w:p w14:paraId="3FC98151"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 xml:space="preserve">Compte tenu du travail considérable sur les populations de dugongs et des efforts de conservation entrepris dans le cadre du </w:t>
      </w:r>
      <w:proofErr w:type="spellStart"/>
      <w:r>
        <w:rPr>
          <w:rFonts w:cs="Arial"/>
          <w:lang w:val="fr-FR"/>
        </w:rPr>
        <w:t>MdE</w:t>
      </w:r>
      <w:proofErr w:type="spellEnd"/>
      <w:r>
        <w:rPr>
          <w:rFonts w:cs="Arial"/>
          <w:lang w:val="fr-FR"/>
        </w:rPr>
        <w:t xml:space="preserve"> Dugong, la demande de la Décision 13.81 a) est considérée comme satisfaite, et aucun autre examen par le Conseil scientifique ou ses groupes de travail n’est nécessaire.</w:t>
      </w:r>
    </w:p>
    <w:p w14:paraId="3072E2BC" w14:textId="77777777" w:rsidR="001C79E6" w:rsidRDefault="001C79E6" w:rsidP="001C79E6">
      <w:pPr>
        <w:widowControl w:val="0"/>
        <w:autoSpaceDE w:val="0"/>
        <w:autoSpaceDN w:val="0"/>
        <w:adjustRightInd w:val="0"/>
        <w:ind w:left="567"/>
        <w:jc w:val="both"/>
        <w:rPr>
          <w:rFonts w:cs="Arial"/>
          <w:lang w:val="fr-FR"/>
        </w:rPr>
      </w:pPr>
    </w:p>
    <w:p w14:paraId="427105C3"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Le lamantin d’Afrique représente l’une des trois espèces de lamantins. S’agissant de la plus menacée des trois, comme indiqué par le Conseil scientifique de la CMS en 1999, elle est inscrite à l’Annexe II de la Convention. Parmi les principales menaces qui pèsent sur cette espèce figurent la destruction de ses habitats naturels (mangroves et zones humides côtières) par la pollution et la surexploitation, ainsi que la chasse destinée à récupérer la viande, le cuir et la graisse. Les captures accidentelles dans les filets de pêche constituent une autre menace. Malgré la protection juridique offerte par les lois nationales des États de l’aire de répartition, l’abattage et l’utilisation illégale perdurent, signe des lacunes en matière de respect et d’application des dispositions.</w:t>
      </w:r>
    </w:p>
    <w:p w14:paraId="04F6DDEA" w14:textId="77777777" w:rsidR="001C79E6" w:rsidRDefault="001C79E6" w:rsidP="001C79E6">
      <w:pPr>
        <w:widowControl w:val="0"/>
        <w:autoSpaceDE w:val="0"/>
        <w:autoSpaceDN w:val="0"/>
        <w:adjustRightInd w:val="0"/>
        <w:ind w:left="567"/>
        <w:jc w:val="both"/>
        <w:rPr>
          <w:rFonts w:cs="Arial"/>
          <w:lang w:val="fr-FR"/>
        </w:rPr>
      </w:pPr>
    </w:p>
    <w:p w14:paraId="0DAC05D8"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 xml:space="preserve">La CMS a mis en place un accord pour la conservation des lamantins d’Afrique, ainsi que d’autres mammifères aquatiques d’Afrique occidentale, intitulé </w:t>
      </w:r>
      <w:hyperlink r:id="rId19" w:history="1">
        <w:r>
          <w:rPr>
            <w:rStyle w:val="Hyperlink"/>
            <w:rFonts w:cs="Arial"/>
            <w:lang w:val="fr-FR"/>
          </w:rPr>
          <w:t>Mémorandum d’accord sur la conservation des lamantins et des petits cétacés d’Afrique occidentale et de Macaronésie</w:t>
        </w:r>
      </w:hyperlink>
      <w:r>
        <w:rPr>
          <w:rFonts w:cs="Arial"/>
          <w:lang w:val="fr-FR"/>
        </w:rPr>
        <w:t>. Celui-ci vise à atteindre et à maintenir un état de conservation favorable pour les lamantins et les petits cétacés d’Afrique occidentale et de Macaronésie et leurs habitats, et à préserver les valeurs associées à ces espèces pour les personnes de la région.</w:t>
      </w:r>
    </w:p>
    <w:p w14:paraId="1B68ECEA" w14:textId="77777777" w:rsidR="001C79E6" w:rsidRDefault="001C79E6" w:rsidP="001C79E6">
      <w:pPr>
        <w:widowControl w:val="0"/>
        <w:autoSpaceDE w:val="0"/>
        <w:autoSpaceDN w:val="0"/>
        <w:adjustRightInd w:val="0"/>
        <w:ind w:left="567"/>
        <w:jc w:val="both"/>
        <w:rPr>
          <w:rFonts w:cs="Arial"/>
          <w:lang w:val="fr-FR"/>
        </w:rPr>
      </w:pPr>
    </w:p>
    <w:p w14:paraId="23557E63" w14:textId="77777777" w:rsidR="001C79E6" w:rsidRPr="007A39DB"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Malgré son inscription au Mémorandum d’accord, l’espèce n’a pas fait l’objet d’une attention particulière. Un examen, comme prévu dans la Décision 13.81, serait utile pour les trois espèces de lamantins.</w:t>
      </w:r>
    </w:p>
    <w:p w14:paraId="6CA2654B" w14:textId="77777777" w:rsidR="001C79E6" w:rsidRPr="00CD0FE9" w:rsidRDefault="001C79E6" w:rsidP="001C79E6">
      <w:pPr>
        <w:jc w:val="both"/>
        <w:rPr>
          <w:rFonts w:cs="Arial"/>
          <w:lang w:val="fr-FR"/>
        </w:rPr>
      </w:pPr>
    </w:p>
    <w:p w14:paraId="2D14D859" w14:textId="77777777" w:rsidR="001C79E6" w:rsidRPr="00CD0FE9" w:rsidRDefault="001C79E6" w:rsidP="001C79E6">
      <w:pPr>
        <w:jc w:val="both"/>
        <w:rPr>
          <w:rFonts w:cs="Arial"/>
          <w:u w:val="single"/>
          <w:lang w:val="fr-FR"/>
        </w:rPr>
      </w:pPr>
      <w:r>
        <w:rPr>
          <w:rFonts w:cs="Arial"/>
          <w:u w:val="single"/>
          <w:lang w:val="fr-FR"/>
        </w:rPr>
        <w:t>Pinnipèdes</w:t>
      </w:r>
    </w:p>
    <w:p w14:paraId="13BC899A" w14:textId="77777777" w:rsidR="001C79E6" w:rsidRPr="00CD0FE9" w:rsidRDefault="001C79E6" w:rsidP="001C79E6">
      <w:pPr>
        <w:rPr>
          <w:rFonts w:cs="Arial"/>
          <w:lang w:val="fr-FR"/>
        </w:rPr>
      </w:pPr>
    </w:p>
    <w:p w14:paraId="42F7A66C" w14:textId="77777777" w:rsidR="001C79E6" w:rsidRPr="00DF0FF7"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Les pinnipèdes, qui comprennent les morses, les otaries et les phoques à fourrure, ainsi que les vrais phoques, sont un groupe de mammifères carnivores, à nageoires et semi-aquatiques, largement répandu et diversifié. Ils passent la majeure partie de leur vie dans l’eau, mais viennent sur le rivage pour s’accoupler, mettre bas, muer ou échapper à des prédateurs tels que les requins et les orques. Les phoques vivent principalement dans des environnements marins, mais on les trouve également en eau douce.</w:t>
      </w:r>
    </w:p>
    <w:p w14:paraId="31B85008" w14:textId="77777777" w:rsidR="001C79E6" w:rsidRPr="00DF0FF7" w:rsidRDefault="001C79E6" w:rsidP="001C79E6">
      <w:pPr>
        <w:ind w:left="567" w:hanging="567"/>
        <w:jc w:val="both"/>
        <w:rPr>
          <w:rFonts w:cs="Arial"/>
          <w:lang w:val="fr-FR"/>
        </w:rPr>
      </w:pPr>
    </w:p>
    <w:p w14:paraId="06E311BC"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Quatre des espèces de pinnipèdes inscrites aux Annexes de la CMS sont actuellement classées dans la catégorie « préoccupation mineure » de la Liste rouge de l’UICN, avec une tendance démographique croissante, stable ou inconnue. Le phoque moine de Méditerranée, bien que classé « en danger », présente une tendance à l’augmentation de sa population, ce qui souligne le succès des efforts en matière de conservation déployés par les États de l’aire de répartition depuis de nombreuses années. Le phoque de la Caspienne est également classé dans la catégorie « en danger », mais l’évolution de la population est inconnue.</w:t>
      </w:r>
    </w:p>
    <w:p w14:paraId="502C1012" w14:textId="77777777" w:rsidR="001C79E6" w:rsidRDefault="001C79E6" w:rsidP="001C79E6">
      <w:pPr>
        <w:widowControl w:val="0"/>
        <w:autoSpaceDE w:val="0"/>
        <w:autoSpaceDN w:val="0"/>
        <w:adjustRightInd w:val="0"/>
        <w:ind w:left="567"/>
        <w:jc w:val="both"/>
        <w:rPr>
          <w:rFonts w:cs="Arial"/>
          <w:lang w:val="fr-FR"/>
        </w:rPr>
      </w:pPr>
    </w:p>
    <w:p w14:paraId="457153E9"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La CMS a mis en place deux accords pour la conservation des pinnipèdes :</w:t>
      </w:r>
    </w:p>
    <w:p w14:paraId="27ACF587" w14:textId="77777777" w:rsidR="001C79E6" w:rsidRDefault="001C79E6" w:rsidP="001C79E6">
      <w:pPr>
        <w:pStyle w:val="ListParagraph"/>
        <w:contextualSpacing w:val="0"/>
        <w:rPr>
          <w:rFonts w:cs="Arial"/>
          <w:lang w:val="fr-FR"/>
        </w:rPr>
      </w:pPr>
    </w:p>
    <w:p w14:paraId="3153F464" w14:textId="77777777" w:rsidR="001C79E6" w:rsidRDefault="001C79E6" w:rsidP="009F1640">
      <w:pPr>
        <w:widowControl w:val="0"/>
        <w:numPr>
          <w:ilvl w:val="1"/>
          <w:numId w:val="3"/>
        </w:numPr>
        <w:autoSpaceDE w:val="0"/>
        <w:autoSpaceDN w:val="0"/>
        <w:adjustRightInd w:val="0"/>
        <w:ind w:hanging="513"/>
        <w:jc w:val="both"/>
        <w:rPr>
          <w:rFonts w:cs="Arial"/>
          <w:lang w:val="fr-FR"/>
        </w:rPr>
      </w:pPr>
      <w:r>
        <w:rPr>
          <w:rFonts w:cs="Arial"/>
          <w:lang w:val="fr-FR"/>
        </w:rPr>
        <w:t>l’</w:t>
      </w:r>
      <w:hyperlink r:id="rId20">
        <w:r>
          <w:rPr>
            <w:rStyle w:val="Hyperlink"/>
            <w:rFonts w:cs="Arial"/>
            <w:lang w:val="fr-FR"/>
          </w:rPr>
          <w:t>Accord sur la conservation des phoques de la mer des Wadden</w:t>
        </w:r>
      </w:hyperlink>
      <w:r>
        <w:rPr>
          <w:rFonts w:cs="Arial"/>
          <w:lang w:val="fr-FR"/>
        </w:rPr>
        <w:t xml:space="preserve">, qui couvre le phoque commun et le phoque gris dans une zone côtière partagée par le Danemark, l’Allemagne et les Pays-Bas, est géré par le Secrétariat commun de la mer des Wadden. Cet accord environnemental trilatéral vise à établir une </w:t>
      </w:r>
      <w:r>
        <w:rPr>
          <w:rFonts w:cs="Arial"/>
          <w:lang w:val="fr-FR"/>
        </w:rPr>
        <w:lastRenderedPageBreak/>
        <w:t>coopération étroite dans l’objectif d’atteindre et de maintenir un état de conservation favorable pour la population de phoques communs de la mer des Wadden. Il contient notamment des dispositions sur la recherche et la surveillance, le prélèvement, la protection des habitats et la sensibilisation ;</w:t>
      </w:r>
    </w:p>
    <w:p w14:paraId="7CD36A94" w14:textId="77777777" w:rsidR="001C79E6" w:rsidRDefault="001C79E6" w:rsidP="009F1640">
      <w:pPr>
        <w:widowControl w:val="0"/>
        <w:autoSpaceDE w:val="0"/>
        <w:autoSpaceDN w:val="0"/>
        <w:adjustRightInd w:val="0"/>
        <w:ind w:left="1080" w:hanging="513"/>
        <w:jc w:val="both"/>
        <w:rPr>
          <w:rFonts w:cs="Arial"/>
          <w:lang w:val="fr-FR"/>
        </w:rPr>
      </w:pPr>
    </w:p>
    <w:p w14:paraId="55ACB031" w14:textId="77777777" w:rsidR="001C79E6" w:rsidRPr="00DF0FF7" w:rsidRDefault="001C79E6" w:rsidP="009F1640">
      <w:pPr>
        <w:widowControl w:val="0"/>
        <w:numPr>
          <w:ilvl w:val="1"/>
          <w:numId w:val="3"/>
        </w:numPr>
        <w:autoSpaceDE w:val="0"/>
        <w:autoSpaceDN w:val="0"/>
        <w:adjustRightInd w:val="0"/>
        <w:ind w:hanging="513"/>
        <w:jc w:val="both"/>
        <w:rPr>
          <w:rFonts w:cs="Arial"/>
          <w:lang w:val="fr-FR"/>
        </w:rPr>
      </w:pPr>
      <w:r>
        <w:rPr>
          <w:rFonts w:cs="Arial"/>
          <w:lang w:val="fr-FR"/>
        </w:rPr>
        <w:t xml:space="preserve">le </w:t>
      </w:r>
      <w:hyperlink r:id="rId21">
        <w:r>
          <w:rPr>
            <w:rStyle w:val="Hyperlink"/>
            <w:rFonts w:cs="Arial"/>
            <w:lang w:val="fr-FR"/>
          </w:rPr>
          <w:t>Mémorandum d’accord concernant les mesures de conservation en faveur des populations de l’Atlantique orientale du phoque moine de Méditerranée (</w:t>
        </w:r>
        <w:proofErr w:type="spellStart"/>
        <w:r>
          <w:rPr>
            <w:rStyle w:val="Hyperlink"/>
            <w:rFonts w:cs="Arial"/>
            <w:i/>
            <w:iCs/>
            <w:lang w:val="fr-FR"/>
          </w:rPr>
          <w:t>Monachus</w:t>
        </w:r>
        <w:proofErr w:type="spellEnd"/>
        <w:r>
          <w:rPr>
            <w:rStyle w:val="Hyperlink"/>
            <w:rFonts w:cs="Arial"/>
            <w:i/>
            <w:iCs/>
            <w:lang w:val="fr-FR"/>
          </w:rPr>
          <w:t xml:space="preserve"> </w:t>
        </w:r>
        <w:proofErr w:type="spellStart"/>
        <w:r>
          <w:rPr>
            <w:rStyle w:val="Hyperlink"/>
            <w:rFonts w:cs="Arial"/>
            <w:i/>
            <w:iCs/>
            <w:lang w:val="fr-FR"/>
          </w:rPr>
          <w:t>monachus</w:t>
        </w:r>
        <w:proofErr w:type="spellEnd"/>
        <w:r>
          <w:rPr>
            <w:rStyle w:val="Hyperlink"/>
            <w:rFonts w:cs="Arial"/>
            <w:lang w:val="fr-FR"/>
          </w:rPr>
          <w:t>)</w:t>
        </w:r>
      </w:hyperlink>
      <w:r>
        <w:rPr>
          <w:rFonts w:cs="Arial"/>
          <w:lang w:val="fr-FR"/>
        </w:rPr>
        <w:t xml:space="preserve"> est coordonné par le Gouvernement espagnol, tandis que la CMS en assure le secrétariat. Le Plan d’action, qui fait partie du Mémorandum d’accord, concentre les efforts des quatre Signataires (Portugal, Espagne, Maroc et Mauritanie) sur les mesures prioritaires nécessaires pour répondre aux problèmes d’enchevêtrement et de mortalité liés aux engins de pêche, à la surpêche, à la chasse et à la persécution humaine, à la pollution et à la perte d’habitat.</w:t>
      </w:r>
    </w:p>
    <w:p w14:paraId="5CF02E87" w14:textId="77777777" w:rsidR="001C79E6" w:rsidRPr="00CD0FE9" w:rsidRDefault="001C79E6" w:rsidP="001C79E6">
      <w:pPr>
        <w:rPr>
          <w:rFonts w:cs="Arial"/>
          <w:u w:val="single"/>
          <w:lang w:val="fr-FR"/>
        </w:rPr>
      </w:pPr>
    </w:p>
    <w:p w14:paraId="0535CC03"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Un examen, comme envisagé dans la Décision 13.81, serait utile pour les espèces ou populations de pinnipèdes qui ne sont pas actuellement couvertes par des accords de la CMS, en particulier celles dont l’état de conservation est moins favorable. En outre, des recommandations pourraient être justifiées en vue de déterminer si d’autres espèces de pinnipèdes (36 espèces au total sont reconnues par l’UICN) seraient susceptibles de répondre aux critères d’inscription aux Annexes de la CMS et si l’inscription leur serait bénéfique.</w:t>
      </w:r>
    </w:p>
    <w:p w14:paraId="6297E6AD" w14:textId="77777777" w:rsidR="001C79E6" w:rsidRPr="00186FA6" w:rsidRDefault="001C79E6" w:rsidP="001C79E6">
      <w:pPr>
        <w:jc w:val="both"/>
        <w:rPr>
          <w:rFonts w:cs="Arial"/>
          <w:lang w:val="fr-FR"/>
        </w:rPr>
      </w:pPr>
    </w:p>
    <w:p w14:paraId="7879750D" w14:textId="77777777" w:rsidR="001C79E6" w:rsidRPr="00CD0FE9" w:rsidRDefault="001C79E6" w:rsidP="001C79E6">
      <w:pPr>
        <w:jc w:val="both"/>
        <w:rPr>
          <w:rFonts w:cs="Arial"/>
          <w:u w:val="single"/>
          <w:lang w:val="fr-FR"/>
        </w:rPr>
      </w:pPr>
      <w:r>
        <w:rPr>
          <w:rFonts w:cs="Arial"/>
          <w:u w:val="single"/>
          <w:lang w:val="fr-FR"/>
        </w:rPr>
        <w:t>Loutres</w:t>
      </w:r>
    </w:p>
    <w:p w14:paraId="668C7DBD" w14:textId="77777777" w:rsidR="001C79E6" w:rsidRPr="00CD0FE9" w:rsidRDefault="001C79E6" w:rsidP="001C79E6">
      <w:pPr>
        <w:rPr>
          <w:rFonts w:cs="Arial"/>
          <w:lang w:val="fr-FR"/>
        </w:rPr>
      </w:pPr>
    </w:p>
    <w:p w14:paraId="36C0ABFB" w14:textId="77777777" w:rsidR="001C79E6"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Les loutres sont des mammifères carnivores semi-aquatiques. Sur les 13 espèces de loutres vivantes, deux sont inscrites à l’Annexe I de la CMS. Ces deux espèces sont classées « en danger » par l’UICN et leur population tend à diminuer.</w:t>
      </w:r>
    </w:p>
    <w:p w14:paraId="18927A60" w14:textId="77777777" w:rsidR="001C79E6" w:rsidRPr="004D7353" w:rsidRDefault="001C79E6" w:rsidP="001C79E6">
      <w:pPr>
        <w:widowControl w:val="0"/>
        <w:autoSpaceDE w:val="0"/>
        <w:autoSpaceDN w:val="0"/>
        <w:adjustRightInd w:val="0"/>
        <w:ind w:left="567"/>
        <w:jc w:val="both"/>
        <w:rPr>
          <w:rFonts w:cs="Arial"/>
          <w:lang w:val="fr-FR"/>
        </w:rPr>
      </w:pPr>
    </w:p>
    <w:p w14:paraId="466D8593" w14:textId="77777777" w:rsidR="001C79E6" w:rsidRPr="003A249A"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L’examen des menaces et l’identification des priorités en matière de conservation pour les deux espèces inscrites devraient être considérés comme une urgence. Cela pourrait également inclure la question de savoir si une inscription à l’Annexe II et l’élaboration d’un accord régional pour ces espèces sont justifiées. En outre, l’examen pourrait permettre de déterminer si d’autres espèces seraient susceptibles de répondre aux critères d’inscription aux Annexes de la CMS et si l’inscription leur serait bénéfique.</w:t>
      </w:r>
    </w:p>
    <w:p w14:paraId="04313EE7" w14:textId="77777777" w:rsidR="001C79E6" w:rsidRDefault="001C79E6" w:rsidP="001C79E6">
      <w:pPr>
        <w:rPr>
          <w:rFonts w:cs="Arial"/>
          <w:u w:val="single"/>
          <w:lang w:val="fr-FR"/>
        </w:rPr>
      </w:pPr>
    </w:p>
    <w:p w14:paraId="7046C482" w14:textId="77777777" w:rsidR="001C79E6" w:rsidRPr="00CD0FE9" w:rsidRDefault="001C79E6" w:rsidP="001C79E6">
      <w:pPr>
        <w:rPr>
          <w:rFonts w:cs="Arial"/>
          <w:u w:val="single"/>
          <w:lang w:val="fr-FR"/>
        </w:rPr>
      </w:pPr>
      <w:r>
        <w:rPr>
          <w:rFonts w:cs="Arial"/>
          <w:u w:val="single"/>
          <w:lang w:val="fr-FR"/>
        </w:rPr>
        <w:t>Discussion et analyse</w:t>
      </w:r>
    </w:p>
    <w:p w14:paraId="65EDAFF4" w14:textId="77777777" w:rsidR="001C79E6" w:rsidRPr="00CD0FE9" w:rsidRDefault="001C79E6" w:rsidP="001C79E6">
      <w:pPr>
        <w:rPr>
          <w:rFonts w:cs="Arial"/>
          <w:lang w:val="fr-FR"/>
        </w:rPr>
      </w:pPr>
    </w:p>
    <w:p w14:paraId="6A83FFE0" w14:textId="77777777" w:rsidR="001C79E6" w:rsidRPr="00E1452B"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 xml:space="preserve">Alors que les cétacés, en tant que groupe de mammifères aquatiques comptant le plus grand nombre d’espèces inscrites aux Annexes de la CMS, ont fait l’objet de plusieurs accords et mémorandums d’entente, ainsi que d’actions concertées et d’un programme de travail mondial spécifique (voir </w:t>
      </w:r>
      <w:hyperlink r:id="rId22" w:history="1">
        <w:r>
          <w:rPr>
            <w:rStyle w:val="Hyperlink"/>
            <w:rFonts w:cs="Arial"/>
            <w:lang w:val="fr-FR"/>
          </w:rPr>
          <w:t>UNEP/CMS/COP14/Doc.27.5.1</w:t>
        </w:r>
      </w:hyperlink>
      <w:r>
        <w:rPr>
          <w:rFonts w:cs="Arial"/>
          <w:lang w:val="fr-FR"/>
        </w:rPr>
        <w:t>), certaines des espèces ou populations de siréniens et de pinnipèdes inscrites, ainsi que les deux espèces de loutres inscrites, n’ont pas bénéficié d’une attention particulière de la part de la CMS.</w:t>
      </w:r>
    </w:p>
    <w:p w14:paraId="64FC2537" w14:textId="77777777" w:rsidR="001C79E6" w:rsidRDefault="001C79E6" w:rsidP="001C79E6">
      <w:pPr>
        <w:widowControl w:val="0"/>
        <w:autoSpaceDE w:val="0"/>
        <w:autoSpaceDN w:val="0"/>
        <w:adjustRightInd w:val="0"/>
        <w:ind w:left="567"/>
        <w:jc w:val="both"/>
        <w:rPr>
          <w:rFonts w:cs="Arial"/>
          <w:lang w:val="fr-FR"/>
        </w:rPr>
      </w:pPr>
    </w:p>
    <w:p w14:paraId="382C9DF3" w14:textId="77777777" w:rsidR="001C79E6" w:rsidRPr="00BD38E2"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rPr>
        <w:t>Un examen de l’état de conservation de ces espèces et des menaces qui pèsent sur leur aire de répartition a déjà été demandé par la COP10 en 2011. Compte tenu de la tendance à la baisse de la population</w:t>
      </w:r>
      <w:r>
        <w:rPr>
          <w:color w:val="FF0000"/>
          <w:lang w:val="fr-FR"/>
        </w:rPr>
        <w:t xml:space="preserve"> </w:t>
      </w:r>
      <w:r>
        <w:rPr>
          <w:rFonts w:cs="Arial"/>
          <w:lang w:val="fr-FR"/>
        </w:rPr>
        <w:t>pour plusieurs de ces espèces, il est plus urgent que jamais d’évaluer leurs besoins en matière de conservation. Des recommandations fondées sur ces examens permettraient de concentrer l’attention là où elle est le plus nécessaire. Ces tâches restent donc prioritaires.</w:t>
      </w:r>
    </w:p>
    <w:p w14:paraId="7A0DA8EC" w14:textId="4B36FDDA" w:rsidR="001C79E6" w:rsidRPr="00CD0FE9" w:rsidRDefault="009F1640" w:rsidP="001C79E6">
      <w:pPr>
        <w:jc w:val="both"/>
        <w:rPr>
          <w:rFonts w:cs="Arial"/>
          <w:lang w:val="fr-FR"/>
        </w:rPr>
      </w:pPr>
      <w:r>
        <w:rPr>
          <w:rFonts w:cs="Arial"/>
          <w:lang w:val="fr-FR"/>
        </w:rPr>
        <w:br w:type="page"/>
      </w:r>
    </w:p>
    <w:p w14:paraId="791650E1" w14:textId="77777777" w:rsidR="001C79E6" w:rsidRPr="00CD0FE9" w:rsidRDefault="001C79E6" w:rsidP="001C79E6">
      <w:pPr>
        <w:rPr>
          <w:rFonts w:cs="Arial"/>
          <w:lang w:val="fr-FR"/>
        </w:rPr>
      </w:pPr>
      <w:r>
        <w:rPr>
          <w:rFonts w:cs="Arial"/>
          <w:u w:val="single"/>
          <w:lang w:val="fr-FR"/>
        </w:rPr>
        <w:lastRenderedPageBreak/>
        <w:t>Actions recommandées</w:t>
      </w:r>
    </w:p>
    <w:p w14:paraId="6829BE59" w14:textId="77777777" w:rsidR="001C79E6" w:rsidRPr="00CD0FE9" w:rsidRDefault="001C79E6" w:rsidP="001C79E6">
      <w:pPr>
        <w:rPr>
          <w:rFonts w:cs="Arial"/>
          <w:lang w:val="fr-FR"/>
        </w:rPr>
      </w:pPr>
    </w:p>
    <w:p w14:paraId="24784ADA" w14:textId="77777777" w:rsidR="001C79E6" w:rsidRPr="00CD0FE9" w:rsidRDefault="001C79E6" w:rsidP="001C79E6">
      <w:pPr>
        <w:widowControl w:val="0"/>
        <w:numPr>
          <w:ilvl w:val="0"/>
          <w:numId w:val="3"/>
        </w:numPr>
        <w:autoSpaceDE w:val="0"/>
        <w:autoSpaceDN w:val="0"/>
        <w:adjustRightInd w:val="0"/>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35DC63F7" w14:textId="77777777" w:rsidR="001C79E6" w:rsidRPr="00CD0FE9" w:rsidRDefault="001C79E6" w:rsidP="001C79E6">
      <w:pPr>
        <w:jc w:val="both"/>
        <w:rPr>
          <w:rFonts w:cs="Arial"/>
          <w:lang w:val="fr-FR"/>
        </w:rPr>
      </w:pPr>
    </w:p>
    <w:p w14:paraId="62F3BB3E" w14:textId="0D1FD260" w:rsidR="001C79E6" w:rsidRPr="00695AAD" w:rsidRDefault="001C79E6" w:rsidP="001C79E6">
      <w:pPr>
        <w:pStyle w:val="Secondnumbering"/>
        <w:ind w:left="900"/>
        <w:rPr>
          <w:rFonts w:cs="Arial"/>
          <w:lang w:val="fr-FR"/>
        </w:rPr>
      </w:pPr>
      <w:r>
        <w:rPr>
          <w:rFonts w:cs="Arial"/>
          <w:lang w:val="fr-FR"/>
        </w:rPr>
        <w:t>d’adopter l</w:t>
      </w:r>
      <w:r w:rsidR="009F1640">
        <w:rPr>
          <w:rFonts w:cs="Arial"/>
          <w:lang w:val="fr-FR"/>
        </w:rPr>
        <w:t xml:space="preserve">e projet de </w:t>
      </w:r>
      <w:r>
        <w:rPr>
          <w:rFonts w:cs="Arial"/>
          <w:lang w:val="fr-FR"/>
        </w:rPr>
        <w:t>Décisions figurant à l’</w:t>
      </w:r>
      <w:r w:rsidR="009F1640">
        <w:rPr>
          <w:rFonts w:cs="Arial"/>
          <w:lang w:val="fr-FR"/>
        </w:rPr>
        <w:t>A</w:t>
      </w:r>
      <w:r>
        <w:rPr>
          <w:rFonts w:cs="Arial"/>
          <w:lang w:val="fr-FR"/>
        </w:rPr>
        <w:t>nnexe 1 du présent document ;</w:t>
      </w:r>
    </w:p>
    <w:p w14:paraId="3B63226C" w14:textId="77777777" w:rsidR="001C79E6" w:rsidRPr="00695AAD" w:rsidRDefault="001C79E6" w:rsidP="001C79E6">
      <w:pPr>
        <w:pStyle w:val="Secondnumbering"/>
        <w:numPr>
          <w:ilvl w:val="0"/>
          <w:numId w:val="0"/>
        </w:numPr>
        <w:ind w:left="1134"/>
        <w:rPr>
          <w:lang w:val="fr-FR"/>
        </w:rPr>
      </w:pPr>
    </w:p>
    <w:p w14:paraId="652C6E76" w14:textId="77777777" w:rsidR="001C79E6" w:rsidRPr="00695AAD" w:rsidRDefault="001C79E6" w:rsidP="001C79E6">
      <w:pPr>
        <w:pStyle w:val="Secondnumbering"/>
        <w:ind w:left="900"/>
        <w:rPr>
          <w:lang w:val="fr-FR"/>
        </w:rPr>
      </w:pPr>
      <w:r>
        <w:rPr>
          <w:rFonts w:cs="Arial"/>
          <w:lang w:val="fr-FR"/>
        </w:rPr>
        <w:t>de supprimer les Décisions 13.55, 13.56 c), 13.81 a) et b), et 13.82 a).</w:t>
      </w:r>
    </w:p>
    <w:p w14:paraId="181DAAE4" w14:textId="77777777" w:rsidR="001C79E6" w:rsidRDefault="001C79E6"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1C79E6" w:rsidSect="001C79E6">
          <w:headerReference w:type="even" r:id="rId23"/>
          <w:headerReference w:type="default" r:id="rId24"/>
          <w:headerReference w:type="first" r:id="rId25"/>
          <w:footerReference w:type="first" r:id="rId26"/>
          <w:pgSz w:w="11906" w:h="16838" w:code="9"/>
          <w:pgMar w:top="1440" w:right="1440" w:bottom="1440" w:left="1440" w:header="568" w:footer="720" w:gutter="0"/>
          <w:cols w:space="720"/>
          <w:titlePg/>
          <w:docGrid w:linePitch="360"/>
        </w:sectPr>
      </w:pPr>
    </w:p>
    <w:p w14:paraId="37C694F8" w14:textId="77777777" w:rsidR="001C79E6" w:rsidRPr="00CD0FE9" w:rsidRDefault="001C79E6" w:rsidP="001C79E6">
      <w:pPr>
        <w:jc w:val="right"/>
        <w:rPr>
          <w:rFonts w:cs="Arial"/>
          <w:b/>
          <w:bCs/>
          <w:caps/>
          <w:lang w:val="fr-FR"/>
        </w:rPr>
      </w:pPr>
      <w:r>
        <w:rPr>
          <w:rFonts w:cs="Arial"/>
          <w:b/>
          <w:caps/>
          <w:lang w:val="fr-FR"/>
        </w:rPr>
        <w:lastRenderedPageBreak/>
        <w:t>Annexe 1</w:t>
      </w:r>
    </w:p>
    <w:p w14:paraId="584DC263" w14:textId="77777777" w:rsidR="001C79E6" w:rsidRPr="00CD0FE9" w:rsidRDefault="001C79E6" w:rsidP="001C79E6">
      <w:pPr>
        <w:rPr>
          <w:rFonts w:cs="Arial"/>
          <w:lang w:val="fr-FR"/>
        </w:rPr>
      </w:pPr>
    </w:p>
    <w:p w14:paraId="3A273711" w14:textId="03D7F545" w:rsidR="001C79E6" w:rsidRPr="00850770" w:rsidRDefault="009F1640" w:rsidP="001C79E6">
      <w:pPr>
        <w:jc w:val="center"/>
        <w:rPr>
          <w:rFonts w:cs="Arial"/>
          <w:lang w:val="fr-FR"/>
        </w:rPr>
      </w:pPr>
      <w:r>
        <w:rPr>
          <w:rFonts w:cs="Arial"/>
          <w:lang w:val="fr-FR"/>
        </w:rPr>
        <w:t xml:space="preserve">PROJET DE </w:t>
      </w:r>
      <w:r w:rsidR="001C79E6">
        <w:rPr>
          <w:rFonts w:cs="Arial"/>
          <w:lang w:val="fr-FR"/>
        </w:rPr>
        <w:t>DÉCISION(S)</w:t>
      </w:r>
    </w:p>
    <w:p w14:paraId="0D785E9F" w14:textId="77777777" w:rsidR="001C79E6" w:rsidRDefault="001C79E6" w:rsidP="001C79E6">
      <w:pPr>
        <w:jc w:val="center"/>
        <w:rPr>
          <w:rFonts w:cs="Arial"/>
          <w:lang w:val="fr-FR"/>
        </w:rPr>
      </w:pPr>
    </w:p>
    <w:p w14:paraId="5DD2AC43" w14:textId="77777777" w:rsidR="001C79E6" w:rsidRDefault="001C79E6" w:rsidP="001C79E6">
      <w:pPr>
        <w:pBdr>
          <w:top w:val="single" w:sz="6" w:space="0" w:color="FFFFFF"/>
          <w:left w:val="single" w:sz="6" w:space="0" w:color="FFFFFF"/>
          <w:bottom w:val="single" w:sz="6" w:space="0" w:color="FFFFFF"/>
          <w:right w:val="single" w:sz="6" w:space="0" w:color="FFFFFF"/>
        </w:pBdr>
        <w:jc w:val="center"/>
        <w:outlineLvl w:val="1"/>
        <w:rPr>
          <w:rFonts w:cs="Arial"/>
          <w:b/>
          <w:bCs/>
          <w:caps/>
          <w:lang w:val="fr-FR"/>
        </w:rPr>
      </w:pPr>
      <w:r>
        <w:rPr>
          <w:rFonts w:eastAsia="Times New Roman" w:cs="Arial"/>
          <w:b/>
          <w:bCs/>
          <w:lang w:val="fr-FR"/>
        </w:rPr>
        <w:t>SIRÉNIENS, PINNIPÈDES ET LOUTRES</w:t>
      </w:r>
    </w:p>
    <w:p w14:paraId="76277083" w14:textId="77777777" w:rsidR="001C79E6" w:rsidRPr="00CD0FE9" w:rsidRDefault="001C79E6" w:rsidP="001C79E6">
      <w:pPr>
        <w:jc w:val="both"/>
        <w:rPr>
          <w:rFonts w:cs="Arial"/>
          <w:lang w:val="fr-FR"/>
        </w:rPr>
      </w:pPr>
    </w:p>
    <w:p w14:paraId="62143A30" w14:textId="77777777" w:rsidR="001C79E6" w:rsidRPr="00CD0FE9" w:rsidRDefault="001C79E6" w:rsidP="001C79E6">
      <w:pPr>
        <w:jc w:val="both"/>
        <w:rPr>
          <w:rFonts w:cs="Arial"/>
          <w:lang w:val="fr-FR"/>
        </w:rPr>
      </w:pPr>
    </w:p>
    <w:p w14:paraId="3D093328" w14:textId="77777777" w:rsidR="001C79E6" w:rsidRPr="00CD0FE9" w:rsidRDefault="001C79E6" w:rsidP="001C79E6">
      <w:pPr>
        <w:jc w:val="both"/>
        <w:rPr>
          <w:rFonts w:cs="Arial"/>
          <w:b/>
          <w:i/>
          <w:lang w:val="fr-FR"/>
        </w:rPr>
      </w:pPr>
      <w:r>
        <w:rPr>
          <w:rFonts w:cs="Arial"/>
          <w:b/>
          <w:i/>
          <w:lang w:val="fr-FR"/>
        </w:rPr>
        <w:t>À l’attention des Parties</w:t>
      </w:r>
    </w:p>
    <w:p w14:paraId="24FC58B4" w14:textId="77777777" w:rsidR="001C79E6" w:rsidRPr="00CD0FE9" w:rsidRDefault="001C79E6" w:rsidP="001C79E6">
      <w:pPr>
        <w:jc w:val="both"/>
        <w:rPr>
          <w:rFonts w:cs="Arial"/>
          <w:lang w:val="fr-FR"/>
        </w:rPr>
      </w:pPr>
    </w:p>
    <w:p w14:paraId="7FE3BCB1" w14:textId="77777777" w:rsidR="001C79E6" w:rsidRPr="00CD0FE9" w:rsidRDefault="001C79E6" w:rsidP="001C79E6">
      <w:pPr>
        <w:ind w:left="851" w:hanging="851"/>
        <w:jc w:val="both"/>
        <w:rPr>
          <w:rFonts w:cs="Arial"/>
          <w:iCs/>
          <w:lang w:val="fr-FR"/>
        </w:rPr>
      </w:pPr>
      <w:r>
        <w:rPr>
          <w:rFonts w:cs="Arial"/>
          <w:lang w:val="fr-FR"/>
        </w:rPr>
        <w:t>14.AA</w:t>
      </w:r>
      <w:r>
        <w:rPr>
          <w:rFonts w:cs="Arial"/>
          <w:lang w:val="fr-FR"/>
        </w:rPr>
        <w:tab/>
      </w:r>
      <w:r>
        <w:rPr>
          <w:rFonts w:cs="Arial"/>
          <w:iCs/>
          <w:lang w:val="fr-FR"/>
        </w:rPr>
        <w:t>Les Parties sont invitées à :</w:t>
      </w:r>
    </w:p>
    <w:p w14:paraId="5ECAC131" w14:textId="77777777" w:rsidR="001C79E6" w:rsidRPr="00CD0FE9" w:rsidRDefault="001C79E6" w:rsidP="001C79E6">
      <w:pPr>
        <w:ind w:left="720" w:hanging="720"/>
        <w:jc w:val="both"/>
        <w:rPr>
          <w:rFonts w:cs="Arial"/>
          <w:iCs/>
          <w:lang w:val="fr-FR"/>
        </w:rPr>
      </w:pPr>
    </w:p>
    <w:p w14:paraId="23626E69" w14:textId="77777777" w:rsidR="001C79E6" w:rsidRPr="00A439B2" w:rsidRDefault="001C79E6" w:rsidP="001C79E6">
      <w:pPr>
        <w:pStyle w:val="ListParagraph"/>
        <w:numPr>
          <w:ilvl w:val="0"/>
          <w:numId w:val="6"/>
        </w:numPr>
        <w:ind w:left="1418" w:hanging="567"/>
        <w:jc w:val="both"/>
        <w:rPr>
          <w:rFonts w:cs="Arial"/>
          <w:lang w:val="fr-FR"/>
        </w:rPr>
      </w:pPr>
      <w:r>
        <w:rPr>
          <w:rFonts w:cs="Arial"/>
          <w:lang w:val="fr-FR"/>
        </w:rPr>
        <w:t>envisager la possibilité de proposer l’inscription, à l’Annexe I de la CMS, des populations de dugongs d’Afrique de l’Est et de Nouvelle-Calédonie qui ont été inscrites sur la Liste rouge de l’UICN en tant qu’espèces en danger critique ou en danger ;</w:t>
      </w:r>
    </w:p>
    <w:p w14:paraId="1232846B" w14:textId="77777777" w:rsidR="001C79E6" w:rsidRDefault="001C79E6" w:rsidP="001C79E6">
      <w:pPr>
        <w:widowControl w:val="0"/>
        <w:autoSpaceDE w:val="0"/>
        <w:autoSpaceDN w:val="0"/>
        <w:adjustRightInd w:val="0"/>
        <w:ind w:left="1418"/>
        <w:jc w:val="both"/>
        <w:rPr>
          <w:rFonts w:cs="Arial"/>
          <w:iCs/>
          <w:lang w:val="fr-FR"/>
        </w:rPr>
      </w:pPr>
    </w:p>
    <w:p w14:paraId="370EC148" w14:textId="77777777" w:rsidR="001C79E6" w:rsidRPr="009E75B6" w:rsidRDefault="001C79E6" w:rsidP="001C79E6">
      <w:pPr>
        <w:widowControl w:val="0"/>
        <w:numPr>
          <w:ilvl w:val="0"/>
          <w:numId w:val="6"/>
        </w:numPr>
        <w:autoSpaceDE w:val="0"/>
        <w:autoSpaceDN w:val="0"/>
        <w:adjustRightInd w:val="0"/>
        <w:ind w:left="1418" w:hanging="567"/>
        <w:jc w:val="both"/>
        <w:rPr>
          <w:rFonts w:cs="Arial"/>
          <w:iCs/>
          <w:lang w:val="fr-FR"/>
        </w:rPr>
      </w:pPr>
      <w:r>
        <w:rPr>
          <w:rFonts w:cs="Arial"/>
          <w:iCs/>
          <w:lang w:val="fr-FR"/>
        </w:rPr>
        <w:t>soutenir le Secrétariat dans l’obtention de l’expertise externe nécessaire pour développer des projets d’examen de l’état de conservation des espèces de mammifères aquatiques inscrites aux Annexes de la CMS et des menaces qui pèsent sur elles, ainsi que des recommandations pour examen par le Conseil scientifique comme prévu dans la Décision 14.CC.</w:t>
      </w:r>
    </w:p>
    <w:p w14:paraId="4C19BAC7" w14:textId="77777777" w:rsidR="001C79E6" w:rsidRPr="003F2200" w:rsidRDefault="001C79E6" w:rsidP="001C79E6">
      <w:pPr>
        <w:jc w:val="both"/>
        <w:rPr>
          <w:rFonts w:cs="Arial"/>
          <w:sz w:val="18"/>
          <w:szCs w:val="18"/>
          <w:lang w:val="fr-FR"/>
        </w:rPr>
      </w:pPr>
    </w:p>
    <w:p w14:paraId="121F330C" w14:textId="77777777" w:rsidR="001C79E6" w:rsidRPr="003F2200" w:rsidRDefault="001C79E6" w:rsidP="001C79E6">
      <w:pPr>
        <w:jc w:val="both"/>
        <w:rPr>
          <w:rFonts w:cs="Arial"/>
          <w:sz w:val="18"/>
          <w:szCs w:val="18"/>
          <w:lang w:val="fr-FR"/>
        </w:rPr>
      </w:pPr>
    </w:p>
    <w:p w14:paraId="51F6032A" w14:textId="10D864F6" w:rsidR="001C79E6" w:rsidRPr="00CD0FE9" w:rsidRDefault="001C79E6" w:rsidP="001C79E6">
      <w:pPr>
        <w:jc w:val="both"/>
        <w:rPr>
          <w:rFonts w:cs="Arial"/>
          <w:b/>
          <w:i/>
          <w:lang w:val="fr-FR"/>
        </w:rPr>
      </w:pPr>
      <w:r>
        <w:rPr>
          <w:rFonts w:cs="Arial"/>
          <w:b/>
          <w:i/>
          <w:lang w:val="fr-FR"/>
        </w:rPr>
        <w:t>À l’</w:t>
      </w:r>
      <w:r w:rsidR="003F2200">
        <w:rPr>
          <w:rFonts w:cs="Arial"/>
          <w:b/>
          <w:i/>
          <w:lang w:val="fr-FR"/>
        </w:rPr>
        <w:t>at</w:t>
      </w:r>
      <w:r>
        <w:rPr>
          <w:rFonts w:cs="Arial"/>
          <w:b/>
          <w:i/>
          <w:lang w:val="fr-FR"/>
        </w:rPr>
        <w:t>tention des organisations non gouvernementales</w:t>
      </w:r>
    </w:p>
    <w:p w14:paraId="65E437C0" w14:textId="77777777" w:rsidR="001C79E6" w:rsidRPr="00CD0FE9" w:rsidRDefault="001C79E6" w:rsidP="001C79E6">
      <w:pPr>
        <w:jc w:val="both"/>
        <w:rPr>
          <w:rFonts w:cs="Arial"/>
          <w:lang w:val="fr-FR"/>
        </w:rPr>
      </w:pPr>
    </w:p>
    <w:p w14:paraId="7F3BA440" w14:textId="77777777" w:rsidR="001C79E6" w:rsidRPr="00CF1CCA" w:rsidRDefault="001C79E6" w:rsidP="001C79E6">
      <w:pPr>
        <w:ind w:left="851" w:hanging="851"/>
        <w:jc w:val="both"/>
        <w:rPr>
          <w:rFonts w:cs="Arial"/>
          <w:lang w:val="fr-FR"/>
        </w:rPr>
      </w:pPr>
      <w:r>
        <w:rPr>
          <w:rFonts w:cs="Arial"/>
          <w:lang w:val="fr-FR"/>
        </w:rPr>
        <w:t>14.BB</w:t>
      </w:r>
      <w:r>
        <w:rPr>
          <w:rFonts w:cs="Arial"/>
          <w:lang w:val="fr-FR"/>
        </w:rPr>
        <w:tab/>
        <w:t xml:space="preserve">Les organisations non gouvernementales sont encouragées à offrir un soutien en nature et technique au </w:t>
      </w:r>
      <w:r>
        <w:rPr>
          <w:rFonts w:cs="Arial"/>
          <w:iCs/>
          <w:lang w:val="fr-FR"/>
        </w:rPr>
        <w:t>développement de projets d’examen de l’état de conservation et des menaces pesant sur les espèces de mammifères aquatiques inscrites aux Annexes de la CMS, ainsi que de recommandations.</w:t>
      </w:r>
    </w:p>
    <w:p w14:paraId="2E1933D8" w14:textId="77777777" w:rsidR="001C79E6" w:rsidRPr="003F2200" w:rsidRDefault="001C79E6" w:rsidP="001C79E6">
      <w:pPr>
        <w:jc w:val="both"/>
        <w:rPr>
          <w:rFonts w:cs="Arial"/>
          <w:b/>
          <w:i/>
          <w:sz w:val="18"/>
          <w:szCs w:val="18"/>
          <w:lang w:val="fr-FR"/>
        </w:rPr>
      </w:pPr>
    </w:p>
    <w:p w14:paraId="17E6C468" w14:textId="77777777" w:rsidR="001C79E6" w:rsidRPr="003F2200" w:rsidRDefault="001C79E6" w:rsidP="001C79E6">
      <w:pPr>
        <w:jc w:val="both"/>
        <w:rPr>
          <w:rFonts w:cs="Arial"/>
          <w:b/>
          <w:i/>
          <w:sz w:val="18"/>
          <w:szCs w:val="18"/>
          <w:lang w:val="fr-FR"/>
        </w:rPr>
      </w:pPr>
    </w:p>
    <w:p w14:paraId="0B098295" w14:textId="77777777" w:rsidR="001C79E6" w:rsidRPr="00CD0FE9" w:rsidRDefault="001C79E6" w:rsidP="001C79E6">
      <w:pPr>
        <w:jc w:val="both"/>
        <w:rPr>
          <w:rFonts w:cs="Arial"/>
          <w:lang w:val="fr-FR"/>
        </w:rPr>
      </w:pPr>
      <w:r>
        <w:rPr>
          <w:rFonts w:cs="Arial"/>
          <w:b/>
          <w:i/>
          <w:lang w:val="fr-FR"/>
        </w:rPr>
        <w:t>À l’attention du Groupe de travail sur les mammifères aquatiques du Conseil scientifique</w:t>
      </w:r>
    </w:p>
    <w:p w14:paraId="06E33578" w14:textId="77777777" w:rsidR="001C79E6" w:rsidRPr="00CD0FE9" w:rsidRDefault="001C79E6" w:rsidP="001C79E6">
      <w:pPr>
        <w:jc w:val="both"/>
        <w:rPr>
          <w:rFonts w:cs="Arial"/>
          <w:lang w:val="fr-FR"/>
        </w:rPr>
      </w:pPr>
    </w:p>
    <w:p w14:paraId="5586FDEE" w14:textId="694156A4" w:rsidR="001C79E6" w:rsidRPr="00CD0FE9" w:rsidRDefault="001C79E6" w:rsidP="001C79E6">
      <w:pPr>
        <w:ind w:left="851" w:hanging="851"/>
        <w:jc w:val="both"/>
        <w:rPr>
          <w:rFonts w:cs="Arial"/>
          <w:lang w:val="fr-FR"/>
        </w:rPr>
      </w:pPr>
      <w:r>
        <w:rPr>
          <w:rFonts w:cs="Arial"/>
          <w:lang w:val="fr-FR"/>
        </w:rPr>
        <w:t>14.CC</w:t>
      </w:r>
      <w:r>
        <w:rPr>
          <w:rFonts w:cs="Arial"/>
          <w:lang w:val="fr-FR"/>
        </w:rPr>
        <w:tab/>
        <w:t xml:space="preserve">Le </w:t>
      </w:r>
      <w:r w:rsidR="003F2200">
        <w:rPr>
          <w:rFonts w:cs="Arial"/>
          <w:lang w:val="fr-FR"/>
        </w:rPr>
        <w:t xml:space="preserve">Conseil scientifique, par l’intermédiaire de son </w:t>
      </w:r>
      <w:r>
        <w:rPr>
          <w:rFonts w:cs="Arial"/>
          <w:lang w:val="fr-FR"/>
        </w:rPr>
        <w:t xml:space="preserve">Groupe de travail sur les mammifères aquatiques </w:t>
      </w:r>
      <w:r w:rsidR="00377B4B">
        <w:rPr>
          <w:rFonts w:cs="Arial"/>
          <w:lang w:val="fr-FR"/>
        </w:rPr>
        <w:t>est prié</w:t>
      </w:r>
      <w:r>
        <w:rPr>
          <w:rFonts w:cs="Arial"/>
          <w:lang w:val="fr-FR"/>
        </w:rPr>
        <w:t>, sous réserve de la disponibilité des ressources</w:t>
      </w:r>
      <w:r w:rsidR="00377B4B">
        <w:rPr>
          <w:rFonts w:cs="Arial"/>
          <w:lang w:val="fr-FR"/>
        </w:rPr>
        <w:t xml:space="preserve"> nécessaires</w:t>
      </w:r>
      <w:r>
        <w:rPr>
          <w:rFonts w:cs="Arial"/>
          <w:lang w:val="fr-FR"/>
        </w:rPr>
        <w:t xml:space="preserve"> :</w:t>
      </w:r>
    </w:p>
    <w:p w14:paraId="36C87C49" w14:textId="77777777" w:rsidR="001C79E6" w:rsidRPr="003F2200" w:rsidRDefault="001C79E6" w:rsidP="001C79E6">
      <w:pPr>
        <w:ind w:left="720" w:hanging="720"/>
        <w:jc w:val="both"/>
        <w:rPr>
          <w:rFonts w:cs="Arial"/>
          <w:sz w:val="18"/>
          <w:szCs w:val="18"/>
          <w:lang w:val="fr-FR"/>
        </w:rPr>
      </w:pPr>
    </w:p>
    <w:p w14:paraId="4454DAC8" w14:textId="0AA5CE1D" w:rsidR="001C79E6" w:rsidRPr="00972ECD" w:rsidRDefault="003F2200" w:rsidP="001C79E6">
      <w:pPr>
        <w:widowControl w:val="0"/>
        <w:numPr>
          <w:ilvl w:val="0"/>
          <w:numId w:val="7"/>
        </w:numPr>
        <w:autoSpaceDE w:val="0"/>
        <w:autoSpaceDN w:val="0"/>
        <w:adjustRightInd w:val="0"/>
        <w:ind w:left="1418" w:hanging="567"/>
        <w:jc w:val="both"/>
        <w:rPr>
          <w:rFonts w:cs="Arial"/>
          <w:lang w:val="fr-FR"/>
        </w:rPr>
      </w:pPr>
      <w:r w:rsidRPr="00972ECD">
        <w:rPr>
          <w:rFonts w:cs="Arial"/>
          <w:shd w:val="clear" w:color="auto" w:fill="FFFFFF"/>
          <w:lang w:val="fr-FR"/>
        </w:rPr>
        <w:t>d’</w:t>
      </w:r>
      <w:r w:rsidR="00377B4B" w:rsidRPr="00972ECD">
        <w:rPr>
          <w:rFonts w:cs="Arial"/>
          <w:shd w:val="clear" w:color="auto" w:fill="FFFFFF"/>
          <w:lang w:val="fr-FR"/>
        </w:rPr>
        <w:t xml:space="preserve">examiner les menaces pesant au niveau régional sur les mammifères marins autres que les cétacés inscrits aux Annexes de la CMS en donnant la priorité aux espèces ou aux populations qui ne sont pas actuellement couvertes par les accords de la CMS et/ou dont l'état de conservation est moins favorable </w:t>
      </w:r>
      <w:r w:rsidR="00377B4B" w:rsidRPr="00972ECD">
        <w:rPr>
          <w:rFonts w:cs="Arial"/>
          <w:color w:val="333333"/>
          <w:shd w:val="clear" w:color="auto" w:fill="FFFFFF"/>
          <w:lang w:val="fr-FR"/>
        </w:rPr>
        <w:t>;</w:t>
      </w:r>
    </w:p>
    <w:p w14:paraId="0659F178" w14:textId="77777777" w:rsidR="001C79E6" w:rsidRPr="00972ECD" w:rsidRDefault="001C79E6" w:rsidP="001C79E6">
      <w:pPr>
        <w:widowControl w:val="0"/>
        <w:autoSpaceDE w:val="0"/>
        <w:autoSpaceDN w:val="0"/>
        <w:adjustRightInd w:val="0"/>
        <w:ind w:left="1418"/>
        <w:jc w:val="both"/>
        <w:rPr>
          <w:rFonts w:cs="Arial"/>
          <w:sz w:val="18"/>
          <w:szCs w:val="18"/>
          <w:lang w:val="fr-FR"/>
        </w:rPr>
      </w:pPr>
    </w:p>
    <w:p w14:paraId="47039A84" w14:textId="15E0DDAB" w:rsidR="00377B4B" w:rsidRPr="00972ECD" w:rsidRDefault="00377B4B" w:rsidP="001C79E6">
      <w:pPr>
        <w:widowControl w:val="0"/>
        <w:numPr>
          <w:ilvl w:val="0"/>
          <w:numId w:val="7"/>
        </w:numPr>
        <w:autoSpaceDE w:val="0"/>
        <w:autoSpaceDN w:val="0"/>
        <w:adjustRightInd w:val="0"/>
        <w:ind w:left="1418" w:hanging="567"/>
        <w:jc w:val="both"/>
        <w:rPr>
          <w:rFonts w:cs="Arial"/>
          <w:lang w:val="fr-FR"/>
        </w:rPr>
      </w:pPr>
      <w:r w:rsidRPr="00972ECD">
        <w:rPr>
          <w:lang w:val="fr-FR"/>
        </w:rPr>
        <w:t>s</w:t>
      </w:r>
      <w:r w:rsidRPr="00972ECD">
        <w:rPr>
          <w:rFonts w:cs="Arial"/>
          <w:lang w:val="fr-FR"/>
        </w:rPr>
        <w:t xml:space="preserve">ur la base de cette évaluation des menaces et des priorités régionales, </w:t>
      </w:r>
      <w:r w:rsidR="003F2200" w:rsidRPr="00972ECD">
        <w:rPr>
          <w:rFonts w:cs="Arial"/>
          <w:lang w:val="fr-FR"/>
        </w:rPr>
        <w:t xml:space="preserve">de </w:t>
      </w:r>
      <w:r w:rsidRPr="00972ECD">
        <w:rPr>
          <w:rFonts w:cs="Arial"/>
          <w:lang w:val="fr-FR"/>
        </w:rPr>
        <w:t>préparer des recommandations détaillées pour ces autres espèces de mammifères aquatiques, pour examen par le Conseil scientifique ;</w:t>
      </w:r>
    </w:p>
    <w:p w14:paraId="1F09FD91" w14:textId="77777777" w:rsidR="00377B4B" w:rsidRPr="00972ECD" w:rsidRDefault="00377B4B" w:rsidP="00377B4B">
      <w:pPr>
        <w:widowControl w:val="0"/>
        <w:autoSpaceDE w:val="0"/>
        <w:autoSpaceDN w:val="0"/>
        <w:adjustRightInd w:val="0"/>
        <w:ind w:left="1418"/>
        <w:jc w:val="both"/>
        <w:rPr>
          <w:rFonts w:cs="Arial"/>
          <w:sz w:val="18"/>
          <w:szCs w:val="18"/>
          <w:lang w:val="fr-FR"/>
        </w:rPr>
      </w:pPr>
    </w:p>
    <w:p w14:paraId="3D8B3A92" w14:textId="77777777" w:rsidR="00972ECD" w:rsidRDefault="003F2200" w:rsidP="001C79E6">
      <w:pPr>
        <w:widowControl w:val="0"/>
        <w:numPr>
          <w:ilvl w:val="0"/>
          <w:numId w:val="7"/>
        </w:numPr>
        <w:autoSpaceDE w:val="0"/>
        <w:autoSpaceDN w:val="0"/>
        <w:adjustRightInd w:val="0"/>
        <w:ind w:left="1418" w:hanging="567"/>
        <w:jc w:val="both"/>
        <w:rPr>
          <w:rFonts w:cs="Arial"/>
          <w:lang w:val="fr-FR"/>
        </w:rPr>
      </w:pPr>
      <w:r w:rsidRPr="00972ECD">
        <w:rPr>
          <w:rFonts w:cs="Arial"/>
          <w:lang w:val="fr-FR"/>
        </w:rPr>
        <w:t>d’é</w:t>
      </w:r>
      <w:r w:rsidR="00377B4B" w:rsidRPr="00972ECD">
        <w:rPr>
          <w:rFonts w:cs="Arial"/>
          <w:lang w:val="fr-FR"/>
        </w:rPr>
        <w:t xml:space="preserve">valuer si d'autres espèces de siréniens, de pinnipèdes ou de loutres pourraient répondre aux critères d'inscription aux Annexes I ou II de la CMS et </w:t>
      </w:r>
    </w:p>
    <w:p w14:paraId="2B6B63A8" w14:textId="6EA4A643" w:rsidR="001C79E6" w:rsidRPr="00972ECD" w:rsidRDefault="00377B4B" w:rsidP="001C79E6">
      <w:pPr>
        <w:widowControl w:val="0"/>
        <w:numPr>
          <w:ilvl w:val="0"/>
          <w:numId w:val="7"/>
        </w:numPr>
        <w:autoSpaceDE w:val="0"/>
        <w:autoSpaceDN w:val="0"/>
        <w:adjustRightInd w:val="0"/>
        <w:ind w:left="1418" w:hanging="567"/>
        <w:jc w:val="both"/>
        <w:rPr>
          <w:rFonts w:cs="Arial"/>
          <w:lang w:val="fr-FR"/>
        </w:rPr>
      </w:pPr>
      <w:r w:rsidRPr="00972ECD">
        <w:rPr>
          <w:rFonts w:cs="Arial"/>
          <w:lang w:val="fr-FR"/>
        </w:rPr>
        <w:t>pourraient bénéficier d'une telle inscription.</w:t>
      </w:r>
    </w:p>
    <w:p w14:paraId="0CB559FC" w14:textId="77777777" w:rsidR="00972ECD" w:rsidRDefault="00972ECD" w:rsidP="001C79E6">
      <w:pPr>
        <w:jc w:val="both"/>
        <w:rPr>
          <w:rFonts w:cs="Arial"/>
          <w:b/>
          <w:i/>
          <w:lang w:val="fr-FR"/>
        </w:rPr>
      </w:pPr>
    </w:p>
    <w:p w14:paraId="4104B2BF" w14:textId="37CA2BF1" w:rsidR="00972ECD" w:rsidRDefault="00972ECD" w:rsidP="001C79E6">
      <w:pPr>
        <w:jc w:val="both"/>
        <w:rPr>
          <w:rFonts w:cs="Arial"/>
          <w:b/>
          <w:i/>
          <w:lang w:val="fr-FR"/>
        </w:rPr>
      </w:pPr>
      <w:r>
        <w:rPr>
          <w:rFonts w:cs="Arial"/>
          <w:b/>
          <w:i/>
          <w:lang w:val="fr-FR"/>
        </w:rPr>
        <w:br w:type="page"/>
      </w:r>
    </w:p>
    <w:p w14:paraId="59A9016A" w14:textId="2449DF35" w:rsidR="001C79E6" w:rsidRPr="003F2200" w:rsidRDefault="001C79E6" w:rsidP="001C79E6">
      <w:pPr>
        <w:jc w:val="both"/>
        <w:rPr>
          <w:rFonts w:cs="Arial"/>
          <w:lang w:val="fr-FR"/>
        </w:rPr>
      </w:pPr>
      <w:r w:rsidRPr="003F2200">
        <w:rPr>
          <w:rFonts w:cs="Arial"/>
          <w:b/>
          <w:i/>
          <w:lang w:val="fr-FR"/>
        </w:rPr>
        <w:lastRenderedPageBreak/>
        <w:t>À l’attention du Conseil scientifique</w:t>
      </w:r>
    </w:p>
    <w:p w14:paraId="43A82A5B" w14:textId="77777777" w:rsidR="001C79E6" w:rsidRPr="003F2200" w:rsidRDefault="001C79E6" w:rsidP="001C79E6">
      <w:pPr>
        <w:jc w:val="both"/>
        <w:rPr>
          <w:rFonts w:cs="Arial"/>
          <w:lang w:val="fr-FR"/>
        </w:rPr>
      </w:pPr>
    </w:p>
    <w:p w14:paraId="256DBFA6" w14:textId="7051AD8D" w:rsidR="001C79E6" w:rsidRPr="00972ECD" w:rsidRDefault="001C79E6" w:rsidP="00377B4B">
      <w:pPr>
        <w:ind w:left="851" w:hanging="851"/>
        <w:jc w:val="both"/>
        <w:rPr>
          <w:rFonts w:cs="Arial"/>
          <w:lang w:val="fr-FR"/>
        </w:rPr>
      </w:pPr>
      <w:r w:rsidRPr="00972ECD">
        <w:rPr>
          <w:rFonts w:cs="Arial"/>
          <w:lang w:val="fr-FR"/>
        </w:rPr>
        <w:t>14.DD</w:t>
      </w:r>
      <w:r w:rsidRPr="00972ECD">
        <w:rPr>
          <w:rFonts w:cs="Arial"/>
          <w:lang w:val="fr-FR"/>
        </w:rPr>
        <w:tab/>
      </w:r>
      <w:r w:rsidR="00377B4B" w:rsidRPr="00972ECD">
        <w:rPr>
          <w:rFonts w:cs="Arial"/>
          <w:lang w:val="fr-FR"/>
        </w:rPr>
        <w:t>Le conseil scientifique</w:t>
      </w:r>
      <w:r w:rsidR="00972ECD">
        <w:rPr>
          <w:rFonts w:cs="Arial"/>
          <w:lang w:val="fr-FR"/>
        </w:rPr>
        <w:t xml:space="preserve"> </w:t>
      </w:r>
      <w:r w:rsidR="00377B4B" w:rsidRPr="00972ECD">
        <w:rPr>
          <w:rFonts w:cs="Arial"/>
          <w:lang w:val="fr-FR"/>
        </w:rPr>
        <w:t>est prié</w:t>
      </w:r>
      <w:r w:rsidR="00972ECD">
        <w:rPr>
          <w:rFonts w:cs="Arial"/>
          <w:lang w:val="fr-FR"/>
        </w:rPr>
        <w:t xml:space="preserve"> </w:t>
      </w:r>
      <w:r w:rsidR="00377B4B" w:rsidRPr="00972ECD">
        <w:rPr>
          <w:rFonts w:cs="Arial"/>
          <w:lang w:val="fr-FR"/>
        </w:rPr>
        <w:t>d’examiner les évaluations des menaces régionales et les recommandations résultantes élaborées par le groupe de travail sur les mammifères aquatiques et formuler des recommandations à la COP15</w:t>
      </w:r>
      <w:r w:rsidR="00972ECD" w:rsidRPr="00972ECD">
        <w:rPr>
          <w:rFonts w:cs="Arial"/>
          <w:lang w:val="fr-FR"/>
        </w:rPr>
        <w:t>.</w:t>
      </w:r>
    </w:p>
    <w:p w14:paraId="7E5E0DEE" w14:textId="77777777" w:rsidR="001C79E6" w:rsidRPr="00377B4B" w:rsidRDefault="001C79E6" w:rsidP="001C79E6">
      <w:pPr>
        <w:jc w:val="both"/>
        <w:rPr>
          <w:rFonts w:cs="Arial"/>
          <w:b/>
          <w:i/>
          <w:lang w:val="fr-FR"/>
        </w:rPr>
      </w:pPr>
    </w:p>
    <w:p w14:paraId="7949605D" w14:textId="77777777" w:rsidR="001C79E6" w:rsidRPr="00377B4B" w:rsidRDefault="001C79E6" w:rsidP="001C79E6">
      <w:pPr>
        <w:jc w:val="both"/>
        <w:rPr>
          <w:rFonts w:cs="Arial"/>
          <w:b/>
          <w:i/>
          <w:lang w:val="fr-FR"/>
        </w:rPr>
      </w:pPr>
    </w:p>
    <w:p w14:paraId="0F02C833" w14:textId="77777777" w:rsidR="001C79E6" w:rsidRPr="00CD0FE9" w:rsidRDefault="001C79E6" w:rsidP="001C79E6">
      <w:pPr>
        <w:jc w:val="both"/>
        <w:rPr>
          <w:rFonts w:cs="Arial"/>
          <w:b/>
          <w:i/>
          <w:lang w:val="fr-FR"/>
        </w:rPr>
      </w:pPr>
      <w:r>
        <w:rPr>
          <w:rFonts w:cs="Arial"/>
          <w:b/>
          <w:i/>
          <w:lang w:val="fr-FR"/>
        </w:rPr>
        <w:t>À l’attention du Secrétariat</w:t>
      </w:r>
    </w:p>
    <w:p w14:paraId="78C6FC1B" w14:textId="77777777" w:rsidR="001C79E6" w:rsidRPr="00CD0FE9" w:rsidRDefault="001C79E6" w:rsidP="001C79E6">
      <w:pPr>
        <w:jc w:val="both"/>
        <w:rPr>
          <w:rFonts w:cs="Arial"/>
          <w:lang w:val="fr-FR"/>
        </w:rPr>
      </w:pPr>
    </w:p>
    <w:p w14:paraId="04C27EC4" w14:textId="77777777" w:rsidR="001C79E6" w:rsidRPr="003F0237" w:rsidRDefault="001C79E6" w:rsidP="001C79E6">
      <w:pPr>
        <w:ind w:left="851" w:hanging="851"/>
        <w:jc w:val="both"/>
        <w:rPr>
          <w:rFonts w:cs="Arial"/>
          <w:iCs/>
          <w:lang w:val="fr-FR"/>
        </w:rPr>
      </w:pPr>
      <w:r>
        <w:rPr>
          <w:rFonts w:cs="Arial"/>
          <w:lang w:val="fr-FR"/>
        </w:rPr>
        <w:t>14.EE</w:t>
      </w:r>
      <w:r>
        <w:rPr>
          <w:rFonts w:cs="Arial"/>
          <w:lang w:val="fr-FR"/>
        </w:rPr>
        <w:tab/>
        <w:t xml:space="preserve">Le Secrétariat doit, sous réserve de la disponibilité de ressources externes, </w:t>
      </w:r>
      <w:r>
        <w:rPr>
          <w:rFonts w:cs="Arial"/>
          <w:iCs/>
          <w:lang w:val="fr-FR"/>
        </w:rPr>
        <w:t>faciliter le développement de projets d’examen de l’état de conservation et des menaces pesant sur les espèces de mammifères aquatiques inscrites aux Annexes de la CMS, ainsi que de recommandations pour examen par le Conseil scientifique comme prévu dans la Décision 14.CC.</w:t>
      </w:r>
    </w:p>
    <w:p w14:paraId="3173DD71"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sectPr w:rsidR="0023109C" w:rsidRPr="0023109C" w:rsidSect="00743E7C">
      <w:headerReference w:type="even"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4FBFE552" w:rsidR="00EC2A58" w:rsidRPr="00EC2A58" w:rsidRDefault="00EC2A58" w:rsidP="009F164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98261157"/>
      <w:docPartObj>
        <w:docPartGallery w:val="Page Numbers (Bottom of Page)"/>
        <w:docPartUnique/>
      </w:docPartObj>
    </w:sdtPr>
    <w:sdtEndPr>
      <w:rPr>
        <w:noProof/>
      </w:rPr>
    </w:sdtEndPr>
    <w:sdtContent>
      <w:p w14:paraId="2E644172" w14:textId="0D539756" w:rsidR="009F1640" w:rsidRPr="009F1640" w:rsidRDefault="009F1640" w:rsidP="009F1640">
        <w:pPr>
          <w:pStyle w:val="Footer"/>
          <w:jc w:val="center"/>
          <w:rPr>
            <w:sz w:val="18"/>
            <w:szCs w:val="18"/>
          </w:rPr>
        </w:pPr>
        <w:r w:rsidRPr="009F1640">
          <w:rPr>
            <w:sz w:val="18"/>
            <w:szCs w:val="18"/>
          </w:rPr>
          <w:fldChar w:fldCharType="begin"/>
        </w:r>
        <w:r w:rsidRPr="009F1640">
          <w:rPr>
            <w:sz w:val="18"/>
            <w:szCs w:val="18"/>
          </w:rPr>
          <w:instrText xml:space="preserve"> PAGE   \* MERGEFORMAT </w:instrText>
        </w:r>
        <w:r w:rsidRPr="009F1640">
          <w:rPr>
            <w:sz w:val="18"/>
            <w:szCs w:val="18"/>
          </w:rPr>
          <w:fldChar w:fldCharType="separate"/>
        </w:r>
        <w:r w:rsidRPr="009F1640">
          <w:rPr>
            <w:noProof/>
            <w:sz w:val="18"/>
            <w:szCs w:val="18"/>
          </w:rPr>
          <w:t>2</w:t>
        </w:r>
        <w:r w:rsidRPr="009F164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74968DEA" w14:textId="77777777" w:rsidR="001C79E6" w:rsidRPr="00F0383C" w:rsidRDefault="001C79E6" w:rsidP="001C79E6">
      <w:pPr>
        <w:pStyle w:val="FootnoteText"/>
        <w:jc w:val="both"/>
        <w:rPr>
          <w:lang w:val="fr-FR"/>
        </w:rPr>
      </w:pPr>
      <w:r>
        <w:rPr>
          <w:rStyle w:val="FootnoteReference"/>
          <w:sz w:val="16"/>
          <w:szCs w:val="16"/>
          <w:lang w:val="fr-FR"/>
        </w:rPr>
        <w:footnoteRef/>
      </w:r>
      <w:r>
        <w:rPr>
          <w:sz w:val="16"/>
          <w:szCs w:val="16"/>
          <w:lang w:val="fr-FR"/>
        </w:rPr>
        <w:t xml:space="preserve"> Paragraphe opérationnel 8 de la Résolution 10.15 : « </w:t>
      </w:r>
      <w:r>
        <w:rPr>
          <w:i/>
          <w:iCs/>
          <w:sz w:val="16"/>
          <w:szCs w:val="16"/>
          <w:lang w:val="fr-FR"/>
        </w:rPr>
        <w:t>Invite</w:t>
      </w:r>
      <w:r>
        <w:rPr>
          <w:sz w:val="16"/>
          <w:szCs w:val="16"/>
          <w:lang w:val="fr-FR"/>
        </w:rPr>
        <w:t xml:space="preserve"> le Conseil scientifique à examiner les menaces pesant au niveau régional sur les autres mammifères marins inscrits aux Annexes de la CMS et à préparer pour la COP11 une évaluation rigoureuse des menaces et des priorités régionales ainsi que des programmes de travail similaires pour ces autres espèces de mammifères marins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5D03" w14:textId="16A56589" w:rsidR="009F1640" w:rsidRPr="003F2200" w:rsidRDefault="009F164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rPr>
    </w:pPr>
    <w:r w:rsidRPr="003F2200">
      <w:rPr>
        <w:rFonts w:eastAsia="Arial" w:cs="Arial"/>
        <w:i/>
        <w:sz w:val="18"/>
        <w:szCs w:val="18"/>
      </w:rPr>
      <w:t>UNEP/CMS/COP14/Doc.27.5.3</w:t>
    </w:r>
    <w:r w:rsidR="003F2200" w:rsidRPr="003F2200">
      <w:rPr>
        <w:rFonts w:eastAsia="Arial" w:cs="Arial"/>
        <w:i/>
        <w:sz w:val="18"/>
        <w:szCs w:val="18"/>
      </w:rPr>
      <w:t>/Rev.</w:t>
    </w:r>
    <w:r w:rsidR="003F2200">
      <w:rPr>
        <w:rFonts w:eastAsia="Arial" w:cs="Arial"/>
        <w: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A" w14:textId="44021AEE" w:rsidR="009F1640" w:rsidRPr="003F2200" w:rsidRDefault="009F164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3F2200">
      <w:rPr>
        <w:rFonts w:eastAsia="Arial" w:cs="Arial"/>
        <w:i/>
        <w:sz w:val="18"/>
        <w:szCs w:val="18"/>
      </w:rPr>
      <w:t>UNEP/CMS/COP14/Doc.27.5.3</w:t>
    </w:r>
    <w:r w:rsidR="003F2200" w:rsidRPr="003F2200">
      <w:rPr>
        <w:rFonts w:eastAsia="Arial" w:cs="Arial"/>
        <w:i/>
        <w:sz w:val="18"/>
        <w:szCs w:val="18"/>
      </w:rPr>
      <w:t>/Rev.</w:t>
    </w:r>
    <w:r w:rsidR="003F2200">
      <w:rPr>
        <w:rFonts w:eastAsia="Arial" w:cs="Arial"/>
        <w: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5558CEA9"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1C79E6">
      <w:rPr>
        <w:rFonts w:cs="Arial"/>
        <w:i/>
        <w:sz w:val="18"/>
        <w:szCs w:val="18"/>
        <w:lang w:val="de-DE"/>
      </w:rPr>
      <w:t>27.5.3</w:t>
    </w:r>
    <w:r w:rsidR="003F2200">
      <w:rPr>
        <w:rFonts w:cs="Arial"/>
        <w:i/>
        <w:sz w:val="18"/>
        <w:szCs w:val="18"/>
        <w:lang w:val="de-DE"/>
      </w:rPr>
      <w:t>/Rev.1</w:t>
    </w:r>
  </w:p>
  <w:p w14:paraId="2265E9D1" w14:textId="77777777" w:rsidR="0023109C" w:rsidRPr="003F2200"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C87F" w14:textId="77777777" w:rsidR="003F2200" w:rsidRPr="00661875" w:rsidRDefault="00377B4B" w:rsidP="001D378B">
    <w:pPr>
      <w:pStyle w:val="Header"/>
      <w:pBdr>
        <w:bottom w:val="single" w:sz="4" w:space="1" w:color="auto"/>
      </w:pBdr>
      <w:jc w:val="right"/>
      <w:rPr>
        <w:rFonts w:cs="Arial"/>
        <w:i/>
        <w:sz w:val="18"/>
        <w:szCs w:val="18"/>
        <w:lang w:val="fr-FR"/>
      </w:rPr>
    </w:pPr>
    <w:r>
      <w:rPr>
        <w:rFonts w:cs="Arial"/>
        <w:i/>
        <w:sz w:val="18"/>
        <w:szCs w:val="18"/>
        <w:lang w:val="fr-FR"/>
      </w:rPr>
      <w:t>UNEP/CMS/COP14/Doc.27.5.3/Annex 1</w:t>
    </w:r>
  </w:p>
  <w:p w14:paraId="0B6978D2" w14:textId="77777777" w:rsidR="003F2200" w:rsidRPr="00371DE1" w:rsidRDefault="003F2200"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BB33" w14:textId="1BEC6CB6" w:rsidR="003F2200" w:rsidRPr="00661875" w:rsidRDefault="00377B4B" w:rsidP="00C94751">
    <w:pPr>
      <w:pStyle w:val="Header"/>
      <w:pBdr>
        <w:bottom w:val="single" w:sz="4" w:space="1" w:color="auto"/>
      </w:pBdr>
      <w:rPr>
        <w:rFonts w:cs="Arial"/>
        <w:i/>
        <w:sz w:val="18"/>
        <w:szCs w:val="18"/>
        <w:lang w:val="fr-FR"/>
      </w:rPr>
    </w:pPr>
    <w:r>
      <w:rPr>
        <w:rFonts w:cs="Arial"/>
        <w:i/>
        <w:sz w:val="18"/>
        <w:szCs w:val="18"/>
        <w:lang w:val="fr-FR"/>
      </w:rPr>
      <w:t>UNEP/CMS/COP14/Doc.27.5.3/</w:t>
    </w:r>
    <w:r w:rsidR="003F2200">
      <w:rPr>
        <w:rFonts w:cs="Arial"/>
        <w:i/>
        <w:sz w:val="18"/>
        <w:szCs w:val="18"/>
        <w:lang w:val="fr-FR"/>
      </w:rPr>
      <w:t>Rev.1/</w:t>
    </w:r>
    <w:r>
      <w:rPr>
        <w:rFonts w:cs="Arial"/>
        <w:i/>
        <w:sz w:val="18"/>
        <w:szCs w:val="18"/>
        <w:lang w:val="fr-FR"/>
      </w:rPr>
      <w:t>Annex</w:t>
    </w:r>
    <w:r w:rsidR="009F1640">
      <w:rPr>
        <w:rFonts w:cs="Arial"/>
        <w:i/>
        <w:sz w:val="18"/>
        <w:szCs w:val="18"/>
        <w:lang w:val="fr-FR"/>
      </w:rPr>
      <w:t>e</w:t>
    </w:r>
    <w:r>
      <w:rPr>
        <w:rFonts w:cs="Arial"/>
        <w:i/>
        <w:sz w:val="18"/>
        <w:szCs w:val="18"/>
        <w:lang w:val="fr-FR"/>
      </w:rPr>
      <w:t xml:space="preserve"> 1</w:t>
    </w:r>
  </w:p>
  <w:p w14:paraId="00D27F0E" w14:textId="77777777" w:rsidR="003F2200" w:rsidRPr="002E0DE9" w:rsidRDefault="003F2200"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AF6"/>
    <w:multiLevelType w:val="hybridMultilevel"/>
    <w:tmpl w:val="6BC2708A"/>
    <w:lvl w:ilvl="0" w:tplc="9BCAFF4A">
      <w:start w:val="1"/>
      <w:numFmt w:val="lowerLetter"/>
      <w:lvlText w:val="%1)"/>
      <w:lvlJc w:val="left"/>
      <w:pPr>
        <w:ind w:left="1551" w:hanging="360"/>
      </w:pPr>
      <w:rPr>
        <w:rFonts w:hint="default"/>
      </w:rPr>
    </w:lvl>
    <w:lvl w:ilvl="1" w:tplc="20000019" w:tentative="1">
      <w:start w:val="1"/>
      <w:numFmt w:val="lowerLetter"/>
      <w:lvlText w:val="%2."/>
      <w:lvlJc w:val="left"/>
      <w:pPr>
        <w:ind w:left="2271" w:hanging="360"/>
      </w:pPr>
    </w:lvl>
    <w:lvl w:ilvl="2" w:tplc="2000001B" w:tentative="1">
      <w:start w:val="1"/>
      <w:numFmt w:val="lowerRoman"/>
      <w:lvlText w:val="%3."/>
      <w:lvlJc w:val="right"/>
      <w:pPr>
        <w:ind w:left="2991" w:hanging="180"/>
      </w:pPr>
    </w:lvl>
    <w:lvl w:ilvl="3" w:tplc="2000000F" w:tentative="1">
      <w:start w:val="1"/>
      <w:numFmt w:val="decimal"/>
      <w:lvlText w:val="%4."/>
      <w:lvlJc w:val="left"/>
      <w:pPr>
        <w:ind w:left="3711" w:hanging="360"/>
      </w:pPr>
    </w:lvl>
    <w:lvl w:ilvl="4" w:tplc="20000019" w:tentative="1">
      <w:start w:val="1"/>
      <w:numFmt w:val="lowerLetter"/>
      <w:lvlText w:val="%5."/>
      <w:lvlJc w:val="left"/>
      <w:pPr>
        <w:ind w:left="4431" w:hanging="360"/>
      </w:pPr>
    </w:lvl>
    <w:lvl w:ilvl="5" w:tplc="2000001B" w:tentative="1">
      <w:start w:val="1"/>
      <w:numFmt w:val="lowerRoman"/>
      <w:lvlText w:val="%6."/>
      <w:lvlJc w:val="right"/>
      <w:pPr>
        <w:ind w:left="5151" w:hanging="180"/>
      </w:pPr>
    </w:lvl>
    <w:lvl w:ilvl="6" w:tplc="2000000F" w:tentative="1">
      <w:start w:val="1"/>
      <w:numFmt w:val="decimal"/>
      <w:lvlText w:val="%7."/>
      <w:lvlJc w:val="left"/>
      <w:pPr>
        <w:ind w:left="5871" w:hanging="360"/>
      </w:pPr>
    </w:lvl>
    <w:lvl w:ilvl="7" w:tplc="20000019" w:tentative="1">
      <w:start w:val="1"/>
      <w:numFmt w:val="lowerLetter"/>
      <w:lvlText w:val="%8."/>
      <w:lvlJc w:val="left"/>
      <w:pPr>
        <w:ind w:left="6591" w:hanging="360"/>
      </w:pPr>
    </w:lvl>
    <w:lvl w:ilvl="8" w:tplc="2000001B" w:tentative="1">
      <w:start w:val="1"/>
      <w:numFmt w:val="lowerRoman"/>
      <w:lvlText w:val="%9."/>
      <w:lvlJc w:val="right"/>
      <w:pPr>
        <w:ind w:left="7311" w:hanging="180"/>
      </w:pPr>
    </w:lvl>
  </w:abstractNum>
  <w:abstractNum w:abstractNumId="1"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E200771"/>
    <w:multiLevelType w:val="hybridMultilevel"/>
    <w:tmpl w:val="D97261F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4" w15:restartNumberingAfterBreak="0">
    <w:nsid w:val="481F0B8B"/>
    <w:multiLevelType w:val="hybridMultilevel"/>
    <w:tmpl w:val="6BC2708A"/>
    <w:lvl w:ilvl="0" w:tplc="FFFFFFFF">
      <w:start w:val="1"/>
      <w:numFmt w:val="lowerLetter"/>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38902923">
    <w:abstractNumId w:val="5"/>
  </w:num>
  <w:num w:numId="2" w16cid:durableId="2008438062">
    <w:abstractNumId w:val="1"/>
  </w:num>
  <w:num w:numId="3" w16cid:durableId="26952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9856913">
    <w:abstractNumId w:val="0"/>
  </w:num>
  <w:num w:numId="5" w16cid:durableId="1693993914">
    <w:abstractNumId w:val="4"/>
  </w:num>
  <w:num w:numId="6" w16cid:durableId="962728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904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C79E6"/>
    <w:rsid w:val="0023109C"/>
    <w:rsid w:val="00233921"/>
    <w:rsid w:val="00377B4B"/>
    <w:rsid w:val="003831DB"/>
    <w:rsid w:val="003C3870"/>
    <w:rsid w:val="003F2200"/>
    <w:rsid w:val="004465FF"/>
    <w:rsid w:val="005330F7"/>
    <w:rsid w:val="00563598"/>
    <w:rsid w:val="005D1E01"/>
    <w:rsid w:val="007347F6"/>
    <w:rsid w:val="00870459"/>
    <w:rsid w:val="00871276"/>
    <w:rsid w:val="00896FBB"/>
    <w:rsid w:val="00972ECD"/>
    <w:rsid w:val="009F1640"/>
    <w:rsid w:val="00AD2748"/>
    <w:rsid w:val="00BA33FE"/>
    <w:rsid w:val="00BB2C32"/>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Secondnumbering">
    <w:name w:val="Second numbering"/>
    <w:basedOn w:val="Normal"/>
    <w:link w:val="SecondnumberingChar"/>
    <w:qFormat/>
    <w:rsid w:val="001C79E6"/>
    <w:pPr>
      <w:numPr>
        <w:numId w:val="2"/>
      </w:numPr>
    </w:pPr>
    <w:rPr>
      <w:lang w:val="en-GB"/>
    </w:rPr>
  </w:style>
  <w:style w:type="character" w:customStyle="1" w:styleId="ListParagraphChar">
    <w:name w:val="List Paragraph Char"/>
    <w:basedOn w:val="DefaultParagraphFont"/>
    <w:link w:val="ListParagraph"/>
    <w:uiPriority w:val="34"/>
    <w:rsid w:val="001C79E6"/>
  </w:style>
  <w:style w:type="character" w:customStyle="1" w:styleId="SecondnumberingChar">
    <w:name w:val="Second numbering Char"/>
    <w:basedOn w:val="DefaultParagraphFont"/>
    <w:link w:val="Secondnumbering"/>
    <w:rsid w:val="001C79E6"/>
    <w:rPr>
      <w:lang w:val="en-GB"/>
    </w:rPr>
  </w:style>
  <w:style w:type="paragraph" w:customStyle="1" w:styleId="Title1">
    <w:name w:val="Title1"/>
    <w:basedOn w:val="Normal"/>
    <w:link w:val="TITLEChar"/>
    <w:qFormat/>
    <w:rsid w:val="001C79E6"/>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1C79E6"/>
    <w:rPr>
      <w:rFonts w:eastAsia="Times New Roman" w:cs="Arial"/>
      <w:b/>
      <w:caps/>
      <w:lang w:val="en-GB"/>
    </w:rPr>
  </w:style>
  <w:style w:type="table" w:styleId="TableGrid">
    <w:name w:val="Table Grid"/>
    <w:basedOn w:val="TableNormal"/>
    <w:uiPriority w:val="39"/>
    <w:rsid w:val="001C7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9E6"/>
    <w:rPr>
      <w:color w:val="0563C1" w:themeColor="hyperlink"/>
      <w:u w:val="single"/>
    </w:rPr>
  </w:style>
  <w:style w:type="paragraph" w:styleId="FootnoteText">
    <w:name w:val="footnote text"/>
    <w:basedOn w:val="Normal"/>
    <w:link w:val="FootnoteTextChar"/>
    <w:uiPriority w:val="99"/>
    <w:semiHidden/>
    <w:unhideWhenUsed/>
    <w:rsid w:val="001C79E6"/>
    <w:rPr>
      <w:sz w:val="20"/>
      <w:szCs w:val="20"/>
      <w:lang w:val="en-GB"/>
    </w:rPr>
  </w:style>
  <w:style w:type="character" w:customStyle="1" w:styleId="FootnoteTextChar">
    <w:name w:val="Footnote Text Char"/>
    <w:basedOn w:val="DefaultParagraphFont"/>
    <w:link w:val="FootnoteText"/>
    <w:uiPriority w:val="99"/>
    <w:semiHidden/>
    <w:rsid w:val="001C79E6"/>
    <w:rPr>
      <w:sz w:val="20"/>
      <w:szCs w:val="20"/>
      <w:lang w:val="en-GB"/>
    </w:rPr>
  </w:style>
  <w:style w:type="character" w:styleId="FootnoteReference">
    <w:name w:val="footnote reference"/>
    <w:basedOn w:val="DefaultParagraphFont"/>
    <w:uiPriority w:val="99"/>
    <w:semiHidden/>
    <w:unhideWhenUsed/>
    <w:rsid w:val="001C7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dugong/fr/node/23909"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ms.int/monk-seal/fr/legalinstrument/monk-seal-atlanti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ugong/fr/"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ddensea-secretariat.org/management/seal-manag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cms.int/aquatic-mammals/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fr/node/24237" TargetMode="External"/><Relationship Id="rId27" Type="http://schemas.openxmlformats.org/officeDocument/2006/relationships/header" Target="header7.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4BE5C-189A-4C32-A251-6F87C2D85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FCBDB-AB98-4EB3-A3A5-364868991A28}">
  <ds:schemaRefs>
    <ds:schemaRef ds:uri="http://schemas.openxmlformats.org/package/2006/metadata/core-properties"/>
    <ds:schemaRef ds:uri="http://schemas.microsoft.com/office/2006/documentManagement/types"/>
    <ds:schemaRef ds:uri="http://purl.org/dc/elements/1.1/"/>
    <ds:schemaRef ds:uri="c15478a5-0be8-4f5d-8383-b307d5ba8bf6"/>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985ec44e-1bab-4c0b-9df0-6ba128686fc9"/>
    <ds:schemaRef ds:uri="a7b50396-0b06-45c1-b28e-46f86d566a10"/>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2023-11-20T11:20:00Z</dcterms:created>
  <dcterms:modified xsi:type="dcterms:W3CDTF">2023-11-20T11:20:00Z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