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781E59" w:rsidRPr="00C664E8" w14:paraId="36164494" w14:textId="77777777" w:rsidTr="00812D39">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0982987E" w14:textId="77777777" w:rsidR="00781E59" w:rsidRPr="00002A97" w:rsidRDefault="00781E59" w:rsidP="00812D39">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F51C2CD" wp14:editId="4EAAEE91">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7220C06F" w14:textId="77777777" w:rsidR="00781E59" w:rsidRPr="00002A97" w:rsidRDefault="00781E59" w:rsidP="00812D39">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6D835809" w14:textId="77777777" w:rsidR="00781E59" w:rsidRPr="00002A97" w:rsidRDefault="00781E59" w:rsidP="00812D39">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62D538E5" w14:textId="77777777" w:rsidR="00781E59" w:rsidRPr="00002A97" w:rsidRDefault="00781E59" w:rsidP="00812D39">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28F48B20" w14:textId="77777777" w:rsidR="00781E59" w:rsidRPr="00002A97" w:rsidRDefault="00781E59" w:rsidP="00812D39">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488A0D9C" w14:textId="6A6CEA89" w:rsidR="00781E59" w:rsidRPr="006B76DF" w:rsidRDefault="00781E59" w:rsidP="00812D39">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6B76DF">
              <w:rPr>
                <w:rFonts w:eastAsia="Times New Roman" w:cs="Arial"/>
                <w:szCs w:val="24"/>
                <w:lang w:val="es-ES" w:eastAsia="es-ES"/>
              </w:rPr>
              <w:t>UNEP/CMS/COP14/Doc.</w:t>
            </w:r>
            <w:r w:rsidR="00CD3DEE" w:rsidRPr="006B76DF">
              <w:rPr>
                <w:rFonts w:eastAsia="Times New Roman" w:cs="Arial"/>
                <w:szCs w:val="24"/>
                <w:lang w:val="es-ES" w:eastAsia="es-ES"/>
              </w:rPr>
              <w:t>19</w:t>
            </w:r>
          </w:p>
          <w:p w14:paraId="73390258" w14:textId="6EF8D035" w:rsidR="00781E59" w:rsidRPr="006B76DF" w:rsidRDefault="00AF2DD7" w:rsidP="00812D39">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6B76DF">
              <w:rPr>
                <w:rFonts w:eastAsia="Times New Roman" w:cs="Arial"/>
                <w:szCs w:val="24"/>
                <w:lang w:val="es-ES" w:eastAsia="es-ES"/>
              </w:rPr>
              <w:t>19 de diciembre</w:t>
            </w:r>
            <w:r w:rsidR="00781E59" w:rsidRPr="006B76DF">
              <w:rPr>
                <w:rFonts w:eastAsia="Times New Roman" w:cs="Arial"/>
                <w:szCs w:val="24"/>
                <w:lang w:val="es-ES" w:eastAsia="es-ES"/>
              </w:rPr>
              <w:t xml:space="preserve"> 2023</w:t>
            </w:r>
          </w:p>
          <w:p w14:paraId="6D1BE0A7" w14:textId="77777777" w:rsidR="00781E59" w:rsidRPr="00002A97" w:rsidRDefault="00781E59" w:rsidP="00812D39">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61865C14" w14:textId="77777777" w:rsidR="00781E59" w:rsidRPr="000F4BDA" w:rsidRDefault="00781E59" w:rsidP="00812D39">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7A875D61" w14:textId="77777777" w:rsidR="00781E59" w:rsidRPr="00002A97" w:rsidRDefault="00781E59" w:rsidP="00812D39">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7C31D96F" w14:textId="77777777" w:rsidR="00CD3DEE" w:rsidRPr="00002A97" w:rsidRDefault="00CD3DEE" w:rsidP="00CD3DEE">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1F6F689E" w14:textId="77777777" w:rsidR="00CD3DEE" w:rsidRPr="00002A97" w:rsidRDefault="00CD3DEE" w:rsidP="00CD3DE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100D4174" w14:textId="77777777" w:rsidR="00CD3DEE" w:rsidRPr="00002A97" w:rsidRDefault="00CD3DEE" w:rsidP="00CD3DE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Pr>
          <w:rFonts w:eastAsia="Times New Roman" w:cs="Arial"/>
          <w:bCs/>
          <w:szCs w:val="24"/>
          <w:lang w:val="es-ES" w:eastAsia="es-ES"/>
        </w:rPr>
        <w:t>12 – 17 de febrero</w:t>
      </w:r>
      <w:r w:rsidRPr="00002A97">
        <w:rPr>
          <w:rFonts w:eastAsia="Times New Roman" w:cs="Arial"/>
          <w:bCs/>
          <w:szCs w:val="24"/>
          <w:lang w:val="es-ES" w:eastAsia="es-ES"/>
        </w:rPr>
        <w:t xml:space="preserve"> 202</w:t>
      </w:r>
      <w:r>
        <w:rPr>
          <w:rFonts w:eastAsia="Times New Roman" w:cs="Arial"/>
          <w:bCs/>
          <w:szCs w:val="24"/>
          <w:lang w:val="es-ES" w:eastAsia="es-ES"/>
        </w:rPr>
        <w:t>4</w:t>
      </w:r>
    </w:p>
    <w:p w14:paraId="6794C0A0" w14:textId="0EF2A35E" w:rsidR="00CD3DEE" w:rsidRPr="00002A97" w:rsidRDefault="00CD3DEE" w:rsidP="00CD3DEE">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Pr>
          <w:rFonts w:eastAsia="Times New Roman" w:cs="Arial"/>
          <w:szCs w:val="24"/>
          <w:lang w:val="es-ES" w:eastAsia="es-ES"/>
        </w:rPr>
        <w:t>19</w:t>
      </w:r>
      <w:r w:rsidRPr="00002A97">
        <w:rPr>
          <w:rFonts w:eastAsia="Times New Roman" w:cs="Arial"/>
          <w:szCs w:val="24"/>
          <w:lang w:val="es-ES" w:eastAsia="es-ES"/>
        </w:rPr>
        <w:t xml:space="preserve"> del orden del día</w:t>
      </w:r>
    </w:p>
    <w:p w14:paraId="258B44F2" w14:textId="77777777"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AE0B701" w14:textId="77777777"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21B42DF7" w14:textId="0A60A80B" w:rsidR="00081045" w:rsidRPr="00DC4017" w:rsidRDefault="002E5FB0" w:rsidP="006704FB">
      <w:pPr>
        <w:widowControl w:val="0"/>
        <w:suppressAutoHyphens/>
        <w:autoSpaceDE w:val="0"/>
        <w:autoSpaceDN w:val="0"/>
        <w:spacing w:after="0" w:line="240" w:lineRule="auto"/>
        <w:jc w:val="center"/>
        <w:textAlignment w:val="baseline"/>
        <w:rPr>
          <w:rFonts w:eastAsia="Times New Roman" w:cs="Arial"/>
          <w:b/>
          <w:bCs/>
          <w:lang w:val="es-ES"/>
        </w:rPr>
      </w:pPr>
      <w:r w:rsidRPr="00DC4017">
        <w:rPr>
          <w:rFonts w:eastAsia="Times New Roman" w:cs="Arial"/>
          <w:b/>
          <w:bCs/>
          <w:lang w:val="es-ES"/>
        </w:rPr>
        <w:t>GESTIÓN DE LA COMUNICACIÓN Y LA INFORMACIÓN</w:t>
      </w:r>
    </w:p>
    <w:p w14:paraId="22A41750" w14:textId="4D5A96A9" w:rsidR="00AD4F4C" w:rsidRPr="00DC4017"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DC4017">
        <w:rPr>
          <w:rFonts w:eastAsia="Times New Roman" w:cs="Arial"/>
          <w:i/>
          <w:lang w:val="es-ES"/>
        </w:rPr>
        <w:t>(Preparado por la Secretaría)</w:t>
      </w:r>
    </w:p>
    <w:p w14:paraId="2843937F" w14:textId="5C4E1664" w:rsidR="002E0DE9" w:rsidRPr="00DC4017"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554A67C2" w14:textId="68F72FDC"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60C64761"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31AD5125" w:rsidR="002E0DE9" w:rsidRPr="00DC4017" w:rsidRDefault="008B3796"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DC4017">
        <w:rPr>
          <w:rFonts w:eastAsia="Times New Roman" w:cs="Arial"/>
          <w:noProof/>
          <w:sz w:val="21"/>
          <w:szCs w:val="21"/>
          <w:lang w:val="es-ES" w:eastAsia="es-ES"/>
        </w:rPr>
        <mc:AlternateContent>
          <mc:Choice Requires="wps">
            <w:drawing>
              <wp:anchor distT="0" distB="0" distL="114300" distR="114300" simplePos="0" relativeHeight="251658240" behindDoc="1" locked="0" layoutInCell="1" allowOverlap="1" wp14:anchorId="6AF39586" wp14:editId="327B1C67">
                <wp:simplePos x="0" y="0"/>
                <wp:positionH relativeFrom="margin">
                  <wp:posOffset>895350</wp:posOffset>
                </wp:positionH>
                <wp:positionV relativeFrom="margin">
                  <wp:posOffset>2660650</wp:posOffset>
                </wp:positionV>
                <wp:extent cx="4304665" cy="18669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866900"/>
                        </a:xfrm>
                        <a:prstGeom prst="rect">
                          <a:avLst/>
                        </a:prstGeom>
                        <a:solidFill>
                          <a:srgbClr val="FFFFFF"/>
                        </a:solidFill>
                        <a:ln w="3172">
                          <a:solidFill>
                            <a:srgbClr val="000000"/>
                          </a:solidFill>
                          <a:prstDash val="solid"/>
                        </a:ln>
                      </wps:spPr>
                      <wps:txbx>
                        <w:txbxContent>
                          <w:p w14:paraId="361301A9" w14:textId="77777777" w:rsidR="002E0DE9" w:rsidRPr="001F4D28" w:rsidRDefault="002E0DE9" w:rsidP="00F75474">
                            <w:pPr>
                              <w:spacing w:after="0"/>
                              <w:jc w:val="both"/>
                              <w:rPr>
                                <w:rFonts w:cs="Arial"/>
                                <w:lang w:val="es-ES"/>
                              </w:rPr>
                            </w:pPr>
                            <w:r w:rsidRPr="001F4D28">
                              <w:rPr>
                                <w:rFonts w:cs="Arial"/>
                                <w:lang w:val="es-ES"/>
                              </w:rPr>
                              <w:t>Resumen:</w:t>
                            </w:r>
                          </w:p>
                          <w:p w14:paraId="12338272" w14:textId="77777777" w:rsidR="002E0DE9" w:rsidRPr="001F4D28" w:rsidRDefault="002E0DE9" w:rsidP="00F75474">
                            <w:pPr>
                              <w:spacing w:after="0"/>
                              <w:jc w:val="both"/>
                              <w:rPr>
                                <w:rFonts w:cs="Arial"/>
                                <w:lang w:val="es-ES"/>
                              </w:rPr>
                            </w:pPr>
                          </w:p>
                          <w:p w14:paraId="2355CD09" w14:textId="43E6D0A7" w:rsidR="0040663F" w:rsidRPr="001F4D28" w:rsidRDefault="0040663F" w:rsidP="003977EB">
                            <w:pPr>
                              <w:spacing w:after="0" w:line="240" w:lineRule="auto"/>
                              <w:jc w:val="both"/>
                              <w:rPr>
                                <w:lang w:val="es-ES"/>
                              </w:rPr>
                            </w:pPr>
                            <w:r w:rsidRPr="001F4D28">
                              <w:rPr>
                                <w:lang w:val="es-ES"/>
                              </w:rPr>
                              <w:t>El presente documento ofrece un resumen de las actividades de comunicación, divulgación y gestión de la información a partir de la 13.</w:t>
                            </w:r>
                            <w:r w:rsidR="004C46FC" w:rsidRPr="001F4D28">
                              <w:rPr>
                                <w:vertAlign w:val="superscript"/>
                                <w:lang w:val="es-ES"/>
                              </w:rPr>
                              <w:t>a</w:t>
                            </w:r>
                            <w:r w:rsidRPr="001F4D28">
                              <w:rPr>
                                <w:lang w:val="es-ES"/>
                              </w:rPr>
                              <w:t xml:space="preserve"> reunión de la Conferencia de las Partes (2020).</w:t>
                            </w:r>
                          </w:p>
                          <w:p w14:paraId="2DA798EE" w14:textId="77777777" w:rsidR="0040663F" w:rsidRPr="001F4D28" w:rsidRDefault="0040663F" w:rsidP="003977EB">
                            <w:pPr>
                              <w:spacing w:after="0" w:line="240" w:lineRule="auto"/>
                              <w:jc w:val="both"/>
                              <w:rPr>
                                <w:lang w:val="es-ES"/>
                              </w:rPr>
                            </w:pPr>
                          </w:p>
                          <w:p w14:paraId="4E9E87CE" w14:textId="07F82597" w:rsidR="009A08AE" w:rsidRPr="001F4D28" w:rsidRDefault="00554293" w:rsidP="003977EB">
                            <w:pPr>
                              <w:autoSpaceDE w:val="0"/>
                              <w:autoSpaceDN w:val="0"/>
                              <w:adjustRightInd w:val="0"/>
                              <w:spacing w:after="0" w:line="240" w:lineRule="auto"/>
                              <w:jc w:val="both"/>
                              <w:rPr>
                                <w:rFonts w:cs="Arial"/>
                                <w:lang w:val="es-ES"/>
                              </w:rPr>
                            </w:pPr>
                            <w:r w:rsidRPr="001F4D28">
                              <w:rPr>
                                <w:rFonts w:cs="Arial"/>
                                <w:lang w:val="es-ES"/>
                              </w:rPr>
                              <w:t>Además, propone una nueva decisión con el propósito de fortalecer las actividades de comunicación y gestión de la información de la Convención.</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5pt;width:338.95pt;height:147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" strokeweight=".08811mm">
                <v:textbox>
                  <w:txbxContent>
                    <w:p w14:paraId="361301A9" w14:textId="77777777" w:rsidR="002E0DE9" w:rsidRPr="001F4D28" w:rsidRDefault="002E0DE9" w:rsidP="00F75474">
                      <w:pPr>
                        <w:spacing w:after="0"/>
                        <w:jc w:val="both"/>
                        <w:rPr>
                          <w:rFonts w:cs="Arial"/>
                          <w:lang w:val="es-ES"/>
                        </w:rPr>
                      </w:pPr>
                      <w:r w:rsidRPr="001F4D28">
                        <w:rPr>
                          <w:rFonts w:cs="Arial"/>
                          <w:lang w:val="es-ES"/>
                        </w:rPr>
                        <w:t>Resumen:</w:t>
                      </w:r>
                    </w:p>
                    <w:p w14:paraId="12338272" w14:textId="77777777" w:rsidR="002E0DE9" w:rsidRPr="001F4D28" w:rsidRDefault="002E0DE9" w:rsidP="00F75474">
                      <w:pPr>
                        <w:spacing w:after="0"/>
                        <w:jc w:val="both"/>
                        <w:rPr>
                          <w:rFonts w:cs="Arial"/>
                          <w:lang w:val="es-ES"/>
                        </w:rPr>
                      </w:pPr>
                    </w:p>
                    <w:p w14:paraId="2355CD09" w14:textId="43E6D0A7" w:rsidR="0040663F" w:rsidRPr="001F4D28" w:rsidRDefault="0040663F" w:rsidP="003977EB">
                      <w:pPr>
                        <w:spacing w:after="0" w:line="240" w:lineRule="auto"/>
                        <w:jc w:val="both"/>
                        <w:rPr>
                          <w:lang w:val="es-ES"/>
                        </w:rPr>
                      </w:pPr>
                      <w:r w:rsidRPr="001F4D28">
                        <w:rPr>
                          <w:lang w:val="es-ES"/>
                        </w:rPr>
                        <w:t>El presente documento ofrece un resumen de las actividades de comunicación, divulgación y gestión de la información a partir de la 13.</w:t>
                      </w:r>
                      <w:r w:rsidR="004C46FC" w:rsidRPr="001F4D28">
                        <w:rPr>
                          <w:vertAlign w:val="superscript"/>
                          <w:lang w:val="es-ES"/>
                        </w:rPr>
                        <w:t>a</w:t>
                      </w:r>
                      <w:r w:rsidRPr="001F4D28">
                        <w:rPr>
                          <w:lang w:val="es-ES"/>
                        </w:rPr>
                        <w:t xml:space="preserve"> reunión de la Conferencia de las Partes (2020).</w:t>
                      </w:r>
                    </w:p>
                    <w:p w14:paraId="2DA798EE" w14:textId="77777777" w:rsidR="0040663F" w:rsidRPr="001F4D28" w:rsidRDefault="0040663F" w:rsidP="003977EB">
                      <w:pPr>
                        <w:spacing w:after="0" w:line="240" w:lineRule="auto"/>
                        <w:jc w:val="both"/>
                        <w:rPr>
                          <w:lang w:val="es-ES"/>
                        </w:rPr>
                      </w:pPr>
                    </w:p>
                    <w:p w14:paraId="4E9E87CE" w14:textId="07F82597" w:rsidR="009A08AE" w:rsidRPr="001F4D28" w:rsidRDefault="00554293" w:rsidP="003977EB">
                      <w:pPr>
                        <w:autoSpaceDE w:val="0"/>
                        <w:autoSpaceDN w:val="0"/>
                        <w:adjustRightInd w:val="0"/>
                        <w:spacing w:after="0" w:line="240" w:lineRule="auto"/>
                        <w:jc w:val="both"/>
                        <w:rPr>
                          <w:rFonts w:cs="Arial"/>
                          <w:lang w:val="es-ES"/>
                        </w:rPr>
                      </w:pPr>
                      <w:r w:rsidRPr="001F4D28">
                        <w:rPr>
                          <w:rFonts w:cs="Arial"/>
                          <w:lang w:val="es-ES"/>
                        </w:rPr>
                        <w:t>Además, propone una nueva decisión con el propósito de fortalecer las actividades de comunicación y gestión de la información de la Convención.</w:t>
                      </w:r>
                    </w:p>
                  </w:txbxContent>
                </v:textbox>
                <w10:wrap type="square" anchorx="margin" anchory="margin"/>
              </v:shape>
            </w:pict>
          </mc:Fallback>
        </mc:AlternateContent>
      </w:r>
    </w:p>
    <w:p w14:paraId="692124E8" w14:textId="69E5A68E"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DC4017"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DC4017"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DC4017" w:rsidRDefault="005330F7" w:rsidP="009A2337">
      <w:pPr>
        <w:spacing w:after="0" w:line="240" w:lineRule="auto"/>
        <w:jc w:val="both"/>
        <w:rPr>
          <w:lang w:val="es-ES"/>
        </w:rPr>
      </w:pPr>
    </w:p>
    <w:p w14:paraId="490DC140" w14:textId="77777777" w:rsidR="002E0DE9" w:rsidRPr="00DC4017" w:rsidRDefault="002E0DE9" w:rsidP="009A2337">
      <w:pPr>
        <w:spacing w:after="0" w:line="240" w:lineRule="auto"/>
        <w:jc w:val="both"/>
        <w:rPr>
          <w:lang w:val="es-ES"/>
        </w:rPr>
      </w:pPr>
    </w:p>
    <w:p w14:paraId="2FBBA2D8" w14:textId="77777777" w:rsidR="002E0DE9" w:rsidRPr="00DC4017" w:rsidRDefault="002E0DE9" w:rsidP="009A2337">
      <w:pPr>
        <w:spacing w:after="0" w:line="240" w:lineRule="auto"/>
        <w:jc w:val="both"/>
        <w:rPr>
          <w:lang w:val="es-ES"/>
        </w:rPr>
      </w:pPr>
    </w:p>
    <w:p w14:paraId="4C631634" w14:textId="77777777" w:rsidR="002E0DE9" w:rsidRPr="00DC4017" w:rsidRDefault="002E0DE9" w:rsidP="009A2337">
      <w:pPr>
        <w:spacing w:after="0" w:line="240" w:lineRule="auto"/>
        <w:jc w:val="both"/>
        <w:rPr>
          <w:lang w:val="es-ES"/>
        </w:rPr>
      </w:pPr>
    </w:p>
    <w:p w14:paraId="1057ABA6" w14:textId="77777777" w:rsidR="002E0DE9" w:rsidRPr="00DC4017" w:rsidRDefault="002E0DE9" w:rsidP="009A2337">
      <w:pPr>
        <w:spacing w:after="0" w:line="240" w:lineRule="auto"/>
        <w:jc w:val="both"/>
        <w:rPr>
          <w:lang w:val="es-ES"/>
        </w:rPr>
      </w:pPr>
    </w:p>
    <w:p w14:paraId="0E60C238" w14:textId="77777777" w:rsidR="002E0DE9" w:rsidRPr="00DC4017" w:rsidRDefault="002E0DE9" w:rsidP="009A2337">
      <w:pPr>
        <w:spacing w:after="0" w:line="240" w:lineRule="auto"/>
        <w:jc w:val="both"/>
        <w:rPr>
          <w:lang w:val="es-ES"/>
        </w:rPr>
      </w:pPr>
    </w:p>
    <w:p w14:paraId="310799B0" w14:textId="77777777" w:rsidR="002E0DE9" w:rsidRPr="00DC4017" w:rsidRDefault="002E0DE9" w:rsidP="009A2337">
      <w:pPr>
        <w:spacing w:after="0" w:line="240" w:lineRule="auto"/>
        <w:jc w:val="both"/>
        <w:rPr>
          <w:lang w:val="es-ES"/>
        </w:rPr>
      </w:pPr>
    </w:p>
    <w:p w14:paraId="0B9FC963" w14:textId="77777777" w:rsidR="002E0DE9" w:rsidRPr="00DC4017" w:rsidRDefault="002E0DE9" w:rsidP="009A2337">
      <w:pPr>
        <w:spacing w:after="0" w:line="240" w:lineRule="auto"/>
        <w:jc w:val="both"/>
        <w:rPr>
          <w:lang w:val="es-ES"/>
        </w:rPr>
      </w:pPr>
    </w:p>
    <w:p w14:paraId="0BFD8348" w14:textId="77777777" w:rsidR="002E0DE9" w:rsidRPr="00DC4017" w:rsidRDefault="002E0DE9" w:rsidP="009A2337">
      <w:pPr>
        <w:spacing w:after="0" w:line="240" w:lineRule="auto"/>
        <w:jc w:val="both"/>
        <w:rPr>
          <w:lang w:val="es-ES"/>
        </w:rPr>
      </w:pPr>
    </w:p>
    <w:p w14:paraId="17A209FF" w14:textId="77777777" w:rsidR="002E0DE9" w:rsidRPr="00DC4017" w:rsidRDefault="002E0DE9" w:rsidP="009A2337">
      <w:pPr>
        <w:spacing w:after="0" w:line="240" w:lineRule="auto"/>
        <w:jc w:val="both"/>
        <w:rPr>
          <w:lang w:val="es-ES"/>
        </w:rPr>
      </w:pPr>
    </w:p>
    <w:p w14:paraId="3E662EE3" w14:textId="264A523E" w:rsidR="006A7DC4" w:rsidRPr="00DC4017" w:rsidRDefault="006A7DC4" w:rsidP="009A2337">
      <w:pPr>
        <w:jc w:val="both"/>
        <w:rPr>
          <w:lang w:val="es-ES"/>
        </w:rPr>
      </w:pPr>
      <w:r w:rsidRPr="00DC4017">
        <w:rPr>
          <w:lang w:val="es-ES"/>
        </w:rPr>
        <w:br w:type="page"/>
      </w:r>
    </w:p>
    <w:p w14:paraId="597CEC49" w14:textId="50C7EB78" w:rsidR="001C6C56" w:rsidRPr="00DC4017" w:rsidRDefault="00572616" w:rsidP="00772A34">
      <w:pPr>
        <w:widowControl w:val="0"/>
        <w:suppressAutoHyphens/>
        <w:autoSpaceDE w:val="0"/>
        <w:autoSpaceDN w:val="0"/>
        <w:spacing w:after="0" w:line="240" w:lineRule="auto"/>
        <w:jc w:val="center"/>
        <w:textAlignment w:val="baseline"/>
        <w:rPr>
          <w:rFonts w:eastAsia="Times New Roman" w:cs="Arial"/>
          <w:b/>
          <w:bCs/>
          <w:lang w:val="es-ES"/>
        </w:rPr>
      </w:pPr>
      <w:r w:rsidRPr="00DC4017">
        <w:rPr>
          <w:rFonts w:eastAsia="Times New Roman" w:cs="Arial"/>
          <w:b/>
          <w:bCs/>
          <w:lang w:val="es-ES"/>
        </w:rPr>
        <w:lastRenderedPageBreak/>
        <w:t>GESTIÓN DE LA COMUNICACIÓN Y LA INFORMACIÓN</w:t>
      </w:r>
    </w:p>
    <w:p w14:paraId="0CB493DE" w14:textId="77777777" w:rsidR="00AF63ED" w:rsidRPr="00DC4017" w:rsidRDefault="00AF63ED" w:rsidP="00772A34">
      <w:pPr>
        <w:spacing w:after="0" w:line="240" w:lineRule="auto"/>
        <w:jc w:val="both"/>
        <w:rPr>
          <w:iCs/>
          <w:lang w:val="es-ES"/>
        </w:rPr>
      </w:pPr>
    </w:p>
    <w:p w14:paraId="7C4E3512" w14:textId="77777777" w:rsidR="0073233F" w:rsidRPr="00DC4017" w:rsidRDefault="0073233F" w:rsidP="00772A34">
      <w:pPr>
        <w:suppressAutoHyphens/>
        <w:autoSpaceDN w:val="0"/>
        <w:spacing w:after="0" w:line="240" w:lineRule="auto"/>
        <w:textAlignment w:val="baseline"/>
        <w:rPr>
          <w:rFonts w:eastAsia="Calibri" w:cs="Arial"/>
          <w:u w:val="single"/>
          <w:lang w:val="es-ES"/>
        </w:rPr>
      </w:pPr>
      <w:r w:rsidRPr="00DC4017">
        <w:rPr>
          <w:rFonts w:eastAsia="Calibri" w:cs="Arial"/>
          <w:u w:val="single"/>
          <w:lang w:val="es-ES"/>
        </w:rPr>
        <w:t>Antecedentes</w:t>
      </w:r>
    </w:p>
    <w:p w14:paraId="5F56E581" w14:textId="77777777" w:rsidR="0073233F" w:rsidRPr="00DC4017" w:rsidRDefault="0073233F" w:rsidP="00772A34">
      <w:pPr>
        <w:spacing w:after="0" w:line="240" w:lineRule="auto"/>
        <w:rPr>
          <w:rFonts w:cs="Arial"/>
          <w:lang w:val="es-ES"/>
        </w:rPr>
      </w:pPr>
    </w:p>
    <w:p w14:paraId="072C3D27" w14:textId="77777777" w:rsidR="00772A34" w:rsidRPr="00DC4017" w:rsidRDefault="00772A34" w:rsidP="00772A34">
      <w:pPr>
        <w:spacing w:after="0" w:line="240" w:lineRule="auto"/>
        <w:rPr>
          <w:rFonts w:cs="Arial"/>
          <w:lang w:val="es-ES"/>
        </w:rPr>
      </w:pPr>
    </w:p>
    <w:p w14:paraId="14F07BAD" w14:textId="77D51836" w:rsidR="00BD3FB9" w:rsidRPr="00DC4017" w:rsidRDefault="006E5A5E" w:rsidP="00772A34">
      <w:pPr>
        <w:pStyle w:val="ListParagraph"/>
        <w:numPr>
          <w:ilvl w:val="0"/>
          <w:numId w:val="10"/>
        </w:numPr>
        <w:autoSpaceDE w:val="0"/>
        <w:autoSpaceDN w:val="0"/>
        <w:adjustRightInd w:val="0"/>
        <w:spacing w:after="0" w:line="240" w:lineRule="auto"/>
        <w:ind w:left="540" w:hanging="540"/>
        <w:jc w:val="both"/>
        <w:rPr>
          <w:rFonts w:cs="Arial"/>
          <w:lang w:val="es-ES"/>
        </w:rPr>
      </w:pPr>
      <w:r w:rsidRPr="00DC4017">
        <w:rPr>
          <w:rFonts w:cs="Arial"/>
          <w:lang w:val="es-ES"/>
        </w:rPr>
        <w:t>La 12.</w:t>
      </w:r>
      <w:r w:rsidR="00D373AD" w:rsidRPr="00DC4017">
        <w:rPr>
          <w:rFonts w:cs="Arial"/>
          <w:vertAlign w:val="superscript"/>
          <w:lang w:val="es-ES"/>
        </w:rPr>
        <w:t>a</w:t>
      </w:r>
      <w:r w:rsidRPr="00DC4017">
        <w:rPr>
          <w:rFonts w:cs="Arial"/>
          <w:lang w:val="es-ES"/>
        </w:rPr>
        <w:t xml:space="preserve"> reunión de la Conferencia de las Partes (COP12) adoptó la </w:t>
      </w:r>
      <w:hyperlink r:id="rId12" w:history="1">
        <w:r w:rsidR="00C76A75" w:rsidRPr="00DC4017">
          <w:rPr>
            <w:rStyle w:val="Hyperlink"/>
            <w:rFonts w:cs="Arial"/>
            <w:lang w:val="es-ES"/>
          </w:rPr>
          <w:t>Resolución 11.8 (Rev.COP12)</w:t>
        </w:r>
      </w:hyperlink>
      <w:r w:rsidRPr="00DC4017">
        <w:rPr>
          <w:rFonts w:cs="Arial"/>
          <w:lang w:val="es-ES"/>
        </w:rPr>
        <w:t xml:space="preserve"> en la que reiteró la importante función de la comunicación para aumentar la concienciación de la opinión pública sobre las especies migratorias, las múltiples amenazas a las que se enfrentan y los obstáculos a su migración, así como para fomentar acciones que mitiguen estas amenazas tanto a nivel nacional como internacional. Además, reconoció la necesidad de proporcionar los recursos adecuados en el presupuesto de la CMS para apoyar la implementación de las actividades de comunicación y gestión de la información, y solicitó a las Partes que aportaran contribuciones voluntarias para la implementación de las </w:t>
      </w:r>
      <w:r w:rsidR="00F838D2" w:rsidRPr="00DC4017">
        <w:rPr>
          <w:color w:val="000000" w:themeColor="text1"/>
          <w:lang w:val="es-ES"/>
        </w:rPr>
        <w:t>actividades de comunicación en curso de la Secretaría.</w:t>
      </w:r>
    </w:p>
    <w:p w14:paraId="3D20BB45" w14:textId="77777777" w:rsidR="00335923" w:rsidRPr="00DC4017" w:rsidRDefault="00335923" w:rsidP="00772A34">
      <w:pPr>
        <w:pStyle w:val="ListParagraph"/>
        <w:autoSpaceDE w:val="0"/>
        <w:autoSpaceDN w:val="0"/>
        <w:adjustRightInd w:val="0"/>
        <w:spacing w:after="0" w:line="240" w:lineRule="auto"/>
        <w:ind w:left="540" w:hanging="540"/>
        <w:jc w:val="both"/>
        <w:rPr>
          <w:rFonts w:cs="Arial"/>
          <w:lang w:val="es-ES"/>
        </w:rPr>
      </w:pPr>
    </w:p>
    <w:p w14:paraId="23AF8146" w14:textId="3D05C4CD" w:rsidR="0073233F" w:rsidRPr="00DC4017" w:rsidRDefault="0073233F" w:rsidP="00772A34">
      <w:pPr>
        <w:pStyle w:val="ListParagraph"/>
        <w:numPr>
          <w:ilvl w:val="0"/>
          <w:numId w:val="10"/>
        </w:numPr>
        <w:autoSpaceDE w:val="0"/>
        <w:autoSpaceDN w:val="0"/>
        <w:adjustRightInd w:val="0"/>
        <w:spacing w:after="0" w:line="240" w:lineRule="auto"/>
        <w:ind w:left="540" w:hanging="540"/>
        <w:jc w:val="both"/>
        <w:rPr>
          <w:rFonts w:cs="Arial"/>
          <w:lang w:val="es-ES"/>
        </w:rPr>
      </w:pPr>
      <w:r w:rsidRPr="00DC4017">
        <w:rPr>
          <w:rFonts w:cs="Arial"/>
          <w:color w:val="000000"/>
          <w:lang w:val="es-ES"/>
        </w:rPr>
        <w:t>El Programa de Trabajo</w:t>
      </w:r>
      <w:r w:rsidRPr="00DC4017">
        <w:rPr>
          <w:color w:val="FF0000"/>
          <w:lang w:val="es-ES"/>
        </w:rPr>
        <w:t xml:space="preserve"> </w:t>
      </w:r>
      <w:r w:rsidR="000E464A" w:rsidRPr="00DC4017">
        <w:rPr>
          <w:rFonts w:cs="Arial"/>
          <w:color w:val="000000"/>
          <w:lang w:val="es-ES"/>
        </w:rPr>
        <w:t>para el período entre sesiones entre la COP13 y la COP14 (</w:t>
      </w:r>
      <w:hyperlink r:id="rId13" w:history="1">
        <w:r w:rsidR="007A0A49" w:rsidRPr="00DC4017">
          <w:rPr>
            <w:rStyle w:val="Hyperlink"/>
            <w:rFonts w:cs="Arial"/>
            <w:lang w:val="es-ES"/>
          </w:rPr>
          <w:t>Resolución 13.2/Anexo 6</w:t>
        </w:r>
      </w:hyperlink>
      <w:r w:rsidRPr="00DC4017">
        <w:rPr>
          <w:rFonts w:cs="Arial"/>
          <w:color w:val="000000"/>
          <w:lang w:val="es-ES"/>
        </w:rPr>
        <w:t xml:space="preserve">) </w:t>
      </w:r>
      <w:r w:rsidRPr="00DC4017">
        <w:rPr>
          <w:rFonts w:cs="Arial"/>
          <w:lang w:val="es-ES"/>
        </w:rPr>
        <w:t>incluía un listado de tareas y necesidades presupuestarias relacionadas en las secciones de Gestión de la Información, Comunicaciones y Divulgación.</w:t>
      </w:r>
    </w:p>
    <w:p w14:paraId="1EFF1420" w14:textId="77777777" w:rsidR="0073233F" w:rsidRPr="00DC4017" w:rsidRDefault="0073233F" w:rsidP="00772A34">
      <w:pPr>
        <w:pStyle w:val="Default"/>
        <w:ind w:left="540" w:hanging="540"/>
        <w:jc w:val="both"/>
        <w:rPr>
          <w:rFonts w:ascii="Arial" w:hAnsi="Arial" w:cs="Arial"/>
          <w:sz w:val="22"/>
          <w:szCs w:val="22"/>
          <w:lang w:val="es-ES"/>
        </w:rPr>
      </w:pPr>
    </w:p>
    <w:p w14:paraId="3AB3E438" w14:textId="67CC1786" w:rsidR="0073233F" w:rsidRPr="00DC4017" w:rsidRDefault="002B572E" w:rsidP="00772A34">
      <w:pPr>
        <w:pStyle w:val="Default"/>
        <w:numPr>
          <w:ilvl w:val="0"/>
          <w:numId w:val="10"/>
        </w:numPr>
        <w:ind w:left="540" w:hanging="540"/>
        <w:jc w:val="both"/>
        <w:rPr>
          <w:rFonts w:ascii="Arial" w:hAnsi="Arial" w:cs="Arial"/>
          <w:sz w:val="22"/>
          <w:szCs w:val="22"/>
          <w:lang w:val="es-ES"/>
        </w:rPr>
      </w:pPr>
      <w:r w:rsidRPr="00DC4017">
        <w:rPr>
          <w:rFonts w:ascii="Arial" w:hAnsi="Arial" w:cs="Arial"/>
          <w:sz w:val="22"/>
          <w:szCs w:val="22"/>
          <w:lang w:val="es-ES"/>
        </w:rPr>
        <w:t xml:space="preserve">La COP13 adoptó la </w:t>
      </w:r>
      <w:hyperlink r:id="rId14" w:history="1">
        <w:r w:rsidRPr="00DC4017">
          <w:rPr>
            <w:rStyle w:val="Hyperlink"/>
            <w:rFonts w:ascii="Arial" w:hAnsi="Arial" w:cs="Arial"/>
            <w:sz w:val="22"/>
            <w:szCs w:val="22"/>
            <w:lang w:val="es-ES"/>
          </w:rPr>
          <w:t>Resolución 11.9 (Rev.COP13)</w:t>
        </w:r>
      </w:hyperlink>
      <w:r w:rsidR="005B5BBE" w:rsidRPr="00DC4017">
        <w:rPr>
          <w:rFonts w:ascii="Arial" w:hAnsi="Arial" w:cs="Arial"/>
          <w:sz w:val="22"/>
          <w:szCs w:val="22"/>
          <w:lang w:val="es-ES"/>
        </w:rPr>
        <w:t xml:space="preserve"> en la celebración anual del Día Mundial de las Aves Migratorias, una campaña fundamental de concienciación pública dedicada a las aves migratorias y la conservación de la naturaleza. La campaña se organiza de forma conjunta por las Secretarías de la Convención y del Acuerdo sobre la Conservación de las Aves Acuáticas Migratorias de África y Eurasia (AEWA), así como otros socios. En la Resolución se solicitaba a las Partes y a otros donantes pertinentes que aportaran contribuciones voluntarias para la organización anual de los Días Mundiales de las Aves Migratorias y solicitaba a la Secretaría que continuara facilitando la cooperación y el intercambio de información en favor de la campaña.</w:t>
      </w:r>
    </w:p>
    <w:p w14:paraId="6B1F7C8A" w14:textId="77777777" w:rsidR="0073233F" w:rsidRPr="00DC4017" w:rsidRDefault="0073233F" w:rsidP="00131EF6">
      <w:pPr>
        <w:pStyle w:val="Default"/>
        <w:jc w:val="both"/>
        <w:rPr>
          <w:rFonts w:ascii="Arial" w:hAnsi="Arial" w:cs="Arial"/>
          <w:sz w:val="22"/>
          <w:szCs w:val="22"/>
          <w:lang w:val="es-ES"/>
        </w:rPr>
      </w:pPr>
    </w:p>
    <w:p w14:paraId="548DE5A4" w14:textId="3CFA9B0D" w:rsidR="0073233F" w:rsidRPr="00DC4017" w:rsidRDefault="0073233F" w:rsidP="0073233F">
      <w:pPr>
        <w:spacing w:after="0" w:line="240" w:lineRule="auto"/>
        <w:ind w:left="540" w:hanging="540"/>
        <w:rPr>
          <w:rFonts w:cs="Arial"/>
          <w:u w:val="single"/>
          <w:lang w:val="es-ES"/>
        </w:rPr>
      </w:pPr>
      <w:r w:rsidRPr="00DC4017">
        <w:rPr>
          <w:rFonts w:cs="Arial"/>
          <w:u w:val="single"/>
          <w:lang w:val="es-ES"/>
        </w:rPr>
        <w:t xml:space="preserve">Actividades a partir de la COP13 </w:t>
      </w:r>
    </w:p>
    <w:p w14:paraId="62AFA4EF" w14:textId="77777777" w:rsidR="0073233F" w:rsidRPr="00DC4017" w:rsidRDefault="0073233F" w:rsidP="0073233F">
      <w:pPr>
        <w:spacing w:after="0" w:line="240" w:lineRule="auto"/>
        <w:ind w:left="540" w:hanging="540"/>
        <w:rPr>
          <w:rFonts w:cs="Arial"/>
          <w:lang w:val="es-ES"/>
        </w:rPr>
      </w:pPr>
    </w:p>
    <w:p w14:paraId="7ED322C7" w14:textId="215BB42E" w:rsidR="0080442A" w:rsidRPr="00DC4017" w:rsidRDefault="0099794D" w:rsidP="00772A34">
      <w:pPr>
        <w:pStyle w:val="Default"/>
        <w:numPr>
          <w:ilvl w:val="0"/>
          <w:numId w:val="10"/>
        </w:numPr>
        <w:ind w:left="547" w:hanging="547"/>
        <w:jc w:val="both"/>
        <w:rPr>
          <w:rFonts w:cs="Arial"/>
          <w:u w:val="single"/>
          <w:lang w:val="es-ES"/>
        </w:rPr>
      </w:pPr>
      <w:r w:rsidRPr="00DC4017">
        <w:rPr>
          <w:rFonts w:ascii="Arial" w:hAnsi="Arial" w:cs="Arial"/>
          <w:sz w:val="22"/>
          <w:szCs w:val="22"/>
          <w:lang w:val="es-ES"/>
        </w:rPr>
        <w:t>En el período entre sesiones entre la COP13 y la COP14, la Secretaría, a través de su Unidad Conjunta CMS/AEWA de Gestión de la Información, Comunicación y Sensibilización (IMCA), entregó una extensa lista de actividades de comunicación y divulgación. El</w:t>
      </w:r>
      <w:r w:rsidR="000A7361" w:rsidRPr="00DC4017">
        <w:rPr>
          <w:rFonts w:ascii="Arial" w:hAnsi="Arial"/>
          <w:color w:val="000000" w:themeColor="text1"/>
          <w:sz w:val="22"/>
          <w:lang w:val="es-ES"/>
        </w:rPr>
        <w:t xml:space="preserve"> objetivo </w:t>
      </w:r>
      <w:r w:rsidR="000A7361" w:rsidRPr="00DC4017">
        <w:rPr>
          <w:rFonts w:ascii="Arial" w:hAnsi="Arial" w:cs="Arial"/>
          <w:sz w:val="22"/>
          <w:szCs w:val="22"/>
          <w:lang w:val="es-ES"/>
        </w:rPr>
        <w:t>de estas actividades era aumentar la concienciación sobre las especies migratorias y las múltiples amenazas a las que se enfrentan, así como potenciar</w:t>
      </w:r>
      <w:r w:rsidR="0037234F" w:rsidRPr="00DC4017">
        <w:rPr>
          <w:rFonts w:ascii="Arial" w:hAnsi="Arial"/>
          <w:color w:val="000000" w:themeColor="text1"/>
          <w:sz w:val="22"/>
          <w:lang w:val="es-ES"/>
        </w:rPr>
        <w:t xml:space="preserve"> </w:t>
      </w:r>
      <w:r w:rsidR="0037234F" w:rsidRPr="00DC4017">
        <w:rPr>
          <w:rFonts w:ascii="Arial" w:hAnsi="Arial" w:cs="Arial"/>
          <w:sz w:val="22"/>
          <w:szCs w:val="22"/>
          <w:lang w:val="es-ES"/>
        </w:rPr>
        <w:t xml:space="preserve">el perfil de la Convención a través de diversos foros como nuevas asociaciones, medios de comunicación internacionales y nacionales y redes sociales. </w:t>
      </w:r>
    </w:p>
    <w:p w14:paraId="2355BCF1" w14:textId="77777777" w:rsidR="0080442A" w:rsidRPr="00DC4017" w:rsidRDefault="0080442A" w:rsidP="00772A34">
      <w:pPr>
        <w:pStyle w:val="Default"/>
        <w:ind w:left="547" w:hanging="547"/>
        <w:jc w:val="both"/>
        <w:rPr>
          <w:rFonts w:cs="Arial"/>
          <w:u w:val="single"/>
          <w:lang w:val="es-ES"/>
        </w:rPr>
      </w:pPr>
    </w:p>
    <w:p w14:paraId="7A4CF81F" w14:textId="13632FED" w:rsidR="0073233F" w:rsidRPr="00DC4017" w:rsidRDefault="0080442A" w:rsidP="00772A34">
      <w:pPr>
        <w:pStyle w:val="Default"/>
        <w:numPr>
          <w:ilvl w:val="0"/>
          <w:numId w:val="10"/>
        </w:numPr>
        <w:ind w:left="547" w:hanging="547"/>
        <w:jc w:val="both"/>
        <w:rPr>
          <w:rFonts w:cs="Arial"/>
          <w:u w:val="single"/>
          <w:lang w:val="es-ES"/>
        </w:rPr>
      </w:pPr>
      <w:r w:rsidRPr="00DC4017">
        <w:rPr>
          <w:rFonts w:ascii="Arial" w:hAnsi="Arial" w:cs="Arial"/>
          <w:sz w:val="22"/>
          <w:szCs w:val="22"/>
          <w:lang w:val="es-ES"/>
        </w:rPr>
        <w:t xml:space="preserve">En la página web de la CMS se redactaron y publicaron 88 artículos, incluidos comunicados de prensa, con un efecto positivo en el número de visitantes y de páginas visitadas. El número de visitantes de la página web en el actual período entre sesiones (1 de marzo de 2020 - 12 de diciembre de 2023) ha aumentado un 40 % y el número de páginas visitadas, un 10 % en comparación con el anterior período de cuatro años (1 de marzo de 2016 - 12 de diciembre de 2019). Estas cifras son contundentes, ya que en el período anterior se incluyó un aumento de las actividades de divulgación en la COP12 (octubre de 2017). </w:t>
      </w:r>
    </w:p>
    <w:p w14:paraId="253C599A" w14:textId="77777777" w:rsidR="0099794D" w:rsidRPr="00DC4017" w:rsidRDefault="0099794D" w:rsidP="00772A34">
      <w:pPr>
        <w:pStyle w:val="Default"/>
        <w:ind w:left="547" w:hanging="547"/>
        <w:jc w:val="both"/>
        <w:rPr>
          <w:rFonts w:cs="Arial"/>
          <w:u w:val="single"/>
          <w:lang w:val="es-ES"/>
        </w:rPr>
      </w:pPr>
    </w:p>
    <w:p w14:paraId="269AF6CD" w14:textId="561C1C08" w:rsidR="00722DE2" w:rsidRPr="00DC4017" w:rsidRDefault="0080442A" w:rsidP="00772A34">
      <w:pPr>
        <w:pStyle w:val="Default"/>
        <w:numPr>
          <w:ilvl w:val="0"/>
          <w:numId w:val="10"/>
        </w:numPr>
        <w:ind w:left="547" w:hanging="547"/>
        <w:jc w:val="both"/>
        <w:rPr>
          <w:rFonts w:cs="Arial"/>
          <w:u w:val="single"/>
          <w:lang w:val="es-ES"/>
        </w:rPr>
      </w:pPr>
      <w:r w:rsidRPr="00DC4017">
        <w:rPr>
          <w:rFonts w:ascii="Arial" w:hAnsi="Arial" w:cs="Arial"/>
          <w:sz w:val="22"/>
          <w:szCs w:val="22"/>
          <w:lang w:val="es-ES"/>
        </w:rPr>
        <w:t>Parte del</w:t>
      </w:r>
      <w:r w:rsidRPr="00DC4017">
        <w:rPr>
          <w:rFonts w:ascii="Arial" w:hAnsi="Arial"/>
          <w:color w:val="FF0000"/>
          <w:sz w:val="22"/>
          <w:lang w:val="es-ES"/>
        </w:rPr>
        <w:t xml:space="preserve"> </w:t>
      </w:r>
      <w:r w:rsidR="006642E1" w:rsidRPr="00DC4017">
        <w:rPr>
          <w:rFonts w:ascii="Arial" w:hAnsi="Arial" w:cs="Arial"/>
          <w:color w:val="auto"/>
          <w:sz w:val="22"/>
          <w:szCs w:val="22"/>
          <w:lang w:val="es-ES"/>
        </w:rPr>
        <w:t>aumento</w:t>
      </w:r>
      <w:r w:rsidRPr="00DC4017">
        <w:rPr>
          <w:rFonts w:ascii="Arial" w:hAnsi="Arial"/>
          <w:color w:val="FF0000"/>
          <w:sz w:val="22"/>
          <w:lang w:val="es-ES"/>
        </w:rPr>
        <w:t xml:space="preserve"> </w:t>
      </w:r>
      <w:r w:rsidRPr="00DC4017">
        <w:rPr>
          <w:rFonts w:ascii="Arial" w:hAnsi="Arial" w:cs="Arial"/>
          <w:sz w:val="22"/>
          <w:szCs w:val="22"/>
          <w:lang w:val="es-ES"/>
        </w:rPr>
        <w:t xml:space="preserve">significativo del uso de la página web de la CMS está relacionado con el incremento de las actividades de divulgación </w:t>
      </w:r>
      <w:r w:rsidR="009E796A" w:rsidRPr="00DC4017">
        <w:rPr>
          <w:rFonts w:ascii="Arial" w:hAnsi="Arial"/>
          <w:color w:val="000000" w:themeColor="text1"/>
          <w:sz w:val="22"/>
          <w:lang w:val="es-ES"/>
        </w:rPr>
        <w:t>de la Secretaría en los medios de comunicación</w:t>
      </w:r>
      <w:r w:rsidR="009E796A" w:rsidRPr="00DC4017">
        <w:rPr>
          <w:rFonts w:ascii="Arial" w:hAnsi="Arial" w:cs="Arial"/>
          <w:sz w:val="22"/>
          <w:szCs w:val="22"/>
          <w:lang w:val="es-ES"/>
        </w:rPr>
        <w:t xml:space="preserve">, en particular, la puesta en marcha de ocho iniciativas, informes y publicaciones de la CMS en dichos medios, así como </w:t>
      </w:r>
      <w:r w:rsidR="00906E52" w:rsidRPr="00DC4017">
        <w:rPr>
          <w:rFonts w:ascii="Arial" w:hAnsi="Arial"/>
          <w:color w:val="auto"/>
          <w:sz w:val="22"/>
          <w:lang w:val="es-ES"/>
        </w:rPr>
        <w:t xml:space="preserve">entrevistas </w:t>
      </w:r>
      <w:r w:rsidR="00906E52" w:rsidRPr="00DC4017">
        <w:rPr>
          <w:rFonts w:ascii="Arial" w:hAnsi="Arial" w:cs="Arial"/>
          <w:sz w:val="22"/>
          <w:szCs w:val="22"/>
          <w:lang w:val="es-ES"/>
        </w:rPr>
        <w:t xml:space="preserve">y referencias a la CMS </w:t>
      </w:r>
      <w:r w:rsidR="00906E52" w:rsidRPr="00DC4017">
        <w:rPr>
          <w:rFonts w:ascii="Arial" w:hAnsi="Arial" w:cs="Arial"/>
          <w:sz w:val="22"/>
          <w:szCs w:val="22"/>
          <w:lang w:val="es-ES"/>
        </w:rPr>
        <w:lastRenderedPageBreak/>
        <w:t>en artículos de prensa. Por ejemplo, la presentación del informe de la CMS sobre el</w:t>
      </w:r>
      <w:r w:rsidR="00DA68C3" w:rsidRPr="00DC4017">
        <w:rPr>
          <w:lang w:val="es-ES"/>
        </w:rPr>
        <w:t xml:space="preserve"> </w:t>
      </w:r>
      <w:hyperlink r:id="rId15" w:history="1">
        <w:r w:rsidR="00DA68C3" w:rsidRPr="00DC4017">
          <w:rPr>
            <w:rStyle w:val="Hyperlink"/>
            <w:rFonts w:ascii="Arial" w:hAnsi="Arial" w:cs="Arial"/>
            <w:sz w:val="22"/>
            <w:szCs w:val="22"/>
            <w:lang w:val="es-ES"/>
          </w:rPr>
          <w:t>impacto de la contaminación por plásticos en las especies migratorias</w:t>
        </w:r>
      </w:hyperlink>
      <w:r w:rsidR="00DA68C3" w:rsidRPr="00DC4017">
        <w:rPr>
          <w:lang w:val="es-ES"/>
        </w:rPr>
        <w:t xml:space="preserve"> </w:t>
      </w:r>
      <w:r w:rsidR="00DA68C3" w:rsidRPr="00DC4017">
        <w:rPr>
          <w:rFonts w:ascii="Arial" w:hAnsi="Arial" w:cs="Arial"/>
          <w:sz w:val="22"/>
          <w:szCs w:val="22"/>
          <w:lang w:val="es-ES"/>
        </w:rPr>
        <w:t xml:space="preserve">el 31 de agosto de 2021 fue cubierta por más de 100 medios de comunicación de 30 países, entre ellos fuentes destacadas como la BBC, The Independent, AFP, Japan Times, Newsweek y France24. </w:t>
      </w:r>
    </w:p>
    <w:p w14:paraId="0D55D523" w14:textId="77777777" w:rsidR="00722DE2" w:rsidRPr="00DC4017" w:rsidRDefault="00722DE2" w:rsidP="00772A34">
      <w:pPr>
        <w:pStyle w:val="Default"/>
        <w:ind w:left="547" w:hanging="547"/>
        <w:jc w:val="both"/>
        <w:rPr>
          <w:rFonts w:cs="Arial"/>
          <w:u w:val="single"/>
          <w:lang w:val="es-ES"/>
        </w:rPr>
      </w:pPr>
    </w:p>
    <w:p w14:paraId="430B6127" w14:textId="0F6C3826" w:rsidR="00722DE2" w:rsidRPr="00DC4017" w:rsidRDefault="00722DE2" w:rsidP="00772A34">
      <w:pPr>
        <w:pStyle w:val="Default"/>
        <w:numPr>
          <w:ilvl w:val="0"/>
          <w:numId w:val="10"/>
        </w:numPr>
        <w:ind w:left="547" w:hanging="547"/>
        <w:jc w:val="both"/>
        <w:rPr>
          <w:color w:val="auto"/>
          <w:u w:val="single"/>
          <w:lang w:val="es-ES"/>
        </w:rPr>
      </w:pPr>
      <w:r w:rsidRPr="00DC4017">
        <w:rPr>
          <w:rFonts w:ascii="Arial" w:hAnsi="Arial" w:cs="Arial"/>
          <w:sz w:val="22"/>
          <w:szCs w:val="22"/>
          <w:lang w:val="es-ES"/>
        </w:rPr>
        <w:t xml:space="preserve">Además, la Secretaría ha participado activamente con diversos públicos en las redes sociales. El número de seguidores de la cuenta oficial X (antiguo Twitter) de la Convención ha aumentado un 35 % desde la COP13. </w:t>
      </w:r>
      <w:r w:rsidR="00B238E4" w:rsidRPr="00DC4017">
        <w:rPr>
          <w:rFonts w:ascii="Arial" w:hAnsi="Arial"/>
          <w:color w:val="auto"/>
          <w:sz w:val="22"/>
          <w:lang w:val="es-ES"/>
        </w:rPr>
        <w:t xml:space="preserve">Con la presencia en nuevas plataformas, la Secretaría pretende llegar </w:t>
      </w:r>
      <w:r w:rsidR="00F95C0C" w:rsidRPr="00DC4017">
        <w:rPr>
          <w:rFonts w:ascii="Arial" w:hAnsi="Arial" w:cs="Arial"/>
          <w:color w:val="auto"/>
          <w:sz w:val="22"/>
          <w:szCs w:val="22"/>
          <w:lang w:val="es-ES"/>
        </w:rPr>
        <w:t>tanto al</w:t>
      </w:r>
      <w:r w:rsidR="00F95C0C" w:rsidRPr="00DC4017">
        <w:rPr>
          <w:rFonts w:ascii="Arial" w:hAnsi="Arial"/>
          <w:color w:val="auto"/>
          <w:sz w:val="22"/>
          <w:lang w:val="es-ES"/>
        </w:rPr>
        <w:t xml:space="preserve"> público profesional </w:t>
      </w:r>
      <w:r w:rsidR="00F95C0C" w:rsidRPr="00DC4017">
        <w:rPr>
          <w:rFonts w:ascii="Arial" w:hAnsi="Arial" w:cs="Arial"/>
          <w:color w:val="auto"/>
          <w:sz w:val="22"/>
          <w:szCs w:val="22"/>
          <w:lang w:val="es-ES"/>
        </w:rPr>
        <w:t>a través de</w:t>
      </w:r>
      <w:r w:rsidR="00D967EB" w:rsidRPr="00DC4017">
        <w:rPr>
          <w:rFonts w:ascii="Arial" w:hAnsi="Arial"/>
          <w:color w:val="auto"/>
          <w:sz w:val="22"/>
          <w:lang w:val="es-ES"/>
        </w:rPr>
        <w:t xml:space="preserve"> la cuenta oficial de Linkedin de la CMS </w:t>
      </w:r>
      <w:r w:rsidR="00F95C0C" w:rsidRPr="00DC4017">
        <w:rPr>
          <w:rFonts w:ascii="Arial" w:hAnsi="Arial" w:cs="Arial"/>
          <w:color w:val="auto"/>
          <w:sz w:val="22"/>
          <w:szCs w:val="22"/>
          <w:lang w:val="es-ES"/>
        </w:rPr>
        <w:t xml:space="preserve">(que se puso en marcha </w:t>
      </w:r>
      <w:r w:rsidR="00D967EB" w:rsidRPr="00DC4017">
        <w:rPr>
          <w:rFonts w:ascii="Arial" w:hAnsi="Arial"/>
          <w:color w:val="auto"/>
          <w:sz w:val="22"/>
          <w:lang w:val="es-ES"/>
        </w:rPr>
        <w:t>en 2022</w:t>
      </w:r>
      <w:r w:rsidR="00F95C0C" w:rsidRPr="00DC4017">
        <w:rPr>
          <w:rFonts w:ascii="Arial" w:hAnsi="Arial" w:cs="Arial"/>
          <w:color w:val="auto"/>
          <w:sz w:val="22"/>
          <w:szCs w:val="22"/>
          <w:lang w:val="es-ES"/>
        </w:rPr>
        <w:t>),</w:t>
      </w:r>
      <w:r w:rsidR="00D967EB" w:rsidRPr="00DC4017">
        <w:rPr>
          <w:rFonts w:ascii="Arial" w:hAnsi="Arial"/>
          <w:color w:val="auto"/>
          <w:sz w:val="22"/>
          <w:lang w:val="es-ES"/>
        </w:rPr>
        <w:t xml:space="preserve"> como al público en general </w:t>
      </w:r>
      <w:r w:rsidR="00F95C0C" w:rsidRPr="00DC4017">
        <w:rPr>
          <w:rFonts w:ascii="Arial" w:hAnsi="Arial" w:cs="Arial"/>
          <w:color w:val="auto"/>
          <w:sz w:val="22"/>
          <w:szCs w:val="22"/>
          <w:lang w:val="es-ES"/>
        </w:rPr>
        <w:t>a través de su</w:t>
      </w:r>
      <w:r w:rsidR="00BE59FD" w:rsidRPr="00DC4017">
        <w:rPr>
          <w:rFonts w:ascii="Arial" w:hAnsi="Arial"/>
          <w:color w:val="auto"/>
          <w:sz w:val="22"/>
          <w:lang w:val="es-ES"/>
        </w:rPr>
        <w:t xml:space="preserve"> cuenta de Instagram </w:t>
      </w:r>
      <w:r w:rsidR="00F95C0C" w:rsidRPr="00DC4017">
        <w:rPr>
          <w:rFonts w:ascii="Arial" w:hAnsi="Arial" w:cs="Arial"/>
          <w:color w:val="auto"/>
          <w:sz w:val="22"/>
          <w:szCs w:val="22"/>
          <w:lang w:val="es-ES"/>
        </w:rPr>
        <w:t xml:space="preserve">(creada </w:t>
      </w:r>
      <w:r w:rsidR="00BE59FD" w:rsidRPr="00DC4017">
        <w:rPr>
          <w:rFonts w:ascii="Arial" w:hAnsi="Arial"/>
          <w:color w:val="auto"/>
          <w:sz w:val="22"/>
          <w:lang w:val="es-ES"/>
        </w:rPr>
        <w:t>el 1 de enero de 2023</w:t>
      </w:r>
      <w:r w:rsidR="00F95C0C" w:rsidRPr="00DC4017">
        <w:rPr>
          <w:rFonts w:ascii="Arial" w:hAnsi="Arial" w:cs="Arial"/>
          <w:color w:val="auto"/>
          <w:sz w:val="22"/>
          <w:szCs w:val="22"/>
          <w:lang w:val="es-ES"/>
        </w:rPr>
        <w:t>)</w:t>
      </w:r>
      <w:r w:rsidR="005A6E82" w:rsidRPr="00DC4017">
        <w:rPr>
          <w:rFonts w:ascii="Arial" w:hAnsi="Arial" w:cs="Arial"/>
          <w:color w:val="auto"/>
          <w:sz w:val="22"/>
          <w:szCs w:val="22"/>
          <w:lang w:val="es-ES"/>
        </w:rPr>
        <w:t>.</w:t>
      </w:r>
    </w:p>
    <w:p w14:paraId="45F53BD7" w14:textId="77777777" w:rsidR="00722DE2" w:rsidRPr="00DC4017" w:rsidRDefault="00722DE2" w:rsidP="00772A34">
      <w:pPr>
        <w:pStyle w:val="Default"/>
        <w:ind w:left="547" w:hanging="547"/>
        <w:jc w:val="both"/>
        <w:rPr>
          <w:rFonts w:cs="Arial"/>
          <w:u w:val="single"/>
          <w:lang w:val="es-ES"/>
        </w:rPr>
      </w:pPr>
    </w:p>
    <w:p w14:paraId="31D4B00D" w14:textId="76FFCEB6" w:rsidR="00DD1E1D" w:rsidRPr="00DC4017" w:rsidRDefault="00E3051C" w:rsidP="00772A34">
      <w:pPr>
        <w:pStyle w:val="Default"/>
        <w:numPr>
          <w:ilvl w:val="0"/>
          <w:numId w:val="10"/>
        </w:numPr>
        <w:ind w:left="547" w:hanging="547"/>
        <w:jc w:val="both"/>
        <w:rPr>
          <w:rFonts w:ascii="Arial" w:hAnsi="Arial" w:cs="Arial"/>
          <w:sz w:val="22"/>
          <w:szCs w:val="22"/>
          <w:u w:val="single"/>
          <w:lang w:val="es-ES"/>
        </w:rPr>
      </w:pPr>
      <w:r w:rsidRPr="00DC4017">
        <w:rPr>
          <w:rFonts w:ascii="Arial" w:hAnsi="Arial" w:cs="Arial"/>
          <w:sz w:val="22"/>
          <w:szCs w:val="22"/>
          <w:lang w:val="es-ES"/>
        </w:rPr>
        <w:t xml:space="preserve">Desde su inicio hace 18 años, el Día Mundial de las Aves Migratorias, campaña emblemática de la CMS y el AEWA (coordinada por la Unidad IMCA), ha crecido con fuerza, tanto en número de actividades en todo el mundo como en sus principales socios. La asociación establecida en la COP12 con Medio Ambiente para las Américas se ha ampliado para incluir a la Secretaría de la Asociación sobre rutas migratorias entre Asia Oriental y Australasia (en marzo de 2023). Con cientos de actos de celebración sobre las aves migratorias cada año, la campaña se ha convertido en un poderoso activo de divulgación pública para la Convención, llegando a cerca de 500 millones de personas en todo el mundo e involucrando a nuevas entidades como la Estación Espacial Internacional y Airbus a través de actividades en las redes sociales.  Asimismo, tras las consultas sobre la elección del tema anual, la Secretaría implementó la </w:t>
      </w:r>
      <w:hyperlink r:id="rId16" w:history="1">
        <w:r w:rsidR="00163ED3" w:rsidRPr="00DC4017">
          <w:rPr>
            <w:rStyle w:val="Hyperlink"/>
            <w:rFonts w:ascii="Arial" w:hAnsi="Arial" w:cs="Arial"/>
            <w:sz w:val="22"/>
            <w:szCs w:val="22"/>
            <w:lang w:val="es-ES"/>
          </w:rPr>
          <w:t>Decisión 13.138</w:t>
        </w:r>
      </w:hyperlink>
      <w:r w:rsidR="00DF4810" w:rsidRPr="00DC4017">
        <w:rPr>
          <w:rFonts w:ascii="Arial" w:hAnsi="Arial" w:cs="Arial"/>
          <w:sz w:val="22"/>
          <w:szCs w:val="22"/>
          <w:lang w:val="es-ES"/>
        </w:rPr>
        <w:t xml:space="preserve"> y destacó los </w:t>
      </w:r>
      <w:hyperlink r:id="rId17" w:history="1">
        <w:r w:rsidR="00C76B99" w:rsidRPr="00DC4017">
          <w:rPr>
            <w:rStyle w:val="Hyperlink"/>
            <w:rFonts w:ascii="Arial" w:hAnsi="Arial" w:cs="Arial"/>
            <w:sz w:val="22"/>
            <w:szCs w:val="22"/>
            <w:lang w:val="es-ES"/>
          </w:rPr>
          <w:t>efectos de la contaminación lumínica en las aves migratorias</w:t>
        </w:r>
      </w:hyperlink>
      <w:r w:rsidR="00C76B99" w:rsidRPr="00DC4017">
        <w:rPr>
          <w:rFonts w:ascii="Arial" w:hAnsi="Arial" w:cs="Arial"/>
          <w:sz w:val="22"/>
          <w:szCs w:val="22"/>
          <w:lang w:val="es-ES"/>
        </w:rPr>
        <w:t xml:space="preserve"> en 2022. La campaña sobre la contaminación lumínica dio como resultado una colaboración muy productiva entre la CMS y el </w:t>
      </w:r>
      <w:hyperlink r:id="rId18" w:history="1">
        <w:r w:rsidR="00673DED" w:rsidRPr="00DC4017">
          <w:rPr>
            <w:rStyle w:val="Hyperlink"/>
            <w:rFonts w:ascii="Arial" w:hAnsi="Arial" w:cs="Arial"/>
            <w:sz w:val="22"/>
            <w:szCs w:val="22"/>
            <w:lang w:val="es-ES"/>
          </w:rPr>
          <w:t>Consejo Internacional para las Iniciativas Ambientales Locales</w:t>
        </w:r>
      </w:hyperlink>
      <w:r w:rsidR="009C401E" w:rsidRPr="00DC4017">
        <w:rPr>
          <w:rFonts w:ascii="Arial" w:hAnsi="Arial" w:cs="Arial"/>
          <w:sz w:val="22"/>
          <w:szCs w:val="22"/>
          <w:lang w:val="es-ES"/>
        </w:rPr>
        <w:t>, sobre todo con el lanzamiento de una «</w:t>
      </w:r>
      <w:hyperlink r:id="rId19" w:history="1">
        <w:r w:rsidR="009C401E" w:rsidRPr="00DC4017">
          <w:rPr>
            <w:rStyle w:val="Hyperlink"/>
            <w:rFonts w:ascii="Arial" w:hAnsi="Arial" w:cs="Arial"/>
            <w:sz w:val="22"/>
            <w:szCs w:val="22"/>
            <w:lang w:val="es-ES"/>
          </w:rPr>
          <w:t>Guía de ciudades para frenar la contaminación lumínica</w:t>
        </w:r>
      </w:hyperlink>
      <w:r w:rsidR="00ED505F" w:rsidRPr="00DC4017">
        <w:rPr>
          <w:rFonts w:ascii="Arial" w:hAnsi="Arial" w:cs="Arial"/>
          <w:sz w:val="22"/>
          <w:szCs w:val="22"/>
          <w:lang w:val="es-ES"/>
        </w:rPr>
        <w:t>» en línea, que contribuyó al trabajo de la CMS sobre la elaboración de nuevas directrices mundiales propuestas para su adopción en la COP14.</w:t>
      </w:r>
    </w:p>
    <w:p w14:paraId="567A8F6E" w14:textId="77777777" w:rsidR="001247AC" w:rsidRPr="00DC4017" w:rsidRDefault="001247AC" w:rsidP="00772A34">
      <w:pPr>
        <w:pStyle w:val="Default"/>
        <w:ind w:left="547" w:hanging="547"/>
        <w:jc w:val="both"/>
        <w:rPr>
          <w:rFonts w:cs="Arial"/>
          <w:u w:val="single"/>
          <w:lang w:val="es-ES"/>
        </w:rPr>
      </w:pPr>
    </w:p>
    <w:p w14:paraId="3319BFEA" w14:textId="6F2243D4" w:rsidR="00877095" w:rsidRPr="00DC4017" w:rsidRDefault="00C8653C" w:rsidP="00772A34">
      <w:pPr>
        <w:pStyle w:val="Default"/>
        <w:numPr>
          <w:ilvl w:val="0"/>
          <w:numId w:val="10"/>
        </w:numPr>
        <w:ind w:left="547" w:hanging="547"/>
        <w:jc w:val="both"/>
        <w:rPr>
          <w:rFonts w:cs="Arial"/>
          <w:u w:val="single"/>
          <w:lang w:val="es-ES"/>
        </w:rPr>
      </w:pPr>
      <w:r w:rsidRPr="00DC4017">
        <w:rPr>
          <w:rFonts w:ascii="Arial" w:hAnsi="Arial" w:cs="Arial"/>
          <w:sz w:val="22"/>
          <w:szCs w:val="22"/>
          <w:lang w:val="es-ES"/>
        </w:rPr>
        <w:t xml:space="preserve">Durante el actual período entre sesiones, la Secretaría emprendió una revisión estratégica de las actividades de comunicación y divulgación con la ayuda de un consultor sénior de comunicación. Como parte del proceso de revisión, se organizaron dos talleres internos con todo el personal de la Secretaría de la CMS, en los que se determinaron diez retos de importancia estratégica, entre ellos la imagen de la marca de la Familia CMS, el público objetivo, la comunicación interna, la creación de asociaciones y las prioridades de financiación. A raíz de estas consultas se elaboró una evaluación de la comunicación estratégica (disponible como </w:t>
      </w:r>
      <w:hyperlink r:id="rId20" w:history="1">
        <w:r w:rsidR="00015DA0" w:rsidRPr="00DC4017">
          <w:rPr>
            <w:rStyle w:val="Hyperlink"/>
            <w:rFonts w:ascii="Arial" w:hAnsi="Arial"/>
            <w:color w:val="auto"/>
            <w:sz w:val="22"/>
            <w:szCs w:val="22"/>
            <w:lang w:val="es-ES"/>
          </w:rPr>
          <w:t>Documento Informativo 19</w:t>
        </w:r>
      </w:hyperlink>
      <w:r w:rsidR="00F81532" w:rsidRPr="00DC4017">
        <w:rPr>
          <w:rStyle w:val="Hyperlink"/>
          <w:rFonts w:ascii="Arial" w:hAnsi="Arial" w:cs="Arial"/>
          <w:color w:val="auto"/>
          <w:sz w:val="22"/>
          <w:szCs w:val="22"/>
          <w:u w:val="none"/>
          <w:lang w:val="es-ES"/>
        </w:rPr>
        <w:t>).</w:t>
      </w:r>
      <w:r w:rsidR="00015DA0" w:rsidRPr="00DC4017">
        <w:rPr>
          <w:rFonts w:ascii="Arial" w:hAnsi="Arial"/>
          <w:color w:val="auto"/>
          <w:sz w:val="22"/>
          <w:szCs w:val="22"/>
          <w:lang w:val="es-ES"/>
        </w:rPr>
        <w:t xml:space="preserve"> Según las conclusiones de esta evaluación, después de la COP14 se elaborará un plan de implementación de una nueva estrategia de comunicación que incluya las recomendaciones del nuevo Plan Estratégico para las Especies Migratorias en materia de comunicación.</w:t>
      </w:r>
    </w:p>
    <w:p w14:paraId="6356A3A3" w14:textId="77777777" w:rsidR="00877095" w:rsidRPr="00DC4017" w:rsidRDefault="00877095" w:rsidP="00772A34">
      <w:pPr>
        <w:pStyle w:val="Default"/>
        <w:ind w:left="547" w:hanging="547"/>
        <w:jc w:val="both"/>
        <w:rPr>
          <w:rFonts w:cs="Arial"/>
          <w:u w:val="single"/>
          <w:lang w:val="es-ES"/>
        </w:rPr>
      </w:pPr>
    </w:p>
    <w:p w14:paraId="790736B3" w14:textId="74C0CF6D" w:rsidR="00133925" w:rsidRPr="00DC4017" w:rsidRDefault="002A33B7" w:rsidP="00772A34">
      <w:pPr>
        <w:pStyle w:val="Default"/>
        <w:numPr>
          <w:ilvl w:val="0"/>
          <w:numId w:val="10"/>
        </w:numPr>
        <w:ind w:left="547" w:hanging="547"/>
        <w:jc w:val="both"/>
        <w:rPr>
          <w:rFonts w:cs="Arial"/>
          <w:u w:val="single"/>
          <w:lang w:val="es-ES"/>
        </w:rPr>
      </w:pPr>
      <w:r w:rsidRPr="00DC4017">
        <w:rPr>
          <w:rFonts w:ascii="Arial" w:hAnsi="Arial" w:cs="Arial"/>
          <w:sz w:val="22"/>
          <w:szCs w:val="22"/>
          <w:lang w:val="es-ES"/>
        </w:rPr>
        <w:t>Las actividades de gestión de la información de la Unidad IMCA</w:t>
      </w:r>
      <w:r w:rsidR="00877095" w:rsidRPr="00DC4017">
        <w:rPr>
          <w:rFonts w:ascii="Arial" w:hAnsi="Arial"/>
          <w:color w:val="FF0000"/>
          <w:sz w:val="22"/>
          <w:lang w:val="es-ES"/>
        </w:rPr>
        <w:t xml:space="preserve"> </w:t>
      </w:r>
      <w:r w:rsidR="000A0D35" w:rsidRPr="00DC4017">
        <w:rPr>
          <w:rFonts w:ascii="Arial" w:hAnsi="Arial"/>
          <w:color w:val="auto"/>
          <w:sz w:val="22"/>
          <w:lang w:val="es-ES"/>
        </w:rPr>
        <w:t xml:space="preserve">incluyeron la implementación técnica </w:t>
      </w:r>
      <w:r w:rsidR="00C754E6" w:rsidRPr="00DC4017">
        <w:rPr>
          <w:rFonts w:ascii="Arial" w:hAnsi="Arial" w:cs="Arial"/>
          <w:sz w:val="22"/>
          <w:szCs w:val="22"/>
          <w:lang w:val="es-ES"/>
        </w:rPr>
        <w:t>y el apoyo al proceso de presentación de informes nacionales de la CMS en la COP14, así como el mantenimiento técnico de las páginas web de la Convención, sus MdE y los Acuerdos de la Familia CMS (AEWA y ASCOBANS). Entre las mejoras</w:t>
      </w:r>
      <w:r w:rsidR="00345872" w:rsidRPr="00DC4017">
        <w:rPr>
          <w:rFonts w:ascii="Arial" w:hAnsi="Arial"/>
          <w:color w:val="auto"/>
          <w:sz w:val="22"/>
          <w:lang w:val="es-ES"/>
        </w:rPr>
        <w:t xml:space="preserve"> de la experiencia del usuario introducidas en </w:t>
      </w:r>
      <w:r w:rsidR="00345872" w:rsidRPr="00DC4017">
        <w:rPr>
          <w:rFonts w:ascii="Arial" w:hAnsi="Arial" w:cs="Arial"/>
          <w:sz w:val="22"/>
          <w:szCs w:val="22"/>
          <w:lang w:val="es-ES"/>
        </w:rPr>
        <w:t xml:space="preserve">la página web de la CMS cabe destacar la creación de varias páginas dedicadas a temas específicos, como la conectividad ecológica, el Proyecto de Contramedidas del PNUMA y la Iniciativa Mundial sobre la Migración de Ungulados. </w:t>
      </w:r>
    </w:p>
    <w:p w14:paraId="7BE7107F" w14:textId="77777777" w:rsidR="00133925" w:rsidRPr="00DC4017" w:rsidRDefault="00133925" w:rsidP="00772A34">
      <w:pPr>
        <w:pStyle w:val="Default"/>
        <w:ind w:left="547" w:hanging="547"/>
        <w:jc w:val="both"/>
        <w:rPr>
          <w:rFonts w:cs="Arial"/>
          <w:u w:val="single"/>
          <w:lang w:val="es-ES"/>
        </w:rPr>
      </w:pPr>
    </w:p>
    <w:p w14:paraId="484CB319" w14:textId="0D039192" w:rsidR="007B383F" w:rsidRPr="00DC4017" w:rsidRDefault="00133925" w:rsidP="00772A34">
      <w:pPr>
        <w:pStyle w:val="Default"/>
        <w:numPr>
          <w:ilvl w:val="0"/>
          <w:numId w:val="10"/>
        </w:numPr>
        <w:ind w:left="547" w:hanging="547"/>
        <w:jc w:val="both"/>
        <w:rPr>
          <w:rFonts w:cs="Arial"/>
          <w:u w:val="single"/>
          <w:lang w:val="es-ES"/>
        </w:rPr>
      </w:pPr>
      <w:r w:rsidRPr="00DC4017">
        <w:rPr>
          <w:rFonts w:ascii="Arial" w:hAnsi="Arial" w:cs="Arial"/>
          <w:sz w:val="22"/>
          <w:szCs w:val="22"/>
          <w:lang w:val="es-ES"/>
        </w:rPr>
        <w:lastRenderedPageBreak/>
        <w:t>Además, la Secretaría trabajó en la actualización de</w:t>
      </w:r>
      <w:r w:rsidR="00B05EB3" w:rsidRPr="00DC4017">
        <w:rPr>
          <w:rFonts w:ascii="Arial" w:hAnsi="Arial"/>
          <w:color w:val="auto"/>
          <w:sz w:val="22"/>
          <w:lang w:val="es-ES"/>
        </w:rPr>
        <w:t xml:space="preserve"> </w:t>
      </w:r>
      <w:r w:rsidR="00B05EB3" w:rsidRPr="00DC4017">
        <w:rPr>
          <w:rFonts w:ascii="Arial" w:hAnsi="Arial" w:cs="Arial"/>
          <w:sz w:val="22"/>
          <w:szCs w:val="22"/>
          <w:lang w:val="es-ES"/>
        </w:rPr>
        <w:t xml:space="preserve">las páginas web de la Familia CMS para adaptarlas a las últimas normas del sector. Ya está disponible una versión beta de trabajo de la nueva página web con un diseño moderno y una mejora de la arquitectura de la información para </w:t>
      </w:r>
      <w:r w:rsidR="00DD603A" w:rsidRPr="00DC4017">
        <w:rPr>
          <w:rFonts w:ascii="Arial" w:hAnsi="Arial"/>
          <w:color w:val="auto"/>
          <w:sz w:val="22"/>
          <w:lang w:val="es-ES"/>
        </w:rPr>
        <w:t xml:space="preserve">atender mejor las </w:t>
      </w:r>
      <w:r w:rsidR="001A2B35" w:rsidRPr="00DC4017">
        <w:rPr>
          <w:rFonts w:ascii="Arial" w:hAnsi="Arial" w:cs="Arial"/>
          <w:color w:val="auto"/>
          <w:sz w:val="22"/>
          <w:szCs w:val="22"/>
          <w:lang w:val="es-ES"/>
        </w:rPr>
        <w:t xml:space="preserve">necesidades de </w:t>
      </w:r>
      <w:r w:rsidR="00DD603A" w:rsidRPr="00DC4017">
        <w:rPr>
          <w:rFonts w:ascii="Arial" w:hAnsi="Arial"/>
          <w:color w:val="auto"/>
          <w:sz w:val="22"/>
          <w:lang w:val="es-ES"/>
        </w:rPr>
        <w:t xml:space="preserve">los </w:t>
      </w:r>
      <w:r w:rsidR="001A2B35" w:rsidRPr="00DC4017">
        <w:rPr>
          <w:rFonts w:ascii="Arial" w:hAnsi="Arial" w:cs="Arial"/>
          <w:color w:val="auto"/>
          <w:sz w:val="22"/>
          <w:szCs w:val="22"/>
          <w:lang w:val="es-ES"/>
        </w:rPr>
        <w:t>visitantes, y está previsto</w:t>
      </w:r>
      <w:r w:rsidR="00B928FF" w:rsidRPr="00DC4017">
        <w:rPr>
          <w:rFonts w:ascii="Arial" w:hAnsi="Arial"/>
          <w:color w:val="auto"/>
          <w:sz w:val="22"/>
          <w:lang w:val="es-ES"/>
        </w:rPr>
        <w:t xml:space="preserve"> ponerla en marcha </w:t>
      </w:r>
      <w:r w:rsidR="00B928FF" w:rsidRPr="00DC4017">
        <w:rPr>
          <w:rFonts w:ascii="Arial" w:hAnsi="Arial" w:cs="Arial"/>
          <w:color w:val="auto"/>
          <w:sz w:val="22"/>
          <w:szCs w:val="22"/>
          <w:lang w:val="es-ES"/>
        </w:rPr>
        <w:t>públicamente</w:t>
      </w:r>
      <w:r w:rsidR="00B928FF" w:rsidRPr="00DC4017">
        <w:rPr>
          <w:rFonts w:ascii="Arial" w:hAnsi="Arial"/>
          <w:color w:val="auto"/>
          <w:sz w:val="22"/>
          <w:lang w:val="es-ES"/>
        </w:rPr>
        <w:t xml:space="preserve"> después de la COP14. Los </w:t>
      </w:r>
      <w:r w:rsidR="00B05EB3" w:rsidRPr="00DC4017">
        <w:rPr>
          <w:rFonts w:ascii="Arial" w:hAnsi="Arial" w:cs="Arial"/>
          <w:color w:val="auto"/>
          <w:sz w:val="22"/>
          <w:szCs w:val="22"/>
          <w:lang w:val="es-ES"/>
        </w:rPr>
        <w:t>ajustes</w:t>
      </w:r>
      <w:r w:rsidR="00DD603A" w:rsidRPr="00DC4017">
        <w:rPr>
          <w:rFonts w:ascii="Arial" w:hAnsi="Arial"/>
          <w:color w:val="auto"/>
          <w:sz w:val="22"/>
          <w:lang w:val="es-ES"/>
        </w:rPr>
        <w:t xml:space="preserve"> para la nueva </w:t>
      </w:r>
      <w:r w:rsidR="00DD603A" w:rsidRPr="00DC4017">
        <w:rPr>
          <w:rFonts w:ascii="Arial" w:hAnsi="Arial" w:cs="Arial"/>
          <w:sz w:val="22"/>
          <w:szCs w:val="22"/>
          <w:lang w:val="es-ES"/>
        </w:rPr>
        <w:t xml:space="preserve">página web se basan en los resultados de dos encuestas realizadas en 2021 entre el personal de la Secretaría y todos los puntos focales de los instrumentos de la Familia CMS. </w:t>
      </w:r>
    </w:p>
    <w:p w14:paraId="417FA970" w14:textId="77777777" w:rsidR="007B383F" w:rsidRPr="00DC4017" w:rsidRDefault="007B383F" w:rsidP="00772A34">
      <w:pPr>
        <w:pStyle w:val="ListParagraph"/>
        <w:spacing w:after="0" w:line="240" w:lineRule="auto"/>
        <w:ind w:left="547" w:hanging="547"/>
        <w:rPr>
          <w:rFonts w:cs="Arial"/>
          <w:lang w:val="es-ES"/>
        </w:rPr>
      </w:pPr>
    </w:p>
    <w:p w14:paraId="33C54226" w14:textId="759862AD" w:rsidR="00FA1225" w:rsidRPr="00DC4017" w:rsidRDefault="003116AD" w:rsidP="00772A34">
      <w:pPr>
        <w:pStyle w:val="Default"/>
        <w:numPr>
          <w:ilvl w:val="0"/>
          <w:numId w:val="10"/>
        </w:numPr>
        <w:ind w:left="547" w:hanging="547"/>
        <w:jc w:val="both"/>
        <w:rPr>
          <w:color w:val="auto"/>
          <w:u w:val="single"/>
          <w:lang w:val="es-ES"/>
        </w:rPr>
      </w:pPr>
      <w:r w:rsidRPr="00DC4017">
        <w:rPr>
          <w:rFonts w:ascii="Arial" w:hAnsi="Arial" w:cs="Arial"/>
          <w:sz w:val="22"/>
          <w:szCs w:val="22"/>
          <w:lang w:val="es-ES"/>
        </w:rPr>
        <w:t xml:space="preserve">La Unidad IMCA requiere un mayor fortalecimiento, tanto en términos de presupuesto </w:t>
      </w:r>
      <w:r w:rsidR="00655FA7" w:rsidRPr="00DC4017">
        <w:rPr>
          <w:rFonts w:ascii="Arial" w:hAnsi="Arial"/>
          <w:color w:val="auto"/>
          <w:sz w:val="22"/>
          <w:lang w:val="es-ES"/>
        </w:rPr>
        <w:t>como de personal</w:t>
      </w:r>
      <w:r w:rsidRPr="00DC4017">
        <w:rPr>
          <w:rFonts w:ascii="Arial" w:hAnsi="Arial" w:cs="Arial"/>
          <w:color w:val="auto"/>
          <w:sz w:val="22"/>
          <w:szCs w:val="22"/>
          <w:lang w:val="es-ES"/>
        </w:rPr>
        <w:t>;</w:t>
      </w:r>
      <w:r w:rsidRPr="00DC4017">
        <w:rPr>
          <w:rFonts w:ascii="Arial" w:hAnsi="Arial"/>
          <w:color w:val="auto"/>
          <w:sz w:val="22"/>
          <w:lang w:val="es-ES"/>
        </w:rPr>
        <w:t xml:space="preserve"> las propuestas</w:t>
      </w:r>
      <w:r w:rsidR="00D92B1E" w:rsidRPr="00DC4017">
        <w:rPr>
          <w:rFonts w:ascii="Arial" w:hAnsi="Arial" w:cs="Arial"/>
          <w:color w:val="auto"/>
          <w:sz w:val="22"/>
          <w:szCs w:val="22"/>
          <w:lang w:val="es-ES"/>
        </w:rPr>
        <w:t xml:space="preserve"> para ello</w:t>
      </w:r>
      <w:r w:rsidRPr="00DC4017">
        <w:rPr>
          <w:rFonts w:ascii="Arial" w:hAnsi="Arial"/>
          <w:color w:val="auto"/>
          <w:sz w:val="22"/>
          <w:lang w:val="es-ES"/>
        </w:rPr>
        <w:t xml:space="preserve"> se incluyen en la nueva propuesta de presupuesto para 2024-2026 (</w:t>
      </w:r>
      <w:hyperlink r:id="rId21" w:history="1">
        <w:r w:rsidR="007B383F" w:rsidRPr="00DC4017">
          <w:rPr>
            <w:rStyle w:val="Hyperlink"/>
            <w:rFonts w:ascii="Arial" w:hAnsi="Arial"/>
            <w:color w:val="auto"/>
            <w:sz w:val="22"/>
            <w:lang w:val="es-ES"/>
          </w:rPr>
          <w:t>UNEP/CMS/COP14/Doc.13.2</w:t>
        </w:r>
      </w:hyperlink>
      <w:r w:rsidR="006835EB" w:rsidRPr="00DC4017">
        <w:rPr>
          <w:rFonts w:ascii="Arial" w:hAnsi="Arial"/>
          <w:color w:val="auto"/>
          <w:sz w:val="22"/>
          <w:lang w:val="es-ES"/>
        </w:rPr>
        <w:t>)</w:t>
      </w:r>
      <w:r w:rsidR="007B383F" w:rsidRPr="00DC4017">
        <w:rPr>
          <w:rFonts w:ascii="Arial" w:hAnsi="Arial"/>
          <w:color w:val="auto"/>
          <w:sz w:val="22"/>
          <w:lang w:val="es-ES"/>
        </w:rPr>
        <w:t>.</w:t>
      </w:r>
    </w:p>
    <w:p w14:paraId="4546491C" w14:textId="77777777" w:rsidR="00FA1225" w:rsidRPr="00DC4017" w:rsidRDefault="00FA1225" w:rsidP="00772A34">
      <w:pPr>
        <w:pStyle w:val="Default"/>
        <w:ind w:left="547" w:hanging="547"/>
        <w:jc w:val="both"/>
        <w:rPr>
          <w:rFonts w:cs="Arial"/>
          <w:u w:val="single"/>
          <w:lang w:val="es-ES"/>
        </w:rPr>
      </w:pPr>
    </w:p>
    <w:p w14:paraId="7BD65DB3" w14:textId="4EAA0DB5" w:rsidR="0099794D" w:rsidRPr="00DC4017" w:rsidRDefault="004333AD" w:rsidP="00772A34">
      <w:pPr>
        <w:pStyle w:val="Default"/>
        <w:numPr>
          <w:ilvl w:val="0"/>
          <w:numId w:val="10"/>
        </w:numPr>
        <w:ind w:left="547" w:hanging="547"/>
        <w:jc w:val="both"/>
        <w:rPr>
          <w:color w:val="auto"/>
          <w:u w:val="single"/>
          <w:lang w:val="es-ES"/>
        </w:rPr>
      </w:pPr>
      <w:r w:rsidRPr="00DC4017">
        <w:rPr>
          <w:rFonts w:ascii="Arial" w:hAnsi="Arial" w:cs="Arial"/>
          <w:sz w:val="22"/>
          <w:szCs w:val="22"/>
          <w:lang w:val="es-ES"/>
        </w:rPr>
        <w:t xml:space="preserve">En términos de la estructura organizativa, tras dos </w:t>
      </w:r>
      <w:r w:rsidRPr="00DC4017">
        <w:rPr>
          <w:rFonts w:ascii="Arial" w:hAnsi="Arial"/>
          <w:color w:val="auto"/>
          <w:sz w:val="22"/>
          <w:lang w:val="es-ES"/>
        </w:rPr>
        <w:t xml:space="preserve">años de disposiciones temporales en 2020 y 2021, </w:t>
      </w:r>
      <w:r w:rsidR="001A2B35" w:rsidRPr="00DC4017">
        <w:rPr>
          <w:rFonts w:ascii="Arial" w:hAnsi="Arial" w:cs="Arial"/>
          <w:color w:val="auto"/>
          <w:sz w:val="22"/>
          <w:szCs w:val="22"/>
          <w:lang w:val="es-ES"/>
        </w:rPr>
        <w:t>a principios de 2022</w:t>
      </w:r>
      <w:r w:rsidR="006D1EBA" w:rsidRPr="00DC4017">
        <w:rPr>
          <w:rFonts w:ascii="Arial" w:hAnsi="Arial"/>
          <w:color w:val="auto"/>
          <w:sz w:val="22"/>
          <w:lang w:val="es-ES"/>
        </w:rPr>
        <w:t xml:space="preserve"> se contrató a un oficial de Información Pública </w:t>
      </w:r>
      <w:r w:rsidR="001A2B35" w:rsidRPr="00DC4017">
        <w:rPr>
          <w:rFonts w:ascii="Arial" w:hAnsi="Arial" w:cs="Arial"/>
          <w:color w:val="auto"/>
          <w:sz w:val="22"/>
          <w:szCs w:val="22"/>
          <w:lang w:val="es-ES"/>
        </w:rPr>
        <w:t xml:space="preserve">(nivel P3) </w:t>
      </w:r>
      <w:r w:rsidR="001A2B35" w:rsidRPr="00DC4017">
        <w:rPr>
          <w:rFonts w:ascii="Arial" w:hAnsi="Arial"/>
          <w:color w:val="auto"/>
          <w:sz w:val="22"/>
          <w:lang w:val="es-ES"/>
        </w:rPr>
        <w:t xml:space="preserve">para dirigir la coordinación de la unidad. </w:t>
      </w:r>
    </w:p>
    <w:p w14:paraId="28EBF4DD" w14:textId="77777777" w:rsidR="008A6017" w:rsidRPr="00DC4017" w:rsidRDefault="008A6017" w:rsidP="00772A34">
      <w:pPr>
        <w:pStyle w:val="Default"/>
        <w:ind w:left="547" w:hanging="547"/>
        <w:jc w:val="both"/>
        <w:rPr>
          <w:rFonts w:cs="Arial"/>
          <w:u w:val="single"/>
          <w:lang w:val="es-ES"/>
        </w:rPr>
      </w:pPr>
    </w:p>
    <w:p w14:paraId="75D7B06C" w14:textId="67AFCEF2" w:rsidR="0073233F" w:rsidRPr="00DC4017" w:rsidRDefault="0073233F" w:rsidP="00772A34">
      <w:pPr>
        <w:spacing w:after="0" w:line="240" w:lineRule="auto"/>
        <w:ind w:left="547" w:hanging="547"/>
        <w:rPr>
          <w:rFonts w:cs="Arial"/>
          <w:u w:val="single"/>
          <w:lang w:val="es-ES"/>
        </w:rPr>
      </w:pPr>
      <w:r w:rsidRPr="00DC4017">
        <w:rPr>
          <w:rFonts w:cs="Arial"/>
          <w:u w:val="single"/>
          <w:lang w:val="es-ES"/>
        </w:rPr>
        <w:t>Acciones recomendadas</w:t>
      </w:r>
    </w:p>
    <w:p w14:paraId="6E98267A" w14:textId="77777777" w:rsidR="0073233F" w:rsidRPr="00DC4017" w:rsidRDefault="0073233F" w:rsidP="00772A34">
      <w:pPr>
        <w:spacing w:after="0" w:line="240" w:lineRule="auto"/>
        <w:ind w:left="547" w:hanging="547"/>
        <w:rPr>
          <w:rFonts w:cs="Arial"/>
          <w:u w:val="single"/>
          <w:lang w:val="es-ES"/>
        </w:rPr>
      </w:pPr>
    </w:p>
    <w:p w14:paraId="5E091147" w14:textId="1AC5CE15" w:rsidR="0073233F" w:rsidRPr="00DC4017" w:rsidRDefault="0073233F" w:rsidP="00772A34">
      <w:pPr>
        <w:pStyle w:val="Default"/>
        <w:numPr>
          <w:ilvl w:val="0"/>
          <w:numId w:val="10"/>
        </w:numPr>
        <w:ind w:left="547" w:hanging="547"/>
        <w:jc w:val="both"/>
        <w:rPr>
          <w:rFonts w:ascii="Arial" w:hAnsi="Arial" w:cs="Arial"/>
          <w:sz w:val="22"/>
          <w:szCs w:val="22"/>
          <w:lang w:val="es-ES"/>
        </w:rPr>
      </w:pPr>
      <w:r w:rsidRPr="00DC4017">
        <w:rPr>
          <w:rFonts w:ascii="Arial" w:hAnsi="Arial" w:cs="Arial"/>
          <w:sz w:val="22"/>
          <w:szCs w:val="22"/>
          <w:lang w:val="es-ES"/>
        </w:rPr>
        <w:t>Se recomienda a la Conferencia de las Partes:</w:t>
      </w:r>
    </w:p>
    <w:p w14:paraId="1CE8AD7B" w14:textId="77777777" w:rsidR="0073233F" w:rsidRPr="00DC4017" w:rsidRDefault="0073233F" w:rsidP="00772A34">
      <w:pPr>
        <w:spacing w:after="0" w:line="240" w:lineRule="auto"/>
        <w:ind w:left="547" w:hanging="547"/>
        <w:rPr>
          <w:lang w:val="es-ES"/>
        </w:rPr>
      </w:pPr>
    </w:p>
    <w:p w14:paraId="2554159C" w14:textId="078A3F02" w:rsidR="0073233F" w:rsidRPr="00DC4017" w:rsidRDefault="0073233F" w:rsidP="00CC521A">
      <w:pPr>
        <w:numPr>
          <w:ilvl w:val="0"/>
          <w:numId w:val="6"/>
        </w:numPr>
        <w:autoSpaceDN w:val="0"/>
        <w:spacing w:after="0" w:line="240" w:lineRule="auto"/>
        <w:ind w:left="900" w:hanging="360"/>
        <w:jc w:val="both"/>
        <w:rPr>
          <w:rFonts w:cs="Arial"/>
          <w:lang w:val="es-ES"/>
        </w:rPr>
      </w:pPr>
      <w:r w:rsidRPr="00DC4017">
        <w:rPr>
          <w:rFonts w:cs="Arial"/>
          <w:lang w:val="es-ES"/>
        </w:rPr>
        <w:t>tom</w:t>
      </w:r>
      <w:r w:rsidR="00CD3DEE">
        <w:rPr>
          <w:rFonts w:cs="Arial"/>
          <w:lang w:val="es-ES"/>
        </w:rPr>
        <w:t>ar</w:t>
      </w:r>
      <w:r w:rsidRPr="00DC4017">
        <w:rPr>
          <w:rFonts w:cs="Arial"/>
          <w:lang w:val="es-ES"/>
        </w:rPr>
        <w:t xml:space="preserve"> nota del presente documento y formule las observaciones que considere oportunas;</w:t>
      </w:r>
    </w:p>
    <w:p w14:paraId="7F0F9173" w14:textId="77777777" w:rsidR="00A5561A" w:rsidRPr="00DC4017" w:rsidRDefault="00A5561A" w:rsidP="00CC521A">
      <w:pPr>
        <w:autoSpaceDN w:val="0"/>
        <w:spacing w:after="0" w:line="240" w:lineRule="auto"/>
        <w:ind w:left="900" w:hanging="360"/>
        <w:jc w:val="both"/>
        <w:rPr>
          <w:rFonts w:cs="Arial"/>
          <w:lang w:val="es-ES"/>
        </w:rPr>
      </w:pPr>
    </w:p>
    <w:p w14:paraId="1F69698F" w14:textId="00CC0A44" w:rsidR="00555D08" w:rsidRPr="00DC4017" w:rsidRDefault="003F4412" w:rsidP="00CC521A">
      <w:pPr>
        <w:numPr>
          <w:ilvl w:val="0"/>
          <w:numId w:val="6"/>
        </w:numPr>
        <w:autoSpaceDN w:val="0"/>
        <w:spacing w:after="0" w:line="240" w:lineRule="auto"/>
        <w:ind w:left="900" w:hanging="360"/>
        <w:jc w:val="both"/>
        <w:rPr>
          <w:rFonts w:cs="Arial"/>
          <w:lang w:val="es-ES"/>
        </w:rPr>
      </w:pPr>
      <w:r w:rsidRPr="00DC4017">
        <w:rPr>
          <w:lang w:val="es-ES"/>
        </w:rPr>
        <w:t>adopt</w:t>
      </w:r>
      <w:r w:rsidR="00CD3DEE">
        <w:rPr>
          <w:lang w:val="es-ES"/>
        </w:rPr>
        <w:t>ar</w:t>
      </w:r>
      <w:r w:rsidRPr="00DC4017">
        <w:rPr>
          <w:lang w:val="es-ES"/>
        </w:rPr>
        <w:t xml:space="preserve"> la Decisión que figura en el Anexo 1 del presente documento;</w:t>
      </w:r>
    </w:p>
    <w:p w14:paraId="03AD5551" w14:textId="77777777" w:rsidR="00AD1713" w:rsidRPr="00DC4017" w:rsidRDefault="00AD1713" w:rsidP="00CC521A">
      <w:pPr>
        <w:autoSpaceDN w:val="0"/>
        <w:spacing w:after="0" w:line="240" w:lineRule="auto"/>
        <w:ind w:left="900" w:hanging="360"/>
        <w:jc w:val="both"/>
        <w:rPr>
          <w:rFonts w:cs="Arial"/>
          <w:lang w:val="es-ES"/>
        </w:rPr>
      </w:pPr>
    </w:p>
    <w:p w14:paraId="21F30902" w14:textId="050B1F41" w:rsidR="00AD1713" w:rsidRPr="00DC4017" w:rsidRDefault="00555D08" w:rsidP="00CC521A">
      <w:pPr>
        <w:numPr>
          <w:ilvl w:val="0"/>
          <w:numId w:val="6"/>
        </w:numPr>
        <w:autoSpaceDN w:val="0"/>
        <w:spacing w:after="0" w:line="240" w:lineRule="auto"/>
        <w:ind w:left="900" w:hanging="360"/>
        <w:jc w:val="both"/>
        <w:rPr>
          <w:rFonts w:cs="Arial"/>
          <w:lang w:val="es-ES"/>
        </w:rPr>
      </w:pPr>
      <w:r w:rsidRPr="00DC4017">
        <w:rPr>
          <w:rFonts w:cs="Arial"/>
          <w:lang w:val="es-ES"/>
        </w:rPr>
        <w:t>tom</w:t>
      </w:r>
      <w:r w:rsidR="00CD3DEE">
        <w:rPr>
          <w:rFonts w:cs="Arial"/>
          <w:lang w:val="es-ES"/>
        </w:rPr>
        <w:t>ar</w:t>
      </w:r>
      <w:r w:rsidRPr="00DC4017">
        <w:rPr>
          <w:rFonts w:cs="Arial"/>
          <w:lang w:val="es-ES"/>
        </w:rPr>
        <w:t xml:space="preserve"> nota de la «</w:t>
      </w:r>
      <w:hyperlink r:id="rId22" w:history="1">
        <w:r w:rsidR="00140354" w:rsidRPr="00DC4017">
          <w:rPr>
            <w:rStyle w:val="Hyperlink"/>
            <w:rFonts w:cs="Arial"/>
            <w:lang w:val="es-ES"/>
          </w:rPr>
          <w:t>Evaluación Estratégica de las Comunicaciones</w:t>
        </w:r>
      </w:hyperlink>
      <w:r w:rsidRPr="00DC4017">
        <w:rPr>
          <w:rFonts w:cs="Arial"/>
          <w:lang w:val="es-ES"/>
        </w:rPr>
        <w:t>», presentada como Documento Informativo 19.</w:t>
      </w:r>
    </w:p>
    <w:p w14:paraId="6AC3060E" w14:textId="77777777" w:rsidR="00137609" w:rsidRPr="00DC4017" w:rsidRDefault="00137609" w:rsidP="00772A34">
      <w:pPr>
        <w:spacing w:after="0" w:line="240" w:lineRule="auto"/>
        <w:ind w:left="547" w:hanging="547"/>
        <w:jc w:val="both"/>
        <w:rPr>
          <w:iCs/>
          <w:lang w:val="es-ES"/>
        </w:rPr>
      </w:pPr>
    </w:p>
    <w:p w14:paraId="3633BEC2" w14:textId="77777777" w:rsidR="00CC521A" w:rsidRPr="00DC4017" w:rsidRDefault="00CC521A">
      <w:pPr>
        <w:rPr>
          <w:lang w:val="es-ES"/>
        </w:rPr>
        <w:sectPr w:rsidR="00CC521A" w:rsidRPr="00DC4017" w:rsidSect="00D93628">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516DDEEF" w14:textId="55BDEFD6" w:rsidR="00A5561A" w:rsidRPr="00DC4017" w:rsidRDefault="00A5561A">
      <w:pPr>
        <w:rPr>
          <w:lang w:val="es-ES"/>
        </w:rPr>
      </w:pPr>
    </w:p>
    <w:p w14:paraId="53740A77" w14:textId="77777777" w:rsidR="004F4488" w:rsidRPr="00DC4017" w:rsidRDefault="004F4488" w:rsidP="00CC521A">
      <w:pPr>
        <w:keepNext/>
        <w:spacing w:after="0" w:line="240" w:lineRule="auto"/>
        <w:jc w:val="right"/>
        <w:outlineLvl w:val="2"/>
        <w:rPr>
          <w:rFonts w:eastAsia="Calibri" w:cs="Arial"/>
          <w:b/>
          <w:bCs/>
          <w:lang w:val="es-ES"/>
        </w:rPr>
      </w:pPr>
      <w:r w:rsidRPr="00DC4017">
        <w:rPr>
          <w:rFonts w:eastAsia="Calibri" w:cs="Arial"/>
          <w:b/>
          <w:bCs/>
          <w:lang w:val="es-ES"/>
        </w:rPr>
        <w:t>ANEXO 1</w:t>
      </w:r>
    </w:p>
    <w:p w14:paraId="6DA656FA" w14:textId="77777777" w:rsidR="00CC521A" w:rsidRPr="00DC4017" w:rsidRDefault="00CC521A" w:rsidP="00CC521A">
      <w:pPr>
        <w:keepNext/>
        <w:spacing w:after="0" w:line="240" w:lineRule="auto"/>
        <w:jc w:val="right"/>
        <w:outlineLvl w:val="2"/>
        <w:rPr>
          <w:rFonts w:eastAsia="Calibri" w:cs="Arial"/>
          <w:b/>
          <w:bCs/>
          <w:lang w:val="es-ES"/>
        </w:rPr>
      </w:pPr>
    </w:p>
    <w:p w14:paraId="24FECFDF" w14:textId="77777777" w:rsidR="00CC521A" w:rsidRPr="00DC4017" w:rsidRDefault="00CC521A" w:rsidP="00CC521A">
      <w:pPr>
        <w:keepNext/>
        <w:spacing w:after="0" w:line="240" w:lineRule="auto"/>
        <w:jc w:val="right"/>
        <w:outlineLvl w:val="2"/>
        <w:rPr>
          <w:rFonts w:eastAsia="Calibri" w:cs="Arial"/>
          <w:b/>
          <w:bCs/>
          <w:lang w:val="es-ES"/>
        </w:rPr>
      </w:pPr>
    </w:p>
    <w:p w14:paraId="25C24F20" w14:textId="77777777" w:rsidR="004F4488" w:rsidRDefault="004F4488" w:rsidP="00CC521A">
      <w:pPr>
        <w:spacing w:after="0" w:line="240" w:lineRule="auto"/>
        <w:jc w:val="center"/>
        <w:rPr>
          <w:rFonts w:eastAsia="Calibri" w:cs="Arial"/>
          <w:lang w:val="es-ES"/>
        </w:rPr>
      </w:pPr>
      <w:r w:rsidRPr="00DC4017">
        <w:rPr>
          <w:rFonts w:eastAsia="Calibri" w:cs="Arial"/>
          <w:lang w:val="es-ES"/>
        </w:rPr>
        <w:t>PROYECTOS DE DECISIONES</w:t>
      </w:r>
    </w:p>
    <w:p w14:paraId="10CB986D" w14:textId="77777777" w:rsidR="00CD3DEE" w:rsidRPr="00DC4017" w:rsidRDefault="00CD3DEE" w:rsidP="00CC521A">
      <w:pPr>
        <w:spacing w:after="0" w:line="240" w:lineRule="auto"/>
        <w:jc w:val="center"/>
        <w:rPr>
          <w:rFonts w:eastAsia="Calibri" w:cs="Arial"/>
          <w:lang w:val="es-ES"/>
        </w:rPr>
      </w:pPr>
    </w:p>
    <w:p w14:paraId="2A623493" w14:textId="73CACAAC" w:rsidR="004F4488" w:rsidRPr="00DC4017" w:rsidRDefault="004F4488" w:rsidP="00CC521A">
      <w:pPr>
        <w:keepNext/>
        <w:spacing w:after="0" w:line="240" w:lineRule="auto"/>
        <w:jc w:val="center"/>
        <w:outlineLvl w:val="3"/>
        <w:rPr>
          <w:rFonts w:eastAsia="Calibri" w:cs="Arial"/>
          <w:b/>
          <w:bCs/>
          <w:lang w:val="es-ES"/>
        </w:rPr>
      </w:pPr>
      <w:r w:rsidRPr="00DC4017">
        <w:rPr>
          <w:rFonts w:eastAsia="Calibri" w:cs="Arial"/>
          <w:b/>
          <w:bCs/>
          <w:lang w:val="es-ES"/>
        </w:rPr>
        <w:t>GESTIÓN DE LA COMUNICACIÓN Y LA INFORMACIÓN</w:t>
      </w:r>
    </w:p>
    <w:p w14:paraId="51C3970F" w14:textId="77777777" w:rsidR="004F4488" w:rsidRPr="00DC4017" w:rsidRDefault="004F4488" w:rsidP="00CC521A">
      <w:pPr>
        <w:spacing w:after="0" w:line="240" w:lineRule="auto"/>
        <w:jc w:val="both"/>
        <w:rPr>
          <w:rFonts w:eastAsia="Calibri" w:cs="Arial"/>
          <w:lang w:val="es-ES"/>
        </w:rPr>
      </w:pPr>
    </w:p>
    <w:p w14:paraId="5786FEB4" w14:textId="77777777" w:rsidR="004F4488" w:rsidRPr="00DC4017" w:rsidRDefault="004F4488" w:rsidP="00CC521A">
      <w:pPr>
        <w:spacing w:after="0" w:line="240" w:lineRule="auto"/>
        <w:ind w:left="360"/>
        <w:jc w:val="both"/>
        <w:rPr>
          <w:rFonts w:eastAsia="Calibri" w:cs="Arial"/>
          <w:lang w:val="es-ES"/>
        </w:rPr>
      </w:pPr>
    </w:p>
    <w:p w14:paraId="70E61A93" w14:textId="77777777" w:rsidR="004F4488" w:rsidRPr="00DC4017" w:rsidRDefault="004F4488" w:rsidP="00CC521A">
      <w:pPr>
        <w:keepNext/>
        <w:spacing w:after="0" w:line="240" w:lineRule="auto"/>
        <w:jc w:val="both"/>
        <w:outlineLvl w:val="4"/>
        <w:rPr>
          <w:rFonts w:eastAsia="Calibri" w:cs="Arial"/>
          <w:b/>
          <w:bCs/>
          <w:i/>
          <w:iCs/>
          <w:lang w:val="es-ES"/>
        </w:rPr>
      </w:pPr>
      <w:r w:rsidRPr="00DC4017">
        <w:rPr>
          <w:rFonts w:eastAsia="Calibri" w:cs="Arial"/>
          <w:b/>
          <w:bCs/>
          <w:i/>
          <w:iCs/>
          <w:lang w:val="es-ES"/>
        </w:rPr>
        <w:t>Dirigido a la Secretaría</w:t>
      </w:r>
    </w:p>
    <w:p w14:paraId="46967BC7" w14:textId="77777777" w:rsidR="004F4488" w:rsidRPr="00DC4017" w:rsidRDefault="004F4488" w:rsidP="00CC521A">
      <w:pPr>
        <w:spacing w:after="0" w:line="240" w:lineRule="auto"/>
        <w:ind w:left="360"/>
        <w:jc w:val="both"/>
        <w:rPr>
          <w:rFonts w:eastAsia="Calibri" w:cs="Arial"/>
          <w:lang w:val="es-ES"/>
        </w:rPr>
      </w:pPr>
    </w:p>
    <w:p w14:paraId="5C14ACE5" w14:textId="25EF0129" w:rsidR="004F4488" w:rsidRPr="00DC4017" w:rsidRDefault="004F4488" w:rsidP="00CC521A">
      <w:pPr>
        <w:spacing w:after="0" w:line="240" w:lineRule="auto"/>
        <w:ind w:left="851" w:hanging="851"/>
        <w:jc w:val="both"/>
        <w:rPr>
          <w:rFonts w:eastAsia="Calibri" w:cs="Arial"/>
          <w:lang w:val="es-ES"/>
        </w:rPr>
      </w:pPr>
      <w:r w:rsidRPr="00DC4017">
        <w:rPr>
          <w:rFonts w:eastAsia="Calibri" w:cs="Arial"/>
          <w:lang w:val="es-ES"/>
        </w:rPr>
        <w:t>14.AA</w:t>
      </w:r>
      <w:r w:rsidRPr="00DC4017">
        <w:rPr>
          <w:rFonts w:eastAsia="Calibri" w:cs="Arial"/>
          <w:lang w:val="es-ES"/>
        </w:rPr>
        <w:tab/>
        <w:t xml:space="preserve">La Secretaría elaborará, en función de la disponibilidad de recursos externos, un plan para las recomendaciones que proporciona la «Evaluación Estratégica de las Comunicaciones» y, en la medida de lo posible, trabajará para su </w:t>
      </w:r>
      <w:r w:rsidR="001F4D28" w:rsidRPr="00DC4017">
        <w:rPr>
          <w:rFonts w:eastAsia="Calibri" w:cs="Arial"/>
          <w:lang w:val="es-ES"/>
        </w:rPr>
        <w:t>implementación.</w:t>
      </w:r>
    </w:p>
    <w:p w14:paraId="78C2FC9B" w14:textId="77777777" w:rsidR="005824C8" w:rsidRPr="00DC4017" w:rsidRDefault="005824C8" w:rsidP="00CC521A">
      <w:pPr>
        <w:spacing w:after="0" w:line="240" w:lineRule="auto"/>
        <w:contextualSpacing/>
        <w:jc w:val="both"/>
        <w:rPr>
          <w:lang w:val="es-ES"/>
        </w:rPr>
      </w:pPr>
    </w:p>
    <w:p w14:paraId="407B258F" w14:textId="77777777" w:rsidR="005824C8" w:rsidRPr="00DC4017" w:rsidRDefault="005824C8" w:rsidP="00CC521A">
      <w:pPr>
        <w:keepNext/>
        <w:spacing w:after="0" w:line="240" w:lineRule="auto"/>
        <w:jc w:val="both"/>
        <w:outlineLvl w:val="4"/>
        <w:rPr>
          <w:rFonts w:eastAsia="Calibri" w:cs="Arial"/>
          <w:b/>
          <w:bCs/>
          <w:i/>
          <w:iCs/>
          <w:lang w:val="es-ES"/>
        </w:rPr>
      </w:pPr>
      <w:r w:rsidRPr="00DC4017">
        <w:rPr>
          <w:rFonts w:eastAsia="Calibri" w:cs="Arial"/>
          <w:b/>
          <w:bCs/>
          <w:i/>
          <w:iCs/>
          <w:lang w:val="es-ES"/>
        </w:rPr>
        <w:t>Dirigido a las Partes</w:t>
      </w:r>
    </w:p>
    <w:p w14:paraId="4F5CB2DE" w14:textId="77777777" w:rsidR="005824C8" w:rsidRPr="00DC4017" w:rsidRDefault="005824C8" w:rsidP="00CC521A">
      <w:pPr>
        <w:spacing w:after="0" w:line="240" w:lineRule="auto"/>
        <w:ind w:left="360"/>
        <w:jc w:val="both"/>
        <w:rPr>
          <w:rFonts w:eastAsia="Calibri" w:cs="Arial"/>
          <w:lang w:val="es-ES"/>
        </w:rPr>
      </w:pPr>
    </w:p>
    <w:p w14:paraId="154BE788" w14:textId="1D1EAECD" w:rsidR="005824C8" w:rsidRPr="00DC4017" w:rsidRDefault="005824C8" w:rsidP="00CC521A">
      <w:pPr>
        <w:spacing w:after="0" w:line="240" w:lineRule="auto"/>
        <w:ind w:left="851" w:hanging="851"/>
        <w:jc w:val="both"/>
        <w:rPr>
          <w:rFonts w:eastAsia="Calibri" w:cs="Arial"/>
          <w:lang w:val="es-ES"/>
        </w:rPr>
      </w:pPr>
      <w:r w:rsidRPr="00DC4017">
        <w:rPr>
          <w:rFonts w:eastAsia="Calibri" w:cs="Arial"/>
          <w:lang w:val="es-ES"/>
        </w:rPr>
        <w:t>14.BB</w:t>
      </w:r>
      <w:r w:rsidRPr="00DC4017">
        <w:rPr>
          <w:rFonts w:eastAsia="Calibri" w:cs="Arial"/>
          <w:lang w:val="es-ES"/>
        </w:rPr>
        <w:tab/>
        <w:t>Se anima a las Partes a ayudar en la implementación de las recomendaciones formuladas en la «Evaluación de la Comunicación Estratégica».</w:t>
      </w:r>
    </w:p>
    <w:p w14:paraId="636F08C2" w14:textId="77777777" w:rsidR="00137609" w:rsidRPr="00DC4017" w:rsidRDefault="00137609" w:rsidP="00CC521A">
      <w:pPr>
        <w:spacing w:after="0" w:line="240" w:lineRule="auto"/>
        <w:jc w:val="both"/>
        <w:rPr>
          <w:lang w:val="es-ES"/>
        </w:rPr>
      </w:pPr>
    </w:p>
    <w:sectPr w:rsidR="00137609" w:rsidRPr="00DC4017" w:rsidSect="00D93628">
      <w:headerReference w:type="first" r:id="rId29"/>
      <w:foot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B87CC" w14:textId="77777777" w:rsidR="003C50EA" w:rsidRDefault="003C50EA" w:rsidP="002E0DE9">
      <w:pPr>
        <w:spacing w:after="0" w:line="240" w:lineRule="auto"/>
      </w:pPr>
      <w:r>
        <w:separator/>
      </w:r>
    </w:p>
  </w:endnote>
  <w:endnote w:type="continuationSeparator" w:id="0">
    <w:p w14:paraId="0BA48281" w14:textId="77777777" w:rsidR="003C50EA" w:rsidRDefault="003C50EA" w:rsidP="002E0DE9">
      <w:pPr>
        <w:spacing w:after="0" w:line="240" w:lineRule="auto"/>
      </w:pPr>
      <w:r>
        <w:continuationSeparator/>
      </w:r>
    </w:p>
  </w:endnote>
  <w:endnote w:type="continuationNotice" w:id="1">
    <w:p w14:paraId="4E83A498" w14:textId="77777777" w:rsidR="003C50EA" w:rsidRDefault="003C5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25DA906D"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1F4D28">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3BDEC78D"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001F4D28">
          <w:rPr>
            <w:noProof/>
            <w:sz w:val="18"/>
            <w:szCs w:val="18"/>
          </w:rPr>
          <w:t>3</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1B2C" w14:textId="77777777" w:rsidR="006B76DF" w:rsidRDefault="006B76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623536"/>
      <w:docPartObj>
        <w:docPartGallery w:val="Page Numbers (Bottom of Page)"/>
        <w:docPartUnique/>
      </w:docPartObj>
    </w:sdtPr>
    <w:sdtEndPr>
      <w:rPr>
        <w:noProof/>
        <w:sz w:val="18"/>
        <w:szCs w:val="18"/>
      </w:rPr>
    </w:sdtEndPr>
    <w:sdtContent>
      <w:p w14:paraId="7E226422" w14:textId="57BA890E" w:rsidR="007D7F02" w:rsidRPr="007D7F02" w:rsidRDefault="007D7F02">
        <w:pPr>
          <w:pStyle w:val="Footer"/>
          <w:jc w:val="center"/>
          <w:rPr>
            <w:sz w:val="18"/>
            <w:szCs w:val="18"/>
          </w:rPr>
        </w:pPr>
        <w:r w:rsidRPr="007D7F02">
          <w:rPr>
            <w:sz w:val="18"/>
            <w:szCs w:val="18"/>
          </w:rPr>
          <w:fldChar w:fldCharType="begin"/>
        </w:r>
        <w:r w:rsidRPr="007D7F02">
          <w:rPr>
            <w:sz w:val="18"/>
            <w:szCs w:val="18"/>
          </w:rPr>
          <w:instrText xml:space="preserve"> PAGE   \* MERGEFORMAT </w:instrText>
        </w:r>
        <w:r w:rsidRPr="007D7F02">
          <w:rPr>
            <w:sz w:val="18"/>
            <w:szCs w:val="18"/>
          </w:rPr>
          <w:fldChar w:fldCharType="separate"/>
        </w:r>
        <w:r w:rsidR="001F4D28">
          <w:rPr>
            <w:noProof/>
            <w:sz w:val="18"/>
            <w:szCs w:val="18"/>
          </w:rPr>
          <w:t>5</w:t>
        </w:r>
        <w:r w:rsidRPr="007D7F0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6D93" w14:textId="77777777" w:rsidR="003C50EA" w:rsidRDefault="003C50EA" w:rsidP="002E0DE9">
      <w:pPr>
        <w:spacing w:after="0" w:line="240" w:lineRule="auto"/>
      </w:pPr>
      <w:r>
        <w:separator/>
      </w:r>
    </w:p>
  </w:footnote>
  <w:footnote w:type="continuationSeparator" w:id="0">
    <w:p w14:paraId="4B0F6729" w14:textId="77777777" w:rsidR="003C50EA" w:rsidRDefault="003C50EA" w:rsidP="002E0DE9">
      <w:pPr>
        <w:spacing w:after="0" w:line="240" w:lineRule="auto"/>
      </w:pPr>
      <w:r>
        <w:continuationSeparator/>
      </w:r>
    </w:p>
  </w:footnote>
  <w:footnote w:type="continuationNotice" w:id="1">
    <w:p w14:paraId="68C3D007" w14:textId="77777777" w:rsidR="003C50EA" w:rsidRDefault="003C50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B746" w14:textId="206523D1" w:rsidR="00FC3402" w:rsidRPr="00FC3402" w:rsidRDefault="002E0DE9" w:rsidP="002E0DE9">
    <w:pPr>
      <w:pStyle w:val="Header"/>
      <w:pBdr>
        <w:bottom w:val="single" w:sz="4" w:space="1" w:color="auto"/>
      </w:pBdr>
      <w:rPr>
        <w:rFonts w:eastAsia="Times New Roman" w:cs="Arial"/>
        <w:i/>
        <w:sz w:val="18"/>
        <w:szCs w:val="18"/>
        <w:lang w:val="en-GB"/>
      </w:rPr>
    </w:pPr>
    <w:r w:rsidRPr="001C6C56">
      <w:rPr>
        <w:rFonts w:eastAsia="Times New Roman" w:cs="Arial"/>
        <w:i/>
        <w:sz w:val="18"/>
        <w:szCs w:val="18"/>
        <w:lang w:val="es-ES"/>
      </w:rPr>
      <w:t>UNEP/CMS/COP14/Doc.19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51055C97"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s-ES"/>
      </w:rPr>
      <w:t>UNEP/CMS/COP14/Doc.19/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CC59" w14:textId="77777777" w:rsidR="00EE00BA" w:rsidRPr="00002A97" w:rsidRDefault="00EE00BA" w:rsidP="00EE00BA">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17E3485A" wp14:editId="055B6C41">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1F54BF00" wp14:editId="11301E1F">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7E004ACC" wp14:editId="6C427582">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Description automatically generated"/>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6A16CC1" w14:textId="77777777" w:rsidR="00EE00BA" w:rsidRDefault="00EE00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9706" w14:textId="631BC17F" w:rsidR="00CC521A" w:rsidRPr="00FC3402" w:rsidRDefault="00CC521A" w:rsidP="00CC521A">
    <w:pPr>
      <w:pStyle w:val="Header"/>
      <w:pBdr>
        <w:bottom w:val="single" w:sz="4" w:space="1" w:color="auto"/>
      </w:pBdr>
      <w:jc w:val="right"/>
      <w:rPr>
        <w:rFonts w:eastAsia="Times New Roman" w:cs="Arial"/>
        <w:i/>
        <w:sz w:val="18"/>
        <w:szCs w:val="18"/>
        <w:lang w:val="en-GB"/>
      </w:rPr>
    </w:pPr>
    <w:r w:rsidRPr="001C6C56">
      <w:rPr>
        <w:rFonts w:eastAsia="Times New Roman" w:cs="Arial"/>
        <w:i/>
        <w:sz w:val="18"/>
        <w:szCs w:val="18"/>
        <w:lang w:val="es-ES"/>
      </w:rPr>
      <w:t>UNEP/CMS/COP14/Doc.19/Anexo</w:t>
    </w:r>
  </w:p>
  <w:p w14:paraId="52A5EE31" w14:textId="77777777" w:rsidR="00CC521A" w:rsidRDefault="00CC5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0C2B3C"/>
    <w:multiLevelType w:val="hybridMultilevel"/>
    <w:tmpl w:val="CE424D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C5C3A71"/>
    <w:multiLevelType w:val="hybridMultilevel"/>
    <w:tmpl w:val="853CD46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759434">
    <w:abstractNumId w:val="6"/>
  </w:num>
  <w:num w:numId="2" w16cid:durableId="1269123820">
    <w:abstractNumId w:val="9"/>
  </w:num>
  <w:num w:numId="3" w16cid:durableId="640303156">
    <w:abstractNumId w:val="0"/>
  </w:num>
  <w:num w:numId="4" w16cid:durableId="17158852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536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131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426988">
    <w:abstractNumId w:val="4"/>
  </w:num>
  <w:num w:numId="8" w16cid:durableId="167260458">
    <w:abstractNumId w:val="11"/>
  </w:num>
  <w:num w:numId="9" w16cid:durableId="1013383342">
    <w:abstractNumId w:val="7"/>
  </w:num>
  <w:num w:numId="10" w16cid:durableId="473521825">
    <w:abstractNumId w:val="1"/>
  </w:num>
  <w:num w:numId="11" w16cid:durableId="790054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1436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7C1B"/>
    <w:rsid w:val="00007CA4"/>
    <w:rsid w:val="00015DA0"/>
    <w:rsid w:val="00016036"/>
    <w:rsid w:val="00017D1E"/>
    <w:rsid w:val="000221B4"/>
    <w:rsid w:val="00031F57"/>
    <w:rsid w:val="000539AB"/>
    <w:rsid w:val="00055420"/>
    <w:rsid w:val="0006251B"/>
    <w:rsid w:val="00063C40"/>
    <w:rsid w:val="00065143"/>
    <w:rsid w:val="000661B2"/>
    <w:rsid w:val="00071418"/>
    <w:rsid w:val="00081045"/>
    <w:rsid w:val="000931E7"/>
    <w:rsid w:val="000953F4"/>
    <w:rsid w:val="00095AED"/>
    <w:rsid w:val="000A0D35"/>
    <w:rsid w:val="000A7361"/>
    <w:rsid w:val="000B3CDB"/>
    <w:rsid w:val="000D2BC2"/>
    <w:rsid w:val="000D3396"/>
    <w:rsid w:val="000E464A"/>
    <w:rsid w:val="000E62B8"/>
    <w:rsid w:val="000E657A"/>
    <w:rsid w:val="00103C7C"/>
    <w:rsid w:val="00122577"/>
    <w:rsid w:val="001247AC"/>
    <w:rsid w:val="00131EF6"/>
    <w:rsid w:val="00133925"/>
    <w:rsid w:val="00137609"/>
    <w:rsid w:val="00140354"/>
    <w:rsid w:val="001559CC"/>
    <w:rsid w:val="00161509"/>
    <w:rsid w:val="00163ED3"/>
    <w:rsid w:val="00177179"/>
    <w:rsid w:val="00183FDD"/>
    <w:rsid w:val="00184004"/>
    <w:rsid w:val="00184287"/>
    <w:rsid w:val="00190ADA"/>
    <w:rsid w:val="001A2B35"/>
    <w:rsid w:val="001A4ECB"/>
    <w:rsid w:val="001C4DB8"/>
    <w:rsid w:val="001C6C56"/>
    <w:rsid w:val="001E45C6"/>
    <w:rsid w:val="001F4D28"/>
    <w:rsid w:val="001F57A9"/>
    <w:rsid w:val="001F6D0F"/>
    <w:rsid w:val="00217B02"/>
    <w:rsid w:val="00222AE9"/>
    <w:rsid w:val="002326AB"/>
    <w:rsid w:val="002338BD"/>
    <w:rsid w:val="00235010"/>
    <w:rsid w:val="00243FC1"/>
    <w:rsid w:val="00252990"/>
    <w:rsid w:val="00261046"/>
    <w:rsid w:val="00263256"/>
    <w:rsid w:val="002669F3"/>
    <w:rsid w:val="00266CA9"/>
    <w:rsid w:val="0027178F"/>
    <w:rsid w:val="00284272"/>
    <w:rsid w:val="00287984"/>
    <w:rsid w:val="00292B51"/>
    <w:rsid w:val="002A2743"/>
    <w:rsid w:val="002A33B7"/>
    <w:rsid w:val="002B2806"/>
    <w:rsid w:val="002B4787"/>
    <w:rsid w:val="002B572E"/>
    <w:rsid w:val="002D1724"/>
    <w:rsid w:val="002D6D4D"/>
    <w:rsid w:val="002E0DE9"/>
    <w:rsid w:val="002E52BF"/>
    <w:rsid w:val="002E5FB0"/>
    <w:rsid w:val="002E6A7D"/>
    <w:rsid w:val="002F2FCD"/>
    <w:rsid w:val="002F32E7"/>
    <w:rsid w:val="002F37DF"/>
    <w:rsid w:val="002F730E"/>
    <w:rsid w:val="002F756E"/>
    <w:rsid w:val="00306917"/>
    <w:rsid w:val="00310DD5"/>
    <w:rsid w:val="003116AD"/>
    <w:rsid w:val="00313259"/>
    <w:rsid w:val="0032104B"/>
    <w:rsid w:val="00331D38"/>
    <w:rsid w:val="003321D0"/>
    <w:rsid w:val="003329EE"/>
    <w:rsid w:val="00335923"/>
    <w:rsid w:val="00345872"/>
    <w:rsid w:val="00347ABE"/>
    <w:rsid w:val="0035024E"/>
    <w:rsid w:val="00351924"/>
    <w:rsid w:val="00351ABB"/>
    <w:rsid w:val="00355215"/>
    <w:rsid w:val="00357AED"/>
    <w:rsid w:val="00357E73"/>
    <w:rsid w:val="003669FF"/>
    <w:rsid w:val="0037234F"/>
    <w:rsid w:val="00376E91"/>
    <w:rsid w:val="003811B9"/>
    <w:rsid w:val="00392645"/>
    <w:rsid w:val="00395991"/>
    <w:rsid w:val="003977EB"/>
    <w:rsid w:val="003A0197"/>
    <w:rsid w:val="003A1FB5"/>
    <w:rsid w:val="003A2E5C"/>
    <w:rsid w:val="003A5BAA"/>
    <w:rsid w:val="003B20DB"/>
    <w:rsid w:val="003B7A87"/>
    <w:rsid w:val="003C50EA"/>
    <w:rsid w:val="003C569E"/>
    <w:rsid w:val="003C76BF"/>
    <w:rsid w:val="003D4532"/>
    <w:rsid w:val="003E78F2"/>
    <w:rsid w:val="003F287C"/>
    <w:rsid w:val="003F3DD7"/>
    <w:rsid w:val="003F4412"/>
    <w:rsid w:val="004036C8"/>
    <w:rsid w:val="00404BE0"/>
    <w:rsid w:val="0040663F"/>
    <w:rsid w:val="00412411"/>
    <w:rsid w:val="0042067F"/>
    <w:rsid w:val="004234E5"/>
    <w:rsid w:val="004249BD"/>
    <w:rsid w:val="004261E9"/>
    <w:rsid w:val="00431FE3"/>
    <w:rsid w:val="004333AD"/>
    <w:rsid w:val="00433737"/>
    <w:rsid w:val="004362A5"/>
    <w:rsid w:val="00443325"/>
    <w:rsid w:val="004531F1"/>
    <w:rsid w:val="00454139"/>
    <w:rsid w:val="00457A20"/>
    <w:rsid w:val="004608C4"/>
    <w:rsid w:val="004639CE"/>
    <w:rsid w:val="004714F5"/>
    <w:rsid w:val="00472BCE"/>
    <w:rsid w:val="004756C2"/>
    <w:rsid w:val="00482FF6"/>
    <w:rsid w:val="00485605"/>
    <w:rsid w:val="004869D3"/>
    <w:rsid w:val="0049174A"/>
    <w:rsid w:val="00492232"/>
    <w:rsid w:val="00495B71"/>
    <w:rsid w:val="004A0BA1"/>
    <w:rsid w:val="004A1440"/>
    <w:rsid w:val="004A3CE7"/>
    <w:rsid w:val="004A5B96"/>
    <w:rsid w:val="004B7C3F"/>
    <w:rsid w:val="004B7DF3"/>
    <w:rsid w:val="004C015B"/>
    <w:rsid w:val="004C1FDD"/>
    <w:rsid w:val="004C21DB"/>
    <w:rsid w:val="004C2611"/>
    <w:rsid w:val="004C46FC"/>
    <w:rsid w:val="004D2934"/>
    <w:rsid w:val="004E341D"/>
    <w:rsid w:val="004E48A2"/>
    <w:rsid w:val="004F4488"/>
    <w:rsid w:val="005056F4"/>
    <w:rsid w:val="00516976"/>
    <w:rsid w:val="00516A25"/>
    <w:rsid w:val="00524CB6"/>
    <w:rsid w:val="0053112B"/>
    <w:rsid w:val="00531BD1"/>
    <w:rsid w:val="005330F7"/>
    <w:rsid w:val="00551064"/>
    <w:rsid w:val="0055344C"/>
    <w:rsid w:val="00553AE1"/>
    <w:rsid w:val="00553D9B"/>
    <w:rsid w:val="00554293"/>
    <w:rsid w:val="00555D08"/>
    <w:rsid w:val="0055625D"/>
    <w:rsid w:val="005621EC"/>
    <w:rsid w:val="00563598"/>
    <w:rsid w:val="00572616"/>
    <w:rsid w:val="00575D72"/>
    <w:rsid w:val="005824C8"/>
    <w:rsid w:val="005854C2"/>
    <w:rsid w:val="0059075E"/>
    <w:rsid w:val="00594151"/>
    <w:rsid w:val="005971FC"/>
    <w:rsid w:val="00597EB1"/>
    <w:rsid w:val="005A0797"/>
    <w:rsid w:val="005A2A3E"/>
    <w:rsid w:val="005A58F2"/>
    <w:rsid w:val="005A6A75"/>
    <w:rsid w:val="005A6E82"/>
    <w:rsid w:val="005B23A6"/>
    <w:rsid w:val="005B4DB4"/>
    <w:rsid w:val="005B5BBE"/>
    <w:rsid w:val="005B60B9"/>
    <w:rsid w:val="005B70AA"/>
    <w:rsid w:val="005C0347"/>
    <w:rsid w:val="005C28E8"/>
    <w:rsid w:val="005C4AEF"/>
    <w:rsid w:val="005C5625"/>
    <w:rsid w:val="005C5C48"/>
    <w:rsid w:val="005D5393"/>
    <w:rsid w:val="005E161D"/>
    <w:rsid w:val="005E3D43"/>
    <w:rsid w:val="005E6D3C"/>
    <w:rsid w:val="005F738C"/>
    <w:rsid w:val="006072AF"/>
    <w:rsid w:val="00610891"/>
    <w:rsid w:val="00621072"/>
    <w:rsid w:val="006308A2"/>
    <w:rsid w:val="006478E5"/>
    <w:rsid w:val="00653511"/>
    <w:rsid w:val="00655FA7"/>
    <w:rsid w:val="006642E1"/>
    <w:rsid w:val="00666084"/>
    <w:rsid w:val="00667F7C"/>
    <w:rsid w:val="006704FB"/>
    <w:rsid w:val="0067305A"/>
    <w:rsid w:val="00673DED"/>
    <w:rsid w:val="00682891"/>
    <w:rsid w:val="006835EB"/>
    <w:rsid w:val="0068446D"/>
    <w:rsid w:val="00684657"/>
    <w:rsid w:val="00685E6C"/>
    <w:rsid w:val="00686229"/>
    <w:rsid w:val="006867A3"/>
    <w:rsid w:val="00687790"/>
    <w:rsid w:val="006943F1"/>
    <w:rsid w:val="006A07CF"/>
    <w:rsid w:val="006A7DC4"/>
    <w:rsid w:val="006B6297"/>
    <w:rsid w:val="006B7223"/>
    <w:rsid w:val="006B76DF"/>
    <w:rsid w:val="006C0316"/>
    <w:rsid w:val="006C0EF8"/>
    <w:rsid w:val="006C4238"/>
    <w:rsid w:val="006C5223"/>
    <w:rsid w:val="006C79A0"/>
    <w:rsid w:val="006D1EBA"/>
    <w:rsid w:val="006D2054"/>
    <w:rsid w:val="006E511F"/>
    <w:rsid w:val="006E5A5E"/>
    <w:rsid w:val="006E68B0"/>
    <w:rsid w:val="006F351C"/>
    <w:rsid w:val="00701E35"/>
    <w:rsid w:val="00704E4A"/>
    <w:rsid w:val="007076D2"/>
    <w:rsid w:val="00712EE0"/>
    <w:rsid w:val="00716612"/>
    <w:rsid w:val="00722DE2"/>
    <w:rsid w:val="007259EC"/>
    <w:rsid w:val="007312FA"/>
    <w:rsid w:val="007316CD"/>
    <w:rsid w:val="0073233F"/>
    <w:rsid w:val="00732967"/>
    <w:rsid w:val="007354DF"/>
    <w:rsid w:val="00755383"/>
    <w:rsid w:val="00761D6C"/>
    <w:rsid w:val="00772A34"/>
    <w:rsid w:val="0077469A"/>
    <w:rsid w:val="00781E59"/>
    <w:rsid w:val="00782B14"/>
    <w:rsid w:val="00786961"/>
    <w:rsid w:val="0079296D"/>
    <w:rsid w:val="007A0A49"/>
    <w:rsid w:val="007B383F"/>
    <w:rsid w:val="007B51AD"/>
    <w:rsid w:val="007D7F02"/>
    <w:rsid w:val="007F7B44"/>
    <w:rsid w:val="0080442A"/>
    <w:rsid w:val="00812460"/>
    <w:rsid w:val="00816618"/>
    <w:rsid w:val="00820572"/>
    <w:rsid w:val="008248F6"/>
    <w:rsid w:val="008302FF"/>
    <w:rsid w:val="00830EFA"/>
    <w:rsid w:val="00837BC1"/>
    <w:rsid w:val="00837C67"/>
    <w:rsid w:val="00842B75"/>
    <w:rsid w:val="00852500"/>
    <w:rsid w:val="00861F94"/>
    <w:rsid w:val="00862886"/>
    <w:rsid w:val="00871567"/>
    <w:rsid w:val="00871E2C"/>
    <w:rsid w:val="00872FF8"/>
    <w:rsid w:val="00877095"/>
    <w:rsid w:val="00881994"/>
    <w:rsid w:val="00882540"/>
    <w:rsid w:val="008852CE"/>
    <w:rsid w:val="00885E7D"/>
    <w:rsid w:val="00890CB1"/>
    <w:rsid w:val="008940E0"/>
    <w:rsid w:val="008A6017"/>
    <w:rsid w:val="008A71DD"/>
    <w:rsid w:val="008B0AC3"/>
    <w:rsid w:val="008B3796"/>
    <w:rsid w:val="008B3A19"/>
    <w:rsid w:val="008C3A4A"/>
    <w:rsid w:val="008C5DEB"/>
    <w:rsid w:val="008C7A30"/>
    <w:rsid w:val="008D5987"/>
    <w:rsid w:val="008D7F9C"/>
    <w:rsid w:val="008E399F"/>
    <w:rsid w:val="008F25D3"/>
    <w:rsid w:val="00905585"/>
    <w:rsid w:val="00906E52"/>
    <w:rsid w:val="0092141A"/>
    <w:rsid w:val="00926C0A"/>
    <w:rsid w:val="00932A20"/>
    <w:rsid w:val="009331A7"/>
    <w:rsid w:val="00933B90"/>
    <w:rsid w:val="0093713A"/>
    <w:rsid w:val="009441F8"/>
    <w:rsid w:val="009519C7"/>
    <w:rsid w:val="00953AF2"/>
    <w:rsid w:val="0097210A"/>
    <w:rsid w:val="009967AA"/>
    <w:rsid w:val="0099794D"/>
    <w:rsid w:val="009A08AE"/>
    <w:rsid w:val="009A1A83"/>
    <w:rsid w:val="009A2337"/>
    <w:rsid w:val="009A39C2"/>
    <w:rsid w:val="009A4F54"/>
    <w:rsid w:val="009A7A6A"/>
    <w:rsid w:val="009B28A1"/>
    <w:rsid w:val="009B3CF3"/>
    <w:rsid w:val="009B7715"/>
    <w:rsid w:val="009C401E"/>
    <w:rsid w:val="009C7E09"/>
    <w:rsid w:val="009E0DF1"/>
    <w:rsid w:val="009E16F1"/>
    <w:rsid w:val="009E23BF"/>
    <w:rsid w:val="009E796A"/>
    <w:rsid w:val="009F050C"/>
    <w:rsid w:val="009F54B2"/>
    <w:rsid w:val="009F6C60"/>
    <w:rsid w:val="00A01FCD"/>
    <w:rsid w:val="00A06120"/>
    <w:rsid w:val="00A16A0C"/>
    <w:rsid w:val="00A22347"/>
    <w:rsid w:val="00A32683"/>
    <w:rsid w:val="00A33730"/>
    <w:rsid w:val="00A350E8"/>
    <w:rsid w:val="00A42839"/>
    <w:rsid w:val="00A44ED2"/>
    <w:rsid w:val="00A45996"/>
    <w:rsid w:val="00A500B2"/>
    <w:rsid w:val="00A51CDA"/>
    <w:rsid w:val="00A5442D"/>
    <w:rsid w:val="00A5561A"/>
    <w:rsid w:val="00A55A01"/>
    <w:rsid w:val="00A56EB4"/>
    <w:rsid w:val="00A570D0"/>
    <w:rsid w:val="00A76DE6"/>
    <w:rsid w:val="00A86AAA"/>
    <w:rsid w:val="00A8728F"/>
    <w:rsid w:val="00A93363"/>
    <w:rsid w:val="00AA2A41"/>
    <w:rsid w:val="00AA2FB4"/>
    <w:rsid w:val="00AA328E"/>
    <w:rsid w:val="00AC2861"/>
    <w:rsid w:val="00AD1713"/>
    <w:rsid w:val="00AD4F4C"/>
    <w:rsid w:val="00AE3139"/>
    <w:rsid w:val="00AE69EE"/>
    <w:rsid w:val="00AF0D78"/>
    <w:rsid w:val="00AF18F2"/>
    <w:rsid w:val="00AF2DD7"/>
    <w:rsid w:val="00AF63ED"/>
    <w:rsid w:val="00B05EB3"/>
    <w:rsid w:val="00B10D2A"/>
    <w:rsid w:val="00B14745"/>
    <w:rsid w:val="00B169B2"/>
    <w:rsid w:val="00B17FCF"/>
    <w:rsid w:val="00B2055E"/>
    <w:rsid w:val="00B238E4"/>
    <w:rsid w:val="00B33183"/>
    <w:rsid w:val="00B40584"/>
    <w:rsid w:val="00B42B00"/>
    <w:rsid w:val="00B4311D"/>
    <w:rsid w:val="00B458D9"/>
    <w:rsid w:val="00B474F7"/>
    <w:rsid w:val="00B47E63"/>
    <w:rsid w:val="00B51A11"/>
    <w:rsid w:val="00B609A5"/>
    <w:rsid w:val="00B665AB"/>
    <w:rsid w:val="00B712D3"/>
    <w:rsid w:val="00B716CD"/>
    <w:rsid w:val="00B772CF"/>
    <w:rsid w:val="00B81CB2"/>
    <w:rsid w:val="00B86FD6"/>
    <w:rsid w:val="00B928FF"/>
    <w:rsid w:val="00B938CF"/>
    <w:rsid w:val="00B93B28"/>
    <w:rsid w:val="00B93D80"/>
    <w:rsid w:val="00B9484D"/>
    <w:rsid w:val="00BB0BAB"/>
    <w:rsid w:val="00BB19FE"/>
    <w:rsid w:val="00BB7FAE"/>
    <w:rsid w:val="00BC60DB"/>
    <w:rsid w:val="00BD3FB9"/>
    <w:rsid w:val="00BD668A"/>
    <w:rsid w:val="00BE18DF"/>
    <w:rsid w:val="00BE54DD"/>
    <w:rsid w:val="00BE59FD"/>
    <w:rsid w:val="00BF0A61"/>
    <w:rsid w:val="00BF53E1"/>
    <w:rsid w:val="00BF601C"/>
    <w:rsid w:val="00C01ED7"/>
    <w:rsid w:val="00C03971"/>
    <w:rsid w:val="00C04C37"/>
    <w:rsid w:val="00C108C1"/>
    <w:rsid w:val="00C16467"/>
    <w:rsid w:val="00C22028"/>
    <w:rsid w:val="00C235F9"/>
    <w:rsid w:val="00C23C53"/>
    <w:rsid w:val="00C27219"/>
    <w:rsid w:val="00C32E9F"/>
    <w:rsid w:val="00C34F42"/>
    <w:rsid w:val="00C367D4"/>
    <w:rsid w:val="00C42C88"/>
    <w:rsid w:val="00C453C4"/>
    <w:rsid w:val="00C55531"/>
    <w:rsid w:val="00C5637D"/>
    <w:rsid w:val="00C65306"/>
    <w:rsid w:val="00C732AD"/>
    <w:rsid w:val="00C737D6"/>
    <w:rsid w:val="00C7409D"/>
    <w:rsid w:val="00C75002"/>
    <w:rsid w:val="00C754E6"/>
    <w:rsid w:val="00C76A75"/>
    <w:rsid w:val="00C76B99"/>
    <w:rsid w:val="00C848CB"/>
    <w:rsid w:val="00C8653C"/>
    <w:rsid w:val="00C86C95"/>
    <w:rsid w:val="00C9688F"/>
    <w:rsid w:val="00C974A1"/>
    <w:rsid w:val="00C97516"/>
    <w:rsid w:val="00CC20D1"/>
    <w:rsid w:val="00CC521A"/>
    <w:rsid w:val="00CC643A"/>
    <w:rsid w:val="00CD3DEE"/>
    <w:rsid w:val="00CF1949"/>
    <w:rsid w:val="00CF5D3B"/>
    <w:rsid w:val="00CF7FDC"/>
    <w:rsid w:val="00D002EA"/>
    <w:rsid w:val="00D01F87"/>
    <w:rsid w:val="00D1567A"/>
    <w:rsid w:val="00D15778"/>
    <w:rsid w:val="00D20EB3"/>
    <w:rsid w:val="00D23AA2"/>
    <w:rsid w:val="00D340C5"/>
    <w:rsid w:val="00D373AD"/>
    <w:rsid w:val="00D379A3"/>
    <w:rsid w:val="00D40160"/>
    <w:rsid w:val="00D418E6"/>
    <w:rsid w:val="00D45964"/>
    <w:rsid w:val="00D4691A"/>
    <w:rsid w:val="00D51260"/>
    <w:rsid w:val="00D54AC0"/>
    <w:rsid w:val="00D62FDB"/>
    <w:rsid w:val="00D63195"/>
    <w:rsid w:val="00D660EC"/>
    <w:rsid w:val="00D8001A"/>
    <w:rsid w:val="00D8210B"/>
    <w:rsid w:val="00D8597E"/>
    <w:rsid w:val="00D87F80"/>
    <w:rsid w:val="00D92B1E"/>
    <w:rsid w:val="00D934A1"/>
    <w:rsid w:val="00D93628"/>
    <w:rsid w:val="00D94E70"/>
    <w:rsid w:val="00D967EB"/>
    <w:rsid w:val="00DA1CBA"/>
    <w:rsid w:val="00DA68C3"/>
    <w:rsid w:val="00DB1869"/>
    <w:rsid w:val="00DB3E91"/>
    <w:rsid w:val="00DB7F29"/>
    <w:rsid w:val="00DC4017"/>
    <w:rsid w:val="00DD1E1D"/>
    <w:rsid w:val="00DD4314"/>
    <w:rsid w:val="00DD57DD"/>
    <w:rsid w:val="00DD603A"/>
    <w:rsid w:val="00DD7379"/>
    <w:rsid w:val="00DE481B"/>
    <w:rsid w:val="00DE6240"/>
    <w:rsid w:val="00DF075D"/>
    <w:rsid w:val="00DF4810"/>
    <w:rsid w:val="00E04BEF"/>
    <w:rsid w:val="00E05274"/>
    <w:rsid w:val="00E2529A"/>
    <w:rsid w:val="00E30127"/>
    <w:rsid w:val="00E30330"/>
    <w:rsid w:val="00E3051C"/>
    <w:rsid w:val="00E341EE"/>
    <w:rsid w:val="00E35320"/>
    <w:rsid w:val="00E36B68"/>
    <w:rsid w:val="00E4182C"/>
    <w:rsid w:val="00E42D88"/>
    <w:rsid w:val="00E56C45"/>
    <w:rsid w:val="00E57AE4"/>
    <w:rsid w:val="00E6196D"/>
    <w:rsid w:val="00E62FEB"/>
    <w:rsid w:val="00E63CB5"/>
    <w:rsid w:val="00E6504F"/>
    <w:rsid w:val="00E738CF"/>
    <w:rsid w:val="00E76EDB"/>
    <w:rsid w:val="00E77708"/>
    <w:rsid w:val="00E77D51"/>
    <w:rsid w:val="00E8182F"/>
    <w:rsid w:val="00E941BF"/>
    <w:rsid w:val="00E96A49"/>
    <w:rsid w:val="00EA132A"/>
    <w:rsid w:val="00EA482A"/>
    <w:rsid w:val="00EA641C"/>
    <w:rsid w:val="00EA6C73"/>
    <w:rsid w:val="00EB28F8"/>
    <w:rsid w:val="00EB3205"/>
    <w:rsid w:val="00EC6267"/>
    <w:rsid w:val="00ED1B4A"/>
    <w:rsid w:val="00ED24CD"/>
    <w:rsid w:val="00ED505F"/>
    <w:rsid w:val="00EE00BA"/>
    <w:rsid w:val="00EE49DA"/>
    <w:rsid w:val="00EE6DD7"/>
    <w:rsid w:val="00EF36F5"/>
    <w:rsid w:val="00EF5F75"/>
    <w:rsid w:val="00EF6D1C"/>
    <w:rsid w:val="00F0487D"/>
    <w:rsid w:val="00F071CF"/>
    <w:rsid w:val="00F138AB"/>
    <w:rsid w:val="00F15DCE"/>
    <w:rsid w:val="00F166B9"/>
    <w:rsid w:val="00F21A76"/>
    <w:rsid w:val="00F231E8"/>
    <w:rsid w:val="00F26BA0"/>
    <w:rsid w:val="00F26E19"/>
    <w:rsid w:val="00F2726C"/>
    <w:rsid w:val="00F433BC"/>
    <w:rsid w:val="00F44F8B"/>
    <w:rsid w:val="00F52BC7"/>
    <w:rsid w:val="00F53636"/>
    <w:rsid w:val="00F5783B"/>
    <w:rsid w:val="00F655FD"/>
    <w:rsid w:val="00F657C2"/>
    <w:rsid w:val="00F65DAC"/>
    <w:rsid w:val="00F67E81"/>
    <w:rsid w:val="00F7155B"/>
    <w:rsid w:val="00F74F81"/>
    <w:rsid w:val="00F75474"/>
    <w:rsid w:val="00F81532"/>
    <w:rsid w:val="00F828B7"/>
    <w:rsid w:val="00F838D2"/>
    <w:rsid w:val="00F85A61"/>
    <w:rsid w:val="00F93F90"/>
    <w:rsid w:val="00F95C0C"/>
    <w:rsid w:val="00FA0E51"/>
    <w:rsid w:val="00FA1225"/>
    <w:rsid w:val="00FA29AC"/>
    <w:rsid w:val="00FA5582"/>
    <w:rsid w:val="00FB0AAD"/>
    <w:rsid w:val="00FB7EC5"/>
    <w:rsid w:val="00FC3402"/>
    <w:rsid w:val="00FC5AA9"/>
    <w:rsid w:val="00FD47D1"/>
    <w:rsid w:val="00FE05F5"/>
    <w:rsid w:val="00FE2E33"/>
    <w:rsid w:val="00FE321E"/>
    <w:rsid w:val="00FF28A2"/>
    <w:rsid w:val="00FF6285"/>
    <w:rsid w:val="0CEDBD49"/>
    <w:rsid w:val="35CC5AE2"/>
    <w:rsid w:val="3EBA5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966C28DB-6F76-47A7-A7BC-70D74A00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4F44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F448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448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4F44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F44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F4488"/>
    <w:rPr>
      <w:rFonts w:asciiTheme="majorHAnsi" w:eastAsiaTheme="majorEastAsia" w:hAnsiTheme="majorHAnsi" w:cstheme="majorBidi"/>
      <w:color w:val="2F5496" w:themeColor="accent1" w:themeShade="BF"/>
    </w:rPr>
  </w:style>
  <w:style w:type="character" w:customStyle="1" w:styleId="UnresolvedMention1">
    <w:name w:val="Unresolved Mention1"/>
    <w:basedOn w:val="DefaultParagraphFont"/>
    <w:uiPriority w:val="99"/>
    <w:semiHidden/>
    <w:unhideWhenUsed/>
    <w:rsid w:val="00C76A75"/>
    <w:rPr>
      <w:color w:val="605E5C"/>
      <w:shd w:val="clear" w:color="auto" w:fill="E1DFDD"/>
    </w:rPr>
  </w:style>
  <w:style w:type="paragraph" w:styleId="Revision">
    <w:name w:val="Revision"/>
    <w:hidden/>
    <w:uiPriority w:val="99"/>
    <w:semiHidden/>
    <w:rsid w:val="008248F6"/>
    <w:pPr>
      <w:spacing w:after="0" w:line="240" w:lineRule="auto"/>
    </w:pPr>
  </w:style>
  <w:style w:type="character" w:styleId="FollowedHyperlink">
    <w:name w:val="FollowedHyperlink"/>
    <w:basedOn w:val="DefaultParagraphFont"/>
    <w:uiPriority w:val="99"/>
    <w:semiHidden/>
    <w:unhideWhenUsed/>
    <w:rsid w:val="000E62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898983441">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638877543">
      <w:bodyDiv w:val="1"/>
      <w:marLeft w:val="0"/>
      <w:marRight w:val="0"/>
      <w:marTop w:val="0"/>
      <w:marBottom w:val="0"/>
      <w:divBdr>
        <w:top w:val="none" w:sz="0" w:space="0" w:color="auto"/>
        <w:left w:val="none" w:sz="0" w:space="0" w:color="auto"/>
        <w:bottom w:val="none" w:sz="0" w:space="0" w:color="auto"/>
        <w:right w:val="none" w:sz="0" w:space="0" w:color="auto"/>
      </w:divBdr>
    </w:div>
    <w:div w:id="165736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resolution%2013.2_annex%206_POW_e%20complete.pdf" TargetMode="External"/><Relationship Id="rId18" Type="http://schemas.openxmlformats.org/officeDocument/2006/relationships/hyperlink" Target="https://iclei.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ms.int/en/document/budget-2024-2026-and-programme-work-intersessional-period-between-cop14-and-cop15" TargetMode="External"/><Relationship Id="rId7" Type="http://schemas.openxmlformats.org/officeDocument/2006/relationships/settings" Target="settings.xml"/><Relationship Id="rId12" Type="http://schemas.openxmlformats.org/officeDocument/2006/relationships/hyperlink" Target="https://www.cms.int/en/document/communication-information-and-outreach-plan-0" TargetMode="External"/><Relationship Id="rId17" Type="http://schemas.openxmlformats.org/officeDocument/2006/relationships/hyperlink" Target="https://www.worldmigratorybirdday.org/2022/resourc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ms.int/en/page/decisions-13138-13139-light-pollution-guidelines-wildlife" TargetMode="External"/><Relationship Id="rId20" Type="http://schemas.openxmlformats.org/officeDocument/2006/relationships/hyperlink" Target="https://www.cms.int/en/document/strategic-communications-assessmen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n/news/new-un-report-finds-migratory-species-are-likely-among-most-vulnerable-plastic-pollu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en/news/new-guide-helps-cities-curb-light-pollution-impacts-wildlif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world-migratory-bird-day-3" TargetMode="External"/><Relationship Id="rId22" Type="http://schemas.openxmlformats.org/officeDocument/2006/relationships/hyperlink" Target="https://www.cms.int/en/document/strategic-communications-assessment" TargetMode="External"/><Relationship Id="rId27" Type="http://schemas.openxmlformats.org/officeDocument/2006/relationships/header" Target="header3.xml"/><Relationship Id="rId30"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Aydin Bahramlouian</DisplayName>
        <AccountId>29</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351B61FD-679B-4B20-BC6B-9EB7D2CF1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E31FF-5F71-4849-88FD-F4697B1A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1558</Words>
  <Characters>8885</Characters>
  <Application>Microsoft Office Word</Application>
  <DocSecurity>0</DocSecurity>
  <Lines>74</Lines>
  <Paragraphs>20</Paragraphs>
  <ScaleCrop>false</ScaleCrop>
  <HeadingPairs>
    <vt:vector size="6" baseType="variant">
      <vt:variant>
        <vt:lpstr>Título</vt:lpstr>
      </vt:variant>
      <vt:variant>
        <vt:i4>1</vt:i4>
      </vt:variant>
      <vt:variant>
        <vt:lpstr>Title</vt:lpstr>
      </vt:variant>
      <vt:variant>
        <vt:i4>1</vt:i4>
      </vt:variant>
      <vt:variant>
        <vt:lpstr>Headings</vt:lpstr>
      </vt:variant>
      <vt:variant>
        <vt:i4>2</vt:i4>
      </vt:variant>
    </vt:vector>
  </HeadingPairs>
  <TitlesOfParts>
    <vt:vector size="4" baseType="lpstr">
      <vt:lpstr/>
      <vt:lpstr/>
      <vt:lpstr>    Samarkand, Uzbekistan, 12 – 17 February 2024</vt:lpstr>
      <vt:lpstr>        ANNEX 1</vt:lpstr>
    </vt:vector>
  </TitlesOfParts>
  <Company/>
  <LinksUpToDate>false</LinksUpToDate>
  <CharactersWithSpaces>10423</CharactersWithSpaces>
  <SharedDoc>false</SharedDoc>
  <HLinks>
    <vt:vector size="66" baseType="variant">
      <vt:variant>
        <vt:i4>4063268</vt:i4>
      </vt:variant>
      <vt:variant>
        <vt:i4>30</vt:i4>
      </vt:variant>
      <vt:variant>
        <vt:i4>0</vt:i4>
      </vt:variant>
      <vt:variant>
        <vt:i4>5</vt:i4>
      </vt:variant>
      <vt:variant>
        <vt:lpwstr>https://www.cms.int/en/document/strategic-communications-assessment</vt:lpwstr>
      </vt:variant>
      <vt:variant>
        <vt:lpwstr/>
      </vt:variant>
      <vt:variant>
        <vt:i4>1966086</vt:i4>
      </vt:variant>
      <vt:variant>
        <vt:i4>27</vt:i4>
      </vt:variant>
      <vt:variant>
        <vt:i4>0</vt:i4>
      </vt:variant>
      <vt:variant>
        <vt:i4>5</vt:i4>
      </vt:variant>
      <vt:variant>
        <vt:lpwstr>https://www.cms.int/en/document/budget-2024-2026-and-programme-work-intersessional-period-between-cop14-and-cop15</vt:lpwstr>
      </vt:variant>
      <vt:variant>
        <vt:lpwstr/>
      </vt:variant>
      <vt:variant>
        <vt:i4>4063268</vt:i4>
      </vt:variant>
      <vt:variant>
        <vt:i4>24</vt:i4>
      </vt:variant>
      <vt:variant>
        <vt:i4>0</vt:i4>
      </vt:variant>
      <vt:variant>
        <vt:i4>5</vt:i4>
      </vt:variant>
      <vt:variant>
        <vt:lpwstr>https://www.cms.int/en/document/strategic-communications-assessment</vt:lpwstr>
      </vt:variant>
      <vt:variant>
        <vt:lpwstr/>
      </vt:variant>
      <vt:variant>
        <vt:i4>6029397</vt:i4>
      </vt:variant>
      <vt:variant>
        <vt:i4>21</vt:i4>
      </vt:variant>
      <vt:variant>
        <vt:i4>0</vt:i4>
      </vt:variant>
      <vt:variant>
        <vt:i4>5</vt:i4>
      </vt:variant>
      <vt:variant>
        <vt:lpwstr>https://www.cms.int/en/news/new-guide-helps-cities-curb-light-pollution-impacts-wildlife</vt:lpwstr>
      </vt:variant>
      <vt:variant>
        <vt:lpwstr/>
      </vt:variant>
      <vt:variant>
        <vt:i4>6553636</vt:i4>
      </vt:variant>
      <vt:variant>
        <vt:i4>18</vt:i4>
      </vt:variant>
      <vt:variant>
        <vt:i4>0</vt:i4>
      </vt:variant>
      <vt:variant>
        <vt:i4>5</vt:i4>
      </vt:variant>
      <vt:variant>
        <vt:lpwstr>https://iclei.org/</vt:lpwstr>
      </vt:variant>
      <vt:variant>
        <vt:lpwstr/>
      </vt:variant>
      <vt:variant>
        <vt:i4>5177355</vt:i4>
      </vt:variant>
      <vt:variant>
        <vt:i4>15</vt:i4>
      </vt:variant>
      <vt:variant>
        <vt:i4>0</vt:i4>
      </vt:variant>
      <vt:variant>
        <vt:i4>5</vt:i4>
      </vt:variant>
      <vt:variant>
        <vt:lpwstr>https://www.worldmigratorybirdday.org/2022/resources</vt:lpwstr>
      </vt:variant>
      <vt:variant>
        <vt:lpwstr/>
      </vt:variant>
      <vt:variant>
        <vt:i4>5374037</vt:i4>
      </vt:variant>
      <vt:variant>
        <vt:i4>12</vt:i4>
      </vt:variant>
      <vt:variant>
        <vt:i4>0</vt:i4>
      </vt:variant>
      <vt:variant>
        <vt:i4>5</vt:i4>
      </vt:variant>
      <vt:variant>
        <vt:lpwstr>https://www.cms.int/en/page/decisions-13138-13139-light-pollution-guidelines-wildlife</vt:lpwstr>
      </vt:variant>
      <vt:variant>
        <vt:lpwstr/>
      </vt:variant>
      <vt:variant>
        <vt:i4>5505103</vt:i4>
      </vt:variant>
      <vt:variant>
        <vt:i4>9</vt:i4>
      </vt:variant>
      <vt:variant>
        <vt:i4>0</vt:i4>
      </vt:variant>
      <vt:variant>
        <vt:i4>5</vt:i4>
      </vt:variant>
      <vt:variant>
        <vt:lpwstr>https://www.cms.int/en/news/new-un-report-finds-migratory-species-are-likely-among-most-vulnerable-plastic-pollution</vt:lpwstr>
      </vt:variant>
      <vt:variant>
        <vt:lpwstr/>
      </vt:variant>
      <vt:variant>
        <vt:i4>3276897</vt:i4>
      </vt:variant>
      <vt:variant>
        <vt:i4>6</vt:i4>
      </vt:variant>
      <vt:variant>
        <vt:i4>0</vt:i4>
      </vt:variant>
      <vt:variant>
        <vt:i4>5</vt:i4>
      </vt:variant>
      <vt:variant>
        <vt:lpwstr>https://www.cms.int/en/document/world-migratory-bird-day-3</vt:lpwstr>
      </vt:variant>
      <vt:variant>
        <vt:lpwstr/>
      </vt:variant>
      <vt:variant>
        <vt:i4>4063337</vt:i4>
      </vt:variant>
      <vt:variant>
        <vt:i4>3</vt:i4>
      </vt:variant>
      <vt:variant>
        <vt:i4>0</vt:i4>
      </vt:variant>
      <vt:variant>
        <vt:i4>5</vt:i4>
      </vt:variant>
      <vt:variant>
        <vt:lpwstr>https://www.cms.int/sites/default/files/document/cms_resolution 13.2_annex 6_POW_e complete.pdf</vt:lpwstr>
      </vt:variant>
      <vt:variant>
        <vt:lpwstr/>
      </vt:variant>
      <vt:variant>
        <vt:i4>1900628</vt:i4>
      </vt:variant>
      <vt:variant>
        <vt:i4>0</vt:i4>
      </vt:variant>
      <vt:variant>
        <vt:i4>0</vt:i4>
      </vt:variant>
      <vt:variant>
        <vt:i4>5</vt:i4>
      </vt:variant>
      <vt:variant>
        <vt:lpwstr>https://www.cms.int/en/document/communication-information-and-outreach-plan-0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cp:revision>
  <dcterms:created xsi:type="dcterms:W3CDTF">2023-12-20T10:58:00Z</dcterms:created>
  <dcterms:modified xsi:type="dcterms:W3CDTF">2023-12-20T14:52:00Z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