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C76CF" w:rsidRPr="009C76CF" w14:paraId="6325EC24" w14:textId="77777777" w:rsidTr="001A7C9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A4AD4D4" w14:textId="0C863168" w:rsidR="009C76CF" w:rsidRPr="009C76CF" w:rsidRDefault="009C76CF" w:rsidP="004F5761">
            <w:pPr>
              <w:widowControl w:val="0"/>
              <w:suppressAutoHyphens/>
              <w:autoSpaceDE w:val="0"/>
              <w:autoSpaceDN w:val="0"/>
              <w:spacing w:after="0" w:line="240" w:lineRule="auto"/>
              <w:ind w:left="-108"/>
              <w:textAlignment w:val="baseline"/>
              <w:rPr>
                <w:rFonts w:eastAsia="Times New Roman" w:cs="Arial"/>
                <w:lang w:val="fr-FR"/>
              </w:rPr>
            </w:pPr>
            <w:r w:rsidRPr="009C76CF">
              <w:rPr>
                <w:rFonts w:eastAsia="Times New Roman" w:cs="Arial"/>
                <w:noProof/>
              </w:rPr>
              <w:drawing>
                <wp:inline distT="0" distB="0" distL="0" distR="0" wp14:anchorId="40E0F9DE" wp14:editId="11DE9CD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3D37FDD" w14:textId="77777777" w:rsidR="009C76CF" w:rsidRPr="009C76CF" w:rsidRDefault="009C76CF" w:rsidP="009C76CF">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3DD19A1" w14:textId="77777777" w:rsidR="009C76CF" w:rsidRPr="009C76CF" w:rsidRDefault="009C76CF" w:rsidP="009C76C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9C76CF">
              <w:rPr>
                <w:rFonts w:eastAsia="Arial" w:cs="Arial"/>
                <w:b/>
                <w:bCs/>
                <w:sz w:val="32"/>
                <w:szCs w:val="32"/>
                <w:lang w:val="fr-FR"/>
              </w:rPr>
              <w:t>CONVENTION SUR</w:t>
            </w:r>
          </w:p>
          <w:p w14:paraId="742CEEE1" w14:textId="77777777" w:rsidR="009C76CF" w:rsidRPr="009C76CF" w:rsidRDefault="009C76CF" w:rsidP="009C76C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9C76CF">
              <w:rPr>
                <w:rFonts w:eastAsia="Arial" w:cs="Arial"/>
                <w:b/>
                <w:bCs/>
                <w:sz w:val="32"/>
                <w:szCs w:val="32"/>
                <w:lang w:val="fr-FR"/>
              </w:rPr>
              <w:t>LES ESPÈCES</w:t>
            </w:r>
          </w:p>
          <w:p w14:paraId="7AD5332F" w14:textId="77777777" w:rsidR="009C76CF" w:rsidRPr="009C76CF" w:rsidRDefault="009C76CF" w:rsidP="009C76C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9C76CF">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60197F3E" w14:textId="1ECC2E73" w:rsidR="009C76CF" w:rsidRPr="009C76CF" w:rsidRDefault="009C76CF" w:rsidP="009C76C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08"/>
              <w:textAlignment w:val="baseline"/>
              <w:rPr>
                <w:rFonts w:eastAsia="Arial" w:cs="Arial"/>
                <w:lang w:val="fr-FR"/>
              </w:rPr>
            </w:pPr>
            <w:r w:rsidRPr="009C76CF">
              <w:rPr>
                <w:rFonts w:eastAsia="Arial" w:cs="Arial"/>
                <w:lang w:val="fr-FR"/>
              </w:rPr>
              <w:t>UNEP/CMS/COP14/Doc.</w:t>
            </w:r>
            <w:r w:rsidR="004F5761">
              <w:rPr>
                <w:rFonts w:eastAsia="Arial" w:cs="Arial"/>
                <w:lang w:val="fr-FR"/>
              </w:rPr>
              <w:t>19</w:t>
            </w:r>
          </w:p>
          <w:p w14:paraId="4D336063" w14:textId="1C8F5BC5" w:rsidR="009C76CF" w:rsidRPr="009C76CF" w:rsidRDefault="004F5761" w:rsidP="009C76C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08"/>
              <w:textAlignment w:val="baseline"/>
              <w:rPr>
                <w:rFonts w:eastAsia="Arial" w:cs="Arial"/>
                <w:lang w:val="fr-FR"/>
              </w:rPr>
            </w:pPr>
            <w:r>
              <w:rPr>
                <w:rFonts w:eastAsia="Arial" w:cs="Arial"/>
                <w:lang w:val="fr-FR"/>
              </w:rPr>
              <w:t>19 décembre</w:t>
            </w:r>
            <w:r w:rsidR="009C76CF" w:rsidRPr="009C76CF">
              <w:rPr>
                <w:rFonts w:eastAsia="Arial" w:cs="Arial"/>
                <w:lang w:val="fr-FR"/>
              </w:rPr>
              <w:t xml:space="preserve"> 2023</w:t>
            </w:r>
          </w:p>
          <w:p w14:paraId="4705A143" w14:textId="77777777" w:rsidR="009C76CF" w:rsidRPr="009C76CF" w:rsidRDefault="009C76CF" w:rsidP="009C76CF">
            <w:pPr>
              <w:widowControl w:val="0"/>
              <w:suppressAutoHyphens/>
              <w:autoSpaceDE w:val="0"/>
              <w:autoSpaceDN w:val="0"/>
              <w:spacing w:after="0" w:line="240" w:lineRule="auto"/>
              <w:ind w:left="-108"/>
              <w:textAlignment w:val="baseline"/>
              <w:rPr>
                <w:rFonts w:ascii="Calibri" w:eastAsia="Calibri" w:hAnsi="Calibri" w:cs="Times New Roman"/>
              </w:rPr>
            </w:pPr>
            <w:r w:rsidRPr="009C76CF">
              <w:rPr>
                <w:rFonts w:eastAsia="Arial" w:cs="Arial"/>
                <w:lang w:val="fr-FR"/>
              </w:rPr>
              <w:t>Français</w:t>
            </w:r>
          </w:p>
          <w:p w14:paraId="3E086560" w14:textId="77777777" w:rsidR="009C76CF" w:rsidRPr="009C76CF" w:rsidRDefault="009C76CF" w:rsidP="009C76CF">
            <w:pPr>
              <w:widowControl w:val="0"/>
              <w:suppressAutoHyphens/>
              <w:autoSpaceDE w:val="0"/>
              <w:autoSpaceDN w:val="0"/>
              <w:spacing w:after="120" w:line="240" w:lineRule="auto"/>
              <w:ind w:left="-108"/>
              <w:textAlignment w:val="baseline"/>
              <w:rPr>
                <w:rFonts w:ascii="Calibri" w:eastAsia="Calibri" w:hAnsi="Calibri" w:cs="Times New Roman"/>
              </w:rPr>
            </w:pPr>
            <w:r w:rsidRPr="009C76CF">
              <w:rPr>
                <w:rFonts w:eastAsia="Arial" w:cs="Arial"/>
                <w:lang w:val="fr-FR"/>
              </w:rPr>
              <w:t>Original : Anglais</w:t>
            </w:r>
          </w:p>
        </w:tc>
      </w:tr>
    </w:tbl>
    <w:p w14:paraId="431AED5F" w14:textId="77777777" w:rsidR="004F5761" w:rsidRPr="004F5761" w:rsidRDefault="004F5761" w:rsidP="004F5761">
      <w:pPr>
        <w:widowControl w:val="0"/>
        <w:tabs>
          <w:tab w:val="left" w:pos="-1057"/>
          <w:tab w:val="left" w:pos="-720"/>
        </w:tabs>
        <w:suppressAutoHyphens/>
        <w:autoSpaceDE w:val="0"/>
        <w:autoSpaceDN w:val="0"/>
        <w:spacing w:after="0" w:line="240" w:lineRule="auto"/>
        <w:ind w:left="-108"/>
        <w:textAlignment w:val="baseline"/>
        <w:rPr>
          <w:rFonts w:eastAsia="Arial" w:cs="Arial"/>
          <w:sz w:val="8"/>
          <w:szCs w:val="8"/>
          <w:lang w:val="fr-FR"/>
        </w:rPr>
      </w:pPr>
    </w:p>
    <w:p w14:paraId="7B1134E4" w14:textId="77777777" w:rsidR="004F5761" w:rsidRPr="004F5761" w:rsidRDefault="004F5761" w:rsidP="004F5761">
      <w:pPr>
        <w:widowControl w:val="0"/>
        <w:tabs>
          <w:tab w:val="left" w:pos="-1057"/>
          <w:tab w:val="left" w:pos="-720"/>
        </w:tabs>
        <w:suppressAutoHyphens/>
        <w:autoSpaceDE w:val="0"/>
        <w:autoSpaceDN w:val="0"/>
        <w:spacing w:after="0" w:line="240" w:lineRule="auto"/>
        <w:ind w:left="-108"/>
        <w:textAlignment w:val="baseline"/>
        <w:rPr>
          <w:rFonts w:ascii="Calibri" w:eastAsia="Calibri" w:hAnsi="Calibri" w:cs="Times New Roman"/>
          <w:lang w:val="fr-FR"/>
        </w:rPr>
      </w:pPr>
      <w:r w:rsidRPr="004F5761">
        <w:rPr>
          <w:rFonts w:eastAsia="Arial" w:cs="Arial"/>
          <w:lang w:val="fr-FR"/>
        </w:rPr>
        <w:t>14</w:t>
      </w:r>
      <w:r w:rsidRPr="004F5761">
        <w:rPr>
          <w:rFonts w:eastAsia="Arial" w:cs="Arial"/>
          <w:vertAlign w:val="superscript"/>
          <w:lang w:val="fr-FR"/>
        </w:rPr>
        <w:t>ème</w:t>
      </w:r>
      <w:r w:rsidRPr="004F5761">
        <w:rPr>
          <w:rFonts w:eastAsia="Arial" w:cs="Arial"/>
          <w:lang w:val="fr-FR"/>
        </w:rPr>
        <w:t xml:space="preserve"> SESSION DE LA CONFÉRENCE DES PARTIES</w:t>
      </w:r>
    </w:p>
    <w:p w14:paraId="5E2717CC" w14:textId="77777777" w:rsidR="004F5761" w:rsidRPr="004F5761" w:rsidRDefault="004F5761" w:rsidP="004F57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ind w:left="-108"/>
        <w:textAlignment w:val="baseline"/>
        <w:outlineLvl w:val="1"/>
        <w:rPr>
          <w:rFonts w:ascii="Calibri" w:eastAsia="Calibri" w:hAnsi="Calibri" w:cs="Times New Roman"/>
          <w:lang w:val="fr-FR"/>
        </w:rPr>
      </w:pPr>
      <w:r w:rsidRPr="004F5761">
        <w:rPr>
          <w:rFonts w:eastAsia="Arial" w:cs="Arial"/>
          <w:bCs/>
          <w:lang w:val="fr-FR"/>
        </w:rPr>
        <w:t>Samarcande, Ouzbékistan, 12 – 17 février 2024</w:t>
      </w:r>
    </w:p>
    <w:p w14:paraId="1CC8C873" w14:textId="6882729B" w:rsidR="004F5761" w:rsidRPr="004F5761" w:rsidRDefault="004F5761" w:rsidP="004F5761">
      <w:pPr>
        <w:widowControl w:val="0"/>
        <w:suppressAutoHyphens/>
        <w:autoSpaceDE w:val="0"/>
        <w:autoSpaceDN w:val="0"/>
        <w:spacing w:after="0" w:line="228" w:lineRule="auto"/>
        <w:ind w:left="-108"/>
        <w:textAlignment w:val="baseline"/>
        <w:rPr>
          <w:rFonts w:ascii="Calibri" w:eastAsia="Calibri" w:hAnsi="Calibri" w:cs="Times New Roman"/>
          <w:lang w:val="fr-FR"/>
        </w:rPr>
      </w:pPr>
      <w:r w:rsidRPr="004F5761">
        <w:rPr>
          <w:rFonts w:eastAsia="Arial" w:cs="Arial"/>
          <w:iCs/>
          <w:lang w:val="fr-FR"/>
        </w:rPr>
        <w:t xml:space="preserve">Point </w:t>
      </w:r>
      <w:r>
        <w:rPr>
          <w:rFonts w:eastAsia="Arial" w:cs="Arial"/>
          <w:iCs/>
          <w:lang w:val="fr-FR"/>
        </w:rPr>
        <w:t>19</w:t>
      </w:r>
      <w:r w:rsidRPr="004F5761">
        <w:rPr>
          <w:rFonts w:eastAsia="Arial" w:cs="Arial"/>
          <w:iCs/>
          <w:lang w:val="fr-FR"/>
        </w:rPr>
        <w:t xml:space="preserve"> de l’ordre du jour</w:t>
      </w:r>
    </w:p>
    <w:p w14:paraId="53E8D3C1" w14:textId="77777777" w:rsidR="009C76CF" w:rsidRDefault="009C76CF" w:rsidP="009A2337">
      <w:pPr>
        <w:widowControl w:val="0"/>
        <w:suppressAutoHyphens/>
        <w:autoSpaceDE w:val="0"/>
        <w:autoSpaceDN w:val="0"/>
        <w:spacing w:after="0" w:line="240" w:lineRule="auto"/>
        <w:jc w:val="both"/>
        <w:textAlignment w:val="baseline"/>
        <w:rPr>
          <w:rFonts w:eastAsia="Times New Roman" w:cs="Arial"/>
          <w:lang w:val="fr-FR"/>
        </w:rPr>
      </w:pPr>
    </w:p>
    <w:p w14:paraId="622A5C0A" w14:textId="77777777" w:rsidR="009C76CF" w:rsidRDefault="009C76CF" w:rsidP="009A2337">
      <w:pPr>
        <w:widowControl w:val="0"/>
        <w:suppressAutoHyphens/>
        <w:autoSpaceDE w:val="0"/>
        <w:autoSpaceDN w:val="0"/>
        <w:spacing w:after="0" w:line="240" w:lineRule="auto"/>
        <w:jc w:val="both"/>
        <w:textAlignment w:val="baseline"/>
        <w:rPr>
          <w:rFonts w:eastAsia="Times New Roman" w:cs="Arial"/>
          <w:lang w:val="fr-FR"/>
        </w:rPr>
      </w:pPr>
    </w:p>
    <w:p w14:paraId="10B9021A" w14:textId="77777777" w:rsidR="009C76CF" w:rsidRPr="008C3A4A" w:rsidRDefault="009C76CF" w:rsidP="009A2337">
      <w:pPr>
        <w:widowControl w:val="0"/>
        <w:suppressAutoHyphens/>
        <w:autoSpaceDE w:val="0"/>
        <w:autoSpaceDN w:val="0"/>
        <w:spacing w:after="0" w:line="240" w:lineRule="auto"/>
        <w:jc w:val="both"/>
        <w:textAlignment w:val="baseline"/>
        <w:rPr>
          <w:rFonts w:eastAsia="Times New Roman" w:cs="Arial"/>
          <w:lang w:val="fr-FR"/>
        </w:rPr>
      </w:pPr>
    </w:p>
    <w:p w14:paraId="21B42DF7" w14:textId="0A60A80B" w:rsidR="00081045" w:rsidRPr="00081045" w:rsidRDefault="002E5FB0" w:rsidP="006704FB">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t>COMMUNICATION ET GESTION DE L'INFORMATION</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2843937F" w14:textId="5585A083"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554A67C2" w14:textId="0FF9DB4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48B85236" w14:textId="6B975982"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6236BDED" w14:textId="2851BC80" w:rsidR="002E0DE9" w:rsidRPr="008C3A4A" w:rsidRDefault="005A2D74" w:rsidP="009A2337">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AF39586" wp14:editId="77DD4231">
                <wp:simplePos x="0" y="0"/>
                <wp:positionH relativeFrom="margin">
                  <wp:posOffset>895350</wp:posOffset>
                </wp:positionH>
                <wp:positionV relativeFrom="margin">
                  <wp:posOffset>3041650</wp:posOffset>
                </wp:positionV>
                <wp:extent cx="4304665" cy="18669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669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lang w:val="fr-FR"/>
                              </w:rPr>
                            </w:pPr>
                            <w:r>
                              <w:rPr>
                                <w:rFonts w:cs="Arial"/>
                                <w:lang w:val="fr-FR"/>
                              </w:rPr>
                              <w:t>Résumé :</w:t>
                            </w:r>
                          </w:p>
                          <w:p w14:paraId="12338272" w14:textId="77777777" w:rsidR="002E0DE9" w:rsidRDefault="002E0DE9" w:rsidP="00F75474">
                            <w:pPr>
                              <w:spacing w:after="0"/>
                              <w:jc w:val="both"/>
                              <w:rPr>
                                <w:rFonts w:cs="Arial"/>
                                <w:lang w:val="fr-FR"/>
                              </w:rPr>
                            </w:pPr>
                          </w:p>
                          <w:p w14:paraId="2355CD09" w14:textId="43E6D0A7" w:rsidR="0040663F" w:rsidRPr="00E44048" w:rsidRDefault="0040663F" w:rsidP="003977EB">
                            <w:pPr>
                              <w:spacing w:after="0" w:line="240" w:lineRule="auto"/>
                              <w:jc w:val="both"/>
                              <w:rPr>
                                <w:lang w:val="fr-FR"/>
                              </w:rPr>
                            </w:pPr>
                            <w:r>
                              <w:rPr>
                                <w:lang w:val="fr-FR"/>
                              </w:rPr>
                              <w:t>Ce document présente un résumé des activités de communication, de sensibilisation et de gestion de l'information depuis la 13</w:t>
                            </w:r>
                            <w:r>
                              <w:rPr>
                                <w:vertAlign w:val="superscript"/>
                                <w:lang w:val="fr-FR"/>
                              </w:rPr>
                              <w:t>e</w:t>
                            </w:r>
                            <w:r>
                              <w:rPr>
                                <w:lang w:val="fr-FR"/>
                              </w:rPr>
                              <w:t xml:space="preserve"> réunion de la Conférence des Parties (2020).</w:t>
                            </w:r>
                          </w:p>
                          <w:p w14:paraId="2DA798EE" w14:textId="77777777" w:rsidR="0040663F" w:rsidRPr="00E44048" w:rsidRDefault="0040663F" w:rsidP="003977EB">
                            <w:pPr>
                              <w:spacing w:after="0" w:line="240" w:lineRule="auto"/>
                              <w:jc w:val="both"/>
                              <w:rPr>
                                <w:lang w:val="fr-FR"/>
                              </w:rPr>
                            </w:pPr>
                          </w:p>
                          <w:p w14:paraId="4E9E87CE" w14:textId="07F82597" w:rsidR="009A08AE" w:rsidRDefault="00554293" w:rsidP="003977EB">
                            <w:pPr>
                              <w:autoSpaceDE w:val="0"/>
                              <w:autoSpaceDN w:val="0"/>
                              <w:adjustRightInd w:val="0"/>
                              <w:spacing w:after="0" w:line="240" w:lineRule="auto"/>
                              <w:jc w:val="both"/>
                              <w:rPr>
                                <w:rFonts w:cs="Arial"/>
                                <w:lang w:val="fr-FR"/>
                              </w:rPr>
                            </w:pPr>
                            <w:r>
                              <w:rPr>
                                <w:rFonts w:cs="Arial"/>
                                <w:lang w:val="fr-FR"/>
                              </w:rPr>
                              <w:t>Le document propose également une nouvelle décision visant à renforcer les activités de communication et de gestion de l'information de la Convention.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39.5pt;width:338.95pt;height:147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" strokeweight=".08811mm">
                <v:textbox>
                  <w:txbxContent>
                    <w:p w14:paraId="361301A9" w14:textId="77777777" w:rsidR="002E0DE9" w:rsidRDefault="002E0DE9" w:rsidP="00F75474">
                      <w:pPr>
                        <w:spacing w:after="0"/>
                        <w:jc w:val="both"/>
                        <w:rPr>
                          <w:rFonts w:cs="Arial"/>
                          <w:lang w:val="fr-FR"/>
                        </w:rPr>
                      </w:pPr>
                      <w:r>
                        <w:rPr>
                          <w:rFonts w:cs="Arial"/>
                          <w:lang w:val="fr-FR"/>
                        </w:rPr>
                        <w:t>Résumé :</w:t>
                      </w:r>
                    </w:p>
                    <w:p w14:paraId="12338272" w14:textId="77777777" w:rsidR="002E0DE9" w:rsidRDefault="002E0DE9" w:rsidP="00F75474">
                      <w:pPr>
                        <w:spacing w:after="0"/>
                        <w:jc w:val="both"/>
                        <w:rPr>
                          <w:rFonts w:cs="Arial"/>
                          <w:lang w:val="fr-FR"/>
                        </w:rPr>
                      </w:pPr>
                    </w:p>
                    <w:p w14:paraId="2355CD09" w14:textId="43E6D0A7" w:rsidR="0040663F" w:rsidRPr="00E44048" w:rsidRDefault="0040663F" w:rsidP="003977EB">
                      <w:pPr>
                        <w:spacing w:after="0" w:line="240" w:lineRule="auto"/>
                        <w:jc w:val="both"/>
                        <w:rPr>
                          <w:lang w:val="fr-FR"/>
                        </w:rPr>
                      </w:pPr>
                      <w:r>
                        <w:rPr>
                          <w:lang w:val="fr-FR"/>
                        </w:rPr>
                        <w:t>Ce document présente un résumé des activités de communication, de sensibilisation et de gestion de l'information depuis la 13</w:t>
                      </w:r>
                      <w:r>
                        <w:rPr>
                          <w:vertAlign w:val="superscript"/>
                          <w:lang w:val="fr-FR"/>
                        </w:rPr>
                        <w:t>e</w:t>
                      </w:r>
                      <w:r>
                        <w:rPr>
                          <w:lang w:val="fr-FR"/>
                        </w:rPr>
                        <w:t xml:space="preserve"> réunion de la Conférence des Parties (2020).</w:t>
                      </w:r>
                    </w:p>
                    <w:p w14:paraId="2DA798EE" w14:textId="77777777" w:rsidR="0040663F" w:rsidRPr="00E44048" w:rsidRDefault="0040663F" w:rsidP="003977EB">
                      <w:pPr>
                        <w:spacing w:after="0" w:line="240" w:lineRule="auto"/>
                        <w:jc w:val="both"/>
                        <w:rPr>
                          <w:lang w:val="fr-FR"/>
                        </w:rPr>
                      </w:pPr>
                    </w:p>
                    <w:p w14:paraId="4E9E87CE" w14:textId="07F82597" w:rsidR="009A08AE" w:rsidRDefault="00554293" w:rsidP="003977EB">
                      <w:pPr>
                        <w:autoSpaceDE w:val="0"/>
                        <w:autoSpaceDN w:val="0"/>
                        <w:adjustRightInd w:val="0"/>
                        <w:spacing w:after="0" w:line="240" w:lineRule="auto"/>
                        <w:jc w:val="both"/>
                        <w:rPr>
                          <w:rFonts w:cs="Arial"/>
                          <w:lang w:val="fr-FR"/>
                        </w:rPr>
                      </w:pPr>
                      <w:r>
                        <w:rPr>
                          <w:rFonts w:cs="Arial"/>
                          <w:lang w:val="fr-FR"/>
                        </w:rPr>
                        <w:t>Le document propose également une nouvelle décision visant à renforcer les activités de communication et de gestion de l'information de la Convention.</w:t>
                      </w: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fr-FR"/>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fr-FR"/>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fr-FR"/>
        </w:rPr>
      </w:pPr>
    </w:p>
    <w:p w14:paraId="422964D3" w14:textId="77777777" w:rsidR="005330F7" w:rsidRPr="008C3A4A" w:rsidRDefault="005330F7" w:rsidP="009A2337">
      <w:pPr>
        <w:spacing w:after="0" w:line="240" w:lineRule="auto"/>
        <w:jc w:val="both"/>
        <w:rPr>
          <w:lang w:val="fr-FR"/>
        </w:rPr>
      </w:pPr>
    </w:p>
    <w:p w14:paraId="490DC140" w14:textId="77777777" w:rsidR="002E0DE9" w:rsidRPr="008C3A4A" w:rsidRDefault="002E0DE9" w:rsidP="009A2337">
      <w:pPr>
        <w:spacing w:after="0" w:line="240" w:lineRule="auto"/>
        <w:jc w:val="both"/>
        <w:rPr>
          <w:lang w:val="fr-FR"/>
        </w:rPr>
      </w:pPr>
    </w:p>
    <w:p w14:paraId="2FBBA2D8" w14:textId="77777777" w:rsidR="002E0DE9" w:rsidRPr="008C3A4A" w:rsidRDefault="002E0DE9" w:rsidP="009A2337">
      <w:pPr>
        <w:spacing w:after="0" w:line="240" w:lineRule="auto"/>
        <w:jc w:val="both"/>
        <w:rPr>
          <w:lang w:val="fr-FR"/>
        </w:rPr>
      </w:pPr>
    </w:p>
    <w:p w14:paraId="4C631634" w14:textId="77777777" w:rsidR="002E0DE9" w:rsidRPr="008C3A4A" w:rsidRDefault="002E0DE9" w:rsidP="009A2337">
      <w:pPr>
        <w:spacing w:after="0" w:line="240" w:lineRule="auto"/>
        <w:jc w:val="both"/>
        <w:rPr>
          <w:lang w:val="fr-FR"/>
        </w:rPr>
      </w:pPr>
    </w:p>
    <w:p w14:paraId="1057ABA6" w14:textId="77777777" w:rsidR="002E0DE9" w:rsidRPr="008C3A4A" w:rsidRDefault="002E0DE9" w:rsidP="009A2337">
      <w:pPr>
        <w:spacing w:after="0" w:line="240" w:lineRule="auto"/>
        <w:jc w:val="both"/>
        <w:rPr>
          <w:lang w:val="fr-FR"/>
        </w:rPr>
      </w:pPr>
    </w:p>
    <w:p w14:paraId="0E60C238" w14:textId="77777777" w:rsidR="002E0DE9" w:rsidRPr="008C3A4A" w:rsidRDefault="002E0DE9" w:rsidP="009A2337">
      <w:pPr>
        <w:spacing w:after="0" w:line="240" w:lineRule="auto"/>
        <w:jc w:val="both"/>
        <w:rPr>
          <w:lang w:val="fr-FR"/>
        </w:rPr>
      </w:pPr>
    </w:p>
    <w:p w14:paraId="310799B0" w14:textId="77777777" w:rsidR="002E0DE9" w:rsidRPr="008C3A4A" w:rsidRDefault="002E0DE9" w:rsidP="009A2337">
      <w:pPr>
        <w:spacing w:after="0" w:line="240" w:lineRule="auto"/>
        <w:jc w:val="both"/>
        <w:rPr>
          <w:lang w:val="fr-FR"/>
        </w:rPr>
      </w:pPr>
    </w:p>
    <w:p w14:paraId="0B9FC963" w14:textId="77777777" w:rsidR="002E0DE9" w:rsidRPr="008C3A4A" w:rsidRDefault="002E0DE9" w:rsidP="009A2337">
      <w:pPr>
        <w:spacing w:after="0" w:line="240" w:lineRule="auto"/>
        <w:jc w:val="both"/>
        <w:rPr>
          <w:lang w:val="fr-FR"/>
        </w:rPr>
      </w:pPr>
    </w:p>
    <w:p w14:paraId="0BFD8348" w14:textId="77777777" w:rsidR="002E0DE9" w:rsidRPr="008C3A4A" w:rsidRDefault="002E0DE9" w:rsidP="009A2337">
      <w:pPr>
        <w:spacing w:after="0" w:line="240" w:lineRule="auto"/>
        <w:jc w:val="both"/>
        <w:rPr>
          <w:lang w:val="fr-FR"/>
        </w:rPr>
      </w:pPr>
    </w:p>
    <w:p w14:paraId="17A209FF" w14:textId="77777777" w:rsidR="002E0DE9" w:rsidRPr="008C3A4A" w:rsidRDefault="002E0DE9" w:rsidP="009A2337">
      <w:pPr>
        <w:spacing w:after="0" w:line="240" w:lineRule="auto"/>
        <w:jc w:val="both"/>
        <w:rPr>
          <w:lang w:val="fr-FR"/>
        </w:rPr>
      </w:pPr>
    </w:p>
    <w:p w14:paraId="3E662EE3" w14:textId="264A523E" w:rsidR="006A7DC4" w:rsidRPr="008C3A4A" w:rsidRDefault="006A7DC4" w:rsidP="009A2337">
      <w:pPr>
        <w:jc w:val="both"/>
        <w:rPr>
          <w:lang w:val="fr-FR"/>
        </w:rPr>
      </w:pPr>
      <w:r>
        <w:rPr>
          <w:lang w:val="fr-FR"/>
        </w:rPr>
        <w:br w:type="page"/>
      </w:r>
    </w:p>
    <w:p w14:paraId="597CEC49" w14:textId="50C7EB78" w:rsidR="001C6C56" w:rsidRPr="00081045" w:rsidRDefault="00572616" w:rsidP="00772A34">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lastRenderedPageBreak/>
        <w:t>COMMUNICATION ET GESTION DE L'INFORMATION</w:t>
      </w:r>
    </w:p>
    <w:p w14:paraId="0CB493DE" w14:textId="77777777" w:rsidR="00AF63ED" w:rsidRDefault="00AF63ED" w:rsidP="00772A34">
      <w:pPr>
        <w:spacing w:after="0" w:line="240" w:lineRule="auto"/>
        <w:jc w:val="both"/>
        <w:rPr>
          <w:iCs/>
          <w:lang w:val="fr-FR"/>
        </w:rPr>
      </w:pPr>
    </w:p>
    <w:p w14:paraId="7C4E3512" w14:textId="77777777" w:rsidR="0073233F" w:rsidRPr="00EE569A" w:rsidRDefault="0073233F" w:rsidP="00772A34">
      <w:pPr>
        <w:suppressAutoHyphens/>
        <w:autoSpaceDN w:val="0"/>
        <w:spacing w:after="0" w:line="240" w:lineRule="auto"/>
        <w:textAlignment w:val="baseline"/>
        <w:rPr>
          <w:rFonts w:eastAsia="Calibri" w:cs="Arial"/>
          <w:u w:val="single"/>
          <w:lang w:val="fr-FR"/>
        </w:rPr>
      </w:pPr>
      <w:r>
        <w:rPr>
          <w:rFonts w:eastAsia="Calibri" w:cs="Arial"/>
          <w:u w:val="single"/>
          <w:lang w:val="fr-FR"/>
        </w:rPr>
        <w:t>Contexte général</w:t>
      </w:r>
    </w:p>
    <w:p w14:paraId="5F56E581" w14:textId="77777777" w:rsidR="0073233F" w:rsidRDefault="0073233F" w:rsidP="00772A34">
      <w:pPr>
        <w:spacing w:after="0" w:line="240" w:lineRule="auto"/>
        <w:rPr>
          <w:rFonts w:cs="Arial"/>
          <w:lang w:val="fr-FR"/>
        </w:rPr>
      </w:pPr>
    </w:p>
    <w:p w14:paraId="072C3D27" w14:textId="77777777" w:rsidR="00772A34" w:rsidRPr="00EE569A" w:rsidRDefault="00772A34" w:rsidP="00772A34">
      <w:pPr>
        <w:spacing w:after="0" w:line="240" w:lineRule="auto"/>
        <w:rPr>
          <w:rFonts w:cs="Arial"/>
          <w:lang w:val="fr-FR"/>
        </w:rPr>
      </w:pPr>
    </w:p>
    <w:p w14:paraId="14F07BAD" w14:textId="5BD991D9" w:rsidR="00BD3FB9" w:rsidRDefault="006E5A5E" w:rsidP="00772A34">
      <w:pPr>
        <w:pStyle w:val="ListParagraph"/>
        <w:numPr>
          <w:ilvl w:val="0"/>
          <w:numId w:val="10"/>
        </w:numPr>
        <w:autoSpaceDE w:val="0"/>
        <w:autoSpaceDN w:val="0"/>
        <w:adjustRightInd w:val="0"/>
        <w:spacing w:after="0" w:line="240" w:lineRule="auto"/>
        <w:ind w:left="540" w:hanging="540"/>
        <w:jc w:val="both"/>
        <w:rPr>
          <w:rFonts w:cs="Arial"/>
          <w:lang w:val="fr-FR"/>
        </w:rPr>
      </w:pPr>
      <w:r>
        <w:rPr>
          <w:rFonts w:cs="Arial"/>
          <w:lang w:val="fr-FR"/>
        </w:rPr>
        <w:t>La 12</w:t>
      </w:r>
      <w:r>
        <w:rPr>
          <w:rFonts w:cs="Arial"/>
          <w:vertAlign w:val="superscript"/>
          <w:lang w:val="fr-FR"/>
        </w:rPr>
        <w:t>e</w:t>
      </w:r>
      <w:r>
        <w:rPr>
          <w:rFonts w:cs="Arial"/>
          <w:lang w:val="fr-FR"/>
        </w:rPr>
        <w:t xml:space="preserve"> réunion de la Conférence des Parties (COP12) a adopté </w:t>
      </w:r>
      <w:hyperlink r:id="rId12" w:history="1">
        <w:r>
          <w:rPr>
            <w:rStyle w:val="Hyperlink"/>
            <w:rFonts w:cs="Arial"/>
            <w:lang w:val="fr-FR"/>
          </w:rPr>
          <w:t>la Résolution 11.8 (Rev.COP12)</w:t>
        </w:r>
      </w:hyperlink>
      <w:r>
        <w:rPr>
          <w:rFonts w:cs="Arial"/>
          <w:lang w:val="fr-FR"/>
        </w:rPr>
        <w:t xml:space="preserve"> dans laquelle elle réitère le rôle important de la communication dans la sensibilisation du public aux espèces migratrices, aux menaces multiples auxquelles elles sont confrontées et aux obstacles à leur migration, ainsi que dans l'encouragement des actions visant à atténuer ces menaces tant au niveau national qu'international. </w:t>
      </w:r>
      <w:r>
        <w:rPr>
          <w:lang w:val="fr-FR"/>
        </w:rPr>
        <w:t xml:space="preserve">Elle a également reconnu la nécessité de fournir des ressources adéquates dans le budget de la CMS pour soutenir la mise en œuvre des activités de communication et de gestion de l'information, et a demandé aux Parties de fournir des contributions volontaires pour la mise en œuvre des </w:t>
      </w:r>
      <w:r>
        <w:rPr>
          <w:color w:val="000000" w:themeColor="text1"/>
          <w:lang w:val="fr-FR"/>
        </w:rPr>
        <w:t>activités de communication en cours du Secrétariat.</w:t>
      </w:r>
    </w:p>
    <w:p w14:paraId="3D20BB45" w14:textId="77777777" w:rsidR="00335923" w:rsidRPr="00335923" w:rsidRDefault="00335923" w:rsidP="00772A34">
      <w:pPr>
        <w:pStyle w:val="ListParagraph"/>
        <w:autoSpaceDE w:val="0"/>
        <w:autoSpaceDN w:val="0"/>
        <w:adjustRightInd w:val="0"/>
        <w:spacing w:after="0" w:line="240" w:lineRule="auto"/>
        <w:ind w:left="540" w:hanging="540"/>
        <w:jc w:val="both"/>
        <w:rPr>
          <w:rFonts w:cs="Arial"/>
          <w:lang w:val="fr-FR"/>
        </w:rPr>
      </w:pPr>
    </w:p>
    <w:p w14:paraId="23AF8146" w14:textId="3D05C4CD" w:rsidR="0073233F" w:rsidRPr="00EE569A" w:rsidRDefault="0073233F" w:rsidP="00772A34">
      <w:pPr>
        <w:pStyle w:val="ListParagraph"/>
        <w:numPr>
          <w:ilvl w:val="0"/>
          <w:numId w:val="10"/>
        </w:numPr>
        <w:autoSpaceDE w:val="0"/>
        <w:autoSpaceDN w:val="0"/>
        <w:adjustRightInd w:val="0"/>
        <w:spacing w:after="0" w:line="240" w:lineRule="auto"/>
        <w:ind w:left="540" w:hanging="540"/>
        <w:jc w:val="both"/>
        <w:rPr>
          <w:rFonts w:cs="Arial"/>
          <w:lang w:val="fr-FR"/>
        </w:rPr>
      </w:pPr>
      <w:r>
        <w:rPr>
          <w:rFonts w:cs="Arial"/>
          <w:color w:val="000000"/>
          <w:lang w:val="fr-FR"/>
        </w:rPr>
        <w:t>Le Programme de travail</w:t>
      </w:r>
      <w:r>
        <w:rPr>
          <w:color w:val="FF0000"/>
          <w:lang w:val="fr-FR"/>
        </w:rPr>
        <w:t xml:space="preserve"> </w:t>
      </w:r>
      <w:r>
        <w:rPr>
          <w:rFonts w:cs="Arial"/>
          <w:color w:val="000000"/>
          <w:lang w:val="fr-FR"/>
        </w:rPr>
        <w:t>pour la période intersessions entre la COP13 et la COP14 (</w:t>
      </w:r>
      <w:hyperlink r:id="rId13" w:history="1">
        <w:r>
          <w:rPr>
            <w:rStyle w:val="Hyperlink"/>
            <w:rFonts w:cs="Arial"/>
            <w:lang w:val="fr-FR"/>
          </w:rPr>
          <w:t>Résolution 13.2/Annexe 6</w:t>
        </w:r>
      </w:hyperlink>
      <w:r>
        <w:rPr>
          <w:rFonts w:cs="Arial"/>
          <w:color w:val="000000"/>
          <w:lang w:val="fr-FR"/>
        </w:rPr>
        <w:t xml:space="preserve">) </w:t>
      </w:r>
      <w:r>
        <w:rPr>
          <w:rFonts w:cs="Arial"/>
          <w:lang w:val="fr-FR"/>
        </w:rPr>
        <w:t>contenait une liste de tâches et de besoins budgétaires connexes dans les sections sur la gestion de l'information, la communication et la sensibilisation.</w:t>
      </w:r>
    </w:p>
    <w:p w14:paraId="1EFF1420" w14:textId="77777777" w:rsidR="0073233F" w:rsidRPr="00EE569A" w:rsidRDefault="0073233F" w:rsidP="00772A34">
      <w:pPr>
        <w:pStyle w:val="Default"/>
        <w:ind w:left="540" w:hanging="540"/>
        <w:jc w:val="both"/>
        <w:rPr>
          <w:rFonts w:ascii="Arial" w:hAnsi="Arial" w:cs="Arial"/>
          <w:sz w:val="22"/>
          <w:szCs w:val="22"/>
          <w:lang w:val="fr-FR"/>
        </w:rPr>
      </w:pPr>
    </w:p>
    <w:p w14:paraId="3AB3E438" w14:textId="3A65073A" w:rsidR="0073233F" w:rsidRPr="00EE569A" w:rsidRDefault="002B572E" w:rsidP="00772A34">
      <w:pPr>
        <w:pStyle w:val="Default"/>
        <w:numPr>
          <w:ilvl w:val="0"/>
          <w:numId w:val="10"/>
        </w:numPr>
        <w:ind w:left="540" w:hanging="540"/>
        <w:jc w:val="both"/>
        <w:rPr>
          <w:rFonts w:ascii="Arial" w:hAnsi="Arial" w:cs="Arial"/>
          <w:sz w:val="22"/>
          <w:szCs w:val="22"/>
          <w:lang w:val="fr-FR"/>
        </w:rPr>
      </w:pPr>
      <w:r>
        <w:rPr>
          <w:rFonts w:ascii="Arial" w:hAnsi="Arial" w:cs="Arial"/>
          <w:sz w:val="22"/>
          <w:szCs w:val="22"/>
          <w:lang w:val="fr-FR"/>
        </w:rPr>
        <w:t xml:space="preserve">La COP13 a adopté la </w:t>
      </w:r>
      <w:hyperlink r:id="rId14" w:history="1">
        <w:r>
          <w:rPr>
            <w:rStyle w:val="Hyperlink"/>
            <w:rFonts w:ascii="Arial" w:hAnsi="Arial" w:cs="Arial"/>
            <w:sz w:val="22"/>
            <w:szCs w:val="22"/>
            <w:lang w:val="fr-FR"/>
          </w:rPr>
          <w:t>Résolution 11.9 (Rev.COP13)</w:t>
        </w:r>
      </w:hyperlink>
      <w:r>
        <w:rPr>
          <w:rFonts w:ascii="Arial" w:hAnsi="Arial" w:cs="Arial"/>
          <w:sz w:val="22"/>
          <w:szCs w:val="22"/>
          <w:lang w:val="fr-FR"/>
        </w:rPr>
        <w:t xml:space="preserve"> sur la célébration annuelle de la Journée mondiale des oiseaux migrateurs, une campagne clé de sensibilisation du public consacrée aux oiseaux migrateurs et à la conservation de la nature. La campagne est organisée conjointement par les Secrétariats de la Convention et de l'Accord sur la conservation des oiseaux d'eau migrateurs d'Afrique-Eurasie (AEWA), ainsi que par d'autres partenaires. La Résolution demande aux Parties et autres donateurs concernés de fournir des contributions volontaires pour l'organisation annuelle des Journées mondiales des oiseaux migrateurs et demande au Secrétariat de continuer à faciliter la coopération et l'échange d'informations pour soutenir la campagne.</w:t>
      </w:r>
    </w:p>
    <w:p w14:paraId="6B1F7C8A" w14:textId="77777777" w:rsidR="0073233F" w:rsidRDefault="0073233F" w:rsidP="00131EF6">
      <w:pPr>
        <w:pStyle w:val="Default"/>
        <w:jc w:val="both"/>
        <w:rPr>
          <w:rFonts w:ascii="Arial" w:hAnsi="Arial" w:cs="Arial"/>
          <w:sz w:val="22"/>
          <w:szCs w:val="22"/>
          <w:lang w:val="fr-FR"/>
        </w:rPr>
      </w:pPr>
    </w:p>
    <w:p w14:paraId="548DE5A4" w14:textId="3CFA9B0D" w:rsidR="0073233F" w:rsidRPr="00EE569A" w:rsidRDefault="0073233F" w:rsidP="0073233F">
      <w:pPr>
        <w:spacing w:after="0" w:line="240" w:lineRule="auto"/>
        <w:ind w:left="540" w:hanging="540"/>
        <w:rPr>
          <w:rFonts w:cs="Arial"/>
          <w:u w:val="single"/>
          <w:lang w:val="fr-FR"/>
        </w:rPr>
      </w:pPr>
      <w:r>
        <w:rPr>
          <w:rFonts w:cs="Arial"/>
          <w:u w:val="single"/>
          <w:lang w:val="fr-FR"/>
        </w:rPr>
        <w:t xml:space="preserve">Activités depuis la COP13 </w:t>
      </w:r>
    </w:p>
    <w:p w14:paraId="62AFA4EF" w14:textId="77777777" w:rsidR="0073233F" w:rsidRPr="00EE569A" w:rsidRDefault="0073233F" w:rsidP="0073233F">
      <w:pPr>
        <w:spacing w:after="0" w:line="240" w:lineRule="auto"/>
        <w:ind w:left="540" w:hanging="540"/>
        <w:rPr>
          <w:rFonts w:cs="Arial"/>
          <w:lang w:val="fr-FR"/>
        </w:rPr>
      </w:pPr>
    </w:p>
    <w:p w14:paraId="7ED322C7" w14:textId="215BB42E" w:rsidR="0080442A" w:rsidRPr="0080442A" w:rsidRDefault="0099794D" w:rsidP="00772A34">
      <w:pPr>
        <w:pStyle w:val="Default"/>
        <w:numPr>
          <w:ilvl w:val="0"/>
          <w:numId w:val="10"/>
        </w:numPr>
        <w:ind w:left="547" w:hanging="547"/>
        <w:jc w:val="both"/>
        <w:rPr>
          <w:rFonts w:cs="Arial"/>
          <w:u w:val="single"/>
          <w:lang w:val="fr-FR"/>
        </w:rPr>
      </w:pPr>
      <w:r>
        <w:rPr>
          <w:rFonts w:ascii="Arial" w:hAnsi="Arial" w:cs="Arial"/>
          <w:sz w:val="22"/>
          <w:szCs w:val="22"/>
          <w:lang w:val="fr-FR"/>
        </w:rPr>
        <w:t xml:space="preserve">Au cours de la période intersessions entre la COP13 et la COP14, le Secrétariat, par l'intermédiaire de son Unité de gestion de l'information, de communication et de sensibilisation (IMCA) de la CMS/AEWA, a fourni une longue liste d'activités de communication et de sensibilisation. </w:t>
      </w:r>
      <w:r>
        <w:rPr>
          <w:rFonts w:ascii="Arial" w:hAnsi="Arial" w:cs="Arial"/>
          <w:color w:val="000000" w:themeColor="text1"/>
          <w:sz w:val="22"/>
          <w:szCs w:val="22"/>
          <w:lang w:val="fr-FR"/>
        </w:rPr>
        <w:t>L'objectif</w:t>
      </w:r>
      <w:r>
        <w:rPr>
          <w:rFonts w:ascii="Arial" w:hAnsi="Arial" w:cs="Arial"/>
          <w:sz w:val="22"/>
          <w:szCs w:val="22"/>
          <w:lang w:val="fr-FR"/>
        </w:rPr>
        <w:t xml:space="preserve"> de ces activités était de sensibiliser le public aux espèces migratrices et aux multiples menaces auxquelles elles sont confrontées, et de </w:t>
      </w:r>
      <w:r>
        <w:rPr>
          <w:rFonts w:ascii="Arial" w:hAnsi="Arial" w:cs="Arial"/>
          <w:color w:val="000000" w:themeColor="text1"/>
          <w:sz w:val="22"/>
          <w:szCs w:val="22"/>
          <w:lang w:val="fr-FR"/>
        </w:rPr>
        <w:t>renforcer</w:t>
      </w:r>
      <w:r>
        <w:rPr>
          <w:rFonts w:ascii="Arial" w:hAnsi="Arial"/>
          <w:color w:val="000000" w:themeColor="text1"/>
          <w:sz w:val="22"/>
          <w:lang w:val="fr-FR"/>
        </w:rPr>
        <w:t xml:space="preserve"> </w:t>
      </w:r>
      <w:r>
        <w:rPr>
          <w:rFonts w:ascii="Arial" w:hAnsi="Arial" w:cs="Arial"/>
          <w:sz w:val="22"/>
          <w:szCs w:val="22"/>
          <w:lang w:val="fr-FR"/>
        </w:rPr>
        <w:t xml:space="preserve">le profil de la Convention par le biais de divers forums tels que de nouveaux partenariats, des médias internationaux et nationaux, et des médias sociaux. </w:t>
      </w:r>
    </w:p>
    <w:p w14:paraId="2355BCF1" w14:textId="77777777" w:rsidR="0080442A" w:rsidRPr="0080442A" w:rsidRDefault="0080442A" w:rsidP="00772A34">
      <w:pPr>
        <w:pStyle w:val="Default"/>
        <w:ind w:left="547" w:hanging="547"/>
        <w:jc w:val="both"/>
        <w:rPr>
          <w:rFonts w:cs="Arial"/>
          <w:u w:val="single"/>
          <w:lang w:val="fr-FR"/>
        </w:rPr>
      </w:pPr>
    </w:p>
    <w:p w14:paraId="7A4CF81F" w14:textId="13632FED" w:rsidR="0073233F" w:rsidRPr="0099794D" w:rsidRDefault="0080442A" w:rsidP="00772A34">
      <w:pPr>
        <w:pStyle w:val="Default"/>
        <w:numPr>
          <w:ilvl w:val="0"/>
          <w:numId w:val="10"/>
        </w:numPr>
        <w:ind w:left="547" w:hanging="547"/>
        <w:jc w:val="both"/>
        <w:rPr>
          <w:rFonts w:cs="Arial"/>
          <w:u w:val="single"/>
          <w:lang w:val="fr-FR"/>
        </w:rPr>
      </w:pPr>
      <w:r>
        <w:rPr>
          <w:rFonts w:ascii="Arial" w:hAnsi="Arial" w:cs="Arial"/>
          <w:sz w:val="22"/>
          <w:szCs w:val="22"/>
          <w:lang w:val="fr-FR"/>
        </w:rPr>
        <w:t xml:space="preserve">Quatre-vingt-huit articles, y compris des communiqués de presse, ont été produits et publiés sur le site web de la CMS, avec un impact positif sur le nombre de visiteurs et de pages vues. Le nombre de visiteurs du site web au cours de la période intersessions actuelle (1er mars 2020 – 12 décembre 2023) a augmenté de 40 % et le nombre de pages vues de 10 %, par rapport à la période quadriennale précédente (1er mars 2016 – 12 décembre 2019). Ces chiffres sont convaincants étant donné que la période précédente comprenait une augmentation des activités de sensibilisation lors de la COP12 (octobre 2017). </w:t>
      </w:r>
    </w:p>
    <w:p w14:paraId="253C599A" w14:textId="77777777" w:rsidR="0099794D" w:rsidRPr="0099794D" w:rsidRDefault="0099794D" w:rsidP="00772A34">
      <w:pPr>
        <w:pStyle w:val="Default"/>
        <w:ind w:left="547" w:hanging="547"/>
        <w:jc w:val="both"/>
        <w:rPr>
          <w:rFonts w:cs="Arial"/>
          <w:u w:val="single"/>
          <w:lang w:val="fr-FR"/>
        </w:rPr>
      </w:pPr>
    </w:p>
    <w:p w14:paraId="269AF6CD" w14:textId="569D4255" w:rsidR="00722DE2" w:rsidRPr="00722DE2" w:rsidRDefault="0080442A" w:rsidP="00772A34">
      <w:pPr>
        <w:pStyle w:val="Default"/>
        <w:numPr>
          <w:ilvl w:val="0"/>
          <w:numId w:val="10"/>
        </w:numPr>
        <w:ind w:left="547" w:hanging="547"/>
        <w:jc w:val="both"/>
        <w:rPr>
          <w:rFonts w:cs="Arial"/>
          <w:u w:val="single"/>
          <w:lang w:val="fr-FR"/>
        </w:rPr>
      </w:pPr>
      <w:r>
        <w:rPr>
          <w:rFonts w:ascii="Arial" w:hAnsi="Arial" w:cs="Arial"/>
          <w:sz w:val="22"/>
          <w:szCs w:val="22"/>
          <w:lang w:val="fr-FR"/>
        </w:rPr>
        <w:t xml:space="preserve">Une partie de </w:t>
      </w:r>
      <w:r>
        <w:rPr>
          <w:rFonts w:ascii="Arial" w:hAnsi="Arial" w:cs="Arial"/>
          <w:color w:val="auto"/>
          <w:sz w:val="22"/>
          <w:szCs w:val="22"/>
          <w:lang w:val="fr-FR"/>
        </w:rPr>
        <w:t>l'augmentation</w:t>
      </w:r>
      <w:r>
        <w:rPr>
          <w:rFonts w:ascii="Arial" w:hAnsi="Arial"/>
          <w:color w:val="FF0000"/>
          <w:sz w:val="22"/>
          <w:lang w:val="fr-FR"/>
        </w:rPr>
        <w:t xml:space="preserve"> </w:t>
      </w:r>
      <w:r>
        <w:rPr>
          <w:rFonts w:ascii="Arial" w:hAnsi="Arial" w:cs="Arial"/>
          <w:sz w:val="22"/>
          <w:szCs w:val="22"/>
          <w:lang w:val="fr-FR"/>
        </w:rPr>
        <w:t xml:space="preserve">de l'utilisation du site web de la CMS est liée à l'augmentation des </w:t>
      </w:r>
      <w:r>
        <w:rPr>
          <w:rFonts w:ascii="Arial" w:hAnsi="Arial"/>
          <w:color w:val="000000" w:themeColor="text1"/>
          <w:sz w:val="22"/>
          <w:lang w:val="fr-FR"/>
        </w:rPr>
        <w:t>activités</w:t>
      </w:r>
      <w:r>
        <w:rPr>
          <w:rFonts w:ascii="Arial" w:hAnsi="Arial" w:cs="Arial"/>
          <w:sz w:val="22"/>
          <w:szCs w:val="22"/>
          <w:lang w:val="fr-FR"/>
        </w:rPr>
        <w:t xml:space="preserve"> de sensibilisation des médias du Secrétariat, en particulier le lancement médiatique de huit initiatives, rapports et publications de la CMS, ainsi que </w:t>
      </w:r>
      <w:r>
        <w:rPr>
          <w:rFonts w:ascii="Arial" w:hAnsi="Arial"/>
          <w:color w:val="auto"/>
          <w:sz w:val="22"/>
          <w:lang w:val="fr-FR"/>
        </w:rPr>
        <w:t xml:space="preserve">des interviews recueillies </w:t>
      </w:r>
      <w:r>
        <w:rPr>
          <w:rFonts w:ascii="Arial" w:hAnsi="Arial" w:cs="Arial"/>
          <w:sz w:val="22"/>
          <w:szCs w:val="22"/>
          <w:lang w:val="fr-FR"/>
        </w:rPr>
        <w:t xml:space="preserve">et des références à la CMS dans des articles de presse. Par </w:t>
      </w:r>
      <w:r>
        <w:rPr>
          <w:rFonts w:ascii="Arial" w:hAnsi="Arial" w:cs="Arial"/>
          <w:sz w:val="22"/>
          <w:szCs w:val="22"/>
          <w:lang w:val="fr-FR"/>
        </w:rPr>
        <w:lastRenderedPageBreak/>
        <w:t>exemple, le lancement du rapport de la CMS sur les</w:t>
      </w:r>
      <w:r>
        <w:rPr>
          <w:lang w:val="fr-FR"/>
        </w:rPr>
        <w:t xml:space="preserve"> </w:t>
      </w:r>
      <w:hyperlink r:id="rId15" w:history="1">
        <w:r>
          <w:rPr>
            <w:rStyle w:val="Hyperlink"/>
            <w:rFonts w:ascii="Arial" w:hAnsi="Arial" w:cs="Arial"/>
            <w:sz w:val="22"/>
            <w:szCs w:val="22"/>
            <w:lang w:val="fr-FR"/>
          </w:rPr>
          <w:t>impacts de la pollution plastique sur les espèces migratrices</w:t>
        </w:r>
      </w:hyperlink>
      <w:r>
        <w:rPr>
          <w:rFonts w:ascii="Arial" w:hAnsi="Arial" w:cs="Arial"/>
          <w:sz w:val="22"/>
          <w:szCs w:val="22"/>
          <w:lang w:val="fr-FR"/>
        </w:rPr>
        <w:t xml:space="preserve">, le 31 août 2021, a été couvert par plus de 100 médias dans 30 pays, y compris des sources de premier plan telles que la BBC, l'Independent, l'AFP, le Japan Times, Newsweek et France24. </w:t>
      </w:r>
    </w:p>
    <w:p w14:paraId="0D55D523" w14:textId="77777777" w:rsidR="00722DE2" w:rsidRPr="00722DE2" w:rsidRDefault="00722DE2" w:rsidP="00772A34">
      <w:pPr>
        <w:pStyle w:val="Default"/>
        <w:ind w:left="547" w:hanging="547"/>
        <w:jc w:val="both"/>
        <w:rPr>
          <w:rFonts w:cs="Arial"/>
          <w:u w:val="single"/>
          <w:lang w:val="fr-FR"/>
        </w:rPr>
      </w:pPr>
    </w:p>
    <w:p w14:paraId="430B6127" w14:textId="0F6C3826" w:rsidR="00722DE2" w:rsidRPr="0006251B" w:rsidRDefault="00722DE2" w:rsidP="00772A34">
      <w:pPr>
        <w:pStyle w:val="Default"/>
        <w:numPr>
          <w:ilvl w:val="0"/>
          <w:numId w:val="10"/>
        </w:numPr>
        <w:ind w:left="547" w:hanging="547"/>
        <w:jc w:val="both"/>
        <w:rPr>
          <w:color w:val="auto"/>
          <w:u w:val="single"/>
          <w:lang w:val="fr-FR"/>
        </w:rPr>
      </w:pPr>
      <w:r>
        <w:rPr>
          <w:rFonts w:ascii="Arial" w:hAnsi="Arial" w:cs="Arial"/>
          <w:sz w:val="22"/>
          <w:szCs w:val="22"/>
          <w:lang w:val="fr-FR"/>
        </w:rPr>
        <w:t xml:space="preserve">Le Secrétariat s'est également engagé activement auprès de divers publics sur les médias sociaux. Le nombre de followers sur le compte officiel X (anciennement Twitter) de la Convention a augmenté de 35 % depuis la COP13. </w:t>
      </w:r>
      <w:r>
        <w:rPr>
          <w:rFonts w:ascii="Arial" w:hAnsi="Arial"/>
          <w:color w:val="auto"/>
          <w:sz w:val="22"/>
          <w:lang w:val="fr-FR"/>
        </w:rPr>
        <w:t xml:space="preserve">Avec de nouvelles présences sur les plateformes, le Secrétariat vise à atteindre </w:t>
      </w:r>
      <w:r>
        <w:rPr>
          <w:rFonts w:ascii="Arial" w:hAnsi="Arial" w:cs="Arial"/>
          <w:color w:val="auto"/>
          <w:sz w:val="22"/>
          <w:szCs w:val="22"/>
          <w:lang w:val="fr-FR"/>
        </w:rPr>
        <w:t>à la fois</w:t>
      </w:r>
      <w:r>
        <w:rPr>
          <w:rFonts w:ascii="Arial" w:hAnsi="Arial"/>
          <w:color w:val="auto"/>
          <w:sz w:val="22"/>
          <w:lang w:val="fr-FR"/>
        </w:rPr>
        <w:t xml:space="preserve"> les audiences professionnelles </w:t>
      </w:r>
      <w:r>
        <w:rPr>
          <w:rFonts w:ascii="Arial" w:hAnsi="Arial" w:cs="Arial"/>
          <w:color w:val="auto"/>
          <w:sz w:val="22"/>
          <w:szCs w:val="22"/>
          <w:lang w:val="fr-FR"/>
        </w:rPr>
        <w:t>grâce au</w:t>
      </w:r>
      <w:r>
        <w:rPr>
          <w:rFonts w:ascii="Arial" w:hAnsi="Arial"/>
          <w:color w:val="auto"/>
          <w:sz w:val="22"/>
          <w:lang w:val="fr-FR"/>
        </w:rPr>
        <w:t xml:space="preserve"> compte officiel LinkedIn de la CMS </w:t>
      </w:r>
      <w:r>
        <w:rPr>
          <w:rFonts w:ascii="Arial" w:hAnsi="Arial" w:cs="Arial"/>
          <w:color w:val="auto"/>
          <w:sz w:val="22"/>
          <w:szCs w:val="22"/>
          <w:lang w:val="fr-FR"/>
        </w:rPr>
        <w:t xml:space="preserve">(lancé </w:t>
      </w:r>
      <w:r>
        <w:rPr>
          <w:rFonts w:ascii="Arial" w:hAnsi="Arial"/>
          <w:color w:val="auto"/>
          <w:sz w:val="22"/>
          <w:lang w:val="fr-FR"/>
        </w:rPr>
        <w:t>en 2022</w:t>
      </w:r>
      <w:r>
        <w:rPr>
          <w:rFonts w:ascii="Arial" w:hAnsi="Arial" w:cs="Arial"/>
          <w:color w:val="auto"/>
          <w:sz w:val="22"/>
          <w:szCs w:val="22"/>
          <w:lang w:val="fr-FR"/>
        </w:rPr>
        <w:t>),</w:t>
      </w:r>
      <w:r>
        <w:rPr>
          <w:rFonts w:ascii="Arial" w:hAnsi="Arial"/>
          <w:color w:val="auto"/>
          <w:sz w:val="22"/>
          <w:lang w:val="fr-FR"/>
        </w:rPr>
        <w:t xml:space="preserve"> et le grand public </w:t>
      </w:r>
      <w:r>
        <w:rPr>
          <w:rFonts w:ascii="Arial" w:hAnsi="Arial" w:cs="Arial"/>
          <w:color w:val="auto"/>
          <w:sz w:val="22"/>
          <w:szCs w:val="22"/>
          <w:lang w:val="fr-FR"/>
        </w:rPr>
        <w:t>à travers son compte</w:t>
      </w:r>
      <w:r>
        <w:rPr>
          <w:rFonts w:ascii="Arial" w:hAnsi="Arial"/>
          <w:color w:val="auto"/>
          <w:sz w:val="22"/>
          <w:lang w:val="fr-FR"/>
        </w:rPr>
        <w:t xml:space="preserve"> Instagram </w:t>
      </w:r>
      <w:r>
        <w:rPr>
          <w:rFonts w:ascii="Arial" w:hAnsi="Arial" w:cs="Arial"/>
          <w:color w:val="auto"/>
          <w:sz w:val="22"/>
          <w:szCs w:val="22"/>
          <w:lang w:val="fr-FR"/>
        </w:rPr>
        <w:t xml:space="preserve">(lancé </w:t>
      </w:r>
      <w:r>
        <w:rPr>
          <w:rFonts w:ascii="Arial" w:hAnsi="Arial"/>
          <w:color w:val="auto"/>
          <w:sz w:val="22"/>
          <w:lang w:val="fr-FR"/>
        </w:rPr>
        <w:t>le 1er janvier 2023</w:t>
      </w:r>
      <w:r>
        <w:rPr>
          <w:rFonts w:ascii="Arial" w:hAnsi="Arial" w:cs="Arial"/>
          <w:color w:val="auto"/>
          <w:sz w:val="22"/>
          <w:szCs w:val="22"/>
          <w:lang w:val="fr-FR"/>
        </w:rPr>
        <w:t>).</w:t>
      </w:r>
    </w:p>
    <w:p w14:paraId="45F53BD7" w14:textId="77777777" w:rsidR="00722DE2" w:rsidRPr="00722DE2" w:rsidRDefault="00722DE2" w:rsidP="00772A34">
      <w:pPr>
        <w:pStyle w:val="Default"/>
        <w:ind w:left="547" w:hanging="547"/>
        <w:jc w:val="both"/>
        <w:rPr>
          <w:rFonts w:cs="Arial"/>
          <w:u w:val="single"/>
          <w:lang w:val="fr-FR"/>
        </w:rPr>
      </w:pPr>
    </w:p>
    <w:p w14:paraId="31D4B00D" w14:textId="3536F562" w:rsidR="00DD1E1D" w:rsidRPr="000E657A" w:rsidRDefault="00E3051C" w:rsidP="00772A34">
      <w:pPr>
        <w:pStyle w:val="Default"/>
        <w:numPr>
          <w:ilvl w:val="0"/>
          <w:numId w:val="10"/>
        </w:numPr>
        <w:ind w:left="547" w:hanging="547"/>
        <w:jc w:val="both"/>
        <w:rPr>
          <w:rFonts w:ascii="Arial" w:hAnsi="Arial" w:cs="Arial"/>
          <w:sz w:val="22"/>
          <w:szCs w:val="22"/>
          <w:u w:val="single"/>
          <w:lang w:val="fr-FR"/>
        </w:rPr>
      </w:pPr>
      <w:r>
        <w:rPr>
          <w:rFonts w:ascii="Arial" w:hAnsi="Arial" w:cs="Arial"/>
          <w:sz w:val="22"/>
          <w:szCs w:val="22"/>
          <w:lang w:val="fr-FR"/>
        </w:rPr>
        <w:t>Depuis sa création il y a 18 ans, la Journée mondiale des oiseaux migrateurs, campagne phare de la CMS et de l'</w:t>
      </w:r>
      <w:r>
        <w:rPr>
          <w:rFonts w:ascii="Arial" w:hAnsi="Arial"/>
          <w:color w:val="auto"/>
          <w:sz w:val="22"/>
          <w:szCs w:val="22"/>
          <w:lang w:val="fr-FR"/>
        </w:rPr>
        <w:t>AEWA</w:t>
      </w:r>
      <w:r>
        <w:rPr>
          <w:rFonts w:ascii="Arial" w:hAnsi="Arial" w:cs="Arial"/>
          <w:color w:val="auto"/>
          <w:sz w:val="22"/>
          <w:szCs w:val="22"/>
          <w:lang w:val="fr-FR"/>
        </w:rPr>
        <w:t xml:space="preserve"> (</w:t>
      </w:r>
      <w:r>
        <w:rPr>
          <w:rFonts w:ascii="Arial" w:hAnsi="Arial"/>
          <w:color w:val="auto"/>
          <w:sz w:val="22"/>
          <w:szCs w:val="22"/>
          <w:lang w:val="fr-FR"/>
        </w:rPr>
        <w:t>coordonnée par l'unité IMCA</w:t>
      </w:r>
      <w:r>
        <w:rPr>
          <w:rFonts w:ascii="Arial" w:hAnsi="Arial" w:cs="Arial"/>
          <w:color w:val="auto"/>
          <w:sz w:val="22"/>
          <w:szCs w:val="22"/>
          <w:lang w:val="fr-FR"/>
        </w:rPr>
        <w:t>),</w:t>
      </w:r>
      <w:r>
        <w:rPr>
          <w:rFonts w:ascii="Arial" w:hAnsi="Arial"/>
          <w:color w:val="auto"/>
          <w:sz w:val="22"/>
          <w:szCs w:val="22"/>
          <w:lang w:val="fr-FR"/>
        </w:rPr>
        <w:t xml:space="preserve"> </w:t>
      </w:r>
      <w:r>
        <w:rPr>
          <w:rFonts w:ascii="Arial" w:hAnsi="Arial" w:cs="Arial"/>
          <w:sz w:val="22"/>
          <w:szCs w:val="22"/>
          <w:lang w:val="fr-FR"/>
        </w:rPr>
        <w:t xml:space="preserve">n'a cessé de prendre de l'ampleur, tant en termes de nombre d'activités dans le monde que de partenaires principaux. Le partenariat établi lors de la COP12 avec Environment for the Americas </w:t>
      </w:r>
      <w:r>
        <w:rPr>
          <w:rFonts w:ascii="Arial" w:hAnsi="Arial"/>
          <w:color w:val="auto"/>
          <w:sz w:val="22"/>
          <w:szCs w:val="22"/>
          <w:lang w:val="fr-FR"/>
        </w:rPr>
        <w:t>s'est</w:t>
      </w:r>
      <w:r>
        <w:rPr>
          <w:rFonts w:ascii="Arial" w:hAnsi="Arial" w:cs="Arial"/>
          <w:color w:val="auto"/>
          <w:sz w:val="22"/>
          <w:szCs w:val="22"/>
          <w:lang w:val="fr-FR"/>
        </w:rPr>
        <w:t xml:space="preserve"> élargi pour inclure</w:t>
      </w:r>
      <w:r>
        <w:rPr>
          <w:rFonts w:ascii="Arial" w:hAnsi="Arial" w:cs="Arial"/>
          <w:sz w:val="22"/>
          <w:szCs w:val="22"/>
          <w:lang w:val="fr-FR"/>
        </w:rPr>
        <w:t xml:space="preserve"> le Secrétariat du Partenariat pour la voie de migration Asie de l'Est-Australasie (en mars 2023). Avec des centaines d'événements célébrant les oiseaux migrateurs chaque année, la campagne est devenue un puissant outil de sensibilisation du public pour la Convention, atteignant près d'un demi-milliard d'humains dans le monde entier et s'engageant avec de nouvelles entités telles que la station spatiale internationale et Airbus par le biais d'activités sur les médias sociaux. </w:t>
      </w:r>
      <w:r>
        <w:rPr>
          <w:rFonts w:ascii="Arial" w:hAnsi="Arial" w:cs="Arial"/>
          <w:color w:val="auto"/>
          <w:sz w:val="22"/>
          <w:szCs w:val="22"/>
          <w:lang w:val="fr-FR"/>
        </w:rPr>
        <w:t xml:space="preserve"> À la suite de </w:t>
      </w:r>
      <w:r>
        <w:rPr>
          <w:rFonts w:ascii="Arial" w:hAnsi="Arial"/>
          <w:color w:val="auto"/>
          <w:sz w:val="22"/>
          <w:szCs w:val="22"/>
          <w:lang w:val="fr-FR"/>
        </w:rPr>
        <w:t xml:space="preserve">consultations </w:t>
      </w:r>
      <w:r>
        <w:rPr>
          <w:rFonts w:ascii="Arial" w:hAnsi="Arial" w:cs="Arial"/>
          <w:sz w:val="22"/>
          <w:szCs w:val="22"/>
          <w:lang w:val="fr-FR"/>
        </w:rPr>
        <w:t xml:space="preserve">sur le choix du thème annuel, le Secrétariat a également mis en œuvre la </w:t>
      </w:r>
      <w:hyperlink r:id="rId16" w:history="1">
        <w:r>
          <w:rPr>
            <w:rStyle w:val="Hyperlink"/>
            <w:rFonts w:ascii="Arial" w:hAnsi="Arial" w:cs="Arial"/>
            <w:sz w:val="22"/>
            <w:szCs w:val="22"/>
            <w:lang w:val="fr-FR"/>
          </w:rPr>
          <w:t>Décision 13.138</w:t>
        </w:r>
      </w:hyperlink>
      <w:r>
        <w:rPr>
          <w:rFonts w:ascii="Arial" w:hAnsi="Arial" w:cs="Arial"/>
          <w:sz w:val="22"/>
          <w:szCs w:val="22"/>
          <w:lang w:val="fr-FR"/>
        </w:rPr>
        <w:t xml:space="preserve"> et a mis en évidence </w:t>
      </w:r>
      <w:hyperlink r:id="rId17" w:history="1">
        <w:r>
          <w:rPr>
            <w:rStyle w:val="Hyperlink"/>
            <w:rFonts w:ascii="Arial" w:hAnsi="Arial" w:cs="Arial"/>
            <w:sz w:val="22"/>
            <w:szCs w:val="22"/>
            <w:lang w:val="fr-FR"/>
          </w:rPr>
          <w:t>les effets de la pollution lumineuse sur les oiseaux migrateurs</w:t>
        </w:r>
      </w:hyperlink>
      <w:r>
        <w:rPr>
          <w:rFonts w:ascii="Arial" w:hAnsi="Arial" w:cs="Arial"/>
          <w:sz w:val="22"/>
          <w:szCs w:val="22"/>
          <w:lang w:val="fr-FR"/>
        </w:rPr>
        <w:t xml:space="preserve"> en 2022. </w:t>
      </w:r>
      <w:r>
        <w:rPr>
          <w:rFonts w:ascii="Arial" w:hAnsi="Arial" w:cs="Arial"/>
          <w:color w:val="auto"/>
          <w:sz w:val="22"/>
          <w:szCs w:val="22"/>
          <w:lang w:val="fr-FR"/>
        </w:rPr>
        <w:t xml:space="preserve">La campagne sur la pollution lumineuse a donné lieu à une collaboration très productive entre la CMS et le </w:t>
      </w:r>
      <w:hyperlink r:id="rId18" w:history="1">
        <w:r>
          <w:rPr>
            <w:rStyle w:val="Hyperlink"/>
            <w:rFonts w:ascii="Arial" w:hAnsi="Arial" w:cs="Arial"/>
            <w:sz w:val="22"/>
            <w:szCs w:val="22"/>
            <w:lang w:val="fr-FR"/>
          </w:rPr>
          <w:t>Conseil international pour les initiatives environnementales locales</w:t>
        </w:r>
      </w:hyperlink>
      <w:r>
        <w:rPr>
          <w:rFonts w:ascii="Arial" w:hAnsi="Arial" w:cs="Arial"/>
          <w:sz w:val="22"/>
          <w:szCs w:val="22"/>
          <w:lang w:val="fr-FR"/>
        </w:rPr>
        <w:t xml:space="preserve">, notamment avec le lancement d'un « </w:t>
      </w:r>
      <w:hyperlink r:id="rId19" w:history="1">
        <w:r>
          <w:rPr>
            <w:rStyle w:val="Hyperlink"/>
            <w:rFonts w:ascii="Arial" w:hAnsi="Arial" w:cs="Arial"/>
            <w:sz w:val="22"/>
            <w:szCs w:val="22"/>
            <w:lang w:val="fr-FR"/>
          </w:rPr>
          <w:t>Guide de la ville pour réduire la pollution lumineuse</w:t>
        </w:r>
      </w:hyperlink>
      <w:r>
        <w:rPr>
          <w:rFonts w:ascii="Arial" w:hAnsi="Arial" w:cs="Arial"/>
          <w:sz w:val="22"/>
          <w:szCs w:val="22"/>
          <w:lang w:val="fr-FR"/>
        </w:rPr>
        <w:t xml:space="preserve"> » en ligne, contribuant ainsi aux travaux de la CMS sur le développement de nouvelles lignes directrices mondiales proposées pour adoption à la COP14.</w:t>
      </w:r>
    </w:p>
    <w:p w14:paraId="567A8F6E" w14:textId="77777777" w:rsidR="001247AC" w:rsidRPr="00C23C53" w:rsidRDefault="001247AC" w:rsidP="00772A34">
      <w:pPr>
        <w:pStyle w:val="Default"/>
        <w:ind w:left="547" w:hanging="547"/>
        <w:jc w:val="both"/>
        <w:rPr>
          <w:rFonts w:cs="Arial"/>
          <w:u w:val="single"/>
          <w:lang w:val="fr-FR"/>
        </w:rPr>
      </w:pPr>
    </w:p>
    <w:p w14:paraId="3319BFEA" w14:textId="5A0FCE25" w:rsidR="00877095" w:rsidRPr="00F81532" w:rsidRDefault="00C8653C" w:rsidP="00772A34">
      <w:pPr>
        <w:pStyle w:val="Default"/>
        <w:numPr>
          <w:ilvl w:val="0"/>
          <w:numId w:val="10"/>
        </w:numPr>
        <w:ind w:left="547" w:hanging="547"/>
        <w:jc w:val="both"/>
        <w:rPr>
          <w:rFonts w:cs="Arial"/>
          <w:u w:val="single"/>
          <w:lang w:val="fr-FR"/>
        </w:rPr>
      </w:pPr>
      <w:r>
        <w:rPr>
          <w:rFonts w:ascii="Arial" w:hAnsi="Arial" w:cs="Arial"/>
          <w:sz w:val="22"/>
          <w:szCs w:val="22"/>
          <w:lang w:val="fr-FR"/>
        </w:rPr>
        <w:t xml:space="preserve">Au cours de l'actuelle période intersessions, le Secrétariat a lancé une étude stratégique des activités de communication et de sensibilisation avec l'aide d'un consultant en communication de haut niveau. </w:t>
      </w:r>
      <w:r>
        <w:rPr>
          <w:rFonts w:ascii="Arial" w:hAnsi="Arial" w:cs="Arial"/>
          <w:color w:val="auto"/>
          <w:sz w:val="22"/>
          <w:szCs w:val="22"/>
          <w:lang w:val="fr-FR"/>
        </w:rPr>
        <w:t>Dans le cadre du processus d'examen</w:t>
      </w:r>
      <w:r>
        <w:rPr>
          <w:rFonts w:ascii="Arial" w:hAnsi="Arial" w:cs="Arial"/>
          <w:sz w:val="22"/>
          <w:szCs w:val="22"/>
          <w:lang w:val="fr-FR"/>
        </w:rPr>
        <w:t>, deux ateliers internes ont été organisés avec l'ensemble du personnel du Secrétariat de la CMS, au cours desquels dix défis d'importance stratégique ont été identifiés, notamment l'image de marque de la famille de la CMS, les publics cibles, la communication interne, le développement de partenariats et les priorités en matière de financement</w:t>
      </w:r>
      <w:r>
        <w:rPr>
          <w:rFonts w:ascii="Arial" w:hAnsi="Arial" w:cs="Arial"/>
          <w:color w:val="auto"/>
          <w:sz w:val="22"/>
          <w:szCs w:val="22"/>
          <w:lang w:val="fr-FR"/>
        </w:rPr>
        <w:t>.</w:t>
      </w:r>
      <w:r>
        <w:rPr>
          <w:rFonts w:ascii="Arial" w:hAnsi="Arial"/>
          <w:color w:val="auto"/>
          <w:sz w:val="22"/>
          <w:szCs w:val="22"/>
          <w:lang w:val="fr-FR"/>
        </w:rPr>
        <w:t xml:space="preserve"> Une évaluation de la communication stratégique a été réalisée à la suite de ces consultations </w:t>
      </w:r>
      <w:r>
        <w:rPr>
          <w:rFonts w:ascii="Arial" w:hAnsi="Arial" w:cs="Arial"/>
          <w:color w:val="auto"/>
          <w:sz w:val="22"/>
          <w:szCs w:val="22"/>
          <w:lang w:val="fr-FR"/>
        </w:rPr>
        <w:t xml:space="preserve">(disponible </w:t>
      </w:r>
      <w:r>
        <w:rPr>
          <w:rFonts w:ascii="Arial" w:hAnsi="Arial"/>
          <w:color w:val="auto"/>
          <w:sz w:val="22"/>
          <w:szCs w:val="22"/>
          <w:lang w:val="fr-FR"/>
        </w:rPr>
        <w:t xml:space="preserve">en tant que </w:t>
      </w:r>
      <w:hyperlink r:id="rId20" w:history="1">
        <w:r>
          <w:rPr>
            <w:rStyle w:val="Hyperlink"/>
            <w:rFonts w:ascii="Arial" w:hAnsi="Arial"/>
            <w:color w:val="auto"/>
            <w:sz w:val="22"/>
            <w:szCs w:val="22"/>
            <w:lang w:val="fr-FR"/>
          </w:rPr>
          <w:t>document d'information 19</w:t>
        </w:r>
      </w:hyperlink>
      <w:r>
        <w:rPr>
          <w:rStyle w:val="Hyperlink"/>
          <w:rFonts w:ascii="Arial" w:hAnsi="Arial" w:cs="Arial"/>
          <w:color w:val="auto"/>
          <w:sz w:val="22"/>
          <w:szCs w:val="22"/>
          <w:u w:val="none"/>
          <w:lang w:val="fr-FR"/>
        </w:rPr>
        <w:t>).</w:t>
      </w:r>
      <w:r>
        <w:rPr>
          <w:rFonts w:ascii="Arial" w:hAnsi="Arial"/>
          <w:color w:val="auto"/>
          <w:sz w:val="22"/>
          <w:szCs w:val="22"/>
          <w:lang w:val="fr-FR"/>
        </w:rPr>
        <w:t xml:space="preserve"> Sur la base des conclusions de cette évaluation, </w:t>
      </w:r>
      <w:r>
        <w:rPr>
          <w:rFonts w:ascii="Arial" w:hAnsi="Arial" w:cs="Arial"/>
          <w:color w:val="auto"/>
          <w:sz w:val="22"/>
          <w:szCs w:val="22"/>
          <w:lang w:val="fr-FR"/>
        </w:rPr>
        <w:t>un</w:t>
      </w:r>
      <w:r>
        <w:rPr>
          <w:rFonts w:ascii="Arial" w:hAnsi="Arial"/>
          <w:color w:val="auto"/>
          <w:sz w:val="22"/>
          <w:szCs w:val="22"/>
          <w:lang w:val="fr-FR"/>
        </w:rPr>
        <w:t xml:space="preserve"> </w:t>
      </w:r>
      <w:r>
        <w:rPr>
          <w:rFonts w:ascii="Arial" w:hAnsi="Arial" w:cs="Arial"/>
          <w:color w:val="auto"/>
          <w:sz w:val="22"/>
          <w:szCs w:val="22"/>
          <w:lang w:val="fr-FR"/>
        </w:rPr>
        <w:t>plan de mise en œuvre</w:t>
      </w:r>
      <w:r>
        <w:rPr>
          <w:rFonts w:ascii="Arial" w:hAnsi="Arial"/>
          <w:color w:val="auto"/>
          <w:sz w:val="22"/>
          <w:szCs w:val="22"/>
          <w:lang w:val="fr-FR"/>
        </w:rPr>
        <w:t xml:space="preserve"> d'une nouvelle stratégie de communication, </w:t>
      </w:r>
      <w:r>
        <w:rPr>
          <w:rFonts w:ascii="Arial" w:hAnsi="Arial" w:cs="Arial"/>
          <w:sz w:val="22"/>
          <w:szCs w:val="22"/>
          <w:lang w:val="fr-FR"/>
        </w:rPr>
        <w:t>qui inclut les recommandations du nouveau Plan stratégique pour les espèces migratrices en matière de communication, sera élaboré après la COP14.</w:t>
      </w:r>
    </w:p>
    <w:p w14:paraId="6356A3A3" w14:textId="77777777" w:rsidR="00877095" w:rsidRPr="00877095" w:rsidRDefault="00877095" w:rsidP="00772A34">
      <w:pPr>
        <w:pStyle w:val="Default"/>
        <w:ind w:left="547" w:hanging="547"/>
        <w:jc w:val="both"/>
        <w:rPr>
          <w:rFonts w:cs="Arial"/>
          <w:u w:val="single"/>
          <w:lang w:val="fr-FR"/>
        </w:rPr>
      </w:pPr>
    </w:p>
    <w:p w14:paraId="790736B3" w14:textId="74C0CF6D" w:rsidR="00133925" w:rsidRPr="00133925" w:rsidRDefault="002A33B7" w:rsidP="00772A34">
      <w:pPr>
        <w:pStyle w:val="Default"/>
        <w:numPr>
          <w:ilvl w:val="0"/>
          <w:numId w:val="10"/>
        </w:numPr>
        <w:ind w:left="547" w:hanging="547"/>
        <w:jc w:val="both"/>
        <w:rPr>
          <w:rFonts w:cs="Arial"/>
          <w:u w:val="single"/>
          <w:lang w:val="fr-FR"/>
        </w:rPr>
      </w:pPr>
      <w:r>
        <w:rPr>
          <w:rFonts w:ascii="Arial" w:hAnsi="Arial" w:cs="Arial"/>
          <w:sz w:val="22"/>
          <w:szCs w:val="22"/>
          <w:lang w:val="fr-FR"/>
        </w:rPr>
        <w:t>Les activités de gestion de l'information de l'unité IMCA</w:t>
      </w:r>
      <w:r>
        <w:rPr>
          <w:rFonts w:ascii="Arial" w:hAnsi="Arial"/>
          <w:color w:val="FF0000"/>
          <w:sz w:val="22"/>
          <w:lang w:val="fr-FR"/>
        </w:rPr>
        <w:t xml:space="preserve"> </w:t>
      </w:r>
      <w:r>
        <w:rPr>
          <w:rFonts w:ascii="Arial" w:hAnsi="Arial"/>
          <w:color w:val="auto"/>
          <w:sz w:val="22"/>
          <w:lang w:val="fr-FR"/>
        </w:rPr>
        <w:t xml:space="preserve">comprenaient la </w:t>
      </w:r>
      <w:r>
        <w:rPr>
          <w:rFonts w:ascii="Arial" w:hAnsi="Arial" w:cs="Arial"/>
          <w:sz w:val="22"/>
          <w:szCs w:val="22"/>
          <w:lang w:val="fr-FR"/>
        </w:rPr>
        <w:t xml:space="preserve">mise en œuvre technique et le soutien du processus des rapports nationaux de la CMS de la COP14, ainsi que la maintenance technique des sites web de la Convention, de ses MdE et des accords de la famille de la CMS (AEWA et ASCOBANS). </w:t>
      </w:r>
      <w:r>
        <w:rPr>
          <w:rFonts w:ascii="Arial" w:hAnsi="Arial" w:cs="Arial"/>
          <w:color w:val="auto"/>
          <w:sz w:val="22"/>
          <w:szCs w:val="22"/>
          <w:lang w:val="fr-FR"/>
        </w:rPr>
        <w:t>Les améliorations apportées à</w:t>
      </w:r>
      <w:r>
        <w:rPr>
          <w:rFonts w:ascii="Arial" w:hAnsi="Arial"/>
          <w:color w:val="auto"/>
          <w:sz w:val="22"/>
          <w:lang w:val="fr-FR"/>
        </w:rPr>
        <w:t xml:space="preserve"> l'expérience de l'utilisateur sur </w:t>
      </w:r>
      <w:r>
        <w:rPr>
          <w:rFonts w:ascii="Arial" w:hAnsi="Arial" w:cs="Arial"/>
          <w:sz w:val="22"/>
          <w:szCs w:val="22"/>
          <w:lang w:val="fr-FR"/>
        </w:rPr>
        <w:t xml:space="preserve">le site web de la CMS comprennent le développement de plusieurs pages web dédiées à des sujets spécifiques tels que la connectivité écologique, le projet de contre-mesures du PNUE et l'initiative mondiale sur la migration des ongulés. </w:t>
      </w:r>
    </w:p>
    <w:p w14:paraId="7BE7107F" w14:textId="77777777" w:rsidR="00133925" w:rsidRPr="00133925" w:rsidRDefault="00133925" w:rsidP="00772A34">
      <w:pPr>
        <w:pStyle w:val="Default"/>
        <w:ind w:left="547" w:hanging="547"/>
        <w:jc w:val="both"/>
        <w:rPr>
          <w:rFonts w:cs="Arial"/>
          <w:u w:val="single"/>
          <w:lang w:val="fr-FR"/>
        </w:rPr>
      </w:pPr>
    </w:p>
    <w:p w14:paraId="484CB319" w14:textId="0D039192" w:rsidR="007B383F" w:rsidRPr="007B383F" w:rsidRDefault="00133925" w:rsidP="00772A34">
      <w:pPr>
        <w:pStyle w:val="Default"/>
        <w:numPr>
          <w:ilvl w:val="0"/>
          <w:numId w:val="10"/>
        </w:numPr>
        <w:ind w:left="547" w:hanging="547"/>
        <w:jc w:val="both"/>
        <w:rPr>
          <w:rFonts w:cs="Arial"/>
          <w:u w:val="single"/>
          <w:lang w:val="fr-FR"/>
        </w:rPr>
      </w:pPr>
      <w:r>
        <w:rPr>
          <w:rFonts w:ascii="Arial" w:hAnsi="Arial" w:cs="Arial"/>
          <w:sz w:val="22"/>
          <w:szCs w:val="22"/>
          <w:lang w:val="fr-FR"/>
        </w:rPr>
        <w:lastRenderedPageBreak/>
        <w:t>Le Secrétariat a également</w:t>
      </w:r>
      <w:r>
        <w:rPr>
          <w:rFonts w:ascii="Arial" w:hAnsi="Arial" w:cs="Arial"/>
          <w:color w:val="auto"/>
          <w:sz w:val="22"/>
          <w:szCs w:val="22"/>
          <w:lang w:val="fr-FR"/>
        </w:rPr>
        <w:t xml:space="preserve"> travaillé à</w:t>
      </w:r>
      <w:r>
        <w:rPr>
          <w:rFonts w:ascii="Arial" w:hAnsi="Arial"/>
          <w:color w:val="auto"/>
          <w:sz w:val="22"/>
          <w:lang w:val="fr-FR"/>
        </w:rPr>
        <w:t xml:space="preserve"> </w:t>
      </w:r>
      <w:r>
        <w:rPr>
          <w:rFonts w:ascii="Arial" w:hAnsi="Arial" w:cs="Arial"/>
          <w:sz w:val="22"/>
          <w:szCs w:val="22"/>
          <w:lang w:val="fr-FR"/>
        </w:rPr>
        <w:t xml:space="preserve">la mise à jour des sites web de la famille CMS pour les adapter aux dernières normes industrielles. Une version bêta fonctionnelle du nouveau site web, au design moderne et à l'architecture d'information améliorée pour </w:t>
      </w:r>
      <w:r>
        <w:rPr>
          <w:rFonts w:ascii="Arial" w:hAnsi="Arial"/>
          <w:color w:val="auto"/>
          <w:sz w:val="22"/>
          <w:lang w:val="fr-FR"/>
        </w:rPr>
        <w:t xml:space="preserve">mieux répondre aux besoins </w:t>
      </w:r>
      <w:r>
        <w:rPr>
          <w:rFonts w:ascii="Arial" w:hAnsi="Arial" w:cs="Arial"/>
          <w:color w:val="auto"/>
          <w:sz w:val="22"/>
          <w:szCs w:val="22"/>
          <w:lang w:val="fr-FR"/>
        </w:rPr>
        <w:t>des visiteurs</w:t>
      </w:r>
      <w:r>
        <w:rPr>
          <w:rFonts w:ascii="Arial" w:hAnsi="Arial"/>
          <w:color w:val="auto"/>
          <w:sz w:val="22"/>
          <w:lang w:val="fr-FR"/>
        </w:rPr>
        <w:t xml:space="preserve">, est </w:t>
      </w:r>
      <w:r>
        <w:rPr>
          <w:rFonts w:ascii="Arial" w:hAnsi="Arial" w:cs="Arial"/>
          <w:color w:val="auto"/>
          <w:sz w:val="22"/>
          <w:szCs w:val="22"/>
          <w:lang w:val="fr-FR"/>
        </w:rPr>
        <w:t xml:space="preserve">désormais </w:t>
      </w:r>
      <w:r>
        <w:rPr>
          <w:rFonts w:ascii="Arial" w:hAnsi="Arial" w:cs="Arial"/>
          <w:sz w:val="22"/>
          <w:szCs w:val="22"/>
          <w:lang w:val="fr-FR"/>
        </w:rPr>
        <w:t>disponible</w:t>
      </w:r>
      <w:r>
        <w:rPr>
          <w:rFonts w:ascii="Arial" w:hAnsi="Arial" w:cs="Arial"/>
          <w:color w:val="auto"/>
          <w:sz w:val="22"/>
          <w:szCs w:val="22"/>
          <w:lang w:val="fr-FR"/>
        </w:rPr>
        <w:t>, et il est prévu</w:t>
      </w:r>
      <w:r>
        <w:rPr>
          <w:rFonts w:ascii="Arial" w:hAnsi="Arial"/>
          <w:color w:val="auto"/>
          <w:sz w:val="22"/>
          <w:lang w:val="fr-FR"/>
        </w:rPr>
        <w:t xml:space="preserve"> de la lancer publiquement après la COP14. Les </w:t>
      </w:r>
      <w:r>
        <w:rPr>
          <w:rFonts w:ascii="Arial" w:hAnsi="Arial" w:cs="Arial"/>
          <w:color w:val="auto"/>
          <w:sz w:val="22"/>
          <w:szCs w:val="22"/>
          <w:lang w:val="fr-FR"/>
        </w:rPr>
        <w:t>ajustements du</w:t>
      </w:r>
      <w:r>
        <w:rPr>
          <w:rFonts w:ascii="Arial" w:hAnsi="Arial"/>
          <w:color w:val="auto"/>
          <w:sz w:val="22"/>
          <w:lang w:val="fr-FR"/>
        </w:rPr>
        <w:t xml:space="preserve"> nouveau </w:t>
      </w:r>
      <w:r>
        <w:rPr>
          <w:rFonts w:ascii="Arial" w:hAnsi="Arial" w:cs="Arial"/>
          <w:sz w:val="22"/>
          <w:szCs w:val="22"/>
          <w:lang w:val="fr-FR"/>
        </w:rPr>
        <w:t xml:space="preserve">site web sont basés sur les résultats de deux enquêtes menées en 2021 auprès du personnel du Secrétariat et de tous les points focaux des instruments de la famille de la CMS. </w:t>
      </w:r>
    </w:p>
    <w:p w14:paraId="417FA970" w14:textId="77777777" w:rsidR="007B383F" w:rsidRDefault="007B383F" w:rsidP="00772A34">
      <w:pPr>
        <w:pStyle w:val="ListParagraph"/>
        <w:spacing w:after="0" w:line="240" w:lineRule="auto"/>
        <w:ind w:left="547" w:hanging="547"/>
        <w:rPr>
          <w:rFonts w:cs="Arial"/>
          <w:lang w:val="fr-FR"/>
        </w:rPr>
      </w:pPr>
    </w:p>
    <w:p w14:paraId="33C54226" w14:textId="139E85C5" w:rsidR="00FA1225" w:rsidRPr="000E657A" w:rsidRDefault="003116AD" w:rsidP="00772A34">
      <w:pPr>
        <w:pStyle w:val="Default"/>
        <w:numPr>
          <w:ilvl w:val="0"/>
          <w:numId w:val="10"/>
        </w:numPr>
        <w:ind w:left="547" w:hanging="547"/>
        <w:jc w:val="both"/>
        <w:rPr>
          <w:color w:val="auto"/>
          <w:u w:val="single"/>
          <w:lang w:val="fr-FR"/>
        </w:rPr>
      </w:pPr>
      <w:r>
        <w:rPr>
          <w:rFonts w:ascii="Arial" w:hAnsi="Arial" w:cs="Arial"/>
          <w:sz w:val="22"/>
          <w:szCs w:val="22"/>
          <w:lang w:val="fr-FR"/>
        </w:rPr>
        <w:t xml:space="preserve">L'unité IMCA a besoin d'être renforcée, à la fois en termes de budget </w:t>
      </w:r>
      <w:r>
        <w:rPr>
          <w:rFonts w:ascii="Arial" w:hAnsi="Arial"/>
          <w:color w:val="auto"/>
          <w:sz w:val="22"/>
          <w:lang w:val="fr-FR"/>
        </w:rPr>
        <w:t>et de personnel</w:t>
      </w:r>
      <w:r>
        <w:rPr>
          <w:rFonts w:ascii="Arial" w:hAnsi="Arial" w:cs="Arial"/>
          <w:color w:val="auto"/>
          <w:sz w:val="22"/>
          <w:szCs w:val="22"/>
          <w:lang w:val="fr-FR"/>
        </w:rPr>
        <w:t xml:space="preserve"> ; </w:t>
      </w:r>
      <w:r>
        <w:rPr>
          <w:rFonts w:ascii="Arial" w:hAnsi="Arial"/>
          <w:color w:val="auto"/>
          <w:sz w:val="22"/>
          <w:lang w:val="fr-FR"/>
        </w:rPr>
        <w:t>les propositions</w:t>
      </w:r>
      <w:r>
        <w:rPr>
          <w:rFonts w:ascii="Arial" w:hAnsi="Arial" w:cs="Arial"/>
          <w:color w:val="auto"/>
          <w:sz w:val="22"/>
          <w:szCs w:val="22"/>
          <w:lang w:val="fr-FR"/>
        </w:rPr>
        <w:t xml:space="preserve"> à cet égard</w:t>
      </w:r>
      <w:r>
        <w:rPr>
          <w:rFonts w:ascii="Arial" w:hAnsi="Arial"/>
          <w:color w:val="auto"/>
          <w:sz w:val="22"/>
          <w:lang w:val="fr-FR"/>
        </w:rPr>
        <w:t xml:space="preserve"> sont incluses dans la nouvelle proposition de budget pour 2024-2026 (</w:t>
      </w:r>
      <w:hyperlink r:id="rId21" w:history="1">
        <w:r>
          <w:rPr>
            <w:rStyle w:val="Hyperlink"/>
            <w:rFonts w:ascii="Arial" w:hAnsi="Arial"/>
            <w:color w:val="auto"/>
            <w:sz w:val="22"/>
            <w:lang w:val="fr-FR"/>
          </w:rPr>
          <w:t>UNEP/CMS/COP14/Doc.13.2</w:t>
        </w:r>
      </w:hyperlink>
      <w:r>
        <w:rPr>
          <w:rFonts w:ascii="Arial" w:hAnsi="Arial"/>
          <w:color w:val="auto"/>
          <w:sz w:val="22"/>
          <w:lang w:val="fr-FR"/>
        </w:rPr>
        <w:t>).</w:t>
      </w:r>
    </w:p>
    <w:p w14:paraId="4546491C" w14:textId="77777777" w:rsidR="00FA1225" w:rsidRPr="00FA1225" w:rsidRDefault="00FA1225" w:rsidP="00772A34">
      <w:pPr>
        <w:pStyle w:val="Default"/>
        <w:ind w:left="547" w:hanging="547"/>
        <w:jc w:val="both"/>
        <w:rPr>
          <w:rFonts w:cs="Arial"/>
          <w:u w:val="single"/>
          <w:lang w:val="fr-FR"/>
        </w:rPr>
      </w:pPr>
    </w:p>
    <w:p w14:paraId="7BD65DB3" w14:textId="4EAA0DB5" w:rsidR="0099794D" w:rsidRPr="000E657A" w:rsidRDefault="004333AD" w:rsidP="00772A34">
      <w:pPr>
        <w:pStyle w:val="Default"/>
        <w:numPr>
          <w:ilvl w:val="0"/>
          <w:numId w:val="10"/>
        </w:numPr>
        <w:ind w:left="547" w:hanging="547"/>
        <w:jc w:val="both"/>
        <w:rPr>
          <w:color w:val="auto"/>
          <w:u w:val="single"/>
          <w:lang w:val="fr-FR"/>
        </w:rPr>
      </w:pPr>
      <w:r>
        <w:rPr>
          <w:rFonts w:ascii="Arial" w:hAnsi="Arial" w:cs="Arial"/>
          <w:sz w:val="22"/>
          <w:szCs w:val="22"/>
          <w:lang w:val="fr-FR"/>
        </w:rPr>
        <w:t xml:space="preserve">En termes de structure organisationnelle, après deux </w:t>
      </w:r>
      <w:r>
        <w:rPr>
          <w:rFonts w:ascii="Arial" w:hAnsi="Arial"/>
          <w:color w:val="auto"/>
          <w:sz w:val="22"/>
          <w:lang w:val="fr-FR"/>
        </w:rPr>
        <w:t xml:space="preserve">années d'arrangements temporaires en 2020 et 2021, un responsable de l'information du public </w:t>
      </w:r>
      <w:r>
        <w:rPr>
          <w:rFonts w:ascii="Arial" w:hAnsi="Arial" w:cs="Arial"/>
          <w:color w:val="auto"/>
          <w:sz w:val="22"/>
          <w:szCs w:val="22"/>
          <w:lang w:val="fr-FR"/>
        </w:rPr>
        <w:t xml:space="preserve">(niveau P3) </w:t>
      </w:r>
      <w:r>
        <w:rPr>
          <w:rFonts w:ascii="Arial" w:hAnsi="Arial"/>
          <w:color w:val="auto"/>
          <w:sz w:val="22"/>
          <w:lang w:val="fr-FR"/>
        </w:rPr>
        <w:t xml:space="preserve">a été recruté </w:t>
      </w:r>
      <w:r>
        <w:rPr>
          <w:rFonts w:ascii="Arial" w:hAnsi="Arial" w:cs="Arial"/>
          <w:color w:val="auto"/>
          <w:sz w:val="22"/>
          <w:szCs w:val="22"/>
          <w:lang w:val="fr-FR"/>
        </w:rPr>
        <w:t>début 2022</w:t>
      </w:r>
      <w:r>
        <w:rPr>
          <w:rFonts w:ascii="Arial" w:hAnsi="Arial"/>
          <w:color w:val="auto"/>
          <w:sz w:val="22"/>
          <w:lang w:val="fr-FR"/>
        </w:rPr>
        <w:t xml:space="preserve"> pour diriger la coordination de l'unité. </w:t>
      </w:r>
    </w:p>
    <w:p w14:paraId="28EBF4DD" w14:textId="77777777" w:rsidR="008A6017" w:rsidRPr="008A6017" w:rsidRDefault="008A6017" w:rsidP="00772A34">
      <w:pPr>
        <w:pStyle w:val="Default"/>
        <w:ind w:left="547" w:hanging="547"/>
        <w:jc w:val="both"/>
        <w:rPr>
          <w:rFonts w:cs="Arial"/>
          <w:u w:val="single"/>
          <w:lang w:val="fr-FR"/>
        </w:rPr>
      </w:pPr>
    </w:p>
    <w:p w14:paraId="75D7B06C" w14:textId="67AFCEF2" w:rsidR="0073233F" w:rsidRPr="00EE569A" w:rsidRDefault="0073233F" w:rsidP="00772A34">
      <w:pPr>
        <w:spacing w:after="0" w:line="240" w:lineRule="auto"/>
        <w:ind w:left="547" w:hanging="547"/>
        <w:rPr>
          <w:rFonts w:cs="Arial"/>
          <w:u w:val="single"/>
          <w:lang w:val="fr-FR"/>
        </w:rPr>
      </w:pPr>
      <w:r>
        <w:rPr>
          <w:rFonts w:cs="Arial"/>
          <w:u w:val="single"/>
          <w:lang w:val="fr-FR"/>
        </w:rPr>
        <w:t>Actions recommandées</w:t>
      </w:r>
    </w:p>
    <w:p w14:paraId="6E98267A" w14:textId="77777777" w:rsidR="0073233F" w:rsidRPr="00EE569A" w:rsidRDefault="0073233F" w:rsidP="00772A34">
      <w:pPr>
        <w:spacing w:after="0" w:line="240" w:lineRule="auto"/>
        <w:ind w:left="547" w:hanging="547"/>
        <w:rPr>
          <w:rFonts w:cs="Arial"/>
          <w:u w:val="single"/>
          <w:lang w:val="fr-FR"/>
        </w:rPr>
      </w:pPr>
    </w:p>
    <w:p w14:paraId="5E091147" w14:textId="77777777" w:rsidR="0073233F" w:rsidRPr="00EE569A" w:rsidRDefault="0073233F" w:rsidP="00772A34">
      <w:pPr>
        <w:pStyle w:val="Default"/>
        <w:numPr>
          <w:ilvl w:val="0"/>
          <w:numId w:val="10"/>
        </w:numPr>
        <w:ind w:left="547" w:hanging="547"/>
        <w:jc w:val="both"/>
        <w:rPr>
          <w:rFonts w:ascii="Arial" w:hAnsi="Arial" w:cs="Arial"/>
          <w:sz w:val="22"/>
          <w:szCs w:val="22"/>
          <w:lang w:val="fr-FR"/>
        </w:rPr>
      </w:pPr>
      <w:r>
        <w:rPr>
          <w:rFonts w:ascii="Arial" w:hAnsi="Arial" w:cs="Arial"/>
          <w:sz w:val="22"/>
          <w:szCs w:val="22"/>
          <w:lang w:val="fr-FR"/>
        </w:rPr>
        <w:t>Il est recommandé à la Conférence des Parties :</w:t>
      </w:r>
    </w:p>
    <w:p w14:paraId="1CE8AD7B" w14:textId="77777777" w:rsidR="0073233F" w:rsidRPr="00EE569A" w:rsidRDefault="0073233F" w:rsidP="00772A34">
      <w:pPr>
        <w:spacing w:after="0" w:line="240" w:lineRule="auto"/>
        <w:ind w:left="547" w:hanging="547"/>
        <w:rPr>
          <w:lang w:val="fr-FR"/>
        </w:rPr>
      </w:pPr>
    </w:p>
    <w:p w14:paraId="2554159C" w14:textId="6CDCC0AD" w:rsidR="0073233F" w:rsidRPr="00A5561A" w:rsidRDefault="0073233F" w:rsidP="00CC521A">
      <w:pPr>
        <w:numPr>
          <w:ilvl w:val="0"/>
          <w:numId w:val="6"/>
        </w:numPr>
        <w:autoSpaceDN w:val="0"/>
        <w:spacing w:after="0" w:line="240" w:lineRule="auto"/>
        <w:ind w:left="900" w:hanging="360"/>
        <w:jc w:val="both"/>
        <w:rPr>
          <w:rFonts w:cs="Arial"/>
          <w:lang w:val="fr-FR"/>
        </w:rPr>
      </w:pPr>
      <w:proofErr w:type="gramStart"/>
      <w:r>
        <w:rPr>
          <w:rFonts w:cs="Arial"/>
          <w:lang w:val="fr-FR"/>
        </w:rPr>
        <w:t>de</w:t>
      </w:r>
      <w:proofErr w:type="gramEnd"/>
      <w:r>
        <w:rPr>
          <w:rFonts w:cs="Arial"/>
          <w:lang w:val="fr-FR"/>
        </w:rPr>
        <w:t xml:space="preserve"> prendre connaissance de ce document et </w:t>
      </w:r>
      <w:r>
        <w:rPr>
          <w:lang w:val="fr-FR"/>
        </w:rPr>
        <w:t>de formuler des commentaires, le cas échéant ;</w:t>
      </w:r>
    </w:p>
    <w:p w14:paraId="7F0F9173" w14:textId="77777777" w:rsidR="00A5561A" w:rsidRPr="006F351C" w:rsidRDefault="00A5561A" w:rsidP="00CC521A">
      <w:pPr>
        <w:autoSpaceDN w:val="0"/>
        <w:spacing w:after="0" w:line="240" w:lineRule="auto"/>
        <w:ind w:left="900" w:hanging="360"/>
        <w:jc w:val="both"/>
        <w:rPr>
          <w:rFonts w:cs="Arial"/>
          <w:lang w:val="fr-FR"/>
        </w:rPr>
      </w:pPr>
    </w:p>
    <w:p w14:paraId="1F69698F" w14:textId="6BD8AA93" w:rsidR="00555D08" w:rsidRPr="00AD1713" w:rsidRDefault="003F4412" w:rsidP="00CC521A">
      <w:pPr>
        <w:numPr>
          <w:ilvl w:val="0"/>
          <w:numId w:val="6"/>
        </w:numPr>
        <w:autoSpaceDN w:val="0"/>
        <w:spacing w:after="0" w:line="240" w:lineRule="auto"/>
        <w:ind w:left="900" w:hanging="360"/>
        <w:jc w:val="both"/>
        <w:rPr>
          <w:rFonts w:cs="Arial"/>
          <w:lang w:val="fr-FR"/>
        </w:rPr>
      </w:pPr>
      <w:proofErr w:type="gramStart"/>
      <w:r>
        <w:rPr>
          <w:lang w:val="fr-FR"/>
        </w:rPr>
        <w:t>d'adopter</w:t>
      </w:r>
      <w:proofErr w:type="gramEnd"/>
      <w:r>
        <w:rPr>
          <w:lang w:val="fr-FR"/>
        </w:rPr>
        <w:t xml:space="preserve"> la Décision figurant à l'annexe 1 du présent document ;</w:t>
      </w:r>
    </w:p>
    <w:p w14:paraId="03AD5551" w14:textId="77777777" w:rsidR="00AD1713" w:rsidRPr="00555D08" w:rsidRDefault="00AD1713" w:rsidP="00CC521A">
      <w:pPr>
        <w:autoSpaceDN w:val="0"/>
        <w:spacing w:after="0" w:line="240" w:lineRule="auto"/>
        <w:ind w:left="900" w:hanging="360"/>
        <w:jc w:val="both"/>
        <w:rPr>
          <w:rFonts w:cs="Arial"/>
          <w:lang w:val="fr-FR"/>
        </w:rPr>
      </w:pPr>
    </w:p>
    <w:p w14:paraId="21F30902" w14:textId="2CAD768F" w:rsidR="00AD1713" w:rsidRPr="00EE569A" w:rsidRDefault="00555D08" w:rsidP="00CC521A">
      <w:pPr>
        <w:numPr>
          <w:ilvl w:val="0"/>
          <w:numId w:val="6"/>
        </w:numPr>
        <w:autoSpaceDN w:val="0"/>
        <w:spacing w:after="0" w:line="240" w:lineRule="auto"/>
        <w:ind w:left="900" w:hanging="360"/>
        <w:jc w:val="both"/>
        <w:rPr>
          <w:rFonts w:cs="Arial"/>
          <w:lang w:val="fr-FR"/>
        </w:rPr>
      </w:pPr>
      <w:proofErr w:type="gramStart"/>
      <w:r>
        <w:rPr>
          <w:rFonts w:cs="Arial"/>
          <w:lang w:val="fr-FR"/>
        </w:rPr>
        <w:t>de</w:t>
      </w:r>
      <w:proofErr w:type="gramEnd"/>
      <w:r>
        <w:rPr>
          <w:rFonts w:cs="Arial"/>
          <w:lang w:val="fr-FR"/>
        </w:rPr>
        <w:t xml:space="preserve"> prendre note de « </w:t>
      </w:r>
      <w:hyperlink r:id="rId22" w:history="1">
        <w:r>
          <w:rPr>
            <w:rStyle w:val="Hyperlink"/>
            <w:rFonts w:cs="Arial"/>
            <w:lang w:val="fr-FR"/>
          </w:rPr>
          <w:t>l'évaluation de la communication stratégique</w:t>
        </w:r>
      </w:hyperlink>
      <w:r>
        <w:rPr>
          <w:rFonts w:cs="Arial"/>
          <w:lang w:val="fr-FR"/>
        </w:rPr>
        <w:t xml:space="preserve"> », présentée en tant que document d'information 19.</w:t>
      </w:r>
    </w:p>
    <w:p w14:paraId="6AC3060E" w14:textId="77777777" w:rsidR="00137609" w:rsidRDefault="00137609" w:rsidP="00772A34">
      <w:pPr>
        <w:spacing w:after="0" w:line="240" w:lineRule="auto"/>
        <w:ind w:left="547" w:hanging="547"/>
        <w:jc w:val="both"/>
        <w:rPr>
          <w:iCs/>
          <w:lang w:val="fr-FR"/>
        </w:rPr>
      </w:pPr>
    </w:p>
    <w:p w14:paraId="3633BEC2" w14:textId="77777777" w:rsidR="00CC521A" w:rsidRDefault="00CC521A">
      <w:pPr>
        <w:rPr>
          <w:lang w:val="fr-FR"/>
        </w:rPr>
        <w:sectPr w:rsidR="00CC521A" w:rsidSect="00D93628">
          <w:headerReference w:type="even" r:id="rId23"/>
          <w:headerReference w:type="default" r:id="rId24"/>
          <w:footerReference w:type="even" r:id="rId25"/>
          <w:footerReference w:type="default" r:id="rId26"/>
          <w:headerReference w:type="first" r:id="rId27"/>
          <w:pgSz w:w="11906" w:h="16838" w:code="9"/>
          <w:pgMar w:top="1440" w:right="1440" w:bottom="1440" w:left="1440" w:header="720" w:footer="720" w:gutter="0"/>
          <w:cols w:space="720"/>
          <w:titlePg/>
          <w:docGrid w:linePitch="360"/>
        </w:sectPr>
      </w:pPr>
    </w:p>
    <w:p w14:paraId="53740A77" w14:textId="77777777" w:rsidR="004F4488" w:rsidRDefault="004F4488" w:rsidP="00CC521A">
      <w:pPr>
        <w:keepNext/>
        <w:spacing w:after="0" w:line="240" w:lineRule="auto"/>
        <w:jc w:val="right"/>
        <w:outlineLvl w:val="2"/>
        <w:rPr>
          <w:rFonts w:eastAsia="Calibri" w:cs="Arial"/>
          <w:b/>
          <w:bCs/>
          <w:lang w:val="fr-FR"/>
        </w:rPr>
      </w:pPr>
      <w:r>
        <w:rPr>
          <w:rFonts w:eastAsia="Calibri" w:cs="Arial"/>
          <w:b/>
          <w:bCs/>
          <w:lang w:val="fr-FR"/>
        </w:rPr>
        <w:lastRenderedPageBreak/>
        <w:t>ANNEXE 1</w:t>
      </w:r>
    </w:p>
    <w:p w14:paraId="6DA656FA" w14:textId="77777777" w:rsidR="00CC521A" w:rsidRDefault="00CC521A" w:rsidP="00CC521A">
      <w:pPr>
        <w:keepNext/>
        <w:spacing w:after="0" w:line="240" w:lineRule="auto"/>
        <w:jc w:val="right"/>
        <w:outlineLvl w:val="2"/>
        <w:rPr>
          <w:rFonts w:eastAsia="Calibri" w:cs="Arial"/>
          <w:b/>
          <w:bCs/>
          <w:lang w:val="fr-FR"/>
        </w:rPr>
      </w:pPr>
    </w:p>
    <w:p w14:paraId="24FECFDF" w14:textId="77777777" w:rsidR="00CC521A" w:rsidRPr="004F4488" w:rsidRDefault="00CC521A" w:rsidP="00CC521A">
      <w:pPr>
        <w:keepNext/>
        <w:spacing w:after="0" w:line="240" w:lineRule="auto"/>
        <w:jc w:val="right"/>
        <w:outlineLvl w:val="2"/>
        <w:rPr>
          <w:rFonts w:eastAsia="Calibri" w:cs="Arial"/>
          <w:b/>
          <w:bCs/>
          <w:lang w:val="fr-FR"/>
        </w:rPr>
      </w:pPr>
    </w:p>
    <w:p w14:paraId="25C24F20" w14:textId="77777777" w:rsidR="004F4488" w:rsidRPr="004F4488" w:rsidRDefault="004F4488" w:rsidP="00CC521A">
      <w:pPr>
        <w:spacing w:after="0" w:line="240" w:lineRule="auto"/>
        <w:jc w:val="center"/>
        <w:rPr>
          <w:rFonts w:eastAsia="Calibri" w:cs="Arial"/>
          <w:lang w:val="fr-FR"/>
        </w:rPr>
      </w:pPr>
      <w:r>
        <w:rPr>
          <w:rFonts w:eastAsia="Calibri" w:cs="Arial"/>
          <w:lang w:val="fr-FR"/>
        </w:rPr>
        <w:t>PROJETS DE DÉCISION</w:t>
      </w:r>
    </w:p>
    <w:p w14:paraId="2A623493" w14:textId="73CACAAC" w:rsidR="004F4488" w:rsidRPr="004F4488" w:rsidRDefault="004F4488" w:rsidP="00CC521A">
      <w:pPr>
        <w:keepNext/>
        <w:spacing w:after="0" w:line="240" w:lineRule="auto"/>
        <w:jc w:val="center"/>
        <w:outlineLvl w:val="3"/>
        <w:rPr>
          <w:rFonts w:eastAsia="Calibri" w:cs="Arial"/>
          <w:b/>
          <w:bCs/>
          <w:lang w:val="fr-FR"/>
        </w:rPr>
      </w:pPr>
      <w:r>
        <w:rPr>
          <w:rFonts w:eastAsia="Calibri" w:cs="Arial"/>
          <w:b/>
          <w:bCs/>
          <w:lang w:val="fr-FR"/>
        </w:rPr>
        <w:t>COMMUNICATION ET GESTION DE L'INFORMATION</w:t>
      </w:r>
    </w:p>
    <w:p w14:paraId="51C3970F" w14:textId="77777777" w:rsidR="004F4488" w:rsidRPr="004F4488" w:rsidRDefault="004F4488" w:rsidP="00CC521A">
      <w:pPr>
        <w:spacing w:after="0" w:line="240" w:lineRule="auto"/>
        <w:jc w:val="both"/>
        <w:rPr>
          <w:rFonts w:eastAsia="Calibri" w:cs="Arial"/>
          <w:lang w:val="fr-FR"/>
        </w:rPr>
      </w:pPr>
    </w:p>
    <w:p w14:paraId="5786FEB4" w14:textId="77777777" w:rsidR="004F4488" w:rsidRPr="004F4488" w:rsidRDefault="004F4488" w:rsidP="00CC521A">
      <w:pPr>
        <w:spacing w:after="0" w:line="240" w:lineRule="auto"/>
        <w:ind w:left="360"/>
        <w:jc w:val="both"/>
        <w:rPr>
          <w:rFonts w:eastAsia="Calibri" w:cs="Arial"/>
          <w:lang w:val="fr-FR"/>
        </w:rPr>
      </w:pPr>
    </w:p>
    <w:p w14:paraId="70E61A93" w14:textId="77777777" w:rsidR="004F4488" w:rsidRPr="004F4488" w:rsidRDefault="004F4488" w:rsidP="00CC521A">
      <w:pPr>
        <w:keepNext/>
        <w:spacing w:after="0" w:line="240" w:lineRule="auto"/>
        <w:jc w:val="both"/>
        <w:outlineLvl w:val="4"/>
        <w:rPr>
          <w:rFonts w:eastAsia="Calibri" w:cs="Arial"/>
          <w:b/>
          <w:bCs/>
          <w:i/>
          <w:iCs/>
          <w:lang w:val="fr-FR"/>
        </w:rPr>
      </w:pPr>
      <w:r>
        <w:rPr>
          <w:rFonts w:eastAsia="Calibri" w:cs="Arial"/>
          <w:b/>
          <w:bCs/>
          <w:i/>
          <w:iCs/>
          <w:lang w:val="fr-FR"/>
        </w:rPr>
        <w:t>Décision adressée au Secrétariat</w:t>
      </w:r>
    </w:p>
    <w:p w14:paraId="46967BC7" w14:textId="77777777" w:rsidR="004F4488" w:rsidRPr="004F4488" w:rsidRDefault="004F4488" w:rsidP="00CC521A">
      <w:pPr>
        <w:spacing w:after="0" w:line="240" w:lineRule="auto"/>
        <w:ind w:left="360"/>
        <w:jc w:val="both"/>
        <w:rPr>
          <w:rFonts w:eastAsia="Calibri" w:cs="Arial"/>
          <w:lang w:val="fr-FR"/>
        </w:rPr>
      </w:pPr>
    </w:p>
    <w:p w14:paraId="5C14ACE5" w14:textId="094943C5" w:rsidR="004F4488" w:rsidRPr="007312FA" w:rsidRDefault="004F4488" w:rsidP="00CC521A">
      <w:pPr>
        <w:spacing w:after="0" w:line="240" w:lineRule="auto"/>
        <w:ind w:left="851" w:hanging="851"/>
        <w:jc w:val="both"/>
        <w:rPr>
          <w:rFonts w:eastAsia="Calibri" w:cs="Arial"/>
          <w:lang w:val="fr-FR"/>
        </w:rPr>
      </w:pPr>
      <w:r>
        <w:rPr>
          <w:rFonts w:eastAsia="Calibri" w:cs="Arial"/>
          <w:lang w:val="fr-FR"/>
        </w:rPr>
        <w:t>14.AA</w:t>
      </w:r>
      <w:r>
        <w:rPr>
          <w:lang w:val="fr-FR"/>
        </w:rPr>
        <w:tab/>
      </w:r>
      <w:r>
        <w:rPr>
          <w:rFonts w:eastAsia="Calibri" w:cs="Arial"/>
          <w:lang w:val="fr-FR"/>
        </w:rPr>
        <w:t xml:space="preserve">Sous réserve de la disponibilité de ressources externes, le Secrétariat </w:t>
      </w:r>
      <w:r>
        <w:rPr>
          <w:lang w:val="fr-FR"/>
        </w:rPr>
        <w:t>élabore un plan pour les recommandations fournies par « l'évaluation stratégique de la communication » et, dans la mesure du possible, travaille à sa mise en œuvre</w:t>
      </w:r>
      <w:r>
        <w:rPr>
          <w:color w:val="FF0000"/>
          <w:lang w:val="fr-FR"/>
        </w:rPr>
        <w:t>.</w:t>
      </w:r>
    </w:p>
    <w:p w14:paraId="78C2FC9B" w14:textId="77777777" w:rsidR="005824C8" w:rsidRPr="004F4488" w:rsidRDefault="005824C8" w:rsidP="00CC521A">
      <w:pPr>
        <w:spacing w:after="0" w:line="240" w:lineRule="auto"/>
        <w:contextualSpacing/>
        <w:jc w:val="both"/>
        <w:rPr>
          <w:lang w:val="fr-FR"/>
        </w:rPr>
      </w:pPr>
    </w:p>
    <w:p w14:paraId="407B258F" w14:textId="77777777" w:rsidR="005824C8" w:rsidRPr="004F4488" w:rsidRDefault="005824C8" w:rsidP="00CC521A">
      <w:pPr>
        <w:keepNext/>
        <w:spacing w:after="0" w:line="240" w:lineRule="auto"/>
        <w:jc w:val="both"/>
        <w:outlineLvl w:val="4"/>
        <w:rPr>
          <w:rFonts w:eastAsia="Calibri" w:cs="Arial"/>
          <w:b/>
          <w:bCs/>
          <w:i/>
          <w:iCs/>
          <w:lang w:val="fr-FR"/>
        </w:rPr>
      </w:pPr>
      <w:r>
        <w:rPr>
          <w:rFonts w:eastAsia="Calibri" w:cs="Arial"/>
          <w:b/>
          <w:bCs/>
          <w:i/>
          <w:iCs/>
          <w:lang w:val="fr-FR"/>
        </w:rPr>
        <w:t>Décision adressée aux Parties</w:t>
      </w:r>
    </w:p>
    <w:p w14:paraId="4F5CB2DE" w14:textId="77777777" w:rsidR="005824C8" w:rsidRPr="004F4488" w:rsidRDefault="005824C8" w:rsidP="00CC521A">
      <w:pPr>
        <w:spacing w:after="0" w:line="240" w:lineRule="auto"/>
        <w:ind w:left="360"/>
        <w:jc w:val="both"/>
        <w:rPr>
          <w:rFonts w:eastAsia="Calibri" w:cs="Arial"/>
          <w:lang w:val="fr-FR"/>
        </w:rPr>
      </w:pPr>
    </w:p>
    <w:p w14:paraId="154BE788" w14:textId="1D1EAECD" w:rsidR="005824C8" w:rsidRPr="006B7223" w:rsidRDefault="005824C8" w:rsidP="00CC521A">
      <w:pPr>
        <w:spacing w:after="0" w:line="240" w:lineRule="auto"/>
        <w:ind w:left="851" w:hanging="851"/>
        <w:jc w:val="both"/>
        <w:rPr>
          <w:rFonts w:eastAsia="Calibri" w:cs="Arial"/>
          <w:lang w:val="fr-FR"/>
        </w:rPr>
      </w:pPr>
      <w:r>
        <w:rPr>
          <w:rFonts w:eastAsia="Calibri" w:cs="Arial"/>
          <w:lang w:val="fr-FR"/>
        </w:rPr>
        <w:t>14.BB</w:t>
      </w:r>
      <w:r>
        <w:rPr>
          <w:rFonts w:eastAsia="Calibri" w:cs="Arial"/>
          <w:lang w:val="fr-FR"/>
        </w:rPr>
        <w:tab/>
        <w:t xml:space="preserve">Les Parties sont encouragées à </w:t>
      </w:r>
      <w:r>
        <w:rPr>
          <w:lang w:val="fr-FR"/>
        </w:rPr>
        <w:t>soutenir la mise en œuvre des recommandations formulées dans « l'évaluation de la communication stratégique ».</w:t>
      </w:r>
    </w:p>
    <w:p w14:paraId="636F08C2" w14:textId="77777777" w:rsidR="00137609" w:rsidRPr="004F4488" w:rsidRDefault="00137609" w:rsidP="00CC521A">
      <w:pPr>
        <w:spacing w:after="0" w:line="240" w:lineRule="auto"/>
        <w:jc w:val="both"/>
        <w:rPr>
          <w:lang w:val="fr-FR"/>
        </w:rPr>
      </w:pPr>
    </w:p>
    <w:sectPr w:rsidR="00137609" w:rsidRPr="004F4488" w:rsidSect="00D93628">
      <w:headerReference w:type="first" r:id="rId28"/>
      <w:foot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44E2" w14:textId="77777777" w:rsidR="00480644" w:rsidRDefault="00480644" w:rsidP="002E0DE9">
      <w:pPr>
        <w:spacing w:after="0" w:line="240" w:lineRule="auto"/>
        <w:rPr>
          <w:lang w:val="fr-FR"/>
        </w:rPr>
      </w:pPr>
      <w:r>
        <w:rPr>
          <w:lang w:val="fr-FR"/>
        </w:rPr>
        <w:separator/>
      </w:r>
    </w:p>
  </w:endnote>
  <w:endnote w:type="continuationSeparator" w:id="0">
    <w:p w14:paraId="4047F8B3" w14:textId="77777777" w:rsidR="00480644" w:rsidRDefault="00480644" w:rsidP="002E0DE9">
      <w:pPr>
        <w:spacing w:after="0" w:line="240" w:lineRule="auto"/>
        <w:rPr>
          <w:lang w:val="fr-FR"/>
        </w:rPr>
      </w:pPr>
      <w:r>
        <w:rPr>
          <w:lang w:val="fr-FR"/>
        </w:rPr>
        <w:continuationSeparator/>
      </w:r>
    </w:p>
  </w:endnote>
  <w:endnote w:type="continuationNotice" w:id="1">
    <w:p w14:paraId="7CF03EE1" w14:textId="77777777" w:rsidR="00480644" w:rsidRDefault="0048064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623536"/>
      <w:docPartObj>
        <w:docPartGallery w:val="Page Numbers (Bottom of Page)"/>
        <w:docPartUnique/>
      </w:docPartObj>
    </w:sdtPr>
    <w:sdtEndPr>
      <w:rPr>
        <w:noProof/>
        <w:sz w:val="18"/>
        <w:szCs w:val="18"/>
      </w:rPr>
    </w:sdtEndPr>
    <w:sdtContent>
      <w:p w14:paraId="7E226422" w14:textId="45648895" w:rsidR="007D7F02" w:rsidRPr="007D7F02" w:rsidRDefault="007D7F0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3E94" w14:textId="77777777" w:rsidR="00480644" w:rsidRDefault="00480644" w:rsidP="002E0DE9">
      <w:pPr>
        <w:spacing w:after="0" w:line="240" w:lineRule="auto"/>
        <w:rPr>
          <w:lang w:val="fr-FR"/>
        </w:rPr>
      </w:pPr>
      <w:r>
        <w:rPr>
          <w:lang w:val="fr-FR"/>
        </w:rPr>
        <w:separator/>
      </w:r>
    </w:p>
  </w:footnote>
  <w:footnote w:type="continuationSeparator" w:id="0">
    <w:p w14:paraId="0924AA7E" w14:textId="77777777" w:rsidR="00480644" w:rsidRDefault="00480644" w:rsidP="002E0DE9">
      <w:pPr>
        <w:spacing w:after="0" w:line="240" w:lineRule="auto"/>
        <w:rPr>
          <w:lang w:val="fr-FR"/>
        </w:rPr>
      </w:pPr>
      <w:r>
        <w:rPr>
          <w:lang w:val="fr-FR"/>
        </w:rPr>
        <w:continuationSeparator/>
      </w:r>
    </w:p>
  </w:footnote>
  <w:footnote w:type="continuationNotice" w:id="1">
    <w:p w14:paraId="397AB51F" w14:textId="77777777" w:rsidR="00480644" w:rsidRDefault="0048064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B746" w14:textId="793A7DBA" w:rsidR="00FC3402" w:rsidRPr="00FC3402" w:rsidRDefault="002E0DE9" w:rsidP="002E0DE9">
    <w:pPr>
      <w:pStyle w:val="Header"/>
      <w:pBdr>
        <w:bottom w:val="single" w:sz="4" w:space="1" w:color="auto"/>
      </w:pBdr>
      <w:rPr>
        <w:rFonts w:eastAsia="Times New Roman" w:cs="Arial"/>
        <w:i/>
        <w:sz w:val="18"/>
        <w:szCs w:val="18"/>
        <w:lang w:val="en-GB"/>
      </w:rPr>
    </w:pPr>
    <w:r>
      <w:rPr>
        <w:rFonts w:eastAsia="Times New Roman" w:cs="Arial"/>
        <w:i/>
        <w:sz w:val="18"/>
        <w:szCs w:val="18"/>
        <w:lang w:val="en-GB"/>
      </w:rPr>
      <w:t>UNEP/CMS/COP14/Doc.19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1055C97" w:rsidR="002E0DE9" w:rsidRPr="002E0DE9" w:rsidRDefault="002E0DE9" w:rsidP="00842B75">
    <w:pPr>
      <w:pStyle w:val="Header"/>
      <w:pBdr>
        <w:bottom w:val="single" w:sz="4" w:space="1" w:color="auto"/>
      </w:pBdr>
      <w:jc w:val="right"/>
      <w:rPr>
        <w:i/>
        <w:sz w:val="18"/>
        <w:szCs w:val="18"/>
      </w:rPr>
    </w:pPr>
    <w:r>
      <w:rPr>
        <w:rFonts w:eastAsia="Times New Roman" w:cs="Arial"/>
        <w:i/>
        <w:sz w:val="18"/>
        <w:szCs w:val="18"/>
        <w:lang w:val="en-GB"/>
      </w:rPr>
      <w:t>UNEP/CMS/COP14/Doc.19/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9302" w14:textId="77777777" w:rsidR="00510B42" w:rsidRPr="00EC2A58" w:rsidRDefault="00510B42" w:rsidP="00510B42">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1312" behindDoc="0" locked="0" layoutInCell="1" allowOverlap="1" wp14:anchorId="4E7B5AD7" wp14:editId="6D58BCE6">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053B8BF" wp14:editId="26E32E2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746EAC44" wp14:editId="54D39EF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7228F978" w14:textId="77777777" w:rsidR="00510B42" w:rsidRDefault="00510B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9706" w14:textId="6F3AF169" w:rsidR="00CC521A" w:rsidRPr="00FC3402" w:rsidRDefault="00CC521A" w:rsidP="00CC521A">
    <w:pPr>
      <w:pStyle w:val="Header"/>
      <w:pBdr>
        <w:bottom w:val="single" w:sz="4" w:space="1" w:color="auto"/>
      </w:pBdr>
      <w:jc w:val="right"/>
      <w:rPr>
        <w:rFonts w:eastAsia="Times New Roman" w:cs="Arial"/>
        <w:i/>
        <w:sz w:val="18"/>
        <w:szCs w:val="18"/>
        <w:lang w:val="en-GB"/>
      </w:rPr>
    </w:pPr>
    <w:r>
      <w:rPr>
        <w:rFonts w:eastAsia="Times New Roman" w:cs="Arial"/>
        <w:i/>
        <w:sz w:val="18"/>
        <w:szCs w:val="18"/>
        <w:lang w:val="en-GB"/>
      </w:rPr>
      <w:t>UNEP/CMS/COP14/Doc.19/Annex</w:t>
    </w:r>
  </w:p>
  <w:p w14:paraId="52A5EE31" w14:textId="77777777" w:rsidR="00CC521A" w:rsidRDefault="00CC521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C5C3A71"/>
    <w:multiLevelType w:val="hybridMultilevel"/>
    <w:tmpl w:val="853CD46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6"/>
  </w:num>
  <w:num w:numId="2" w16cid:durableId="1342467551">
    <w:abstractNumId w:val="9"/>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1"/>
  </w:num>
  <w:num w:numId="9" w16cid:durableId="1150515762">
    <w:abstractNumId w:val="7"/>
  </w:num>
  <w:num w:numId="10" w16cid:durableId="627323914">
    <w:abstractNumId w:val="1"/>
  </w:num>
  <w:num w:numId="11" w16cid:durableId="150794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771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C1B"/>
    <w:rsid w:val="00015DA0"/>
    <w:rsid w:val="00016036"/>
    <w:rsid w:val="00017D1E"/>
    <w:rsid w:val="000221B4"/>
    <w:rsid w:val="00031F57"/>
    <w:rsid w:val="000539AB"/>
    <w:rsid w:val="00055420"/>
    <w:rsid w:val="0006251B"/>
    <w:rsid w:val="00063C40"/>
    <w:rsid w:val="00065143"/>
    <w:rsid w:val="000661B2"/>
    <w:rsid w:val="00071418"/>
    <w:rsid w:val="00081045"/>
    <w:rsid w:val="000931E7"/>
    <w:rsid w:val="000953F4"/>
    <w:rsid w:val="00095AED"/>
    <w:rsid w:val="000A0D35"/>
    <w:rsid w:val="000A7361"/>
    <w:rsid w:val="000B3CDB"/>
    <w:rsid w:val="000D0FFC"/>
    <w:rsid w:val="000D2BC2"/>
    <w:rsid w:val="000D3396"/>
    <w:rsid w:val="000E464A"/>
    <w:rsid w:val="000E62B8"/>
    <w:rsid w:val="000E657A"/>
    <w:rsid w:val="00103C7C"/>
    <w:rsid w:val="00122577"/>
    <w:rsid w:val="001247AC"/>
    <w:rsid w:val="00131EF6"/>
    <w:rsid w:val="00133925"/>
    <w:rsid w:val="00137609"/>
    <w:rsid w:val="00140354"/>
    <w:rsid w:val="001559CC"/>
    <w:rsid w:val="00161509"/>
    <w:rsid w:val="00163ED3"/>
    <w:rsid w:val="00177179"/>
    <w:rsid w:val="00183FDD"/>
    <w:rsid w:val="00184004"/>
    <w:rsid w:val="00184287"/>
    <w:rsid w:val="00190ADA"/>
    <w:rsid w:val="001A2B35"/>
    <w:rsid w:val="001A4ECB"/>
    <w:rsid w:val="001C4DB8"/>
    <w:rsid w:val="001C6C56"/>
    <w:rsid w:val="001E45C6"/>
    <w:rsid w:val="001F57A9"/>
    <w:rsid w:val="001F6D0F"/>
    <w:rsid w:val="00217B02"/>
    <w:rsid w:val="00222AE9"/>
    <w:rsid w:val="002326AB"/>
    <w:rsid w:val="002338BD"/>
    <w:rsid w:val="00235010"/>
    <w:rsid w:val="00243FC1"/>
    <w:rsid w:val="00252990"/>
    <w:rsid w:val="00261046"/>
    <w:rsid w:val="00263256"/>
    <w:rsid w:val="002669F3"/>
    <w:rsid w:val="00266CA9"/>
    <w:rsid w:val="0027178F"/>
    <w:rsid w:val="00284272"/>
    <w:rsid w:val="00287984"/>
    <w:rsid w:val="00292B51"/>
    <w:rsid w:val="002A2743"/>
    <w:rsid w:val="002A33B7"/>
    <w:rsid w:val="002B2806"/>
    <w:rsid w:val="002B4787"/>
    <w:rsid w:val="002B572E"/>
    <w:rsid w:val="002D1724"/>
    <w:rsid w:val="002D6D4D"/>
    <w:rsid w:val="002E0DE9"/>
    <w:rsid w:val="002E52BF"/>
    <w:rsid w:val="002E5FB0"/>
    <w:rsid w:val="002E6A7D"/>
    <w:rsid w:val="002F2FCD"/>
    <w:rsid w:val="002F32E7"/>
    <w:rsid w:val="002F37DF"/>
    <w:rsid w:val="002F730E"/>
    <w:rsid w:val="002F756E"/>
    <w:rsid w:val="00306917"/>
    <w:rsid w:val="00310DD5"/>
    <w:rsid w:val="003116AD"/>
    <w:rsid w:val="00313259"/>
    <w:rsid w:val="0032104B"/>
    <w:rsid w:val="00331D38"/>
    <w:rsid w:val="003321D0"/>
    <w:rsid w:val="003329EE"/>
    <w:rsid w:val="00335923"/>
    <w:rsid w:val="00345872"/>
    <w:rsid w:val="00347ABE"/>
    <w:rsid w:val="0035024E"/>
    <w:rsid w:val="00351924"/>
    <w:rsid w:val="00351ABB"/>
    <w:rsid w:val="00355215"/>
    <w:rsid w:val="00357AED"/>
    <w:rsid w:val="00357E73"/>
    <w:rsid w:val="003669FF"/>
    <w:rsid w:val="0037234F"/>
    <w:rsid w:val="00376E91"/>
    <w:rsid w:val="003811B9"/>
    <w:rsid w:val="00392645"/>
    <w:rsid w:val="00395991"/>
    <w:rsid w:val="003977EB"/>
    <w:rsid w:val="003A0197"/>
    <w:rsid w:val="003A1FB5"/>
    <w:rsid w:val="003A2E5C"/>
    <w:rsid w:val="003A5BAA"/>
    <w:rsid w:val="003B20DB"/>
    <w:rsid w:val="003B7A87"/>
    <w:rsid w:val="003C569E"/>
    <w:rsid w:val="003C76BF"/>
    <w:rsid w:val="003D4532"/>
    <w:rsid w:val="003E78F2"/>
    <w:rsid w:val="003F287C"/>
    <w:rsid w:val="003F3DD7"/>
    <w:rsid w:val="003F4412"/>
    <w:rsid w:val="004036C8"/>
    <w:rsid w:val="00404BE0"/>
    <w:rsid w:val="0040663F"/>
    <w:rsid w:val="00412411"/>
    <w:rsid w:val="0042067F"/>
    <w:rsid w:val="004234E5"/>
    <w:rsid w:val="004249BD"/>
    <w:rsid w:val="004261E9"/>
    <w:rsid w:val="00431FE3"/>
    <w:rsid w:val="004333AD"/>
    <w:rsid w:val="00433737"/>
    <w:rsid w:val="004362A5"/>
    <w:rsid w:val="00443325"/>
    <w:rsid w:val="004531F1"/>
    <w:rsid w:val="00454139"/>
    <w:rsid w:val="00457A20"/>
    <w:rsid w:val="004608C4"/>
    <w:rsid w:val="004639CE"/>
    <w:rsid w:val="004714F5"/>
    <w:rsid w:val="00472BCE"/>
    <w:rsid w:val="004756C2"/>
    <w:rsid w:val="00480644"/>
    <w:rsid w:val="00482FF6"/>
    <w:rsid w:val="00485605"/>
    <w:rsid w:val="004869D3"/>
    <w:rsid w:val="0049174A"/>
    <w:rsid w:val="00492232"/>
    <w:rsid w:val="00495B71"/>
    <w:rsid w:val="004A0BA1"/>
    <w:rsid w:val="004A1440"/>
    <w:rsid w:val="004A3CE7"/>
    <w:rsid w:val="004A5B96"/>
    <w:rsid w:val="004B7C3F"/>
    <w:rsid w:val="004B7DF3"/>
    <w:rsid w:val="004C015B"/>
    <w:rsid w:val="004C1FDD"/>
    <w:rsid w:val="004C21DB"/>
    <w:rsid w:val="004C2611"/>
    <w:rsid w:val="004C46FC"/>
    <w:rsid w:val="004D2934"/>
    <w:rsid w:val="004E341D"/>
    <w:rsid w:val="004E48A2"/>
    <w:rsid w:val="004F4488"/>
    <w:rsid w:val="004F5761"/>
    <w:rsid w:val="005056F4"/>
    <w:rsid w:val="00510B42"/>
    <w:rsid w:val="00516976"/>
    <w:rsid w:val="00516A25"/>
    <w:rsid w:val="00524CB6"/>
    <w:rsid w:val="0053112B"/>
    <w:rsid w:val="00531BD1"/>
    <w:rsid w:val="005330F7"/>
    <w:rsid w:val="00551064"/>
    <w:rsid w:val="0055344C"/>
    <w:rsid w:val="00553AE1"/>
    <w:rsid w:val="00553D9B"/>
    <w:rsid w:val="00554293"/>
    <w:rsid w:val="00555D08"/>
    <w:rsid w:val="0055625D"/>
    <w:rsid w:val="005621EC"/>
    <w:rsid w:val="00563598"/>
    <w:rsid w:val="00572616"/>
    <w:rsid w:val="00575D72"/>
    <w:rsid w:val="005824C8"/>
    <w:rsid w:val="005854C2"/>
    <w:rsid w:val="0059075E"/>
    <w:rsid w:val="00594151"/>
    <w:rsid w:val="005971FC"/>
    <w:rsid w:val="00597EB1"/>
    <w:rsid w:val="005A0797"/>
    <w:rsid w:val="005A2A3E"/>
    <w:rsid w:val="005A2D74"/>
    <w:rsid w:val="005A58F2"/>
    <w:rsid w:val="005A6A75"/>
    <w:rsid w:val="005A6E82"/>
    <w:rsid w:val="005B23A6"/>
    <w:rsid w:val="005B4DB4"/>
    <w:rsid w:val="005B5BBE"/>
    <w:rsid w:val="005B60B9"/>
    <w:rsid w:val="005B70AA"/>
    <w:rsid w:val="005C0347"/>
    <w:rsid w:val="005C28E8"/>
    <w:rsid w:val="005C4AEF"/>
    <w:rsid w:val="005C5625"/>
    <w:rsid w:val="005C5C48"/>
    <w:rsid w:val="005D5393"/>
    <w:rsid w:val="005E161D"/>
    <w:rsid w:val="005E3D43"/>
    <w:rsid w:val="005E6D3C"/>
    <w:rsid w:val="005F738C"/>
    <w:rsid w:val="006072AF"/>
    <w:rsid w:val="00610891"/>
    <w:rsid w:val="00621072"/>
    <w:rsid w:val="006308A2"/>
    <w:rsid w:val="006478E5"/>
    <w:rsid w:val="00653511"/>
    <w:rsid w:val="00655FA7"/>
    <w:rsid w:val="006642E1"/>
    <w:rsid w:val="00666084"/>
    <w:rsid w:val="00667F7C"/>
    <w:rsid w:val="006704FB"/>
    <w:rsid w:val="0067305A"/>
    <w:rsid w:val="00673DED"/>
    <w:rsid w:val="00682891"/>
    <w:rsid w:val="006835EB"/>
    <w:rsid w:val="0068446D"/>
    <w:rsid w:val="00684657"/>
    <w:rsid w:val="00685E6C"/>
    <w:rsid w:val="00686229"/>
    <w:rsid w:val="006867A3"/>
    <w:rsid w:val="00687790"/>
    <w:rsid w:val="006943F1"/>
    <w:rsid w:val="006A07CF"/>
    <w:rsid w:val="006A7DC4"/>
    <w:rsid w:val="006B6297"/>
    <w:rsid w:val="006B7223"/>
    <w:rsid w:val="006C0316"/>
    <w:rsid w:val="006C0EF8"/>
    <w:rsid w:val="006C4238"/>
    <w:rsid w:val="006C5223"/>
    <w:rsid w:val="006C79A0"/>
    <w:rsid w:val="006D1EBA"/>
    <w:rsid w:val="006D2054"/>
    <w:rsid w:val="006E511F"/>
    <w:rsid w:val="006E5A5E"/>
    <w:rsid w:val="006E68B0"/>
    <w:rsid w:val="006F351C"/>
    <w:rsid w:val="00701E35"/>
    <w:rsid w:val="00704E4A"/>
    <w:rsid w:val="007076D2"/>
    <w:rsid w:val="00712EE0"/>
    <w:rsid w:val="00716612"/>
    <w:rsid w:val="00722DE2"/>
    <w:rsid w:val="007259EC"/>
    <w:rsid w:val="007312FA"/>
    <w:rsid w:val="007316CD"/>
    <w:rsid w:val="0073233F"/>
    <w:rsid w:val="00732967"/>
    <w:rsid w:val="007354DF"/>
    <w:rsid w:val="00755383"/>
    <w:rsid w:val="00761D6C"/>
    <w:rsid w:val="00772A34"/>
    <w:rsid w:val="0077469A"/>
    <w:rsid w:val="00782B14"/>
    <w:rsid w:val="00786961"/>
    <w:rsid w:val="0079296D"/>
    <w:rsid w:val="007A0A49"/>
    <w:rsid w:val="007B383F"/>
    <w:rsid w:val="007B51AD"/>
    <w:rsid w:val="007D7F02"/>
    <w:rsid w:val="007F7B44"/>
    <w:rsid w:val="0080442A"/>
    <w:rsid w:val="00812460"/>
    <w:rsid w:val="00816618"/>
    <w:rsid w:val="00820572"/>
    <w:rsid w:val="008248F6"/>
    <w:rsid w:val="008302FF"/>
    <w:rsid w:val="00830EFA"/>
    <w:rsid w:val="00837BC1"/>
    <w:rsid w:val="00837C67"/>
    <w:rsid w:val="00842B75"/>
    <w:rsid w:val="00852500"/>
    <w:rsid w:val="00861F94"/>
    <w:rsid w:val="00862886"/>
    <w:rsid w:val="00871567"/>
    <w:rsid w:val="00871E2C"/>
    <w:rsid w:val="00872FF8"/>
    <w:rsid w:val="00877095"/>
    <w:rsid w:val="00881994"/>
    <w:rsid w:val="00882540"/>
    <w:rsid w:val="008852CE"/>
    <w:rsid w:val="00885E7D"/>
    <w:rsid w:val="00890CB1"/>
    <w:rsid w:val="008940E0"/>
    <w:rsid w:val="008A6017"/>
    <w:rsid w:val="008A71DD"/>
    <w:rsid w:val="008B0AC3"/>
    <w:rsid w:val="008B3796"/>
    <w:rsid w:val="008B3A19"/>
    <w:rsid w:val="008C3A4A"/>
    <w:rsid w:val="008C5DEB"/>
    <w:rsid w:val="008C7A30"/>
    <w:rsid w:val="008D5987"/>
    <w:rsid w:val="008D7F9C"/>
    <w:rsid w:val="008E399F"/>
    <w:rsid w:val="008F25D3"/>
    <w:rsid w:val="00905585"/>
    <w:rsid w:val="00906E52"/>
    <w:rsid w:val="0092141A"/>
    <w:rsid w:val="00926C0A"/>
    <w:rsid w:val="00932A20"/>
    <w:rsid w:val="009331A7"/>
    <w:rsid w:val="00933B90"/>
    <w:rsid w:val="0093713A"/>
    <w:rsid w:val="009441F8"/>
    <w:rsid w:val="009519C7"/>
    <w:rsid w:val="00953AF2"/>
    <w:rsid w:val="0097210A"/>
    <w:rsid w:val="009967AA"/>
    <w:rsid w:val="0099794D"/>
    <w:rsid w:val="009A08AE"/>
    <w:rsid w:val="009A1A83"/>
    <w:rsid w:val="009A2337"/>
    <w:rsid w:val="009A39C2"/>
    <w:rsid w:val="009A4F54"/>
    <w:rsid w:val="009A7A6A"/>
    <w:rsid w:val="009B28A1"/>
    <w:rsid w:val="009B3CF3"/>
    <w:rsid w:val="009C401E"/>
    <w:rsid w:val="009C76CF"/>
    <w:rsid w:val="009C7E09"/>
    <w:rsid w:val="009E0DF1"/>
    <w:rsid w:val="009E16F1"/>
    <w:rsid w:val="009E23BF"/>
    <w:rsid w:val="009E796A"/>
    <w:rsid w:val="009F050C"/>
    <w:rsid w:val="009F54B2"/>
    <w:rsid w:val="009F6C60"/>
    <w:rsid w:val="00A01FCD"/>
    <w:rsid w:val="00A16A0C"/>
    <w:rsid w:val="00A22347"/>
    <w:rsid w:val="00A32683"/>
    <w:rsid w:val="00A33730"/>
    <w:rsid w:val="00A350E8"/>
    <w:rsid w:val="00A42839"/>
    <w:rsid w:val="00A44ED2"/>
    <w:rsid w:val="00A45996"/>
    <w:rsid w:val="00A500B2"/>
    <w:rsid w:val="00A51CDA"/>
    <w:rsid w:val="00A5442D"/>
    <w:rsid w:val="00A5561A"/>
    <w:rsid w:val="00A55A01"/>
    <w:rsid w:val="00A56EB4"/>
    <w:rsid w:val="00A570D0"/>
    <w:rsid w:val="00A76DE6"/>
    <w:rsid w:val="00A86AAA"/>
    <w:rsid w:val="00A8728F"/>
    <w:rsid w:val="00A93363"/>
    <w:rsid w:val="00AA2A41"/>
    <w:rsid w:val="00AA2FB4"/>
    <w:rsid w:val="00AA328E"/>
    <w:rsid w:val="00AC2861"/>
    <w:rsid w:val="00AD1713"/>
    <w:rsid w:val="00AD4F4C"/>
    <w:rsid w:val="00AE3139"/>
    <w:rsid w:val="00AE69EE"/>
    <w:rsid w:val="00AF0D78"/>
    <w:rsid w:val="00AF18F2"/>
    <w:rsid w:val="00AF63ED"/>
    <w:rsid w:val="00B05EB3"/>
    <w:rsid w:val="00B10D2A"/>
    <w:rsid w:val="00B14745"/>
    <w:rsid w:val="00B169B2"/>
    <w:rsid w:val="00B17FCF"/>
    <w:rsid w:val="00B2055E"/>
    <w:rsid w:val="00B238E4"/>
    <w:rsid w:val="00B33183"/>
    <w:rsid w:val="00B40584"/>
    <w:rsid w:val="00B42B00"/>
    <w:rsid w:val="00B4311D"/>
    <w:rsid w:val="00B458D9"/>
    <w:rsid w:val="00B474F7"/>
    <w:rsid w:val="00B47E63"/>
    <w:rsid w:val="00B51A11"/>
    <w:rsid w:val="00B609A5"/>
    <w:rsid w:val="00B665AB"/>
    <w:rsid w:val="00B712D3"/>
    <w:rsid w:val="00B716CD"/>
    <w:rsid w:val="00B772CF"/>
    <w:rsid w:val="00B81CB2"/>
    <w:rsid w:val="00B86FD6"/>
    <w:rsid w:val="00B928FF"/>
    <w:rsid w:val="00B938CF"/>
    <w:rsid w:val="00B93B28"/>
    <w:rsid w:val="00B93D80"/>
    <w:rsid w:val="00B9484D"/>
    <w:rsid w:val="00BB0BAB"/>
    <w:rsid w:val="00BB19FE"/>
    <w:rsid w:val="00BB7FAE"/>
    <w:rsid w:val="00BC60DB"/>
    <w:rsid w:val="00BD3FB9"/>
    <w:rsid w:val="00BD668A"/>
    <w:rsid w:val="00BE18DF"/>
    <w:rsid w:val="00BE54DD"/>
    <w:rsid w:val="00BE59FD"/>
    <w:rsid w:val="00BF0A61"/>
    <w:rsid w:val="00BF53E1"/>
    <w:rsid w:val="00BF601C"/>
    <w:rsid w:val="00C01ED7"/>
    <w:rsid w:val="00C03971"/>
    <w:rsid w:val="00C04C37"/>
    <w:rsid w:val="00C108C1"/>
    <w:rsid w:val="00C16467"/>
    <w:rsid w:val="00C22028"/>
    <w:rsid w:val="00C235F9"/>
    <w:rsid w:val="00C23C53"/>
    <w:rsid w:val="00C27219"/>
    <w:rsid w:val="00C32E9F"/>
    <w:rsid w:val="00C34F42"/>
    <w:rsid w:val="00C367D4"/>
    <w:rsid w:val="00C42C88"/>
    <w:rsid w:val="00C453C4"/>
    <w:rsid w:val="00C55531"/>
    <w:rsid w:val="00C5637D"/>
    <w:rsid w:val="00C65306"/>
    <w:rsid w:val="00C732AD"/>
    <w:rsid w:val="00C737D6"/>
    <w:rsid w:val="00C7409D"/>
    <w:rsid w:val="00C75002"/>
    <w:rsid w:val="00C754E6"/>
    <w:rsid w:val="00C76A75"/>
    <w:rsid w:val="00C76B99"/>
    <w:rsid w:val="00C848CB"/>
    <w:rsid w:val="00C8653C"/>
    <w:rsid w:val="00C86C95"/>
    <w:rsid w:val="00C974A1"/>
    <w:rsid w:val="00C97516"/>
    <w:rsid w:val="00CC20D1"/>
    <w:rsid w:val="00CC521A"/>
    <w:rsid w:val="00CC643A"/>
    <w:rsid w:val="00CF1949"/>
    <w:rsid w:val="00CF5D3B"/>
    <w:rsid w:val="00CF7FDC"/>
    <w:rsid w:val="00D002EA"/>
    <w:rsid w:val="00D01F87"/>
    <w:rsid w:val="00D1567A"/>
    <w:rsid w:val="00D15778"/>
    <w:rsid w:val="00D20EB3"/>
    <w:rsid w:val="00D23AA2"/>
    <w:rsid w:val="00D340C5"/>
    <w:rsid w:val="00D373AD"/>
    <w:rsid w:val="00D379A3"/>
    <w:rsid w:val="00D40160"/>
    <w:rsid w:val="00D418E6"/>
    <w:rsid w:val="00D45964"/>
    <w:rsid w:val="00D4691A"/>
    <w:rsid w:val="00D51260"/>
    <w:rsid w:val="00D54AC0"/>
    <w:rsid w:val="00D62FDB"/>
    <w:rsid w:val="00D63195"/>
    <w:rsid w:val="00D660EC"/>
    <w:rsid w:val="00D8001A"/>
    <w:rsid w:val="00D8210B"/>
    <w:rsid w:val="00D8597E"/>
    <w:rsid w:val="00D87F80"/>
    <w:rsid w:val="00D92B1E"/>
    <w:rsid w:val="00D934A1"/>
    <w:rsid w:val="00D93628"/>
    <w:rsid w:val="00D94E70"/>
    <w:rsid w:val="00D967EB"/>
    <w:rsid w:val="00DA1CBA"/>
    <w:rsid w:val="00DA68C3"/>
    <w:rsid w:val="00DB1869"/>
    <w:rsid w:val="00DB3E91"/>
    <w:rsid w:val="00DB7F29"/>
    <w:rsid w:val="00DD1E1D"/>
    <w:rsid w:val="00DD4314"/>
    <w:rsid w:val="00DD57DD"/>
    <w:rsid w:val="00DD603A"/>
    <w:rsid w:val="00DD7379"/>
    <w:rsid w:val="00DE481B"/>
    <w:rsid w:val="00DE6240"/>
    <w:rsid w:val="00DF075D"/>
    <w:rsid w:val="00DF4810"/>
    <w:rsid w:val="00E04BEF"/>
    <w:rsid w:val="00E05274"/>
    <w:rsid w:val="00E2529A"/>
    <w:rsid w:val="00E30127"/>
    <w:rsid w:val="00E30330"/>
    <w:rsid w:val="00E3051C"/>
    <w:rsid w:val="00E341EE"/>
    <w:rsid w:val="00E35320"/>
    <w:rsid w:val="00E36B68"/>
    <w:rsid w:val="00E4182C"/>
    <w:rsid w:val="00E42D88"/>
    <w:rsid w:val="00E56C45"/>
    <w:rsid w:val="00E57AE4"/>
    <w:rsid w:val="00E6196D"/>
    <w:rsid w:val="00E62FEB"/>
    <w:rsid w:val="00E63CB5"/>
    <w:rsid w:val="00E6504F"/>
    <w:rsid w:val="00E738CF"/>
    <w:rsid w:val="00E76EDB"/>
    <w:rsid w:val="00E77708"/>
    <w:rsid w:val="00E77D51"/>
    <w:rsid w:val="00E8182F"/>
    <w:rsid w:val="00E941BF"/>
    <w:rsid w:val="00E96A49"/>
    <w:rsid w:val="00EA132A"/>
    <w:rsid w:val="00EA482A"/>
    <w:rsid w:val="00EA641C"/>
    <w:rsid w:val="00EA6C73"/>
    <w:rsid w:val="00EB28F8"/>
    <w:rsid w:val="00EB3205"/>
    <w:rsid w:val="00EC6267"/>
    <w:rsid w:val="00ED1B4A"/>
    <w:rsid w:val="00ED24CD"/>
    <w:rsid w:val="00ED505F"/>
    <w:rsid w:val="00EE49DA"/>
    <w:rsid w:val="00EE6DD7"/>
    <w:rsid w:val="00EF36F5"/>
    <w:rsid w:val="00EF5F75"/>
    <w:rsid w:val="00EF6D1C"/>
    <w:rsid w:val="00F0487D"/>
    <w:rsid w:val="00F071CF"/>
    <w:rsid w:val="00F138AB"/>
    <w:rsid w:val="00F15DCE"/>
    <w:rsid w:val="00F166B9"/>
    <w:rsid w:val="00F21A76"/>
    <w:rsid w:val="00F231E8"/>
    <w:rsid w:val="00F26BA0"/>
    <w:rsid w:val="00F26E19"/>
    <w:rsid w:val="00F2726C"/>
    <w:rsid w:val="00F433BC"/>
    <w:rsid w:val="00F44F8B"/>
    <w:rsid w:val="00F52BC7"/>
    <w:rsid w:val="00F53636"/>
    <w:rsid w:val="00F5783B"/>
    <w:rsid w:val="00F655FD"/>
    <w:rsid w:val="00F657C2"/>
    <w:rsid w:val="00F65DAC"/>
    <w:rsid w:val="00F674A0"/>
    <w:rsid w:val="00F67E81"/>
    <w:rsid w:val="00F7155B"/>
    <w:rsid w:val="00F74F81"/>
    <w:rsid w:val="00F75474"/>
    <w:rsid w:val="00F81532"/>
    <w:rsid w:val="00F828B7"/>
    <w:rsid w:val="00F838D2"/>
    <w:rsid w:val="00F85A61"/>
    <w:rsid w:val="00F93F90"/>
    <w:rsid w:val="00F95C0C"/>
    <w:rsid w:val="00FA0E51"/>
    <w:rsid w:val="00FA1225"/>
    <w:rsid w:val="00FA29AC"/>
    <w:rsid w:val="00FA5582"/>
    <w:rsid w:val="00FB0AAD"/>
    <w:rsid w:val="00FB7EC5"/>
    <w:rsid w:val="00FC3402"/>
    <w:rsid w:val="00FC5AA9"/>
    <w:rsid w:val="00FD47D1"/>
    <w:rsid w:val="00FE05F5"/>
    <w:rsid w:val="00FE2E33"/>
    <w:rsid w:val="00FE321E"/>
    <w:rsid w:val="00FF28A2"/>
    <w:rsid w:val="00FF6285"/>
    <w:rsid w:val="0CEDBD49"/>
    <w:rsid w:val="35CC5AE2"/>
    <w:rsid w:val="3EBA5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66C28DB-6F76-47A7-A7BC-70D74A0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4F44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44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44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4F44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44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F4488"/>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C76A75"/>
    <w:rPr>
      <w:color w:val="605E5C"/>
      <w:shd w:val="clear" w:color="auto" w:fill="E1DFDD"/>
    </w:rPr>
  </w:style>
  <w:style w:type="paragraph" w:styleId="Revision">
    <w:name w:val="Revision"/>
    <w:hidden/>
    <w:uiPriority w:val="99"/>
    <w:semiHidden/>
    <w:rsid w:val="008248F6"/>
    <w:pPr>
      <w:spacing w:after="0" w:line="240" w:lineRule="auto"/>
    </w:pPr>
  </w:style>
  <w:style w:type="character" w:styleId="FollowedHyperlink">
    <w:name w:val="FollowedHyperlink"/>
    <w:basedOn w:val="DefaultParagraphFont"/>
    <w:uiPriority w:val="99"/>
    <w:semiHidden/>
    <w:unhideWhenUsed/>
    <w:rsid w:val="000E6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898983441">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638877543">
      <w:bodyDiv w:val="1"/>
      <w:marLeft w:val="0"/>
      <w:marRight w:val="0"/>
      <w:marTop w:val="0"/>
      <w:marBottom w:val="0"/>
      <w:divBdr>
        <w:top w:val="none" w:sz="0" w:space="0" w:color="auto"/>
        <w:left w:val="none" w:sz="0" w:space="0" w:color="auto"/>
        <w:bottom w:val="none" w:sz="0" w:space="0" w:color="auto"/>
        <w:right w:val="none" w:sz="0" w:space="0" w:color="auto"/>
      </w:divBdr>
    </w:div>
    <w:div w:id="16573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resolution%2013.2_annex%206_POW_e%20complete.pdf" TargetMode="External"/><Relationship Id="rId18" Type="http://schemas.openxmlformats.org/officeDocument/2006/relationships/hyperlink" Target="https://iclei.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ms.int/fr/node/24204" TargetMode="External"/><Relationship Id="rId7" Type="http://schemas.openxmlformats.org/officeDocument/2006/relationships/settings" Target="settings.xml"/><Relationship Id="rId12" Type="http://schemas.openxmlformats.org/officeDocument/2006/relationships/hyperlink" Target="https://www.cms.int/fr/document/plan-de-communication-dinformation-et-de-sensibilisation" TargetMode="External"/><Relationship Id="rId17" Type="http://schemas.openxmlformats.org/officeDocument/2006/relationships/hyperlink" Target="https://www.worldmigratorybirdday.org/2022/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s.int/fr/page/decisions-13138-%C3%A0-13139-lignes-directrices-relatives-%C3%A0-la-pollution-lumineuse-dont-est-victime" TargetMode="External"/><Relationship Id="rId20" Type="http://schemas.openxmlformats.org/officeDocument/2006/relationships/hyperlink" Target="https://www.cms.int/fr/node/2495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ms.int/fr/node/22718"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fr/news/un-nouveau-guide-aide-les-villes-%C3%A0-r%C3%A9duire-limpact-de-la-pollution-lumineuse-sur-la-faune-et-l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document/journ%C3%A9e-mondiale-des-oiseaux-migrateurs" TargetMode="External"/><Relationship Id="rId22" Type="http://schemas.openxmlformats.org/officeDocument/2006/relationships/hyperlink" Target="https://www.cms.int/fr/node/24952"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351B61FD-679B-4B20-BC6B-9EB7D2CF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1556</Words>
  <Characters>8872</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Samarkand, Uzbekistan, 12 – 17 February 2024</vt:lpstr>
      <vt:lpstr>        ANNEX 1</vt:lpstr>
    </vt:vector>
  </TitlesOfParts>
  <Company/>
  <LinksUpToDate>false</LinksUpToDate>
  <CharactersWithSpaces>10408</CharactersWithSpaces>
  <SharedDoc>false</SharedDoc>
  <HLinks>
    <vt:vector size="66" baseType="variant">
      <vt:variant>
        <vt:i4>4063268</vt:i4>
      </vt:variant>
      <vt:variant>
        <vt:i4>30</vt:i4>
      </vt:variant>
      <vt:variant>
        <vt:i4>0</vt:i4>
      </vt:variant>
      <vt:variant>
        <vt:i4>5</vt:i4>
      </vt:variant>
      <vt:variant>
        <vt:lpwstr>https://www.cms.int/en/document/strategic-communications-assessment</vt:lpwstr>
      </vt:variant>
      <vt:variant>
        <vt:lpwstr/>
      </vt:variant>
      <vt:variant>
        <vt:i4>1966086</vt:i4>
      </vt:variant>
      <vt:variant>
        <vt:i4>27</vt:i4>
      </vt:variant>
      <vt:variant>
        <vt:i4>0</vt:i4>
      </vt:variant>
      <vt:variant>
        <vt:i4>5</vt:i4>
      </vt:variant>
      <vt:variant>
        <vt:lpwstr>https://www.cms.int/en/document/budget-2024-2026-and-programme-work-intersessional-period-between-cop14-and-cop15</vt:lpwstr>
      </vt:variant>
      <vt:variant>
        <vt:lpwstr/>
      </vt:variant>
      <vt:variant>
        <vt:i4>4063268</vt:i4>
      </vt:variant>
      <vt:variant>
        <vt:i4>24</vt:i4>
      </vt:variant>
      <vt:variant>
        <vt:i4>0</vt:i4>
      </vt:variant>
      <vt:variant>
        <vt:i4>5</vt:i4>
      </vt:variant>
      <vt:variant>
        <vt:lpwstr>https://www.cms.int/en/document/strategic-communications-assessment</vt:lpwstr>
      </vt:variant>
      <vt:variant>
        <vt:lpwstr/>
      </vt:variant>
      <vt:variant>
        <vt:i4>6029397</vt:i4>
      </vt:variant>
      <vt:variant>
        <vt:i4>21</vt:i4>
      </vt:variant>
      <vt:variant>
        <vt:i4>0</vt:i4>
      </vt:variant>
      <vt:variant>
        <vt:i4>5</vt:i4>
      </vt:variant>
      <vt:variant>
        <vt:lpwstr>https://www.cms.int/en/news/new-guide-helps-cities-curb-light-pollution-impacts-wildlife</vt:lpwstr>
      </vt:variant>
      <vt:variant>
        <vt:lpwstr/>
      </vt:variant>
      <vt:variant>
        <vt:i4>6553636</vt:i4>
      </vt:variant>
      <vt:variant>
        <vt:i4>18</vt:i4>
      </vt:variant>
      <vt:variant>
        <vt:i4>0</vt:i4>
      </vt:variant>
      <vt:variant>
        <vt:i4>5</vt:i4>
      </vt:variant>
      <vt:variant>
        <vt:lpwstr>https://iclei.org/</vt:lpwstr>
      </vt:variant>
      <vt:variant>
        <vt:lpwstr/>
      </vt:variant>
      <vt:variant>
        <vt:i4>5177355</vt:i4>
      </vt:variant>
      <vt:variant>
        <vt:i4>15</vt:i4>
      </vt:variant>
      <vt:variant>
        <vt:i4>0</vt:i4>
      </vt:variant>
      <vt:variant>
        <vt:i4>5</vt:i4>
      </vt:variant>
      <vt:variant>
        <vt:lpwstr>https://www.worldmigratorybirdday.org/2022/resources</vt:lpwstr>
      </vt:variant>
      <vt:variant>
        <vt:lpwstr/>
      </vt:variant>
      <vt:variant>
        <vt:i4>5374037</vt:i4>
      </vt:variant>
      <vt:variant>
        <vt:i4>12</vt:i4>
      </vt:variant>
      <vt:variant>
        <vt:i4>0</vt:i4>
      </vt:variant>
      <vt:variant>
        <vt:i4>5</vt:i4>
      </vt:variant>
      <vt:variant>
        <vt:lpwstr>https://www.cms.int/en/page/decisions-13138-13139-light-pollution-guidelines-wildlife</vt:lpwstr>
      </vt:variant>
      <vt:variant>
        <vt:lpwstr/>
      </vt:variant>
      <vt:variant>
        <vt:i4>5505103</vt:i4>
      </vt:variant>
      <vt:variant>
        <vt:i4>9</vt:i4>
      </vt:variant>
      <vt:variant>
        <vt:i4>0</vt:i4>
      </vt:variant>
      <vt:variant>
        <vt:i4>5</vt:i4>
      </vt:variant>
      <vt:variant>
        <vt:lpwstr>https://www.cms.int/en/news/new-un-report-finds-migratory-species-are-likely-among-most-vulnerable-plastic-pollution</vt:lpwstr>
      </vt:variant>
      <vt:variant>
        <vt:lpwstr/>
      </vt:variant>
      <vt:variant>
        <vt:i4>3276897</vt:i4>
      </vt:variant>
      <vt:variant>
        <vt:i4>6</vt:i4>
      </vt:variant>
      <vt:variant>
        <vt:i4>0</vt:i4>
      </vt:variant>
      <vt:variant>
        <vt:i4>5</vt:i4>
      </vt:variant>
      <vt:variant>
        <vt:lpwstr>https://www.cms.int/en/document/world-migratory-bird-day-3</vt:lpwstr>
      </vt:variant>
      <vt:variant>
        <vt:lpwstr/>
      </vt:variant>
      <vt:variant>
        <vt:i4>4063337</vt:i4>
      </vt:variant>
      <vt:variant>
        <vt:i4>3</vt:i4>
      </vt:variant>
      <vt:variant>
        <vt:i4>0</vt:i4>
      </vt:variant>
      <vt:variant>
        <vt:i4>5</vt:i4>
      </vt:variant>
      <vt:variant>
        <vt:lpwstr>https://www.cms.int/sites/default/files/document/cms_resolution 13.2_annex 6_POW_e complete.pdf</vt:lpwstr>
      </vt:variant>
      <vt:variant>
        <vt:lpwstr/>
      </vt:variant>
      <vt:variant>
        <vt:i4>1900628</vt:i4>
      </vt:variant>
      <vt:variant>
        <vt:i4>0</vt:i4>
      </vt:variant>
      <vt:variant>
        <vt:i4>0</vt:i4>
      </vt:variant>
      <vt:variant>
        <vt:i4>5</vt:i4>
      </vt:variant>
      <vt:variant>
        <vt:lpwstr>https://www.cms.int/en/document/communication-information-and-outreach-plan-0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72</cp:revision>
  <dcterms:created xsi:type="dcterms:W3CDTF">2023-12-18T20:29:00Z</dcterms:created>
  <dcterms:modified xsi:type="dcterms:W3CDTF">2023-12-20T14:51:00Z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