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002A97" w:rsidRPr="009B66DD" w14:paraId="77F5F746" w14:textId="77777777" w:rsidTr="00CF7C14">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68D1D064" w14:textId="77777777" w:rsidR="00002A97" w:rsidRPr="00002A97" w:rsidRDefault="00002A97" w:rsidP="00002A97">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01A9DF71" wp14:editId="6CEDAA52">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shd w:val="clear" w:color="auto" w:fill="auto"/>
            <w:tcMar>
              <w:top w:w="85" w:type="dxa"/>
              <w:left w:w="108" w:type="dxa"/>
              <w:bottom w:w="0" w:type="dxa"/>
              <w:right w:w="108" w:type="dxa"/>
            </w:tcMar>
          </w:tcPr>
          <w:p w14:paraId="54346F88"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7AA7A12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0BDD37F9"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40B8FBF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shd w:val="clear" w:color="auto" w:fill="auto"/>
            <w:tcMar>
              <w:top w:w="85" w:type="dxa"/>
              <w:left w:w="108" w:type="dxa"/>
              <w:bottom w:w="0" w:type="dxa"/>
              <w:right w:w="108" w:type="dxa"/>
            </w:tcMar>
          </w:tcPr>
          <w:p w14:paraId="13A5EDAC" w14:textId="10B97183" w:rsidR="00002A97" w:rsidRPr="00396A3D" w:rsidRDefault="00002A97"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rPr>
            </w:pPr>
            <w:r w:rsidRPr="00396A3D">
              <w:rPr>
                <w:rFonts w:eastAsia="Times New Roman" w:cs="Arial"/>
                <w:szCs w:val="24"/>
                <w:lang w:eastAsia="es-ES"/>
              </w:rPr>
              <w:t>UNEP/CMS/COP1</w:t>
            </w:r>
            <w:r w:rsidR="000F4BDA" w:rsidRPr="00396A3D">
              <w:rPr>
                <w:rFonts w:eastAsia="Times New Roman" w:cs="Arial"/>
                <w:szCs w:val="24"/>
                <w:lang w:eastAsia="es-ES"/>
              </w:rPr>
              <w:t>4</w:t>
            </w:r>
            <w:r w:rsidRPr="00396A3D">
              <w:rPr>
                <w:rFonts w:eastAsia="Times New Roman" w:cs="Arial"/>
                <w:szCs w:val="24"/>
                <w:lang w:eastAsia="es-ES"/>
              </w:rPr>
              <w:t>/</w:t>
            </w:r>
            <w:r w:rsidR="00800CB3" w:rsidRPr="00396A3D">
              <w:rPr>
                <w:rFonts w:eastAsia="Times New Roman" w:cs="Arial"/>
                <w:szCs w:val="24"/>
                <w:lang w:eastAsia="es-ES"/>
              </w:rPr>
              <w:t>Doc</w:t>
            </w:r>
            <w:r w:rsidRPr="00396A3D">
              <w:rPr>
                <w:rFonts w:eastAsia="Times New Roman" w:cs="Arial"/>
                <w:szCs w:val="24"/>
                <w:lang w:eastAsia="es-ES"/>
              </w:rPr>
              <w:t>.</w:t>
            </w:r>
            <w:r w:rsidR="00CC0F4F" w:rsidRPr="00396A3D">
              <w:rPr>
                <w:rFonts w:eastAsia="Times New Roman" w:cs="Arial"/>
                <w:szCs w:val="24"/>
                <w:lang w:eastAsia="es-ES"/>
              </w:rPr>
              <w:t>13.2</w:t>
            </w:r>
            <w:r w:rsidR="00396A3D" w:rsidRPr="00396A3D">
              <w:rPr>
                <w:rFonts w:eastAsia="Times New Roman" w:cs="Arial"/>
                <w:szCs w:val="24"/>
                <w:lang w:eastAsia="es-ES"/>
              </w:rPr>
              <w:t>/Rev</w:t>
            </w:r>
            <w:r w:rsidR="00396A3D">
              <w:rPr>
                <w:rFonts w:eastAsia="Times New Roman" w:cs="Arial"/>
                <w:szCs w:val="24"/>
                <w:lang w:eastAsia="es-ES"/>
              </w:rPr>
              <w:t>.1</w:t>
            </w:r>
          </w:p>
          <w:p w14:paraId="5F9B9DE6" w14:textId="1DD31415" w:rsidR="00002A97" w:rsidRPr="009B66DD" w:rsidRDefault="00396A3D"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Pr>
                <w:rFonts w:eastAsia="Times New Roman" w:cs="Arial"/>
                <w:szCs w:val="24"/>
                <w:lang w:val="es-ES" w:eastAsia="es-ES"/>
              </w:rPr>
              <w:t>1 de febrero 2024</w:t>
            </w:r>
          </w:p>
          <w:p w14:paraId="7005662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1A2CF210" w14:textId="77777777" w:rsidR="00002A97" w:rsidRPr="000F4BDA" w:rsidRDefault="00002A97"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Original: Inglés</w:t>
            </w:r>
          </w:p>
          <w:p w14:paraId="494F0815"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321C3CFB" w14:textId="77777777"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005C291A" w14:textId="1FFD54F4"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sidR="000F4BDA">
        <w:rPr>
          <w:rFonts w:eastAsia="Times New Roman" w:cs="Arial"/>
          <w:szCs w:val="24"/>
          <w:lang w:val="es-ES" w:eastAsia="es-ES"/>
        </w:rPr>
        <w:t>4</w:t>
      </w:r>
      <w:r w:rsidRPr="00002A97">
        <w:rPr>
          <w:rFonts w:eastAsia="Times New Roman" w:cs="Arial"/>
          <w:szCs w:val="24"/>
          <w:lang w:val="es-ES" w:eastAsia="es-ES"/>
        </w:rPr>
        <w:t>ª REUNIÓN DE LA CONFERENCIA DE LAS PARTES</w:t>
      </w:r>
    </w:p>
    <w:p w14:paraId="6AA17B99" w14:textId="60C7493A" w:rsidR="00002A97" w:rsidRPr="00002A97" w:rsidRDefault="000F4BDA" w:rsidP="00002A9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sidRPr="000F4BDA">
        <w:rPr>
          <w:rFonts w:eastAsia="Times New Roman" w:cs="Arial"/>
          <w:bCs/>
          <w:szCs w:val="24"/>
          <w:lang w:val="es-ES" w:eastAsia="es-ES"/>
        </w:rPr>
        <w:t>Samarcanda</w:t>
      </w:r>
      <w:r w:rsidR="00002A97" w:rsidRPr="00002A97">
        <w:rPr>
          <w:rFonts w:eastAsia="Times New Roman" w:cs="Arial"/>
          <w:bCs/>
          <w:szCs w:val="24"/>
          <w:lang w:val="es-ES" w:eastAsia="es-ES"/>
        </w:rPr>
        <w:t xml:space="preserve">. </w:t>
      </w:r>
      <w:r>
        <w:rPr>
          <w:rFonts w:eastAsia="Times New Roman" w:cs="Arial"/>
          <w:bCs/>
          <w:szCs w:val="24"/>
          <w:lang w:val="es-ES" w:eastAsia="es-ES"/>
        </w:rPr>
        <w:t>Uzbekistán</w:t>
      </w:r>
      <w:r w:rsidR="00002A97" w:rsidRPr="00002A97">
        <w:rPr>
          <w:rFonts w:eastAsia="Times New Roman" w:cs="Arial"/>
          <w:bCs/>
          <w:szCs w:val="24"/>
          <w:lang w:val="es-ES" w:eastAsia="es-ES"/>
        </w:rPr>
        <w:t xml:space="preserve">, </w:t>
      </w:r>
      <w:r w:rsidR="00C664E8">
        <w:rPr>
          <w:rFonts w:eastAsia="Times New Roman" w:cs="Arial"/>
          <w:bCs/>
          <w:szCs w:val="24"/>
          <w:lang w:val="es-ES" w:eastAsia="es-ES"/>
        </w:rPr>
        <w:t>12 – 17 de febrero</w:t>
      </w:r>
      <w:r w:rsidR="00002A97" w:rsidRPr="00002A97">
        <w:rPr>
          <w:rFonts w:eastAsia="Times New Roman" w:cs="Arial"/>
          <w:bCs/>
          <w:szCs w:val="24"/>
          <w:lang w:val="es-ES" w:eastAsia="es-ES"/>
        </w:rPr>
        <w:t xml:space="preserve"> 202</w:t>
      </w:r>
      <w:r w:rsidR="00C664E8">
        <w:rPr>
          <w:rFonts w:eastAsia="Times New Roman" w:cs="Arial"/>
          <w:bCs/>
          <w:szCs w:val="24"/>
          <w:lang w:val="es-ES" w:eastAsia="es-ES"/>
        </w:rPr>
        <w:t>4</w:t>
      </w:r>
    </w:p>
    <w:p w14:paraId="500F7C6B" w14:textId="2458EBAC" w:rsidR="00002A97" w:rsidRPr="00002A97" w:rsidRDefault="00002A97" w:rsidP="00002A97">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C75F52">
        <w:rPr>
          <w:rFonts w:eastAsia="Times New Roman" w:cs="Arial"/>
          <w:szCs w:val="24"/>
          <w:lang w:val="es-ES" w:eastAsia="es-ES"/>
        </w:rPr>
        <w:t>13</w:t>
      </w:r>
      <w:r w:rsidRPr="00002A97">
        <w:rPr>
          <w:rFonts w:eastAsia="Times New Roman" w:cs="Arial"/>
          <w:szCs w:val="24"/>
          <w:lang w:val="es-ES" w:eastAsia="es-ES"/>
        </w:rPr>
        <w:t xml:space="preserve"> del orden del día</w:t>
      </w:r>
    </w:p>
    <w:p w14:paraId="7D24E2F1" w14:textId="77777777" w:rsidR="00002A97" w:rsidRDefault="00002A97"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0B234219" w14:textId="77777777" w:rsidR="00AC09AE" w:rsidRPr="00002A97" w:rsidRDefault="00AC09AE"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433F2CE0" w14:textId="77777777" w:rsidR="00C946B8" w:rsidRPr="00C946B8" w:rsidRDefault="00C946B8" w:rsidP="00C946B8">
      <w:pPr>
        <w:widowControl w:val="0"/>
        <w:autoSpaceDE w:val="0"/>
        <w:autoSpaceDN w:val="0"/>
        <w:spacing w:after="0" w:line="252" w:lineRule="exact"/>
        <w:ind w:right="-42"/>
        <w:jc w:val="center"/>
        <w:rPr>
          <w:rFonts w:eastAsia="Arial" w:cs="Arial"/>
          <w:b/>
          <w:spacing w:val="-7"/>
          <w:lang w:val="es-ES"/>
        </w:rPr>
      </w:pPr>
      <w:r w:rsidRPr="00C946B8">
        <w:rPr>
          <w:rFonts w:eastAsia="Arial" w:cs="Arial"/>
          <w:b/>
          <w:lang w:val="es-ES"/>
        </w:rPr>
        <w:t xml:space="preserve">PRESUPUESTO PARA 2024-2026 Y PROGRAMA DE TRABAJO PARA EL </w:t>
      </w:r>
    </w:p>
    <w:p w14:paraId="69A97320" w14:textId="77777777" w:rsidR="00C946B8" w:rsidRPr="00C946B8" w:rsidRDefault="00C946B8" w:rsidP="00C946B8">
      <w:pPr>
        <w:widowControl w:val="0"/>
        <w:autoSpaceDE w:val="0"/>
        <w:autoSpaceDN w:val="0"/>
        <w:spacing w:after="0" w:line="252" w:lineRule="exact"/>
        <w:ind w:right="-42"/>
        <w:jc w:val="center"/>
        <w:rPr>
          <w:rFonts w:eastAsia="Arial" w:cs="Arial"/>
          <w:b/>
          <w:lang w:val="es-ES"/>
        </w:rPr>
      </w:pPr>
      <w:r w:rsidRPr="00C946B8" w:rsidDel="004D1A40">
        <w:rPr>
          <w:rFonts w:eastAsia="Arial" w:cs="Arial"/>
          <w:b/>
          <w:lang w:val="es-ES"/>
        </w:rPr>
        <w:t>PERÍODO ENTRE SESIONES ENTRE LA COP14 Y LA COP15</w:t>
      </w:r>
    </w:p>
    <w:p w14:paraId="24B28617" w14:textId="77777777" w:rsidR="00C946B8" w:rsidRPr="00C946B8" w:rsidRDefault="00C946B8" w:rsidP="00C946B8">
      <w:pPr>
        <w:widowControl w:val="0"/>
        <w:autoSpaceDE w:val="0"/>
        <w:autoSpaceDN w:val="0"/>
        <w:spacing w:before="135" w:after="0" w:line="240" w:lineRule="auto"/>
        <w:ind w:left="1670" w:right="1651"/>
        <w:jc w:val="center"/>
        <w:rPr>
          <w:rFonts w:eastAsia="Arial" w:cs="Arial"/>
          <w:i/>
          <w:lang w:val="es-ES"/>
        </w:rPr>
      </w:pPr>
      <w:r w:rsidRPr="00C946B8">
        <w:rPr>
          <w:rFonts w:eastAsia="Arial" w:cs="Arial"/>
          <w:i/>
          <w:lang w:val="es-ES"/>
        </w:rPr>
        <w:t>(Preparado por la Secretaría)</w:t>
      </w:r>
    </w:p>
    <w:p w14:paraId="6A23E363" w14:textId="77777777" w:rsidR="00002A97" w:rsidRPr="00002A97" w:rsidRDefault="00002A97" w:rsidP="00002A97">
      <w:pPr>
        <w:widowControl w:val="0"/>
        <w:tabs>
          <w:tab w:val="left" w:pos="8295"/>
        </w:tabs>
        <w:suppressAutoHyphens/>
        <w:autoSpaceDE w:val="0"/>
        <w:autoSpaceDN w:val="0"/>
        <w:spacing w:after="0" w:line="240" w:lineRule="auto"/>
        <w:jc w:val="both"/>
        <w:textAlignment w:val="baseline"/>
        <w:rPr>
          <w:rFonts w:eastAsia="Times New Roman" w:cs="Arial"/>
          <w:lang w:val="es-ES" w:eastAsia="es-ES"/>
        </w:rPr>
      </w:pPr>
    </w:p>
    <w:p w14:paraId="7DD73723" w14:textId="78D9F3AE" w:rsidR="00002A97" w:rsidRPr="00002A97" w:rsidRDefault="00995B3E"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EC2A58">
        <w:rPr>
          <w:rFonts w:eastAsia="Times New Roman" w:cs="Arial"/>
          <w:noProof/>
        </w:rPr>
        <mc:AlternateContent>
          <mc:Choice Requires="wps">
            <w:drawing>
              <wp:anchor distT="0" distB="0" distL="114300" distR="114300" simplePos="0" relativeHeight="251658752" behindDoc="0" locked="0" layoutInCell="1" allowOverlap="1" wp14:anchorId="70DD936B" wp14:editId="5AA38D55">
                <wp:simplePos x="0" y="0"/>
                <wp:positionH relativeFrom="column">
                  <wp:posOffset>923925</wp:posOffset>
                </wp:positionH>
                <wp:positionV relativeFrom="paragraph">
                  <wp:posOffset>149860</wp:posOffset>
                </wp:positionV>
                <wp:extent cx="4304665" cy="3105150"/>
                <wp:effectExtent l="0" t="0" r="19685" b="19050"/>
                <wp:wrapNone/>
                <wp:docPr id="5" name="Text Box 4"/>
                <wp:cNvGraphicFramePr/>
                <a:graphic xmlns:a="http://schemas.openxmlformats.org/drawingml/2006/main">
                  <a:graphicData uri="http://schemas.microsoft.com/office/word/2010/wordprocessingShape">
                    <wps:wsp>
                      <wps:cNvSpPr txBox="1"/>
                      <wps:spPr>
                        <a:xfrm>
                          <a:off x="0" y="0"/>
                          <a:ext cx="4304665" cy="3105150"/>
                        </a:xfrm>
                        <a:prstGeom prst="rect">
                          <a:avLst/>
                        </a:prstGeom>
                        <a:solidFill>
                          <a:srgbClr val="FFFFFF"/>
                        </a:solidFill>
                        <a:ln w="3172">
                          <a:solidFill>
                            <a:srgbClr val="000000"/>
                          </a:solidFill>
                          <a:prstDash val="solid"/>
                        </a:ln>
                      </wps:spPr>
                      <wps:txbx>
                        <w:txbxContent>
                          <w:p w14:paraId="78EFDF6D" w14:textId="1DCE26E8" w:rsidR="002D5F2A" w:rsidRPr="00430521" w:rsidRDefault="002D5F2A" w:rsidP="002D5F2A">
                            <w:pPr>
                              <w:spacing w:after="0"/>
                              <w:rPr>
                                <w:lang w:val="es-ES"/>
                              </w:rPr>
                            </w:pPr>
                            <w:r w:rsidRPr="00430521">
                              <w:rPr>
                                <w:rFonts w:eastAsia="Arial" w:cs="Arial"/>
                                <w:lang w:val="es-ES"/>
                              </w:rPr>
                              <w:t>Resumen:</w:t>
                            </w:r>
                          </w:p>
                          <w:p w14:paraId="255B4E63" w14:textId="77777777" w:rsidR="002D5F2A" w:rsidRPr="00430521" w:rsidRDefault="002D5F2A" w:rsidP="002D5F2A">
                            <w:pPr>
                              <w:spacing w:after="0"/>
                              <w:rPr>
                                <w:rFonts w:cs="Arial"/>
                                <w:lang w:val="es-ES"/>
                              </w:rPr>
                            </w:pPr>
                          </w:p>
                          <w:p w14:paraId="2C7D9F91" w14:textId="77777777" w:rsidR="00995B3E" w:rsidRPr="00995B3E" w:rsidRDefault="00995B3E" w:rsidP="00995B3E">
                            <w:pPr>
                              <w:widowControl w:val="0"/>
                              <w:autoSpaceDE w:val="0"/>
                              <w:autoSpaceDN w:val="0"/>
                              <w:spacing w:after="0" w:line="240" w:lineRule="auto"/>
                              <w:ind w:right="136"/>
                              <w:jc w:val="both"/>
                              <w:rPr>
                                <w:rFonts w:eastAsia="Arial" w:cs="Arial"/>
                                <w:lang w:val="es-ES"/>
                              </w:rPr>
                            </w:pPr>
                            <w:r w:rsidRPr="00995B3E">
                              <w:rPr>
                                <w:rFonts w:eastAsia="Arial" w:cs="Arial"/>
                                <w:lang w:val="es-ES"/>
                              </w:rPr>
                              <w:t xml:space="preserve">Conforme a la solicitud en la Resolución 13.2 </w:t>
                            </w:r>
                            <w:r w:rsidRPr="00995B3E">
                              <w:rPr>
                                <w:rFonts w:eastAsia="Arial" w:cs="Arial"/>
                                <w:i/>
                                <w:lang w:val="es-ES"/>
                              </w:rPr>
                              <w:t>Asuntos financieros y administrativos</w:t>
                            </w:r>
                            <w:r w:rsidRPr="00995B3E">
                              <w:rPr>
                                <w:rFonts w:eastAsia="Arial" w:cs="Arial"/>
                                <w:lang w:val="es-ES"/>
                              </w:rPr>
                              <w:t>, la Secretaría ha preparado un proyecto de presupuesto para el trienio 2024-2026, con tres escenarios presupuestarios.</w:t>
                            </w:r>
                          </w:p>
                          <w:p w14:paraId="6A5F5005" w14:textId="77777777" w:rsidR="00995B3E" w:rsidRPr="00995B3E" w:rsidRDefault="00995B3E" w:rsidP="00995B3E">
                            <w:pPr>
                              <w:widowControl w:val="0"/>
                              <w:autoSpaceDE w:val="0"/>
                              <w:autoSpaceDN w:val="0"/>
                              <w:spacing w:after="0" w:line="240" w:lineRule="auto"/>
                              <w:jc w:val="both"/>
                              <w:rPr>
                                <w:rFonts w:eastAsia="Arial" w:cs="Arial"/>
                                <w:lang w:val="es-ES"/>
                              </w:rPr>
                            </w:pPr>
                          </w:p>
                          <w:p w14:paraId="658DC18E" w14:textId="2E1BA287" w:rsidR="00995B3E" w:rsidRPr="00995B3E" w:rsidRDefault="00984CB6" w:rsidP="00995B3E">
                            <w:pPr>
                              <w:widowControl w:val="0"/>
                              <w:autoSpaceDE w:val="0"/>
                              <w:autoSpaceDN w:val="0"/>
                              <w:spacing w:after="0" w:line="240" w:lineRule="auto"/>
                              <w:ind w:right="143"/>
                              <w:jc w:val="both"/>
                              <w:rPr>
                                <w:rFonts w:eastAsia="Arial" w:cs="Arial"/>
                                <w:lang w:val="es-ES"/>
                              </w:rPr>
                            </w:pPr>
                            <w:r w:rsidRPr="00984CB6">
                              <w:rPr>
                                <w:rFonts w:eastAsia="Arial" w:cs="Arial"/>
                                <w:lang w:val="es-ES"/>
                              </w:rPr>
                              <w:t>La Revisión 1 se publicó para corregir y eliminar el texto que se había incluido por error en el párrafo 10 del proyecto de resolución, que figura en el Anexo 5. También aborda el hecho de que el Programa de Trabajo para el período entre sesiones 2024-2026 sólo se finalizará después de la COP14 y proporciona texto para reflejar esto en el Párrafo 14 del Proyecto de Resolución.</w:t>
                            </w:r>
                            <w:r w:rsidR="00995B3E" w:rsidRPr="00995B3E">
                              <w:rPr>
                                <w:rFonts w:eastAsia="Arial" w:cs="Arial"/>
                                <w:lang w:val="es-ES"/>
                              </w:rPr>
                              <w:t xml:space="preserve"> </w:t>
                            </w:r>
                          </w:p>
                          <w:p w14:paraId="0A475A74" w14:textId="77777777" w:rsidR="00995B3E" w:rsidRPr="00995B3E" w:rsidRDefault="00995B3E" w:rsidP="00995B3E">
                            <w:pPr>
                              <w:widowControl w:val="0"/>
                              <w:autoSpaceDE w:val="0"/>
                              <w:autoSpaceDN w:val="0"/>
                              <w:spacing w:after="0" w:line="240" w:lineRule="auto"/>
                              <w:jc w:val="both"/>
                              <w:rPr>
                                <w:rFonts w:eastAsia="Arial" w:cs="Arial"/>
                                <w:lang w:val="es-ES"/>
                              </w:rPr>
                            </w:pPr>
                          </w:p>
                          <w:p w14:paraId="01A2B357" w14:textId="6E65BCE6" w:rsidR="00B01F87" w:rsidRPr="00B01F87" w:rsidRDefault="00995B3E" w:rsidP="00995B3E">
                            <w:pPr>
                              <w:pStyle w:val="BodyText"/>
                              <w:ind w:right="143"/>
                              <w:jc w:val="both"/>
                              <w:rPr>
                                <w:lang w:val="es-ES"/>
                              </w:rPr>
                            </w:pPr>
                            <w:r w:rsidRPr="00995B3E">
                              <w:rPr>
                                <w:lang w:val="es-ES"/>
                              </w:rPr>
                              <w:t xml:space="preserve">El documento se debe considerar junto con los documentos UNEP/CMS/COP14/Doc.13.1 </w:t>
                            </w:r>
                            <w:r w:rsidRPr="00995B3E">
                              <w:rPr>
                                <w:i/>
                                <w:lang w:val="es-ES"/>
                              </w:rPr>
                              <w:t xml:space="preserve">Ejecución del presupuesto 2021–2023 de la CMS </w:t>
                            </w:r>
                            <w:r w:rsidRPr="00995B3E">
                              <w:rPr>
                                <w:lang w:val="es-ES"/>
                              </w:rPr>
                              <w:t xml:space="preserve">y UNEP/CMS/COP14/Doc.13.3 </w:t>
                            </w:r>
                            <w:r w:rsidRPr="00995B3E">
                              <w:rPr>
                                <w:i/>
                                <w:lang w:val="es-ES"/>
                              </w:rPr>
                              <w:t>Movilización de recursos</w:t>
                            </w:r>
                            <w:r w:rsidRPr="00995B3E">
                              <w:rPr>
                                <w:lang w:val="es-ES"/>
                              </w:rPr>
                              <w:t>.</w:t>
                            </w:r>
                          </w:p>
                          <w:p w14:paraId="59C6BA30" w14:textId="77777777" w:rsidR="00B01F87" w:rsidRPr="00B01F87" w:rsidRDefault="00B01F87" w:rsidP="00B01F87">
                            <w:pPr>
                              <w:pStyle w:val="BodyText"/>
                              <w:jc w:val="both"/>
                              <w:rPr>
                                <w:lang w:val="es-ES"/>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70DD936B" id="_x0000_t202" coordsize="21600,21600" o:spt="202" path="m,l,21600r21600,l21600,xe">
                <v:stroke joinstyle="miter"/>
                <v:path gradientshapeok="t" o:connecttype="rect"/>
              </v:shapetype>
              <v:shape id="Text Box 4" o:spid="_x0000_s1026" type="#_x0000_t202" style="position:absolute;margin-left:72.75pt;margin-top:11.8pt;width:338.95pt;height:244.5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" strokeweight=".08811mm">
                <v:textbox>
                  <w:txbxContent>
                    <w:p w14:paraId="78EFDF6D" w14:textId="1DCE26E8" w:rsidR="002D5F2A" w:rsidRPr="00430521" w:rsidRDefault="002D5F2A" w:rsidP="002D5F2A">
                      <w:pPr>
                        <w:spacing w:after="0"/>
                        <w:rPr>
                          <w:lang w:val="es-ES"/>
                        </w:rPr>
                      </w:pPr>
                      <w:r w:rsidRPr="00430521">
                        <w:rPr>
                          <w:rFonts w:eastAsia="Arial" w:cs="Arial"/>
                          <w:lang w:val="es-ES"/>
                        </w:rPr>
                        <w:t>Resumen:</w:t>
                      </w:r>
                    </w:p>
                    <w:p w14:paraId="255B4E63" w14:textId="77777777" w:rsidR="002D5F2A" w:rsidRPr="00430521" w:rsidRDefault="002D5F2A" w:rsidP="002D5F2A">
                      <w:pPr>
                        <w:spacing w:after="0"/>
                        <w:rPr>
                          <w:rFonts w:cs="Arial"/>
                          <w:lang w:val="es-ES"/>
                        </w:rPr>
                      </w:pPr>
                    </w:p>
                    <w:p w14:paraId="2C7D9F91" w14:textId="77777777" w:rsidR="00995B3E" w:rsidRPr="00995B3E" w:rsidRDefault="00995B3E" w:rsidP="00995B3E">
                      <w:pPr>
                        <w:widowControl w:val="0"/>
                        <w:autoSpaceDE w:val="0"/>
                        <w:autoSpaceDN w:val="0"/>
                        <w:spacing w:after="0" w:line="240" w:lineRule="auto"/>
                        <w:ind w:right="136"/>
                        <w:jc w:val="both"/>
                        <w:rPr>
                          <w:rFonts w:eastAsia="Arial" w:cs="Arial"/>
                          <w:lang w:val="es-ES"/>
                        </w:rPr>
                      </w:pPr>
                      <w:r w:rsidRPr="00995B3E">
                        <w:rPr>
                          <w:rFonts w:eastAsia="Arial" w:cs="Arial"/>
                          <w:lang w:val="es-ES"/>
                        </w:rPr>
                        <w:t xml:space="preserve">Conforme a la solicitud en la Resolución 13.2 </w:t>
                      </w:r>
                      <w:r w:rsidRPr="00995B3E">
                        <w:rPr>
                          <w:rFonts w:eastAsia="Arial" w:cs="Arial"/>
                          <w:i/>
                          <w:lang w:val="es-ES"/>
                        </w:rPr>
                        <w:t>Asuntos financieros y administrativos</w:t>
                      </w:r>
                      <w:r w:rsidRPr="00995B3E">
                        <w:rPr>
                          <w:rFonts w:eastAsia="Arial" w:cs="Arial"/>
                          <w:lang w:val="es-ES"/>
                        </w:rPr>
                        <w:t>, la Secretaría ha preparado un proyecto de presupuesto para el trienio 2024-2026, con tres escenarios presupuestarios.</w:t>
                      </w:r>
                    </w:p>
                    <w:p w14:paraId="6A5F5005" w14:textId="77777777" w:rsidR="00995B3E" w:rsidRPr="00995B3E" w:rsidRDefault="00995B3E" w:rsidP="00995B3E">
                      <w:pPr>
                        <w:widowControl w:val="0"/>
                        <w:autoSpaceDE w:val="0"/>
                        <w:autoSpaceDN w:val="0"/>
                        <w:spacing w:after="0" w:line="240" w:lineRule="auto"/>
                        <w:jc w:val="both"/>
                        <w:rPr>
                          <w:rFonts w:eastAsia="Arial" w:cs="Arial"/>
                          <w:lang w:val="es-ES"/>
                        </w:rPr>
                      </w:pPr>
                    </w:p>
                    <w:p w14:paraId="658DC18E" w14:textId="2E1BA287" w:rsidR="00995B3E" w:rsidRPr="00995B3E" w:rsidRDefault="00984CB6" w:rsidP="00995B3E">
                      <w:pPr>
                        <w:widowControl w:val="0"/>
                        <w:autoSpaceDE w:val="0"/>
                        <w:autoSpaceDN w:val="0"/>
                        <w:spacing w:after="0" w:line="240" w:lineRule="auto"/>
                        <w:ind w:right="143"/>
                        <w:jc w:val="both"/>
                        <w:rPr>
                          <w:rFonts w:eastAsia="Arial" w:cs="Arial"/>
                          <w:lang w:val="es-ES"/>
                        </w:rPr>
                      </w:pPr>
                      <w:r w:rsidRPr="00984CB6">
                        <w:rPr>
                          <w:rFonts w:eastAsia="Arial" w:cs="Arial"/>
                          <w:lang w:val="es-ES"/>
                        </w:rPr>
                        <w:t>La Revisión 1 se publicó para corregir y eliminar el texto que se había incluido por error en el párrafo 10 del proyecto de resolución, que figura en el Anexo 5. También aborda el hecho de que el Programa de Trabajo para el período entre sesiones 2024-2026 sólo se finalizará después de la COP14 y proporciona texto para reflejar esto en el Párrafo 14 del Proyecto de Resolución.</w:t>
                      </w:r>
                      <w:r w:rsidR="00995B3E" w:rsidRPr="00995B3E">
                        <w:rPr>
                          <w:rFonts w:eastAsia="Arial" w:cs="Arial"/>
                          <w:lang w:val="es-ES"/>
                        </w:rPr>
                        <w:t xml:space="preserve"> </w:t>
                      </w:r>
                    </w:p>
                    <w:p w14:paraId="0A475A74" w14:textId="77777777" w:rsidR="00995B3E" w:rsidRPr="00995B3E" w:rsidRDefault="00995B3E" w:rsidP="00995B3E">
                      <w:pPr>
                        <w:widowControl w:val="0"/>
                        <w:autoSpaceDE w:val="0"/>
                        <w:autoSpaceDN w:val="0"/>
                        <w:spacing w:after="0" w:line="240" w:lineRule="auto"/>
                        <w:jc w:val="both"/>
                        <w:rPr>
                          <w:rFonts w:eastAsia="Arial" w:cs="Arial"/>
                          <w:lang w:val="es-ES"/>
                        </w:rPr>
                      </w:pPr>
                    </w:p>
                    <w:p w14:paraId="01A2B357" w14:textId="6E65BCE6" w:rsidR="00B01F87" w:rsidRPr="00B01F87" w:rsidRDefault="00995B3E" w:rsidP="00995B3E">
                      <w:pPr>
                        <w:pStyle w:val="BodyText"/>
                        <w:ind w:right="143"/>
                        <w:jc w:val="both"/>
                        <w:rPr>
                          <w:lang w:val="es-ES"/>
                        </w:rPr>
                      </w:pPr>
                      <w:r w:rsidRPr="00995B3E">
                        <w:rPr>
                          <w:lang w:val="es-ES"/>
                        </w:rPr>
                        <w:t xml:space="preserve">El documento se debe considerar junto con los documentos UNEP/CMS/COP14/Doc.13.1 </w:t>
                      </w:r>
                      <w:r w:rsidRPr="00995B3E">
                        <w:rPr>
                          <w:i/>
                          <w:lang w:val="es-ES"/>
                        </w:rPr>
                        <w:t xml:space="preserve">Ejecución del presupuesto 2021–2023 de la CMS </w:t>
                      </w:r>
                      <w:r w:rsidRPr="00995B3E">
                        <w:rPr>
                          <w:lang w:val="es-ES"/>
                        </w:rPr>
                        <w:t xml:space="preserve">y UNEP/CMS/COP14/Doc.13.3 </w:t>
                      </w:r>
                      <w:r w:rsidRPr="00995B3E">
                        <w:rPr>
                          <w:i/>
                          <w:lang w:val="es-ES"/>
                        </w:rPr>
                        <w:t>Movilización de recursos</w:t>
                      </w:r>
                      <w:r w:rsidRPr="00995B3E">
                        <w:rPr>
                          <w:lang w:val="es-ES"/>
                        </w:rPr>
                        <w:t>.</w:t>
                      </w:r>
                    </w:p>
                    <w:p w14:paraId="59C6BA30" w14:textId="77777777" w:rsidR="00B01F87" w:rsidRPr="00B01F87" w:rsidRDefault="00B01F87" w:rsidP="00B01F87">
                      <w:pPr>
                        <w:pStyle w:val="BodyText"/>
                        <w:jc w:val="both"/>
                        <w:rPr>
                          <w:lang w:val="es-ES"/>
                        </w:rPr>
                      </w:pPr>
                    </w:p>
                  </w:txbxContent>
                </v:textbox>
              </v:shape>
            </w:pict>
          </mc:Fallback>
        </mc:AlternateContent>
      </w:r>
    </w:p>
    <w:p w14:paraId="446B2251" w14:textId="3C4D343E"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1046C7" w14:textId="50C9F4C3"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47839D3"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34F45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32323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0ED40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E92F8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9D1AB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0BBCB6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C18AA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8F1984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76C2460"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ABC5A6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6E41D7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84B6374"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F333155"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9F85BB4"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7E2C95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2536E0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5B1688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202BB7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DD6F5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305F4B1"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88DCBA"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B88AEC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5A5CEA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4F5A5A6"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EE0A7FF"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B99C18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74A2DE84" w14:textId="08B74B01" w:rsidR="002D5F2A" w:rsidRDefault="002D5F2A">
      <w:pPr>
        <w:rPr>
          <w:rFonts w:eastAsia="Times New Roman" w:cs="Arial"/>
          <w:lang w:val="es-ES" w:eastAsia="es-ES"/>
        </w:rPr>
      </w:pPr>
      <w:r>
        <w:rPr>
          <w:rFonts w:eastAsia="Times New Roman" w:cs="Arial"/>
          <w:lang w:val="es-ES" w:eastAsia="es-ES"/>
        </w:rPr>
        <w:br w:type="page"/>
      </w:r>
    </w:p>
    <w:p w14:paraId="73ED33DE" w14:textId="77777777" w:rsidR="00CA0A38" w:rsidRPr="00CA0A38" w:rsidRDefault="00CA0A38" w:rsidP="009B66DD">
      <w:pPr>
        <w:widowControl w:val="0"/>
        <w:autoSpaceDE w:val="0"/>
        <w:autoSpaceDN w:val="0"/>
        <w:spacing w:after="0" w:line="240" w:lineRule="auto"/>
        <w:jc w:val="center"/>
        <w:rPr>
          <w:rFonts w:eastAsia="Arial" w:cs="Arial"/>
          <w:b/>
          <w:spacing w:val="-6"/>
          <w:lang w:val="es-ES"/>
        </w:rPr>
      </w:pPr>
      <w:r w:rsidRPr="00CA0A38">
        <w:rPr>
          <w:rFonts w:eastAsia="Arial" w:cs="Arial"/>
          <w:b/>
          <w:lang w:val="es-ES"/>
        </w:rPr>
        <w:lastRenderedPageBreak/>
        <w:t xml:space="preserve">PRESUPUESTO PARA 2024-2026 Y PROGRAMA DE TRABAJO PARA EL </w:t>
      </w:r>
    </w:p>
    <w:p w14:paraId="6DEBB67E" w14:textId="77777777" w:rsidR="00CA0A38" w:rsidRPr="00CA0A38" w:rsidRDefault="00CA0A38" w:rsidP="009B66DD">
      <w:pPr>
        <w:widowControl w:val="0"/>
        <w:autoSpaceDE w:val="0"/>
        <w:autoSpaceDN w:val="0"/>
        <w:spacing w:after="0" w:line="240" w:lineRule="auto"/>
        <w:jc w:val="center"/>
        <w:rPr>
          <w:rFonts w:eastAsia="Arial" w:cs="Arial"/>
          <w:b/>
          <w:lang w:val="es-ES"/>
        </w:rPr>
      </w:pPr>
      <w:r w:rsidRPr="00CA0A38">
        <w:rPr>
          <w:rFonts w:eastAsia="Arial" w:cs="Arial"/>
          <w:b/>
          <w:lang w:val="es-ES"/>
        </w:rPr>
        <w:t>PERÍODO ENTRE SESIONES ENTRE LA COP14 Y LA COP15</w:t>
      </w:r>
    </w:p>
    <w:p w14:paraId="06C500E1" w14:textId="77777777" w:rsidR="00CA0A38" w:rsidRPr="00CA0A38" w:rsidRDefault="00CA0A38" w:rsidP="009B66DD">
      <w:pPr>
        <w:widowControl w:val="0"/>
        <w:autoSpaceDE w:val="0"/>
        <w:autoSpaceDN w:val="0"/>
        <w:spacing w:after="0" w:line="240" w:lineRule="auto"/>
        <w:rPr>
          <w:rFonts w:eastAsia="Arial" w:cs="Arial"/>
          <w:b/>
          <w:lang w:val="es-ES"/>
        </w:rPr>
      </w:pPr>
    </w:p>
    <w:p w14:paraId="4EBF6A04" w14:textId="77777777" w:rsidR="00CA0A38" w:rsidRPr="00CA0A38" w:rsidRDefault="00CA0A38" w:rsidP="009B66DD">
      <w:pPr>
        <w:widowControl w:val="0"/>
        <w:autoSpaceDE w:val="0"/>
        <w:autoSpaceDN w:val="0"/>
        <w:spacing w:before="11" w:after="0" w:line="240" w:lineRule="auto"/>
        <w:rPr>
          <w:rFonts w:eastAsia="Arial" w:cs="Arial"/>
          <w:b/>
          <w:lang w:val="es-ES"/>
        </w:rPr>
      </w:pPr>
    </w:p>
    <w:p w14:paraId="2052F0B9" w14:textId="77777777" w:rsidR="00CA0A38" w:rsidRPr="00CA0A38" w:rsidRDefault="00CA0A38" w:rsidP="009B66DD">
      <w:pPr>
        <w:widowControl w:val="0"/>
        <w:autoSpaceDE w:val="0"/>
        <w:autoSpaceDN w:val="0"/>
        <w:spacing w:after="0" w:line="240" w:lineRule="auto"/>
        <w:jc w:val="both"/>
        <w:rPr>
          <w:rFonts w:eastAsia="Arial" w:cs="Arial"/>
          <w:spacing w:val="-2"/>
          <w:u w:val="single"/>
          <w:lang w:val="es-ES"/>
        </w:rPr>
      </w:pPr>
      <w:r w:rsidRPr="00CA0A38">
        <w:rPr>
          <w:rFonts w:eastAsia="Arial" w:cs="Arial"/>
          <w:u w:val="single"/>
          <w:lang w:val="es-ES"/>
        </w:rPr>
        <w:t>Antecedentes</w:t>
      </w:r>
    </w:p>
    <w:p w14:paraId="28E9B7CF" w14:textId="77777777" w:rsidR="00CA0A38" w:rsidRPr="00CA0A38" w:rsidRDefault="00CA0A38" w:rsidP="009B66DD">
      <w:pPr>
        <w:widowControl w:val="0"/>
        <w:autoSpaceDE w:val="0"/>
        <w:autoSpaceDN w:val="0"/>
        <w:spacing w:after="0" w:line="240" w:lineRule="auto"/>
        <w:jc w:val="both"/>
        <w:rPr>
          <w:rFonts w:eastAsia="Arial" w:cs="Arial"/>
          <w:lang w:val="es-ES"/>
        </w:rPr>
      </w:pPr>
    </w:p>
    <w:p w14:paraId="293D486F" w14:textId="77777777" w:rsidR="00CA0A38" w:rsidRPr="00CA0A38" w:rsidRDefault="00CA0A38" w:rsidP="009B66DD">
      <w:pPr>
        <w:widowControl w:val="0"/>
        <w:numPr>
          <w:ilvl w:val="0"/>
          <w:numId w:val="24"/>
        </w:numPr>
        <w:tabs>
          <w:tab w:val="left" w:pos="0"/>
        </w:tabs>
        <w:autoSpaceDE w:val="0"/>
        <w:autoSpaceDN w:val="0"/>
        <w:spacing w:after="0" w:line="240" w:lineRule="auto"/>
        <w:ind w:left="567"/>
        <w:jc w:val="both"/>
        <w:rPr>
          <w:rFonts w:eastAsia="Arial" w:cs="Arial"/>
          <w:lang w:val="es-ES"/>
        </w:rPr>
      </w:pPr>
      <w:r w:rsidRPr="00CA0A38">
        <w:rPr>
          <w:rFonts w:eastAsia="Arial" w:cs="Arial"/>
          <w:lang w:val="es-ES"/>
        </w:rPr>
        <w:t xml:space="preserve">El presente documento responde a la Resolución 13.2. </w:t>
      </w:r>
      <w:r w:rsidRPr="00CA0A38">
        <w:rPr>
          <w:rFonts w:eastAsia="Arial" w:cs="Arial"/>
          <w:i/>
          <w:lang w:val="es-ES"/>
        </w:rPr>
        <w:t xml:space="preserve">Asuntos Financieros y Administrativos, </w:t>
      </w:r>
      <w:r w:rsidRPr="00CA0A38">
        <w:rPr>
          <w:rFonts w:eastAsia="Arial" w:cs="Arial"/>
          <w:lang w:val="es-ES"/>
        </w:rPr>
        <w:t>adoptado por la Conferencia de las Partes en su 13.</w:t>
      </w:r>
      <w:r w:rsidRPr="00CA0A38">
        <w:rPr>
          <w:rFonts w:eastAsia="Arial" w:cs="Arial"/>
          <w:vertAlign w:val="superscript"/>
          <w:lang w:val="es-ES"/>
        </w:rPr>
        <w:t>a</w:t>
      </w:r>
      <w:r w:rsidRPr="00CA0A38">
        <w:rPr>
          <w:rFonts w:eastAsia="Arial" w:cs="Arial"/>
          <w:lang w:val="es-ES"/>
        </w:rPr>
        <w:t xml:space="preserve"> reunión (COP13), donde se decidió que la Secretaría debe presentar un proyecto de presupuesto trienal y ponerlo a disposición de las Partes 90 días antes de la fecha fijada para la apertura de la reunión ordinaria de la COP en la que se debe considerar. </w:t>
      </w:r>
    </w:p>
    <w:p w14:paraId="2F1081B3" w14:textId="77777777" w:rsidR="00CA0A38" w:rsidRPr="00CA0A38" w:rsidRDefault="00CA0A38" w:rsidP="009B66DD">
      <w:pPr>
        <w:widowControl w:val="0"/>
        <w:tabs>
          <w:tab w:val="left" w:pos="0"/>
        </w:tabs>
        <w:autoSpaceDE w:val="0"/>
        <w:autoSpaceDN w:val="0"/>
        <w:spacing w:after="0" w:line="240" w:lineRule="auto"/>
        <w:ind w:left="567"/>
        <w:jc w:val="both"/>
        <w:rPr>
          <w:rFonts w:eastAsia="Arial" w:cs="Arial"/>
          <w:lang w:val="es-ES"/>
        </w:rPr>
      </w:pPr>
    </w:p>
    <w:p w14:paraId="274C6C6C" w14:textId="77777777" w:rsidR="00CA0A38" w:rsidRPr="00CA0A38" w:rsidRDefault="00CA0A38" w:rsidP="009B66DD">
      <w:pPr>
        <w:widowControl w:val="0"/>
        <w:numPr>
          <w:ilvl w:val="0"/>
          <w:numId w:val="24"/>
        </w:numPr>
        <w:tabs>
          <w:tab w:val="left" w:pos="0"/>
        </w:tabs>
        <w:autoSpaceDE w:val="0"/>
        <w:autoSpaceDN w:val="0"/>
        <w:spacing w:after="0" w:line="240" w:lineRule="auto"/>
        <w:ind w:left="567"/>
        <w:jc w:val="both"/>
        <w:rPr>
          <w:rFonts w:eastAsia="Arial" w:cs="Arial"/>
          <w:lang w:val="es-ES"/>
        </w:rPr>
      </w:pPr>
      <w:r w:rsidRPr="00CA0A38">
        <w:rPr>
          <w:rFonts w:eastAsia="Arial" w:cs="Arial"/>
          <w:color w:val="000000"/>
          <w:lang w:val="es-ES"/>
        </w:rPr>
        <w:t>La Resolución 13.2 solicita a la Secretaría</w:t>
      </w:r>
      <w:r w:rsidRPr="00CA0A38">
        <w:rPr>
          <w:rFonts w:eastAsia="Arial" w:cs="Arial"/>
          <w:lang w:val="es-ES"/>
        </w:rPr>
        <w:t xml:space="preserve"> </w:t>
      </w:r>
      <w:r w:rsidRPr="00CA0A38">
        <w:rPr>
          <w:rFonts w:eastAsia="Arial" w:cs="Arial"/>
          <w:color w:val="000000"/>
          <w:lang w:val="es-ES"/>
        </w:rPr>
        <w:t xml:space="preserve">que elabore propuestas presupuestarias utilizando el mismo formato que se presentó y adoptó en la COP13, incluyendo una plantilla de personal que muestre los cargos de la Secretaría y su </w:t>
      </w:r>
      <w:r w:rsidRPr="00CA0A38">
        <w:rPr>
          <w:rFonts w:eastAsia="Arial" w:cs="Arial"/>
          <w:lang w:val="es-ES"/>
        </w:rPr>
        <w:t>ocupación</w:t>
      </w:r>
      <w:r w:rsidRPr="00CA0A38">
        <w:rPr>
          <w:rFonts w:eastAsia="Arial" w:cs="Arial"/>
          <w:color w:val="000000"/>
          <w:lang w:val="es-ES"/>
        </w:rPr>
        <w:t xml:space="preserve"> para </w:t>
      </w:r>
      <w:r w:rsidRPr="00CA0A38">
        <w:rPr>
          <w:rFonts w:eastAsia="Arial" w:cs="Arial"/>
          <w:lang w:val="es-ES"/>
        </w:rPr>
        <w:t xml:space="preserve">su consideración por parte de las futuras Conferencias de las Partes, incluyendo, como mínimo, escenarios presupuestarios para un crecimiento nominal cero y un crecimiento real cero, previa consulta con el Subcomité de Finanzas y Presupuesto, con el cual la Secretaría organizará una reunión para debatir los escenarios propuestos antes de la COP14. </w:t>
      </w:r>
    </w:p>
    <w:p w14:paraId="39E82E25" w14:textId="77777777" w:rsidR="00CA0A38" w:rsidRPr="00CA0A38" w:rsidRDefault="00CA0A38" w:rsidP="009B66DD">
      <w:pPr>
        <w:widowControl w:val="0"/>
        <w:tabs>
          <w:tab w:val="left" w:pos="0"/>
        </w:tabs>
        <w:autoSpaceDE w:val="0"/>
        <w:autoSpaceDN w:val="0"/>
        <w:spacing w:after="0" w:line="240" w:lineRule="auto"/>
        <w:ind w:left="567" w:hanging="567"/>
        <w:jc w:val="both"/>
        <w:rPr>
          <w:rFonts w:eastAsia="Arial" w:cs="Arial"/>
          <w:lang w:val="es-ES"/>
        </w:rPr>
      </w:pPr>
    </w:p>
    <w:p w14:paraId="1B3F2327" w14:textId="77777777" w:rsidR="00CA0A38" w:rsidRPr="00CA0A38" w:rsidRDefault="00CA0A38" w:rsidP="009B66DD">
      <w:pPr>
        <w:widowControl w:val="0"/>
        <w:numPr>
          <w:ilvl w:val="0"/>
          <w:numId w:val="24"/>
        </w:numPr>
        <w:tabs>
          <w:tab w:val="left" w:pos="0"/>
        </w:tabs>
        <w:autoSpaceDE w:val="0"/>
        <w:autoSpaceDN w:val="0"/>
        <w:spacing w:after="0" w:line="240" w:lineRule="auto"/>
        <w:ind w:left="567"/>
        <w:jc w:val="both"/>
        <w:rPr>
          <w:rFonts w:eastAsia="Arial" w:cs="Arial"/>
          <w:lang w:val="es-ES"/>
        </w:rPr>
      </w:pPr>
      <w:r w:rsidRPr="00CA0A38">
        <w:rPr>
          <w:rFonts w:eastAsia="Arial" w:cs="Arial"/>
          <w:lang w:val="es-ES"/>
        </w:rPr>
        <w:t xml:space="preserve">En el Anexo 6 se ofrece una propuesta de Programa de Trabajo para el período entre sesiones comprendido entre la COP14 y la COP15. </w:t>
      </w:r>
    </w:p>
    <w:p w14:paraId="60343D3F" w14:textId="77777777" w:rsidR="00CA0A38" w:rsidRPr="00CA0A38" w:rsidRDefault="00CA0A38" w:rsidP="009B66DD">
      <w:pPr>
        <w:widowControl w:val="0"/>
        <w:autoSpaceDE w:val="0"/>
        <w:autoSpaceDN w:val="0"/>
        <w:spacing w:after="0" w:line="240" w:lineRule="auto"/>
        <w:ind w:left="759" w:hanging="567"/>
        <w:jc w:val="both"/>
        <w:rPr>
          <w:rFonts w:eastAsia="Arial" w:cs="Arial"/>
          <w:lang w:val="es-ES"/>
        </w:rPr>
      </w:pPr>
    </w:p>
    <w:p w14:paraId="4F1E8EED" w14:textId="77777777" w:rsidR="00CA0A38" w:rsidRPr="00CA0A38" w:rsidRDefault="00CA0A38" w:rsidP="009B66DD">
      <w:pPr>
        <w:widowControl w:val="0"/>
        <w:tabs>
          <w:tab w:val="left" w:pos="817"/>
          <w:tab w:val="left" w:pos="819"/>
        </w:tabs>
        <w:autoSpaceDE w:val="0"/>
        <w:autoSpaceDN w:val="0"/>
        <w:spacing w:after="0" w:line="240" w:lineRule="auto"/>
        <w:jc w:val="both"/>
        <w:rPr>
          <w:rFonts w:eastAsia="Arial" w:cs="Arial"/>
          <w:lang w:val="es-ES"/>
        </w:rPr>
      </w:pPr>
      <w:r w:rsidRPr="00CA0A38">
        <w:rPr>
          <w:rFonts w:eastAsia="Arial" w:cs="Arial"/>
          <w:u w:val="single"/>
          <w:lang w:val="es-ES"/>
        </w:rPr>
        <w:t>Presupuesto provisional para 2024</w:t>
      </w:r>
    </w:p>
    <w:p w14:paraId="625DE94C" w14:textId="77777777" w:rsidR="00CA0A38" w:rsidRPr="00CA0A38" w:rsidRDefault="00CA0A38" w:rsidP="009B66DD">
      <w:pPr>
        <w:widowControl w:val="0"/>
        <w:tabs>
          <w:tab w:val="left" w:pos="817"/>
          <w:tab w:val="left" w:pos="819"/>
        </w:tabs>
        <w:autoSpaceDE w:val="0"/>
        <w:autoSpaceDN w:val="0"/>
        <w:spacing w:after="0" w:line="240" w:lineRule="auto"/>
        <w:ind w:left="819"/>
        <w:jc w:val="both"/>
        <w:rPr>
          <w:rFonts w:eastAsia="Arial" w:cs="Arial"/>
          <w:lang w:val="es-ES"/>
        </w:rPr>
      </w:pPr>
    </w:p>
    <w:p w14:paraId="47CBE239" w14:textId="77777777" w:rsidR="00CA0A38" w:rsidRPr="00CA0A38" w:rsidRDefault="00CA0A38" w:rsidP="009B66DD">
      <w:pPr>
        <w:widowControl w:val="0"/>
        <w:numPr>
          <w:ilvl w:val="0"/>
          <w:numId w:val="24"/>
        </w:numPr>
        <w:autoSpaceDE w:val="0"/>
        <w:autoSpaceDN w:val="0"/>
        <w:spacing w:after="0" w:line="240" w:lineRule="auto"/>
        <w:ind w:left="567"/>
        <w:jc w:val="both"/>
        <w:rPr>
          <w:rFonts w:eastAsia="Arial" w:cs="Arial"/>
          <w:sz w:val="21"/>
          <w:lang w:val="es-ES"/>
        </w:rPr>
      </w:pPr>
      <w:r w:rsidRPr="00CA0A38">
        <w:rPr>
          <w:rFonts w:eastAsia="Arial" w:cs="Arial"/>
          <w:lang w:val="es-ES"/>
        </w:rPr>
        <w:t>La 14.</w:t>
      </w:r>
      <w:r w:rsidRPr="00CA0A38">
        <w:rPr>
          <w:rFonts w:eastAsia="Arial" w:cs="Arial"/>
          <w:vertAlign w:val="superscript"/>
          <w:lang w:val="es-ES"/>
        </w:rPr>
        <w:t>a</w:t>
      </w:r>
      <w:r w:rsidRPr="00CA0A38">
        <w:rPr>
          <w:rFonts w:eastAsia="Arial" w:cs="Arial"/>
          <w:lang w:val="es-ES"/>
        </w:rPr>
        <w:t xml:space="preserve"> reunión de la Conferencia de las Partes se ha reprogramado y tendrá lugar entre el 12 y el 17 de febrero de 2024. Sin embargo, el presupuesto actual de la CMS, recogido en la Resolución 13.2, expira a finales de 2023. Por consiguiente, la Secretaría ha elaborado un presupuesto provisional para 2024 para su aprobación (mediante procedimiento de acuerdo tácito) en una reunión extraordinaria de la Conferencia de las Partes que se celebrará del 28 de noviembre al 1 de diciembre de 2023. El presupuesto trienal para 2024-2026 y la escala de contribuciones</w:t>
      </w:r>
      <w:r w:rsidRPr="00CA0A38">
        <w:rPr>
          <w:rFonts w:eastAsia="Arial" w:cs="Arial"/>
          <w:color w:val="FF0000"/>
          <w:lang w:val="es-ES"/>
        </w:rPr>
        <w:t xml:space="preserve"> </w:t>
      </w:r>
      <w:r w:rsidRPr="00CA0A38">
        <w:rPr>
          <w:rFonts w:eastAsia="Arial" w:cs="Arial"/>
          <w:lang w:val="es-ES"/>
        </w:rPr>
        <w:t xml:space="preserve">adoptada por la COP14 sustituirán al presupuesto provisional para 2024 y su escala de contribuciones para ese año. </w:t>
      </w:r>
    </w:p>
    <w:p w14:paraId="73B287D6" w14:textId="77777777" w:rsidR="00CA0A38" w:rsidRPr="00CA0A38" w:rsidRDefault="00CA0A38" w:rsidP="009B66DD">
      <w:pPr>
        <w:widowControl w:val="0"/>
        <w:autoSpaceDE w:val="0"/>
        <w:autoSpaceDN w:val="0"/>
        <w:spacing w:after="0" w:line="240" w:lineRule="auto"/>
        <w:ind w:left="252"/>
        <w:jc w:val="both"/>
        <w:rPr>
          <w:rFonts w:eastAsia="Arial" w:cs="Arial"/>
          <w:u w:val="single"/>
          <w:lang w:val="es-ES"/>
        </w:rPr>
      </w:pPr>
    </w:p>
    <w:p w14:paraId="2312027F" w14:textId="77777777" w:rsidR="00CA0A38" w:rsidRPr="00CA0A38" w:rsidRDefault="00CA0A38" w:rsidP="009B66DD">
      <w:pPr>
        <w:widowControl w:val="0"/>
        <w:autoSpaceDE w:val="0"/>
        <w:autoSpaceDN w:val="0"/>
        <w:spacing w:after="0" w:line="240" w:lineRule="auto"/>
        <w:jc w:val="both"/>
        <w:rPr>
          <w:rFonts w:eastAsia="Arial" w:cs="Arial"/>
          <w:lang w:val="es-ES"/>
        </w:rPr>
      </w:pPr>
      <w:r w:rsidRPr="00CA0A38">
        <w:rPr>
          <w:rFonts w:eastAsia="Arial" w:cs="Arial"/>
          <w:u w:val="single"/>
          <w:lang w:val="es-ES"/>
        </w:rPr>
        <w:t>Proyecto de propuestas presupuestarias para el período entre 2024 y 2026</w:t>
      </w:r>
    </w:p>
    <w:p w14:paraId="04F68F64" w14:textId="77777777" w:rsidR="00CA0A38" w:rsidRPr="00CA0A38" w:rsidRDefault="00CA0A38" w:rsidP="009B66DD">
      <w:pPr>
        <w:widowControl w:val="0"/>
        <w:autoSpaceDE w:val="0"/>
        <w:autoSpaceDN w:val="0"/>
        <w:spacing w:after="0" w:line="240" w:lineRule="auto"/>
        <w:jc w:val="both"/>
        <w:rPr>
          <w:rFonts w:eastAsia="Arial" w:cs="Arial"/>
          <w:lang w:val="es-ES"/>
        </w:rPr>
      </w:pPr>
    </w:p>
    <w:p w14:paraId="01E7AD39" w14:textId="77777777" w:rsidR="00CA0A38" w:rsidRPr="00CA0A38" w:rsidRDefault="00CA0A38" w:rsidP="009B66DD">
      <w:pPr>
        <w:widowControl w:val="0"/>
        <w:autoSpaceDE w:val="0"/>
        <w:autoSpaceDN w:val="0"/>
        <w:spacing w:after="0" w:line="240" w:lineRule="auto"/>
        <w:jc w:val="both"/>
        <w:outlineLvl w:val="0"/>
        <w:rPr>
          <w:rFonts w:eastAsia="Arial" w:cs="Arial"/>
          <w:b/>
          <w:bCs/>
          <w:lang w:val="es-ES"/>
        </w:rPr>
      </w:pPr>
      <w:r w:rsidRPr="00CA0A38">
        <w:rPr>
          <w:rFonts w:eastAsia="Arial" w:cs="Arial"/>
          <w:b/>
          <w:bCs/>
          <w:lang w:val="es-ES"/>
        </w:rPr>
        <w:t>Introducción y factores relevantes para todos los escenarios</w:t>
      </w:r>
    </w:p>
    <w:p w14:paraId="2FED1888" w14:textId="77777777" w:rsidR="00CA0A38" w:rsidRPr="00CA0A38" w:rsidRDefault="00CA0A38" w:rsidP="009B66DD">
      <w:pPr>
        <w:widowControl w:val="0"/>
        <w:autoSpaceDE w:val="0"/>
        <w:autoSpaceDN w:val="0"/>
        <w:spacing w:after="0" w:line="240" w:lineRule="auto"/>
        <w:jc w:val="both"/>
        <w:rPr>
          <w:rFonts w:eastAsia="Arial" w:cs="Arial"/>
          <w:b/>
          <w:lang w:val="es-ES"/>
        </w:rPr>
      </w:pPr>
    </w:p>
    <w:p w14:paraId="35D2F56C" w14:textId="77777777" w:rsidR="00CA0A38" w:rsidRPr="00CA0A38" w:rsidRDefault="00CA0A38" w:rsidP="009B66DD">
      <w:pPr>
        <w:widowControl w:val="0"/>
        <w:numPr>
          <w:ilvl w:val="0"/>
          <w:numId w:val="24"/>
        </w:numPr>
        <w:autoSpaceDE w:val="0"/>
        <w:autoSpaceDN w:val="0"/>
        <w:spacing w:after="80" w:line="240" w:lineRule="auto"/>
        <w:ind w:left="567"/>
        <w:jc w:val="both"/>
        <w:rPr>
          <w:rFonts w:eastAsia="Arial" w:cs="Arial"/>
          <w:lang w:val="es-ES"/>
        </w:rPr>
      </w:pPr>
      <w:r w:rsidRPr="00CA0A38">
        <w:rPr>
          <w:rFonts w:eastAsia="Arial" w:cs="Arial"/>
          <w:lang w:val="es-ES"/>
        </w:rPr>
        <w:t>Tomando como base el presupuesto para 2021-2023 adoptado por la COP13 y la ejecución del presupuesto 2021-2023 de la CMS (UNEP/CMS/COP14/Doc.13.1), la propuesta actual incluye tres escenarios diferentes para el trienio 2024-2026, que se resumen a continuación:</w:t>
      </w:r>
    </w:p>
    <w:p w14:paraId="791DFCCF" w14:textId="77777777" w:rsidR="00CA0A38" w:rsidRPr="00CA0A38" w:rsidRDefault="00CA0A38" w:rsidP="009B66DD">
      <w:pPr>
        <w:widowControl w:val="0"/>
        <w:numPr>
          <w:ilvl w:val="1"/>
          <w:numId w:val="24"/>
        </w:numPr>
        <w:tabs>
          <w:tab w:val="left" w:pos="1104"/>
        </w:tabs>
        <w:autoSpaceDE w:val="0"/>
        <w:autoSpaceDN w:val="0"/>
        <w:spacing w:after="80" w:line="240" w:lineRule="auto"/>
        <w:ind w:left="851" w:hanging="285"/>
        <w:jc w:val="both"/>
        <w:rPr>
          <w:rFonts w:eastAsia="Arial" w:cs="Arial"/>
          <w:lang w:val="es-ES"/>
        </w:rPr>
      </w:pPr>
      <w:r w:rsidRPr="00CA0A38">
        <w:rPr>
          <w:rFonts w:eastAsia="Arial" w:cs="Arial"/>
          <w:lang w:val="es-ES"/>
        </w:rPr>
        <w:t>Escenario 1: crecimiento nominal cero con respecto al presupuesto 2021-2023;</w:t>
      </w:r>
    </w:p>
    <w:p w14:paraId="0E788378" w14:textId="77777777" w:rsidR="00CA0A38" w:rsidRPr="00CA0A38" w:rsidRDefault="00CA0A38" w:rsidP="009B66DD">
      <w:pPr>
        <w:widowControl w:val="0"/>
        <w:numPr>
          <w:ilvl w:val="1"/>
          <w:numId w:val="24"/>
        </w:numPr>
        <w:tabs>
          <w:tab w:val="left" w:pos="1104"/>
        </w:tabs>
        <w:autoSpaceDE w:val="0"/>
        <w:autoSpaceDN w:val="0"/>
        <w:spacing w:after="80" w:line="240" w:lineRule="auto"/>
        <w:ind w:left="851" w:hanging="285"/>
        <w:jc w:val="both"/>
        <w:rPr>
          <w:rFonts w:eastAsia="Arial" w:cs="Arial"/>
          <w:lang w:val="es-ES"/>
        </w:rPr>
      </w:pPr>
      <w:r w:rsidRPr="00CA0A38">
        <w:rPr>
          <w:rFonts w:eastAsia="Arial" w:cs="Arial"/>
          <w:lang w:val="es-ES"/>
        </w:rPr>
        <w:t>Escenario 2: crecimiento real cero con respecto al presupuesto 2021-2023; y</w:t>
      </w:r>
    </w:p>
    <w:p w14:paraId="40584638" w14:textId="77777777" w:rsidR="00CA0A38" w:rsidRPr="00CA0A38" w:rsidRDefault="00CA0A38" w:rsidP="009B66DD">
      <w:pPr>
        <w:widowControl w:val="0"/>
        <w:numPr>
          <w:ilvl w:val="1"/>
          <w:numId w:val="24"/>
        </w:numPr>
        <w:tabs>
          <w:tab w:val="left" w:pos="1104"/>
        </w:tabs>
        <w:autoSpaceDE w:val="0"/>
        <w:autoSpaceDN w:val="0"/>
        <w:spacing w:after="0" w:line="240" w:lineRule="auto"/>
        <w:ind w:left="851" w:hanging="285"/>
        <w:jc w:val="both"/>
        <w:rPr>
          <w:rFonts w:eastAsia="Arial" w:cs="Arial"/>
          <w:lang w:val="es-ES"/>
        </w:rPr>
      </w:pPr>
      <w:r w:rsidRPr="00CA0A38">
        <w:rPr>
          <w:rFonts w:eastAsia="Arial" w:cs="Arial"/>
          <w:lang w:val="es-ES"/>
        </w:rPr>
        <w:t xml:space="preserve">Escenario 3: crecimiento moderado. </w:t>
      </w:r>
    </w:p>
    <w:p w14:paraId="158AB1F5" w14:textId="77777777" w:rsidR="00CA0A38" w:rsidRPr="00CA0A38" w:rsidRDefault="00CA0A38" w:rsidP="009B66DD">
      <w:pPr>
        <w:widowControl w:val="0"/>
        <w:autoSpaceDE w:val="0"/>
        <w:autoSpaceDN w:val="0"/>
        <w:spacing w:after="0" w:line="240" w:lineRule="auto"/>
        <w:jc w:val="both"/>
        <w:rPr>
          <w:rFonts w:eastAsia="Arial" w:cs="Arial"/>
          <w:lang w:val="es-ES"/>
        </w:rPr>
      </w:pPr>
    </w:p>
    <w:p w14:paraId="04D9AECB" w14:textId="77777777" w:rsidR="00CA0A38" w:rsidRPr="00CA0A38" w:rsidRDefault="00CA0A38" w:rsidP="009B66DD">
      <w:pPr>
        <w:widowControl w:val="0"/>
        <w:numPr>
          <w:ilvl w:val="0"/>
          <w:numId w:val="24"/>
        </w:numPr>
        <w:autoSpaceDE w:val="0"/>
        <w:autoSpaceDN w:val="0"/>
        <w:spacing w:after="0" w:line="240" w:lineRule="auto"/>
        <w:ind w:left="567"/>
        <w:jc w:val="both"/>
        <w:rPr>
          <w:rFonts w:eastAsia="Arial" w:cs="Arial"/>
          <w:lang w:val="es-ES"/>
        </w:rPr>
      </w:pPr>
      <w:r w:rsidRPr="00CA0A38">
        <w:rPr>
          <w:rFonts w:eastAsia="Arial" w:cs="Arial"/>
          <w:lang w:val="es-ES"/>
        </w:rPr>
        <w:t xml:space="preserve">Al igual que en propuestas de presupuestos anteriores, los costes de personal se basan en costes salariales estándar con una tasa de inflación del 2 % en todos los escenarios. </w:t>
      </w:r>
    </w:p>
    <w:p w14:paraId="2E134A5C" w14:textId="77777777" w:rsidR="00CA0A38" w:rsidRPr="00CA0A38" w:rsidRDefault="00CA0A38" w:rsidP="009B66DD">
      <w:pPr>
        <w:widowControl w:val="0"/>
        <w:autoSpaceDE w:val="0"/>
        <w:autoSpaceDN w:val="0"/>
        <w:spacing w:after="0" w:line="240" w:lineRule="auto"/>
        <w:ind w:left="567"/>
        <w:jc w:val="both"/>
        <w:rPr>
          <w:rFonts w:eastAsia="Arial" w:cs="Arial"/>
          <w:lang w:val="es-ES"/>
        </w:rPr>
      </w:pPr>
    </w:p>
    <w:p w14:paraId="35187022" w14:textId="77777777" w:rsidR="00CA0A38" w:rsidRPr="00CA0A38" w:rsidRDefault="00CA0A38" w:rsidP="009B66DD">
      <w:pPr>
        <w:widowControl w:val="0"/>
        <w:numPr>
          <w:ilvl w:val="0"/>
          <w:numId w:val="24"/>
        </w:numPr>
        <w:autoSpaceDE w:val="0"/>
        <w:autoSpaceDN w:val="0"/>
        <w:spacing w:after="0" w:line="240" w:lineRule="auto"/>
        <w:ind w:left="567"/>
        <w:jc w:val="both"/>
        <w:rPr>
          <w:rFonts w:eastAsia="Arial" w:cs="Arial"/>
          <w:lang w:val="es-ES"/>
        </w:rPr>
      </w:pPr>
      <w:r w:rsidRPr="00CA0A38">
        <w:rPr>
          <w:rFonts w:eastAsia="Arial" w:cs="Arial"/>
          <w:color w:val="000000"/>
          <w:lang w:val="es-ES"/>
        </w:rPr>
        <w:t>Asimismo</w:t>
      </w:r>
      <w:r w:rsidRPr="00CA0A38">
        <w:rPr>
          <w:rFonts w:eastAsia="Arial" w:cs="Arial"/>
          <w:lang w:val="es-ES"/>
        </w:rPr>
        <w:t>, a excepción del escenario de crecimiento nominal cero, también se ha aplicado la tasa de inflación del 2 % al resto de partidas presupuestarias; por ejemplo, servicios contractuales, equipamiento, suministros y gastos de viaje del personal.</w:t>
      </w:r>
    </w:p>
    <w:p w14:paraId="0592917C" w14:textId="77777777" w:rsidR="00CA0A38" w:rsidRPr="00CA0A38" w:rsidRDefault="00CA0A38" w:rsidP="009B66DD">
      <w:pPr>
        <w:widowControl w:val="0"/>
        <w:autoSpaceDE w:val="0"/>
        <w:autoSpaceDN w:val="0"/>
        <w:spacing w:after="0" w:line="240" w:lineRule="auto"/>
        <w:jc w:val="both"/>
        <w:rPr>
          <w:rFonts w:eastAsia="Arial" w:cs="Arial"/>
          <w:lang w:val="es-ES"/>
        </w:rPr>
      </w:pPr>
    </w:p>
    <w:p w14:paraId="62E4004F" w14:textId="77777777" w:rsidR="00CA0A38" w:rsidRPr="00CA0A38" w:rsidRDefault="00CA0A38" w:rsidP="00CA0A38">
      <w:pPr>
        <w:widowControl w:val="0"/>
        <w:autoSpaceDE w:val="0"/>
        <w:autoSpaceDN w:val="0"/>
        <w:spacing w:after="0" w:line="240" w:lineRule="auto"/>
        <w:jc w:val="both"/>
        <w:rPr>
          <w:rFonts w:eastAsia="Arial" w:cs="Arial"/>
          <w:spacing w:val="-6"/>
          <w:u w:val="single"/>
          <w:lang w:val="es-ES"/>
        </w:rPr>
      </w:pPr>
      <w:r w:rsidRPr="00CA0A38">
        <w:rPr>
          <w:rFonts w:eastAsia="Arial" w:cs="Arial"/>
          <w:u w:val="single"/>
          <w:lang w:val="es-ES"/>
        </w:rPr>
        <w:lastRenderedPageBreak/>
        <w:t xml:space="preserve">Consideraciones fundamentales </w:t>
      </w:r>
    </w:p>
    <w:p w14:paraId="5FECD4BA" w14:textId="77777777" w:rsidR="00CA0A38" w:rsidRPr="00CA0A38" w:rsidRDefault="00CA0A38" w:rsidP="00CA0A38">
      <w:pPr>
        <w:widowControl w:val="0"/>
        <w:autoSpaceDE w:val="0"/>
        <w:autoSpaceDN w:val="0"/>
        <w:spacing w:after="0" w:line="240" w:lineRule="auto"/>
        <w:ind w:left="252"/>
        <w:jc w:val="both"/>
        <w:rPr>
          <w:rFonts w:eastAsia="Arial" w:cs="Arial"/>
          <w:lang w:val="es-ES"/>
        </w:rPr>
      </w:pPr>
    </w:p>
    <w:p w14:paraId="1BA9D158" w14:textId="77777777" w:rsidR="00CA0A38" w:rsidRPr="00CA0A38" w:rsidRDefault="00CA0A38" w:rsidP="00CA0A38">
      <w:pPr>
        <w:widowControl w:val="0"/>
        <w:numPr>
          <w:ilvl w:val="0"/>
          <w:numId w:val="24"/>
        </w:numPr>
        <w:autoSpaceDE w:val="0"/>
        <w:autoSpaceDN w:val="0"/>
        <w:spacing w:after="0" w:line="240" w:lineRule="auto"/>
        <w:ind w:left="567" w:right="-42"/>
        <w:jc w:val="both"/>
        <w:rPr>
          <w:rFonts w:eastAsia="Arial" w:cs="Arial"/>
          <w:lang w:val="es-ES"/>
        </w:rPr>
      </w:pPr>
      <w:r w:rsidRPr="00CA0A38">
        <w:rPr>
          <w:rFonts w:eastAsia="Arial" w:cs="Arial"/>
          <w:lang w:val="es-ES"/>
        </w:rPr>
        <w:t>Si se consideran los tres escenarios, hay que tener en cuenta varios factores.</w:t>
      </w:r>
    </w:p>
    <w:p w14:paraId="5CD0D46A" w14:textId="77777777" w:rsidR="00CA0A38" w:rsidRPr="00CA0A38" w:rsidRDefault="00CA0A38" w:rsidP="00CA0A38">
      <w:pPr>
        <w:widowControl w:val="0"/>
        <w:autoSpaceDE w:val="0"/>
        <w:autoSpaceDN w:val="0"/>
        <w:spacing w:after="0" w:line="240" w:lineRule="auto"/>
        <w:ind w:left="567" w:right="-42"/>
        <w:jc w:val="both"/>
        <w:rPr>
          <w:rFonts w:eastAsia="Arial" w:cs="Arial"/>
          <w:sz w:val="21"/>
          <w:lang w:val="es-ES"/>
        </w:rPr>
      </w:pPr>
    </w:p>
    <w:p w14:paraId="5271D03B" w14:textId="77777777" w:rsidR="00CA0A38" w:rsidRPr="00CA0A38" w:rsidRDefault="00CA0A38" w:rsidP="00CA0A38">
      <w:pPr>
        <w:widowControl w:val="0"/>
        <w:numPr>
          <w:ilvl w:val="0"/>
          <w:numId w:val="24"/>
        </w:numPr>
        <w:autoSpaceDE w:val="0"/>
        <w:autoSpaceDN w:val="0"/>
        <w:spacing w:after="0" w:line="240" w:lineRule="auto"/>
        <w:ind w:left="567" w:right="-42"/>
        <w:jc w:val="both"/>
        <w:rPr>
          <w:rFonts w:eastAsia="Arial" w:cs="Arial"/>
          <w:lang w:val="es-ES"/>
        </w:rPr>
      </w:pPr>
      <w:r w:rsidRPr="00CA0A38">
        <w:rPr>
          <w:rFonts w:eastAsia="Arial" w:cs="Arial"/>
          <w:lang w:val="es-ES"/>
        </w:rPr>
        <w:t xml:space="preserve">En primer lugar, la CMS tiene un exclusivo y decisivo mandato como única convención mundial de las Naciones Unidas que aborda la conservación y el uso sostenible de las especies migratorias y sus hábitats. Hoy más que nunca, necesita estar bien equipada para cumplir este </w:t>
      </w:r>
      <w:r w:rsidRPr="00CA0A38">
        <w:rPr>
          <w:rFonts w:eastAsia="Arial" w:cs="Arial"/>
          <w:color w:val="000000"/>
          <w:lang w:val="es-ES"/>
        </w:rPr>
        <w:t xml:space="preserve">mandato, sobre todo ante la </w:t>
      </w:r>
      <w:r w:rsidRPr="00CA0A38">
        <w:rPr>
          <w:rFonts w:eastAsia="Arial" w:cs="Arial"/>
          <w:lang w:val="es-ES"/>
        </w:rPr>
        <w:t xml:space="preserve">pérdida de biodiversidad, el cambio climático y otros retos a nivel global. </w:t>
      </w:r>
    </w:p>
    <w:p w14:paraId="734E4C95" w14:textId="77777777" w:rsidR="00CA0A38" w:rsidRPr="00CA0A38" w:rsidRDefault="00CA0A38" w:rsidP="00CA0A38">
      <w:pPr>
        <w:widowControl w:val="0"/>
        <w:autoSpaceDE w:val="0"/>
        <w:autoSpaceDN w:val="0"/>
        <w:spacing w:after="0" w:line="240" w:lineRule="auto"/>
        <w:ind w:left="567" w:right="-42" w:hanging="567"/>
        <w:jc w:val="both"/>
        <w:rPr>
          <w:rFonts w:eastAsia="Arial" w:cs="Arial"/>
          <w:lang w:val="es-ES"/>
        </w:rPr>
      </w:pPr>
    </w:p>
    <w:p w14:paraId="1DDCF893" w14:textId="77777777" w:rsidR="00CA0A38" w:rsidRPr="00CA0A38" w:rsidRDefault="00CA0A38" w:rsidP="00CA0A38">
      <w:pPr>
        <w:widowControl w:val="0"/>
        <w:numPr>
          <w:ilvl w:val="0"/>
          <w:numId w:val="24"/>
        </w:numPr>
        <w:autoSpaceDE w:val="0"/>
        <w:autoSpaceDN w:val="0"/>
        <w:spacing w:after="0" w:line="240" w:lineRule="auto"/>
        <w:ind w:left="567" w:right="-42"/>
        <w:jc w:val="both"/>
        <w:rPr>
          <w:rFonts w:eastAsia="Arial" w:cs="Arial"/>
          <w:color w:val="000000"/>
          <w:lang w:val="es-ES"/>
        </w:rPr>
      </w:pPr>
      <w:r w:rsidRPr="00CA0A38">
        <w:rPr>
          <w:rFonts w:eastAsia="Arial" w:cs="Arial"/>
          <w:lang w:val="es-ES"/>
        </w:rPr>
        <w:t xml:space="preserve">En la COP14 se presentará el primer informe sobre el estado de las especies migratorias en el mundo, en el que se documentará el estado de conservación y las principales amenazas para las especies migratorias; en particular, la sobreexplotación de las mismas y la pérdida y fragmentación de su hábitat, </w:t>
      </w:r>
      <w:r w:rsidRPr="00CA0A38">
        <w:rPr>
          <w:rFonts w:eastAsia="Arial" w:cs="Arial"/>
          <w:color w:val="000000"/>
          <w:lang w:val="es-ES"/>
        </w:rPr>
        <w:t xml:space="preserve">además de ofrecer soluciones concretas. </w:t>
      </w:r>
    </w:p>
    <w:p w14:paraId="4138F066" w14:textId="77777777" w:rsidR="00CA0A38" w:rsidRPr="00CA0A38" w:rsidRDefault="00CA0A38" w:rsidP="00CA0A38">
      <w:pPr>
        <w:widowControl w:val="0"/>
        <w:autoSpaceDE w:val="0"/>
        <w:autoSpaceDN w:val="0"/>
        <w:spacing w:after="0" w:line="240" w:lineRule="auto"/>
        <w:ind w:left="567" w:right="-42"/>
        <w:jc w:val="both"/>
        <w:rPr>
          <w:rFonts w:eastAsia="Arial" w:cs="Arial"/>
          <w:lang w:val="es-ES"/>
        </w:rPr>
      </w:pPr>
    </w:p>
    <w:p w14:paraId="406B6075" w14:textId="5E1ACFE5" w:rsidR="00CA0A38" w:rsidRPr="00CA0A38" w:rsidRDefault="00CA0A38" w:rsidP="00CA0A38">
      <w:pPr>
        <w:widowControl w:val="0"/>
        <w:numPr>
          <w:ilvl w:val="0"/>
          <w:numId w:val="24"/>
        </w:numPr>
        <w:autoSpaceDE w:val="0"/>
        <w:autoSpaceDN w:val="0"/>
        <w:spacing w:after="0" w:line="240" w:lineRule="auto"/>
        <w:ind w:left="567" w:right="-42"/>
        <w:jc w:val="both"/>
        <w:rPr>
          <w:rFonts w:eastAsia="Arial" w:cs="Arial"/>
          <w:lang w:val="es-ES"/>
        </w:rPr>
      </w:pPr>
      <w:r w:rsidRPr="00CA0A38">
        <w:rPr>
          <w:rFonts w:eastAsia="Arial" w:cs="Arial"/>
          <w:lang w:val="es-ES"/>
        </w:rPr>
        <w:t xml:space="preserve">Está previsto que la COP14 de la CMS adopte un importante conjunto de resoluciones y decisiones que contribuyan directamente a la consecución del Marco Mundial para la Biodiversidad de Kunming-Montreal (GBF), así como de otras prioridades a nivel global. Asimismo, la COP14 adoptará un nuevo Plan Estratégico para las Especies Migratorias para 2024-2032 que guiará a las Partes y a las partes interesadas en la priorización de las acciones, y que ayudará a cumplir el GBF, la Agenda 2030 para el Desarrollo Sostenible y otros compromisos mundiales. La COP14 estudiará nuevos programas de trabajo y acciones para las rutas migratorias, los cetáceos y el cambio climático y </w:t>
      </w:r>
      <w:r w:rsidRPr="00CA0A38">
        <w:rPr>
          <w:rFonts w:eastAsia="Arial" w:cs="Arial"/>
          <w:color w:val="000000"/>
          <w:lang w:val="es-ES"/>
        </w:rPr>
        <w:t xml:space="preserve">evaluará </w:t>
      </w:r>
      <w:r w:rsidRPr="00CA0A38">
        <w:rPr>
          <w:rFonts w:eastAsia="Arial" w:cs="Arial"/>
          <w:lang w:val="es-ES"/>
        </w:rPr>
        <w:t xml:space="preserve">las nuevas directrices y buenas prácticas a nivel global en cuestiones fundamentales como las infraestructuras, las energías renovables y la contaminación lumínica. Además, </w:t>
      </w:r>
      <w:r w:rsidRPr="00CA0A38">
        <w:rPr>
          <w:rFonts w:eastAsia="Arial" w:cs="Arial"/>
          <w:color w:val="000000"/>
          <w:lang w:val="es-ES"/>
        </w:rPr>
        <w:t>estudiará</w:t>
      </w:r>
      <w:r w:rsidRPr="00CA0A38">
        <w:rPr>
          <w:rFonts w:eastAsia="Arial" w:cs="Arial"/>
          <w:lang w:val="es-ES"/>
        </w:rPr>
        <w:t xml:space="preserve"> la inclusión de 14 especies más en sus apéndices e impulsará los numerosos ámbitos de trabajo sobre especies </w:t>
      </w:r>
      <w:r w:rsidR="009927E4">
        <w:rPr>
          <w:rFonts w:eastAsia="Arial" w:cs="Arial"/>
          <w:lang w:val="es-ES"/>
        </w:rPr>
        <w:t>de aves</w:t>
      </w:r>
      <w:r w:rsidRPr="00CA0A38">
        <w:rPr>
          <w:rFonts w:eastAsia="Arial" w:cs="Arial"/>
          <w:lang w:val="es-ES"/>
        </w:rPr>
        <w:t xml:space="preserve">, terrestres y acuáticas, así como los principales trabajos transversales, entre ellos la legislación nacional. El presupuesto para 2024-2026 debe apoyar el funcionamiento eficaz de los órganos subsidiarios de la CMS y dotar a la Secretaría de la CMS de los recursos adecuados para llevar a cabo sus importantes mandatos. </w:t>
      </w:r>
    </w:p>
    <w:p w14:paraId="72603574" w14:textId="77777777" w:rsidR="00CA0A38" w:rsidRPr="00CA0A38" w:rsidRDefault="00CA0A38" w:rsidP="00CA0A38">
      <w:pPr>
        <w:widowControl w:val="0"/>
        <w:autoSpaceDE w:val="0"/>
        <w:autoSpaceDN w:val="0"/>
        <w:spacing w:after="0" w:line="240" w:lineRule="auto"/>
        <w:ind w:left="567" w:right="-42" w:hanging="567"/>
        <w:jc w:val="both"/>
        <w:rPr>
          <w:rFonts w:eastAsia="Arial" w:cs="Arial"/>
          <w:lang w:val="es-ES"/>
        </w:rPr>
      </w:pPr>
    </w:p>
    <w:p w14:paraId="6FEF91E2" w14:textId="77777777" w:rsidR="00CA0A38" w:rsidRPr="00CA0A38" w:rsidRDefault="00CA0A38" w:rsidP="00CA0A38">
      <w:pPr>
        <w:widowControl w:val="0"/>
        <w:numPr>
          <w:ilvl w:val="0"/>
          <w:numId w:val="24"/>
        </w:numPr>
        <w:autoSpaceDE w:val="0"/>
        <w:autoSpaceDN w:val="0"/>
        <w:spacing w:after="0" w:line="240" w:lineRule="auto"/>
        <w:ind w:left="567" w:right="-42"/>
        <w:jc w:val="both"/>
        <w:rPr>
          <w:rFonts w:eastAsia="Arial" w:cs="Arial"/>
          <w:lang w:val="es-ES"/>
        </w:rPr>
      </w:pPr>
      <w:r w:rsidRPr="00CA0A38">
        <w:rPr>
          <w:rFonts w:eastAsia="Arial" w:cs="Arial"/>
          <w:lang w:val="es-ES"/>
        </w:rPr>
        <w:t xml:space="preserve">En segundo lugar, aunque los tres escenarios presupuestarios se basan en costes salariales estándar para el lugar de destino en Bonn, en la actualidad, los costes salariales reales son bastante más elevados, sobre todo en el caso de los puestos profesionales (P). Esto se debe a diversos factores, entre los que se encuentran el aumento de los costes de personal derivados de los reajustes en los puestos, así como </w:t>
      </w:r>
      <w:r w:rsidRPr="00CA0A38">
        <w:rPr>
          <w:rFonts w:eastAsia="Arial" w:cs="Arial"/>
          <w:color w:val="000000"/>
          <w:lang w:val="es-ES"/>
        </w:rPr>
        <w:t xml:space="preserve">los incrementos salariales </w:t>
      </w:r>
      <w:r w:rsidRPr="00CA0A38">
        <w:rPr>
          <w:rFonts w:eastAsia="Arial" w:cs="Arial"/>
          <w:lang w:val="es-ES"/>
        </w:rPr>
        <w:t xml:space="preserve">normales de la categoría. Asimismo, aunque en todos los escenarios se ha aplicado una tasa de inflación del 2 % para los gastos de personal y otros gastos de funcionamiento, en realidad, las tasas de inflación en el lugar de destino oscilaron entre el 3 % y el 6 % durante el período entre 2021 a junio de 2023. </w:t>
      </w:r>
    </w:p>
    <w:p w14:paraId="54BC76EC" w14:textId="77777777" w:rsidR="00CA0A38" w:rsidRPr="00CA0A38" w:rsidRDefault="00CA0A38" w:rsidP="00CA0A38">
      <w:pPr>
        <w:spacing w:after="0" w:line="240" w:lineRule="auto"/>
        <w:ind w:left="567" w:right="-42"/>
        <w:jc w:val="both"/>
        <w:rPr>
          <w:rFonts w:eastAsia="Arial" w:cs="Arial"/>
          <w:lang w:val="es-ES"/>
        </w:rPr>
      </w:pPr>
      <w:r w:rsidRPr="00CA0A38">
        <w:rPr>
          <w:rFonts w:eastAsia="Arial" w:cs="Arial"/>
          <w:lang w:val="es-ES"/>
        </w:rPr>
        <w:t xml:space="preserve"> </w:t>
      </w:r>
    </w:p>
    <w:p w14:paraId="5D2B2442" w14:textId="77777777" w:rsidR="00CA0A38" w:rsidRPr="00CA0A38" w:rsidRDefault="00CA0A38" w:rsidP="00CA0A38">
      <w:pPr>
        <w:widowControl w:val="0"/>
        <w:numPr>
          <w:ilvl w:val="0"/>
          <w:numId w:val="24"/>
        </w:numPr>
        <w:autoSpaceDE w:val="0"/>
        <w:autoSpaceDN w:val="0"/>
        <w:spacing w:after="0" w:line="240" w:lineRule="auto"/>
        <w:ind w:left="567" w:right="-42"/>
        <w:jc w:val="both"/>
        <w:rPr>
          <w:rFonts w:eastAsia="Arial" w:cs="Arial"/>
          <w:lang w:val="es-ES"/>
        </w:rPr>
      </w:pPr>
      <w:r w:rsidRPr="00CA0A38">
        <w:rPr>
          <w:rFonts w:eastAsia="Arial" w:cs="Arial"/>
          <w:lang w:val="es-ES"/>
        </w:rPr>
        <w:t xml:space="preserve">En tercer lugar, de acuerdo con la facultad prevista en el párrafo 18 de la Resolución 13.2, durante el último trienio, la Secretaría ha trabajado para cubrir los puestos vacantes y reclasificarlos en función de las necesidades. </w:t>
      </w:r>
      <w:r w:rsidRPr="00CA0A38">
        <w:rPr>
          <w:rFonts w:eastAsia="Arial" w:cs="Arial"/>
          <w:color w:val="000000"/>
          <w:lang w:val="es-ES"/>
        </w:rPr>
        <w:t xml:space="preserve">A excepción del </w:t>
      </w:r>
      <w:r w:rsidRPr="00CA0A38">
        <w:rPr>
          <w:rFonts w:eastAsia="Arial" w:cs="Arial"/>
          <w:lang w:val="es-ES"/>
        </w:rPr>
        <w:t xml:space="preserve">puesto de secretario ejecutivo adjunto (analizado en el Escenario 3), la Secretaría ha podido cubrir todos los puestos de personal profesional. Además, la Secretaría prácticamente ha finalizado la reclasificación de una serie de puestos ya existentes a lo largo del trienio, de conformidad con la revisión independiente de la Clasificación de Puestos de la CMS realizada en octubre de 2016. </w:t>
      </w:r>
      <w:r w:rsidRPr="00CA0A38">
        <w:rPr>
          <w:rFonts w:eastAsia="Arial" w:cs="Arial"/>
          <w:color w:val="000000"/>
          <w:lang w:val="es-ES"/>
        </w:rPr>
        <w:t xml:space="preserve">Entre 2021 y 2023 se reclasificaron cuatro puestos de Servicios Generales (tres de GS4 a GS5, y uno de GS5 a GS6), así como un puesto profesional (de P2 a P3, jefe de la Unidad de </w:t>
      </w:r>
      <w:r w:rsidRPr="00CA0A38">
        <w:rPr>
          <w:rFonts w:eastAsia="Arial" w:cs="Arial"/>
          <w:lang w:val="es-ES"/>
        </w:rPr>
        <w:t xml:space="preserve">Gestión de la Información y Comunicación). En los tres escenarios se incluyen los costes asociados a la reclasificación de esos puestos. </w:t>
      </w:r>
    </w:p>
    <w:p w14:paraId="5B1AE0BA" w14:textId="77777777" w:rsidR="00CA0A38" w:rsidRPr="00CA0A38" w:rsidRDefault="00CA0A38" w:rsidP="00CA0A38">
      <w:pPr>
        <w:widowControl w:val="0"/>
        <w:autoSpaceDE w:val="0"/>
        <w:autoSpaceDN w:val="0"/>
        <w:spacing w:after="0" w:line="240" w:lineRule="auto"/>
        <w:ind w:left="567" w:right="-42"/>
        <w:jc w:val="both"/>
        <w:rPr>
          <w:rFonts w:eastAsia="Arial" w:cs="Arial"/>
          <w:lang w:val="es-ES"/>
        </w:rPr>
      </w:pPr>
    </w:p>
    <w:p w14:paraId="312C16DD" w14:textId="6B7906A2" w:rsidR="00CA0A38" w:rsidRPr="00CA0A38" w:rsidRDefault="00CA0A38" w:rsidP="00CA0A38">
      <w:pPr>
        <w:widowControl w:val="0"/>
        <w:numPr>
          <w:ilvl w:val="0"/>
          <w:numId w:val="24"/>
        </w:numPr>
        <w:autoSpaceDE w:val="0"/>
        <w:autoSpaceDN w:val="0"/>
        <w:spacing w:after="0" w:line="240" w:lineRule="auto"/>
        <w:ind w:left="567" w:right="-42"/>
        <w:jc w:val="both"/>
        <w:rPr>
          <w:rFonts w:eastAsia="Arial" w:cs="Arial"/>
          <w:lang w:val="es-ES"/>
        </w:rPr>
      </w:pPr>
      <w:r w:rsidRPr="00CA0A38">
        <w:rPr>
          <w:rFonts w:eastAsia="Arial" w:cs="Arial"/>
          <w:lang w:val="es-ES" w:eastAsia="es-ES"/>
        </w:rPr>
        <w:t xml:space="preserve">En cuarto lugar, para agilizar los procesos operativos de las </w:t>
      </w:r>
      <w:r w:rsidRPr="00CA0A38">
        <w:rPr>
          <w:rFonts w:eastAsia="Arial" w:cs="Arial"/>
          <w:color w:val="000000"/>
          <w:lang w:val="es-ES" w:eastAsia="es-ES"/>
        </w:rPr>
        <w:t>organizaciones de la ONU</w:t>
      </w:r>
      <w:r w:rsidRPr="00CA0A38">
        <w:rPr>
          <w:rFonts w:eastAsia="Arial" w:cs="Arial"/>
          <w:lang w:val="es-ES" w:eastAsia="es-ES"/>
        </w:rPr>
        <w:t xml:space="preserve">, a partir de junio de 2015, la Secretaría de las Naciones Unidas puso en marcha </w:t>
      </w:r>
      <w:r w:rsidRPr="00CA0A38">
        <w:rPr>
          <w:rFonts w:eastAsia="Arial" w:cs="Arial"/>
          <w:color w:val="000000"/>
          <w:lang w:val="es-ES" w:eastAsia="es-ES"/>
        </w:rPr>
        <w:t xml:space="preserve">un nuevo sistema de planificación de recursos </w:t>
      </w:r>
      <w:r w:rsidRPr="00CA0A38">
        <w:rPr>
          <w:rFonts w:eastAsia="Arial" w:cs="Arial"/>
          <w:lang w:val="es-ES" w:eastAsia="es-ES"/>
        </w:rPr>
        <w:t xml:space="preserve">empresariales, «Umoja». Aunque los </w:t>
      </w:r>
      <w:r w:rsidRPr="00CA0A38">
        <w:rPr>
          <w:rFonts w:eastAsia="Arial" w:cs="Arial"/>
          <w:color w:val="000000"/>
          <w:lang w:val="es-ES" w:eastAsia="es-ES"/>
        </w:rPr>
        <w:t xml:space="preserve">costes de la puesta en marcha </w:t>
      </w:r>
      <w:r w:rsidRPr="00CA0A38">
        <w:rPr>
          <w:rFonts w:eastAsia="Arial" w:cs="Arial"/>
          <w:lang w:val="es-ES" w:eastAsia="es-ES"/>
        </w:rPr>
        <w:t>de Umoja fueron asumidos en un principio por la Sede de la ONU y el PNUMA, desde 2018, estos costes se han trasladado a las entidades usuarias. En el pasado, el coste de Umoja se cubría con los ingresos de los Costes de Apoyo al Programa (PSC) de toda la Familia de la CMS, incluida su Secretaría. Sin embargo, en febrero de 2021, la Oficina del Interventor de la Sede de las Naciones Unidas implantó un nuevo método de imputación de costes, lo que supuso incrementos de 88 770 dólares para 2021 para las Secretarías de la Familia de la CMS, casi el triple de la cantidad que pagaba cada año entre 2018 y 2020. Para 2022 y 2023,</w:t>
      </w:r>
      <w:r w:rsidR="00476270">
        <w:rPr>
          <w:rFonts w:eastAsia="Arial" w:cs="Arial"/>
          <w:lang w:val="es-ES" w:eastAsia="es-ES"/>
        </w:rPr>
        <w:t xml:space="preserve"> a</w:t>
      </w:r>
      <w:r w:rsidRPr="00CA0A38">
        <w:rPr>
          <w:rFonts w:eastAsia="Arial" w:cs="Arial"/>
          <w:lang w:val="es-ES" w:eastAsia="es-ES"/>
        </w:rPr>
        <w:t xml:space="preserve"> la Familia de la CMS </w:t>
      </w:r>
      <w:r w:rsidR="00476270">
        <w:rPr>
          <w:rFonts w:eastAsia="Arial" w:cs="Arial"/>
          <w:lang w:val="es-ES" w:eastAsia="es-ES"/>
        </w:rPr>
        <w:t xml:space="preserve">se le </w:t>
      </w:r>
      <w:r w:rsidRPr="00CA0A38">
        <w:rPr>
          <w:rFonts w:eastAsia="Arial" w:cs="Arial"/>
          <w:lang w:val="es-ES" w:eastAsia="es-ES"/>
        </w:rPr>
        <w:t xml:space="preserve">cobró de los ingresos del PSC 88 770 y 104 800 dólares respectivamente. </w:t>
      </w:r>
    </w:p>
    <w:p w14:paraId="0375E738" w14:textId="77777777" w:rsidR="00CA0A38" w:rsidRPr="00CA0A38" w:rsidRDefault="00CA0A38" w:rsidP="00CA0A38">
      <w:pPr>
        <w:widowControl w:val="0"/>
        <w:autoSpaceDE w:val="0"/>
        <w:autoSpaceDN w:val="0"/>
        <w:spacing w:after="0" w:line="240" w:lineRule="auto"/>
        <w:ind w:left="567" w:hanging="567"/>
        <w:jc w:val="both"/>
        <w:rPr>
          <w:rFonts w:eastAsia="Arial" w:cs="Arial"/>
          <w:lang w:val="es-ES" w:eastAsia="en-GB"/>
        </w:rPr>
      </w:pPr>
    </w:p>
    <w:p w14:paraId="5D33F508" w14:textId="77777777" w:rsidR="00CA0A38" w:rsidRPr="00CA0A38" w:rsidRDefault="00CA0A38" w:rsidP="00CA0A38">
      <w:pPr>
        <w:widowControl w:val="0"/>
        <w:numPr>
          <w:ilvl w:val="0"/>
          <w:numId w:val="24"/>
        </w:numPr>
        <w:tabs>
          <w:tab w:val="left" w:pos="817"/>
          <w:tab w:val="left" w:pos="819"/>
          <w:tab w:val="left" w:pos="8364"/>
        </w:tabs>
        <w:autoSpaceDE w:val="0"/>
        <w:autoSpaceDN w:val="0"/>
        <w:spacing w:after="0" w:line="240" w:lineRule="auto"/>
        <w:ind w:left="567" w:right="-42"/>
        <w:jc w:val="both"/>
        <w:rPr>
          <w:rFonts w:eastAsia="Arial" w:cs="Arial"/>
          <w:lang w:val="es-ES"/>
        </w:rPr>
      </w:pPr>
      <w:r w:rsidRPr="00CA0A38">
        <w:rPr>
          <w:rFonts w:eastAsia="Arial" w:cs="Arial"/>
          <w:lang w:val="es-ES" w:eastAsia="es-ES"/>
        </w:rPr>
        <w:t>El 52.</w:t>
      </w:r>
      <w:r w:rsidRPr="00CA0A38">
        <w:rPr>
          <w:rFonts w:eastAsia="Arial" w:cs="Arial"/>
          <w:vertAlign w:val="superscript"/>
          <w:lang w:val="es-ES" w:eastAsia="es-ES"/>
        </w:rPr>
        <w:t xml:space="preserve">o </w:t>
      </w:r>
      <w:r w:rsidRPr="00CA0A38">
        <w:rPr>
          <w:rFonts w:eastAsia="Arial" w:cs="Arial"/>
          <w:lang w:val="es-ES" w:eastAsia="es-ES"/>
        </w:rPr>
        <w:t>Comité Permanente recomendó que la Secretaría incluyera el coste de Umoja en la propuesta de presupuesto básico para 2024-2026</w:t>
      </w:r>
      <w:r w:rsidRPr="00CA0A38">
        <w:rPr>
          <w:rFonts w:eastAsia="Arial" w:cs="Arial"/>
          <w:color w:val="FF0000"/>
          <w:lang w:val="es-ES" w:eastAsia="es-ES"/>
        </w:rPr>
        <w:t xml:space="preserve"> </w:t>
      </w:r>
      <w:r w:rsidRPr="00CA0A38">
        <w:rPr>
          <w:rFonts w:eastAsia="Arial" w:cs="Arial"/>
          <w:lang w:val="es-ES" w:eastAsia="es-ES"/>
        </w:rPr>
        <w:t>ya que se trata de un coste directo asociado a la implementación de la Convención</w:t>
      </w:r>
      <w:r w:rsidRPr="00CA0A38">
        <w:rPr>
          <w:rFonts w:eastAsia="Arial" w:cs="Arial"/>
          <w:color w:val="000000"/>
          <w:lang w:val="es-ES" w:eastAsia="es-ES"/>
        </w:rPr>
        <w:t xml:space="preserve">, al igual que </w:t>
      </w:r>
      <w:r w:rsidRPr="00CA0A38">
        <w:rPr>
          <w:rFonts w:eastAsia="Arial" w:cs="Arial"/>
          <w:lang w:val="es-ES" w:eastAsia="es-ES"/>
        </w:rPr>
        <w:t xml:space="preserve">otros costes de funcionamiento de la Secretaría, y los ingresos del PSC ya no pueden cubrir el gasto. Por consiguiente, el coste de Umoja se incluye en los escenarios 2 y 3. </w:t>
      </w:r>
    </w:p>
    <w:p w14:paraId="2D4C1BC2" w14:textId="77777777" w:rsidR="00CA0A38" w:rsidRPr="00CA0A38" w:rsidRDefault="00CA0A38" w:rsidP="00CA0A38">
      <w:pPr>
        <w:widowControl w:val="0"/>
        <w:tabs>
          <w:tab w:val="left" w:pos="817"/>
          <w:tab w:val="left" w:pos="819"/>
          <w:tab w:val="left" w:pos="8789"/>
        </w:tabs>
        <w:autoSpaceDE w:val="0"/>
        <w:autoSpaceDN w:val="0"/>
        <w:spacing w:after="0" w:line="240" w:lineRule="auto"/>
        <w:ind w:left="567" w:right="225"/>
        <w:jc w:val="both"/>
        <w:rPr>
          <w:rFonts w:eastAsia="Arial" w:cs="Arial"/>
          <w:lang w:val="es-ES"/>
        </w:rPr>
      </w:pPr>
    </w:p>
    <w:p w14:paraId="5BD1B1E0" w14:textId="77777777" w:rsidR="00CA0A38" w:rsidRPr="00CA0A38" w:rsidRDefault="00CA0A38" w:rsidP="00CA0A38">
      <w:pPr>
        <w:widowControl w:val="0"/>
        <w:numPr>
          <w:ilvl w:val="0"/>
          <w:numId w:val="24"/>
        </w:numPr>
        <w:tabs>
          <w:tab w:val="left" w:pos="817"/>
          <w:tab w:val="left" w:pos="819"/>
          <w:tab w:val="left" w:pos="8222"/>
        </w:tabs>
        <w:autoSpaceDE w:val="0"/>
        <w:autoSpaceDN w:val="0"/>
        <w:spacing w:after="0" w:line="240" w:lineRule="auto"/>
        <w:ind w:left="567" w:right="-42"/>
        <w:jc w:val="both"/>
        <w:rPr>
          <w:rFonts w:eastAsia="Arial" w:cs="Arial"/>
          <w:lang w:val="es-ES"/>
        </w:rPr>
      </w:pPr>
      <w:r w:rsidRPr="00CA0A38">
        <w:rPr>
          <w:rFonts w:eastAsia="Arial" w:cs="Arial"/>
          <w:lang w:val="es-ES"/>
        </w:rPr>
        <w:t>Por último,</w:t>
      </w:r>
      <w:r w:rsidRPr="00CA0A38">
        <w:rPr>
          <w:rFonts w:eastAsia="Arial" w:cs="Arial"/>
          <w:color w:val="FF0000"/>
          <w:lang w:val="es-ES"/>
        </w:rPr>
        <w:t xml:space="preserve"> </w:t>
      </w:r>
      <w:r w:rsidRPr="00CA0A38">
        <w:rPr>
          <w:rFonts w:eastAsia="Arial" w:cs="Arial"/>
          <w:lang w:val="es-ES"/>
        </w:rPr>
        <w:t xml:space="preserve">la morosidad continúa siendo elevada, tal como se describe con detalle en el documento de la COP UNEP/CMS/COP14/Doc.13.1 </w:t>
      </w:r>
      <w:r w:rsidRPr="00CA0A38">
        <w:rPr>
          <w:rFonts w:eastAsia="Arial" w:cs="Arial"/>
          <w:i/>
          <w:lang w:val="es-ES"/>
        </w:rPr>
        <w:t>Ejecución del Presupuesto de la CMS 2021-2023</w:t>
      </w:r>
      <w:r w:rsidRPr="00CA0A38">
        <w:rPr>
          <w:rFonts w:eastAsia="Arial" w:cs="Arial"/>
          <w:iCs/>
          <w:lang w:val="es-ES"/>
        </w:rPr>
        <w:t>.</w:t>
      </w:r>
      <w:r w:rsidRPr="00CA0A38">
        <w:rPr>
          <w:rFonts w:eastAsia="Arial" w:cs="Arial"/>
          <w:i/>
          <w:lang w:val="es-ES"/>
        </w:rPr>
        <w:t xml:space="preserve"> </w:t>
      </w:r>
    </w:p>
    <w:p w14:paraId="16A1B465" w14:textId="77777777" w:rsidR="00CA0A38" w:rsidRPr="00CA0A38" w:rsidRDefault="00CA0A38" w:rsidP="00CA0A38">
      <w:pPr>
        <w:widowControl w:val="0"/>
        <w:autoSpaceDE w:val="0"/>
        <w:autoSpaceDN w:val="0"/>
        <w:spacing w:after="0" w:line="240" w:lineRule="auto"/>
        <w:jc w:val="both"/>
        <w:rPr>
          <w:rFonts w:eastAsia="Arial" w:cs="Arial"/>
          <w:lang w:val="es-ES"/>
        </w:rPr>
      </w:pPr>
    </w:p>
    <w:p w14:paraId="54924E3F" w14:textId="77777777" w:rsidR="00CA0A38" w:rsidRPr="00CA0A38" w:rsidRDefault="00CA0A38" w:rsidP="00CA0A38">
      <w:pPr>
        <w:widowControl w:val="0"/>
        <w:autoSpaceDE w:val="0"/>
        <w:autoSpaceDN w:val="0"/>
        <w:spacing w:after="0" w:line="240" w:lineRule="auto"/>
        <w:ind w:right="-42"/>
        <w:jc w:val="both"/>
        <w:outlineLvl w:val="0"/>
        <w:rPr>
          <w:rFonts w:eastAsia="Arial" w:cs="Arial"/>
          <w:b/>
          <w:bCs/>
          <w:lang w:val="es-ES"/>
        </w:rPr>
      </w:pPr>
      <w:r w:rsidRPr="00CA0A38">
        <w:rPr>
          <w:rFonts w:eastAsia="Arial" w:cs="Arial"/>
          <w:b/>
          <w:bCs/>
          <w:lang w:val="es-ES"/>
        </w:rPr>
        <w:t>Escenarios presupuestarios para 2024-2026</w:t>
      </w:r>
    </w:p>
    <w:p w14:paraId="0BD0B2A3" w14:textId="77777777" w:rsidR="00CA0A38" w:rsidRPr="00CA0A38" w:rsidRDefault="00CA0A38" w:rsidP="00CA0A38">
      <w:pPr>
        <w:widowControl w:val="0"/>
        <w:autoSpaceDE w:val="0"/>
        <w:autoSpaceDN w:val="0"/>
        <w:spacing w:after="0" w:line="240" w:lineRule="auto"/>
        <w:ind w:left="567" w:right="-42" w:hanging="567"/>
        <w:jc w:val="both"/>
        <w:rPr>
          <w:rFonts w:eastAsia="Arial" w:cs="Arial"/>
          <w:b/>
          <w:lang w:val="es-ES"/>
        </w:rPr>
      </w:pPr>
    </w:p>
    <w:p w14:paraId="6061D255" w14:textId="77777777" w:rsidR="00CA0A38" w:rsidRPr="00CA0A38" w:rsidRDefault="00CA0A38" w:rsidP="00CA0A38">
      <w:pPr>
        <w:widowControl w:val="0"/>
        <w:numPr>
          <w:ilvl w:val="0"/>
          <w:numId w:val="24"/>
        </w:numPr>
        <w:tabs>
          <w:tab w:val="left" w:pos="817"/>
          <w:tab w:val="left" w:pos="819"/>
        </w:tabs>
        <w:autoSpaceDE w:val="0"/>
        <w:autoSpaceDN w:val="0"/>
        <w:spacing w:after="0" w:line="240" w:lineRule="auto"/>
        <w:ind w:left="567" w:right="-42"/>
        <w:jc w:val="both"/>
        <w:rPr>
          <w:rFonts w:eastAsia="Arial" w:cs="Arial"/>
          <w:lang w:val="es-ES"/>
        </w:rPr>
      </w:pPr>
      <w:r w:rsidRPr="00CA0A38">
        <w:rPr>
          <w:rFonts w:eastAsia="Arial" w:cs="Arial"/>
          <w:lang w:val="es-ES"/>
        </w:rPr>
        <w:t>Las propuestas presupuestarias tienen el mismo formato que se presentó y aprobó en la COP13. En el Anexo 3 se facilita más información en cuanto a cada escenario. Las cifras que aparecen en rojo en el proyecto de presupuesto indican un aumento del</w:t>
      </w:r>
      <w:r w:rsidRPr="00CA0A38">
        <w:rPr>
          <w:rFonts w:eastAsia="Arial" w:cs="Arial"/>
          <w:color w:val="FF0000"/>
          <w:lang w:val="es-ES"/>
        </w:rPr>
        <w:t xml:space="preserve"> </w:t>
      </w:r>
      <w:r w:rsidRPr="00CA0A38">
        <w:rPr>
          <w:rFonts w:eastAsia="Arial" w:cs="Arial"/>
          <w:lang w:val="es-ES"/>
        </w:rPr>
        <w:t>coste de la partida presupuestaria en comparación con los escenarios anteriores. El Anexo 4 ofrece un resumen de la escala de contribuciones que deben pagar las Partes para el período 2024</w:t>
      </w:r>
      <w:r w:rsidRPr="00CA0A38">
        <w:rPr>
          <w:rFonts w:eastAsia="Arial" w:cs="Arial"/>
          <w:i/>
          <w:lang w:val="es-ES"/>
        </w:rPr>
        <w:t>–</w:t>
      </w:r>
      <w:r w:rsidRPr="00CA0A38">
        <w:rPr>
          <w:rFonts w:eastAsia="Arial" w:cs="Arial"/>
          <w:lang w:val="es-ES"/>
        </w:rPr>
        <w:t>2026, con contribuciones anuales medias orientativas conforme al presupuesto propuesto. Además, en el Anexo 4 aparecen, a título comparativo, las cuotas para el período 2021</w:t>
      </w:r>
      <w:r w:rsidRPr="00CA0A38">
        <w:rPr>
          <w:rFonts w:eastAsia="Arial" w:cs="Arial"/>
          <w:i/>
          <w:lang w:val="es-ES"/>
        </w:rPr>
        <w:t>–</w:t>
      </w:r>
      <w:r w:rsidRPr="00CA0A38">
        <w:rPr>
          <w:rFonts w:eastAsia="Arial" w:cs="Arial"/>
          <w:lang w:val="es-ES"/>
        </w:rPr>
        <w:t>2023.</w:t>
      </w:r>
    </w:p>
    <w:p w14:paraId="23CEECC9" w14:textId="77777777" w:rsidR="00CA0A38" w:rsidRPr="00CA0A38" w:rsidRDefault="00CA0A38" w:rsidP="00CA0A38">
      <w:pPr>
        <w:widowControl w:val="0"/>
        <w:tabs>
          <w:tab w:val="left" w:pos="817"/>
          <w:tab w:val="left" w:pos="819"/>
        </w:tabs>
        <w:autoSpaceDE w:val="0"/>
        <w:autoSpaceDN w:val="0"/>
        <w:spacing w:after="0" w:line="240" w:lineRule="auto"/>
        <w:ind w:left="567" w:right="-42"/>
        <w:jc w:val="both"/>
        <w:rPr>
          <w:rFonts w:eastAsia="Arial" w:cs="Arial"/>
          <w:lang w:val="es-ES"/>
        </w:rPr>
      </w:pPr>
    </w:p>
    <w:p w14:paraId="545E8FB1" w14:textId="77777777" w:rsidR="00CA0A38" w:rsidRPr="00CA0A38" w:rsidRDefault="00CA0A38" w:rsidP="00CA0A38">
      <w:pPr>
        <w:widowControl w:val="0"/>
        <w:autoSpaceDE w:val="0"/>
        <w:autoSpaceDN w:val="0"/>
        <w:spacing w:after="0" w:line="240" w:lineRule="auto"/>
        <w:ind w:left="567" w:right="-42" w:hanging="567"/>
        <w:jc w:val="both"/>
        <w:outlineLvl w:val="0"/>
        <w:rPr>
          <w:rFonts w:eastAsia="Arial" w:cs="Arial"/>
          <w:b/>
          <w:bCs/>
          <w:lang w:val="es-ES"/>
        </w:rPr>
      </w:pPr>
      <w:r w:rsidRPr="00CA0A38">
        <w:rPr>
          <w:rFonts w:eastAsia="Arial" w:cs="Arial"/>
          <w:b/>
          <w:bCs/>
          <w:lang w:val="es-ES"/>
        </w:rPr>
        <w:t>Escenario 1: crecimiento nominal cero con respecto al presupuesto 2021</w:t>
      </w:r>
      <w:r w:rsidRPr="00CA0A38">
        <w:rPr>
          <w:rFonts w:eastAsia="Arial" w:cs="Arial"/>
          <w:b/>
          <w:bCs/>
          <w:i/>
          <w:lang w:val="es-ES"/>
        </w:rPr>
        <w:t>-</w:t>
      </w:r>
      <w:r w:rsidRPr="00CA0A38">
        <w:rPr>
          <w:rFonts w:eastAsia="Arial" w:cs="Arial"/>
          <w:b/>
          <w:bCs/>
          <w:lang w:val="es-ES"/>
        </w:rPr>
        <w:t>2023</w:t>
      </w:r>
    </w:p>
    <w:p w14:paraId="4ABB6DBD" w14:textId="77777777" w:rsidR="00CA0A38" w:rsidRPr="00CA0A38" w:rsidRDefault="00CA0A38" w:rsidP="00CA0A38">
      <w:pPr>
        <w:widowControl w:val="0"/>
        <w:autoSpaceDE w:val="0"/>
        <w:autoSpaceDN w:val="0"/>
        <w:spacing w:after="0" w:line="240" w:lineRule="auto"/>
        <w:ind w:left="567" w:right="-42" w:hanging="567"/>
        <w:jc w:val="both"/>
        <w:rPr>
          <w:rFonts w:eastAsia="Arial" w:cs="Arial"/>
          <w:b/>
          <w:lang w:val="es-ES"/>
        </w:rPr>
      </w:pPr>
    </w:p>
    <w:p w14:paraId="136DCFD8" w14:textId="77777777" w:rsidR="00CA0A38" w:rsidRPr="00CA0A38" w:rsidRDefault="00CA0A38" w:rsidP="00CA0A38">
      <w:pPr>
        <w:widowControl w:val="0"/>
        <w:numPr>
          <w:ilvl w:val="0"/>
          <w:numId w:val="24"/>
        </w:numPr>
        <w:tabs>
          <w:tab w:val="left" w:pos="817"/>
          <w:tab w:val="left" w:pos="819"/>
        </w:tabs>
        <w:autoSpaceDE w:val="0"/>
        <w:autoSpaceDN w:val="0"/>
        <w:spacing w:after="0" w:line="240" w:lineRule="auto"/>
        <w:ind w:left="567" w:right="-42"/>
        <w:jc w:val="both"/>
        <w:rPr>
          <w:rFonts w:eastAsia="Arial" w:cs="Arial"/>
          <w:lang w:val="es-ES" w:eastAsia="en-GB"/>
        </w:rPr>
      </w:pPr>
      <w:r w:rsidRPr="00CA0A38">
        <w:rPr>
          <w:rFonts w:eastAsia="Arial" w:cs="Arial"/>
          <w:lang w:val="es-ES" w:eastAsia="es-ES"/>
        </w:rPr>
        <w:t>En el Escenario 1, no está previsto ningún incremento con respecto al presupuesto aprobado para el trienio 2021-</w:t>
      </w:r>
      <w:r w:rsidRPr="00CA0A38">
        <w:rPr>
          <w:rFonts w:eastAsia="Arial" w:cs="Arial"/>
          <w:i/>
          <w:lang w:val="es-ES"/>
        </w:rPr>
        <w:t>–</w:t>
      </w:r>
      <w:r w:rsidRPr="00CA0A38">
        <w:rPr>
          <w:rFonts w:eastAsia="Arial" w:cs="Arial"/>
          <w:lang w:val="es-ES" w:eastAsia="es-ES"/>
        </w:rPr>
        <w:t xml:space="preserve">2023. Esta opción proporciona financiación para todos los puestos de personal permanente de la Secretaría que están ocupados en la actualidad (o en proceso de contratación), utilizando el coste salarial estándar de la COP13 con un incremento del 2 % anual. Las cifras para el resto de partidas presupuestarias se mantienen tal y como se adoptaron en la COP13. Para mantener el mismo nivel de presupuesto en este escenario, no se asignan fondos para las reuniones de los órganos de gobierno, como la prestación de servicios a la COP, las reuniones del Comité Permanente (StC) y las reuniones del Comité del período de sesiones del Consejo Científico (ScC-SC), ni para los desplazamientos del personal a la COP15. Por otra parte, el coste del desarrollo del personal se redujo en dos tercios con respecto al presupuesto de la COP13. Por lo tanto, la Secretaría debe movilizar recursos extrapresupuestarios para organizar las reuniones de los órganos rectores y para los demás ámbitos a los que no se asignan fondos. </w:t>
      </w:r>
    </w:p>
    <w:p w14:paraId="76CB3F52" w14:textId="77777777" w:rsidR="00CA0A38" w:rsidRDefault="00CA0A38" w:rsidP="00CA0A38">
      <w:pPr>
        <w:widowControl w:val="0"/>
        <w:autoSpaceDE w:val="0"/>
        <w:autoSpaceDN w:val="0"/>
        <w:spacing w:after="0" w:line="240" w:lineRule="auto"/>
        <w:jc w:val="both"/>
        <w:rPr>
          <w:rFonts w:eastAsia="Arial" w:cs="Arial"/>
          <w:lang w:val="es-ES"/>
        </w:rPr>
      </w:pPr>
    </w:p>
    <w:p w14:paraId="06B7605F" w14:textId="77777777" w:rsidR="00023BC7" w:rsidRDefault="00023BC7" w:rsidP="00CA0A38">
      <w:pPr>
        <w:widowControl w:val="0"/>
        <w:autoSpaceDE w:val="0"/>
        <w:autoSpaceDN w:val="0"/>
        <w:spacing w:after="0" w:line="240" w:lineRule="auto"/>
        <w:jc w:val="both"/>
        <w:rPr>
          <w:rFonts w:eastAsia="Arial" w:cs="Arial"/>
          <w:lang w:val="es-ES"/>
        </w:rPr>
      </w:pPr>
    </w:p>
    <w:tbl>
      <w:tblPr>
        <w:tblW w:w="8500" w:type="dxa"/>
        <w:tblInd w:w="5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934"/>
        <w:gridCol w:w="2566"/>
      </w:tblGrid>
      <w:tr w:rsidR="00023BC7" w:rsidRPr="00396A3D" w14:paraId="04177239" w14:textId="77777777" w:rsidTr="008600A2">
        <w:trPr>
          <w:trHeight w:val="582"/>
        </w:trPr>
        <w:tc>
          <w:tcPr>
            <w:tcW w:w="8500" w:type="dxa"/>
            <w:gridSpan w:val="2"/>
            <w:shd w:val="clear" w:color="auto" w:fill="D9E1F3"/>
          </w:tcPr>
          <w:p w14:paraId="6E1DB0E0" w14:textId="77777777" w:rsidR="00023BC7" w:rsidRPr="002D6B52" w:rsidRDefault="00023BC7" w:rsidP="008600A2">
            <w:pPr>
              <w:pStyle w:val="TableParagraph"/>
              <w:spacing w:before="0"/>
              <w:ind w:right="0"/>
              <w:jc w:val="both"/>
              <w:rPr>
                <w:b/>
                <w:lang w:val="es-ES"/>
              </w:rPr>
            </w:pPr>
            <w:r w:rsidRPr="002D6B52">
              <w:rPr>
                <w:b/>
                <w:lang w:val="es-ES"/>
              </w:rPr>
              <w:lastRenderedPageBreak/>
              <w:t>Costes totales por categoría para el periodo 2024-2026 (en euros)</w:t>
            </w:r>
          </w:p>
        </w:tc>
      </w:tr>
      <w:tr w:rsidR="00023BC7" w:rsidRPr="00E37296" w14:paraId="3D4AFDB5" w14:textId="77777777" w:rsidTr="008600A2">
        <w:trPr>
          <w:trHeight w:val="297"/>
        </w:trPr>
        <w:tc>
          <w:tcPr>
            <w:tcW w:w="5934" w:type="dxa"/>
            <w:tcBorders>
              <w:bottom w:val="single" w:sz="4" w:space="0" w:color="000000"/>
              <w:right w:val="single" w:sz="4" w:space="0" w:color="000000"/>
            </w:tcBorders>
          </w:tcPr>
          <w:p w14:paraId="1285971A" w14:textId="77777777" w:rsidR="00023BC7" w:rsidRPr="00E37296" w:rsidRDefault="00023BC7" w:rsidP="008600A2">
            <w:pPr>
              <w:pStyle w:val="TableParagraph"/>
              <w:spacing w:before="0"/>
              <w:ind w:right="0"/>
              <w:jc w:val="both"/>
            </w:pPr>
            <w:r w:rsidRPr="00FB1767">
              <w:rPr>
                <w:spacing w:val="-2"/>
              </w:rPr>
              <w:t>Personal</w:t>
            </w:r>
          </w:p>
        </w:tc>
        <w:tc>
          <w:tcPr>
            <w:tcW w:w="2566" w:type="dxa"/>
            <w:tcBorders>
              <w:left w:val="single" w:sz="4" w:space="0" w:color="000000"/>
              <w:bottom w:val="single" w:sz="4" w:space="0" w:color="000000"/>
            </w:tcBorders>
          </w:tcPr>
          <w:p w14:paraId="2A02823C" w14:textId="77777777" w:rsidR="00023BC7" w:rsidRPr="00E37296" w:rsidRDefault="00023BC7" w:rsidP="008600A2">
            <w:pPr>
              <w:pStyle w:val="TableParagraph"/>
              <w:spacing w:before="0"/>
              <w:ind w:right="86"/>
              <w:jc w:val="both"/>
            </w:pPr>
            <w:r w:rsidRPr="00E37296">
              <w:t xml:space="preserve"> 6,792,077 </w:t>
            </w:r>
          </w:p>
        </w:tc>
      </w:tr>
      <w:tr w:rsidR="00023BC7" w:rsidRPr="00E37296" w14:paraId="6E7995D9" w14:textId="77777777" w:rsidTr="008600A2">
        <w:trPr>
          <w:trHeight w:val="297"/>
        </w:trPr>
        <w:tc>
          <w:tcPr>
            <w:tcW w:w="5934" w:type="dxa"/>
            <w:tcBorders>
              <w:top w:val="single" w:sz="4" w:space="0" w:color="000000"/>
              <w:bottom w:val="single" w:sz="4" w:space="0" w:color="000000"/>
              <w:right w:val="single" w:sz="4" w:space="0" w:color="000000"/>
            </w:tcBorders>
          </w:tcPr>
          <w:p w14:paraId="00F3CE4B" w14:textId="77777777" w:rsidR="00023BC7" w:rsidRPr="00E37296" w:rsidRDefault="00023BC7" w:rsidP="008600A2">
            <w:pPr>
              <w:pStyle w:val="TableParagraph"/>
              <w:spacing w:before="0"/>
              <w:ind w:right="0"/>
              <w:jc w:val="both"/>
            </w:pPr>
            <w:r w:rsidRPr="00FB1767">
              <w:rPr>
                <w:spacing w:val="-2"/>
              </w:rPr>
              <w:t>Servicios contractuales</w:t>
            </w:r>
          </w:p>
        </w:tc>
        <w:tc>
          <w:tcPr>
            <w:tcW w:w="2566" w:type="dxa"/>
            <w:tcBorders>
              <w:top w:val="single" w:sz="4" w:space="0" w:color="000000"/>
              <w:left w:val="single" w:sz="4" w:space="0" w:color="000000"/>
              <w:bottom w:val="single" w:sz="4" w:space="0" w:color="000000"/>
            </w:tcBorders>
          </w:tcPr>
          <w:p w14:paraId="243DB5F1" w14:textId="77777777" w:rsidR="00023BC7" w:rsidRPr="00E37296" w:rsidRDefault="00023BC7" w:rsidP="008600A2">
            <w:pPr>
              <w:pStyle w:val="TableParagraph"/>
              <w:spacing w:before="0"/>
              <w:ind w:right="86"/>
              <w:jc w:val="both"/>
            </w:pPr>
            <w:r w:rsidRPr="00E37296">
              <w:t xml:space="preserve"> 334,248 </w:t>
            </w:r>
          </w:p>
        </w:tc>
      </w:tr>
      <w:tr w:rsidR="00023BC7" w:rsidRPr="00E37296" w14:paraId="6FD85619" w14:textId="77777777" w:rsidTr="008600A2">
        <w:trPr>
          <w:trHeight w:val="297"/>
        </w:trPr>
        <w:tc>
          <w:tcPr>
            <w:tcW w:w="5934" w:type="dxa"/>
            <w:tcBorders>
              <w:top w:val="single" w:sz="4" w:space="0" w:color="000000"/>
              <w:bottom w:val="single" w:sz="4" w:space="0" w:color="000000"/>
              <w:right w:val="single" w:sz="4" w:space="0" w:color="000000"/>
            </w:tcBorders>
          </w:tcPr>
          <w:p w14:paraId="49768D1F" w14:textId="77777777" w:rsidR="00023BC7" w:rsidRPr="00E37296" w:rsidRDefault="00023BC7" w:rsidP="008600A2">
            <w:pPr>
              <w:pStyle w:val="TableParagraph"/>
              <w:spacing w:before="0"/>
              <w:ind w:right="0"/>
              <w:jc w:val="both"/>
            </w:pPr>
            <w:r>
              <w:rPr>
                <w:spacing w:val="-2"/>
              </w:rPr>
              <w:t>Costes de operación</w:t>
            </w:r>
          </w:p>
        </w:tc>
        <w:tc>
          <w:tcPr>
            <w:tcW w:w="2566" w:type="dxa"/>
            <w:tcBorders>
              <w:top w:val="single" w:sz="4" w:space="0" w:color="000000"/>
              <w:left w:val="single" w:sz="4" w:space="0" w:color="000000"/>
              <w:bottom w:val="single" w:sz="4" w:space="0" w:color="000000"/>
            </w:tcBorders>
          </w:tcPr>
          <w:p w14:paraId="6410B40E" w14:textId="77777777" w:rsidR="00023BC7" w:rsidRPr="00E37296" w:rsidRDefault="00023BC7" w:rsidP="008600A2">
            <w:pPr>
              <w:pStyle w:val="TableParagraph"/>
              <w:spacing w:before="0"/>
              <w:ind w:right="88"/>
              <w:jc w:val="both"/>
            </w:pPr>
            <w:r w:rsidRPr="00E37296">
              <w:t xml:space="preserve"> 353,570 </w:t>
            </w:r>
          </w:p>
        </w:tc>
      </w:tr>
      <w:tr w:rsidR="00023BC7" w:rsidRPr="00E37296" w14:paraId="266283DF" w14:textId="77777777" w:rsidTr="008600A2">
        <w:trPr>
          <w:trHeight w:val="297"/>
        </w:trPr>
        <w:tc>
          <w:tcPr>
            <w:tcW w:w="5934" w:type="dxa"/>
            <w:tcBorders>
              <w:top w:val="single" w:sz="4" w:space="0" w:color="000000"/>
              <w:bottom w:val="single" w:sz="4" w:space="0" w:color="000000"/>
              <w:right w:val="single" w:sz="4" w:space="0" w:color="000000"/>
            </w:tcBorders>
          </w:tcPr>
          <w:p w14:paraId="596BF531" w14:textId="77777777" w:rsidR="00023BC7" w:rsidRPr="00E37296" w:rsidRDefault="00023BC7" w:rsidP="008600A2">
            <w:pPr>
              <w:pStyle w:val="TableParagraph"/>
              <w:spacing w:before="0"/>
              <w:ind w:right="0"/>
              <w:jc w:val="both"/>
            </w:pPr>
            <w:r w:rsidRPr="00C30134">
              <w:rPr>
                <w:spacing w:val="-2"/>
              </w:rPr>
              <w:t>Suministros</w:t>
            </w:r>
          </w:p>
        </w:tc>
        <w:tc>
          <w:tcPr>
            <w:tcW w:w="2566" w:type="dxa"/>
            <w:tcBorders>
              <w:top w:val="single" w:sz="4" w:space="0" w:color="000000"/>
              <w:left w:val="single" w:sz="4" w:space="0" w:color="000000"/>
              <w:bottom w:val="single" w:sz="4" w:space="0" w:color="000000"/>
            </w:tcBorders>
          </w:tcPr>
          <w:p w14:paraId="1DAA393C" w14:textId="77777777" w:rsidR="00023BC7" w:rsidRPr="00E37296" w:rsidRDefault="00023BC7" w:rsidP="008600A2">
            <w:pPr>
              <w:pStyle w:val="TableParagraph"/>
              <w:spacing w:before="0"/>
              <w:ind w:right="86"/>
              <w:jc w:val="both"/>
            </w:pPr>
            <w:r w:rsidRPr="00E37296">
              <w:t xml:space="preserve"> 19,214 </w:t>
            </w:r>
          </w:p>
        </w:tc>
      </w:tr>
      <w:tr w:rsidR="00023BC7" w:rsidRPr="00E37296" w14:paraId="2071AB10" w14:textId="77777777" w:rsidTr="008600A2">
        <w:trPr>
          <w:trHeight w:val="297"/>
        </w:trPr>
        <w:tc>
          <w:tcPr>
            <w:tcW w:w="5934" w:type="dxa"/>
            <w:tcBorders>
              <w:top w:val="single" w:sz="4" w:space="0" w:color="000000"/>
              <w:bottom w:val="single" w:sz="4" w:space="0" w:color="000000"/>
              <w:right w:val="single" w:sz="4" w:space="0" w:color="000000"/>
            </w:tcBorders>
          </w:tcPr>
          <w:p w14:paraId="2C69CA05" w14:textId="77777777" w:rsidR="00023BC7" w:rsidRPr="00E37296" w:rsidRDefault="00023BC7" w:rsidP="008600A2">
            <w:pPr>
              <w:pStyle w:val="TableParagraph"/>
              <w:spacing w:before="0"/>
              <w:ind w:right="0"/>
              <w:jc w:val="both"/>
            </w:pPr>
            <w:r w:rsidRPr="00C30134">
              <w:rPr>
                <w:spacing w:val="-2"/>
              </w:rPr>
              <w:t>Equipamiento</w:t>
            </w:r>
          </w:p>
        </w:tc>
        <w:tc>
          <w:tcPr>
            <w:tcW w:w="2566" w:type="dxa"/>
            <w:tcBorders>
              <w:top w:val="single" w:sz="4" w:space="0" w:color="000000"/>
              <w:left w:val="single" w:sz="4" w:space="0" w:color="000000"/>
              <w:bottom w:val="single" w:sz="4" w:space="0" w:color="000000"/>
            </w:tcBorders>
          </w:tcPr>
          <w:p w14:paraId="7177EAA5" w14:textId="77777777" w:rsidR="00023BC7" w:rsidRPr="00E37296" w:rsidRDefault="00023BC7" w:rsidP="008600A2">
            <w:pPr>
              <w:pStyle w:val="TableParagraph"/>
              <w:spacing w:before="0"/>
              <w:ind w:right="86"/>
              <w:jc w:val="both"/>
            </w:pPr>
            <w:r w:rsidRPr="00E37296">
              <w:t xml:space="preserve"> 34,784 </w:t>
            </w:r>
          </w:p>
        </w:tc>
      </w:tr>
      <w:tr w:rsidR="00023BC7" w:rsidRPr="00E37296" w14:paraId="2030CBFC" w14:textId="77777777" w:rsidTr="008600A2">
        <w:trPr>
          <w:trHeight w:val="297"/>
        </w:trPr>
        <w:tc>
          <w:tcPr>
            <w:tcW w:w="5934" w:type="dxa"/>
            <w:tcBorders>
              <w:top w:val="single" w:sz="4" w:space="0" w:color="000000"/>
              <w:bottom w:val="single" w:sz="4" w:space="0" w:color="000000"/>
              <w:right w:val="single" w:sz="4" w:space="0" w:color="000000"/>
            </w:tcBorders>
          </w:tcPr>
          <w:p w14:paraId="43BC46AD" w14:textId="77777777" w:rsidR="00023BC7" w:rsidRPr="00E37296" w:rsidRDefault="00023BC7" w:rsidP="008600A2">
            <w:pPr>
              <w:pStyle w:val="TableParagraph"/>
              <w:spacing w:before="0"/>
              <w:ind w:right="0"/>
              <w:jc w:val="both"/>
            </w:pPr>
            <w:r w:rsidRPr="00C30134">
              <w:rPr>
                <w:spacing w:val="-2"/>
              </w:rPr>
              <w:t>Viajes</w:t>
            </w:r>
          </w:p>
        </w:tc>
        <w:tc>
          <w:tcPr>
            <w:tcW w:w="2566" w:type="dxa"/>
            <w:tcBorders>
              <w:top w:val="single" w:sz="4" w:space="0" w:color="000000"/>
              <w:left w:val="single" w:sz="4" w:space="0" w:color="000000"/>
              <w:bottom w:val="single" w:sz="4" w:space="0" w:color="000000"/>
            </w:tcBorders>
          </w:tcPr>
          <w:p w14:paraId="28F027BA" w14:textId="77777777" w:rsidR="00023BC7" w:rsidRPr="00E37296" w:rsidRDefault="00023BC7" w:rsidP="008600A2">
            <w:pPr>
              <w:pStyle w:val="TableParagraph"/>
              <w:spacing w:before="0"/>
              <w:ind w:right="86"/>
              <w:jc w:val="both"/>
            </w:pPr>
            <w:r w:rsidRPr="00E37296">
              <w:t xml:space="preserve"> 211,018 </w:t>
            </w:r>
          </w:p>
        </w:tc>
      </w:tr>
      <w:tr w:rsidR="00023BC7" w:rsidRPr="00E37296" w14:paraId="24F0978D" w14:textId="77777777" w:rsidTr="008600A2">
        <w:trPr>
          <w:trHeight w:val="297"/>
        </w:trPr>
        <w:tc>
          <w:tcPr>
            <w:tcW w:w="5934" w:type="dxa"/>
            <w:tcBorders>
              <w:top w:val="single" w:sz="4" w:space="0" w:color="000000"/>
              <w:bottom w:val="single" w:sz="4" w:space="0" w:color="000000"/>
              <w:right w:val="single" w:sz="4" w:space="0" w:color="000000"/>
            </w:tcBorders>
          </w:tcPr>
          <w:p w14:paraId="0B0E4BFB" w14:textId="77777777" w:rsidR="00023BC7" w:rsidRPr="001D779C" w:rsidRDefault="00023BC7" w:rsidP="008600A2">
            <w:pPr>
              <w:pStyle w:val="TableParagraph"/>
              <w:spacing w:before="0"/>
              <w:ind w:right="0"/>
              <w:jc w:val="both"/>
              <w:rPr>
                <w:lang w:val="es-ES"/>
              </w:rPr>
            </w:pPr>
            <w:r w:rsidRPr="001D779C">
              <w:rPr>
                <w:lang w:val="es-ES"/>
              </w:rPr>
              <w:t>Gastos de apoyo al programa</w:t>
            </w:r>
          </w:p>
        </w:tc>
        <w:tc>
          <w:tcPr>
            <w:tcW w:w="2566" w:type="dxa"/>
            <w:tcBorders>
              <w:top w:val="single" w:sz="4" w:space="0" w:color="000000"/>
              <w:left w:val="single" w:sz="4" w:space="0" w:color="000000"/>
              <w:bottom w:val="single" w:sz="4" w:space="0" w:color="000000"/>
            </w:tcBorders>
          </w:tcPr>
          <w:p w14:paraId="3E858FF6" w14:textId="77777777" w:rsidR="00023BC7" w:rsidRPr="00E37296" w:rsidRDefault="00023BC7" w:rsidP="008600A2">
            <w:pPr>
              <w:pStyle w:val="TableParagraph"/>
              <w:spacing w:before="0"/>
              <w:ind w:right="88"/>
              <w:jc w:val="both"/>
            </w:pPr>
            <w:r w:rsidRPr="001D779C">
              <w:rPr>
                <w:lang w:val="es-ES"/>
              </w:rPr>
              <w:t xml:space="preserve"> </w:t>
            </w:r>
            <w:r w:rsidRPr="00E37296">
              <w:t xml:space="preserve">1,006,838 </w:t>
            </w:r>
          </w:p>
        </w:tc>
      </w:tr>
      <w:tr w:rsidR="00023BC7" w:rsidRPr="00E37296" w14:paraId="244EF426" w14:textId="77777777" w:rsidTr="008600A2">
        <w:trPr>
          <w:trHeight w:val="443"/>
        </w:trPr>
        <w:tc>
          <w:tcPr>
            <w:tcW w:w="5934" w:type="dxa"/>
            <w:tcBorders>
              <w:top w:val="single" w:sz="4" w:space="0" w:color="000000"/>
              <w:right w:val="single" w:sz="4" w:space="0" w:color="000000"/>
            </w:tcBorders>
            <w:shd w:val="clear" w:color="auto" w:fill="D9E1F3"/>
          </w:tcPr>
          <w:p w14:paraId="3CF2C521" w14:textId="77777777" w:rsidR="00023BC7" w:rsidRPr="001D779C" w:rsidRDefault="00023BC7" w:rsidP="008600A2">
            <w:pPr>
              <w:pStyle w:val="TableParagraph"/>
              <w:spacing w:before="0"/>
              <w:ind w:right="0"/>
              <w:jc w:val="both"/>
              <w:rPr>
                <w:b/>
                <w:lang w:val="es-ES"/>
              </w:rPr>
            </w:pPr>
            <w:r w:rsidRPr="001D779C">
              <w:rPr>
                <w:b/>
                <w:lang w:val="es-ES"/>
              </w:rPr>
              <w:t>Total general a compartir por las Partes</w:t>
            </w:r>
          </w:p>
        </w:tc>
        <w:tc>
          <w:tcPr>
            <w:tcW w:w="2566" w:type="dxa"/>
            <w:tcBorders>
              <w:top w:val="single" w:sz="4" w:space="0" w:color="000000"/>
              <w:left w:val="single" w:sz="4" w:space="0" w:color="000000"/>
            </w:tcBorders>
            <w:shd w:val="clear" w:color="auto" w:fill="D9E1F3"/>
          </w:tcPr>
          <w:p w14:paraId="488152B6" w14:textId="77777777" w:rsidR="00023BC7" w:rsidRPr="00E37296" w:rsidRDefault="00023BC7" w:rsidP="008600A2">
            <w:pPr>
              <w:pStyle w:val="TableParagraph"/>
              <w:spacing w:before="0"/>
              <w:ind w:right="86"/>
              <w:jc w:val="both"/>
              <w:rPr>
                <w:b/>
                <w:bCs/>
              </w:rPr>
            </w:pPr>
            <w:r w:rsidRPr="001D779C">
              <w:rPr>
                <w:b/>
                <w:bCs/>
                <w:lang w:val="es-ES"/>
              </w:rPr>
              <w:t xml:space="preserve"> </w:t>
            </w:r>
            <w:r w:rsidRPr="00E37296">
              <w:rPr>
                <w:b/>
                <w:bCs/>
              </w:rPr>
              <w:t xml:space="preserve">8,751,748 </w:t>
            </w:r>
          </w:p>
        </w:tc>
      </w:tr>
    </w:tbl>
    <w:p w14:paraId="182FDF70" w14:textId="77777777" w:rsidR="00B5514A" w:rsidRDefault="00B5514A" w:rsidP="00CA0A38">
      <w:pPr>
        <w:widowControl w:val="0"/>
        <w:autoSpaceDE w:val="0"/>
        <w:autoSpaceDN w:val="0"/>
        <w:spacing w:after="0" w:line="240" w:lineRule="auto"/>
        <w:jc w:val="both"/>
        <w:rPr>
          <w:rFonts w:eastAsia="Arial" w:cs="Arial"/>
          <w:lang w:val="es-ES"/>
        </w:rPr>
      </w:pPr>
    </w:p>
    <w:p w14:paraId="00C27557" w14:textId="77777777" w:rsidR="00CC3B53" w:rsidRPr="00E718C4" w:rsidRDefault="00CC3B53" w:rsidP="00CC3B53">
      <w:pPr>
        <w:pStyle w:val="Heading1"/>
        <w:ind w:left="0"/>
        <w:jc w:val="both"/>
        <w:rPr>
          <w:lang w:val="es-ES"/>
        </w:rPr>
      </w:pPr>
      <w:r w:rsidRPr="00E718C4">
        <w:rPr>
          <w:lang w:val="es-ES"/>
        </w:rPr>
        <w:t>Escenario 2: crecimiento real cero con respecto al presupuesto 2021-2023</w:t>
      </w:r>
    </w:p>
    <w:p w14:paraId="3F1C2E59" w14:textId="77777777" w:rsidR="00CC3B53" w:rsidRPr="00E718C4" w:rsidRDefault="00CC3B53" w:rsidP="00CC3B53">
      <w:pPr>
        <w:pStyle w:val="BodyText"/>
        <w:jc w:val="both"/>
        <w:rPr>
          <w:b/>
          <w:lang w:val="es-ES"/>
        </w:rPr>
      </w:pPr>
    </w:p>
    <w:p w14:paraId="372AD876" w14:textId="77777777" w:rsidR="00CC3B53" w:rsidRPr="00E718C4" w:rsidRDefault="00CC3B53" w:rsidP="00CC3B53">
      <w:pPr>
        <w:pStyle w:val="ListParagraph"/>
        <w:widowControl w:val="0"/>
        <w:numPr>
          <w:ilvl w:val="0"/>
          <w:numId w:val="24"/>
        </w:numPr>
        <w:autoSpaceDE w:val="0"/>
        <w:autoSpaceDN w:val="0"/>
        <w:spacing w:after="0" w:line="240" w:lineRule="auto"/>
        <w:ind w:left="567" w:right="-42"/>
        <w:contextualSpacing w:val="0"/>
        <w:jc w:val="both"/>
        <w:rPr>
          <w:lang w:val="es-ES" w:eastAsia="en-GB"/>
        </w:rPr>
      </w:pPr>
      <w:r w:rsidRPr="00E718C4">
        <w:rPr>
          <w:lang w:val="es-ES" w:eastAsia="es-ES"/>
        </w:rPr>
        <w:t>En el Escenario 2, se prevé un incremento del 11,56 % con respecto al presupuesto aprobado para el trienio 2021</w:t>
      </w:r>
      <w:r w:rsidRPr="00E718C4">
        <w:rPr>
          <w:i/>
          <w:lang w:val="es-ES"/>
        </w:rPr>
        <w:t>–</w:t>
      </w:r>
      <w:r w:rsidRPr="00E718C4">
        <w:rPr>
          <w:lang w:val="es-ES" w:eastAsia="es-ES"/>
        </w:rPr>
        <w:t xml:space="preserve">2023. Todos los puestos de personal estatutario cubiertos en la actualidad (o en proceso de contratación) se mantendrían con el coste salarial estándar de la COP13, con un aumento del 2 %, y se aplicaría una tasa de inflación incremental del 2 % a todas las partidas presupuestarias, tal y como se aprobó en la COP13. </w:t>
      </w:r>
    </w:p>
    <w:p w14:paraId="01BEFACA" w14:textId="77777777" w:rsidR="00CC3B53" w:rsidRPr="00E718C4" w:rsidRDefault="00CC3B53" w:rsidP="00CC3B53">
      <w:pPr>
        <w:pStyle w:val="ListParagraph"/>
        <w:ind w:left="567" w:right="-42"/>
        <w:rPr>
          <w:lang w:val="es-ES" w:eastAsia="en-GB"/>
        </w:rPr>
      </w:pPr>
    </w:p>
    <w:p w14:paraId="16A7DBA5" w14:textId="77777777" w:rsidR="00CC3B53" w:rsidRPr="00E718C4" w:rsidRDefault="00CC3B53" w:rsidP="00CC3B53">
      <w:pPr>
        <w:pStyle w:val="ListParagraph"/>
        <w:widowControl w:val="0"/>
        <w:numPr>
          <w:ilvl w:val="0"/>
          <w:numId w:val="24"/>
        </w:numPr>
        <w:autoSpaceDE w:val="0"/>
        <w:autoSpaceDN w:val="0"/>
        <w:spacing w:after="0" w:line="240" w:lineRule="auto"/>
        <w:ind w:left="567" w:right="-42"/>
        <w:contextualSpacing w:val="0"/>
        <w:jc w:val="both"/>
        <w:rPr>
          <w:lang w:val="es-ES" w:eastAsia="en-GB"/>
        </w:rPr>
      </w:pPr>
      <w:r w:rsidRPr="00E718C4">
        <w:rPr>
          <w:lang w:val="es-ES" w:eastAsia="es-ES"/>
        </w:rPr>
        <w:t xml:space="preserve">Este escenario también incluye el coste de Umoja: 153 020 € durante el trienio o 50 000 € anuales. El coste se basa en el número de miembros del personal de la Secretaría multiplicado por el coste estimado de Umoja por persona (2500 €). </w:t>
      </w:r>
    </w:p>
    <w:p w14:paraId="40A20EA1" w14:textId="77777777" w:rsidR="00CC3B53" w:rsidRPr="00E718C4" w:rsidRDefault="00CC3B53" w:rsidP="00CC3B53">
      <w:pPr>
        <w:pStyle w:val="ListParagraph"/>
        <w:ind w:left="567" w:right="-42"/>
        <w:rPr>
          <w:lang w:val="es-ES" w:eastAsia="en-GB"/>
        </w:rPr>
      </w:pPr>
    </w:p>
    <w:p w14:paraId="2417FE1F" w14:textId="77777777" w:rsidR="00CC3B53" w:rsidRPr="00E718C4" w:rsidRDefault="00CC3B53" w:rsidP="00CC3B53">
      <w:pPr>
        <w:pStyle w:val="ListParagraph"/>
        <w:widowControl w:val="0"/>
        <w:numPr>
          <w:ilvl w:val="0"/>
          <w:numId w:val="24"/>
        </w:numPr>
        <w:autoSpaceDE w:val="0"/>
        <w:autoSpaceDN w:val="0"/>
        <w:spacing w:after="0" w:line="240" w:lineRule="auto"/>
        <w:ind w:left="567" w:right="-42"/>
        <w:contextualSpacing w:val="0"/>
        <w:jc w:val="both"/>
        <w:rPr>
          <w:lang w:val="es-ES" w:eastAsia="en-GB"/>
        </w:rPr>
      </w:pPr>
      <w:r w:rsidRPr="00E718C4">
        <w:rPr>
          <w:lang w:val="es-ES" w:eastAsia="es-ES"/>
        </w:rPr>
        <w:t>Por último, el Escenario 2 incluye los costes actualizados de las reuniones de los órganos de gobierno, que han aumentado debido al incremento del coste de los viajes y de la organización logística, como la seguridad y el catering que se ofrecen en la sede de las Naciones Unidas en Bonn. El aumento total del coste de las reuniones del StC asciende a 11 371 € durante el trienio. Además, tal y como solicitó el Comité del período de sesiones en su 6.</w:t>
      </w:r>
      <w:r w:rsidRPr="00E718C4">
        <w:rPr>
          <w:vertAlign w:val="superscript"/>
          <w:lang w:val="es-ES" w:eastAsia="es-ES"/>
        </w:rPr>
        <w:t>a</w:t>
      </w:r>
      <w:r w:rsidRPr="00E718C4">
        <w:rPr>
          <w:lang w:val="es-ES" w:eastAsia="es-ES"/>
        </w:rPr>
        <w:t xml:space="preserve"> reunión, la Secretaría ha preparado una evaluación del coste de aumentar en cinco el número de consejeros designados por las Partes (un miembro por región), tal y como se recoge en el documento de la COP14 UNEP/CMS/COP14/Doc15.1. Si la COP14 está de acuerdo con esta propuesta, el incremento total del coste de las reuniones del ScC-Sc para el trienio ascenderá a 59 321 €. </w:t>
      </w:r>
    </w:p>
    <w:p w14:paraId="477CB79D" w14:textId="77777777" w:rsidR="00CC3B53" w:rsidRPr="00E718C4" w:rsidRDefault="00CC3B53" w:rsidP="00CC3B53">
      <w:pPr>
        <w:pStyle w:val="BodyText"/>
        <w:jc w:val="both"/>
        <w:rPr>
          <w:sz w:val="21"/>
          <w:lang w:val="es-ES"/>
        </w:rPr>
      </w:pPr>
    </w:p>
    <w:tbl>
      <w:tblPr>
        <w:tblW w:w="8623" w:type="dxa"/>
        <w:tblInd w:w="5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064"/>
        <w:gridCol w:w="2559"/>
      </w:tblGrid>
      <w:tr w:rsidR="0072646D" w:rsidRPr="00396A3D" w14:paraId="786878E0" w14:textId="77777777" w:rsidTr="008600A2">
        <w:trPr>
          <w:trHeight w:val="678"/>
        </w:trPr>
        <w:tc>
          <w:tcPr>
            <w:tcW w:w="8623" w:type="dxa"/>
            <w:gridSpan w:val="2"/>
            <w:shd w:val="clear" w:color="auto" w:fill="D9E1F3"/>
          </w:tcPr>
          <w:p w14:paraId="712A2208" w14:textId="77777777" w:rsidR="0072646D" w:rsidRPr="00A57846" w:rsidRDefault="0072646D" w:rsidP="008600A2">
            <w:pPr>
              <w:pStyle w:val="TableParagraph"/>
              <w:spacing w:before="0"/>
              <w:ind w:left="107" w:right="0"/>
              <w:jc w:val="both"/>
              <w:rPr>
                <w:b/>
                <w:lang w:val="es-ES"/>
              </w:rPr>
            </w:pPr>
            <w:r w:rsidRPr="00A57846">
              <w:rPr>
                <w:b/>
                <w:lang w:val="es-ES"/>
              </w:rPr>
              <w:t>Costes totales por categoría para el periodo 2024-2026 (en euros)</w:t>
            </w:r>
          </w:p>
        </w:tc>
      </w:tr>
      <w:tr w:rsidR="0072646D" w:rsidRPr="002C19B2" w14:paraId="70569029" w14:textId="77777777" w:rsidTr="008600A2">
        <w:trPr>
          <w:trHeight w:val="341"/>
        </w:trPr>
        <w:tc>
          <w:tcPr>
            <w:tcW w:w="6064" w:type="dxa"/>
            <w:tcBorders>
              <w:bottom w:val="single" w:sz="4" w:space="0" w:color="000000"/>
              <w:right w:val="single" w:sz="4" w:space="0" w:color="000000"/>
            </w:tcBorders>
          </w:tcPr>
          <w:p w14:paraId="5AF21FD6" w14:textId="77777777" w:rsidR="0072646D" w:rsidRPr="002C19B2" w:rsidRDefault="0072646D" w:rsidP="008600A2">
            <w:pPr>
              <w:pStyle w:val="TableParagraph"/>
              <w:spacing w:before="0"/>
              <w:ind w:left="107" w:right="0"/>
              <w:jc w:val="both"/>
            </w:pPr>
            <w:r w:rsidRPr="00427CAB">
              <w:t>Personal</w:t>
            </w:r>
          </w:p>
        </w:tc>
        <w:tc>
          <w:tcPr>
            <w:tcW w:w="2559" w:type="dxa"/>
            <w:tcBorders>
              <w:left w:val="single" w:sz="4" w:space="0" w:color="000000"/>
              <w:bottom w:val="single" w:sz="4" w:space="0" w:color="000000"/>
            </w:tcBorders>
          </w:tcPr>
          <w:p w14:paraId="15BC3554" w14:textId="77777777" w:rsidR="0072646D" w:rsidRPr="002C19B2" w:rsidRDefault="0072646D" w:rsidP="008600A2">
            <w:pPr>
              <w:pStyle w:val="TableParagraph"/>
              <w:spacing w:before="0"/>
              <w:ind w:right="88"/>
              <w:jc w:val="both"/>
            </w:pPr>
            <w:r w:rsidRPr="002C19B2">
              <w:t xml:space="preserve"> 6,792,077 </w:t>
            </w:r>
          </w:p>
        </w:tc>
      </w:tr>
      <w:tr w:rsidR="0072646D" w:rsidRPr="002C19B2" w14:paraId="7F62E06B" w14:textId="77777777" w:rsidTr="008600A2">
        <w:trPr>
          <w:trHeight w:val="345"/>
        </w:trPr>
        <w:tc>
          <w:tcPr>
            <w:tcW w:w="6064" w:type="dxa"/>
            <w:tcBorders>
              <w:top w:val="single" w:sz="4" w:space="0" w:color="000000"/>
              <w:bottom w:val="single" w:sz="4" w:space="0" w:color="000000"/>
              <w:right w:val="single" w:sz="4" w:space="0" w:color="000000"/>
            </w:tcBorders>
          </w:tcPr>
          <w:p w14:paraId="43E55B06" w14:textId="77777777" w:rsidR="0072646D" w:rsidRPr="002C19B2" w:rsidRDefault="0072646D" w:rsidP="008600A2">
            <w:pPr>
              <w:pStyle w:val="TableParagraph"/>
              <w:spacing w:before="0"/>
              <w:ind w:left="107" w:right="0"/>
              <w:jc w:val="both"/>
              <w:rPr>
                <w:color w:val="FF0000"/>
              </w:rPr>
            </w:pPr>
            <w:r w:rsidRPr="00427CAB">
              <w:t>Servicios contractuales</w:t>
            </w:r>
          </w:p>
        </w:tc>
        <w:tc>
          <w:tcPr>
            <w:tcW w:w="2559" w:type="dxa"/>
            <w:tcBorders>
              <w:top w:val="single" w:sz="4" w:space="0" w:color="000000"/>
              <w:left w:val="single" w:sz="4" w:space="0" w:color="000000"/>
              <w:bottom w:val="single" w:sz="4" w:space="0" w:color="000000"/>
            </w:tcBorders>
          </w:tcPr>
          <w:p w14:paraId="50E1BED5" w14:textId="77777777" w:rsidR="0072646D" w:rsidRPr="002C19B2" w:rsidRDefault="0072646D" w:rsidP="008600A2">
            <w:pPr>
              <w:pStyle w:val="TableParagraph"/>
              <w:spacing w:before="0"/>
              <w:ind w:right="91"/>
              <w:jc w:val="both"/>
              <w:rPr>
                <w:color w:val="FF0000"/>
              </w:rPr>
            </w:pPr>
            <w:r w:rsidRPr="002C19B2">
              <w:t xml:space="preserve"> 700,522 </w:t>
            </w:r>
          </w:p>
        </w:tc>
      </w:tr>
      <w:tr w:rsidR="0072646D" w:rsidRPr="002C19B2" w14:paraId="46667CF3" w14:textId="77777777" w:rsidTr="008600A2">
        <w:trPr>
          <w:trHeight w:val="345"/>
        </w:trPr>
        <w:tc>
          <w:tcPr>
            <w:tcW w:w="6064" w:type="dxa"/>
            <w:tcBorders>
              <w:top w:val="single" w:sz="4" w:space="0" w:color="000000"/>
              <w:bottom w:val="single" w:sz="4" w:space="0" w:color="000000"/>
              <w:right w:val="single" w:sz="4" w:space="0" w:color="000000"/>
            </w:tcBorders>
          </w:tcPr>
          <w:p w14:paraId="0F48706B" w14:textId="77777777" w:rsidR="0072646D" w:rsidRPr="002C19B2" w:rsidRDefault="0072646D" w:rsidP="008600A2">
            <w:pPr>
              <w:pStyle w:val="TableParagraph"/>
              <w:spacing w:before="0"/>
              <w:ind w:left="107" w:right="0"/>
              <w:jc w:val="both"/>
              <w:rPr>
                <w:color w:val="FF0000"/>
              </w:rPr>
            </w:pPr>
            <w:r w:rsidRPr="00C1261F">
              <w:rPr>
                <w:color w:val="FF0000"/>
              </w:rPr>
              <w:t>Costes de operación</w:t>
            </w:r>
          </w:p>
        </w:tc>
        <w:tc>
          <w:tcPr>
            <w:tcW w:w="2559" w:type="dxa"/>
            <w:tcBorders>
              <w:top w:val="single" w:sz="4" w:space="0" w:color="000000"/>
              <w:left w:val="single" w:sz="4" w:space="0" w:color="000000"/>
              <w:bottom w:val="single" w:sz="4" w:space="0" w:color="000000"/>
            </w:tcBorders>
          </w:tcPr>
          <w:p w14:paraId="690D82F9" w14:textId="77777777" w:rsidR="0072646D" w:rsidRPr="002C19B2" w:rsidRDefault="0072646D" w:rsidP="008600A2">
            <w:pPr>
              <w:pStyle w:val="TableParagraph"/>
              <w:spacing w:before="0"/>
              <w:ind w:right="91"/>
              <w:jc w:val="both"/>
              <w:rPr>
                <w:color w:val="FF0000"/>
              </w:rPr>
            </w:pPr>
            <w:r w:rsidRPr="002C19B2">
              <w:rPr>
                <w:color w:val="FF0000"/>
              </w:rPr>
              <w:t xml:space="preserve"> 570,357 </w:t>
            </w:r>
          </w:p>
        </w:tc>
      </w:tr>
      <w:tr w:rsidR="0072646D" w:rsidRPr="002C19B2" w14:paraId="2C3FA3CC" w14:textId="77777777" w:rsidTr="008600A2">
        <w:trPr>
          <w:trHeight w:val="345"/>
        </w:trPr>
        <w:tc>
          <w:tcPr>
            <w:tcW w:w="6064" w:type="dxa"/>
            <w:tcBorders>
              <w:top w:val="single" w:sz="4" w:space="0" w:color="000000"/>
              <w:bottom w:val="single" w:sz="4" w:space="0" w:color="000000"/>
              <w:right w:val="single" w:sz="4" w:space="0" w:color="000000"/>
            </w:tcBorders>
          </w:tcPr>
          <w:p w14:paraId="64D43EBB" w14:textId="77777777" w:rsidR="0072646D" w:rsidRPr="002C19B2" w:rsidRDefault="0072646D" w:rsidP="008600A2">
            <w:pPr>
              <w:pStyle w:val="TableParagraph"/>
              <w:spacing w:before="0"/>
              <w:ind w:left="107" w:right="0"/>
              <w:jc w:val="both"/>
            </w:pPr>
            <w:r w:rsidRPr="00427CAB">
              <w:t>Suministros</w:t>
            </w:r>
          </w:p>
        </w:tc>
        <w:tc>
          <w:tcPr>
            <w:tcW w:w="2559" w:type="dxa"/>
            <w:tcBorders>
              <w:top w:val="single" w:sz="4" w:space="0" w:color="000000"/>
              <w:left w:val="single" w:sz="4" w:space="0" w:color="000000"/>
              <w:bottom w:val="single" w:sz="4" w:space="0" w:color="000000"/>
            </w:tcBorders>
          </w:tcPr>
          <w:p w14:paraId="3D777E93" w14:textId="77777777" w:rsidR="0072646D" w:rsidRPr="002C19B2" w:rsidRDefault="0072646D" w:rsidP="008600A2">
            <w:pPr>
              <w:pStyle w:val="TableParagraph"/>
              <w:spacing w:before="0"/>
              <w:ind w:right="88"/>
              <w:jc w:val="both"/>
            </w:pPr>
            <w:r w:rsidRPr="002C19B2">
              <w:t xml:space="preserve"> 20,390 </w:t>
            </w:r>
          </w:p>
        </w:tc>
      </w:tr>
      <w:tr w:rsidR="0072646D" w:rsidRPr="002C19B2" w14:paraId="1677867D" w14:textId="77777777" w:rsidTr="008600A2">
        <w:trPr>
          <w:trHeight w:val="341"/>
        </w:trPr>
        <w:tc>
          <w:tcPr>
            <w:tcW w:w="6064" w:type="dxa"/>
            <w:tcBorders>
              <w:top w:val="single" w:sz="4" w:space="0" w:color="000000"/>
              <w:bottom w:val="single" w:sz="4" w:space="0" w:color="000000"/>
              <w:right w:val="single" w:sz="4" w:space="0" w:color="000000"/>
            </w:tcBorders>
          </w:tcPr>
          <w:p w14:paraId="207B8D26" w14:textId="77777777" w:rsidR="0072646D" w:rsidRPr="002C19B2" w:rsidRDefault="0072646D" w:rsidP="008600A2">
            <w:pPr>
              <w:pStyle w:val="TableParagraph"/>
              <w:spacing w:before="0"/>
              <w:ind w:left="107" w:right="0"/>
              <w:jc w:val="both"/>
            </w:pPr>
            <w:r w:rsidRPr="00427CAB">
              <w:t>Equipamiento</w:t>
            </w:r>
          </w:p>
        </w:tc>
        <w:tc>
          <w:tcPr>
            <w:tcW w:w="2559" w:type="dxa"/>
            <w:tcBorders>
              <w:top w:val="single" w:sz="4" w:space="0" w:color="000000"/>
              <w:left w:val="single" w:sz="4" w:space="0" w:color="000000"/>
              <w:bottom w:val="single" w:sz="4" w:space="0" w:color="000000"/>
            </w:tcBorders>
          </w:tcPr>
          <w:p w14:paraId="3EE29B95" w14:textId="77777777" w:rsidR="0072646D" w:rsidRPr="002C19B2" w:rsidRDefault="0072646D" w:rsidP="008600A2">
            <w:pPr>
              <w:pStyle w:val="TableParagraph"/>
              <w:spacing w:before="0"/>
              <w:ind w:right="88"/>
              <w:jc w:val="both"/>
            </w:pPr>
            <w:r w:rsidRPr="002C19B2">
              <w:t xml:space="preserve"> 36,913 </w:t>
            </w:r>
          </w:p>
        </w:tc>
      </w:tr>
      <w:tr w:rsidR="0072646D" w:rsidRPr="002C19B2" w14:paraId="63683632" w14:textId="77777777" w:rsidTr="008600A2">
        <w:trPr>
          <w:trHeight w:val="345"/>
        </w:trPr>
        <w:tc>
          <w:tcPr>
            <w:tcW w:w="6064" w:type="dxa"/>
            <w:tcBorders>
              <w:top w:val="single" w:sz="4" w:space="0" w:color="000000"/>
              <w:bottom w:val="single" w:sz="4" w:space="0" w:color="000000"/>
              <w:right w:val="single" w:sz="4" w:space="0" w:color="000000"/>
            </w:tcBorders>
          </w:tcPr>
          <w:p w14:paraId="026F1758" w14:textId="77777777" w:rsidR="0072646D" w:rsidRPr="002C19B2" w:rsidRDefault="0072646D" w:rsidP="008600A2">
            <w:pPr>
              <w:pStyle w:val="TableParagraph"/>
              <w:spacing w:before="0"/>
              <w:ind w:left="107" w:right="0"/>
              <w:jc w:val="both"/>
              <w:rPr>
                <w:color w:val="FF0000"/>
              </w:rPr>
            </w:pPr>
            <w:r w:rsidRPr="00C1261F">
              <w:rPr>
                <w:color w:val="FF0000"/>
              </w:rPr>
              <w:t>Viajes</w:t>
            </w:r>
          </w:p>
        </w:tc>
        <w:tc>
          <w:tcPr>
            <w:tcW w:w="2559" w:type="dxa"/>
            <w:tcBorders>
              <w:top w:val="single" w:sz="4" w:space="0" w:color="000000"/>
              <w:left w:val="single" w:sz="4" w:space="0" w:color="000000"/>
              <w:bottom w:val="single" w:sz="4" w:space="0" w:color="000000"/>
            </w:tcBorders>
          </w:tcPr>
          <w:p w14:paraId="7ADF4BB4" w14:textId="77777777" w:rsidR="0072646D" w:rsidRPr="002C19B2" w:rsidRDefault="0072646D" w:rsidP="008600A2">
            <w:pPr>
              <w:pStyle w:val="TableParagraph"/>
              <w:spacing w:before="0"/>
              <w:ind w:right="91"/>
              <w:jc w:val="both"/>
              <w:rPr>
                <w:color w:val="FF0000"/>
              </w:rPr>
            </w:pPr>
            <w:r w:rsidRPr="002C19B2">
              <w:rPr>
                <w:color w:val="FF0000"/>
              </w:rPr>
              <w:t xml:space="preserve"> 519,576 </w:t>
            </w:r>
          </w:p>
        </w:tc>
      </w:tr>
      <w:tr w:rsidR="0072646D" w:rsidRPr="002C19B2" w14:paraId="4D9C0C83" w14:textId="77777777" w:rsidTr="008600A2">
        <w:trPr>
          <w:trHeight w:val="345"/>
        </w:trPr>
        <w:tc>
          <w:tcPr>
            <w:tcW w:w="6064" w:type="dxa"/>
            <w:tcBorders>
              <w:top w:val="single" w:sz="4" w:space="0" w:color="000000"/>
              <w:bottom w:val="single" w:sz="4" w:space="0" w:color="000000"/>
              <w:right w:val="single" w:sz="4" w:space="0" w:color="000000"/>
            </w:tcBorders>
          </w:tcPr>
          <w:p w14:paraId="2FF40C09" w14:textId="77777777" w:rsidR="0072646D" w:rsidRPr="00C1261F" w:rsidRDefault="0072646D" w:rsidP="008600A2">
            <w:pPr>
              <w:pStyle w:val="TableParagraph"/>
              <w:spacing w:before="0"/>
              <w:ind w:left="107" w:right="0"/>
              <w:jc w:val="both"/>
              <w:rPr>
                <w:lang w:val="es-ES"/>
              </w:rPr>
            </w:pPr>
            <w:r w:rsidRPr="00C1261F">
              <w:rPr>
                <w:lang w:val="es-ES"/>
              </w:rPr>
              <w:t>Gastos de apoyo al programa</w:t>
            </w:r>
          </w:p>
        </w:tc>
        <w:tc>
          <w:tcPr>
            <w:tcW w:w="2559" w:type="dxa"/>
            <w:tcBorders>
              <w:top w:val="single" w:sz="4" w:space="0" w:color="000000"/>
              <w:left w:val="single" w:sz="4" w:space="0" w:color="000000"/>
              <w:bottom w:val="single" w:sz="4" w:space="0" w:color="000000"/>
            </w:tcBorders>
          </w:tcPr>
          <w:p w14:paraId="407E7003" w14:textId="77777777" w:rsidR="0072646D" w:rsidRPr="002C19B2" w:rsidRDefault="0072646D" w:rsidP="008600A2">
            <w:pPr>
              <w:pStyle w:val="TableParagraph"/>
              <w:spacing w:before="0"/>
              <w:ind w:right="91"/>
              <w:jc w:val="both"/>
            </w:pPr>
            <w:r w:rsidRPr="00C1261F">
              <w:rPr>
                <w:lang w:val="es-ES"/>
              </w:rPr>
              <w:t xml:space="preserve"> </w:t>
            </w:r>
            <w:r w:rsidRPr="002C19B2">
              <w:t xml:space="preserve">1,123,179 </w:t>
            </w:r>
          </w:p>
        </w:tc>
      </w:tr>
      <w:tr w:rsidR="0072646D" w:rsidRPr="002C19B2" w14:paraId="05FE4681" w14:textId="77777777" w:rsidTr="008600A2">
        <w:trPr>
          <w:trHeight w:val="472"/>
        </w:trPr>
        <w:tc>
          <w:tcPr>
            <w:tcW w:w="6064" w:type="dxa"/>
            <w:tcBorders>
              <w:top w:val="single" w:sz="4" w:space="0" w:color="000000"/>
              <w:right w:val="single" w:sz="4" w:space="0" w:color="000000"/>
            </w:tcBorders>
            <w:shd w:val="clear" w:color="auto" w:fill="D9E1F3"/>
          </w:tcPr>
          <w:p w14:paraId="7698ED3B" w14:textId="77777777" w:rsidR="0072646D" w:rsidRPr="00396BA8" w:rsidRDefault="0072646D" w:rsidP="008600A2">
            <w:pPr>
              <w:pStyle w:val="TableParagraph"/>
              <w:spacing w:before="0"/>
              <w:ind w:left="107" w:right="0"/>
              <w:jc w:val="both"/>
              <w:rPr>
                <w:b/>
                <w:bCs/>
                <w:lang w:val="es-ES"/>
              </w:rPr>
            </w:pPr>
            <w:r w:rsidRPr="00396BA8">
              <w:rPr>
                <w:b/>
                <w:bCs/>
                <w:lang w:val="es-ES"/>
              </w:rPr>
              <w:t>Total general a compartir por las Partes</w:t>
            </w:r>
          </w:p>
        </w:tc>
        <w:tc>
          <w:tcPr>
            <w:tcW w:w="2559" w:type="dxa"/>
            <w:tcBorders>
              <w:top w:val="single" w:sz="4" w:space="0" w:color="000000"/>
              <w:left w:val="single" w:sz="4" w:space="0" w:color="000000"/>
            </w:tcBorders>
            <w:shd w:val="clear" w:color="auto" w:fill="D9E1F3"/>
          </w:tcPr>
          <w:p w14:paraId="63D1E2FF" w14:textId="77777777" w:rsidR="0072646D" w:rsidRPr="002C19B2" w:rsidRDefault="0072646D" w:rsidP="008600A2">
            <w:pPr>
              <w:pStyle w:val="TableParagraph"/>
              <w:spacing w:before="0"/>
              <w:ind w:right="88"/>
              <w:jc w:val="both"/>
              <w:rPr>
                <w:b/>
                <w:bCs/>
              </w:rPr>
            </w:pPr>
            <w:r w:rsidRPr="00C1261F">
              <w:rPr>
                <w:b/>
                <w:bCs/>
                <w:lang w:val="es-ES"/>
              </w:rPr>
              <w:t xml:space="preserve"> </w:t>
            </w:r>
            <w:r w:rsidRPr="002C19B2">
              <w:rPr>
                <w:b/>
                <w:bCs/>
              </w:rPr>
              <w:t xml:space="preserve">9,763,014 </w:t>
            </w:r>
          </w:p>
        </w:tc>
      </w:tr>
    </w:tbl>
    <w:p w14:paraId="452F321B" w14:textId="77777777" w:rsidR="00CC3B53" w:rsidRPr="00E718C4" w:rsidRDefault="00CC3B53" w:rsidP="00CC3B53">
      <w:pPr>
        <w:pStyle w:val="Heading1"/>
        <w:ind w:left="0"/>
        <w:jc w:val="both"/>
        <w:rPr>
          <w:lang w:val="es-ES"/>
        </w:rPr>
      </w:pPr>
    </w:p>
    <w:p w14:paraId="3EA205FB" w14:textId="77777777" w:rsidR="00CC3B53" w:rsidRPr="00E718C4" w:rsidRDefault="00CC3B53" w:rsidP="00CC3B53">
      <w:pPr>
        <w:pStyle w:val="Heading1"/>
        <w:ind w:left="0"/>
        <w:jc w:val="both"/>
        <w:rPr>
          <w:spacing w:val="-2"/>
          <w:lang w:val="es-ES"/>
        </w:rPr>
      </w:pPr>
      <w:r w:rsidRPr="00E718C4">
        <w:rPr>
          <w:lang w:val="es-ES"/>
        </w:rPr>
        <w:lastRenderedPageBreak/>
        <w:t xml:space="preserve">Escenario 3: crecimiento moderado </w:t>
      </w:r>
    </w:p>
    <w:p w14:paraId="68CC55A8" w14:textId="77777777" w:rsidR="00CC3B53" w:rsidRPr="00E718C4" w:rsidRDefault="00CC3B53" w:rsidP="00CC3B53">
      <w:pPr>
        <w:pStyle w:val="Heading1"/>
        <w:ind w:left="0"/>
        <w:jc w:val="both"/>
        <w:rPr>
          <w:b w:val="0"/>
          <w:lang w:val="es-ES"/>
        </w:rPr>
      </w:pPr>
    </w:p>
    <w:p w14:paraId="01FF0851" w14:textId="115E8BD2" w:rsidR="00CC3B53" w:rsidRPr="00E718C4" w:rsidRDefault="00CC3B53" w:rsidP="00CC3B53">
      <w:pPr>
        <w:pStyle w:val="ListParagraph"/>
        <w:widowControl w:val="0"/>
        <w:numPr>
          <w:ilvl w:val="0"/>
          <w:numId w:val="24"/>
        </w:numPr>
        <w:tabs>
          <w:tab w:val="left" w:pos="817"/>
          <w:tab w:val="left" w:pos="819"/>
        </w:tabs>
        <w:autoSpaceDE w:val="0"/>
        <w:autoSpaceDN w:val="0"/>
        <w:spacing w:after="0" w:line="240" w:lineRule="auto"/>
        <w:ind w:left="567" w:right="-42"/>
        <w:contextualSpacing w:val="0"/>
        <w:jc w:val="both"/>
        <w:rPr>
          <w:lang w:val="es-ES"/>
        </w:rPr>
      </w:pPr>
      <w:r w:rsidRPr="00E718C4">
        <w:rPr>
          <w:lang w:val="es-ES"/>
        </w:rPr>
        <w:t xml:space="preserve">El Escenario 3 se basa en el Escenario 2, con la inclusión de fondos para reforzar la capacidad de la Secretaría incorporando un número limitado de nuevos puestos y aumentando la cantidad de materiales, servicios técnicos y de información básicos. Este escenario tiene como objetivo: i) financiar el puesto de secretario ejecutivo adjunto; ii) ofrecer un aumento razonable del personal actual añadiendo 2 puestos profesionales P2 y 1,5 puestos de Servicios Generales (SG); y iii) añadir una pequeña cantidad de fondos para la gestión de la información. El escenario 3 prevé un aumento del 17,09 % con respecto al escenario presupuestario de crecimiento real cero. A </w:t>
      </w:r>
      <w:r w:rsidR="0072646D" w:rsidRPr="00E718C4">
        <w:rPr>
          <w:lang w:val="es-ES"/>
        </w:rPr>
        <w:t>continuación,</w:t>
      </w:r>
      <w:r w:rsidRPr="00E718C4">
        <w:rPr>
          <w:lang w:val="es-ES"/>
        </w:rPr>
        <w:t xml:space="preserve"> se detallan los cambios propuestos y las justificaciones. </w:t>
      </w:r>
    </w:p>
    <w:p w14:paraId="2FEECFB0" w14:textId="77777777" w:rsidR="00CC3B53" w:rsidRPr="00E718C4" w:rsidRDefault="00CC3B53" w:rsidP="00CC3B53">
      <w:pPr>
        <w:pStyle w:val="BodyText"/>
        <w:ind w:left="567" w:right="-42"/>
        <w:jc w:val="both"/>
        <w:rPr>
          <w:u w:val="single"/>
          <w:lang w:val="es-ES"/>
        </w:rPr>
      </w:pPr>
    </w:p>
    <w:p w14:paraId="77A2589F" w14:textId="17055C07" w:rsidR="00CC3B53" w:rsidRPr="00E718C4" w:rsidRDefault="00CC3B53" w:rsidP="00CC3B53">
      <w:pPr>
        <w:pStyle w:val="ListParagraph"/>
        <w:widowControl w:val="0"/>
        <w:numPr>
          <w:ilvl w:val="0"/>
          <w:numId w:val="24"/>
        </w:numPr>
        <w:tabs>
          <w:tab w:val="left" w:pos="0"/>
        </w:tabs>
        <w:autoSpaceDE w:val="0"/>
        <w:autoSpaceDN w:val="0"/>
        <w:spacing w:after="0" w:line="240" w:lineRule="auto"/>
        <w:ind w:left="567" w:right="-42"/>
        <w:contextualSpacing w:val="0"/>
        <w:jc w:val="both"/>
        <w:rPr>
          <w:lang w:val="es-ES"/>
        </w:rPr>
      </w:pPr>
      <w:r w:rsidRPr="00E718C4">
        <w:rPr>
          <w:u w:val="single"/>
          <w:lang w:val="es-ES"/>
        </w:rPr>
        <w:t>Secretario ejecutivo adjunto</w:t>
      </w:r>
      <w:r w:rsidRPr="00E718C4">
        <w:rPr>
          <w:lang w:val="es-ES"/>
        </w:rPr>
        <w:t>. El puesto de secretario ejecutivo adjunto (DES), que forma parte de la Oficina Ejecutiva, existe desde agosto de 2000 y quedó vacante cuando el titular se jubiló en diciembre de 2017. El puesto de DES es esencial para el funcionamiento eficaz de la Secretaría y es el único puesto de categoría P5 básico en la Secretaría de la CMS. En el presupuesto aprobado por la COP13 no se preveía financiación suficiente para este puesto, por lo que se dio prioridad a un nuevo puesto de categoría P2</w:t>
      </w:r>
      <w:r w:rsidR="009927E4">
        <w:rPr>
          <w:lang w:val="es-ES"/>
        </w:rPr>
        <w:t xml:space="preserve"> para el área de</w:t>
      </w:r>
      <w:r w:rsidR="00476270">
        <w:rPr>
          <w:lang w:val="es-ES"/>
        </w:rPr>
        <w:t xml:space="preserve"> aves</w:t>
      </w:r>
      <w:r w:rsidRPr="00E718C4">
        <w:rPr>
          <w:lang w:val="es-ES"/>
        </w:rPr>
        <w:t xml:space="preserve"> y se trató de obtener ahorros del puesto vacante de DES. Antes de la COP13, parte de la financiación del puesto de DES se utilizó para contratar con carácter temporal a un oficial jurídico que dirigiera el trabajo de la Secretaría en el programa de legislación nacional, el mecanismo de revisión y otros asuntos legales. Con los fondos disponibles, la Secretaría contrató a un director jurídico, un puesto básico para las Secretarías de los Acuerdos Multilaterales sobre Medio Ambiente (AMUMA), del que la CMS carecía. Sin embargo, la contratación de un director jurídico no disminuye la necesidad urgente de cubrir el puesto de DES.</w:t>
      </w:r>
    </w:p>
    <w:p w14:paraId="2A2EB9C2" w14:textId="77777777" w:rsidR="00CC3B53" w:rsidRPr="00E718C4" w:rsidRDefault="00CC3B53" w:rsidP="00CC3B53">
      <w:pPr>
        <w:pStyle w:val="ListParagraph"/>
        <w:rPr>
          <w:lang w:val="es-ES"/>
        </w:rPr>
      </w:pPr>
    </w:p>
    <w:p w14:paraId="5D9913D4" w14:textId="77777777" w:rsidR="00CC3B53" w:rsidRPr="00E718C4" w:rsidRDefault="00CC3B53" w:rsidP="0072646D">
      <w:pPr>
        <w:pStyle w:val="ListParagraph"/>
        <w:widowControl w:val="0"/>
        <w:numPr>
          <w:ilvl w:val="0"/>
          <w:numId w:val="24"/>
        </w:numPr>
        <w:tabs>
          <w:tab w:val="left" w:pos="284"/>
        </w:tabs>
        <w:autoSpaceDE w:val="0"/>
        <w:autoSpaceDN w:val="0"/>
        <w:spacing w:after="80" w:line="240" w:lineRule="auto"/>
        <w:ind w:left="567" w:right="-43"/>
        <w:contextualSpacing w:val="0"/>
        <w:jc w:val="both"/>
        <w:rPr>
          <w:lang w:val="es-ES"/>
        </w:rPr>
      </w:pPr>
      <w:r w:rsidRPr="00E718C4">
        <w:rPr>
          <w:lang w:val="es-ES"/>
        </w:rPr>
        <w:t>Las principales responsabilidades del DES son:</w:t>
      </w:r>
    </w:p>
    <w:p w14:paraId="549A8960" w14:textId="77777777" w:rsidR="00CC3B53" w:rsidRPr="00E718C4" w:rsidRDefault="00CC3B53" w:rsidP="0072646D">
      <w:pPr>
        <w:pStyle w:val="ListParagraph"/>
        <w:widowControl w:val="0"/>
        <w:numPr>
          <w:ilvl w:val="0"/>
          <w:numId w:val="29"/>
        </w:numPr>
        <w:tabs>
          <w:tab w:val="left" w:pos="567"/>
        </w:tabs>
        <w:autoSpaceDE w:val="0"/>
        <w:autoSpaceDN w:val="0"/>
        <w:spacing w:after="80" w:line="240" w:lineRule="auto"/>
        <w:ind w:left="851" w:right="-43" w:hanging="284"/>
        <w:contextualSpacing w:val="0"/>
        <w:jc w:val="both"/>
        <w:rPr>
          <w:lang w:val="es-ES"/>
        </w:rPr>
      </w:pPr>
      <w:r w:rsidRPr="00E718C4">
        <w:rPr>
          <w:lang w:val="es-ES"/>
        </w:rPr>
        <w:t>asesorar, asistir y sustituir a la SE</w:t>
      </w:r>
      <w:r w:rsidRPr="00E718C4">
        <w:rPr>
          <w:color w:val="000000" w:themeColor="text1"/>
          <w:lang w:val="es-ES"/>
        </w:rPr>
        <w:t xml:space="preserve"> en </w:t>
      </w:r>
      <w:r w:rsidRPr="00E718C4">
        <w:rPr>
          <w:lang w:val="es-ES"/>
        </w:rPr>
        <w:t xml:space="preserve">la organización general, funcionamiento y gestión de la Secretaría, incluidos los servicios comunes compartidos con las </w:t>
      </w:r>
      <w:r w:rsidRPr="00E718C4">
        <w:rPr>
          <w:color w:val="000000" w:themeColor="text1"/>
          <w:lang w:val="es-ES"/>
        </w:rPr>
        <w:t xml:space="preserve">Secretarías de los Acuerdos, así como en la planificación, coordinación y dirección de los </w:t>
      </w:r>
      <w:r w:rsidRPr="00E718C4">
        <w:rPr>
          <w:lang w:val="es-ES"/>
        </w:rPr>
        <w:t>programas de trabajo de fondo;</w:t>
      </w:r>
    </w:p>
    <w:p w14:paraId="47950E27" w14:textId="77777777" w:rsidR="00CC3B53" w:rsidRPr="00E718C4" w:rsidRDefault="00CC3B53" w:rsidP="0072646D">
      <w:pPr>
        <w:pStyle w:val="ListParagraph"/>
        <w:widowControl w:val="0"/>
        <w:numPr>
          <w:ilvl w:val="0"/>
          <w:numId w:val="29"/>
        </w:numPr>
        <w:tabs>
          <w:tab w:val="left" w:pos="567"/>
        </w:tabs>
        <w:autoSpaceDE w:val="0"/>
        <w:autoSpaceDN w:val="0"/>
        <w:spacing w:after="80" w:line="240" w:lineRule="auto"/>
        <w:ind w:left="851" w:right="-43" w:hanging="284"/>
        <w:contextualSpacing w:val="0"/>
        <w:jc w:val="both"/>
        <w:rPr>
          <w:lang w:val="es-ES"/>
        </w:rPr>
      </w:pPr>
      <w:r w:rsidRPr="00E718C4">
        <w:rPr>
          <w:lang w:val="es-ES"/>
        </w:rPr>
        <w:t xml:space="preserve">controlar los asuntos administrativos, financieros y de recursos humanos de la Secretaría, garantizando la conformidad con las normas y regulaciones de las Naciones Unidas y los procedimientos estándar del PNUMA; </w:t>
      </w:r>
    </w:p>
    <w:p w14:paraId="3C4CC5AF" w14:textId="77777777" w:rsidR="00CC3B53" w:rsidRPr="00E718C4" w:rsidRDefault="00CC3B53" w:rsidP="0072646D">
      <w:pPr>
        <w:pStyle w:val="ListParagraph"/>
        <w:widowControl w:val="0"/>
        <w:numPr>
          <w:ilvl w:val="0"/>
          <w:numId w:val="29"/>
        </w:numPr>
        <w:tabs>
          <w:tab w:val="left" w:pos="567"/>
        </w:tabs>
        <w:autoSpaceDE w:val="0"/>
        <w:autoSpaceDN w:val="0"/>
        <w:spacing w:after="80" w:line="240" w:lineRule="auto"/>
        <w:ind w:left="851" w:right="-43" w:hanging="284"/>
        <w:contextualSpacing w:val="0"/>
        <w:jc w:val="both"/>
        <w:rPr>
          <w:lang w:val="es-ES"/>
        </w:rPr>
      </w:pPr>
      <w:r w:rsidRPr="00E718C4">
        <w:rPr>
          <w:lang w:val="es-ES"/>
        </w:rPr>
        <w:t xml:space="preserve">controlar la preparación de acuerdos para la financiación e implementación de proyectos; </w:t>
      </w:r>
    </w:p>
    <w:p w14:paraId="6848AA68" w14:textId="77777777" w:rsidR="00CC3B53" w:rsidRPr="00E718C4" w:rsidRDefault="00CC3B53" w:rsidP="0072646D">
      <w:pPr>
        <w:pStyle w:val="ListParagraph"/>
        <w:widowControl w:val="0"/>
        <w:numPr>
          <w:ilvl w:val="0"/>
          <w:numId w:val="29"/>
        </w:numPr>
        <w:tabs>
          <w:tab w:val="left" w:pos="567"/>
        </w:tabs>
        <w:autoSpaceDE w:val="0"/>
        <w:autoSpaceDN w:val="0"/>
        <w:spacing w:after="80" w:line="240" w:lineRule="auto"/>
        <w:ind w:left="851" w:right="-43" w:hanging="284"/>
        <w:contextualSpacing w:val="0"/>
        <w:jc w:val="both"/>
        <w:rPr>
          <w:lang w:val="es-ES"/>
        </w:rPr>
      </w:pPr>
      <w:r w:rsidRPr="00E718C4">
        <w:rPr>
          <w:lang w:val="es-ES"/>
        </w:rPr>
        <w:t xml:space="preserve">vigilar la administración de los recursos y los presupuestos de los programas; </w:t>
      </w:r>
    </w:p>
    <w:p w14:paraId="46BE3DD5" w14:textId="77777777" w:rsidR="00CC3B53" w:rsidRPr="00E718C4" w:rsidRDefault="00CC3B53" w:rsidP="0072646D">
      <w:pPr>
        <w:pStyle w:val="ListParagraph"/>
        <w:widowControl w:val="0"/>
        <w:numPr>
          <w:ilvl w:val="0"/>
          <w:numId w:val="29"/>
        </w:numPr>
        <w:tabs>
          <w:tab w:val="left" w:pos="567"/>
        </w:tabs>
        <w:autoSpaceDE w:val="0"/>
        <w:autoSpaceDN w:val="0"/>
        <w:spacing w:after="80" w:line="240" w:lineRule="auto"/>
        <w:ind w:left="851" w:right="-43" w:hanging="284"/>
        <w:contextualSpacing w:val="0"/>
        <w:jc w:val="both"/>
        <w:rPr>
          <w:lang w:val="es-ES"/>
        </w:rPr>
      </w:pPr>
      <w:r w:rsidRPr="00E718C4">
        <w:rPr>
          <w:lang w:val="es-ES"/>
        </w:rPr>
        <w:t xml:space="preserve">coordinar la redacción de documentos de fondo sobre cuestiones de políticas, organizativas e institucionales; </w:t>
      </w:r>
    </w:p>
    <w:p w14:paraId="0B56FD5B" w14:textId="77777777" w:rsidR="00CC3B53" w:rsidRPr="00E718C4" w:rsidRDefault="00CC3B53" w:rsidP="0072646D">
      <w:pPr>
        <w:pStyle w:val="ListParagraph"/>
        <w:numPr>
          <w:ilvl w:val="0"/>
          <w:numId w:val="29"/>
        </w:numPr>
        <w:tabs>
          <w:tab w:val="left" w:pos="567"/>
        </w:tabs>
        <w:autoSpaceDE w:val="0"/>
        <w:autoSpaceDN w:val="0"/>
        <w:adjustRightInd w:val="0"/>
        <w:spacing w:after="80" w:line="240" w:lineRule="auto"/>
        <w:ind w:left="851" w:right="-43" w:hanging="284"/>
        <w:contextualSpacing w:val="0"/>
        <w:jc w:val="both"/>
        <w:rPr>
          <w:lang w:val="es-ES"/>
        </w:rPr>
      </w:pPr>
      <w:r w:rsidRPr="00E718C4">
        <w:rPr>
          <w:lang w:val="es-ES"/>
        </w:rPr>
        <w:t xml:space="preserve">controlar y orientar </w:t>
      </w:r>
      <w:r w:rsidRPr="00E718C4">
        <w:rPr>
          <w:color w:val="000000" w:themeColor="text1"/>
          <w:lang w:val="es-ES"/>
        </w:rPr>
        <w:t xml:space="preserve">a los responsables de los programas </w:t>
      </w:r>
      <w:r w:rsidRPr="00E718C4">
        <w:rPr>
          <w:lang w:val="es-ES"/>
        </w:rPr>
        <w:t xml:space="preserve">en cuestiones de políticas y técnicas; </w:t>
      </w:r>
    </w:p>
    <w:p w14:paraId="234251E5" w14:textId="77777777" w:rsidR="00CC3B53" w:rsidRPr="00E718C4" w:rsidRDefault="00CC3B53" w:rsidP="0072646D">
      <w:pPr>
        <w:pStyle w:val="ListParagraph"/>
        <w:widowControl w:val="0"/>
        <w:numPr>
          <w:ilvl w:val="0"/>
          <w:numId w:val="29"/>
        </w:numPr>
        <w:tabs>
          <w:tab w:val="left" w:pos="567"/>
        </w:tabs>
        <w:autoSpaceDE w:val="0"/>
        <w:autoSpaceDN w:val="0"/>
        <w:spacing w:after="80" w:line="240" w:lineRule="auto"/>
        <w:ind w:left="851" w:right="-43" w:hanging="284"/>
        <w:contextualSpacing w:val="0"/>
        <w:jc w:val="both"/>
        <w:rPr>
          <w:lang w:val="es-ES"/>
        </w:rPr>
      </w:pPr>
      <w:r w:rsidRPr="00E718C4">
        <w:rPr>
          <w:lang w:val="es-ES"/>
        </w:rPr>
        <w:t xml:space="preserve">representar a la Secretaría en las reuniones relevantes externas a la Secretaría; y </w:t>
      </w:r>
    </w:p>
    <w:p w14:paraId="424C7CC2" w14:textId="77777777" w:rsidR="00CC3B53" w:rsidRPr="00E718C4" w:rsidRDefault="00CC3B53" w:rsidP="0072646D">
      <w:pPr>
        <w:pStyle w:val="ListParagraph"/>
        <w:numPr>
          <w:ilvl w:val="0"/>
          <w:numId w:val="29"/>
        </w:numPr>
        <w:tabs>
          <w:tab w:val="left" w:pos="567"/>
        </w:tabs>
        <w:autoSpaceDE w:val="0"/>
        <w:autoSpaceDN w:val="0"/>
        <w:adjustRightInd w:val="0"/>
        <w:spacing w:after="0" w:line="240" w:lineRule="auto"/>
        <w:ind w:left="851" w:right="-42" w:hanging="284"/>
        <w:contextualSpacing w:val="0"/>
        <w:jc w:val="both"/>
        <w:rPr>
          <w:lang w:val="es-ES"/>
        </w:rPr>
      </w:pPr>
      <w:r w:rsidRPr="00E718C4">
        <w:rPr>
          <w:lang w:val="es-ES"/>
        </w:rPr>
        <w:t xml:space="preserve">actuar como </w:t>
      </w:r>
      <w:r w:rsidRPr="00E718C4">
        <w:rPr>
          <w:color w:val="000000" w:themeColor="text1"/>
          <w:lang w:val="es-ES"/>
        </w:rPr>
        <w:t xml:space="preserve">oficial a cargo </w:t>
      </w:r>
      <w:r w:rsidRPr="00E718C4">
        <w:rPr>
          <w:lang w:val="es-ES"/>
        </w:rPr>
        <w:t>cuando el secretario ejecutivo esté fuera en misiones.</w:t>
      </w:r>
    </w:p>
    <w:p w14:paraId="0B5AEBA8" w14:textId="77777777" w:rsidR="00CC3B53" w:rsidRPr="00E718C4" w:rsidRDefault="00CC3B53" w:rsidP="0072646D">
      <w:pPr>
        <w:pStyle w:val="ListParagraph"/>
        <w:tabs>
          <w:tab w:val="left" w:pos="817"/>
          <w:tab w:val="left" w:pos="819"/>
        </w:tabs>
        <w:ind w:left="1134" w:right="-42"/>
        <w:jc w:val="both"/>
        <w:rPr>
          <w:lang w:val="es-ES"/>
        </w:rPr>
      </w:pPr>
    </w:p>
    <w:p w14:paraId="3A0F42F4" w14:textId="77777777" w:rsidR="00CC3B53" w:rsidRPr="00E718C4" w:rsidRDefault="00CC3B53" w:rsidP="0072646D">
      <w:pPr>
        <w:pStyle w:val="ListParagraph"/>
        <w:tabs>
          <w:tab w:val="left" w:pos="567"/>
        </w:tabs>
        <w:ind w:left="567" w:right="-42"/>
        <w:jc w:val="both"/>
        <w:rPr>
          <w:lang w:val="es-ES"/>
        </w:rPr>
      </w:pPr>
      <w:r w:rsidRPr="00E718C4">
        <w:rPr>
          <w:lang w:val="es-ES"/>
        </w:rPr>
        <w:t>En ausencia de un DES, el secretario ejecutivo dedica</w:t>
      </w:r>
      <w:r w:rsidRPr="00E718C4">
        <w:rPr>
          <w:color w:val="FF0000"/>
          <w:lang w:val="es-ES"/>
        </w:rPr>
        <w:t xml:space="preserve"> </w:t>
      </w:r>
      <w:r w:rsidRPr="00E718C4">
        <w:rPr>
          <w:color w:val="000000" w:themeColor="text1"/>
          <w:lang w:val="es-ES"/>
        </w:rPr>
        <w:t xml:space="preserve">gran parte de su tiempo </w:t>
      </w:r>
      <w:r w:rsidRPr="00E718C4">
        <w:rPr>
          <w:lang w:val="es-ES"/>
        </w:rPr>
        <w:t xml:space="preserve">(más de la mitad) a supervisar las operaciones internas de la Secretaría, lo que limita mucho el tiempo disponible para asuntos estratégicos y de políticas, incluida la mejora del impacto de la Convención y el aumento del número de nuevas adhesiones a la misma. Por consiguiente, el Escenario 3 propone incluir financiación para el puesto de DES desde el 1 de julio de 2024. </w:t>
      </w:r>
    </w:p>
    <w:p w14:paraId="768869F2" w14:textId="77777777" w:rsidR="00CC3B53" w:rsidRPr="00E718C4" w:rsidRDefault="00CC3B53" w:rsidP="00CC3B53">
      <w:pPr>
        <w:pStyle w:val="ListParagraph"/>
        <w:rPr>
          <w:lang w:val="es-ES"/>
        </w:rPr>
      </w:pPr>
    </w:p>
    <w:p w14:paraId="6A556AEA" w14:textId="77777777" w:rsidR="00CC3B53" w:rsidRPr="00E718C4" w:rsidRDefault="00CC3B53" w:rsidP="00C16F38">
      <w:pPr>
        <w:pStyle w:val="ListParagraph"/>
        <w:widowControl w:val="0"/>
        <w:numPr>
          <w:ilvl w:val="0"/>
          <w:numId w:val="24"/>
        </w:numPr>
        <w:tabs>
          <w:tab w:val="left" w:pos="284"/>
          <w:tab w:val="left" w:pos="8222"/>
        </w:tabs>
        <w:autoSpaceDE w:val="0"/>
        <w:autoSpaceDN w:val="0"/>
        <w:spacing w:after="80" w:line="240" w:lineRule="auto"/>
        <w:ind w:left="567" w:right="-43"/>
        <w:contextualSpacing w:val="0"/>
        <w:jc w:val="both"/>
        <w:rPr>
          <w:color w:val="000000"/>
          <w:lang w:val="es-ES"/>
        </w:rPr>
      </w:pPr>
      <w:r w:rsidRPr="00E718C4">
        <w:rPr>
          <w:color w:val="000000"/>
          <w:u w:val="single"/>
          <w:lang w:val="es-ES"/>
        </w:rPr>
        <w:t>Oficial de programa con categoría P2: especies acuáticas</w:t>
      </w:r>
      <w:r w:rsidRPr="00E718C4">
        <w:rPr>
          <w:color w:val="000000"/>
          <w:lang w:val="es-ES"/>
        </w:rPr>
        <w:t xml:space="preserve">. El Equipo de Especies Acuáticas solo dispone de 1,3 equivalentes a tiempo completo (ETC) de personal profesional para apoyar la implementación del Programa de Trabajo Acuático de la CMS; no cuenta con un solo miembro del personal a tiempo completo dedicado exclusivamente a la implementación de la labor de la CMS. Está dirigido por un jefe de unidad (P4), financiado en un </w:t>
      </w:r>
      <w:r w:rsidRPr="00E718C4">
        <w:rPr>
          <w:lang w:val="es-ES"/>
        </w:rPr>
        <w:t>15 % por ASCOBANS y dedicado a él. El resto del personal profesional que trabaja en</w:t>
      </w:r>
      <w:r w:rsidRPr="00E718C4">
        <w:rPr>
          <w:color w:val="000000"/>
          <w:lang w:val="es-ES"/>
        </w:rPr>
        <w:t xml:space="preserve"> cuestiones acuáticas se financian en gran parte y se dedican al trabajo de tres instrumentos de la Familia de la CMS: el MdE sobre tortugas marinas del IOSEA</w:t>
      </w:r>
      <w:r w:rsidRPr="009927E4">
        <w:rPr>
          <w:rStyle w:val="FootnoteReference"/>
          <w:color w:val="000000"/>
          <w:vertAlign w:val="superscript"/>
        </w:rPr>
        <w:footnoteReference w:id="1"/>
      </w:r>
      <w:r w:rsidRPr="009927E4">
        <w:rPr>
          <w:color w:val="000000"/>
          <w:vertAlign w:val="superscript"/>
          <w:lang w:val="es-ES"/>
        </w:rPr>
        <w:t xml:space="preserve"> </w:t>
      </w:r>
      <w:r w:rsidRPr="00E718C4">
        <w:rPr>
          <w:color w:val="000000"/>
          <w:lang w:val="es-ES"/>
        </w:rPr>
        <w:t>(un oficial de categoría P3 que dedica el 80 % de su tiempo al MdE y el 20 % a la CMS), el MdE sobre tiburones</w:t>
      </w:r>
      <w:r w:rsidRPr="009927E4">
        <w:rPr>
          <w:rStyle w:val="FootnoteReference"/>
          <w:color w:val="000000"/>
          <w:vertAlign w:val="superscript"/>
        </w:rPr>
        <w:footnoteReference w:id="2"/>
      </w:r>
      <w:r w:rsidRPr="00E718C4">
        <w:rPr>
          <w:color w:val="000000"/>
          <w:lang w:val="es-ES"/>
        </w:rPr>
        <w:t xml:space="preserve"> (un oficial de categoría P2 dedicado por completo al MdE) y ASCOBANS</w:t>
      </w:r>
      <w:r w:rsidRPr="009927E4">
        <w:rPr>
          <w:rStyle w:val="FootnoteReference"/>
          <w:color w:val="000000"/>
          <w:vertAlign w:val="superscript"/>
        </w:rPr>
        <w:footnoteReference w:id="3"/>
      </w:r>
      <w:r w:rsidRPr="00E718C4">
        <w:rPr>
          <w:color w:val="000000"/>
          <w:lang w:val="es-ES"/>
        </w:rPr>
        <w:t xml:space="preserve"> (un oficial de categoría P2 que dedica el 75 % de su tiempo al Acuerdo y el 25% a la CMS). En total, esto supone un 130 % o 1,3 de ETC. Con esta limitada capacidad, el equipo es responsable de realizar las siguientes tareas de la CMS:</w:t>
      </w:r>
    </w:p>
    <w:p w14:paraId="69F3728A" w14:textId="1BB171B9" w:rsidR="00CC3B53" w:rsidRPr="00E718C4" w:rsidRDefault="00CC3B53" w:rsidP="00C16F38">
      <w:pPr>
        <w:pStyle w:val="ListParagraph"/>
        <w:widowControl w:val="0"/>
        <w:numPr>
          <w:ilvl w:val="0"/>
          <w:numId w:val="26"/>
        </w:numPr>
        <w:autoSpaceDE w:val="0"/>
        <w:autoSpaceDN w:val="0"/>
        <w:spacing w:after="80" w:line="240" w:lineRule="auto"/>
        <w:ind w:left="851" w:right="-43" w:hanging="284"/>
        <w:contextualSpacing w:val="0"/>
        <w:jc w:val="both"/>
        <w:rPr>
          <w:color w:val="000000"/>
          <w:lang w:val="es-ES"/>
        </w:rPr>
      </w:pPr>
      <w:r w:rsidRPr="00E718C4">
        <w:rPr>
          <w:color w:val="000000"/>
          <w:lang w:val="es-ES"/>
        </w:rPr>
        <w:t>Prestar servicio a cuatro grupos de trabajo en el marco del mandato del Consejo Científico (Mamíferos Acuáticos, Carne Silvestre Acuática, Grupo de Trabajo Conjunto sobre Ruido y Grupo de Trabajo sobre Cult</w:t>
      </w:r>
      <w:r w:rsidR="009927E4">
        <w:rPr>
          <w:color w:val="000000"/>
          <w:lang w:val="es-ES"/>
        </w:rPr>
        <w:t>ura</w:t>
      </w:r>
      <w:r w:rsidR="0032372F">
        <w:rPr>
          <w:color w:val="000000"/>
          <w:lang w:val="es-ES"/>
        </w:rPr>
        <w:t xml:space="preserve"> animal</w:t>
      </w:r>
      <w:r w:rsidRPr="00E718C4">
        <w:rPr>
          <w:color w:val="000000"/>
          <w:lang w:val="es-ES"/>
        </w:rPr>
        <w:t>);</w:t>
      </w:r>
    </w:p>
    <w:p w14:paraId="3B7E08AD" w14:textId="77777777" w:rsidR="00CC3B53" w:rsidRPr="00E718C4" w:rsidRDefault="00CC3B53" w:rsidP="00C16F38">
      <w:pPr>
        <w:pStyle w:val="ListParagraph"/>
        <w:widowControl w:val="0"/>
        <w:numPr>
          <w:ilvl w:val="0"/>
          <w:numId w:val="26"/>
        </w:numPr>
        <w:autoSpaceDE w:val="0"/>
        <w:autoSpaceDN w:val="0"/>
        <w:spacing w:after="80" w:line="240" w:lineRule="auto"/>
        <w:ind w:left="851" w:right="-43" w:hanging="284"/>
        <w:contextualSpacing w:val="0"/>
        <w:jc w:val="both"/>
        <w:rPr>
          <w:color w:val="000000"/>
          <w:lang w:val="es-ES"/>
        </w:rPr>
      </w:pPr>
      <w:r w:rsidRPr="00E718C4">
        <w:rPr>
          <w:color w:val="000000"/>
          <w:lang w:val="es-ES"/>
        </w:rPr>
        <w:t>Apoyar la labor de los cinco consejeros designados por la COP relacionados con el medio acuático (Peces Marinos, Peces de Agua Dulce, Mamíferos Acuáticos, Captura Incidental y Contaminación Marina);</w:t>
      </w:r>
    </w:p>
    <w:p w14:paraId="6D1FA7F1" w14:textId="77777777" w:rsidR="00CC3B53" w:rsidRPr="00E718C4" w:rsidRDefault="00CC3B53" w:rsidP="00C16F38">
      <w:pPr>
        <w:pStyle w:val="ListParagraph"/>
        <w:widowControl w:val="0"/>
        <w:numPr>
          <w:ilvl w:val="0"/>
          <w:numId w:val="26"/>
        </w:numPr>
        <w:autoSpaceDE w:val="0"/>
        <w:autoSpaceDN w:val="0"/>
        <w:spacing w:after="80" w:line="240" w:lineRule="auto"/>
        <w:ind w:left="851" w:right="-43" w:hanging="284"/>
        <w:contextualSpacing w:val="0"/>
        <w:jc w:val="both"/>
        <w:rPr>
          <w:color w:val="000000"/>
          <w:lang w:val="es-ES"/>
        </w:rPr>
      </w:pPr>
      <w:r w:rsidRPr="00E718C4">
        <w:rPr>
          <w:color w:val="000000"/>
          <w:lang w:val="es-ES"/>
        </w:rPr>
        <w:t xml:space="preserve">Supervisar y coordinar el Memorando de Entendimiento relativo a las Medidas de Conservación de las Tortugas Marinas de la Costa Atlántica de África, el Memorando de Entendimiento sobre la Conservación del Manatí y los Pequeños Cetáceos de África Occidental y Macaronesia, así como el Memorando de Entendimiento para la Conservación de los Cetáceos y sus Hábitats en la Región de las Islas del Pacífico; </w:t>
      </w:r>
    </w:p>
    <w:p w14:paraId="727AB33F" w14:textId="77777777" w:rsidR="00CC3B53" w:rsidRPr="00E718C4" w:rsidRDefault="00CC3B53" w:rsidP="00CC3B53">
      <w:pPr>
        <w:pStyle w:val="ListParagraph"/>
        <w:widowControl w:val="0"/>
        <w:numPr>
          <w:ilvl w:val="0"/>
          <w:numId w:val="26"/>
        </w:numPr>
        <w:autoSpaceDE w:val="0"/>
        <w:autoSpaceDN w:val="0"/>
        <w:spacing w:after="0" w:line="240" w:lineRule="auto"/>
        <w:ind w:left="851" w:right="-42" w:hanging="284"/>
        <w:contextualSpacing w:val="0"/>
        <w:jc w:val="both"/>
        <w:rPr>
          <w:color w:val="000000" w:themeColor="text1"/>
          <w:lang w:val="es-ES"/>
        </w:rPr>
      </w:pPr>
      <w:r w:rsidRPr="00E718C4">
        <w:rPr>
          <w:color w:val="000000"/>
          <w:lang w:val="es-ES"/>
        </w:rPr>
        <w:t>Apoyar la implementación de un conjunto de Planes de Acción para Especies Únicas y Acciones Concertadas.</w:t>
      </w:r>
    </w:p>
    <w:p w14:paraId="683B6AE6" w14:textId="77777777" w:rsidR="00CC3B53" w:rsidRPr="00E718C4" w:rsidRDefault="00CC3B53" w:rsidP="00CC3B53">
      <w:pPr>
        <w:pStyle w:val="ListParagraph"/>
        <w:tabs>
          <w:tab w:val="left" w:pos="817"/>
          <w:tab w:val="left" w:pos="819"/>
        </w:tabs>
        <w:ind w:left="819" w:right="226"/>
        <w:rPr>
          <w:color w:val="000000"/>
          <w:lang w:val="es-ES"/>
        </w:rPr>
      </w:pPr>
    </w:p>
    <w:p w14:paraId="4A80F2DD" w14:textId="77777777" w:rsidR="00CC3B53" w:rsidRPr="00E718C4" w:rsidRDefault="00CC3B53" w:rsidP="00CC3B53">
      <w:pPr>
        <w:pStyle w:val="ListParagraph"/>
        <w:widowControl w:val="0"/>
        <w:numPr>
          <w:ilvl w:val="0"/>
          <w:numId w:val="24"/>
        </w:numPr>
        <w:tabs>
          <w:tab w:val="left" w:pos="567"/>
        </w:tabs>
        <w:autoSpaceDE w:val="0"/>
        <w:autoSpaceDN w:val="0"/>
        <w:spacing w:after="0" w:line="240" w:lineRule="auto"/>
        <w:ind w:left="567" w:right="-42"/>
        <w:contextualSpacing w:val="0"/>
        <w:jc w:val="both"/>
        <w:rPr>
          <w:color w:val="000000"/>
          <w:lang w:val="es-ES"/>
        </w:rPr>
      </w:pPr>
      <w:r w:rsidRPr="00E718C4">
        <w:rPr>
          <w:color w:val="000000"/>
          <w:lang w:val="es-ES"/>
        </w:rPr>
        <w:t xml:space="preserve">Con el personal actual, no es posible alcanzar un nivel adecuado de apoyo a estas responsabilidades. Además, no hay capacidad suficiente para participar en importantes asociaciones y procesos globales, como los relativos a la Biodiversidad más allá de las Jurisdicciones Nacionales (BBNJ), con las Organizaciones Regionales de Ordenación Pesquera (OROP) y otros organismos pesqueros, así como con los convenios y planes de acción de los mares regionales. Según la conclusión de informes científicos recientes, incluido el informe sobre el Estado de las Especies Migratorias del Mundo (UNEP/CMS/COP14/Doc.21.1), muchas de las especies que más necesitan la atención de la CMS son acuáticas. Si se tiene en cuenta que las especies acuáticas representan el grupo más diverso de especies incluidas en las listas de la CMS, que engloba mamíferos, reptiles y peces de distribución mundial, se necesita como mínimo un puesto más de personal de plantilla de categoría P2. </w:t>
      </w:r>
      <w:r w:rsidRPr="00E718C4">
        <w:rPr>
          <w:lang w:val="es-ES"/>
        </w:rPr>
        <w:t xml:space="preserve">Por lo tanto, la Secretaría propone crear un puesto a tiempo completo (P2) en la Unidad Acuática, a partir del 1 de julio de 2024. </w:t>
      </w:r>
    </w:p>
    <w:p w14:paraId="4FF1E50C" w14:textId="77777777" w:rsidR="00CC3B53" w:rsidRPr="00E718C4" w:rsidRDefault="00CC3B53" w:rsidP="00CC3B53">
      <w:pPr>
        <w:pStyle w:val="ListParagraph"/>
        <w:tabs>
          <w:tab w:val="left" w:pos="817"/>
          <w:tab w:val="left" w:pos="819"/>
        </w:tabs>
        <w:ind w:left="819" w:right="226"/>
        <w:rPr>
          <w:lang w:val="es-ES"/>
        </w:rPr>
      </w:pPr>
    </w:p>
    <w:p w14:paraId="0DECD242" w14:textId="70040F07" w:rsidR="00CC3B53" w:rsidRPr="00E718C4" w:rsidRDefault="00CC3B53" w:rsidP="00CC3B53">
      <w:pPr>
        <w:pStyle w:val="ListParagraph"/>
        <w:widowControl w:val="0"/>
        <w:numPr>
          <w:ilvl w:val="0"/>
          <w:numId w:val="24"/>
        </w:numPr>
        <w:tabs>
          <w:tab w:val="left" w:pos="284"/>
        </w:tabs>
        <w:autoSpaceDE w:val="0"/>
        <w:autoSpaceDN w:val="0"/>
        <w:spacing w:after="0" w:line="240" w:lineRule="auto"/>
        <w:ind w:left="567" w:right="-42"/>
        <w:contextualSpacing w:val="0"/>
        <w:jc w:val="both"/>
        <w:rPr>
          <w:sz w:val="13"/>
          <w:lang w:val="es-ES"/>
        </w:rPr>
      </w:pPr>
      <w:r w:rsidRPr="00E718C4">
        <w:rPr>
          <w:color w:val="000000"/>
          <w:u w:val="single"/>
          <w:lang w:val="es-ES"/>
        </w:rPr>
        <w:t xml:space="preserve">Editor </w:t>
      </w:r>
      <w:r w:rsidRPr="00E718C4">
        <w:rPr>
          <w:u w:val="single"/>
          <w:lang w:val="es-ES"/>
        </w:rPr>
        <w:t>y oficial de gestión documental P2</w:t>
      </w:r>
      <w:r w:rsidRPr="00E718C4">
        <w:rPr>
          <w:lang w:val="es-ES"/>
        </w:rPr>
        <w:t xml:space="preserve">. El equipo de documentación de la Secretaría está compuesto por dos miembros del personal de Servicios Generales, y en la actualidad carece de editor y oficial de Gestión </w:t>
      </w:r>
      <w:r w:rsidR="0032372F">
        <w:rPr>
          <w:lang w:val="es-ES"/>
        </w:rPr>
        <w:t>de documentos</w:t>
      </w:r>
      <w:r w:rsidRPr="00E718C4">
        <w:rPr>
          <w:lang w:val="es-ES"/>
        </w:rPr>
        <w:t>. Otros AMUMA cuentan con uno o varios</w:t>
      </w:r>
      <w:r w:rsidRPr="00E718C4">
        <w:rPr>
          <w:color w:val="000000" w:themeColor="text1"/>
          <w:lang w:val="es-ES"/>
        </w:rPr>
        <w:t xml:space="preserve"> puestos de personal </w:t>
      </w:r>
      <w:r w:rsidRPr="00E718C4">
        <w:rPr>
          <w:lang w:val="es-ES"/>
        </w:rPr>
        <w:t xml:space="preserve">profesional para estas tareas esenciales. Una de las funciones básicas de la Secretaría es apoyar a la COP y a sus órganos filiales, de </w:t>
      </w:r>
      <w:r w:rsidRPr="00E718C4">
        <w:rPr>
          <w:lang w:val="es-ES"/>
        </w:rPr>
        <w:lastRenderedPageBreak/>
        <w:t xml:space="preserve">ahí que se genere un gran número de documentos para las reuniones de los órganos rectores de la CMS, entre ellas, las reuniones de los MdE y acuerdos apoyados por la Secretaría de la CMS y el considerable número de reuniones técnicas, de los Estados del área de distribución y de otro tipo que se celebran durante el período entre sesiones, por lo que dicho puesto es imprescindible. En la actualidad, estas responsabilidades están cubiertas por el responsable jurídico y el secretario ejecutivo. Por consiguiente, la Secretaría propone crear un puesto a tiempo completo de categoría P2 como parte del Equipo de Servicios de Conferencias, a partir del 1 de julio de 2024. </w:t>
      </w:r>
    </w:p>
    <w:p w14:paraId="514AD9BC" w14:textId="77777777" w:rsidR="00CC3B53" w:rsidRPr="00E718C4" w:rsidRDefault="00CC3B53" w:rsidP="00CC3B53">
      <w:pPr>
        <w:pStyle w:val="BodyText"/>
        <w:jc w:val="both"/>
        <w:rPr>
          <w:lang w:val="es-ES"/>
        </w:rPr>
      </w:pPr>
    </w:p>
    <w:p w14:paraId="3F8FDE22" w14:textId="77777777" w:rsidR="00CC3B53" w:rsidRPr="00E718C4" w:rsidRDefault="00CC3B53" w:rsidP="00CC3B53">
      <w:pPr>
        <w:pStyle w:val="ListParagraph"/>
        <w:widowControl w:val="0"/>
        <w:numPr>
          <w:ilvl w:val="0"/>
          <w:numId w:val="24"/>
        </w:numPr>
        <w:tabs>
          <w:tab w:val="left" w:pos="284"/>
          <w:tab w:val="left" w:pos="567"/>
        </w:tabs>
        <w:autoSpaceDE w:val="0"/>
        <w:autoSpaceDN w:val="0"/>
        <w:spacing w:after="0" w:line="240" w:lineRule="auto"/>
        <w:ind w:left="567" w:right="-42"/>
        <w:contextualSpacing w:val="0"/>
        <w:jc w:val="both"/>
        <w:rPr>
          <w:lang w:val="es-ES"/>
        </w:rPr>
      </w:pPr>
      <w:r w:rsidRPr="00E718C4">
        <w:rPr>
          <w:u w:val="single"/>
          <w:lang w:val="es-ES"/>
        </w:rPr>
        <w:t>Asistente de equipo GS5</w:t>
      </w:r>
      <w:r w:rsidRPr="00E718C4">
        <w:rPr>
          <w:lang w:val="es-ES"/>
        </w:rPr>
        <w:t xml:space="preserve">. Con la puesta en marcha de </w:t>
      </w:r>
      <w:r w:rsidRPr="00E718C4">
        <w:rPr>
          <w:color w:val="000000" w:themeColor="text1"/>
          <w:lang w:val="es-ES"/>
        </w:rPr>
        <w:t>Umoja,</w:t>
      </w:r>
      <w:r w:rsidRPr="00E718C4">
        <w:rPr>
          <w:lang w:val="es-ES"/>
        </w:rPr>
        <w:t xml:space="preserve"> debido a la separación de funciones, el personal de Servicios Generales del Equipo de Servicios de Conferencias tuvo que asumir responsabilidades administrativas adicionales, como la gestión de viajes, </w:t>
      </w:r>
      <w:r w:rsidRPr="00E718C4">
        <w:rPr>
          <w:color w:val="000000" w:themeColor="text1"/>
          <w:lang w:val="es-ES"/>
        </w:rPr>
        <w:t xml:space="preserve">las adquisiciones y la </w:t>
      </w:r>
      <w:r w:rsidRPr="00E718C4">
        <w:rPr>
          <w:lang w:val="es-ES"/>
        </w:rPr>
        <w:t>tramitación de</w:t>
      </w:r>
      <w:r w:rsidRPr="00E718C4">
        <w:rPr>
          <w:color w:val="000000" w:themeColor="text1"/>
          <w:lang w:val="es-ES"/>
        </w:rPr>
        <w:t xml:space="preserve"> instrumentos jurídicos</w:t>
      </w:r>
      <w:r w:rsidRPr="00E718C4">
        <w:rPr>
          <w:lang w:val="es-ES"/>
        </w:rPr>
        <w:t>. Además, el número de reuniones (presenciales y en línea) y proyectos ha seguido aumentando y, en consecuencia, el personal de SG dispone de poco tiempo para apoyar las actividades de los equipos de especies y otros oficiales de Programa. Por lo tanto, el Escenario 3 propone establecer un nuevo puesto con contrato GS5 a partir de julio de 2024 y ampliar</w:t>
      </w:r>
      <w:r w:rsidRPr="00E718C4">
        <w:rPr>
          <w:color w:val="FF0000"/>
          <w:lang w:val="es-ES"/>
        </w:rPr>
        <w:t xml:space="preserve"> </w:t>
      </w:r>
      <w:r w:rsidRPr="00E718C4">
        <w:rPr>
          <w:lang w:val="es-ES"/>
        </w:rPr>
        <w:t>un puesto con contrato GS5 en el Equipo de Servicio de Conferencias del 50 % al 100 % a partir de abril de 2024. Esto proporcionará un apoyo muy necesario para implementar el Programa de Trabajo adoptado por la COP en su totalidad, y liberará tiempo del personal profesional que de otro modo se emplearía en asuntos administrativos.</w:t>
      </w:r>
    </w:p>
    <w:p w14:paraId="0D499A38" w14:textId="77777777" w:rsidR="00CC3B53" w:rsidRPr="00E718C4" w:rsidRDefault="00CC3B53" w:rsidP="00CC3B53">
      <w:pPr>
        <w:pStyle w:val="ListParagraph"/>
        <w:rPr>
          <w:lang w:val="es-ES"/>
        </w:rPr>
      </w:pPr>
    </w:p>
    <w:p w14:paraId="5BADFDFB" w14:textId="27308839" w:rsidR="00CC3B53" w:rsidRPr="00E718C4" w:rsidRDefault="00CC3B53" w:rsidP="0078179F">
      <w:pPr>
        <w:pStyle w:val="ListParagraph"/>
        <w:widowControl w:val="0"/>
        <w:numPr>
          <w:ilvl w:val="0"/>
          <w:numId w:val="24"/>
        </w:numPr>
        <w:tabs>
          <w:tab w:val="left" w:pos="0"/>
        </w:tabs>
        <w:autoSpaceDE w:val="0"/>
        <w:autoSpaceDN w:val="0"/>
        <w:spacing w:after="80" w:line="240" w:lineRule="auto"/>
        <w:ind w:left="567" w:right="227"/>
        <w:contextualSpacing w:val="0"/>
        <w:jc w:val="both"/>
        <w:rPr>
          <w:lang w:val="es-ES"/>
        </w:rPr>
      </w:pPr>
      <w:r w:rsidRPr="00E718C4">
        <w:rPr>
          <w:lang w:val="es-ES"/>
        </w:rPr>
        <w:t xml:space="preserve">A </w:t>
      </w:r>
      <w:r w:rsidR="0078179F" w:rsidRPr="00E718C4">
        <w:rPr>
          <w:lang w:val="es-ES"/>
        </w:rPr>
        <w:t>continuación,</w:t>
      </w:r>
      <w:r w:rsidRPr="00E718C4">
        <w:rPr>
          <w:lang w:val="es-ES"/>
        </w:rPr>
        <w:t xml:space="preserve"> se indica la financiación adicional total para aumentar la dotación de personal de apoyo:</w:t>
      </w:r>
    </w:p>
    <w:p w14:paraId="3CF56365" w14:textId="77777777" w:rsidR="00CC3B53" w:rsidRPr="00E718C4" w:rsidRDefault="00CC3B53" w:rsidP="0078179F">
      <w:pPr>
        <w:pStyle w:val="ListParagraph"/>
        <w:widowControl w:val="0"/>
        <w:numPr>
          <w:ilvl w:val="0"/>
          <w:numId w:val="25"/>
        </w:numPr>
        <w:tabs>
          <w:tab w:val="left" w:pos="284"/>
        </w:tabs>
        <w:autoSpaceDE w:val="0"/>
        <w:autoSpaceDN w:val="0"/>
        <w:spacing w:after="80" w:line="240" w:lineRule="auto"/>
        <w:ind w:left="851" w:hanging="284"/>
        <w:contextualSpacing w:val="0"/>
        <w:jc w:val="both"/>
        <w:rPr>
          <w:lang w:val="es-ES"/>
        </w:rPr>
      </w:pPr>
      <w:r w:rsidRPr="00E718C4">
        <w:rPr>
          <w:lang w:val="es-ES"/>
        </w:rPr>
        <w:t>Un secretario ejecutivo adjunto a tiempo completo (P5): 507 166 €</w:t>
      </w:r>
    </w:p>
    <w:p w14:paraId="2CF2F209" w14:textId="77777777" w:rsidR="00CC3B53" w:rsidRPr="00E718C4" w:rsidRDefault="00CC3B53" w:rsidP="0078179F">
      <w:pPr>
        <w:pStyle w:val="ListParagraph"/>
        <w:widowControl w:val="0"/>
        <w:numPr>
          <w:ilvl w:val="0"/>
          <w:numId w:val="25"/>
        </w:numPr>
        <w:tabs>
          <w:tab w:val="left" w:pos="284"/>
        </w:tabs>
        <w:autoSpaceDE w:val="0"/>
        <w:autoSpaceDN w:val="0"/>
        <w:spacing w:after="80" w:line="240" w:lineRule="auto"/>
        <w:ind w:left="851" w:hanging="284"/>
        <w:contextualSpacing w:val="0"/>
        <w:jc w:val="both"/>
        <w:rPr>
          <w:lang w:val="es-ES"/>
        </w:rPr>
      </w:pPr>
      <w:r w:rsidRPr="00E718C4">
        <w:rPr>
          <w:lang w:val="es-ES"/>
        </w:rPr>
        <w:t>Un oficial asociado de programa a tiempo completo en el Equipo de Especies Acuáticas (P2): 280 847 €</w:t>
      </w:r>
    </w:p>
    <w:p w14:paraId="7F3BFCA9" w14:textId="77777777" w:rsidR="00CC3B53" w:rsidRPr="00E718C4" w:rsidRDefault="00CC3B53" w:rsidP="0078179F">
      <w:pPr>
        <w:pStyle w:val="ListParagraph"/>
        <w:widowControl w:val="0"/>
        <w:numPr>
          <w:ilvl w:val="0"/>
          <w:numId w:val="25"/>
        </w:numPr>
        <w:tabs>
          <w:tab w:val="left" w:pos="284"/>
        </w:tabs>
        <w:autoSpaceDE w:val="0"/>
        <w:autoSpaceDN w:val="0"/>
        <w:spacing w:after="80" w:line="240" w:lineRule="auto"/>
        <w:ind w:left="851" w:hanging="284"/>
        <w:contextualSpacing w:val="0"/>
        <w:jc w:val="both"/>
        <w:rPr>
          <w:lang w:val="es-ES"/>
        </w:rPr>
      </w:pPr>
      <w:r w:rsidRPr="00E718C4">
        <w:rPr>
          <w:lang w:val="es-ES"/>
        </w:rPr>
        <w:t>Un oficial de edición y gestión de documentos (P2) a tiempo completo en el Equipo de Servicios de Conferencias: 280 847 €</w:t>
      </w:r>
    </w:p>
    <w:p w14:paraId="3B58E4D8" w14:textId="77777777" w:rsidR="00CC3B53" w:rsidRPr="00E718C4" w:rsidRDefault="00CC3B53" w:rsidP="0078179F">
      <w:pPr>
        <w:pStyle w:val="ListParagraph"/>
        <w:widowControl w:val="0"/>
        <w:numPr>
          <w:ilvl w:val="0"/>
          <w:numId w:val="25"/>
        </w:numPr>
        <w:tabs>
          <w:tab w:val="left" w:pos="284"/>
        </w:tabs>
        <w:autoSpaceDE w:val="0"/>
        <w:autoSpaceDN w:val="0"/>
        <w:spacing w:after="80" w:line="240" w:lineRule="auto"/>
        <w:ind w:left="851" w:hanging="284"/>
        <w:contextualSpacing w:val="0"/>
        <w:jc w:val="both"/>
        <w:rPr>
          <w:lang w:val="es-ES"/>
        </w:rPr>
      </w:pPr>
      <w:r w:rsidRPr="00E718C4">
        <w:rPr>
          <w:lang w:val="es-ES"/>
        </w:rPr>
        <w:t>Un asistente de equipo (GS5) a tiempo completo en el Equipo de Servicios de Conferencias: 193 100 €</w:t>
      </w:r>
    </w:p>
    <w:p w14:paraId="5C4FF946" w14:textId="77777777" w:rsidR="00CC3B53" w:rsidRPr="00E718C4" w:rsidRDefault="00CC3B53" w:rsidP="00CC3B53">
      <w:pPr>
        <w:pStyle w:val="ListParagraph"/>
        <w:widowControl w:val="0"/>
        <w:numPr>
          <w:ilvl w:val="0"/>
          <w:numId w:val="25"/>
        </w:numPr>
        <w:autoSpaceDE w:val="0"/>
        <w:autoSpaceDN w:val="0"/>
        <w:spacing w:after="0" w:line="240" w:lineRule="auto"/>
        <w:contextualSpacing w:val="0"/>
        <w:jc w:val="both"/>
        <w:rPr>
          <w:lang w:val="es-ES"/>
        </w:rPr>
      </w:pPr>
      <w:r w:rsidRPr="00E718C4">
        <w:rPr>
          <w:lang w:val="es-ES"/>
        </w:rPr>
        <w:t>Un aumento del 50 % al 100 % para un asistente de equipo GS5 en el Equipo de Servicios de Conferencias: 105 977 €</w:t>
      </w:r>
    </w:p>
    <w:p w14:paraId="031AE539" w14:textId="77777777" w:rsidR="00CC3B53" w:rsidRPr="00E718C4" w:rsidRDefault="00CC3B53" w:rsidP="00CC3B53">
      <w:pPr>
        <w:pStyle w:val="ListParagraph"/>
        <w:tabs>
          <w:tab w:val="left" w:pos="817"/>
          <w:tab w:val="left" w:pos="819"/>
        </w:tabs>
        <w:ind w:left="819" w:right="227"/>
        <w:rPr>
          <w:lang w:val="es-ES"/>
        </w:rPr>
      </w:pPr>
    </w:p>
    <w:p w14:paraId="39D879AC" w14:textId="77777777" w:rsidR="00CC3B53" w:rsidRPr="00E718C4" w:rsidRDefault="00CC3B53" w:rsidP="00CC3B53">
      <w:pPr>
        <w:pStyle w:val="ListParagraph"/>
        <w:widowControl w:val="0"/>
        <w:numPr>
          <w:ilvl w:val="0"/>
          <w:numId w:val="24"/>
        </w:numPr>
        <w:autoSpaceDE w:val="0"/>
        <w:autoSpaceDN w:val="0"/>
        <w:spacing w:after="0" w:line="240" w:lineRule="auto"/>
        <w:ind w:left="567" w:right="-42"/>
        <w:contextualSpacing w:val="0"/>
        <w:jc w:val="both"/>
        <w:rPr>
          <w:lang w:val="es-ES"/>
        </w:rPr>
      </w:pPr>
      <w:r w:rsidRPr="00E718C4">
        <w:rPr>
          <w:lang w:val="es-ES"/>
        </w:rPr>
        <w:t xml:space="preserve">La disponibilidad de capacidad interna de gestión de la información para apoyar a InforMEA es esencial para la Secretaría de la CMS, al igual que en otras Secretarías de AMUMA (CDB, CITES, BRS e IPBES) que cuentan con puestos dedicados a esta función. Sin embargo, la Unidad IMCA no dispone de un puesto específico para atender la gran demanda de servicios de gestión de páginas web e información. Por lo tanto, la Secretaría propone aumentar la financiación de los servicios contractuales en 25 200 € anuales para abordar e implementar de forma eficaz las decisiones de InforMEA sobre la mejora de la gestión de la información de la Secretaría. </w:t>
      </w:r>
    </w:p>
    <w:p w14:paraId="40C09DA5" w14:textId="77777777" w:rsidR="00CC3B53" w:rsidRPr="00E718C4" w:rsidRDefault="00CC3B53" w:rsidP="00CC3B53">
      <w:pPr>
        <w:pStyle w:val="ListParagraph"/>
        <w:rPr>
          <w:lang w:val="es-ES"/>
        </w:rPr>
      </w:pPr>
    </w:p>
    <w:p w14:paraId="386C8B79" w14:textId="77777777" w:rsidR="00CC3B53" w:rsidRPr="00E718C4" w:rsidRDefault="00CC3B53" w:rsidP="00CC3B53">
      <w:pPr>
        <w:pStyle w:val="ListParagraph"/>
        <w:widowControl w:val="0"/>
        <w:numPr>
          <w:ilvl w:val="0"/>
          <w:numId w:val="24"/>
        </w:numPr>
        <w:autoSpaceDE w:val="0"/>
        <w:autoSpaceDN w:val="0"/>
        <w:spacing w:after="0" w:line="240" w:lineRule="auto"/>
        <w:ind w:left="567" w:right="-42"/>
        <w:contextualSpacing w:val="0"/>
        <w:jc w:val="both"/>
        <w:rPr>
          <w:lang w:val="es-ES"/>
        </w:rPr>
      </w:pPr>
      <w:r w:rsidRPr="00E718C4">
        <w:rPr>
          <w:lang w:val="es-ES"/>
        </w:rPr>
        <w:t xml:space="preserve">Por último, el Escenario 3 refleja algunas necesidades esenciales relacionadas </w:t>
      </w:r>
      <w:r w:rsidRPr="00E718C4">
        <w:rPr>
          <w:color w:val="000000" w:themeColor="text1"/>
          <w:lang w:val="es-ES" w:eastAsia="es-ES"/>
        </w:rPr>
        <w:t xml:space="preserve">con las herramientas de comunicación y tecnologías de la información de la Secretaría. El </w:t>
      </w:r>
      <w:r w:rsidRPr="00E718C4">
        <w:rPr>
          <w:lang w:val="es-ES"/>
        </w:rPr>
        <w:t>ligero aumento del presupuesto para material informativo y producción de documentos (8909 €) durante el trienio permitirá a la Secretaría adquirir material muy necesario, como activos digitales (vídeos e imágenes), servicios de divulgación para la difusión de boletines y seguimiento de redes sociales, así como servicios de interacción en los medios de comunicación para mejorar la labor de comunicación de la Convención. Además, el presupuesto para herramientas TIC y desarrollo de páginas web se ha incrementado en 22 444 € para dar cabida al incremento de precios y a la</w:t>
      </w:r>
      <w:r w:rsidRPr="00E718C4">
        <w:rPr>
          <w:color w:val="FF0000"/>
          <w:lang w:val="es-ES"/>
        </w:rPr>
        <w:t xml:space="preserve"> </w:t>
      </w:r>
      <w:r w:rsidRPr="00E718C4">
        <w:rPr>
          <w:color w:val="000000" w:themeColor="text1"/>
          <w:lang w:val="es-ES"/>
        </w:rPr>
        <w:t>evolución</w:t>
      </w:r>
      <w:r w:rsidRPr="00E718C4">
        <w:rPr>
          <w:color w:val="FF0000"/>
          <w:lang w:val="es-ES"/>
        </w:rPr>
        <w:t xml:space="preserve"> </w:t>
      </w:r>
      <w:r w:rsidRPr="00E718C4">
        <w:rPr>
          <w:lang w:val="es-ES"/>
        </w:rPr>
        <w:t xml:space="preserve">de </w:t>
      </w:r>
      <w:r w:rsidRPr="00E718C4">
        <w:rPr>
          <w:lang w:val="es-ES"/>
        </w:rPr>
        <w:lastRenderedPageBreak/>
        <w:t>los servicios de desarrollo y mantenimiento de páginas web. Con</w:t>
      </w:r>
      <w:r w:rsidRPr="00E718C4">
        <w:rPr>
          <w:color w:val="000000" w:themeColor="text1"/>
          <w:lang w:val="es-ES"/>
        </w:rPr>
        <w:t xml:space="preserve"> este </w:t>
      </w:r>
      <w:r w:rsidRPr="00E718C4">
        <w:rPr>
          <w:lang w:val="es-ES"/>
        </w:rPr>
        <w:t xml:space="preserve">aumento en el presupuesto, la Secretaría podrá utilizar la </w:t>
      </w:r>
      <w:r w:rsidRPr="00E718C4">
        <w:rPr>
          <w:color w:val="000000" w:themeColor="text1"/>
          <w:lang w:val="es-ES"/>
        </w:rPr>
        <w:t xml:space="preserve">organización estándar de las Naciones Unidas </w:t>
      </w:r>
      <w:r w:rsidRPr="00E718C4">
        <w:rPr>
          <w:lang w:val="es-ES"/>
        </w:rPr>
        <w:t xml:space="preserve">y dedicar dos días al mes al mantenimiento y mínimo desarrollo de las páginas web oficiales de la Convención. </w:t>
      </w:r>
    </w:p>
    <w:p w14:paraId="372F7434" w14:textId="77777777" w:rsidR="00CC3B53" w:rsidRPr="008554CA" w:rsidRDefault="00CC3B53" w:rsidP="00CC3B53">
      <w:pPr>
        <w:pStyle w:val="BodyText"/>
        <w:jc w:val="both"/>
        <w:rPr>
          <w:sz w:val="16"/>
          <w:szCs w:val="16"/>
          <w:lang w:val="es-ES"/>
        </w:rPr>
      </w:pPr>
    </w:p>
    <w:tbl>
      <w:tblPr>
        <w:tblW w:w="8532" w:type="dxa"/>
        <w:tblInd w:w="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381"/>
        <w:gridCol w:w="2151"/>
      </w:tblGrid>
      <w:tr w:rsidR="008554CA" w:rsidRPr="00396A3D" w14:paraId="5FE95F96" w14:textId="77777777" w:rsidTr="008600A2">
        <w:trPr>
          <w:trHeight w:val="587"/>
        </w:trPr>
        <w:tc>
          <w:tcPr>
            <w:tcW w:w="8532" w:type="dxa"/>
            <w:gridSpan w:val="2"/>
            <w:shd w:val="clear" w:color="auto" w:fill="D9E1F3"/>
          </w:tcPr>
          <w:p w14:paraId="6077684E" w14:textId="77777777" w:rsidR="008554CA" w:rsidRPr="00396BA8" w:rsidRDefault="008554CA" w:rsidP="008600A2">
            <w:pPr>
              <w:pStyle w:val="TableParagraph"/>
              <w:spacing w:before="0"/>
              <w:ind w:right="0"/>
              <w:jc w:val="both"/>
              <w:rPr>
                <w:b/>
                <w:lang w:val="es-ES"/>
              </w:rPr>
            </w:pPr>
            <w:r w:rsidRPr="00396BA8">
              <w:rPr>
                <w:b/>
                <w:lang w:val="es-ES"/>
              </w:rPr>
              <w:t>Costes totales por categoría para el periodo 2024-2026 (en euros)</w:t>
            </w:r>
          </w:p>
        </w:tc>
      </w:tr>
      <w:tr w:rsidR="008554CA" w:rsidRPr="00396BA8" w14:paraId="236212C7" w14:textId="77777777" w:rsidTr="008600A2">
        <w:trPr>
          <w:trHeight w:val="319"/>
        </w:trPr>
        <w:tc>
          <w:tcPr>
            <w:tcW w:w="6381" w:type="dxa"/>
            <w:tcBorders>
              <w:bottom w:val="single" w:sz="4" w:space="0" w:color="000000"/>
              <w:right w:val="single" w:sz="4" w:space="0" w:color="000000"/>
            </w:tcBorders>
          </w:tcPr>
          <w:p w14:paraId="1704E2DF" w14:textId="77777777" w:rsidR="008554CA" w:rsidRPr="00396BA8" w:rsidRDefault="008554CA" w:rsidP="008600A2">
            <w:pPr>
              <w:pStyle w:val="TableParagraph"/>
              <w:spacing w:before="0"/>
              <w:ind w:right="0"/>
              <w:jc w:val="both"/>
              <w:rPr>
                <w:color w:val="FF0000"/>
              </w:rPr>
            </w:pPr>
            <w:r w:rsidRPr="00396BA8">
              <w:rPr>
                <w:color w:val="FF0000"/>
              </w:rPr>
              <w:t>Personal</w:t>
            </w:r>
          </w:p>
        </w:tc>
        <w:tc>
          <w:tcPr>
            <w:tcW w:w="2151" w:type="dxa"/>
            <w:tcBorders>
              <w:left w:val="single" w:sz="4" w:space="0" w:color="000000"/>
              <w:bottom w:val="single" w:sz="4" w:space="0" w:color="000000"/>
            </w:tcBorders>
          </w:tcPr>
          <w:p w14:paraId="318055A3" w14:textId="77777777" w:rsidR="008554CA" w:rsidRPr="00396BA8" w:rsidRDefault="008554CA" w:rsidP="008600A2">
            <w:pPr>
              <w:pStyle w:val="TableParagraph"/>
              <w:spacing w:before="0"/>
              <w:ind w:right="0"/>
              <w:jc w:val="both"/>
              <w:rPr>
                <w:color w:val="FF0000"/>
              </w:rPr>
            </w:pPr>
            <w:r w:rsidRPr="00396BA8">
              <w:rPr>
                <w:color w:val="FF0000"/>
              </w:rPr>
              <w:t xml:space="preserve"> 8,160,014 </w:t>
            </w:r>
          </w:p>
        </w:tc>
      </w:tr>
      <w:tr w:rsidR="008554CA" w:rsidRPr="00396BA8" w14:paraId="3943FA4A" w14:textId="77777777" w:rsidTr="008600A2">
        <w:trPr>
          <w:trHeight w:val="320"/>
        </w:trPr>
        <w:tc>
          <w:tcPr>
            <w:tcW w:w="6381" w:type="dxa"/>
            <w:tcBorders>
              <w:top w:val="single" w:sz="4" w:space="0" w:color="000000"/>
              <w:bottom w:val="single" w:sz="4" w:space="0" w:color="000000"/>
              <w:right w:val="single" w:sz="4" w:space="0" w:color="000000"/>
            </w:tcBorders>
          </w:tcPr>
          <w:p w14:paraId="0477177E" w14:textId="77777777" w:rsidR="008554CA" w:rsidRPr="00396BA8" w:rsidRDefault="008554CA" w:rsidP="008600A2">
            <w:pPr>
              <w:pStyle w:val="TableParagraph"/>
              <w:spacing w:before="0"/>
              <w:ind w:right="0"/>
              <w:jc w:val="both"/>
              <w:rPr>
                <w:color w:val="FF0000"/>
              </w:rPr>
            </w:pPr>
            <w:r w:rsidRPr="00396BA8">
              <w:rPr>
                <w:color w:val="FF0000"/>
              </w:rPr>
              <w:t>Servicios contractuales</w:t>
            </w:r>
          </w:p>
        </w:tc>
        <w:tc>
          <w:tcPr>
            <w:tcW w:w="2151" w:type="dxa"/>
            <w:tcBorders>
              <w:top w:val="single" w:sz="4" w:space="0" w:color="000000"/>
              <w:left w:val="single" w:sz="4" w:space="0" w:color="000000"/>
              <w:bottom w:val="single" w:sz="4" w:space="0" w:color="000000"/>
            </w:tcBorders>
          </w:tcPr>
          <w:p w14:paraId="67CCDCEA" w14:textId="77777777" w:rsidR="008554CA" w:rsidRPr="00396BA8" w:rsidRDefault="008554CA" w:rsidP="008600A2">
            <w:pPr>
              <w:pStyle w:val="TableParagraph"/>
              <w:spacing w:before="0"/>
              <w:ind w:right="0"/>
              <w:jc w:val="both"/>
              <w:rPr>
                <w:color w:val="FF0000"/>
              </w:rPr>
            </w:pPr>
            <w:r w:rsidRPr="00396BA8">
              <w:rPr>
                <w:color w:val="FF0000"/>
              </w:rPr>
              <w:t xml:space="preserve"> 786,554 </w:t>
            </w:r>
          </w:p>
        </w:tc>
      </w:tr>
      <w:tr w:rsidR="008554CA" w:rsidRPr="00396BA8" w14:paraId="4D3525E5" w14:textId="77777777" w:rsidTr="008600A2">
        <w:trPr>
          <w:trHeight w:val="319"/>
        </w:trPr>
        <w:tc>
          <w:tcPr>
            <w:tcW w:w="6381" w:type="dxa"/>
            <w:tcBorders>
              <w:top w:val="single" w:sz="4" w:space="0" w:color="000000"/>
              <w:bottom w:val="single" w:sz="4" w:space="0" w:color="000000"/>
              <w:right w:val="single" w:sz="4" w:space="0" w:color="000000"/>
            </w:tcBorders>
          </w:tcPr>
          <w:p w14:paraId="7FE5B754" w14:textId="77777777" w:rsidR="008554CA" w:rsidRPr="00396BA8" w:rsidRDefault="008554CA" w:rsidP="008600A2">
            <w:pPr>
              <w:pStyle w:val="TableParagraph"/>
              <w:spacing w:before="0"/>
              <w:ind w:right="0"/>
              <w:jc w:val="both"/>
              <w:rPr>
                <w:color w:val="FF0000"/>
              </w:rPr>
            </w:pPr>
            <w:r w:rsidRPr="00396BA8">
              <w:rPr>
                <w:color w:val="FF0000"/>
              </w:rPr>
              <w:t>Costes de operación</w:t>
            </w:r>
          </w:p>
        </w:tc>
        <w:tc>
          <w:tcPr>
            <w:tcW w:w="2151" w:type="dxa"/>
            <w:tcBorders>
              <w:top w:val="single" w:sz="4" w:space="0" w:color="000000"/>
              <w:left w:val="single" w:sz="4" w:space="0" w:color="000000"/>
              <w:bottom w:val="single" w:sz="4" w:space="0" w:color="000000"/>
            </w:tcBorders>
          </w:tcPr>
          <w:p w14:paraId="2AB7188A" w14:textId="77777777" w:rsidR="008554CA" w:rsidRPr="00396BA8" w:rsidRDefault="008554CA" w:rsidP="008600A2">
            <w:pPr>
              <w:pStyle w:val="TableParagraph"/>
              <w:spacing w:before="0"/>
              <w:ind w:right="0"/>
              <w:jc w:val="both"/>
              <w:rPr>
                <w:color w:val="FF0000"/>
              </w:rPr>
            </w:pPr>
            <w:r w:rsidRPr="00396BA8">
              <w:rPr>
                <w:color w:val="FF0000"/>
              </w:rPr>
              <w:t xml:space="preserve"> 592,801 </w:t>
            </w:r>
          </w:p>
        </w:tc>
      </w:tr>
      <w:tr w:rsidR="008554CA" w:rsidRPr="00396BA8" w14:paraId="5CAFFCE6" w14:textId="77777777" w:rsidTr="008600A2">
        <w:trPr>
          <w:trHeight w:val="320"/>
        </w:trPr>
        <w:tc>
          <w:tcPr>
            <w:tcW w:w="6381" w:type="dxa"/>
            <w:tcBorders>
              <w:top w:val="single" w:sz="4" w:space="0" w:color="000000"/>
              <w:bottom w:val="single" w:sz="4" w:space="0" w:color="000000"/>
              <w:right w:val="single" w:sz="4" w:space="0" w:color="000000"/>
            </w:tcBorders>
          </w:tcPr>
          <w:p w14:paraId="0AFBB223" w14:textId="77777777" w:rsidR="008554CA" w:rsidRPr="00396BA8" w:rsidRDefault="008554CA" w:rsidP="008600A2">
            <w:pPr>
              <w:pStyle w:val="TableParagraph"/>
              <w:spacing w:before="0"/>
              <w:ind w:right="0"/>
              <w:jc w:val="both"/>
            </w:pPr>
            <w:r w:rsidRPr="00427CAB">
              <w:t>Suministros</w:t>
            </w:r>
          </w:p>
        </w:tc>
        <w:tc>
          <w:tcPr>
            <w:tcW w:w="2151" w:type="dxa"/>
            <w:tcBorders>
              <w:top w:val="single" w:sz="4" w:space="0" w:color="000000"/>
              <w:left w:val="single" w:sz="4" w:space="0" w:color="000000"/>
              <w:bottom w:val="single" w:sz="4" w:space="0" w:color="000000"/>
            </w:tcBorders>
          </w:tcPr>
          <w:p w14:paraId="74EDAA6D" w14:textId="77777777" w:rsidR="008554CA" w:rsidRPr="00396BA8" w:rsidRDefault="008554CA" w:rsidP="008600A2">
            <w:pPr>
              <w:pStyle w:val="TableParagraph"/>
              <w:spacing w:before="0"/>
              <w:ind w:right="0"/>
              <w:jc w:val="both"/>
            </w:pPr>
            <w:r w:rsidRPr="00396BA8">
              <w:t xml:space="preserve"> 20,390 </w:t>
            </w:r>
          </w:p>
        </w:tc>
      </w:tr>
      <w:tr w:rsidR="008554CA" w:rsidRPr="00396BA8" w14:paraId="522861CF" w14:textId="77777777" w:rsidTr="008600A2">
        <w:trPr>
          <w:trHeight w:val="319"/>
        </w:trPr>
        <w:tc>
          <w:tcPr>
            <w:tcW w:w="6381" w:type="dxa"/>
            <w:tcBorders>
              <w:top w:val="single" w:sz="4" w:space="0" w:color="000000"/>
              <w:bottom w:val="single" w:sz="4" w:space="0" w:color="000000"/>
              <w:right w:val="single" w:sz="4" w:space="0" w:color="000000"/>
            </w:tcBorders>
          </w:tcPr>
          <w:p w14:paraId="6685F392" w14:textId="77777777" w:rsidR="008554CA" w:rsidRPr="00396BA8" w:rsidRDefault="008554CA" w:rsidP="008600A2">
            <w:pPr>
              <w:pStyle w:val="TableParagraph"/>
              <w:spacing w:before="0"/>
              <w:ind w:right="0"/>
              <w:jc w:val="both"/>
            </w:pPr>
            <w:r w:rsidRPr="00427CAB">
              <w:t>Equipamiento</w:t>
            </w:r>
          </w:p>
        </w:tc>
        <w:tc>
          <w:tcPr>
            <w:tcW w:w="2151" w:type="dxa"/>
            <w:tcBorders>
              <w:top w:val="single" w:sz="4" w:space="0" w:color="000000"/>
              <w:left w:val="single" w:sz="4" w:space="0" w:color="000000"/>
              <w:bottom w:val="single" w:sz="4" w:space="0" w:color="000000"/>
            </w:tcBorders>
          </w:tcPr>
          <w:p w14:paraId="3BDE1715" w14:textId="77777777" w:rsidR="008554CA" w:rsidRPr="00396BA8" w:rsidRDefault="008554CA" w:rsidP="008600A2">
            <w:pPr>
              <w:pStyle w:val="TableParagraph"/>
              <w:spacing w:before="0"/>
              <w:ind w:right="0"/>
              <w:jc w:val="both"/>
            </w:pPr>
            <w:r w:rsidRPr="00396BA8">
              <w:t xml:space="preserve"> 36,913 </w:t>
            </w:r>
          </w:p>
        </w:tc>
      </w:tr>
      <w:tr w:rsidR="008554CA" w:rsidRPr="00396BA8" w14:paraId="6BC373E3" w14:textId="77777777" w:rsidTr="008600A2">
        <w:trPr>
          <w:trHeight w:val="319"/>
        </w:trPr>
        <w:tc>
          <w:tcPr>
            <w:tcW w:w="6381" w:type="dxa"/>
            <w:tcBorders>
              <w:top w:val="single" w:sz="4" w:space="0" w:color="000000"/>
              <w:bottom w:val="single" w:sz="4" w:space="0" w:color="000000"/>
              <w:right w:val="single" w:sz="4" w:space="0" w:color="000000"/>
            </w:tcBorders>
          </w:tcPr>
          <w:p w14:paraId="723D3297" w14:textId="77777777" w:rsidR="008554CA" w:rsidRPr="00396BA8" w:rsidRDefault="008554CA" w:rsidP="008600A2">
            <w:pPr>
              <w:pStyle w:val="TableParagraph"/>
              <w:spacing w:before="0"/>
              <w:ind w:right="0"/>
              <w:jc w:val="both"/>
            </w:pPr>
            <w:r w:rsidRPr="00396BA8">
              <w:t>Viajes</w:t>
            </w:r>
          </w:p>
        </w:tc>
        <w:tc>
          <w:tcPr>
            <w:tcW w:w="2151" w:type="dxa"/>
            <w:tcBorders>
              <w:top w:val="single" w:sz="4" w:space="0" w:color="000000"/>
              <w:left w:val="single" w:sz="4" w:space="0" w:color="000000"/>
              <w:bottom w:val="single" w:sz="4" w:space="0" w:color="000000"/>
            </w:tcBorders>
          </w:tcPr>
          <w:p w14:paraId="30CAB661" w14:textId="77777777" w:rsidR="008554CA" w:rsidRPr="00396BA8" w:rsidRDefault="008554CA" w:rsidP="008600A2">
            <w:pPr>
              <w:pStyle w:val="TableParagraph"/>
              <w:spacing w:before="0"/>
              <w:ind w:right="0"/>
              <w:jc w:val="both"/>
            </w:pPr>
            <w:r w:rsidRPr="00396BA8">
              <w:t xml:space="preserve"> 519,576 </w:t>
            </w:r>
          </w:p>
        </w:tc>
      </w:tr>
      <w:tr w:rsidR="008554CA" w:rsidRPr="00396BA8" w14:paraId="3CE0FD0C" w14:textId="77777777" w:rsidTr="008600A2">
        <w:trPr>
          <w:trHeight w:val="320"/>
        </w:trPr>
        <w:tc>
          <w:tcPr>
            <w:tcW w:w="6381" w:type="dxa"/>
            <w:tcBorders>
              <w:top w:val="single" w:sz="4" w:space="0" w:color="000000"/>
              <w:bottom w:val="single" w:sz="4" w:space="0" w:color="000000"/>
              <w:right w:val="single" w:sz="4" w:space="0" w:color="000000"/>
            </w:tcBorders>
          </w:tcPr>
          <w:p w14:paraId="4441C4B3" w14:textId="77777777" w:rsidR="008554CA" w:rsidRPr="00396BA8" w:rsidRDefault="008554CA" w:rsidP="008600A2">
            <w:pPr>
              <w:pStyle w:val="TableParagraph"/>
              <w:spacing w:before="0"/>
              <w:ind w:right="0"/>
              <w:jc w:val="both"/>
              <w:rPr>
                <w:lang w:val="es-ES"/>
              </w:rPr>
            </w:pPr>
            <w:r w:rsidRPr="00C1261F">
              <w:rPr>
                <w:lang w:val="es-ES"/>
              </w:rPr>
              <w:t>Gastos de apoyo al programa</w:t>
            </w:r>
          </w:p>
        </w:tc>
        <w:tc>
          <w:tcPr>
            <w:tcW w:w="2151" w:type="dxa"/>
            <w:tcBorders>
              <w:top w:val="single" w:sz="4" w:space="0" w:color="000000"/>
              <w:left w:val="single" w:sz="4" w:space="0" w:color="000000"/>
              <w:bottom w:val="single" w:sz="4" w:space="0" w:color="000000"/>
            </w:tcBorders>
          </w:tcPr>
          <w:p w14:paraId="2A23DCF9" w14:textId="77777777" w:rsidR="008554CA" w:rsidRPr="00396BA8" w:rsidRDefault="008554CA" w:rsidP="008600A2">
            <w:pPr>
              <w:pStyle w:val="TableParagraph"/>
              <w:spacing w:before="0"/>
              <w:ind w:right="0"/>
              <w:jc w:val="both"/>
            </w:pPr>
            <w:r w:rsidRPr="00396BA8">
              <w:rPr>
                <w:lang w:val="es-ES"/>
              </w:rPr>
              <w:t xml:space="preserve"> </w:t>
            </w:r>
            <w:r w:rsidRPr="00396BA8">
              <w:t xml:space="preserve">1,315,112 </w:t>
            </w:r>
          </w:p>
        </w:tc>
      </w:tr>
      <w:tr w:rsidR="008554CA" w:rsidRPr="000511A1" w14:paraId="792C76C0" w14:textId="77777777" w:rsidTr="008600A2">
        <w:trPr>
          <w:trHeight w:val="480"/>
        </w:trPr>
        <w:tc>
          <w:tcPr>
            <w:tcW w:w="6381" w:type="dxa"/>
            <w:tcBorders>
              <w:top w:val="single" w:sz="4" w:space="0" w:color="000000"/>
              <w:right w:val="single" w:sz="4" w:space="0" w:color="000000"/>
            </w:tcBorders>
            <w:shd w:val="clear" w:color="auto" w:fill="D9E1F3"/>
          </w:tcPr>
          <w:p w14:paraId="1E587EDE" w14:textId="77777777" w:rsidR="008554CA" w:rsidRPr="00396BA8" w:rsidRDefault="008554CA" w:rsidP="008600A2">
            <w:pPr>
              <w:pStyle w:val="TableParagraph"/>
              <w:spacing w:before="0"/>
              <w:ind w:right="0"/>
              <w:jc w:val="both"/>
              <w:rPr>
                <w:b/>
                <w:bCs/>
                <w:lang w:val="es-ES"/>
              </w:rPr>
            </w:pPr>
            <w:r w:rsidRPr="00396BA8">
              <w:rPr>
                <w:b/>
                <w:bCs/>
                <w:lang w:val="es-ES"/>
              </w:rPr>
              <w:t>Total general a compartir por las Partes</w:t>
            </w:r>
          </w:p>
        </w:tc>
        <w:tc>
          <w:tcPr>
            <w:tcW w:w="2151" w:type="dxa"/>
            <w:tcBorders>
              <w:top w:val="single" w:sz="4" w:space="0" w:color="000000"/>
              <w:left w:val="single" w:sz="4" w:space="0" w:color="000000"/>
            </w:tcBorders>
            <w:shd w:val="clear" w:color="auto" w:fill="D9E1F3"/>
          </w:tcPr>
          <w:p w14:paraId="4407C564" w14:textId="77777777" w:rsidR="008554CA" w:rsidRPr="000511A1" w:rsidRDefault="008554CA" w:rsidP="008600A2">
            <w:pPr>
              <w:pStyle w:val="TableParagraph"/>
              <w:spacing w:before="0"/>
              <w:ind w:right="0"/>
              <w:jc w:val="both"/>
              <w:rPr>
                <w:b/>
                <w:bCs/>
              </w:rPr>
            </w:pPr>
            <w:r w:rsidRPr="00396BA8">
              <w:rPr>
                <w:b/>
                <w:bCs/>
                <w:lang w:val="es-ES"/>
              </w:rPr>
              <w:t xml:space="preserve"> </w:t>
            </w:r>
            <w:r w:rsidRPr="00396BA8">
              <w:rPr>
                <w:b/>
                <w:bCs/>
              </w:rPr>
              <w:t>11,431,361</w:t>
            </w:r>
            <w:r w:rsidRPr="000511A1">
              <w:rPr>
                <w:b/>
                <w:bCs/>
              </w:rPr>
              <w:t xml:space="preserve"> </w:t>
            </w:r>
          </w:p>
        </w:tc>
      </w:tr>
    </w:tbl>
    <w:p w14:paraId="61359027" w14:textId="77777777" w:rsidR="00CC3B53" w:rsidRPr="008554CA" w:rsidRDefault="00CC3B53" w:rsidP="00CC3B53">
      <w:pPr>
        <w:pStyle w:val="ListParagraph"/>
        <w:ind w:left="819" w:right="227"/>
        <w:rPr>
          <w:sz w:val="16"/>
          <w:szCs w:val="16"/>
          <w:lang w:val="es-ES"/>
        </w:rPr>
      </w:pPr>
    </w:p>
    <w:p w14:paraId="5EE8071A" w14:textId="77777777" w:rsidR="00CC3B53" w:rsidRPr="00E718C4" w:rsidRDefault="00CC3B53" w:rsidP="00CC3B53">
      <w:pPr>
        <w:pStyle w:val="ListParagraph"/>
        <w:widowControl w:val="0"/>
        <w:numPr>
          <w:ilvl w:val="0"/>
          <w:numId w:val="24"/>
        </w:numPr>
        <w:autoSpaceDE w:val="0"/>
        <w:autoSpaceDN w:val="0"/>
        <w:spacing w:after="0" w:line="240" w:lineRule="auto"/>
        <w:ind w:left="567" w:right="-42"/>
        <w:contextualSpacing w:val="0"/>
        <w:jc w:val="both"/>
        <w:rPr>
          <w:lang w:val="es-ES"/>
        </w:rPr>
      </w:pPr>
      <w:r w:rsidRPr="00E718C4">
        <w:rPr>
          <w:lang w:val="es-ES"/>
        </w:rPr>
        <w:t>La dotación de personal para los tres escenarios se calcula sobre la base del coste estándar de personal utilizado en el trienio 2021</w:t>
      </w:r>
      <w:r w:rsidRPr="00E718C4">
        <w:rPr>
          <w:i/>
          <w:lang w:val="es-ES"/>
        </w:rPr>
        <w:t>–</w:t>
      </w:r>
      <w:r w:rsidRPr="00E718C4">
        <w:rPr>
          <w:lang w:val="es-ES"/>
        </w:rPr>
        <w:t xml:space="preserve">2023 con un incremento anual del 2 %. La COP13 aprobó los 10,62 puestos profesionales y los 7 puestos de SG financiados con cargo al presupuesto principal. Los cambios en la plantilla se incorporan en los escenarios presupuestarios de crecimiento nominal cero y crecimiento real cero </w:t>
      </w:r>
      <w:r w:rsidRPr="00E718C4">
        <w:rPr>
          <w:color w:val="000000" w:themeColor="text1"/>
          <w:lang w:val="es-ES"/>
        </w:rPr>
        <w:t xml:space="preserve">para reflejar la actualización de puestos </w:t>
      </w:r>
      <w:r w:rsidRPr="00E718C4">
        <w:rPr>
          <w:lang w:val="es-ES"/>
        </w:rPr>
        <w:t xml:space="preserve">durante el período entre sesiones. En el Escenario 3, el número de puestos profesionales y de SG financiados con cargo al presupuesto principal aumentará en 3 y 1,5, respectivamente en comparación con los escenarios de presupuesto nominal cero y presupuesto real cero. </w:t>
      </w:r>
    </w:p>
    <w:p w14:paraId="06654F9C" w14:textId="77777777" w:rsidR="00CC3B53" w:rsidRPr="00E718C4" w:rsidRDefault="00CC3B53" w:rsidP="00CC3B53">
      <w:pPr>
        <w:pStyle w:val="Heading1"/>
        <w:ind w:left="0"/>
        <w:jc w:val="both"/>
        <w:rPr>
          <w:lang w:val="es-ES"/>
        </w:rPr>
      </w:pPr>
    </w:p>
    <w:p w14:paraId="77ABBB02" w14:textId="77777777" w:rsidR="00CC3B53" w:rsidRPr="00E718C4" w:rsidRDefault="00CC3B53" w:rsidP="00CC3B53">
      <w:pPr>
        <w:pStyle w:val="Heading1"/>
        <w:ind w:left="0"/>
        <w:jc w:val="both"/>
        <w:rPr>
          <w:lang w:val="es-ES"/>
        </w:rPr>
      </w:pPr>
      <w:r w:rsidRPr="00E718C4">
        <w:rPr>
          <w:lang w:val="es-ES"/>
        </w:rPr>
        <w:t>Costes de apoyo al programa (PSC)</w:t>
      </w:r>
    </w:p>
    <w:p w14:paraId="1232236E" w14:textId="77777777" w:rsidR="00CC3B53" w:rsidRPr="00E718C4" w:rsidRDefault="00CC3B53" w:rsidP="00CC3B53">
      <w:pPr>
        <w:pStyle w:val="BodyText"/>
        <w:jc w:val="both"/>
        <w:rPr>
          <w:b/>
          <w:lang w:val="es-ES"/>
        </w:rPr>
      </w:pPr>
    </w:p>
    <w:p w14:paraId="2885F56D" w14:textId="77777777" w:rsidR="00CC3B53" w:rsidRPr="00E718C4" w:rsidRDefault="00CC3B53" w:rsidP="00CC3B53">
      <w:pPr>
        <w:pStyle w:val="ListParagraph"/>
        <w:widowControl w:val="0"/>
        <w:numPr>
          <w:ilvl w:val="0"/>
          <w:numId w:val="24"/>
        </w:numPr>
        <w:autoSpaceDE w:val="0"/>
        <w:autoSpaceDN w:val="0"/>
        <w:spacing w:after="0" w:line="240" w:lineRule="auto"/>
        <w:ind w:left="567" w:right="-42"/>
        <w:contextualSpacing w:val="0"/>
        <w:jc w:val="both"/>
        <w:rPr>
          <w:lang w:val="es-ES"/>
        </w:rPr>
      </w:pPr>
      <w:r w:rsidRPr="00E718C4">
        <w:rPr>
          <w:lang w:val="es-ES"/>
        </w:rPr>
        <w:t>De acuerdo con la Resolución 35/217 de la Asamblea General de las Naciones Unidas, de 17 de diciembre de 1980, el Programa de las Naciones Unidas para el Medio Ambiente (PNUMA) cobra una cuota del 13 % sobre los gastos del Fondo Fiduciario para administrar la Secretaría de la CMS. La resolución de la Asamblea General tiene por objeto garantizar que los recursos básicos proporcionados a las organizaciones de la ONU no se desvíen de los mandatos principales aprobados por sus órganos legislativos hacia la administración o implementación de actividades extrapresupuestarias. En el caso del PNUMA, el director ejecutivo ha decidido, de acuerdo con la política establecida en los PSC, devolver una parte de los PSC cargado sobre el gasto de todos los fondos de la Familia de la CMS para ayudar a cubrir los costes de los servicios de apoyo administrativo de la Secretaría de la CMS. En la actualidad, estos recursos se utilizan para financiar un puesto profesional (oficial de gestión administrativa y financiera de categoría P4), cuatro puestos de SG a tiempo completo en Bonn (Alemania) y la mitad de un puesto de SG en Abu Dabi (Emiratos Árabes Unidos).</w:t>
      </w:r>
    </w:p>
    <w:p w14:paraId="36250E7F" w14:textId="77777777" w:rsidR="00CC3B53" w:rsidRPr="00E718C4" w:rsidRDefault="00CC3B53" w:rsidP="00CC3B53">
      <w:pPr>
        <w:pStyle w:val="BodyText"/>
        <w:jc w:val="both"/>
        <w:rPr>
          <w:lang w:val="es-ES"/>
        </w:rPr>
      </w:pPr>
    </w:p>
    <w:p w14:paraId="46A9E4F2" w14:textId="77777777" w:rsidR="00CC3B53" w:rsidRPr="00E718C4" w:rsidRDefault="00CC3B53" w:rsidP="00CC3B53">
      <w:pPr>
        <w:pStyle w:val="BodyText"/>
        <w:jc w:val="both"/>
        <w:rPr>
          <w:lang w:val="es-ES"/>
        </w:rPr>
      </w:pPr>
      <w:r w:rsidRPr="00E718C4">
        <w:rPr>
          <w:u w:val="single"/>
          <w:lang w:val="es-ES"/>
        </w:rPr>
        <w:t>Escala de contribuciones de las Partes</w:t>
      </w:r>
    </w:p>
    <w:p w14:paraId="7EC0E456" w14:textId="77777777" w:rsidR="00CC3B53" w:rsidRPr="00E718C4" w:rsidRDefault="00CC3B53" w:rsidP="00CC3B53">
      <w:pPr>
        <w:pStyle w:val="BodyText"/>
        <w:jc w:val="both"/>
        <w:rPr>
          <w:lang w:val="es-ES"/>
        </w:rPr>
      </w:pPr>
    </w:p>
    <w:p w14:paraId="4904C1EF" w14:textId="77777777" w:rsidR="00CC3B53" w:rsidRPr="00E718C4" w:rsidRDefault="00CC3B53" w:rsidP="00CC3B53">
      <w:pPr>
        <w:pStyle w:val="ListParagraph"/>
        <w:widowControl w:val="0"/>
        <w:numPr>
          <w:ilvl w:val="0"/>
          <w:numId w:val="24"/>
        </w:numPr>
        <w:autoSpaceDE w:val="0"/>
        <w:autoSpaceDN w:val="0"/>
        <w:spacing w:after="0" w:line="240" w:lineRule="auto"/>
        <w:ind w:left="567" w:right="-42"/>
        <w:contextualSpacing w:val="0"/>
        <w:jc w:val="both"/>
        <w:rPr>
          <w:lang w:val="es-ES"/>
        </w:rPr>
      </w:pPr>
      <w:r w:rsidRPr="00E718C4">
        <w:rPr>
          <w:lang w:val="es-ES"/>
        </w:rPr>
        <w:t>En el Anexo 4 figuran las contribuciones estimadas de las Partes para cada uno de los escenarios presupuestarios. Las cuotas se basan en la actual escala de cuotas de las Naciones Unidas para el período 2022</w:t>
      </w:r>
      <w:r w:rsidRPr="00E718C4">
        <w:rPr>
          <w:i/>
          <w:lang w:val="es-ES"/>
        </w:rPr>
        <w:t>–</w:t>
      </w:r>
      <w:r w:rsidRPr="00E718C4">
        <w:rPr>
          <w:lang w:val="es-ES"/>
        </w:rPr>
        <w:t>2024, adoptada por la Asamblea General mediante la Resolución A/RES/76/238 de 4 de enero de 2022,</w:t>
      </w:r>
      <w:r>
        <w:rPr>
          <w:lang w:val="es-ES"/>
        </w:rPr>
        <w:t xml:space="preserve"> </w:t>
      </w:r>
      <w:r w:rsidRPr="00E718C4">
        <w:rPr>
          <w:lang w:val="es-ES"/>
        </w:rPr>
        <w:t>que se modifica para tener en cuenta el hecho de que no todos los Estados miembros de las Naciones Unidas son Partes de la Convención.</w:t>
      </w:r>
    </w:p>
    <w:p w14:paraId="5690D00E" w14:textId="77777777" w:rsidR="00CC3B53" w:rsidRPr="00E718C4" w:rsidRDefault="00CC3B53" w:rsidP="00CC3B53">
      <w:pPr>
        <w:pStyle w:val="BodyText"/>
        <w:jc w:val="both"/>
        <w:rPr>
          <w:sz w:val="24"/>
          <w:lang w:val="es-ES"/>
        </w:rPr>
      </w:pPr>
    </w:p>
    <w:p w14:paraId="0C8A87F3" w14:textId="77777777" w:rsidR="00CC3B53" w:rsidRPr="00E718C4" w:rsidRDefault="00CC3B53" w:rsidP="00CC3B53">
      <w:pPr>
        <w:pStyle w:val="BodyText"/>
        <w:jc w:val="both"/>
        <w:rPr>
          <w:spacing w:val="-2"/>
          <w:u w:val="single"/>
          <w:lang w:val="es-ES"/>
        </w:rPr>
      </w:pPr>
      <w:r w:rsidRPr="00E718C4">
        <w:rPr>
          <w:u w:val="single"/>
          <w:lang w:val="es-ES"/>
        </w:rPr>
        <w:t>Acciones recomendadas</w:t>
      </w:r>
    </w:p>
    <w:p w14:paraId="398E271B" w14:textId="77777777" w:rsidR="00CC3B53" w:rsidRPr="00E718C4" w:rsidRDefault="00CC3B53" w:rsidP="00CC3B53">
      <w:pPr>
        <w:pStyle w:val="BodyText"/>
        <w:ind w:left="252"/>
        <w:jc w:val="both"/>
        <w:rPr>
          <w:lang w:val="es-ES"/>
        </w:rPr>
      </w:pPr>
    </w:p>
    <w:p w14:paraId="1D7F08A2" w14:textId="77777777" w:rsidR="00CC3B53" w:rsidRPr="00E718C4" w:rsidRDefault="00CC3B53" w:rsidP="00CC3B53">
      <w:pPr>
        <w:pStyle w:val="ListParagraph"/>
        <w:widowControl w:val="0"/>
        <w:numPr>
          <w:ilvl w:val="0"/>
          <w:numId w:val="24"/>
        </w:numPr>
        <w:autoSpaceDE w:val="0"/>
        <w:autoSpaceDN w:val="0"/>
        <w:spacing w:after="0" w:line="240" w:lineRule="auto"/>
        <w:ind w:left="567"/>
        <w:contextualSpacing w:val="0"/>
        <w:jc w:val="both"/>
        <w:rPr>
          <w:lang w:val="es-ES"/>
        </w:rPr>
      </w:pPr>
      <w:r w:rsidRPr="00E718C4">
        <w:rPr>
          <w:lang w:val="es-ES"/>
        </w:rPr>
        <w:t>Se recomienda a la Conferencia de las Partes que examine y adopte el proyecto de Resolución que figura en el Anexo 5 del presente documento.</w:t>
      </w:r>
    </w:p>
    <w:p w14:paraId="2D7AEFD1" w14:textId="77777777" w:rsidR="00CC3B53" w:rsidRPr="00E718C4" w:rsidRDefault="00CC3B53" w:rsidP="00CC3B53">
      <w:pPr>
        <w:pStyle w:val="BodyText"/>
        <w:jc w:val="both"/>
        <w:rPr>
          <w:lang w:val="es-ES"/>
        </w:rPr>
      </w:pPr>
    </w:p>
    <w:p w14:paraId="604EEAE8" w14:textId="77777777" w:rsidR="00CC3B53" w:rsidRPr="00E718C4" w:rsidRDefault="00CC3B53" w:rsidP="00CC3B53">
      <w:pPr>
        <w:pStyle w:val="BodyText"/>
        <w:jc w:val="both"/>
        <w:rPr>
          <w:spacing w:val="-2"/>
          <w:u w:val="single"/>
          <w:lang w:val="es-ES"/>
        </w:rPr>
      </w:pPr>
      <w:r w:rsidRPr="00E718C4">
        <w:rPr>
          <w:u w:val="single"/>
          <w:lang w:val="es-ES"/>
        </w:rPr>
        <w:t>Anexos</w:t>
      </w:r>
    </w:p>
    <w:p w14:paraId="4E96B925" w14:textId="77777777" w:rsidR="00CC3B53" w:rsidRPr="00E718C4" w:rsidRDefault="00CC3B53" w:rsidP="00CC3B53">
      <w:pPr>
        <w:pStyle w:val="BodyText"/>
        <w:jc w:val="both"/>
        <w:rPr>
          <w:lang w:val="es-ES"/>
        </w:rPr>
      </w:pPr>
    </w:p>
    <w:p w14:paraId="0749ABBE" w14:textId="77777777" w:rsidR="00CC3B53" w:rsidRPr="00E718C4" w:rsidRDefault="00CC3B53" w:rsidP="00BD53D8">
      <w:pPr>
        <w:pStyle w:val="ListParagraph"/>
        <w:widowControl w:val="0"/>
        <w:numPr>
          <w:ilvl w:val="0"/>
          <w:numId w:val="32"/>
        </w:numPr>
        <w:tabs>
          <w:tab w:val="left" w:pos="851"/>
        </w:tabs>
        <w:autoSpaceDE w:val="0"/>
        <w:autoSpaceDN w:val="0"/>
        <w:spacing w:after="80" w:line="240" w:lineRule="auto"/>
        <w:ind w:left="567" w:hanging="567"/>
        <w:contextualSpacing w:val="0"/>
        <w:jc w:val="both"/>
        <w:rPr>
          <w:lang w:val="es-ES"/>
        </w:rPr>
      </w:pPr>
      <w:r w:rsidRPr="00E718C4">
        <w:rPr>
          <w:lang w:val="es-ES"/>
        </w:rPr>
        <w:t xml:space="preserve">Anexo 1: Coste salarial estándar </w:t>
      </w:r>
    </w:p>
    <w:p w14:paraId="304E4FB2" w14:textId="169D667B" w:rsidR="00CC3B53" w:rsidRPr="00E718C4" w:rsidRDefault="00CC3B53" w:rsidP="00BD53D8">
      <w:pPr>
        <w:pStyle w:val="ListParagraph"/>
        <w:widowControl w:val="0"/>
        <w:numPr>
          <w:ilvl w:val="0"/>
          <w:numId w:val="32"/>
        </w:numPr>
        <w:tabs>
          <w:tab w:val="left" w:pos="851"/>
        </w:tabs>
        <w:autoSpaceDE w:val="0"/>
        <w:autoSpaceDN w:val="0"/>
        <w:spacing w:after="80" w:line="240" w:lineRule="auto"/>
        <w:ind w:left="567" w:hanging="567"/>
        <w:contextualSpacing w:val="0"/>
        <w:jc w:val="both"/>
        <w:rPr>
          <w:lang w:val="es-ES"/>
        </w:rPr>
      </w:pPr>
      <w:r w:rsidRPr="00E718C4">
        <w:rPr>
          <w:lang w:val="es-ES"/>
        </w:rPr>
        <w:t>Anexo 2: Plantilla del pr</w:t>
      </w:r>
      <w:r w:rsidR="00CB5149">
        <w:rPr>
          <w:lang w:val="es-ES"/>
        </w:rPr>
        <w:t>oyecto de presupuesto</w:t>
      </w:r>
      <w:r w:rsidRPr="00E718C4">
        <w:rPr>
          <w:lang w:val="es-ES"/>
        </w:rPr>
        <w:t xml:space="preserve"> </w:t>
      </w:r>
    </w:p>
    <w:p w14:paraId="475437EE" w14:textId="32252E85" w:rsidR="00CC3B53" w:rsidRPr="00E718C4" w:rsidRDefault="00CC3B53" w:rsidP="00BD53D8">
      <w:pPr>
        <w:pStyle w:val="ListParagraph"/>
        <w:widowControl w:val="0"/>
        <w:numPr>
          <w:ilvl w:val="0"/>
          <w:numId w:val="32"/>
        </w:numPr>
        <w:tabs>
          <w:tab w:val="left" w:pos="851"/>
        </w:tabs>
        <w:autoSpaceDE w:val="0"/>
        <w:autoSpaceDN w:val="0"/>
        <w:spacing w:after="80" w:line="240" w:lineRule="auto"/>
        <w:ind w:left="567" w:right="228" w:hanging="567"/>
        <w:contextualSpacing w:val="0"/>
        <w:jc w:val="both"/>
        <w:rPr>
          <w:lang w:val="es-ES"/>
        </w:rPr>
      </w:pPr>
      <w:r w:rsidRPr="00E718C4">
        <w:rPr>
          <w:lang w:val="es-ES"/>
        </w:rPr>
        <w:t>Anexo 3 (A): Pr</w:t>
      </w:r>
      <w:r w:rsidR="00EF6C8B">
        <w:rPr>
          <w:lang w:val="es-ES"/>
        </w:rPr>
        <w:t>opuesta de pr</w:t>
      </w:r>
      <w:r w:rsidRPr="00E718C4">
        <w:rPr>
          <w:lang w:val="es-ES"/>
        </w:rPr>
        <w:t>esupuesto para el trienio 2024</w:t>
      </w:r>
      <w:r w:rsidRPr="00E718C4">
        <w:rPr>
          <w:i/>
          <w:lang w:val="es-ES"/>
        </w:rPr>
        <w:t>–</w:t>
      </w:r>
      <w:r w:rsidRPr="00E718C4">
        <w:rPr>
          <w:lang w:val="es-ES"/>
        </w:rPr>
        <w:t xml:space="preserve">2026; Escenario 1: crecimiento nominal cero </w:t>
      </w:r>
    </w:p>
    <w:p w14:paraId="04F27E41" w14:textId="6B8F39D3" w:rsidR="00CC3B53" w:rsidRPr="00E718C4" w:rsidRDefault="00CC3B53" w:rsidP="00BD53D8">
      <w:pPr>
        <w:pStyle w:val="ListParagraph"/>
        <w:widowControl w:val="0"/>
        <w:numPr>
          <w:ilvl w:val="0"/>
          <w:numId w:val="32"/>
        </w:numPr>
        <w:tabs>
          <w:tab w:val="left" w:pos="851"/>
        </w:tabs>
        <w:autoSpaceDE w:val="0"/>
        <w:autoSpaceDN w:val="0"/>
        <w:spacing w:after="80" w:line="240" w:lineRule="auto"/>
        <w:ind w:left="567" w:right="228" w:hanging="567"/>
        <w:contextualSpacing w:val="0"/>
        <w:jc w:val="both"/>
        <w:rPr>
          <w:lang w:val="es-ES"/>
        </w:rPr>
      </w:pPr>
      <w:r w:rsidRPr="00E718C4">
        <w:rPr>
          <w:lang w:val="es-ES"/>
        </w:rPr>
        <w:t xml:space="preserve">Anexo 3 (B): </w:t>
      </w:r>
      <w:r w:rsidR="00EF6C8B">
        <w:rPr>
          <w:lang w:val="es-ES"/>
        </w:rPr>
        <w:t>Propuesta de p</w:t>
      </w:r>
      <w:r w:rsidRPr="00E718C4">
        <w:rPr>
          <w:lang w:val="es-ES"/>
        </w:rPr>
        <w:t xml:space="preserve">resupuesto para el trienio 2024-2026; Escenario 2: crecimiento real cero </w:t>
      </w:r>
    </w:p>
    <w:p w14:paraId="65E24074" w14:textId="3C4F3394" w:rsidR="00CC3B53" w:rsidRPr="00E718C4" w:rsidRDefault="00CC3B53" w:rsidP="00BD53D8">
      <w:pPr>
        <w:pStyle w:val="ListParagraph"/>
        <w:widowControl w:val="0"/>
        <w:numPr>
          <w:ilvl w:val="0"/>
          <w:numId w:val="32"/>
        </w:numPr>
        <w:tabs>
          <w:tab w:val="left" w:pos="851"/>
        </w:tabs>
        <w:autoSpaceDE w:val="0"/>
        <w:autoSpaceDN w:val="0"/>
        <w:spacing w:after="80" w:line="240" w:lineRule="auto"/>
        <w:ind w:left="567" w:hanging="567"/>
        <w:contextualSpacing w:val="0"/>
        <w:jc w:val="both"/>
        <w:rPr>
          <w:lang w:val="es-ES"/>
        </w:rPr>
      </w:pPr>
      <w:r w:rsidRPr="00E718C4">
        <w:rPr>
          <w:lang w:val="es-ES"/>
        </w:rPr>
        <w:t xml:space="preserve">Anexo 3 (C): </w:t>
      </w:r>
      <w:r w:rsidR="00EF6C8B">
        <w:rPr>
          <w:lang w:val="es-ES"/>
        </w:rPr>
        <w:t>Propuesta de p</w:t>
      </w:r>
      <w:r w:rsidRPr="00E718C4">
        <w:rPr>
          <w:lang w:val="es-ES"/>
        </w:rPr>
        <w:t xml:space="preserve">resupuesto para el trienio 2024-2026; Escenario 3 </w:t>
      </w:r>
    </w:p>
    <w:p w14:paraId="33CF8EDD" w14:textId="4F3E6A03" w:rsidR="00CC3B53" w:rsidRPr="00E718C4" w:rsidRDefault="00CC3B53" w:rsidP="00BD53D8">
      <w:pPr>
        <w:pStyle w:val="ListParagraph"/>
        <w:widowControl w:val="0"/>
        <w:numPr>
          <w:ilvl w:val="0"/>
          <w:numId w:val="32"/>
        </w:numPr>
        <w:tabs>
          <w:tab w:val="left" w:pos="851"/>
        </w:tabs>
        <w:autoSpaceDE w:val="0"/>
        <w:autoSpaceDN w:val="0"/>
        <w:spacing w:after="80" w:line="240" w:lineRule="auto"/>
        <w:ind w:left="567" w:right="228" w:hanging="567"/>
        <w:contextualSpacing w:val="0"/>
        <w:jc w:val="both"/>
        <w:rPr>
          <w:lang w:val="es-ES"/>
        </w:rPr>
      </w:pPr>
      <w:r w:rsidRPr="00E718C4">
        <w:rPr>
          <w:lang w:val="es-ES"/>
        </w:rPr>
        <w:t xml:space="preserve">Anexo 4: Escala de contribuciones </w:t>
      </w:r>
      <w:r w:rsidR="0076341C">
        <w:rPr>
          <w:lang w:val="es-ES"/>
        </w:rPr>
        <w:t>para el</w:t>
      </w:r>
      <w:r w:rsidRPr="00E718C4">
        <w:rPr>
          <w:lang w:val="es-ES"/>
        </w:rPr>
        <w:t xml:space="preserve"> presupuesto del trienio 2024-2026 basada en la escala de cuotas de la ONU </w:t>
      </w:r>
    </w:p>
    <w:p w14:paraId="3CA87D44" w14:textId="3723FCC4" w:rsidR="00CC3B53" w:rsidRDefault="00CC3B53" w:rsidP="00BD53D8">
      <w:pPr>
        <w:pStyle w:val="ListParagraph"/>
        <w:widowControl w:val="0"/>
        <w:numPr>
          <w:ilvl w:val="0"/>
          <w:numId w:val="32"/>
        </w:numPr>
        <w:tabs>
          <w:tab w:val="left" w:pos="851"/>
        </w:tabs>
        <w:autoSpaceDE w:val="0"/>
        <w:autoSpaceDN w:val="0"/>
        <w:spacing w:after="80" w:line="240" w:lineRule="auto"/>
        <w:ind w:left="567" w:hanging="567"/>
        <w:contextualSpacing w:val="0"/>
        <w:jc w:val="both"/>
        <w:rPr>
          <w:lang w:val="es-ES"/>
        </w:rPr>
      </w:pPr>
      <w:r w:rsidRPr="00E718C4">
        <w:rPr>
          <w:lang w:val="es-ES"/>
        </w:rPr>
        <w:t xml:space="preserve">Anexo 5: Proyecto de Resolución sobre asuntos administrativos </w:t>
      </w:r>
      <w:r w:rsidR="000E10CC">
        <w:rPr>
          <w:lang w:val="es-ES"/>
        </w:rPr>
        <w:t>y financieros</w:t>
      </w:r>
    </w:p>
    <w:p w14:paraId="161D6543" w14:textId="26DA7066" w:rsidR="00CC3B53" w:rsidRPr="008554CA" w:rsidRDefault="00CC3B53" w:rsidP="00BD53D8">
      <w:pPr>
        <w:pStyle w:val="ListParagraph"/>
        <w:widowControl w:val="0"/>
        <w:numPr>
          <w:ilvl w:val="0"/>
          <w:numId w:val="32"/>
        </w:numPr>
        <w:tabs>
          <w:tab w:val="left" w:pos="851"/>
        </w:tabs>
        <w:autoSpaceDE w:val="0"/>
        <w:autoSpaceDN w:val="0"/>
        <w:spacing w:after="80" w:line="240" w:lineRule="auto"/>
        <w:ind w:left="567" w:hanging="567"/>
        <w:contextualSpacing w:val="0"/>
        <w:jc w:val="both"/>
        <w:rPr>
          <w:lang w:val="es-ES"/>
        </w:rPr>
      </w:pPr>
      <w:r w:rsidRPr="008554CA">
        <w:rPr>
          <w:lang w:val="es-ES"/>
        </w:rPr>
        <w:t>Anexo 6: Programa de trabajo propuesto para el período entre sesiones entre la COP14 y la COP15</w:t>
      </w:r>
    </w:p>
    <w:p w14:paraId="488E2FA8" w14:textId="77777777" w:rsidR="006A201B" w:rsidRDefault="006A201B" w:rsidP="006A201B">
      <w:pPr>
        <w:widowControl w:val="0"/>
        <w:suppressAutoHyphens/>
        <w:autoSpaceDE w:val="0"/>
        <w:autoSpaceDN w:val="0"/>
        <w:spacing w:after="0" w:line="240" w:lineRule="auto"/>
        <w:textAlignment w:val="baseline"/>
        <w:rPr>
          <w:rFonts w:eastAsia="Times New Roman" w:cs="Arial"/>
          <w:lang w:val="es-ES" w:eastAsia="es-ES"/>
        </w:rPr>
        <w:sectPr w:rsidR="006A201B" w:rsidSect="00323406">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20" w:footer="720" w:gutter="0"/>
          <w:cols w:space="720"/>
          <w:titlePg/>
          <w:docGrid w:linePitch="360"/>
        </w:sectPr>
      </w:pPr>
    </w:p>
    <w:p w14:paraId="229E99ED" w14:textId="72CA0535" w:rsidR="00E81B4A" w:rsidRPr="00C37845" w:rsidRDefault="00FB02FD" w:rsidP="00FB02FD">
      <w:pPr>
        <w:widowControl w:val="0"/>
        <w:suppressAutoHyphens/>
        <w:autoSpaceDE w:val="0"/>
        <w:autoSpaceDN w:val="0"/>
        <w:spacing w:after="0" w:line="240" w:lineRule="auto"/>
        <w:jc w:val="right"/>
        <w:textAlignment w:val="baseline"/>
        <w:rPr>
          <w:rFonts w:eastAsia="Times New Roman" w:cs="Arial"/>
          <w:b/>
          <w:bCs/>
          <w:lang w:val="es-ES" w:eastAsia="es-ES"/>
        </w:rPr>
      </w:pPr>
      <w:r w:rsidRPr="00C37845">
        <w:rPr>
          <w:rFonts w:eastAsia="Times New Roman" w:cs="Arial"/>
          <w:b/>
          <w:bCs/>
          <w:lang w:val="es-ES" w:eastAsia="es-ES"/>
        </w:rPr>
        <w:lastRenderedPageBreak/>
        <w:t>ANEXO 1</w:t>
      </w:r>
    </w:p>
    <w:p w14:paraId="11F28211" w14:textId="77777777" w:rsidR="00E81B4A" w:rsidRPr="00C37845" w:rsidRDefault="00E81B4A" w:rsidP="00002A97">
      <w:pPr>
        <w:widowControl w:val="0"/>
        <w:suppressAutoHyphens/>
        <w:autoSpaceDE w:val="0"/>
        <w:autoSpaceDN w:val="0"/>
        <w:spacing w:after="0" w:line="240" w:lineRule="auto"/>
        <w:textAlignment w:val="baseline"/>
        <w:rPr>
          <w:rFonts w:eastAsia="Times New Roman" w:cs="Arial"/>
          <w:lang w:val="es-ES" w:eastAsia="es-ES"/>
        </w:rPr>
      </w:pPr>
    </w:p>
    <w:p w14:paraId="7534C63F" w14:textId="77777777" w:rsidR="000F6C4A" w:rsidRPr="00C37845" w:rsidRDefault="000F6C4A" w:rsidP="00002A97">
      <w:pPr>
        <w:widowControl w:val="0"/>
        <w:suppressAutoHyphens/>
        <w:autoSpaceDE w:val="0"/>
        <w:autoSpaceDN w:val="0"/>
        <w:spacing w:after="0" w:line="240" w:lineRule="auto"/>
        <w:textAlignment w:val="baseline"/>
        <w:rPr>
          <w:rFonts w:eastAsia="Times New Roman" w:cs="Arial"/>
          <w:lang w:val="es-ES" w:eastAsia="es-ES"/>
        </w:rPr>
      </w:pPr>
    </w:p>
    <w:p w14:paraId="44498992" w14:textId="6F6F399B" w:rsidR="001D0E03" w:rsidRPr="00DB29B4" w:rsidRDefault="00DB29B4" w:rsidP="001D0E03">
      <w:pPr>
        <w:spacing w:before="94"/>
        <w:ind w:right="-42"/>
        <w:jc w:val="center"/>
        <w:rPr>
          <w:b/>
          <w:lang w:val="es-ES"/>
        </w:rPr>
      </w:pPr>
      <w:r w:rsidRPr="00DB29B4">
        <w:rPr>
          <w:b/>
          <w:lang w:val="es-ES"/>
        </w:rPr>
        <w:t>COSTE SALARIAL ESTÁNDAR</w:t>
      </w:r>
      <w:r w:rsidR="001D0E03" w:rsidRPr="00DB29B4">
        <w:rPr>
          <w:b/>
          <w:lang w:val="es-ES"/>
        </w:rPr>
        <w:t xml:space="preserve"> </w:t>
      </w:r>
    </w:p>
    <w:p w14:paraId="542F6E92" w14:textId="79263394" w:rsidR="001D0E03" w:rsidRPr="00DB29B4" w:rsidRDefault="001D0E03" w:rsidP="001D0E03">
      <w:pPr>
        <w:spacing w:before="94"/>
        <w:ind w:right="-42"/>
        <w:jc w:val="center"/>
        <w:rPr>
          <w:b/>
          <w:sz w:val="18"/>
          <w:szCs w:val="18"/>
          <w:lang w:val="es-ES"/>
        </w:rPr>
      </w:pPr>
      <w:r w:rsidRPr="00DB29B4">
        <w:rPr>
          <w:b/>
          <w:sz w:val="18"/>
          <w:szCs w:val="18"/>
          <w:lang w:val="es-ES"/>
        </w:rPr>
        <w:t>(</w:t>
      </w:r>
      <w:r w:rsidR="00DB29B4" w:rsidRPr="00DB29B4">
        <w:rPr>
          <w:b/>
          <w:sz w:val="18"/>
          <w:szCs w:val="18"/>
          <w:lang w:val="es-ES"/>
        </w:rPr>
        <w:t>e</w:t>
      </w:r>
      <w:r w:rsidRPr="00DB29B4">
        <w:rPr>
          <w:b/>
          <w:sz w:val="18"/>
          <w:szCs w:val="18"/>
          <w:lang w:val="es-ES"/>
        </w:rPr>
        <w:t>n euros)</w:t>
      </w:r>
    </w:p>
    <w:p w14:paraId="3AB1AA49" w14:textId="77777777" w:rsidR="001D0E03" w:rsidRPr="00DB29B4" w:rsidRDefault="001D0E03" w:rsidP="001D0E03">
      <w:pPr>
        <w:pStyle w:val="BodyText"/>
        <w:rPr>
          <w:b/>
          <w:lang w:val="es-ES"/>
        </w:rPr>
      </w:pPr>
    </w:p>
    <w:p w14:paraId="4CDE84CA" w14:textId="77777777" w:rsidR="001D0E03" w:rsidRPr="00DB29B4" w:rsidRDefault="001D0E03" w:rsidP="001D0E03">
      <w:pPr>
        <w:pStyle w:val="BodyText"/>
        <w:spacing w:before="9"/>
        <w:rPr>
          <w:sz w:val="21"/>
          <w:lang w:val="es-ES"/>
        </w:rPr>
      </w:pPr>
    </w:p>
    <w:tbl>
      <w:tblPr>
        <w:tblpPr w:leftFromText="180" w:rightFromText="180" w:vertAnchor="text" w:horzAnchor="margin" w:tblpXSpec="center" w:tblpY="-53"/>
        <w:tblW w:w="0" w:type="auto"/>
        <w:tblLayout w:type="fixed"/>
        <w:tblCellMar>
          <w:left w:w="0" w:type="dxa"/>
          <w:right w:w="0" w:type="dxa"/>
        </w:tblCellMar>
        <w:tblLook w:val="01E0" w:firstRow="1" w:lastRow="1" w:firstColumn="1" w:lastColumn="1" w:noHBand="0" w:noVBand="0"/>
      </w:tblPr>
      <w:tblGrid>
        <w:gridCol w:w="2189"/>
        <w:gridCol w:w="2058"/>
        <w:gridCol w:w="1876"/>
        <w:gridCol w:w="1878"/>
      </w:tblGrid>
      <w:tr w:rsidR="001D0E03" w:rsidRPr="00DB29B4" w14:paraId="28A71C17" w14:textId="77777777" w:rsidTr="002F1270">
        <w:trPr>
          <w:trHeight w:val="277"/>
        </w:trPr>
        <w:tc>
          <w:tcPr>
            <w:tcW w:w="2189" w:type="dxa"/>
            <w:tcBorders>
              <w:bottom w:val="single" w:sz="12" w:space="0" w:color="000000"/>
            </w:tcBorders>
          </w:tcPr>
          <w:p w14:paraId="0F992429" w14:textId="2677B790" w:rsidR="001D0E03" w:rsidRPr="00DB29B4" w:rsidRDefault="00DB29B4" w:rsidP="002F1270">
            <w:pPr>
              <w:pStyle w:val="TableParagraph"/>
              <w:spacing w:before="0" w:line="223" w:lineRule="exact"/>
              <w:ind w:left="828" w:right="661"/>
              <w:jc w:val="center"/>
              <w:rPr>
                <w:b/>
                <w:i/>
              </w:rPr>
            </w:pPr>
            <w:r>
              <w:rPr>
                <w:b/>
                <w:i/>
                <w:spacing w:val="-4"/>
              </w:rPr>
              <w:t>Nivel</w:t>
            </w:r>
          </w:p>
        </w:tc>
        <w:tc>
          <w:tcPr>
            <w:tcW w:w="2058" w:type="dxa"/>
            <w:tcBorders>
              <w:bottom w:val="single" w:sz="12" w:space="0" w:color="000000"/>
            </w:tcBorders>
          </w:tcPr>
          <w:p w14:paraId="010CE628" w14:textId="77777777" w:rsidR="001D0E03" w:rsidRPr="00DB29B4" w:rsidRDefault="001D0E03" w:rsidP="002F1270">
            <w:pPr>
              <w:pStyle w:val="TableParagraph"/>
              <w:spacing w:before="0" w:line="223" w:lineRule="exact"/>
              <w:ind w:left="799" w:right="632"/>
              <w:jc w:val="center"/>
              <w:rPr>
                <w:b/>
                <w:i/>
              </w:rPr>
            </w:pPr>
            <w:r w:rsidRPr="00DB29B4">
              <w:rPr>
                <w:b/>
                <w:i/>
                <w:spacing w:val="-4"/>
              </w:rPr>
              <w:t>2023</w:t>
            </w:r>
          </w:p>
        </w:tc>
        <w:tc>
          <w:tcPr>
            <w:tcW w:w="1876" w:type="dxa"/>
            <w:tcBorders>
              <w:bottom w:val="single" w:sz="12" w:space="0" w:color="000000"/>
            </w:tcBorders>
          </w:tcPr>
          <w:p w14:paraId="66E634EA" w14:textId="77777777" w:rsidR="001D0E03" w:rsidRPr="00DB29B4" w:rsidRDefault="001D0E03" w:rsidP="002F1270">
            <w:pPr>
              <w:pStyle w:val="TableParagraph"/>
              <w:spacing w:before="0" w:line="223" w:lineRule="exact"/>
              <w:ind w:left="492" w:right="492"/>
              <w:jc w:val="center"/>
              <w:rPr>
                <w:b/>
                <w:i/>
              </w:rPr>
            </w:pPr>
            <w:r w:rsidRPr="00DB29B4">
              <w:rPr>
                <w:b/>
                <w:i/>
                <w:spacing w:val="-4"/>
              </w:rPr>
              <w:t>2024</w:t>
            </w:r>
          </w:p>
        </w:tc>
        <w:tc>
          <w:tcPr>
            <w:tcW w:w="1878" w:type="dxa"/>
            <w:tcBorders>
              <w:bottom w:val="single" w:sz="12" w:space="0" w:color="000000"/>
            </w:tcBorders>
          </w:tcPr>
          <w:p w14:paraId="2888F18B" w14:textId="77777777" w:rsidR="001D0E03" w:rsidRPr="00DB29B4" w:rsidRDefault="001D0E03" w:rsidP="002F1270">
            <w:pPr>
              <w:pStyle w:val="TableParagraph"/>
              <w:spacing w:before="0" w:line="223" w:lineRule="exact"/>
              <w:ind w:left="493" w:right="493"/>
              <w:jc w:val="center"/>
              <w:rPr>
                <w:b/>
                <w:i/>
              </w:rPr>
            </w:pPr>
            <w:r w:rsidRPr="00DB29B4">
              <w:rPr>
                <w:b/>
                <w:i/>
                <w:spacing w:val="-4"/>
              </w:rPr>
              <w:t>2025</w:t>
            </w:r>
          </w:p>
        </w:tc>
      </w:tr>
      <w:tr w:rsidR="001D0E03" w:rsidRPr="00DB29B4" w14:paraId="0BA20FA4" w14:textId="77777777" w:rsidTr="002F1270">
        <w:trPr>
          <w:trHeight w:val="311"/>
        </w:trPr>
        <w:tc>
          <w:tcPr>
            <w:tcW w:w="2189" w:type="dxa"/>
            <w:tcBorders>
              <w:top w:val="single" w:sz="12" w:space="0" w:color="000000"/>
            </w:tcBorders>
          </w:tcPr>
          <w:p w14:paraId="2DED79D8" w14:textId="77777777" w:rsidR="001D0E03" w:rsidRPr="00DB29B4" w:rsidRDefault="001D0E03" w:rsidP="002F1270">
            <w:pPr>
              <w:pStyle w:val="TableParagraph"/>
              <w:ind w:left="828" w:right="660"/>
              <w:jc w:val="center"/>
            </w:pPr>
            <w:r w:rsidRPr="00DB29B4">
              <w:rPr>
                <w:spacing w:val="-2"/>
              </w:rPr>
              <w:t>D-</w:t>
            </w:r>
            <w:r w:rsidRPr="00DB29B4">
              <w:rPr>
                <w:spacing w:val="-10"/>
              </w:rPr>
              <w:t>1</w:t>
            </w:r>
          </w:p>
        </w:tc>
        <w:tc>
          <w:tcPr>
            <w:tcW w:w="2058" w:type="dxa"/>
            <w:tcBorders>
              <w:top w:val="single" w:sz="12" w:space="0" w:color="000000"/>
            </w:tcBorders>
          </w:tcPr>
          <w:p w14:paraId="0A6824FF" w14:textId="77777777" w:rsidR="001D0E03" w:rsidRPr="00DB29B4" w:rsidRDefault="001D0E03" w:rsidP="002F1270">
            <w:pPr>
              <w:pStyle w:val="TableParagraph"/>
              <w:ind w:right="504"/>
            </w:pPr>
            <w:r w:rsidRPr="00DB29B4">
              <w:t xml:space="preserve"> 229,077 </w:t>
            </w:r>
          </w:p>
        </w:tc>
        <w:tc>
          <w:tcPr>
            <w:tcW w:w="1876" w:type="dxa"/>
            <w:tcBorders>
              <w:top w:val="single" w:sz="12" w:space="0" w:color="000000"/>
            </w:tcBorders>
          </w:tcPr>
          <w:p w14:paraId="585FEFBA" w14:textId="77777777" w:rsidR="001D0E03" w:rsidRPr="00DB29B4" w:rsidRDefault="001D0E03" w:rsidP="002F1270">
            <w:pPr>
              <w:pStyle w:val="TableParagraph"/>
              <w:ind w:left="492" w:right="492"/>
              <w:jc w:val="center"/>
            </w:pPr>
            <w:r w:rsidRPr="00DB29B4">
              <w:t xml:space="preserve"> 233,659 </w:t>
            </w:r>
          </w:p>
        </w:tc>
        <w:tc>
          <w:tcPr>
            <w:tcW w:w="1878" w:type="dxa"/>
            <w:tcBorders>
              <w:top w:val="single" w:sz="12" w:space="0" w:color="000000"/>
            </w:tcBorders>
          </w:tcPr>
          <w:p w14:paraId="737C8909" w14:textId="77777777" w:rsidR="001D0E03" w:rsidRPr="00DB29B4" w:rsidRDefault="001D0E03" w:rsidP="002F1270">
            <w:pPr>
              <w:pStyle w:val="TableParagraph"/>
              <w:ind w:left="493" w:right="493"/>
              <w:jc w:val="center"/>
            </w:pPr>
            <w:r w:rsidRPr="00DB29B4">
              <w:t xml:space="preserve"> 238,332 </w:t>
            </w:r>
          </w:p>
        </w:tc>
      </w:tr>
      <w:tr w:rsidR="001D0E03" w:rsidRPr="00DB29B4" w14:paraId="279CFECA" w14:textId="77777777" w:rsidTr="002F1270">
        <w:trPr>
          <w:trHeight w:val="299"/>
        </w:trPr>
        <w:tc>
          <w:tcPr>
            <w:tcW w:w="2189" w:type="dxa"/>
          </w:tcPr>
          <w:p w14:paraId="633EB34F" w14:textId="77777777" w:rsidR="001D0E03" w:rsidRPr="00DB29B4" w:rsidRDefault="001D0E03" w:rsidP="002F1270">
            <w:pPr>
              <w:pStyle w:val="TableParagraph"/>
              <w:spacing w:before="17"/>
              <w:ind w:left="826" w:right="661"/>
              <w:jc w:val="center"/>
            </w:pPr>
            <w:r w:rsidRPr="00DB29B4">
              <w:rPr>
                <w:spacing w:val="-2"/>
              </w:rPr>
              <w:t>P-</w:t>
            </w:r>
            <w:r w:rsidRPr="00DB29B4">
              <w:rPr>
                <w:spacing w:val="-10"/>
              </w:rPr>
              <w:t>5</w:t>
            </w:r>
          </w:p>
        </w:tc>
        <w:tc>
          <w:tcPr>
            <w:tcW w:w="2058" w:type="dxa"/>
          </w:tcPr>
          <w:p w14:paraId="7771C865" w14:textId="77777777" w:rsidR="001D0E03" w:rsidRPr="00DB29B4" w:rsidRDefault="001D0E03" w:rsidP="002F1270">
            <w:pPr>
              <w:pStyle w:val="TableParagraph"/>
              <w:spacing w:before="17"/>
              <w:ind w:right="504"/>
            </w:pPr>
            <w:r w:rsidRPr="00DB29B4">
              <w:t xml:space="preserve"> 198,081 </w:t>
            </w:r>
          </w:p>
        </w:tc>
        <w:tc>
          <w:tcPr>
            <w:tcW w:w="1876" w:type="dxa"/>
          </w:tcPr>
          <w:p w14:paraId="6321BDB4" w14:textId="77777777" w:rsidR="001D0E03" w:rsidRPr="00DB29B4" w:rsidRDefault="001D0E03" w:rsidP="002F1270">
            <w:pPr>
              <w:pStyle w:val="TableParagraph"/>
              <w:spacing w:before="17"/>
              <w:ind w:left="492" w:right="492"/>
              <w:jc w:val="center"/>
            </w:pPr>
            <w:r w:rsidRPr="00DB29B4">
              <w:t xml:space="preserve"> 202,043 </w:t>
            </w:r>
          </w:p>
        </w:tc>
        <w:tc>
          <w:tcPr>
            <w:tcW w:w="1878" w:type="dxa"/>
          </w:tcPr>
          <w:p w14:paraId="20779BB4" w14:textId="77777777" w:rsidR="001D0E03" w:rsidRPr="00DB29B4" w:rsidRDefault="001D0E03" w:rsidP="002F1270">
            <w:pPr>
              <w:pStyle w:val="TableParagraph"/>
              <w:spacing w:before="17"/>
              <w:ind w:left="493" w:right="493"/>
              <w:jc w:val="center"/>
            </w:pPr>
            <w:r w:rsidRPr="00DB29B4">
              <w:t xml:space="preserve"> 206,083 </w:t>
            </w:r>
          </w:p>
        </w:tc>
      </w:tr>
      <w:tr w:rsidR="001D0E03" w:rsidRPr="00DB29B4" w14:paraId="69205AE1" w14:textId="77777777" w:rsidTr="002F1270">
        <w:trPr>
          <w:trHeight w:val="297"/>
        </w:trPr>
        <w:tc>
          <w:tcPr>
            <w:tcW w:w="2189" w:type="dxa"/>
          </w:tcPr>
          <w:p w14:paraId="4CE76047" w14:textId="77777777" w:rsidR="001D0E03" w:rsidRPr="00DB29B4" w:rsidRDefault="001D0E03" w:rsidP="002F1270">
            <w:pPr>
              <w:pStyle w:val="TableParagraph"/>
              <w:spacing w:before="13"/>
              <w:ind w:left="826" w:right="661"/>
              <w:jc w:val="center"/>
            </w:pPr>
            <w:r w:rsidRPr="00DB29B4">
              <w:rPr>
                <w:spacing w:val="-2"/>
              </w:rPr>
              <w:t>P-</w:t>
            </w:r>
            <w:r w:rsidRPr="00DB29B4">
              <w:rPr>
                <w:spacing w:val="-10"/>
              </w:rPr>
              <w:t>4</w:t>
            </w:r>
          </w:p>
        </w:tc>
        <w:tc>
          <w:tcPr>
            <w:tcW w:w="2058" w:type="dxa"/>
          </w:tcPr>
          <w:p w14:paraId="636555EA" w14:textId="77777777" w:rsidR="001D0E03" w:rsidRPr="00DB29B4" w:rsidRDefault="001D0E03" w:rsidP="002F1270">
            <w:pPr>
              <w:pStyle w:val="TableParagraph"/>
              <w:spacing w:before="13"/>
              <w:ind w:right="504"/>
            </w:pPr>
            <w:r w:rsidRPr="00DB29B4">
              <w:t xml:space="preserve"> 169,211 </w:t>
            </w:r>
          </w:p>
        </w:tc>
        <w:tc>
          <w:tcPr>
            <w:tcW w:w="1876" w:type="dxa"/>
          </w:tcPr>
          <w:p w14:paraId="419DCED8" w14:textId="77777777" w:rsidR="001D0E03" w:rsidRPr="00DB29B4" w:rsidRDefault="001D0E03" w:rsidP="002F1270">
            <w:pPr>
              <w:pStyle w:val="TableParagraph"/>
              <w:spacing w:before="13"/>
              <w:ind w:left="492" w:right="492"/>
              <w:jc w:val="center"/>
            </w:pPr>
            <w:r w:rsidRPr="00DB29B4">
              <w:t xml:space="preserve"> 172,595 </w:t>
            </w:r>
          </w:p>
        </w:tc>
        <w:tc>
          <w:tcPr>
            <w:tcW w:w="1878" w:type="dxa"/>
          </w:tcPr>
          <w:p w14:paraId="5E151054" w14:textId="77777777" w:rsidR="001D0E03" w:rsidRPr="00DB29B4" w:rsidRDefault="001D0E03" w:rsidP="002F1270">
            <w:pPr>
              <w:pStyle w:val="TableParagraph"/>
              <w:spacing w:before="13"/>
              <w:ind w:left="493" w:right="493"/>
              <w:jc w:val="center"/>
            </w:pPr>
            <w:r w:rsidRPr="00DB29B4">
              <w:t xml:space="preserve"> 176,047 </w:t>
            </w:r>
          </w:p>
        </w:tc>
      </w:tr>
      <w:tr w:rsidR="001D0E03" w:rsidRPr="00DB29B4" w14:paraId="55C2A1F2" w14:textId="77777777" w:rsidTr="002F1270">
        <w:trPr>
          <w:trHeight w:val="297"/>
        </w:trPr>
        <w:tc>
          <w:tcPr>
            <w:tcW w:w="2189" w:type="dxa"/>
          </w:tcPr>
          <w:p w14:paraId="194B46F4" w14:textId="77777777" w:rsidR="001D0E03" w:rsidRPr="00DB29B4" w:rsidRDefault="001D0E03" w:rsidP="002F1270">
            <w:pPr>
              <w:pStyle w:val="TableParagraph"/>
              <w:spacing w:before="13"/>
              <w:ind w:left="826" w:right="661"/>
              <w:jc w:val="center"/>
            </w:pPr>
            <w:r w:rsidRPr="00DB29B4">
              <w:rPr>
                <w:spacing w:val="-2"/>
              </w:rPr>
              <w:t>P-</w:t>
            </w:r>
            <w:r w:rsidRPr="00DB29B4">
              <w:rPr>
                <w:spacing w:val="-10"/>
              </w:rPr>
              <w:t>3</w:t>
            </w:r>
          </w:p>
        </w:tc>
        <w:tc>
          <w:tcPr>
            <w:tcW w:w="2058" w:type="dxa"/>
          </w:tcPr>
          <w:p w14:paraId="77EDB09D" w14:textId="77777777" w:rsidR="001D0E03" w:rsidRPr="00DB29B4" w:rsidRDefault="001D0E03" w:rsidP="002F1270">
            <w:pPr>
              <w:pStyle w:val="TableParagraph"/>
              <w:spacing w:before="13"/>
              <w:ind w:right="504"/>
            </w:pPr>
            <w:r w:rsidRPr="00DB29B4">
              <w:t xml:space="preserve"> 141,359 </w:t>
            </w:r>
          </w:p>
        </w:tc>
        <w:tc>
          <w:tcPr>
            <w:tcW w:w="1876" w:type="dxa"/>
          </w:tcPr>
          <w:p w14:paraId="749D7D27" w14:textId="77777777" w:rsidR="001D0E03" w:rsidRPr="00DB29B4" w:rsidRDefault="001D0E03" w:rsidP="002F1270">
            <w:pPr>
              <w:pStyle w:val="TableParagraph"/>
              <w:spacing w:before="13"/>
              <w:ind w:left="492" w:right="492"/>
              <w:jc w:val="center"/>
            </w:pPr>
            <w:r w:rsidRPr="00DB29B4">
              <w:t xml:space="preserve"> 144,186 </w:t>
            </w:r>
          </w:p>
        </w:tc>
        <w:tc>
          <w:tcPr>
            <w:tcW w:w="1878" w:type="dxa"/>
          </w:tcPr>
          <w:p w14:paraId="58D746C4" w14:textId="77777777" w:rsidR="001D0E03" w:rsidRPr="00DB29B4" w:rsidRDefault="001D0E03" w:rsidP="002F1270">
            <w:pPr>
              <w:pStyle w:val="TableParagraph"/>
              <w:spacing w:before="13"/>
              <w:ind w:left="493" w:right="493"/>
              <w:jc w:val="center"/>
            </w:pPr>
            <w:r w:rsidRPr="00DB29B4">
              <w:t xml:space="preserve"> 147,070 </w:t>
            </w:r>
          </w:p>
        </w:tc>
      </w:tr>
      <w:tr w:rsidR="001D0E03" w:rsidRPr="00DB29B4" w14:paraId="4E8CE88D" w14:textId="77777777" w:rsidTr="002F1270">
        <w:trPr>
          <w:trHeight w:val="297"/>
        </w:trPr>
        <w:tc>
          <w:tcPr>
            <w:tcW w:w="2189" w:type="dxa"/>
          </w:tcPr>
          <w:p w14:paraId="26CBAB77" w14:textId="77777777" w:rsidR="001D0E03" w:rsidRPr="00DB29B4" w:rsidRDefault="001D0E03" w:rsidP="002F1270">
            <w:pPr>
              <w:pStyle w:val="TableParagraph"/>
              <w:spacing w:before="14"/>
              <w:ind w:left="826" w:right="661"/>
              <w:jc w:val="center"/>
            </w:pPr>
            <w:r w:rsidRPr="00DB29B4">
              <w:rPr>
                <w:spacing w:val="-2"/>
              </w:rPr>
              <w:t>P-</w:t>
            </w:r>
            <w:r w:rsidRPr="00DB29B4">
              <w:rPr>
                <w:spacing w:val="-10"/>
              </w:rPr>
              <w:t>2</w:t>
            </w:r>
          </w:p>
        </w:tc>
        <w:tc>
          <w:tcPr>
            <w:tcW w:w="2058" w:type="dxa"/>
          </w:tcPr>
          <w:p w14:paraId="6E7DB2F1" w14:textId="77777777" w:rsidR="001D0E03" w:rsidRPr="00DB29B4" w:rsidRDefault="001D0E03" w:rsidP="002F1270">
            <w:pPr>
              <w:pStyle w:val="TableParagraph"/>
              <w:spacing w:before="14"/>
              <w:ind w:right="504"/>
            </w:pPr>
            <w:r w:rsidRPr="00DB29B4">
              <w:t xml:space="preserve"> 109,689 </w:t>
            </w:r>
          </w:p>
        </w:tc>
        <w:tc>
          <w:tcPr>
            <w:tcW w:w="1876" w:type="dxa"/>
          </w:tcPr>
          <w:p w14:paraId="6746C906" w14:textId="77777777" w:rsidR="001D0E03" w:rsidRPr="00DB29B4" w:rsidRDefault="001D0E03" w:rsidP="002F1270">
            <w:pPr>
              <w:pStyle w:val="TableParagraph"/>
              <w:spacing w:before="14"/>
              <w:ind w:left="492" w:right="492"/>
              <w:jc w:val="center"/>
            </w:pPr>
            <w:r w:rsidRPr="00DB29B4">
              <w:t xml:space="preserve"> 111,883 </w:t>
            </w:r>
          </w:p>
        </w:tc>
        <w:tc>
          <w:tcPr>
            <w:tcW w:w="1878" w:type="dxa"/>
          </w:tcPr>
          <w:p w14:paraId="219AE697" w14:textId="77777777" w:rsidR="001D0E03" w:rsidRPr="00DB29B4" w:rsidRDefault="001D0E03" w:rsidP="002F1270">
            <w:pPr>
              <w:pStyle w:val="TableParagraph"/>
              <w:spacing w:before="14"/>
              <w:ind w:left="493" w:right="493"/>
              <w:jc w:val="center"/>
            </w:pPr>
            <w:r w:rsidRPr="00DB29B4">
              <w:t xml:space="preserve"> 114,120 </w:t>
            </w:r>
          </w:p>
        </w:tc>
      </w:tr>
      <w:tr w:rsidR="001D0E03" w:rsidRPr="00DB29B4" w14:paraId="6FED9AEE" w14:textId="77777777" w:rsidTr="002F1270">
        <w:trPr>
          <w:trHeight w:val="297"/>
        </w:trPr>
        <w:tc>
          <w:tcPr>
            <w:tcW w:w="2189" w:type="dxa"/>
          </w:tcPr>
          <w:p w14:paraId="0EC23DD2" w14:textId="77777777" w:rsidR="001D0E03" w:rsidRPr="00DB29B4" w:rsidRDefault="001D0E03" w:rsidP="002F1270">
            <w:pPr>
              <w:pStyle w:val="TableParagraph"/>
              <w:spacing w:before="13"/>
              <w:ind w:left="828" w:right="658"/>
              <w:jc w:val="center"/>
            </w:pPr>
            <w:r w:rsidRPr="00DB29B4">
              <w:rPr>
                <w:spacing w:val="-2"/>
              </w:rPr>
              <w:t>G-</w:t>
            </w:r>
            <w:r w:rsidRPr="00DB29B4">
              <w:rPr>
                <w:spacing w:val="-10"/>
              </w:rPr>
              <w:t>7</w:t>
            </w:r>
          </w:p>
        </w:tc>
        <w:tc>
          <w:tcPr>
            <w:tcW w:w="2058" w:type="dxa"/>
          </w:tcPr>
          <w:p w14:paraId="4CCA5789" w14:textId="77777777" w:rsidR="001D0E03" w:rsidRPr="00DB29B4" w:rsidRDefault="001D0E03" w:rsidP="002F1270">
            <w:pPr>
              <w:pStyle w:val="TableParagraph"/>
              <w:spacing w:before="13"/>
              <w:ind w:right="559"/>
            </w:pPr>
            <w:r w:rsidRPr="00DB29B4">
              <w:t xml:space="preserve"> 96,150 </w:t>
            </w:r>
          </w:p>
        </w:tc>
        <w:tc>
          <w:tcPr>
            <w:tcW w:w="1876" w:type="dxa"/>
          </w:tcPr>
          <w:p w14:paraId="098D1018" w14:textId="77777777" w:rsidR="001D0E03" w:rsidRPr="00DB29B4" w:rsidRDefault="001D0E03" w:rsidP="002F1270">
            <w:pPr>
              <w:pStyle w:val="TableParagraph"/>
              <w:spacing w:before="13"/>
              <w:ind w:left="492" w:right="491"/>
              <w:jc w:val="center"/>
            </w:pPr>
            <w:r w:rsidRPr="00DB29B4">
              <w:t xml:space="preserve"> 98,073 </w:t>
            </w:r>
          </w:p>
        </w:tc>
        <w:tc>
          <w:tcPr>
            <w:tcW w:w="1878" w:type="dxa"/>
          </w:tcPr>
          <w:p w14:paraId="03AF1CB9" w14:textId="77777777" w:rsidR="001D0E03" w:rsidRPr="00DB29B4" w:rsidRDefault="001D0E03" w:rsidP="002F1270">
            <w:pPr>
              <w:pStyle w:val="TableParagraph"/>
              <w:spacing w:before="13"/>
              <w:ind w:left="493" w:right="493"/>
              <w:jc w:val="center"/>
            </w:pPr>
            <w:r w:rsidRPr="00DB29B4">
              <w:t xml:space="preserve"> 100,035 </w:t>
            </w:r>
          </w:p>
        </w:tc>
      </w:tr>
      <w:tr w:rsidR="001D0E03" w:rsidRPr="00DB29B4" w14:paraId="2A60AA36" w14:textId="77777777" w:rsidTr="002F1270">
        <w:trPr>
          <w:trHeight w:val="297"/>
        </w:trPr>
        <w:tc>
          <w:tcPr>
            <w:tcW w:w="2189" w:type="dxa"/>
          </w:tcPr>
          <w:p w14:paraId="095D7F5F" w14:textId="77777777" w:rsidR="001D0E03" w:rsidRPr="00DB29B4" w:rsidRDefault="001D0E03" w:rsidP="002F1270">
            <w:pPr>
              <w:pStyle w:val="TableParagraph"/>
              <w:spacing w:before="14"/>
              <w:ind w:left="828" w:right="658"/>
              <w:jc w:val="center"/>
            </w:pPr>
            <w:r w:rsidRPr="00DB29B4">
              <w:rPr>
                <w:spacing w:val="-2"/>
              </w:rPr>
              <w:t>G-</w:t>
            </w:r>
            <w:r w:rsidRPr="00DB29B4">
              <w:rPr>
                <w:spacing w:val="-10"/>
              </w:rPr>
              <w:t>6</w:t>
            </w:r>
          </w:p>
        </w:tc>
        <w:tc>
          <w:tcPr>
            <w:tcW w:w="2058" w:type="dxa"/>
          </w:tcPr>
          <w:p w14:paraId="62EC09FF" w14:textId="77777777" w:rsidR="001D0E03" w:rsidRPr="00DB29B4" w:rsidRDefault="001D0E03" w:rsidP="002F1270">
            <w:pPr>
              <w:pStyle w:val="TableParagraph"/>
              <w:spacing w:before="14"/>
              <w:ind w:right="559"/>
            </w:pPr>
            <w:r w:rsidRPr="00DB29B4">
              <w:t xml:space="preserve"> 85,190 </w:t>
            </w:r>
          </w:p>
        </w:tc>
        <w:tc>
          <w:tcPr>
            <w:tcW w:w="1876" w:type="dxa"/>
          </w:tcPr>
          <w:p w14:paraId="1448551B" w14:textId="77777777" w:rsidR="001D0E03" w:rsidRPr="00DB29B4" w:rsidRDefault="001D0E03" w:rsidP="002F1270">
            <w:pPr>
              <w:pStyle w:val="TableParagraph"/>
              <w:spacing w:before="14"/>
              <w:ind w:left="492" w:right="491"/>
              <w:jc w:val="center"/>
            </w:pPr>
            <w:r w:rsidRPr="00DB29B4">
              <w:t xml:space="preserve"> 86,894 </w:t>
            </w:r>
          </w:p>
        </w:tc>
        <w:tc>
          <w:tcPr>
            <w:tcW w:w="1878" w:type="dxa"/>
          </w:tcPr>
          <w:p w14:paraId="35F59BA4" w14:textId="77777777" w:rsidR="001D0E03" w:rsidRPr="00DB29B4" w:rsidRDefault="001D0E03" w:rsidP="002F1270">
            <w:pPr>
              <w:pStyle w:val="TableParagraph"/>
              <w:spacing w:before="14"/>
              <w:ind w:left="493" w:right="493"/>
              <w:jc w:val="center"/>
            </w:pPr>
            <w:r w:rsidRPr="00DB29B4">
              <w:t xml:space="preserve"> 88,632 </w:t>
            </w:r>
          </w:p>
        </w:tc>
      </w:tr>
      <w:tr w:rsidR="001D0E03" w:rsidRPr="00DB29B4" w14:paraId="25F175CD" w14:textId="77777777" w:rsidTr="002F1270">
        <w:trPr>
          <w:trHeight w:val="297"/>
        </w:trPr>
        <w:tc>
          <w:tcPr>
            <w:tcW w:w="2189" w:type="dxa"/>
          </w:tcPr>
          <w:p w14:paraId="596EA5F8" w14:textId="77777777" w:rsidR="001D0E03" w:rsidRPr="00DB29B4" w:rsidRDefault="001D0E03" w:rsidP="002F1270">
            <w:pPr>
              <w:pStyle w:val="TableParagraph"/>
              <w:spacing w:before="13"/>
              <w:ind w:left="828" w:right="658"/>
              <w:jc w:val="center"/>
            </w:pPr>
            <w:r w:rsidRPr="00DB29B4">
              <w:rPr>
                <w:spacing w:val="-2"/>
              </w:rPr>
              <w:t>G-</w:t>
            </w:r>
            <w:r w:rsidRPr="00DB29B4">
              <w:rPr>
                <w:spacing w:val="-10"/>
              </w:rPr>
              <w:t>5</w:t>
            </w:r>
          </w:p>
        </w:tc>
        <w:tc>
          <w:tcPr>
            <w:tcW w:w="2058" w:type="dxa"/>
          </w:tcPr>
          <w:p w14:paraId="04E1F875" w14:textId="77777777" w:rsidR="001D0E03" w:rsidRPr="00DB29B4" w:rsidRDefault="001D0E03" w:rsidP="002F1270">
            <w:pPr>
              <w:pStyle w:val="TableParagraph"/>
              <w:spacing w:before="13"/>
              <w:ind w:right="559"/>
            </w:pPr>
            <w:r w:rsidRPr="00DB29B4">
              <w:t xml:space="preserve"> 75,418 </w:t>
            </w:r>
          </w:p>
        </w:tc>
        <w:tc>
          <w:tcPr>
            <w:tcW w:w="1876" w:type="dxa"/>
          </w:tcPr>
          <w:p w14:paraId="6C05606A" w14:textId="77777777" w:rsidR="001D0E03" w:rsidRPr="00DB29B4" w:rsidRDefault="001D0E03" w:rsidP="002F1270">
            <w:pPr>
              <w:pStyle w:val="TableParagraph"/>
              <w:spacing w:before="13"/>
              <w:ind w:left="492" w:right="491"/>
              <w:jc w:val="center"/>
            </w:pPr>
            <w:r w:rsidRPr="00DB29B4">
              <w:t xml:space="preserve"> 76,926 </w:t>
            </w:r>
          </w:p>
        </w:tc>
        <w:tc>
          <w:tcPr>
            <w:tcW w:w="1878" w:type="dxa"/>
          </w:tcPr>
          <w:p w14:paraId="2550C064" w14:textId="77777777" w:rsidR="001D0E03" w:rsidRPr="00DB29B4" w:rsidRDefault="001D0E03" w:rsidP="002F1270">
            <w:pPr>
              <w:pStyle w:val="TableParagraph"/>
              <w:spacing w:before="13"/>
              <w:ind w:left="493" w:right="493"/>
              <w:jc w:val="center"/>
            </w:pPr>
            <w:r w:rsidRPr="00DB29B4">
              <w:t xml:space="preserve"> 78,465 </w:t>
            </w:r>
          </w:p>
        </w:tc>
      </w:tr>
      <w:tr w:rsidR="001D0E03" w:rsidRPr="00DB29B4" w14:paraId="37F4A73B" w14:textId="77777777" w:rsidTr="002F1270">
        <w:trPr>
          <w:trHeight w:val="272"/>
        </w:trPr>
        <w:tc>
          <w:tcPr>
            <w:tcW w:w="2189" w:type="dxa"/>
          </w:tcPr>
          <w:p w14:paraId="3B40F92A" w14:textId="77777777" w:rsidR="001D0E03" w:rsidRPr="00DB29B4" w:rsidRDefault="001D0E03" w:rsidP="002F1270">
            <w:pPr>
              <w:pStyle w:val="TableParagraph"/>
              <w:spacing w:before="13" w:line="210" w:lineRule="exact"/>
              <w:ind w:left="828" w:right="658"/>
              <w:jc w:val="center"/>
            </w:pPr>
            <w:r w:rsidRPr="00DB29B4">
              <w:rPr>
                <w:spacing w:val="-2"/>
              </w:rPr>
              <w:t>G-</w:t>
            </w:r>
            <w:r w:rsidRPr="00DB29B4">
              <w:rPr>
                <w:spacing w:val="-10"/>
              </w:rPr>
              <w:t>4</w:t>
            </w:r>
          </w:p>
        </w:tc>
        <w:tc>
          <w:tcPr>
            <w:tcW w:w="2058" w:type="dxa"/>
          </w:tcPr>
          <w:p w14:paraId="46A382DE" w14:textId="77777777" w:rsidR="001D0E03" w:rsidRPr="00DB29B4" w:rsidRDefault="001D0E03" w:rsidP="002F1270">
            <w:pPr>
              <w:pStyle w:val="TableParagraph"/>
              <w:spacing w:before="13" w:line="210" w:lineRule="exact"/>
              <w:ind w:right="559"/>
            </w:pPr>
            <w:r w:rsidRPr="00DB29B4">
              <w:t xml:space="preserve"> 66,681 </w:t>
            </w:r>
          </w:p>
        </w:tc>
        <w:tc>
          <w:tcPr>
            <w:tcW w:w="1876" w:type="dxa"/>
          </w:tcPr>
          <w:p w14:paraId="09E06AD9" w14:textId="77777777" w:rsidR="001D0E03" w:rsidRPr="00DB29B4" w:rsidRDefault="001D0E03" w:rsidP="002F1270">
            <w:pPr>
              <w:pStyle w:val="TableParagraph"/>
              <w:spacing w:before="13" w:line="210" w:lineRule="exact"/>
              <w:ind w:left="492" w:right="491"/>
              <w:jc w:val="center"/>
            </w:pPr>
            <w:r w:rsidRPr="00DB29B4">
              <w:t xml:space="preserve"> 68,015 </w:t>
            </w:r>
          </w:p>
        </w:tc>
        <w:tc>
          <w:tcPr>
            <w:tcW w:w="1878" w:type="dxa"/>
          </w:tcPr>
          <w:p w14:paraId="016FC567" w14:textId="77777777" w:rsidR="001D0E03" w:rsidRPr="00DB29B4" w:rsidRDefault="001D0E03" w:rsidP="002F1270">
            <w:pPr>
              <w:pStyle w:val="TableParagraph"/>
              <w:spacing w:before="13" w:line="210" w:lineRule="exact"/>
              <w:ind w:left="493" w:right="493"/>
              <w:jc w:val="center"/>
            </w:pPr>
            <w:r w:rsidRPr="00DB29B4">
              <w:t xml:space="preserve"> 69,375 </w:t>
            </w:r>
          </w:p>
        </w:tc>
      </w:tr>
    </w:tbl>
    <w:p w14:paraId="7437C593" w14:textId="77777777" w:rsidR="00AB7645" w:rsidRDefault="00AB7645" w:rsidP="00002A97">
      <w:pPr>
        <w:widowControl w:val="0"/>
        <w:suppressAutoHyphens/>
        <w:autoSpaceDE w:val="0"/>
        <w:autoSpaceDN w:val="0"/>
        <w:spacing w:after="0" w:line="240" w:lineRule="auto"/>
        <w:textAlignment w:val="baseline"/>
        <w:rPr>
          <w:rFonts w:eastAsia="Times New Roman" w:cs="Arial"/>
          <w:lang w:val="es-ES" w:eastAsia="es-ES"/>
        </w:rPr>
        <w:sectPr w:rsidR="00AB7645" w:rsidSect="00323406">
          <w:headerReference w:type="first" r:id="rId18"/>
          <w:footerReference w:type="first" r:id="rId19"/>
          <w:pgSz w:w="11906" w:h="16838" w:code="9"/>
          <w:pgMar w:top="1440" w:right="1440" w:bottom="1440" w:left="1440" w:header="720" w:footer="720" w:gutter="0"/>
          <w:cols w:space="720"/>
          <w:titlePg/>
          <w:docGrid w:linePitch="360"/>
        </w:sectPr>
      </w:pPr>
    </w:p>
    <w:p w14:paraId="7009F94B" w14:textId="473FFF48" w:rsidR="00C21712" w:rsidRPr="00C21712" w:rsidRDefault="00C21712" w:rsidP="00C21712">
      <w:pPr>
        <w:widowControl w:val="0"/>
        <w:autoSpaceDE w:val="0"/>
        <w:autoSpaceDN w:val="0"/>
        <w:spacing w:before="94" w:after="0" w:line="240" w:lineRule="auto"/>
        <w:ind w:right="-42"/>
        <w:jc w:val="right"/>
        <w:rPr>
          <w:rFonts w:eastAsia="Arial" w:cs="Arial"/>
          <w:b/>
          <w:lang w:val="es-ES"/>
        </w:rPr>
      </w:pPr>
      <w:r w:rsidRPr="00C21712">
        <w:rPr>
          <w:rFonts w:eastAsia="Arial" w:cs="Arial"/>
          <w:b/>
          <w:lang w:val="es-ES"/>
        </w:rPr>
        <w:lastRenderedPageBreak/>
        <w:t>ANEX</w:t>
      </w:r>
      <w:r w:rsidR="005E6548" w:rsidRPr="002B06DD">
        <w:rPr>
          <w:rFonts w:eastAsia="Arial" w:cs="Arial"/>
          <w:b/>
          <w:lang w:val="es-ES"/>
        </w:rPr>
        <w:t>O</w:t>
      </w:r>
      <w:r w:rsidRPr="00C21712">
        <w:rPr>
          <w:rFonts w:eastAsia="Arial" w:cs="Arial"/>
          <w:b/>
          <w:spacing w:val="-4"/>
          <w:lang w:val="es-ES"/>
        </w:rPr>
        <w:t xml:space="preserve"> </w:t>
      </w:r>
      <w:r w:rsidRPr="00C21712">
        <w:rPr>
          <w:rFonts w:eastAsia="Arial" w:cs="Arial"/>
          <w:b/>
          <w:spacing w:val="-10"/>
          <w:lang w:val="es-ES"/>
        </w:rPr>
        <w:t>2</w:t>
      </w:r>
    </w:p>
    <w:p w14:paraId="49ADB31F" w14:textId="77777777" w:rsidR="00C21712" w:rsidRPr="00C21712" w:rsidRDefault="00C21712" w:rsidP="00C21712">
      <w:pPr>
        <w:widowControl w:val="0"/>
        <w:autoSpaceDE w:val="0"/>
        <w:autoSpaceDN w:val="0"/>
        <w:spacing w:after="0"/>
        <w:ind w:right="-42"/>
        <w:jc w:val="both"/>
        <w:rPr>
          <w:rFonts w:eastAsia="Arial" w:cs="Arial"/>
          <w:lang w:val="es-ES"/>
        </w:rPr>
      </w:pPr>
    </w:p>
    <w:p w14:paraId="2F3B492F" w14:textId="44154E19" w:rsidR="00C21712" w:rsidRDefault="002B06DD" w:rsidP="007F5079">
      <w:pPr>
        <w:widowControl w:val="0"/>
        <w:autoSpaceDE w:val="0"/>
        <w:autoSpaceDN w:val="0"/>
        <w:spacing w:after="0"/>
        <w:jc w:val="center"/>
        <w:rPr>
          <w:rFonts w:eastAsia="Times New Roman" w:cs="Arial"/>
          <w:b/>
          <w:bCs/>
          <w:color w:val="000000"/>
          <w:lang w:val="es-ES"/>
        </w:rPr>
      </w:pPr>
      <w:r w:rsidRPr="002B06DD">
        <w:rPr>
          <w:rFonts w:eastAsia="Times New Roman" w:cs="Arial"/>
          <w:b/>
          <w:bCs/>
          <w:color w:val="000000"/>
          <w:lang w:val="es-ES"/>
        </w:rPr>
        <w:t>PLANTILLA DEL PROYECTO DE PRESUPUESTO 2024-2026</w:t>
      </w:r>
    </w:p>
    <w:p w14:paraId="3C7BA47C" w14:textId="77777777" w:rsidR="007F5079" w:rsidRDefault="007F5079" w:rsidP="007F5079">
      <w:pPr>
        <w:widowControl w:val="0"/>
        <w:autoSpaceDE w:val="0"/>
        <w:autoSpaceDN w:val="0"/>
        <w:spacing w:after="0"/>
        <w:jc w:val="center"/>
        <w:rPr>
          <w:rFonts w:eastAsia="Times New Roman" w:cs="Arial"/>
          <w:bCs/>
          <w:color w:val="000000"/>
          <w:lang w:val="es-ES"/>
        </w:rPr>
      </w:pPr>
    </w:p>
    <w:p w14:paraId="3EA5CC33" w14:textId="77777777" w:rsidR="007F5079" w:rsidRPr="00C21712" w:rsidRDefault="007F5079" w:rsidP="007F5079">
      <w:pPr>
        <w:widowControl w:val="0"/>
        <w:autoSpaceDE w:val="0"/>
        <w:autoSpaceDN w:val="0"/>
        <w:spacing w:after="0"/>
        <w:jc w:val="center"/>
        <w:rPr>
          <w:rFonts w:eastAsia="Arial" w:cs="Arial"/>
          <w:lang w:val="es-ES"/>
        </w:rPr>
      </w:pPr>
    </w:p>
    <w:tbl>
      <w:tblPr>
        <w:tblW w:w="8831" w:type="dxa"/>
        <w:tblInd w:w="274" w:type="dxa"/>
        <w:tblLook w:val="04A0" w:firstRow="1" w:lastRow="0" w:firstColumn="1" w:lastColumn="0" w:noHBand="0" w:noVBand="1"/>
      </w:tblPr>
      <w:tblGrid>
        <w:gridCol w:w="5116"/>
        <w:gridCol w:w="2056"/>
        <w:gridCol w:w="1659"/>
      </w:tblGrid>
      <w:tr w:rsidR="00C21712" w:rsidRPr="00C21712" w14:paraId="2C40A6DE" w14:textId="77777777" w:rsidTr="00ED0B87">
        <w:trPr>
          <w:trHeight w:val="318"/>
        </w:trPr>
        <w:tc>
          <w:tcPr>
            <w:tcW w:w="5116" w:type="dxa"/>
            <w:tcBorders>
              <w:top w:val="single" w:sz="4" w:space="0" w:color="auto"/>
              <w:left w:val="single" w:sz="8" w:space="0" w:color="auto"/>
              <w:bottom w:val="single" w:sz="4" w:space="0" w:color="auto"/>
              <w:right w:val="nil"/>
            </w:tcBorders>
            <w:shd w:val="clear" w:color="auto" w:fill="auto"/>
            <w:noWrap/>
            <w:vAlign w:val="bottom"/>
            <w:hideMark/>
          </w:tcPr>
          <w:p w14:paraId="107361AD" w14:textId="3C7CFE09" w:rsidR="00C21712" w:rsidRPr="00C21712" w:rsidRDefault="00ED0B87" w:rsidP="00C21712">
            <w:pPr>
              <w:spacing w:after="0" w:line="240" w:lineRule="auto"/>
              <w:rPr>
                <w:rFonts w:eastAsia="Times New Roman" w:cs="Arial"/>
                <w:b/>
                <w:bCs/>
                <w:color w:val="000000"/>
                <w:lang w:val="es-ES"/>
              </w:rPr>
            </w:pPr>
            <w:r w:rsidRPr="00ED0B87">
              <w:rPr>
                <w:rFonts w:eastAsia="Times New Roman" w:cs="Arial"/>
                <w:b/>
                <w:bCs/>
                <w:color w:val="000000"/>
                <w:lang w:val="es-ES"/>
              </w:rPr>
              <w:t>Puestos profesionales y superiores</w:t>
            </w:r>
          </w:p>
        </w:tc>
        <w:tc>
          <w:tcPr>
            <w:tcW w:w="2056" w:type="dxa"/>
            <w:tcBorders>
              <w:top w:val="single" w:sz="4" w:space="0" w:color="auto"/>
              <w:left w:val="nil"/>
              <w:bottom w:val="single" w:sz="4" w:space="0" w:color="auto"/>
              <w:right w:val="nil"/>
            </w:tcBorders>
            <w:shd w:val="clear" w:color="auto" w:fill="auto"/>
            <w:noWrap/>
            <w:vAlign w:val="bottom"/>
            <w:hideMark/>
          </w:tcPr>
          <w:p w14:paraId="3576D5E8" w14:textId="67EAB2D6" w:rsidR="00C21712" w:rsidRPr="00C21712" w:rsidRDefault="00ED0B87" w:rsidP="00C21712">
            <w:pPr>
              <w:spacing w:after="0" w:line="240" w:lineRule="auto"/>
              <w:jc w:val="center"/>
              <w:rPr>
                <w:rFonts w:eastAsia="Times New Roman" w:cs="Arial"/>
                <w:b/>
                <w:bCs/>
                <w:color w:val="000000"/>
                <w:lang w:val="es-ES"/>
              </w:rPr>
            </w:pPr>
            <w:r w:rsidRPr="00ED0B87">
              <w:rPr>
                <w:rFonts w:eastAsia="Times New Roman" w:cs="Arial"/>
                <w:b/>
                <w:bCs/>
                <w:color w:val="000000"/>
                <w:lang w:val="es-ES"/>
              </w:rPr>
              <w:t>es</w:t>
            </w:r>
            <w:r w:rsidR="00C21712" w:rsidRPr="00C21712">
              <w:rPr>
                <w:rFonts w:eastAsia="Times New Roman" w:cs="Arial"/>
                <w:b/>
                <w:bCs/>
                <w:color w:val="000000"/>
                <w:lang w:val="es-ES"/>
              </w:rPr>
              <w:t>cenario 1 &amp; 2</w:t>
            </w:r>
          </w:p>
        </w:tc>
        <w:tc>
          <w:tcPr>
            <w:tcW w:w="1659" w:type="dxa"/>
            <w:tcBorders>
              <w:top w:val="single" w:sz="4" w:space="0" w:color="auto"/>
              <w:left w:val="nil"/>
              <w:bottom w:val="single" w:sz="4" w:space="0" w:color="auto"/>
              <w:right w:val="single" w:sz="4" w:space="0" w:color="auto"/>
            </w:tcBorders>
            <w:shd w:val="clear" w:color="auto" w:fill="auto"/>
            <w:noWrap/>
            <w:vAlign w:val="bottom"/>
            <w:hideMark/>
          </w:tcPr>
          <w:p w14:paraId="2AF8F7A1" w14:textId="109528EA" w:rsidR="00C21712" w:rsidRPr="00C21712" w:rsidRDefault="00ED0B87" w:rsidP="00C21712">
            <w:pPr>
              <w:spacing w:after="0" w:line="240" w:lineRule="auto"/>
              <w:jc w:val="center"/>
              <w:rPr>
                <w:rFonts w:eastAsia="Times New Roman" w:cs="Arial"/>
                <w:b/>
                <w:bCs/>
                <w:color w:val="000000"/>
                <w:lang w:val="es-ES"/>
              </w:rPr>
            </w:pPr>
            <w:r w:rsidRPr="00ED0B87">
              <w:rPr>
                <w:rFonts w:eastAsia="Times New Roman" w:cs="Arial"/>
                <w:b/>
                <w:bCs/>
                <w:color w:val="000000"/>
                <w:lang w:val="es-ES"/>
              </w:rPr>
              <w:t>es</w:t>
            </w:r>
            <w:r w:rsidR="00C21712" w:rsidRPr="00C21712">
              <w:rPr>
                <w:rFonts w:eastAsia="Times New Roman" w:cs="Arial"/>
                <w:b/>
                <w:bCs/>
                <w:color w:val="000000"/>
                <w:lang w:val="es-ES"/>
              </w:rPr>
              <w:t>cenario 3</w:t>
            </w:r>
          </w:p>
        </w:tc>
      </w:tr>
      <w:tr w:rsidR="00C21712" w:rsidRPr="00C21712" w14:paraId="7F5AC60E" w14:textId="77777777" w:rsidTr="00ED0B87">
        <w:trPr>
          <w:trHeight w:val="318"/>
        </w:trPr>
        <w:tc>
          <w:tcPr>
            <w:tcW w:w="5116" w:type="dxa"/>
            <w:tcBorders>
              <w:top w:val="nil"/>
              <w:left w:val="single" w:sz="8" w:space="0" w:color="auto"/>
              <w:bottom w:val="single" w:sz="4" w:space="0" w:color="auto"/>
              <w:right w:val="single" w:sz="4" w:space="0" w:color="auto"/>
            </w:tcBorders>
            <w:shd w:val="clear" w:color="auto" w:fill="auto"/>
            <w:noWrap/>
            <w:vAlign w:val="bottom"/>
            <w:hideMark/>
          </w:tcPr>
          <w:p w14:paraId="474E6226" w14:textId="77777777" w:rsidR="00C21712" w:rsidRPr="00C21712" w:rsidRDefault="00C21712" w:rsidP="00C21712">
            <w:pPr>
              <w:spacing w:after="0" w:line="240" w:lineRule="auto"/>
              <w:rPr>
                <w:rFonts w:eastAsia="Times New Roman" w:cs="Arial"/>
                <w:color w:val="000000"/>
                <w:lang w:val="es-ES"/>
              </w:rPr>
            </w:pPr>
            <w:r w:rsidRPr="00C21712">
              <w:rPr>
                <w:rFonts w:eastAsia="Times New Roman" w:cs="Arial"/>
                <w:color w:val="000000"/>
                <w:lang w:val="es-ES"/>
              </w:rPr>
              <w:t>D-1</w:t>
            </w:r>
          </w:p>
        </w:tc>
        <w:tc>
          <w:tcPr>
            <w:tcW w:w="2056" w:type="dxa"/>
            <w:tcBorders>
              <w:top w:val="nil"/>
              <w:left w:val="nil"/>
              <w:bottom w:val="single" w:sz="4" w:space="0" w:color="auto"/>
              <w:right w:val="single" w:sz="4" w:space="0" w:color="auto"/>
            </w:tcBorders>
            <w:shd w:val="clear" w:color="auto" w:fill="auto"/>
            <w:noWrap/>
            <w:vAlign w:val="bottom"/>
            <w:hideMark/>
          </w:tcPr>
          <w:p w14:paraId="25181AEE" w14:textId="77777777" w:rsidR="00C21712" w:rsidRPr="00C21712" w:rsidRDefault="00C21712" w:rsidP="00C21712">
            <w:pPr>
              <w:spacing w:after="0" w:line="240" w:lineRule="auto"/>
              <w:jc w:val="right"/>
              <w:rPr>
                <w:rFonts w:eastAsia="Times New Roman" w:cs="Arial"/>
                <w:color w:val="000000"/>
                <w:lang w:val="es-ES"/>
              </w:rPr>
            </w:pPr>
            <w:r w:rsidRPr="00C21712">
              <w:rPr>
                <w:rFonts w:eastAsia="Times New Roman" w:cs="Arial"/>
                <w:color w:val="000000"/>
                <w:lang w:val="es-ES"/>
              </w:rPr>
              <w:t>0.97</w:t>
            </w:r>
          </w:p>
        </w:tc>
        <w:tc>
          <w:tcPr>
            <w:tcW w:w="1659" w:type="dxa"/>
            <w:tcBorders>
              <w:top w:val="nil"/>
              <w:left w:val="nil"/>
              <w:bottom w:val="single" w:sz="4" w:space="0" w:color="auto"/>
              <w:right w:val="single" w:sz="4" w:space="0" w:color="auto"/>
            </w:tcBorders>
            <w:shd w:val="clear" w:color="auto" w:fill="auto"/>
            <w:noWrap/>
            <w:vAlign w:val="bottom"/>
            <w:hideMark/>
          </w:tcPr>
          <w:p w14:paraId="28CDEF1C" w14:textId="77777777" w:rsidR="00C21712" w:rsidRPr="00C21712" w:rsidRDefault="00C21712" w:rsidP="00C21712">
            <w:pPr>
              <w:spacing w:after="0" w:line="240" w:lineRule="auto"/>
              <w:jc w:val="right"/>
              <w:rPr>
                <w:rFonts w:eastAsia="Times New Roman" w:cs="Arial"/>
                <w:color w:val="000000"/>
                <w:lang w:val="es-ES"/>
              </w:rPr>
            </w:pPr>
            <w:r w:rsidRPr="00C21712">
              <w:rPr>
                <w:rFonts w:eastAsia="Times New Roman" w:cs="Arial"/>
                <w:color w:val="000000"/>
                <w:lang w:val="es-ES"/>
              </w:rPr>
              <w:t>0.97</w:t>
            </w:r>
          </w:p>
        </w:tc>
      </w:tr>
      <w:tr w:rsidR="00C21712" w:rsidRPr="00C21712" w14:paraId="222CD92A" w14:textId="77777777" w:rsidTr="00ED0B87">
        <w:trPr>
          <w:trHeight w:val="318"/>
        </w:trPr>
        <w:tc>
          <w:tcPr>
            <w:tcW w:w="5116" w:type="dxa"/>
            <w:tcBorders>
              <w:top w:val="nil"/>
              <w:left w:val="single" w:sz="8" w:space="0" w:color="auto"/>
              <w:bottom w:val="single" w:sz="4" w:space="0" w:color="auto"/>
              <w:right w:val="single" w:sz="4" w:space="0" w:color="auto"/>
            </w:tcBorders>
            <w:shd w:val="clear" w:color="auto" w:fill="auto"/>
            <w:noWrap/>
            <w:vAlign w:val="bottom"/>
            <w:hideMark/>
          </w:tcPr>
          <w:p w14:paraId="586D12D3" w14:textId="77777777" w:rsidR="00C21712" w:rsidRPr="00C21712" w:rsidRDefault="00C21712" w:rsidP="00C21712">
            <w:pPr>
              <w:spacing w:after="0" w:line="240" w:lineRule="auto"/>
              <w:rPr>
                <w:rFonts w:eastAsia="Times New Roman" w:cs="Arial"/>
                <w:color w:val="000000"/>
                <w:lang w:val="es-ES"/>
              </w:rPr>
            </w:pPr>
            <w:r w:rsidRPr="00C21712">
              <w:rPr>
                <w:rFonts w:eastAsia="Times New Roman" w:cs="Arial"/>
                <w:color w:val="000000"/>
                <w:lang w:val="es-ES"/>
              </w:rPr>
              <w:t xml:space="preserve">P-5 </w:t>
            </w:r>
          </w:p>
        </w:tc>
        <w:tc>
          <w:tcPr>
            <w:tcW w:w="2056" w:type="dxa"/>
            <w:tcBorders>
              <w:top w:val="nil"/>
              <w:left w:val="nil"/>
              <w:bottom w:val="single" w:sz="4" w:space="0" w:color="auto"/>
              <w:right w:val="single" w:sz="4" w:space="0" w:color="auto"/>
            </w:tcBorders>
            <w:shd w:val="clear" w:color="auto" w:fill="auto"/>
            <w:noWrap/>
            <w:vAlign w:val="bottom"/>
            <w:hideMark/>
          </w:tcPr>
          <w:p w14:paraId="6B781FB6" w14:textId="77777777" w:rsidR="00C21712" w:rsidRPr="00C21712" w:rsidRDefault="00C21712" w:rsidP="00C21712">
            <w:pPr>
              <w:spacing w:after="0" w:line="240" w:lineRule="auto"/>
              <w:rPr>
                <w:rFonts w:eastAsia="Times New Roman" w:cs="Arial"/>
                <w:color w:val="000000"/>
                <w:lang w:val="es-ES"/>
              </w:rPr>
            </w:pPr>
            <w:r w:rsidRPr="00C21712">
              <w:rPr>
                <w:rFonts w:eastAsia="Times New Roman" w:cs="Arial"/>
                <w:color w:val="000000"/>
                <w:lang w:val="es-ES"/>
              </w:rPr>
              <w:t> </w:t>
            </w:r>
          </w:p>
        </w:tc>
        <w:tc>
          <w:tcPr>
            <w:tcW w:w="1659" w:type="dxa"/>
            <w:tcBorders>
              <w:top w:val="nil"/>
              <w:left w:val="nil"/>
              <w:bottom w:val="single" w:sz="4" w:space="0" w:color="auto"/>
              <w:right w:val="single" w:sz="4" w:space="0" w:color="auto"/>
            </w:tcBorders>
            <w:shd w:val="clear" w:color="auto" w:fill="auto"/>
            <w:noWrap/>
            <w:vAlign w:val="bottom"/>
            <w:hideMark/>
          </w:tcPr>
          <w:p w14:paraId="7A657B01" w14:textId="77777777" w:rsidR="00C21712" w:rsidRPr="00C21712" w:rsidRDefault="00C21712" w:rsidP="00C21712">
            <w:pPr>
              <w:spacing w:after="0" w:line="240" w:lineRule="auto"/>
              <w:jc w:val="right"/>
              <w:rPr>
                <w:rFonts w:eastAsia="Times New Roman" w:cs="Arial"/>
                <w:color w:val="000000"/>
                <w:lang w:val="es-ES"/>
              </w:rPr>
            </w:pPr>
            <w:r w:rsidRPr="00C21712">
              <w:rPr>
                <w:rFonts w:eastAsia="Times New Roman" w:cs="Arial"/>
                <w:color w:val="000000"/>
                <w:lang w:val="es-ES"/>
              </w:rPr>
              <w:t>1</w:t>
            </w:r>
          </w:p>
        </w:tc>
      </w:tr>
      <w:tr w:rsidR="00C21712" w:rsidRPr="00C21712" w14:paraId="64F0B2FD" w14:textId="77777777" w:rsidTr="00ED0B87">
        <w:trPr>
          <w:trHeight w:val="318"/>
        </w:trPr>
        <w:tc>
          <w:tcPr>
            <w:tcW w:w="5116" w:type="dxa"/>
            <w:tcBorders>
              <w:top w:val="nil"/>
              <w:left w:val="single" w:sz="8" w:space="0" w:color="auto"/>
              <w:bottom w:val="single" w:sz="4" w:space="0" w:color="auto"/>
              <w:right w:val="single" w:sz="4" w:space="0" w:color="auto"/>
            </w:tcBorders>
            <w:shd w:val="clear" w:color="auto" w:fill="auto"/>
            <w:noWrap/>
            <w:vAlign w:val="bottom"/>
            <w:hideMark/>
          </w:tcPr>
          <w:p w14:paraId="2D93E737" w14:textId="77777777" w:rsidR="00C21712" w:rsidRPr="00C21712" w:rsidRDefault="00C21712" w:rsidP="00C21712">
            <w:pPr>
              <w:spacing w:after="0" w:line="240" w:lineRule="auto"/>
              <w:rPr>
                <w:rFonts w:eastAsia="Times New Roman" w:cs="Arial"/>
                <w:color w:val="000000"/>
                <w:lang w:val="es-ES"/>
              </w:rPr>
            </w:pPr>
            <w:r w:rsidRPr="00C21712">
              <w:rPr>
                <w:rFonts w:eastAsia="Times New Roman" w:cs="Arial"/>
                <w:color w:val="000000"/>
                <w:lang w:val="es-ES"/>
              </w:rPr>
              <w:t>P-4</w:t>
            </w:r>
          </w:p>
        </w:tc>
        <w:tc>
          <w:tcPr>
            <w:tcW w:w="2056" w:type="dxa"/>
            <w:tcBorders>
              <w:top w:val="nil"/>
              <w:left w:val="nil"/>
              <w:bottom w:val="single" w:sz="4" w:space="0" w:color="auto"/>
              <w:right w:val="single" w:sz="4" w:space="0" w:color="auto"/>
            </w:tcBorders>
            <w:shd w:val="clear" w:color="auto" w:fill="auto"/>
            <w:noWrap/>
            <w:vAlign w:val="bottom"/>
            <w:hideMark/>
          </w:tcPr>
          <w:p w14:paraId="1E1A0359" w14:textId="77777777" w:rsidR="00C21712" w:rsidRPr="00C21712" w:rsidRDefault="00C21712" w:rsidP="00C21712">
            <w:pPr>
              <w:spacing w:after="0" w:line="240" w:lineRule="auto"/>
              <w:jc w:val="right"/>
              <w:rPr>
                <w:rFonts w:eastAsia="Times New Roman" w:cs="Arial"/>
                <w:color w:val="000000"/>
                <w:lang w:val="es-ES"/>
              </w:rPr>
            </w:pPr>
            <w:r w:rsidRPr="00C21712">
              <w:rPr>
                <w:rFonts w:eastAsia="Times New Roman" w:cs="Arial"/>
                <w:color w:val="000000"/>
                <w:lang w:val="es-ES"/>
              </w:rPr>
              <w:t>4.85</w:t>
            </w:r>
          </w:p>
        </w:tc>
        <w:tc>
          <w:tcPr>
            <w:tcW w:w="1659" w:type="dxa"/>
            <w:tcBorders>
              <w:top w:val="nil"/>
              <w:left w:val="nil"/>
              <w:bottom w:val="single" w:sz="4" w:space="0" w:color="auto"/>
              <w:right w:val="single" w:sz="4" w:space="0" w:color="auto"/>
            </w:tcBorders>
            <w:shd w:val="clear" w:color="auto" w:fill="auto"/>
            <w:noWrap/>
            <w:vAlign w:val="bottom"/>
            <w:hideMark/>
          </w:tcPr>
          <w:p w14:paraId="66FF230E" w14:textId="77777777" w:rsidR="00C21712" w:rsidRPr="00C21712" w:rsidRDefault="00C21712" w:rsidP="00C21712">
            <w:pPr>
              <w:spacing w:after="0" w:line="240" w:lineRule="auto"/>
              <w:jc w:val="right"/>
              <w:rPr>
                <w:rFonts w:eastAsia="Times New Roman" w:cs="Arial"/>
                <w:color w:val="000000"/>
                <w:lang w:val="es-ES"/>
              </w:rPr>
            </w:pPr>
            <w:r w:rsidRPr="00C21712">
              <w:rPr>
                <w:rFonts w:eastAsia="Times New Roman" w:cs="Arial"/>
                <w:color w:val="000000"/>
                <w:lang w:val="es-ES"/>
              </w:rPr>
              <w:t>4.85</w:t>
            </w:r>
          </w:p>
        </w:tc>
      </w:tr>
      <w:tr w:rsidR="00C21712" w:rsidRPr="00C21712" w14:paraId="6B533B4C" w14:textId="77777777" w:rsidTr="00ED0B87">
        <w:trPr>
          <w:trHeight w:val="318"/>
        </w:trPr>
        <w:tc>
          <w:tcPr>
            <w:tcW w:w="5116" w:type="dxa"/>
            <w:tcBorders>
              <w:top w:val="nil"/>
              <w:left w:val="single" w:sz="8" w:space="0" w:color="auto"/>
              <w:bottom w:val="single" w:sz="4" w:space="0" w:color="auto"/>
              <w:right w:val="single" w:sz="4" w:space="0" w:color="auto"/>
            </w:tcBorders>
            <w:shd w:val="clear" w:color="auto" w:fill="auto"/>
            <w:noWrap/>
            <w:vAlign w:val="bottom"/>
            <w:hideMark/>
          </w:tcPr>
          <w:p w14:paraId="010F8B20" w14:textId="77777777" w:rsidR="00C21712" w:rsidRPr="00C21712" w:rsidRDefault="00C21712" w:rsidP="00C21712">
            <w:pPr>
              <w:spacing w:after="0" w:line="240" w:lineRule="auto"/>
              <w:rPr>
                <w:rFonts w:eastAsia="Times New Roman" w:cs="Arial"/>
                <w:color w:val="000000"/>
                <w:lang w:val="es-ES"/>
              </w:rPr>
            </w:pPr>
            <w:r w:rsidRPr="00C21712">
              <w:rPr>
                <w:rFonts w:eastAsia="Times New Roman" w:cs="Arial"/>
                <w:color w:val="000000"/>
                <w:lang w:val="es-ES"/>
              </w:rPr>
              <w:t>P-3</w:t>
            </w:r>
          </w:p>
        </w:tc>
        <w:tc>
          <w:tcPr>
            <w:tcW w:w="2056" w:type="dxa"/>
            <w:tcBorders>
              <w:top w:val="nil"/>
              <w:left w:val="nil"/>
              <w:bottom w:val="single" w:sz="4" w:space="0" w:color="auto"/>
              <w:right w:val="single" w:sz="4" w:space="0" w:color="auto"/>
            </w:tcBorders>
            <w:shd w:val="clear" w:color="auto" w:fill="auto"/>
            <w:noWrap/>
            <w:vAlign w:val="bottom"/>
            <w:hideMark/>
          </w:tcPr>
          <w:p w14:paraId="4C58FDBA" w14:textId="77777777" w:rsidR="00C21712" w:rsidRPr="00C21712" w:rsidRDefault="00C21712" w:rsidP="00C21712">
            <w:pPr>
              <w:spacing w:after="0" w:line="240" w:lineRule="auto"/>
              <w:jc w:val="right"/>
              <w:rPr>
                <w:rFonts w:eastAsia="Times New Roman" w:cs="Arial"/>
                <w:color w:val="000000"/>
                <w:lang w:val="es-ES"/>
              </w:rPr>
            </w:pPr>
            <w:r w:rsidRPr="00C21712">
              <w:rPr>
                <w:rFonts w:eastAsia="Times New Roman" w:cs="Arial"/>
                <w:color w:val="000000"/>
                <w:lang w:val="es-ES"/>
              </w:rPr>
              <w:t>2.20</w:t>
            </w:r>
          </w:p>
        </w:tc>
        <w:tc>
          <w:tcPr>
            <w:tcW w:w="1659" w:type="dxa"/>
            <w:tcBorders>
              <w:top w:val="nil"/>
              <w:left w:val="nil"/>
              <w:bottom w:val="single" w:sz="4" w:space="0" w:color="auto"/>
              <w:right w:val="single" w:sz="4" w:space="0" w:color="auto"/>
            </w:tcBorders>
            <w:shd w:val="clear" w:color="auto" w:fill="auto"/>
            <w:noWrap/>
            <w:vAlign w:val="bottom"/>
            <w:hideMark/>
          </w:tcPr>
          <w:p w14:paraId="0D0A9DC5" w14:textId="77777777" w:rsidR="00C21712" w:rsidRPr="00C21712" w:rsidRDefault="00C21712" w:rsidP="00C21712">
            <w:pPr>
              <w:spacing w:after="0" w:line="240" w:lineRule="auto"/>
              <w:jc w:val="right"/>
              <w:rPr>
                <w:rFonts w:eastAsia="Times New Roman" w:cs="Arial"/>
                <w:color w:val="000000"/>
                <w:lang w:val="es-ES"/>
              </w:rPr>
            </w:pPr>
            <w:r w:rsidRPr="00C21712">
              <w:rPr>
                <w:rFonts w:eastAsia="Times New Roman" w:cs="Arial"/>
                <w:color w:val="000000"/>
                <w:lang w:val="es-ES"/>
              </w:rPr>
              <w:t>2.20</w:t>
            </w:r>
          </w:p>
        </w:tc>
      </w:tr>
      <w:tr w:rsidR="00C21712" w:rsidRPr="00C21712" w14:paraId="3936CF57" w14:textId="77777777" w:rsidTr="00ED0B87">
        <w:trPr>
          <w:trHeight w:val="318"/>
        </w:trPr>
        <w:tc>
          <w:tcPr>
            <w:tcW w:w="5116" w:type="dxa"/>
            <w:tcBorders>
              <w:top w:val="nil"/>
              <w:left w:val="single" w:sz="8" w:space="0" w:color="auto"/>
              <w:bottom w:val="single" w:sz="4" w:space="0" w:color="auto"/>
              <w:right w:val="single" w:sz="4" w:space="0" w:color="auto"/>
            </w:tcBorders>
            <w:shd w:val="clear" w:color="auto" w:fill="auto"/>
            <w:noWrap/>
            <w:vAlign w:val="bottom"/>
            <w:hideMark/>
          </w:tcPr>
          <w:p w14:paraId="7316BD4E" w14:textId="77777777" w:rsidR="00C21712" w:rsidRPr="00C21712" w:rsidRDefault="00C21712" w:rsidP="00C21712">
            <w:pPr>
              <w:spacing w:after="0" w:line="240" w:lineRule="auto"/>
              <w:rPr>
                <w:rFonts w:eastAsia="Times New Roman" w:cs="Arial"/>
                <w:color w:val="000000"/>
                <w:lang w:val="es-ES"/>
              </w:rPr>
            </w:pPr>
            <w:r w:rsidRPr="00C21712">
              <w:rPr>
                <w:rFonts w:eastAsia="Times New Roman" w:cs="Arial"/>
                <w:color w:val="000000"/>
                <w:lang w:val="es-ES"/>
              </w:rPr>
              <w:t>P-2</w:t>
            </w:r>
          </w:p>
        </w:tc>
        <w:tc>
          <w:tcPr>
            <w:tcW w:w="2056" w:type="dxa"/>
            <w:tcBorders>
              <w:top w:val="nil"/>
              <w:left w:val="nil"/>
              <w:bottom w:val="single" w:sz="4" w:space="0" w:color="auto"/>
              <w:right w:val="single" w:sz="4" w:space="0" w:color="auto"/>
            </w:tcBorders>
            <w:shd w:val="clear" w:color="auto" w:fill="auto"/>
            <w:noWrap/>
            <w:vAlign w:val="bottom"/>
            <w:hideMark/>
          </w:tcPr>
          <w:p w14:paraId="4A694C5A" w14:textId="77777777" w:rsidR="00C21712" w:rsidRPr="00C21712" w:rsidRDefault="00C21712" w:rsidP="00C21712">
            <w:pPr>
              <w:spacing w:after="0" w:line="240" w:lineRule="auto"/>
              <w:jc w:val="right"/>
              <w:rPr>
                <w:rFonts w:eastAsia="Times New Roman" w:cs="Arial"/>
                <w:color w:val="000000"/>
                <w:lang w:val="es-ES"/>
              </w:rPr>
            </w:pPr>
            <w:r w:rsidRPr="00C21712">
              <w:rPr>
                <w:rFonts w:eastAsia="Times New Roman" w:cs="Arial"/>
                <w:color w:val="000000"/>
                <w:lang w:val="es-ES"/>
              </w:rPr>
              <w:t>2.75</w:t>
            </w:r>
          </w:p>
        </w:tc>
        <w:tc>
          <w:tcPr>
            <w:tcW w:w="1659" w:type="dxa"/>
            <w:tcBorders>
              <w:top w:val="nil"/>
              <w:left w:val="nil"/>
              <w:bottom w:val="single" w:sz="4" w:space="0" w:color="auto"/>
              <w:right w:val="single" w:sz="4" w:space="0" w:color="auto"/>
            </w:tcBorders>
            <w:shd w:val="clear" w:color="auto" w:fill="auto"/>
            <w:noWrap/>
            <w:vAlign w:val="bottom"/>
            <w:hideMark/>
          </w:tcPr>
          <w:p w14:paraId="44A2EBA4" w14:textId="77777777" w:rsidR="00C21712" w:rsidRPr="00C21712" w:rsidRDefault="00C21712" w:rsidP="00C21712">
            <w:pPr>
              <w:spacing w:after="0" w:line="240" w:lineRule="auto"/>
              <w:jc w:val="right"/>
              <w:rPr>
                <w:rFonts w:eastAsia="Times New Roman" w:cs="Arial"/>
                <w:color w:val="000000"/>
                <w:lang w:val="es-ES"/>
              </w:rPr>
            </w:pPr>
            <w:r w:rsidRPr="00C21712">
              <w:rPr>
                <w:rFonts w:eastAsia="Times New Roman" w:cs="Arial"/>
                <w:color w:val="000000"/>
                <w:lang w:val="es-ES"/>
              </w:rPr>
              <w:t>4.75</w:t>
            </w:r>
          </w:p>
        </w:tc>
      </w:tr>
      <w:tr w:rsidR="00C21712" w:rsidRPr="00C21712" w14:paraId="2FB10E72" w14:textId="77777777" w:rsidTr="00ED0B87">
        <w:trPr>
          <w:trHeight w:val="318"/>
        </w:trPr>
        <w:tc>
          <w:tcPr>
            <w:tcW w:w="5116" w:type="dxa"/>
            <w:tcBorders>
              <w:top w:val="nil"/>
              <w:left w:val="single" w:sz="8" w:space="0" w:color="auto"/>
              <w:bottom w:val="single" w:sz="4" w:space="0" w:color="auto"/>
              <w:right w:val="nil"/>
            </w:tcBorders>
            <w:shd w:val="clear" w:color="auto" w:fill="auto"/>
            <w:noWrap/>
            <w:vAlign w:val="bottom"/>
            <w:hideMark/>
          </w:tcPr>
          <w:p w14:paraId="06BD1181" w14:textId="77777777" w:rsidR="00C21712" w:rsidRPr="00C21712" w:rsidRDefault="00C21712" w:rsidP="00C21712">
            <w:pPr>
              <w:spacing w:after="0" w:line="240" w:lineRule="auto"/>
              <w:rPr>
                <w:rFonts w:eastAsia="Times New Roman" w:cs="Arial"/>
                <w:b/>
                <w:bCs/>
                <w:color w:val="000000"/>
                <w:lang w:val="es-ES"/>
              </w:rPr>
            </w:pPr>
            <w:r w:rsidRPr="00C21712">
              <w:rPr>
                <w:rFonts w:eastAsia="Times New Roman" w:cs="Arial"/>
                <w:b/>
                <w:bCs/>
                <w:color w:val="000000"/>
                <w:lang w:val="es-ES"/>
              </w:rPr>
              <w:t>Subtotal</w:t>
            </w:r>
          </w:p>
        </w:tc>
        <w:tc>
          <w:tcPr>
            <w:tcW w:w="2056" w:type="dxa"/>
            <w:tcBorders>
              <w:top w:val="nil"/>
              <w:left w:val="nil"/>
              <w:bottom w:val="single" w:sz="4" w:space="0" w:color="auto"/>
              <w:right w:val="nil"/>
            </w:tcBorders>
            <w:shd w:val="clear" w:color="auto" w:fill="auto"/>
            <w:noWrap/>
            <w:vAlign w:val="bottom"/>
            <w:hideMark/>
          </w:tcPr>
          <w:p w14:paraId="1E552DA0" w14:textId="77777777" w:rsidR="00C21712" w:rsidRPr="00C21712" w:rsidRDefault="00C21712" w:rsidP="00C21712">
            <w:pPr>
              <w:spacing w:after="0" w:line="240" w:lineRule="auto"/>
              <w:jc w:val="right"/>
              <w:rPr>
                <w:rFonts w:eastAsia="Times New Roman" w:cs="Arial"/>
                <w:b/>
                <w:bCs/>
                <w:color w:val="000000"/>
                <w:lang w:val="es-ES"/>
              </w:rPr>
            </w:pPr>
            <w:r w:rsidRPr="00C21712">
              <w:rPr>
                <w:rFonts w:eastAsia="Times New Roman" w:cs="Arial"/>
                <w:b/>
                <w:bCs/>
                <w:color w:val="000000"/>
                <w:lang w:val="es-ES"/>
              </w:rPr>
              <w:t>10.77</w:t>
            </w:r>
          </w:p>
        </w:tc>
        <w:tc>
          <w:tcPr>
            <w:tcW w:w="1659" w:type="dxa"/>
            <w:tcBorders>
              <w:top w:val="nil"/>
              <w:left w:val="nil"/>
              <w:bottom w:val="single" w:sz="4" w:space="0" w:color="auto"/>
              <w:right w:val="single" w:sz="4" w:space="0" w:color="auto"/>
            </w:tcBorders>
            <w:shd w:val="clear" w:color="auto" w:fill="auto"/>
            <w:noWrap/>
            <w:vAlign w:val="bottom"/>
            <w:hideMark/>
          </w:tcPr>
          <w:p w14:paraId="44C40999" w14:textId="77777777" w:rsidR="00C21712" w:rsidRPr="00C21712" w:rsidRDefault="00C21712" w:rsidP="00C21712">
            <w:pPr>
              <w:spacing w:after="0" w:line="240" w:lineRule="auto"/>
              <w:jc w:val="right"/>
              <w:rPr>
                <w:rFonts w:eastAsia="Times New Roman" w:cs="Arial"/>
                <w:b/>
                <w:bCs/>
                <w:color w:val="000000"/>
                <w:lang w:val="es-ES"/>
              </w:rPr>
            </w:pPr>
            <w:r w:rsidRPr="00C21712">
              <w:rPr>
                <w:rFonts w:eastAsia="Times New Roman" w:cs="Arial"/>
                <w:b/>
                <w:bCs/>
                <w:color w:val="000000"/>
                <w:lang w:val="es-ES"/>
              </w:rPr>
              <w:t>13.77</w:t>
            </w:r>
          </w:p>
        </w:tc>
      </w:tr>
      <w:tr w:rsidR="00C21712" w:rsidRPr="00C21712" w14:paraId="62559DD5" w14:textId="77777777" w:rsidTr="00ED0B87">
        <w:trPr>
          <w:trHeight w:val="318"/>
        </w:trPr>
        <w:tc>
          <w:tcPr>
            <w:tcW w:w="5116" w:type="dxa"/>
            <w:tcBorders>
              <w:top w:val="single" w:sz="4" w:space="0" w:color="auto"/>
              <w:left w:val="single" w:sz="8" w:space="0" w:color="auto"/>
              <w:bottom w:val="single" w:sz="4" w:space="0" w:color="auto"/>
              <w:right w:val="nil"/>
            </w:tcBorders>
            <w:shd w:val="clear" w:color="auto" w:fill="auto"/>
            <w:noWrap/>
            <w:vAlign w:val="bottom"/>
            <w:hideMark/>
          </w:tcPr>
          <w:p w14:paraId="3683F96A" w14:textId="1E934DBB" w:rsidR="00C21712" w:rsidRPr="00C21712" w:rsidRDefault="00B86E40" w:rsidP="00C21712">
            <w:pPr>
              <w:spacing w:after="0" w:line="240" w:lineRule="auto"/>
              <w:rPr>
                <w:rFonts w:eastAsia="Times New Roman" w:cs="Arial"/>
                <w:b/>
                <w:bCs/>
                <w:color w:val="000000"/>
                <w:lang w:val="es-ES"/>
              </w:rPr>
            </w:pPr>
            <w:r w:rsidRPr="00B86E40">
              <w:rPr>
                <w:rFonts w:eastAsia="Times New Roman" w:cs="Arial"/>
                <w:b/>
                <w:bCs/>
                <w:color w:val="000000"/>
                <w:lang w:val="es-ES"/>
              </w:rPr>
              <w:t>Puestos de Servicios Generales</w:t>
            </w:r>
          </w:p>
        </w:tc>
        <w:tc>
          <w:tcPr>
            <w:tcW w:w="2056" w:type="dxa"/>
            <w:tcBorders>
              <w:top w:val="single" w:sz="4" w:space="0" w:color="auto"/>
              <w:left w:val="nil"/>
              <w:bottom w:val="single" w:sz="4" w:space="0" w:color="auto"/>
              <w:right w:val="nil"/>
            </w:tcBorders>
            <w:shd w:val="clear" w:color="auto" w:fill="auto"/>
            <w:noWrap/>
            <w:vAlign w:val="bottom"/>
            <w:hideMark/>
          </w:tcPr>
          <w:p w14:paraId="000434B9" w14:textId="77777777" w:rsidR="00C21712" w:rsidRPr="00C21712" w:rsidRDefault="00C21712" w:rsidP="00C21712">
            <w:pPr>
              <w:spacing w:after="0" w:line="240" w:lineRule="auto"/>
              <w:rPr>
                <w:rFonts w:eastAsia="Times New Roman" w:cs="Arial"/>
                <w:b/>
                <w:bCs/>
                <w:color w:val="000000"/>
                <w:lang w:val="es-ES"/>
              </w:rPr>
            </w:pPr>
            <w:r w:rsidRPr="00C21712">
              <w:rPr>
                <w:rFonts w:eastAsia="Times New Roman" w:cs="Arial"/>
                <w:b/>
                <w:bCs/>
                <w:color w:val="000000"/>
                <w:lang w:val="es-ES"/>
              </w:rPr>
              <w:t> </w:t>
            </w:r>
          </w:p>
        </w:tc>
        <w:tc>
          <w:tcPr>
            <w:tcW w:w="1659" w:type="dxa"/>
            <w:tcBorders>
              <w:top w:val="single" w:sz="4" w:space="0" w:color="auto"/>
              <w:left w:val="nil"/>
              <w:bottom w:val="single" w:sz="4" w:space="0" w:color="auto"/>
              <w:right w:val="single" w:sz="4" w:space="0" w:color="auto"/>
            </w:tcBorders>
            <w:shd w:val="clear" w:color="auto" w:fill="auto"/>
            <w:noWrap/>
            <w:vAlign w:val="bottom"/>
            <w:hideMark/>
          </w:tcPr>
          <w:p w14:paraId="3C674F2F" w14:textId="77777777" w:rsidR="00C21712" w:rsidRPr="00C21712" w:rsidRDefault="00C21712" w:rsidP="00C21712">
            <w:pPr>
              <w:spacing w:after="0" w:line="240" w:lineRule="auto"/>
              <w:rPr>
                <w:rFonts w:eastAsia="Times New Roman" w:cs="Arial"/>
                <w:b/>
                <w:bCs/>
                <w:color w:val="000000"/>
                <w:lang w:val="es-ES"/>
              </w:rPr>
            </w:pPr>
            <w:r w:rsidRPr="00C21712">
              <w:rPr>
                <w:rFonts w:eastAsia="Times New Roman" w:cs="Arial"/>
                <w:b/>
                <w:bCs/>
                <w:color w:val="000000"/>
                <w:lang w:val="es-ES"/>
              </w:rPr>
              <w:t> </w:t>
            </w:r>
          </w:p>
        </w:tc>
      </w:tr>
      <w:tr w:rsidR="00C21712" w:rsidRPr="00C21712" w14:paraId="285CE667" w14:textId="77777777" w:rsidTr="00ED0B87">
        <w:trPr>
          <w:trHeight w:val="318"/>
        </w:trPr>
        <w:tc>
          <w:tcPr>
            <w:tcW w:w="5116" w:type="dxa"/>
            <w:tcBorders>
              <w:top w:val="nil"/>
              <w:left w:val="single" w:sz="8" w:space="0" w:color="auto"/>
              <w:bottom w:val="single" w:sz="4" w:space="0" w:color="auto"/>
              <w:right w:val="nil"/>
            </w:tcBorders>
            <w:shd w:val="clear" w:color="auto" w:fill="auto"/>
            <w:noWrap/>
            <w:vAlign w:val="bottom"/>
            <w:hideMark/>
          </w:tcPr>
          <w:p w14:paraId="0994E154" w14:textId="77777777" w:rsidR="00C21712" w:rsidRPr="00C21712" w:rsidRDefault="00C21712" w:rsidP="00C21712">
            <w:pPr>
              <w:spacing w:after="0" w:line="240" w:lineRule="auto"/>
              <w:rPr>
                <w:rFonts w:eastAsia="Times New Roman" w:cs="Arial"/>
                <w:color w:val="000000"/>
                <w:lang w:val="es-ES"/>
              </w:rPr>
            </w:pPr>
            <w:r w:rsidRPr="00C21712">
              <w:rPr>
                <w:rFonts w:eastAsia="Times New Roman" w:cs="Arial"/>
                <w:color w:val="000000"/>
                <w:lang w:val="es-ES"/>
              </w:rPr>
              <w:t>G-7</w:t>
            </w:r>
          </w:p>
        </w:tc>
        <w:tc>
          <w:tcPr>
            <w:tcW w:w="2056" w:type="dxa"/>
            <w:tcBorders>
              <w:top w:val="nil"/>
              <w:left w:val="single" w:sz="4" w:space="0" w:color="auto"/>
              <w:bottom w:val="single" w:sz="4" w:space="0" w:color="auto"/>
              <w:right w:val="single" w:sz="4" w:space="0" w:color="auto"/>
            </w:tcBorders>
            <w:shd w:val="clear" w:color="auto" w:fill="auto"/>
            <w:noWrap/>
            <w:vAlign w:val="bottom"/>
            <w:hideMark/>
          </w:tcPr>
          <w:p w14:paraId="2F950B0A" w14:textId="77777777" w:rsidR="00C21712" w:rsidRPr="00C21712" w:rsidRDefault="00C21712" w:rsidP="00C21712">
            <w:pPr>
              <w:spacing w:after="0" w:line="240" w:lineRule="auto"/>
              <w:jc w:val="right"/>
              <w:rPr>
                <w:rFonts w:eastAsia="Times New Roman" w:cs="Arial"/>
                <w:color w:val="000000"/>
                <w:lang w:val="es-ES"/>
              </w:rPr>
            </w:pPr>
            <w:r w:rsidRPr="00C21712">
              <w:rPr>
                <w:rFonts w:eastAsia="Times New Roman" w:cs="Arial"/>
                <w:color w:val="000000"/>
                <w:lang w:val="es-ES"/>
              </w:rPr>
              <w:t>1</w:t>
            </w:r>
          </w:p>
        </w:tc>
        <w:tc>
          <w:tcPr>
            <w:tcW w:w="1659" w:type="dxa"/>
            <w:tcBorders>
              <w:top w:val="nil"/>
              <w:left w:val="nil"/>
              <w:bottom w:val="single" w:sz="4" w:space="0" w:color="auto"/>
              <w:right w:val="single" w:sz="4" w:space="0" w:color="auto"/>
            </w:tcBorders>
            <w:shd w:val="clear" w:color="auto" w:fill="auto"/>
            <w:noWrap/>
            <w:vAlign w:val="bottom"/>
            <w:hideMark/>
          </w:tcPr>
          <w:p w14:paraId="03D548F7" w14:textId="77777777" w:rsidR="00C21712" w:rsidRPr="00C21712" w:rsidRDefault="00C21712" w:rsidP="00C21712">
            <w:pPr>
              <w:spacing w:after="0" w:line="240" w:lineRule="auto"/>
              <w:jc w:val="right"/>
              <w:rPr>
                <w:rFonts w:eastAsia="Times New Roman" w:cs="Arial"/>
                <w:color w:val="000000"/>
                <w:lang w:val="es-ES"/>
              </w:rPr>
            </w:pPr>
            <w:r w:rsidRPr="00C21712">
              <w:rPr>
                <w:rFonts w:eastAsia="Times New Roman" w:cs="Arial"/>
                <w:color w:val="000000"/>
                <w:lang w:val="es-ES"/>
              </w:rPr>
              <w:t>1</w:t>
            </w:r>
          </w:p>
        </w:tc>
      </w:tr>
      <w:tr w:rsidR="00C21712" w:rsidRPr="00C21712" w14:paraId="67659F64" w14:textId="77777777" w:rsidTr="00ED0B87">
        <w:trPr>
          <w:trHeight w:val="318"/>
        </w:trPr>
        <w:tc>
          <w:tcPr>
            <w:tcW w:w="5116" w:type="dxa"/>
            <w:tcBorders>
              <w:top w:val="nil"/>
              <w:left w:val="single" w:sz="8" w:space="0" w:color="auto"/>
              <w:bottom w:val="single" w:sz="4" w:space="0" w:color="auto"/>
              <w:right w:val="nil"/>
            </w:tcBorders>
            <w:shd w:val="clear" w:color="auto" w:fill="auto"/>
            <w:noWrap/>
            <w:vAlign w:val="bottom"/>
            <w:hideMark/>
          </w:tcPr>
          <w:p w14:paraId="0EFFB984" w14:textId="77777777" w:rsidR="00C21712" w:rsidRPr="00C21712" w:rsidRDefault="00C21712" w:rsidP="00C21712">
            <w:pPr>
              <w:spacing w:after="0" w:line="240" w:lineRule="auto"/>
              <w:rPr>
                <w:rFonts w:eastAsia="Times New Roman" w:cs="Arial"/>
                <w:color w:val="000000"/>
                <w:lang w:val="es-ES"/>
              </w:rPr>
            </w:pPr>
            <w:r w:rsidRPr="00C21712">
              <w:rPr>
                <w:rFonts w:eastAsia="Times New Roman" w:cs="Arial"/>
                <w:color w:val="000000"/>
                <w:lang w:val="es-ES"/>
              </w:rPr>
              <w:t>G-6</w:t>
            </w:r>
          </w:p>
        </w:tc>
        <w:tc>
          <w:tcPr>
            <w:tcW w:w="2056" w:type="dxa"/>
            <w:tcBorders>
              <w:top w:val="nil"/>
              <w:left w:val="single" w:sz="4" w:space="0" w:color="auto"/>
              <w:bottom w:val="single" w:sz="4" w:space="0" w:color="auto"/>
              <w:right w:val="single" w:sz="4" w:space="0" w:color="auto"/>
            </w:tcBorders>
            <w:shd w:val="clear" w:color="auto" w:fill="auto"/>
            <w:noWrap/>
            <w:vAlign w:val="bottom"/>
            <w:hideMark/>
          </w:tcPr>
          <w:p w14:paraId="037CA3FF" w14:textId="77777777" w:rsidR="00C21712" w:rsidRPr="00C21712" w:rsidRDefault="00C21712" w:rsidP="00C21712">
            <w:pPr>
              <w:spacing w:after="0" w:line="240" w:lineRule="auto"/>
              <w:jc w:val="right"/>
              <w:rPr>
                <w:rFonts w:eastAsia="Times New Roman" w:cs="Arial"/>
                <w:color w:val="000000"/>
                <w:lang w:val="es-ES"/>
              </w:rPr>
            </w:pPr>
            <w:r w:rsidRPr="00C21712">
              <w:rPr>
                <w:rFonts w:eastAsia="Times New Roman" w:cs="Arial"/>
                <w:color w:val="000000"/>
                <w:lang w:val="es-ES"/>
              </w:rPr>
              <w:t>2</w:t>
            </w:r>
          </w:p>
        </w:tc>
        <w:tc>
          <w:tcPr>
            <w:tcW w:w="1659" w:type="dxa"/>
            <w:tcBorders>
              <w:top w:val="nil"/>
              <w:left w:val="nil"/>
              <w:bottom w:val="single" w:sz="4" w:space="0" w:color="auto"/>
              <w:right w:val="single" w:sz="4" w:space="0" w:color="auto"/>
            </w:tcBorders>
            <w:shd w:val="clear" w:color="auto" w:fill="auto"/>
            <w:noWrap/>
            <w:vAlign w:val="bottom"/>
            <w:hideMark/>
          </w:tcPr>
          <w:p w14:paraId="5FAC1319" w14:textId="77777777" w:rsidR="00C21712" w:rsidRPr="00C21712" w:rsidRDefault="00C21712" w:rsidP="00C21712">
            <w:pPr>
              <w:spacing w:after="0" w:line="240" w:lineRule="auto"/>
              <w:jc w:val="right"/>
              <w:rPr>
                <w:rFonts w:eastAsia="Times New Roman" w:cs="Arial"/>
                <w:color w:val="000000"/>
                <w:lang w:val="es-ES"/>
              </w:rPr>
            </w:pPr>
            <w:r w:rsidRPr="00C21712">
              <w:rPr>
                <w:rFonts w:eastAsia="Times New Roman" w:cs="Arial"/>
                <w:color w:val="000000"/>
                <w:lang w:val="es-ES"/>
              </w:rPr>
              <w:t>2</w:t>
            </w:r>
          </w:p>
        </w:tc>
      </w:tr>
      <w:tr w:rsidR="00C21712" w:rsidRPr="00C21712" w14:paraId="540B0959" w14:textId="77777777" w:rsidTr="00ED0B87">
        <w:trPr>
          <w:trHeight w:val="318"/>
        </w:trPr>
        <w:tc>
          <w:tcPr>
            <w:tcW w:w="5116" w:type="dxa"/>
            <w:tcBorders>
              <w:top w:val="nil"/>
              <w:left w:val="single" w:sz="8" w:space="0" w:color="auto"/>
              <w:bottom w:val="single" w:sz="4" w:space="0" w:color="auto"/>
              <w:right w:val="nil"/>
            </w:tcBorders>
            <w:shd w:val="clear" w:color="auto" w:fill="auto"/>
            <w:noWrap/>
            <w:vAlign w:val="bottom"/>
            <w:hideMark/>
          </w:tcPr>
          <w:p w14:paraId="40A09C17" w14:textId="77777777" w:rsidR="00C21712" w:rsidRPr="00C21712" w:rsidRDefault="00C21712" w:rsidP="00C21712">
            <w:pPr>
              <w:spacing w:after="0" w:line="240" w:lineRule="auto"/>
              <w:rPr>
                <w:rFonts w:eastAsia="Times New Roman" w:cs="Arial"/>
                <w:color w:val="000000"/>
                <w:lang w:val="es-ES"/>
              </w:rPr>
            </w:pPr>
            <w:r w:rsidRPr="00C21712">
              <w:rPr>
                <w:rFonts w:eastAsia="Times New Roman" w:cs="Arial"/>
                <w:color w:val="000000"/>
                <w:lang w:val="es-ES"/>
              </w:rPr>
              <w:t>G-5</w:t>
            </w:r>
          </w:p>
        </w:tc>
        <w:tc>
          <w:tcPr>
            <w:tcW w:w="2056" w:type="dxa"/>
            <w:tcBorders>
              <w:top w:val="nil"/>
              <w:left w:val="single" w:sz="4" w:space="0" w:color="auto"/>
              <w:bottom w:val="single" w:sz="4" w:space="0" w:color="auto"/>
              <w:right w:val="single" w:sz="4" w:space="0" w:color="auto"/>
            </w:tcBorders>
            <w:shd w:val="clear" w:color="auto" w:fill="auto"/>
            <w:noWrap/>
            <w:vAlign w:val="bottom"/>
            <w:hideMark/>
          </w:tcPr>
          <w:p w14:paraId="6C90F33F" w14:textId="77777777" w:rsidR="00C21712" w:rsidRPr="00C21712" w:rsidRDefault="00C21712" w:rsidP="00C21712">
            <w:pPr>
              <w:spacing w:after="0" w:line="240" w:lineRule="auto"/>
              <w:jc w:val="right"/>
              <w:rPr>
                <w:rFonts w:eastAsia="Times New Roman" w:cs="Arial"/>
                <w:color w:val="000000"/>
                <w:lang w:val="es-ES"/>
              </w:rPr>
            </w:pPr>
            <w:r w:rsidRPr="00C21712">
              <w:rPr>
                <w:rFonts w:eastAsia="Times New Roman" w:cs="Arial"/>
                <w:color w:val="000000"/>
                <w:lang w:val="es-ES"/>
              </w:rPr>
              <w:t>3.5</w:t>
            </w:r>
          </w:p>
        </w:tc>
        <w:tc>
          <w:tcPr>
            <w:tcW w:w="1659" w:type="dxa"/>
            <w:tcBorders>
              <w:top w:val="nil"/>
              <w:left w:val="nil"/>
              <w:bottom w:val="single" w:sz="4" w:space="0" w:color="auto"/>
              <w:right w:val="single" w:sz="4" w:space="0" w:color="auto"/>
            </w:tcBorders>
            <w:shd w:val="clear" w:color="auto" w:fill="auto"/>
            <w:noWrap/>
            <w:vAlign w:val="bottom"/>
            <w:hideMark/>
          </w:tcPr>
          <w:p w14:paraId="0FD0B060" w14:textId="77777777" w:rsidR="00C21712" w:rsidRPr="00C21712" w:rsidRDefault="00C21712" w:rsidP="00C21712">
            <w:pPr>
              <w:spacing w:after="0" w:line="240" w:lineRule="auto"/>
              <w:jc w:val="right"/>
              <w:rPr>
                <w:rFonts w:eastAsia="Times New Roman" w:cs="Arial"/>
                <w:color w:val="000000"/>
                <w:lang w:val="es-ES"/>
              </w:rPr>
            </w:pPr>
            <w:r w:rsidRPr="00C21712">
              <w:rPr>
                <w:rFonts w:eastAsia="Times New Roman" w:cs="Arial"/>
                <w:color w:val="000000"/>
                <w:lang w:val="es-ES"/>
              </w:rPr>
              <w:t>5</w:t>
            </w:r>
          </w:p>
        </w:tc>
      </w:tr>
      <w:tr w:rsidR="00C21712" w:rsidRPr="00C21712" w14:paraId="1E445AF0" w14:textId="77777777" w:rsidTr="00ED0B87">
        <w:trPr>
          <w:trHeight w:val="318"/>
        </w:trPr>
        <w:tc>
          <w:tcPr>
            <w:tcW w:w="5116" w:type="dxa"/>
            <w:tcBorders>
              <w:top w:val="nil"/>
              <w:left w:val="single" w:sz="8" w:space="0" w:color="auto"/>
              <w:bottom w:val="single" w:sz="4" w:space="0" w:color="auto"/>
              <w:right w:val="nil"/>
            </w:tcBorders>
            <w:shd w:val="clear" w:color="auto" w:fill="auto"/>
            <w:noWrap/>
            <w:vAlign w:val="bottom"/>
            <w:hideMark/>
          </w:tcPr>
          <w:p w14:paraId="46727732" w14:textId="77777777" w:rsidR="00C21712" w:rsidRPr="00C21712" w:rsidRDefault="00C21712" w:rsidP="00C21712">
            <w:pPr>
              <w:spacing w:after="0" w:line="240" w:lineRule="auto"/>
              <w:rPr>
                <w:rFonts w:eastAsia="Times New Roman" w:cs="Arial"/>
                <w:color w:val="000000"/>
                <w:lang w:val="es-ES"/>
              </w:rPr>
            </w:pPr>
            <w:r w:rsidRPr="00C21712">
              <w:rPr>
                <w:rFonts w:eastAsia="Times New Roman" w:cs="Arial"/>
                <w:color w:val="000000"/>
                <w:lang w:val="es-ES"/>
              </w:rPr>
              <w:t>G-4 *</w:t>
            </w:r>
          </w:p>
        </w:tc>
        <w:tc>
          <w:tcPr>
            <w:tcW w:w="2056" w:type="dxa"/>
            <w:tcBorders>
              <w:top w:val="nil"/>
              <w:left w:val="single" w:sz="4" w:space="0" w:color="auto"/>
              <w:bottom w:val="single" w:sz="4" w:space="0" w:color="auto"/>
              <w:right w:val="single" w:sz="4" w:space="0" w:color="auto"/>
            </w:tcBorders>
            <w:shd w:val="clear" w:color="auto" w:fill="auto"/>
            <w:noWrap/>
            <w:vAlign w:val="bottom"/>
            <w:hideMark/>
          </w:tcPr>
          <w:p w14:paraId="3053872A" w14:textId="77777777" w:rsidR="00C21712" w:rsidRPr="00C21712" w:rsidRDefault="00C21712" w:rsidP="00C21712">
            <w:pPr>
              <w:spacing w:after="0" w:line="240" w:lineRule="auto"/>
              <w:jc w:val="right"/>
              <w:rPr>
                <w:rFonts w:eastAsia="Times New Roman" w:cs="Arial"/>
                <w:color w:val="000000"/>
                <w:lang w:val="es-ES"/>
              </w:rPr>
            </w:pPr>
            <w:r w:rsidRPr="00C21712">
              <w:rPr>
                <w:rFonts w:eastAsia="Times New Roman" w:cs="Arial"/>
                <w:color w:val="000000"/>
                <w:lang w:val="es-ES"/>
              </w:rPr>
              <w:t>0.5</w:t>
            </w:r>
          </w:p>
        </w:tc>
        <w:tc>
          <w:tcPr>
            <w:tcW w:w="1659" w:type="dxa"/>
            <w:tcBorders>
              <w:top w:val="nil"/>
              <w:left w:val="nil"/>
              <w:bottom w:val="single" w:sz="4" w:space="0" w:color="auto"/>
              <w:right w:val="single" w:sz="4" w:space="0" w:color="auto"/>
            </w:tcBorders>
            <w:shd w:val="clear" w:color="auto" w:fill="auto"/>
            <w:noWrap/>
            <w:vAlign w:val="bottom"/>
            <w:hideMark/>
          </w:tcPr>
          <w:p w14:paraId="0F753379" w14:textId="77777777" w:rsidR="00C21712" w:rsidRPr="00C21712" w:rsidRDefault="00C21712" w:rsidP="00C21712">
            <w:pPr>
              <w:spacing w:after="0" w:line="240" w:lineRule="auto"/>
              <w:jc w:val="right"/>
              <w:rPr>
                <w:rFonts w:eastAsia="Times New Roman" w:cs="Arial"/>
                <w:color w:val="000000"/>
                <w:lang w:val="es-ES"/>
              </w:rPr>
            </w:pPr>
            <w:r w:rsidRPr="00C21712">
              <w:rPr>
                <w:rFonts w:eastAsia="Times New Roman" w:cs="Arial"/>
                <w:color w:val="000000"/>
                <w:lang w:val="es-ES"/>
              </w:rPr>
              <w:t>0.5</w:t>
            </w:r>
          </w:p>
        </w:tc>
      </w:tr>
      <w:tr w:rsidR="00C21712" w:rsidRPr="00C21712" w14:paraId="00239AF1" w14:textId="77777777" w:rsidTr="00ED0B87">
        <w:trPr>
          <w:trHeight w:val="318"/>
        </w:trPr>
        <w:tc>
          <w:tcPr>
            <w:tcW w:w="5116" w:type="dxa"/>
            <w:tcBorders>
              <w:top w:val="nil"/>
              <w:left w:val="single" w:sz="8" w:space="0" w:color="auto"/>
              <w:bottom w:val="single" w:sz="4" w:space="0" w:color="auto"/>
              <w:right w:val="nil"/>
            </w:tcBorders>
            <w:shd w:val="clear" w:color="auto" w:fill="auto"/>
            <w:noWrap/>
            <w:vAlign w:val="bottom"/>
            <w:hideMark/>
          </w:tcPr>
          <w:p w14:paraId="3F616295" w14:textId="77777777" w:rsidR="00C21712" w:rsidRPr="00C21712" w:rsidRDefault="00C21712" w:rsidP="00C21712">
            <w:pPr>
              <w:spacing w:after="0" w:line="240" w:lineRule="auto"/>
              <w:rPr>
                <w:rFonts w:eastAsia="Times New Roman" w:cs="Arial"/>
                <w:b/>
                <w:bCs/>
                <w:color w:val="000000"/>
                <w:lang w:val="es-ES"/>
              </w:rPr>
            </w:pPr>
            <w:r w:rsidRPr="00C21712">
              <w:rPr>
                <w:rFonts w:eastAsia="Times New Roman" w:cs="Arial"/>
                <w:b/>
                <w:bCs/>
                <w:color w:val="000000"/>
                <w:lang w:val="es-ES"/>
              </w:rPr>
              <w:t>Subtotal</w:t>
            </w:r>
          </w:p>
        </w:tc>
        <w:tc>
          <w:tcPr>
            <w:tcW w:w="2056" w:type="dxa"/>
            <w:tcBorders>
              <w:top w:val="nil"/>
              <w:left w:val="single" w:sz="4" w:space="0" w:color="auto"/>
              <w:bottom w:val="single" w:sz="4" w:space="0" w:color="auto"/>
              <w:right w:val="single" w:sz="4" w:space="0" w:color="auto"/>
            </w:tcBorders>
            <w:shd w:val="clear" w:color="auto" w:fill="auto"/>
            <w:noWrap/>
            <w:vAlign w:val="bottom"/>
            <w:hideMark/>
          </w:tcPr>
          <w:p w14:paraId="160FCD37" w14:textId="77777777" w:rsidR="00C21712" w:rsidRPr="00C21712" w:rsidRDefault="00C21712" w:rsidP="00C21712">
            <w:pPr>
              <w:spacing w:after="0" w:line="240" w:lineRule="auto"/>
              <w:jc w:val="right"/>
              <w:rPr>
                <w:rFonts w:eastAsia="Times New Roman" w:cs="Arial"/>
                <w:b/>
                <w:bCs/>
                <w:color w:val="000000"/>
                <w:lang w:val="es-ES"/>
              </w:rPr>
            </w:pPr>
            <w:r w:rsidRPr="00C21712">
              <w:rPr>
                <w:rFonts w:eastAsia="Times New Roman" w:cs="Arial"/>
                <w:b/>
                <w:bCs/>
                <w:color w:val="000000"/>
                <w:lang w:val="es-ES"/>
              </w:rPr>
              <w:t>7</w:t>
            </w:r>
          </w:p>
        </w:tc>
        <w:tc>
          <w:tcPr>
            <w:tcW w:w="1659" w:type="dxa"/>
            <w:tcBorders>
              <w:top w:val="nil"/>
              <w:left w:val="nil"/>
              <w:bottom w:val="single" w:sz="4" w:space="0" w:color="auto"/>
              <w:right w:val="single" w:sz="4" w:space="0" w:color="auto"/>
            </w:tcBorders>
            <w:shd w:val="clear" w:color="auto" w:fill="auto"/>
            <w:noWrap/>
            <w:vAlign w:val="bottom"/>
            <w:hideMark/>
          </w:tcPr>
          <w:p w14:paraId="77407DB6" w14:textId="77777777" w:rsidR="00C21712" w:rsidRPr="00C21712" w:rsidRDefault="00C21712" w:rsidP="00C21712">
            <w:pPr>
              <w:spacing w:after="0" w:line="240" w:lineRule="auto"/>
              <w:jc w:val="right"/>
              <w:rPr>
                <w:rFonts w:eastAsia="Times New Roman" w:cs="Arial"/>
                <w:b/>
                <w:bCs/>
                <w:color w:val="000000"/>
                <w:lang w:val="es-ES"/>
              </w:rPr>
            </w:pPr>
            <w:r w:rsidRPr="00C21712">
              <w:rPr>
                <w:rFonts w:eastAsia="Times New Roman" w:cs="Arial"/>
                <w:b/>
                <w:bCs/>
                <w:color w:val="000000"/>
                <w:lang w:val="es-ES"/>
              </w:rPr>
              <w:t>8.5</w:t>
            </w:r>
          </w:p>
        </w:tc>
      </w:tr>
      <w:tr w:rsidR="00C21712" w:rsidRPr="00C21712" w14:paraId="56CFD1A6" w14:textId="77777777" w:rsidTr="00ED0B87">
        <w:trPr>
          <w:trHeight w:val="318"/>
        </w:trPr>
        <w:tc>
          <w:tcPr>
            <w:tcW w:w="5116" w:type="dxa"/>
            <w:tcBorders>
              <w:top w:val="nil"/>
              <w:left w:val="single" w:sz="8" w:space="0" w:color="auto"/>
              <w:bottom w:val="nil"/>
              <w:right w:val="nil"/>
            </w:tcBorders>
            <w:shd w:val="clear" w:color="auto" w:fill="auto"/>
            <w:noWrap/>
            <w:vAlign w:val="bottom"/>
            <w:hideMark/>
          </w:tcPr>
          <w:p w14:paraId="70FBD1B6" w14:textId="594C3797" w:rsidR="00C21712" w:rsidRPr="00C21712" w:rsidRDefault="00C21712" w:rsidP="00C21712">
            <w:pPr>
              <w:spacing w:after="0" w:line="240" w:lineRule="auto"/>
              <w:rPr>
                <w:rFonts w:eastAsia="Times New Roman" w:cs="Arial"/>
                <w:b/>
                <w:bCs/>
                <w:color w:val="000000"/>
                <w:lang w:val="es-ES"/>
              </w:rPr>
            </w:pPr>
            <w:r w:rsidRPr="00C21712">
              <w:rPr>
                <w:rFonts w:eastAsia="Times New Roman" w:cs="Arial"/>
                <w:b/>
                <w:bCs/>
                <w:color w:val="000000"/>
                <w:lang w:val="es-ES"/>
              </w:rPr>
              <w:t>Total</w:t>
            </w:r>
            <w:r w:rsidR="00B86E40">
              <w:rPr>
                <w:rFonts w:eastAsia="Times New Roman" w:cs="Arial"/>
                <w:b/>
                <w:bCs/>
                <w:color w:val="000000"/>
                <w:lang w:val="es-ES"/>
              </w:rPr>
              <w:t xml:space="preserve"> general</w:t>
            </w:r>
          </w:p>
        </w:tc>
        <w:tc>
          <w:tcPr>
            <w:tcW w:w="2056" w:type="dxa"/>
            <w:tcBorders>
              <w:top w:val="nil"/>
              <w:left w:val="single" w:sz="4" w:space="0" w:color="auto"/>
              <w:bottom w:val="nil"/>
              <w:right w:val="single" w:sz="4" w:space="0" w:color="auto"/>
            </w:tcBorders>
            <w:shd w:val="clear" w:color="auto" w:fill="auto"/>
            <w:noWrap/>
            <w:vAlign w:val="bottom"/>
            <w:hideMark/>
          </w:tcPr>
          <w:p w14:paraId="07A91BDF" w14:textId="77777777" w:rsidR="00C21712" w:rsidRPr="00C21712" w:rsidRDefault="00C21712" w:rsidP="00C21712">
            <w:pPr>
              <w:spacing w:after="0" w:line="240" w:lineRule="auto"/>
              <w:jc w:val="right"/>
              <w:rPr>
                <w:rFonts w:eastAsia="Times New Roman" w:cs="Arial"/>
                <w:b/>
                <w:bCs/>
                <w:color w:val="000000"/>
                <w:lang w:val="es-ES"/>
              </w:rPr>
            </w:pPr>
            <w:r w:rsidRPr="00C21712">
              <w:rPr>
                <w:rFonts w:eastAsia="Times New Roman" w:cs="Arial"/>
                <w:b/>
                <w:bCs/>
                <w:color w:val="000000"/>
                <w:lang w:val="es-ES"/>
              </w:rPr>
              <w:t>17.77</w:t>
            </w:r>
          </w:p>
        </w:tc>
        <w:tc>
          <w:tcPr>
            <w:tcW w:w="1659" w:type="dxa"/>
            <w:tcBorders>
              <w:top w:val="nil"/>
              <w:left w:val="nil"/>
              <w:bottom w:val="nil"/>
              <w:right w:val="single" w:sz="4" w:space="0" w:color="auto"/>
            </w:tcBorders>
            <w:shd w:val="clear" w:color="auto" w:fill="auto"/>
            <w:noWrap/>
            <w:vAlign w:val="bottom"/>
            <w:hideMark/>
          </w:tcPr>
          <w:p w14:paraId="7D9EF953" w14:textId="77777777" w:rsidR="00C21712" w:rsidRPr="00C21712" w:rsidRDefault="00C21712" w:rsidP="00C21712">
            <w:pPr>
              <w:spacing w:after="0" w:line="240" w:lineRule="auto"/>
              <w:jc w:val="right"/>
              <w:rPr>
                <w:rFonts w:eastAsia="Times New Roman" w:cs="Arial"/>
                <w:b/>
                <w:bCs/>
                <w:color w:val="000000"/>
                <w:lang w:val="es-ES"/>
              </w:rPr>
            </w:pPr>
            <w:r w:rsidRPr="00C21712">
              <w:rPr>
                <w:rFonts w:eastAsia="Times New Roman" w:cs="Arial"/>
                <w:b/>
                <w:bCs/>
                <w:color w:val="000000"/>
                <w:lang w:val="es-ES"/>
              </w:rPr>
              <w:t>22.27</w:t>
            </w:r>
          </w:p>
        </w:tc>
      </w:tr>
      <w:tr w:rsidR="00C21712" w:rsidRPr="00C21712" w14:paraId="36FEA8B0" w14:textId="77777777" w:rsidTr="00ED0B87">
        <w:trPr>
          <w:trHeight w:val="302"/>
        </w:trPr>
        <w:tc>
          <w:tcPr>
            <w:tcW w:w="5116" w:type="dxa"/>
            <w:tcBorders>
              <w:top w:val="nil"/>
              <w:left w:val="single" w:sz="8" w:space="0" w:color="auto"/>
              <w:bottom w:val="nil"/>
              <w:right w:val="nil"/>
            </w:tcBorders>
            <w:shd w:val="clear" w:color="auto" w:fill="auto"/>
            <w:noWrap/>
            <w:vAlign w:val="bottom"/>
          </w:tcPr>
          <w:p w14:paraId="7DAAA7BD" w14:textId="77777777" w:rsidR="00C21712" w:rsidRPr="00C21712" w:rsidRDefault="00C21712" w:rsidP="00C21712">
            <w:pPr>
              <w:spacing w:after="0" w:line="240" w:lineRule="auto"/>
              <w:rPr>
                <w:rFonts w:eastAsia="Times New Roman" w:cs="Arial"/>
                <w:color w:val="000000"/>
                <w:lang w:val="es-ES"/>
              </w:rPr>
            </w:pPr>
          </w:p>
        </w:tc>
        <w:tc>
          <w:tcPr>
            <w:tcW w:w="2056" w:type="dxa"/>
            <w:tcBorders>
              <w:top w:val="nil"/>
              <w:left w:val="single" w:sz="4" w:space="0" w:color="auto"/>
              <w:bottom w:val="nil"/>
              <w:right w:val="single" w:sz="4" w:space="0" w:color="auto"/>
            </w:tcBorders>
            <w:shd w:val="clear" w:color="auto" w:fill="auto"/>
            <w:noWrap/>
            <w:vAlign w:val="bottom"/>
          </w:tcPr>
          <w:p w14:paraId="16F20715" w14:textId="77777777" w:rsidR="00C21712" w:rsidRPr="00C21712" w:rsidRDefault="00C21712" w:rsidP="00C21712">
            <w:pPr>
              <w:spacing w:after="0" w:line="240" w:lineRule="auto"/>
              <w:jc w:val="right"/>
              <w:rPr>
                <w:rFonts w:eastAsia="Times New Roman" w:cs="Arial"/>
                <w:b/>
                <w:bCs/>
                <w:color w:val="000000"/>
                <w:lang w:val="es-ES"/>
              </w:rPr>
            </w:pPr>
          </w:p>
        </w:tc>
        <w:tc>
          <w:tcPr>
            <w:tcW w:w="1659" w:type="dxa"/>
            <w:tcBorders>
              <w:top w:val="nil"/>
              <w:left w:val="nil"/>
              <w:bottom w:val="nil"/>
              <w:right w:val="single" w:sz="4" w:space="0" w:color="auto"/>
            </w:tcBorders>
            <w:shd w:val="clear" w:color="auto" w:fill="auto"/>
            <w:noWrap/>
            <w:vAlign w:val="bottom"/>
          </w:tcPr>
          <w:p w14:paraId="5E066933" w14:textId="77777777" w:rsidR="00C21712" w:rsidRPr="00C21712" w:rsidRDefault="00C21712" w:rsidP="00C21712">
            <w:pPr>
              <w:spacing w:after="0" w:line="240" w:lineRule="auto"/>
              <w:jc w:val="right"/>
              <w:rPr>
                <w:rFonts w:eastAsia="Times New Roman" w:cs="Arial"/>
                <w:b/>
                <w:bCs/>
                <w:color w:val="000000"/>
                <w:lang w:val="es-ES"/>
              </w:rPr>
            </w:pPr>
          </w:p>
        </w:tc>
      </w:tr>
      <w:tr w:rsidR="00C21712" w:rsidRPr="00C21712" w14:paraId="3B4E3BA4" w14:textId="77777777" w:rsidTr="00ED0B87">
        <w:trPr>
          <w:trHeight w:val="302"/>
        </w:trPr>
        <w:tc>
          <w:tcPr>
            <w:tcW w:w="5116" w:type="dxa"/>
            <w:tcBorders>
              <w:top w:val="nil"/>
              <w:left w:val="single" w:sz="8" w:space="0" w:color="auto"/>
              <w:bottom w:val="single" w:sz="8" w:space="0" w:color="auto"/>
              <w:right w:val="nil"/>
            </w:tcBorders>
            <w:shd w:val="clear" w:color="auto" w:fill="auto"/>
            <w:noWrap/>
            <w:vAlign w:val="bottom"/>
          </w:tcPr>
          <w:p w14:paraId="629A35A3" w14:textId="5BFD70E6" w:rsidR="00C21712" w:rsidRPr="00C21712" w:rsidRDefault="00C21712" w:rsidP="00C21712">
            <w:pPr>
              <w:spacing w:after="0" w:line="240" w:lineRule="auto"/>
              <w:rPr>
                <w:rFonts w:eastAsia="Times New Roman" w:cs="Arial"/>
                <w:color w:val="000000"/>
                <w:lang w:val="es-ES"/>
              </w:rPr>
            </w:pPr>
            <w:r w:rsidRPr="00C21712">
              <w:rPr>
                <w:rFonts w:eastAsia="Times New Roman" w:cs="Arial"/>
                <w:color w:val="000000"/>
                <w:lang w:val="es-ES"/>
              </w:rPr>
              <w:t>* Vacant</w:t>
            </w:r>
            <w:r w:rsidR="00B86E40">
              <w:rPr>
                <w:rFonts w:eastAsia="Times New Roman" w:cs="Arial"/>
                <w:color w:val="000000"/>
                <w:lang w:val="es-ES"/>
              </w:rPr>
              <w:t>e</w:t>
            </w:r>
            <w:r w:rsidRPr="00C21712">
              <w:rPr>
                <w:rFonts w:eastAsia="Times New Roman" w:cs="Arial"/>
                <w:color w:val="000000"/>
                <w:lang w:val="es-ES"/>
              </w:rPr>
              <w:t xml:space="preserve"> </w:t>
            </w:r>
          </w:p>
        </w:tc>
        <w:tc>
          <w:tcPr>
            <w:tcW w:w="2056" w:type="dxa"/>
            <w:tcBorders>
              <w:top w:val="nil"/>
              <w:left w:val="single" w:sz="4" w:space="0" w:color="auto"/>
              <w:bottom w:val="single" w:sz="8" w:space="0" w:color="auto"/>
              <w:right w:val="single" w:sz="4" w:space="0" w:color="auto"/>
            </w:tcBorders>
            <w:shd w:val="clear" w:color="auto" w:fill="auto"/>
            <w:noWrap/>
            <w:vAlign w:val="bottom"/>
          </w:tcPr>
          <w:p w14:paraId="510895EA" w14:textId="77777777" w:rsidR="00C21712" w:rsidRPr="00C21712" w:rsidRDefault="00C21712" w:rsidP="00C21712">
            <w:pPr>
              <w:spacing w:after="0" w:line="240" w:lineRule="auto"/>
              <w:jc w:val="right"/>
              <w:rPr>
                <w:rFonts w:eastAsia="Times New Roman" w:cs="Arial"/>
                <w:b/>
                <w:bCs/>
                <w:color w:val="000000"/>
                <w:lang w:val="es-ES"/>
              </w:rPr>
            </w:pPr>
          </w:p>
        </w:tc>
        <w:tc>
          <w:tcPr>
            <w:tcW w:w="1659" w:type="dxa"/>
            <w:tcBorders>
              <w:top w:val="nil"/>
              <w:left w:val="nil"/>
              <w:bottom w:val="single" w:sz="8" w:space="0" w:color="auto"/>
              <w:right w:val="single" w:sz="4" w:space="0" w:color="auto"/>
            </w:tcBorders>
            <w:shd w:val="clear" w:color="auto" w:fill="auto"/>
            <w:noWrap/>
            <w:vAlign w:val="bottom"/>
          </w:tcPr>
          <w:p w14:paraId="516C1AD5" w14:textId="77777777" w:rsidR="00C21712" w:rsidRPr="00C21712" w:rsidRDefault="00C21712" w:rsidP="00C21712">
            <w:pPr>
              <w:spacing w:after="0" w:line="240" w:lineRule="auto"/>
              <w:jc w:val="right"/>
              <w:rPr>
                <w:rFonts w:eastAsia="Times New Roman" w:cs="Arial"/>
                <w:b/>
                <w:bCs/>
                <w:color w:val="000000"/>
                <w:lang w:val="es-ES"/>
              </w:rPr>
            </w:pPr>
          </w:p>
        </w:tc>
      </w:tr>
    </w:tbl>
    <w:p w14:paraId="7BEE7A72" w14:textId="77777777" w:rsidR="000F6C4A" w:rsidRDefault="000F6C4A" w:rsidP="00002A97">
      <w:pPr>
        <w:widowControl w:val="0"/>
        <w:suppressAutoHyphens/>
        <w:autoSpaceDE w:val="0"/>
        <w:autoSpaceDN w:val="0"/>
        <w:spacing w:after="0" w:line="240" w:lineRule="auto"/>
        <w:textAlignment w:val="baseline"/>
        <w:rPr>
          <w:rFonts w:eastAsia="Times New Roman" w:cs="Arial"/>
          <w:lang w:val="es-ES" w:eastAsia="es-ES"/>
        </w:rPr>
      </w:pPr>
    </w:p>
    <w:p w14:paraId="6D6C99A4" w14:textId="77777777" w:rsidR="00002A97" w:rsidRDefault="00002A97" w:rsidP="00B40E07">
      <w:pPr>
        <w:pStyle w:val="Firstnumbering1"/>
        <w:numPr>
          <w:ilvl w:val="0"/>
          <w:numId w:val="0"/>
        </w:numPr>
        <w:ind w:left="567"/>
      </w:pPr>
    </w:p>
    <w:p w14:paraId="1FE12B7F" w14:textId="77777777" w:rsidR="000547E4" w:rsidRDefault="000547E4" w:rsidP="00B40E07">
      <w:pPr>
        <w:pStyle w:val="Firstnumbering1"/>
        <w:numPr>
          <w:ilvl w:val="0"/>
          <w:numId w:val="0"/>
        </w:numPr>
        <w:ind w:left="567"/>
        <w:sectPr w:rsidR="000547E4" w:rsidSect="00323406">
          <w:headerReference w:type="first" r:id="rId20"/>
          <w:pgSz w:w="11906" w:h="16838" w:code="9"/>
          <w:pgMar w:top="1440" w:right="1440" w:bottom="1440" w:left="1440" w:header="720" w:footer="720" w:gutter="0"/>
          <w:cols w:space="720"/>
          <w:titlePg/>
          <w:docGrid w:linePitch="360"/>
        </w:sectPr>
      </w:pPr>
    </w:p>
    <w:p w14:paraId="4F887B90" w14:textId="561B275F" w:rsidR="00C65C49" w:rsidRPr="00B656AC" w:rsidRDefault="00C65C49" w:rsidP="00463861">
      <w:pPr>
        <w:spacing w:after="0" w:line="240" w:lineRule="auto"/>
        <w:ind w:right="-42"/>
        <w:jc w:val="right"/>
        <w:rPr>
          <w:b/>
        </w:rPr>
      </w:pPr>
      <w:r w:rsidRPr="00B656AC">
        <w:rPr>
          <w:b/>
        </w:rPr>
        <w:lastRenderedPageBreak/>
        <w:t>ANEX</w:t>
      </w:r>
      <w:r w:rsidR="008643FF" w:rsidRPr="00B656AC">
        <w:rPr>
          <w:b/>
        </w:rPr>
        <w:t>O</w:t>
      </w:r>
      <w:r w:rsidRPr="00B656AC">
        <w:rPr>
          <w:b/>
          <w:spacing w:val="-5"/>
        </w:rPr>
        <w:t xml:space="preserve"> </w:t>
      </w:r>
      <w:r w:rsidRPr="00B656AC">
        <w:rPr>
          <w:b/>
        </w:rPr>
        <w:t>3</w:t>
      </w:r>
      <w:r w:rsidRPr="00B656AC">
        <w:rPr>
          <w:b/>
          <w:spacing w:val="-3"/>
        </w:rPr>
        <w:t xml:space="preserve"> </w:t>
      </w:r>
      <w:r w:rsidRPr="00B656AC">
        <w:rPr>
          <w:b/>
          <w:spacing w:val="-5"/>
        </w:rPr>
        <w:t>(A)</w:t>
      </w:r>
    </w:p>
    <w:p w14:paraId="41F91C41" w14:textId="77777777" w:rsidR="00C65C49" w:rsidRPr="00B656AC" w:rsidRDefault="00C65C49" w:rsidP="00463861">
      <w:pPr>
        <w:pStyle w:val="BodyText"/>
        <w:ind w:right="-42"/>
        <w:rPr>
          <w:b/>
        </w:rPr>
      </w:pPr>
    </w:p>
    <w:p w14:paraId="0CBDB465" w14:textId="4FC7ACD7" w:rsidR="00C65C49" w:rsidRPr="00B656AC" w:rsidRDefault="00C65C49" w:rsidP="00463861">
      <w:pPr>
        <w:spacing w:after="0" w:line="240" w:lineRule="auto"/>
        <w:ind w:right="-43"/>
        <w:jc w:val="center"/>
        <w:rPr>
          <w:b/>
          <w:lang w:val="es-ES"/>
        </w:rPr>
      </w:pPr>
      <w:r w:rsidRPr="00B656AC">
        <w:rPr>
          <w:b/>
          <w:lang w:val="es-ES"/>
        </w:rPr>
        <w:t>PROP</w:t>
      </w:r>
      <w:r w:rsidR="005459DB" w:rsidRPr="00B656AC">
        <w:rPr>
          <w:b/>
          <w:lang w:val="es-ES"/>
        </w:rPr>
        <w:t>UESTA DE PRESUPUESTO PARA EL TRIENIO</w:t>
      </w:r>
      <w:r w:rsidRPr="00B656AC">
        <w:rPr>
          <w:b/>
          <w:spacing w:val="-4"/>
          <w:lang w:val="es-ES"/>
        </w:rPr>
        <w:t xml:space="preserve"> </w:t>
      </w:r>
      <w:r w:rsidRPr="00B656AC">
        <w:rPr>
          <w:b/>
          <w:lang w:val="es-ES"/>
        </w:rPr>
        <w:t xml:space="preserve">2024–2026 </w:t>
      </w:r>
    </w:p>
    <w:p w14:paraId="64BE44CE" w14:textId="3FCB3D0D" w:rsidR="00C65C49" w:rsidRPr="00B656AC" w:rsidRDefault="005459DB" w:rsidP="00463861">
      <w:pPr>
        <w:spacing w:after="0" w:line="240" w:lineRule="auto"/>
        <w:ind w:right="-40"/>
        <w:jc w:val="center"/>
        <w:rPr>
          <w:b/>
          <w:lang w:val="es-ES"/>
        </w:rPr>
      </w:pPr>
      <w:r w:rsidRPr="00B656AC">
        <w:rPr>
          <w:b/>
          <w:lang w:val="es-ES"/>
        </w:rPr>
        <w:t>E</w:t>
      </w:r>
      <w:r w:rsidR="00C65C49" w:rsidRPr="00B656AC">
        <w:rPr>
          <w:b/>
          <w:lang w:val="es-ES"/>
        </w:rPr>
        <w:t xml:space="preserve">SCENARIO 1 – </w:t>
      </w:r>
      <w:r w:rsidRPr="00B656AC">
        <w:rPr>
          <w:b/>
          <w:lang w:val="es-ES"/>
        </w:rPr>
        <w:t>CRECIMIENTO NOMINAL CERO</w:t>
      </w:r>
    </w:p>
    <w:p w14:paraId="726282ED" w14:textId="2B005B28" w:rsidR="00C65C49" w:rsidRPr="00B656AC" w:rsidRDefault="00C65C49" w:rsidP="00463861">
      <w:pPr>
        <w:spacing w:after="0" w:line="240" w:lineRule="auto"/>
        <w:ind w:left="1673" w:right="1650"/>
        <w:jc w:val="center"/>
        <w:rPr>
          <w:sz w:val="18"/>
          <w:lang w:val="es-ES"/>
        </w:rPr>
      </w:pPr>
      <w:r w:rsidRPr="00B656AC">
        <w:rPr>
          <w:sz w:val="18"/>
          <w:lang w:val="es-ES"/>
        </w:rPr>
        <w:t>(</w:t>
      </w:r>
      <w:r w:rsidR="00B656AC" w:rsidRPr="00B656AC">
        <w:rPr>
          <w:rFonts w:eastAsia="Arial" w:cs="Arial"/>
          <w:color w:val="000000"/>
          <w:kern w:val="2"/>
          <w:sz w:val="20"/>
          <w:lang w:val="es-ES"/>
          <w14:ligatures w14:val="standardContextual"/>
        </w:rPr>
        <w:t>todas las cifras en euros</w:t>
      </w:r>
      <w:r w:rsidRPr="00B656AC">
        <w:rPr>
          <w:spacing w:val="-2"/>
          <w:sz w:val="18"/>
          <w:lang w:val="es-ES"/>
        </w:rPr>
        <w:t>)</w:t>
      </w:r>
    </w:p>
    <w:tbl>
      <w:tblPr>
        <w:tblW w:w="9810" w:type="dxa"/>
        <w:tblInd w:w="-270" w:type="dxa"/>
        <w:tblLayout w:type="fixed"/>
        <w:tblCellMar>
          <w:left w:w="0" w:type="dxa"/>
          <w:right w:w="0" w:type="dxa"/>
        </w:tblCellMar>
        <w:tblLook w:val="01E0" w:firstRow="1" w:lastRow="1" w:firstColumn="1" w:lastColumn="1" w:noHBand="0" w:noVBand="0"/>
      </w:tblPr>
      <w:tblGrid>
        <w:gridCol w:w="5580"/>
        <w:gridCol w:w="990"/>
        <w:gridCol w:w="990"/>
        <w:gridCol w:w="1080"/>
        <w:gridCol w:w="1170"/>
      </w:tblGrid>
      <w:tr w:rsidR="00C65C49" w:rsidRPr="00CC77EC" w14:paraId="7353DA40" w14:textId="77777777" w:rsidTr="007E514B">
        <w:trPr>
          <w:trHeight w:val="428"/>
        </w:trPr>
        <w:tc>
          <w:tcPr>
            <w:tcW w:w="5580" w:type="dxa"/>
            <w:tcBorders>
              <w:top w:val="single" w:sz="12" w:space="0" w:color="000000"/>
              <w:bottom w:val="single" w:sz="12" w:space="0" w:color="000000"/>
            </w:tcBorders>
            <w:shd w:val="clear" w:color="auto" w:fill="D9E1F3"/>
            <w:vAlign w:val="center"/>
          </w:tcPr>
          <w:p w14:paraId="4845B41C" w14:textId="315521DB" w:rsidR="00C65C49" w:rsidRPr="0027658F" w:rsidRDefault="00CC77EC" w:rsidP="002F1270">
            <w:pPr>
              <w:pStyle w:val="TableParagraph"/>
              <w:spacing w:before="0"/>
              <w:ind w:right="0"/>
              <w:jc w:val="left"/>
              <w:rPr>
                <w:b/>
                <w:sz w:val="18"/>
                <w:highlight w:val="yellow"/>
              </w:rPr>
            </w:pPr>
            <w:r w:rsidRPr="006D7078">
              <w:rPr>
                <w:b/>
                <w:i/>
                <w:color w:val="000000"/>
                <w:sz w:val="18"/>
                <w:szCs w:val="18"/>
              </w:rPr>
              <w:t>Objeto del gasto</w:t>
            </w:r>
          </w:p>
        </w:tc>
        <w:tc>
          <w:tcPr>
            <w:tcW w:w="990" w:type="dxa"/>
            <w:tcBorders>
              <w:top w:val="single" w:sz="12" w:space="0" w:color="000000"/>
              <w:bottom w:val="single" w:sz="12" w:space="0" w:color="000000"/>
            </w:tcBorders>
            <w:shd w:val="clear" w:color="auto" w:fill="D9E1F3"/>
            <w:vAlign w:val="center"/>
          </w:tcPr>
          <w:p w14:paraId="351B734F" w14:textId="77777777" w:rsidR="00C65C49" w:rsidRPr="00CC77EC" w:rsidRDefault="00C65C49" w:rsidP="002F1270">
            <w:pPr>
              <w:pStyle w:val="TableParagraph"/>
              <w:spacing w:before="0"/>
              <w:ind w:right="0"/>
              <w:jc w:val="center"/>
              <w:rPr>
                <w:b/>
                <w:sz w:val="18"/>
              </w:rPr>
            </w:pPr>
            <w:r w:rsidRPr="00CC77EC">
              <w:rPr>
                <w:b/>
                <w:spacing w:val="-4"/>
                <w:sz w:val="18"/>
              </w:rPr>
              <w:t>2024</w:t>
            </w:r>
          </w:p>
        </w:tc>
        <w:tc>
          <w:tcPr>
            <w:tcW w:w="990" w:type="dxa"/>
            <w:tcBorders>
              <w:top w:val="single" w:sz="12" w:space="0" w:color="000000"/>
              <w:bottom w:val="single" w:sz="12" w:space="0" w:color="000000"/>
            </w:tcBorders>
            <w:shd w:val="clear" w:color="auto" w:fill="D9E1F3"/>
            <w:vAlign w:val="center"/>
          </w:tcPr>
          <w:p w14:paraId="79236F11" w14:textId="77777777" w:rsidR="00C65C49" w:rsidRPr="00CC77EC" w:rsidRDefault="00C65C49" w:rsidP="002F1270">
            <w:pPr>
              <w:pStyle w:val="TableParagraph"/>
              <w:spacing w:before="0"/>
              <w:ind w:right="0"/>
              <w:jc w:val="center"/>
              <w:rPr>
                <w:b/>
                <w:sz w:val="18"/>
              </w:rPr>
            </w:pPr>
            <w:r w:rsidRPr="00CC77EC">
              <w:rPr>
                <w:b/>
                <w:spacing w:val="-4"/>
                <w:sz w:val="18"/>
              </w:rPr>
              <w:t>2025</w:t>
            </w:r>
          </w:p>
        </w:tc>
        <w:tc>
          <w:tcPr>
            <w:tcW w:w="1080" w:type="dxa"/>
            <w:tcBorders>
              <w:top w:val="single" w:sz="12" w:space="0" w:color="000000"/>
              <w:bottom w:val="single" w:sz="12" w:space="0" w:color="000000"/>
            </w:tcBorders>
            <w:shd w:val="clear" w:color="auto" w:fill="D9E1F3"/>
            <w:vAlign w:val="center"/>
          </w:tcPr>
          <w:p w14:paraId="5F68E96B" w14:textId="77777777" w:rsidR="00C65C49" w:rsidRPr="00CC77EC" w:rsidRDefault="00C65C49" w:rsidP="002F1270">
            <w:pPr>
              <w:pStyle w:val="TableParagraph"/>
              <w:spacing w:before="0"/>
              <w:ind w:right="0"/>
              <w:jc w:val="center"/>
              <w:rPr>
                <w:b/>
                <w:sz w:val="18"/>
              </w:rPr>
            </w:pPr>
            <w:r w:rsidRPr="00CC77EC">
              <w:rPr>
                <w:b/>
                <w:spacing w:val="-4"/>
                <w:sz w:val="18"/>
              </w:rPr>
              <w:t>2026</w:t>
            </w:r>
          </w:p>
        </w:tc>
        <w:tc>
          <w:tcPr>
            <w:tcW w:w="1170" w:type="dxa"/>
            <w:tcBorders>
              <w:top w:val="single" w:sz="12" w:space="0" w:color="000000"/>
              <w:bottom w:val="single" w:sz="12" w:space="0" w:color="000000"/>
            </w:tcBorders>
            <w:shd w:val="clear" w:color="auto" w:fill="D9E1F3"/>
            <w:vAlign w:val="center"/>
          </w:tcPr>
          <w:p w14:paraId="56CF8CA8" w14:textId="77777777" w:rsidR="00C65C49" w:rsidRPr="00CC77EC" w:rsidRDefault="00C65C49" w:rsidP="002F1270">
            <w:pPr>
              <w:pStyle w:val="TableParagraph"/>
              <w:spacing w:before="0"/>
              <w:ind w:right="0"/>
              <w:jc w:val="center"/>
              <w:rPr>
                <w:b/>
                <w:sz w:val="18"/>
              </w:rPr>
            </w:pPr>
            <w:r w:rsidRPr="00CC77EC">
              <w:rPr>
                <w:b/>
                <w:spacing w:val="-2"/>
                <w:sz w:val="18"/>
              </w:rPr>
              <w:t>Total</w:t>
            </w:r>
          </w:p>
        </w:tc>
      </w:tr>
      <w:tr w:rsidR="00C65C49" w:rsidRPr="0027658F" w14:paraId="68CF35D4" w14:textId="77777777" w:rsidTr="003B7A6E">
        <w:trPr>
          <w:trHeight w:val="240"/>
        </w:trPr>
        <w:tc>
          <w:tcPr>
            <w:tcW w:w="5580" w:type="dxa"/>
            <w:tcBorders>
              <w:top w:val="single" w:sz="12" w:space="0" w:color="000000"/>
            </w:tcBorders>
          </w:tcPr>
          <w:p w14:paraId="72E8C58E" w14:textId="5F8788B3" w:rsidR="00C65C49" w:rsidRPr="000F2170" w:rsidRDefault="000F2170" w:rsidP="002F1270">
            <w:pPr>
              <w:pStyle w:val="TableParagraph"/>
              <w:spacing w:before="75"/>
              <w:ind w:left="107" w:right="0"/>
              <w:jc w:val="left"/>
              <w:rPr>
                <w:b/>
                <w:sz w:val="18"/>
              </w:rPr>
            </w:pPr>
            <w:r w:rsidRPr="000F2170">
              <w:rPr>
                <w:b/>
                <w:sz w:val="18"/>
              </w:rPr>
              <w:t>Costes de personal</w:t>
            </w:r>
          </w:p>
        </w:tc>
        <w:tc>
          <w:tcPr>
            <w:tcW w:w="990" w:type="dxa"/>
            <w:tcBorders>
              <w:top w:val="single" w:sz="12" w:space="0" w:color="000000"/>
            </w:tcBorders>
          </w:tcPr>
          <w:p w14:paraId="66EFBF9C" w14:textId="77777777" w:rsidR="00C65C49" w:rsidRPr="0027658F" w:rsidRDefault="00C65C49" w:rsidP="002F1270">
            <w:pPr>
              <w:pStyle w:val="TableParagraph"/>
              <w:spacing w:before="0"/>
              <w:ind w:right="0"/>
              <w:jc w:val="left"/>
              <w:rPr>
                <w:rFonts w:ascii="Times New Roman"/>
                <w:sz w:val="18"/>
                <w:highlight w:val="yellow"/>
              </w:rPr>
            </w:pPr>
          </w:p>
        </w:tc>
        <w:tc>
          <w:tcPr>
            <w:tcW w:w="990" w:type="dxa"/>
            <w:tcBorders>
              <w:top w:val="single" w:sz="12" w:space="0" w:color="000000"/>
            </w:tcBorders>
          </w:tcPr>
          <w:p w14:paraId="1696BA96" w14:textId="77777777" w:rsidR="00C65C49" w:rsidRPr="0027658F" w:rsidRDefault="00C65C49" w:rsidP="002F1270">
            <w:pPr>
              <w:pStyle w:val="TableParagraph"/>
              <w:spacing w:before="0"/>
              <w:ind w:right="0"/>
              <w:jc w:val="left"/>
              <w:rPr>
                <w:rFonts w:ascii="Times New Roman"/>
                <w:sz w:val="18"/>
                <w:highlight w:val="yellow"/>
              </w:rPr>
            </w:pPr>
          </w:p>
        </w:tc>
        <w:tc>
          <w:tcPr>
            <w:tcW w:w="1080" w:type="dxa"/>
            <w:tcBorders>
              <w:top w:val="single" w:sz="12" w:space="0" w:color="000000"/>
            </w:tcBorders>
          </w:tcPr>
          <w:p w14:paraId="2F80CA16" w14:textId="77777777" w:rsidR="00C65C49" w:rsidRPr="0027658F" w:rsidRDefault="00C65C49" w:rsidP="002F1270">
            <w:pPr>
              <w:pStyle w:val="TableParagraph"/>
              <w:spacing w:before="0"/>
              <w:ind w:right="0"/>
              <w:jc w:val="left"/>
              <w:rPr>
                <w:rFonts w:ascii="Times New Roman"/>
                <w:sz w:val="18"/>
                <w:highlight w:val="yellow"/>
              </w:rPr>
            </w:pPr>
          </w:p>
        </w:tc>
        <w:tc>
          <w:tcPr>
            <w:tcW w:w="1170" w:type="dxa"/>
            <w:tcBorders>
              <w:top w:val="single" w:sz="12" w:space="0" w:color="000000"/>
            </w:tcBorders>
          </w:tcPr>
          <w:p w14:paraId="7AD56D4E" w14:textId="77777777" w:rsidR="00C65C49" w:rsidRPr="0027658F" w:rsidRDefault="00C65C49" w:rsidP="002F1270">
            <w:pPr>
              <w:pStyle w:val="TableParagraph"/>
              <w:spacing w:before="0"/>
              <w:ind w:right="0"/>
              <w:jc w:val="left"/>
              <w:rPr>
                <w:rFonts w:ascii="Times New Roman"/>
                <w:sz w:val="18"/>
                <w:highlight w:val="yellow"/>
              </w:rPr>
            </w:pPr>
          </w:p>
        </w:tc>
      </w:tr>
      <w:tr w:rsidR="00C65C49" w:rsidRPr="000F2170" w14:paraId="0310F866" w14:textId="77777777" w:rsidTr="007E514B">
        <w:trPr>
          <w:trHeight w:val="333"/>
        </w:trPr>
        <w:tc>
          <w:tcPr>
            <w:tcW w:w="5580" w:type="dxa"/>
          </w:tcPr>
          <w:p w14:paraId="705106D1" w14:textId="313ECE99" w:rsidR="00C65C49" w:rsidRPr="000F2170" w:rsidRDefault="000F2170" w:rsidP="002F1270">
            <w:pPr>
              <w:pStyle w:val="TableParagraph"/>
              <w:spacing w:before="72"/>
              <w:ind w:left="107" w:right="0"/>
              <w:jc w:val="left"/>
              <w:rPr>
                <w:sz w:val="18"/>
              </w:rPr>
            </w:pPr>
            <w:r w:rsidRPr="000F2170">
              <w:rPr>
                <w:sz w:val="18"/>
              </w:rPr>
              <w:t>Personal profesional</w:t>
            </w:r>
          </w:p>
        </w:tc>
        <w:tc>
          <w:tcPr>
            <w:tcW w:w="990" w:type="dxa"/>
            <w:tcBorders>
              <w:top w:val="nil"/>
              <w:left w:val="nil"/>
              <w:bottom w:val="nil"/>
              <w:right w:val="nil"/>
            </w:tcBorders>
            <w:shd w:val="clear" w:color="000000" w:fill="FFFFFF"/>
            <w:vAlign w:val="center"/>
          </w:tcPr>
          <w:p w14:paraId="6F7F62FA" w14:textId="77777777" w:rsidR="00C65C49" w:rsidRPr="000F2170" w:rsidRDefault="00C65C49" w:rsidP="002F1270">
            <w:pPr>
              <w:pStyle w:val="TableParagraph"/>
              <w:spacing w:before="72"/>
              <w:ind w:right="114"/>
              <w:rPr>
                <w:sz w:val="18"/>
                <w:szCs w:val="18"/>
              </w:rPr>
            </w:pPr>
            <w:r w:rsidRPr="000F2170">
              <w:rPr>
                <w:sz w:val="18"/>
                <w:szCs w:val="18"/>
              </w:rPr>
              <w:t xml:space="preserve">1,655,509 </w:t>
            </w:r>
          </w:p>
        </w:tc>
        <w:tc>
          <w:tcPr>
            <w:tcW w:w="990" w:type="dxa"/>
            <w:tcBorders>
              <w:top w:val="nil"/>
              <w:left w:val="nil"/>
              <w:bottom w:val="nil"/>
              <w:right w:val="nil"/>
            </w:tcBorders>
            <w:shd w:val="clear" w:color="000000" w:fill="FFFFFF"/>
            <w:vAlign w:val="center"/>
          </w:tcPr>
          <w:p w14:paraId="0505161F" w14:textId="77777777" w:rsidR="00C65C49" w:rsidRPr="000F2170" w:rsidRDefault="00C65C49" w:rsidP="002F1270">
            <w:pPr>
              <w:pStyle w:val="TableParagraph"/>
              <w:spacing w:before="72"/>
              <w:ind w:right="112"/>
              <w:rPr>
                <w:sz w:val="18"/>
                <w:szCs w:val="18"/>
              </w:rPr>
            </w:pPr>
            <w:r w:rsidRPr="000F2170">
              <w:rPr>
                <w:sz w:val="18"/>
                <w:szCs w:val="18"/>
              </w:rPr>
              <w:t xml:space="preserve">1,688,619 </w:t>
            </w:r>
          </w:p>
        </w:tc>
        <w:tc>
          <w:tcPr>
            <w:tcW w:w="1080" w:type="dxa"/>
            <w:tcBorders>
              <w:top w:val="nil"/>
              <w:left w:val="nil"/>
              <w:bottom w:val="nil"/>
              <w:right w:val="nil"/>
            </w:tcBorders>
            <w:shd w:val="clear" w:color="000000" w:fill="FFFFFF"/>
            <w:vAlign w:val="center"/>
          </w:tcPr>
          <w:p w14:paraId="2F2E5C22" w14:textId="77777777" w:rsidR="00C65C49" w:rsidRPr="000F2170" w:rsidRDefault="00C65C49" w:rsidP="002F1270">
            <w:pPr>
              <w:pStyle w:val="TableParagraph"/>
              <w:spacing w:before="72"/>
              <w:ind w:right="112"/>
              <w:rPr>
                <w:sz w:val="18"/>
                <w:szCs w:val="18"/>
              </w:rPr>
            </w:pPr>
            <w:r w:rsidRPr="000F2170">
              <w:rPr>
                <w:sz w:val="18"/>
                <w:szCs w:val="18"/>
              </w:rPr>
              <w:t xml:space="preserve">1,722,391 </w:t>
            </w:r>
          </w:p>
        </w:tc>
        <w:tc>
          <w:tcPr>
            <w:tcW w:w="1170" w:type="dxa"/>
            <w:tcBorders>
              <w:top w:val="nil"/>
              <w:left w:val="nil"/>
              <w:bottom w:val="nil"/>
              <w:right w:val="nil"/>
            </w:tcBorders>
            <w:shd w:val="clear" w:color="000000" w:fill="FFFFFF"/>
            <w:vAlign w:val="center"/>
          </w:tcPr>
          <w:p w14:paraId="20915906" w14:textId="77777777" w:rsidR="00C65C49" w:rsidRPr="000F2170" w:rsidRDefault="00C65C49" w:rsidP="002F1270">
            <w:pPr>
              <w:pStyle w:val="TableParagraph"/>
              <w:spacing w:before="72"/>
              <w:ind w:right="108"/>
              <w:rPr>
                <w:sz w:val="18"/>
                <w:szCs w:val="18"/>
              </w:rPr>
            </w:pPr>
            <w:r w:rsidRPr="000F2170">
              <w:rPr>
                <w:sz w:val="18"/>
                <w:szCs w:val="18"/>
              </w:rPr>
              <w:t xml:space="preserve">5,066,519 </w:t>
            </w:r>
          </w:p>
        </w:tc>
      </w:tr>
      <w:tr w:rsidR="00C65C49" w:rsidRPr="000F2170" w14:paraId="0CB898FC" w14:textId="77777777" w:rsidTr="007E514B">
        <w:trPr>
          <w:trHeight w:val="117"/>
        </w:trPr>
        <w:tc>
          <w:tcPr>
            <w:tcW w:w="5580" w:type="dxa"/>
            <w:tcBorders>
              <w:bottom w:val="single" w:sz="4" w:space="0" w:color="000000"/>
            </w:tcBorders>
          </w:tcPr>
          <w:p w14:paraId="3D1623E4" w14:textId="707F7F51" w:rsidR="00C65C49" w:rsidRPr="000F2170" w:rsidRDefault="000F2170" w:rsidP="002F1270">
            <w:pPr>
              <w:pStyle w:val="TableParagraph"/>
              <w:spacing w:before="72"/>
              <w:ind w:left="107" w:right="0"/>
              <w:jc w:val="left"/>
              <w:rPr>
                <w:sz w:val="18"/>
              </w:rPr>
            </w:pPr>
            <w:r w:rsidRPr="000F2170">
              <w:rPr>
                <w:sz w:val="18"/>
              </w:rPr>
              <w:t>Personal de apoyo general</w:t>
            </w:r>
          </w:p>
        </w:tc>
        <w:tc>
          <w:tcPr>
            <w:tcW w:w="990" w:type="dxa"/>
            <w:tcBorders>
              <w:top w:val="nil"/>
              <w:left w:val="nil"/>
              <w:bottom w:val="nil"/>
              <w:right w:val="nil"/>
            </w:tcBorders>
            <w:shd w:val="clear" w:color="000000" w:fill="FFFFFF"/>
            <w:vAlign w:val="center"/>
          </w:tcPr>
          <w:p w14:paraId="156BBC92" w14:textId="77777777" w:rsidR="00C65C49" w:rsidRPr="000F2170" w:rsidRDefault="00C65C49" w:rsidP="002F1270">
            <w:pPr>
              <w:pStyle w:val="TableParagraph"/>
              <w:spacing w:before="72"/>
              <w:ind w:right="113"/>
              <w:rPr>
                <w:sz w:val="18"/>
                <w:szCs w:val="18"/>
              </w:rPr>
            </w:pPr>
            <w:r w:rsidRPr="000F2170">
              <w:rPr>
                <w:sz w:val="18"/>
                <w:szCs w:val="18"/>
              </w:rPr>
              <w:t xml:space="preserve">563,834 </w:t>
            </w:r>
          </w:p>
        </w:tc>
        <w:tc>
          <w:tcPr>
            <w:tcW w:w="990" w:type="dxa"/>
            <w:tcBorders>
              <w:top w:val="nil"/>
              <w:left w:val="nil"/>
              <w:bottom w:val="nil"/>
              <w:right w:val="nil"/>
            </w:tcBorders>
            <w:shd w:val="clear" w:color="000000" w:fill="FFFFFF"/>
            <w:vAlign w:val="center"/>
          </w:tcPr>
          <w:p w14:paraId="612DF63E" w14:textId="77777777" w:rsidR="00C65C49" w:rsidRPr="000F2170" w:rsidRDefault="00C65C49" w:rsidP="002F1270">
            <w:pPr>
              <w:pStyle w:val="TableParagraph"/>
              <w:spacing w:before="72"/>
              <w:ind w:right="112"/>
              <w:rPr>
                <w:sz w:val="18"/>
                <w:szCs w:val="18"/>
              </w:rPr>
            </w:pPr>
            <w:r w:rsidRPr="000F2170">
              <w:rPr>
                <w:sz w:val="18"/>
                <w:szCs w:val="18"/>
              </w:rPr>
              <w:t xml:space="preserve">575,111 </w:t>
            </w:r>
          </w:p>
        </w:tc>
        <w:tc>
          <w:tcPr>
            <w:tcW w:w="1080" w:type="dxa"/>
            <w:tcBorders>
              <w:top w:val="nil"/>
              <w:left w:val="nil"/>
              <w:bottom w:val="nil"/>
              <w:right w:val="nil"/>
            </w:tcBorders>
            <w:shd w:val="clear" w:color="000000" w:fill="FFFFFF"/>
            <w:vAlign w:val="center"/>
          </w:tcPr>
          <w:p w14:paraId="3B4C941F" w14:textId="77777777" w:rsidR="00C65C49" w:rsidRPr="000F2170" w:rsidRDefault="00C65C49" w:rsidP="002F1270">
            <w:pPr>
              <w:pStyle w:val="TableParagraph"/>
              <w:spacing w:before="72"/>
              <w:ind w:right="111"/>
              <w:rPr>
                <w:sz w:val="18"/>
                <w:szCs w:val="18"/>
              </w:rPr>
            </w:pPr>
            <w:r w:rsidRPr="000F2170">
              <w:rPr>
                <w:sz w:val="18"/>
                <w:szCs w:val="18"/>
              </w:rPr>
              <w:t xml:space="preserve">586,613 </w:t>
            </w:r>
          </w:p>
        </w:tc>
        <w:tc>
          <w:tcPr>
            <w:tcW w:w="1170" w:type="dxa"/>
            <w:tcBorders>
              <w:top w:val="nil"/>
              <w:left w:val="nil"/>
              <w:bottom w:val="nil"/>
              <w:right w:val="nil"/>
            </w:tcBorders>
            <w:shd w:val="clear" w:color="000000" w:fill="FFFFFF"/>
            <w:vAlign w:val="center"/>
          </w:tcPr>
          <w:p w14:paraId="03DB3CD0" w14:textId="77777777" w:rsidR="00C65C49" w:rsidRPr="000F2170" w:rsidRDefault="00C65C49" w:rsidP="002F1270">
            <w:pPr>
              <w:pStyle w:val="TableParagraph"/>
              <w:spacing w:before="72"/>
              <w:ind w:right="108"/>
              <w:rPr>
                <w:sz w:val="18"/>
                <w:szCs w:val="18"/>
              </w:rPr>
            </w:pPr>
            <w:r w:rsidRPr="000F2170">
              <w:rPr>
                <w:sz w:val="18"/>
                <w:szCs w:val="18"/>
              </w:rPr>
              <w:t xml:space="preserve">1,725,558 </w:t>
            </w:r>
          </w:p>
        </w:tc>
      </w:tr>
      <w:tr w:rsidR="00C65C49" w:rsidRPr="000F2170" w14:paraId="6A7CF6FF" w14:textId="77777777" w:rsidTr="007E514B">
        <w:trPr>
          <w:trHeight w:val="357"/>
        </w:trPr>
        <w:tc>
          <w:tcPr>
            <w:tcW w:w="5580" w:type="dxa"/>
            <w:tcBorders>
              <w:top w:val="single" w:sz="4" w:space="0" w:color="000000"/>
              <w:bottom w:val="single" w:sz="4" w:space="0" w:color="000000"/>
            </w:tcBorders>
          </w:tcPr>
          <w:p w14:paraId="20D1AF79" w14:textId="1CA7095B" w:rsidR="00C65C49" w:rsidRPr="0027658F" w:rsidRDefault="00C65C49" w:rsidP="002F1270">
            <w:pPr>
              <w:pStyle w:val="TableParagraph"/>
              <w:spacing w:before="73"/>
              <w:ind w:left="107" w:right="0"/>
              <w:jc w:val="left"/>
              <w:rPr>
                <w:b/>
                <w:sz w:val="18"/>
                <w:highlight w:val="yellow"/>
              </w:rPr>
            </w:pPr>
            <w:r w:rsidRPr="000F2170">
              <w:rPr>
                <w:b/>
                <w:spacing w:val="-2"/>
                <w:sz w:val="18"/>
              </w:rPr>
              <w:t>Subtotal</w:t>
            </w:r>
          </w:p>
        </w:tc>
        <w:tc>
          <w:tcPr>
            <w:tcW w:w="990" w:type="dxa"/>
            <w:tcBorders>
              <w:top w:val="single" w:sz="4" w:space="0" w:color="auto"/>
              <w:left w:val="nil"/>
              <w:bottom w:val="single" w:sz="4" w:space="0" w:color="auto"/>
              <w:right w:val="nil"/>
            </w:tcBorders>
            <w:shd w:val="clear" w:color="000000" w:fill="FFFFFF"/>
            <w:vAlign w:val="center"/>
          </w:tcPr>
          <w:p w14:paraId="27458A14" w14:textId="77777777" w:rsidR="00C65C49" w:rsidRPr="000F2170" w:rsidRDefault="00C65C49" w:rsidP="002F1270">
            <w:pPr>
              <w:pStyle w:val="TableParagraph"/>
              <w:spacing w:before="73"/>
              <w:ind w:right="114"/>
              <w:rPr>
                <w:b/>
                <w:bCs/>
                <w:sz w:val="18"/>
                <w:szCs w:val="18"/>
              </w:rPr>
            </w:pPr>
            <w:r w:rsidRPr="000F2170">
              <w:rPr>
                <w:b/>
                <w:bCs/>
                <w:sz w:val="18"/>
                <w:szCs w:val="18"/>
              </w:rPr>
              <w:t xml:space="preserve">2,219,343 </w:t>
            </w:r>
          </w:p>
        </w:tc>
        <w:tc>
          <w:tcPr>
            <w:tcW w:w="990" w:type="dxa"/>
            <w:tcBorders>
              <w:top w:val="single" w:sz="4" w:space="0" w:color="auto"/>
              <w:left w:val="nil"/>
              <w:bottom w:val="single" w:sz="4" w:space="0" w:color="auto"/>
              <w:right w:val="nil"/>
            </w:tcBorders>
            <w:shd w:val="clear" w:color="000000" w:fill="FFFFFF"/>
            <w:vAlign w:val="center"/>
          </w:tcPr>
          <w:p w14:paraId="31CEE1EE" w14:textId="77777777" w:rsidR="00C65C49" w:rsidRPr="000F2170" w:rsidRDefault="00C65C49" w:rsidP="002F1270">
            <w:pPr>
              <w:pStyle w:val="TableParagraph"/>
              <w:spacing w:before="73"/>
              <w:ind w:right="112"/>
              <w:rPr>
                <w:b/>
                <w:bCs/>
                <w:sz w:val="18"/>
                <w:szCs w:val="18"/>
              </w:rPr>
            </w:pPr>
            <w:r w:rsidRPr="000F2170">
              <w:rPr>
                <w:b/>
                <w:bCs/>
                <w:sz w:val="18"/>
                <w:szCs w:val="18"/>
              </w:rPr>
              <w:t xml:space="preserve">2,263,730 </w:t>
            </w:r>
          </w:p>
        </w:tc>
        <w:tc>
          <w:tcPr>
            <w:tcW w:w="1080" w:type="dxa"/>
            <w:tcBorders>
              <w:top w:val="single" w:sz="4" w:space="0" w:color="auto"/>
              <w:left w:val="nil"/>
              <w:bottom w:val="single" w:sz="4" w:space="0" w:color="auto"/>
              <w:right w:val="nil"/>
            </w:tcBorders>
            <w:shd w:val="clear" w:color="000000" w:fill="FFFFFF"/>
            <w:vAlign w:val="center"/>
          </w:tcPr>
          <w:p w14:paraId="68BE37EF" w14:textId="77777777" w:rsidR="00C65C49" w:rsidRPr="000F2170" w:rsidRDefault="00C65C49" w:rsidP="002F1270">
            <w:pPr>
              <w:pStyle w:val="TableParagraph"/>
              <w:spacing w:before="73"/>
              <w:ind w:right="112"/>
              <w:rPr>
                <w:b/>
                <w:bCs/>
                <w:sz w:val="18"/>
                <w:szCs w:val="18"/>
              </w:rPr>
            </w:pPr>
            <w:r w:rsidRPr="000F2170">
              <w:rPr>
                <w:b/>
                <w:bCs/>
                <w:sz w:val="18"/>
                <w:szCs w:val="18"/>
              </w:rPr>
              <w:t xml:space="preserve">2,309,004 </w:t>
            </w:r>
          </w:p>
        </w:tc>
        <w:tc>
          <w:tcPr>
            <w:tcW w:w="1170" w:type="dxa"/>
            <w:tcBorders>
              <w:top w:val="single" w:sz="4" w:space="0" w:color="auto"/>
              <w:left w:val="nil"/>
              <w:bottom w:val="single" w:sz="4" w:space="0" w:color="auto"/>
              <w:right w:val="nil"/>
            </w:tcBorders>
            <w:shd w:val="clear" w:color="000000" w:fill="FFFFFF"/>
            <w:vAlign w:val="center"/>
          </w:tcPr>
          <w:p w14:paraId="6474A8CF" w14:textId="77777777" w:rsidR="00C65C49" w:rsidRPr="000F2170" w:rsidRDefault="00C65C49" w:rsidP="002F1270">
            <w:pPr>
              <w:pStyle w:val="TableParagraph"/>
              <w:spacing w:before="73"/>
              <w:ind w:right="108"/>
              <w:rPr>
                <w:b/>
                <w:bCs/>
                <w:sz w:val="18"/>
                <w:szCs w:val="18"/>
              </w:rPr>
            </w:pPr>
            <w:r w:rsidRPr="000F2170">
              <w:rPr>
                <w:b/>
                <w:bCs/>
                <w:sz w:val="18"/>
                <w:szCs w:val="18"/>
              </w:rPr>
              <w:t xml:space="preserve">6,792,077 </w:t>
            </w:r>
          </w:p>
        </w:tc>
      </w:tr>
      <w:tr w:rsidR="00C65C49" w:rsidRPr="0027658F" w14:paraId="647A0303" w14:textId="77777777" w:rsidTr="007E514B">
        <w:trPr>
          <w:trHeight w:val="361"/>
        </w:trPr>
        <w:tc>
          <w:tcPr>
            <w:tcW w:w="5580" w:type="dxa"/>
            <w:tcBorders>
              <w:top w:val="single" w:sz="4" w:space="0" w:color="000000"/>
            </w:tcBorders>
          </w:tcPr>
          <w:p w14:paraId="571C80C2" w14:textId="2AE752DA" w:rsidR="00C65C49" w:rsidRPr="00EF2477" w:rsidRDefault="000F2170" w:rsidP="002F1270">
            <w:pPr>
              <w:pStyle w:val="TableParagraph"/>
              <w:spacing w:before="76"/>
              <w:ind w:left="107" w:right="0"/>
              <w:jc w:val="left"/>
              <w:rPr>
                <w:b/>
                <w:sz w:val="18"/>
              </w:rPr>
            </w:pPr>
            <w:r w:rsidRPr="00EF2477">
              <w:rPr>
                <w:b/>
                <w:spacing w:val="-2"/>
                <w:sz w:val="18"/>
              </w:rPr>
              <w:t>Servicios contractuales</w:t>
            </w:r>
          </w:p>
        </w:tc>
        <w:tc>
          <w:tcPr>
            <w:tcW w:w="990" w:type="dxa"/>
            <w:tcBorders>
              <w:top w:val="nil"/>
              <w:left w:val="nil"/>
              <w:bottom w:val="nil"/>
              <w:right w:val="nil"/>
            </w:tcBorders>
            <w:shd w:val="clear" w:color="000000" w:fill="FFFFFF"/>
            <w:vAlign w:val="center"/>
          </w:tcPr>
          <w:p w14:paraId="7B84706F" w14:textId="77777777" w:rsidR="00C65C49" w:rsidRPr="00EF2477" w:rsidRDefault="00C65C49" w:rsidP="002F1270">
            <w:pPr>
              <w:pStyle w:val="TableParagraph"/>
              <w:spacing w:before="0"/>
              <w:ind w:right="0"/>
              <w:rPr>
                <w:sz w:val="18"/>
                <w:szCs w:val="18"/>
              </w:rPr>
            </w:pPr>
          </w:p>
        </w:tc>
        <w:tc>
          <w:tcPr>
            <w:tcW w:w="990" w:type="dxa"/>
            <w:tcBorders>
              <w:top w:val="nil"/>
              <w:left w:val="nil"/>
              <w:bottom w:val="nil"/>
              <w:right w:val="nil"/>
            </w:tcBorders>
            <w:shd w:val="clear" w:color="000000" w:fill="FFFFFF"/>
            <w:vAlign w:val="center"/>
          </w:tcPr>
          <w:p w14:paraId="22DA49FD" w14:textId="77777777" w:rsidR="00C65C49" w:rsidRPr="00EF2477" w:rsidRDefault="00C65C49" w:rsidP="002F1270">
            <w:pPr>
              <w:pStyle w:val="TableParagraph"/>
              <w:spacing w:before="0"/>
              <w:ind w:right="0"/>
              <w:rPr>
                <w:sz w:val="18"/>
                <w:szCs w:val="18"/>
              </w:rPr>
            </w:pPr>
          </w:p>
        </w:tc>
        <w:tc>
          <w:tcPr>
            <w:tcW w:w="1080" w:type="dxa"/>
            <w:tcBorders>
              <w:top w:val="nil"/>
              <w:left w:val="nil"/>
              <w:bottom w:val="nil"/>
              <w:right w:val="nil"/>
            </w:tcBorders>
            <w:shd w:val="clear" w:color="000000" w:fill="FFFFFF"/>
            <w:vAlign w:val="center"/>
          </w:tcPr>
          <w:p w14:paraId="2B552589" w14:textId="77777777" w:rsidR="00C65C49" w:rsidRPr="00EF2477" w:rsidRDefault="00C65C49" w:rsidP="002F1270">
            <w:pPr>
              <w:pStyle w:val="TableParagraph"/>
              <w:spacing w:before="0"/>
              <w:ind w:right="0"/>
              <w:rPr>
                <w:sz w:val="18"/>
                <w:szCs w:val="18"/>
              </w:rPr>
            </w:pPr>
          </w:p>
        </w:tc>
        <w:tc>
          <w:tcPr>
            <w:tcW w:w="1170" w:type="dxa"/>
            <w:tcBorders>
              <w:top w:val="nil"/>
              <w:left w:val="nil"/>
              <w:bottom w:val="nil"/>
              <w:right w:val="nil"/>
            </w:tcBorders>
            <w:shd w:val="clear" w:color="000000" w:fill="FFFFFF"/>
            <w:vAlign w:val="center"/>
          </w:tcPr>
          <w:p w14:paraId="7C8DBC34" w14:textId="77777777" w:rsidR="00C65C49" w:rsidRPr="00EF2477" w:rsidRDefault="00C65C49" w:rsidP="002F1270">
            <w:pPr>
              <w:pStyle w:val="TableParagraph"/>
              <w:spacing w:before="0"/>
              <w:ind w:right="0"/>
              <w:rPr>
                <w:sz w:val="18"/>
                <w:szCs w:val="18"/>
              </w:rPr>
            </w:pPr>
          </w:p>
        </w:tc>
      </w:tr>
      <w:tr w:rsidR="00C65C49" w:rsidRPr="0027658F" w14:paraId="3CA7E31A" w14:textId="77777777" w:rsidTr="007E514B">
        <w:trPr>
          <w:trHeight w:val="357"/>
        </w:trPr>
        <w:tc>
          <w:tcPr>
            <w:tcW w:w="5580" w:type="dxa"/>
          </w:tcPr>
          <w:p w14:paraId="37D26820" w14:textId="473B8263" w:rsidR="00C65C49" w:rsidRPr="00EF2477" w:rsidRDefault="00310A8B" w:rsidP="002F1270">
            <w:pPr>
              <w:pStyle w:val="TableParagraph"/>
              <w:spacing w:before="72"/>
              <w:ind w:left="107" w:right="0"/>
              <w:jc w:val="left"/>
              <w:rPr>
                <w:sz w:val="18"/>
                <w:lang w:val="es-ES"/>
              </w:rPr>
            </w:pPr>
            <w:r w:rsidRPr="00EF2477">
              <w:rPr>
                <w:color w:val="000000"/>
                <w:sz w:val="18"/>
                <w:szCs w:val="18"/>
                <w:lang w:val="es-ES"/>
              </w:rPr>
              <w:t>Servicios contractuales (traducciones y redacción de informes)</w:t>
            </w:r>
          </w:p>
        </w:tc>
        <w:tc>
          <w:tcPr>
            <w:tcW w:w="990" w:type="dxa"/>
            <w:tcBorders>
              <w:top w:val="nil"/>
              <w:left w:val="nil"/>
              <w:bottom w:val="nil"/>
              <w:right w:val="nil"/>
            </w:tcBorders>
            <w:shd w:val="clear" w:color="000000" w:fill="FFFFFF"/>
            <w:vAlign w:val="center"/>
          </w:tcPr>
          <w:p w14:paraId="1DF16BE5" w14:textId="77777777" w:rsidR="00C65C49" w:rsidRPr="00EF2477" w:rsidRDefault="00C65C49" w:rsidP="002F1270">
            <w:pPr>
              <w:pStyle w:val="TableParagraph"/>
              <w:spacing w:before="72"/>
              <w:ind w:right="113"/>
              <w:rPr>
                <w:sz w:val="18"/>
                <w:szCs w:val="18"/>
              </w:rPr>
            </w:pPr>
            <w:r w:rsidRPr="00EF2477">
              <w:rPr>
                <w:sz w:val="18"/>
                <w:szCs w:val="18"/>
              </w:rPr>
              <w:t xml:space="preserve">95,687 </w:t>
            </w:r>
          </w:p>
        </w:tc>
        <w:tc>
          <w:tcPr>
            <w:tcW w:w="990" w:type="dxa"/>
            <w:tcBorders>
              <w:top w:val="nil"/>
              <w:left w:val="nil"/>
              <w:bottom w:val="nil"/>
              <w:right w:val="nil"/>
            </w:tcBorders>
            <w:shd w:val="clear" w:color="000000" w:fill="FFFFFF"/>
            <w:vAlign w:val="center"/>
          </w:tcPr>
          <w:p w14:paraId="51C4E29E" w14:textId="77777777" w:rsidR="00C65C49" w:rsidRPr="00EF2477" w:rsidRDefault="00C65C49" w:rsidP="002F1270">
            <w:pPr>
              <w:pStyle w:val="TableParagraph"/>
              <w:spacing w:before="72"/>
              <w:ind w:right="112"/>
              <w:rPr>
                <w:sz w:val="18"/>
                <w:szCs w:val="18"/>
              </w:rPr>
            </w:pPr>
            <w:r w:rsidRPr="00EF2477">
              <w:rPr>
                <w:sz w:val="18"/>
                <w:szCs w:val="18"/>
              </w:rPr>
              <w:t xml:space="preserve">97,601 </w:t>
            </w:r>
          </w:p>
        </w:tc>
        <w:tc>
          <w:tcPr>
            <w:tcW w:w="1080" w:type="dxa"/>
            <w:tcBorders>
              <w:top w:val="nil"/>
              <w:left w:val="nil"/>
              <w:bottom w:val="nil"/>
              <w:right w:val="nil"/>
            </w:tcBorders>
            <w:shd w:val="clear" w:color="000000" w:fill="FFFFFF"/>
            <w:vAlign w:val="center"/>
          </w:tcPr>
          <w:p w14:paraId="0936AA9B" w14:textId="77777777" w:rsidR="00C65C49" w:rsidRPr="00EF2477" w:rsidRDefault="00C65C49" w:rsidP="002F1270">
            <w:pPr>
              <w:pStyle w:val="TableParagraph"/>
              <w:spacing w:before="72"/>
              <w:ind w:right="111"/>
              <w:rPr>
                <w:sz w:val="18"/>
                <w:szCs w:val="18"/>
              </w:rPr>
            </w:pPr>
            <w:r w:rsidRPr="00EF2477">
              <w:rPr>
                <w:sz w:val="18"/>
                <w:szCs w:val="18"/>
              </w:rPr>
              <w:t xml:space="preserve">99,553 </w:t>
            </w:r>
          </w:p>
        </w:tc>
        <w:tc>
          <w:tcPr>
            <w:tcW w:w="1170" w:type="dxa"/>
            <w:tcBorders>
              <w:top w:val="nil"/>
              <w:left w:val="nil"/>
              <w:bottom w:val="nil"/>
              <w:right w:val="nil"/>
            </w:tcBorders>
            <w:shd w:val="clear" w:color="000000" w:fill="FFFFFF"/>
            <w:vAlign w:val="center"/>
          </w:tcPr>
          <w:p w14:paraId="113BC2AB" w14:textId="77777777" w:rsidR="00C65C49" w:rsidRPr="00EF2477" w:rsidRDefault="00C65C49" w:rsidP="002F1270">
            <w:pPr>
              <w:pStyle w:val="TableParagraph"/>
              <w:spacing w:before="72"/>
              <w:ind w:right="107"/>
              <w:rPr>
                <w:sz w:val="18"/>
                <w:szCs w:val="18"/>
              </w:rPr>
            </w:pPr>
            <w:r w:rsidRPr="00EF2477">
              <w:rPr>
                <w:sz w:val="18"/>
                <w:szCs w:val="18"/>
              </w:rPr>
              <w:t xml:space="preserve">292,841 </w:t>
            </w:r>
          </w:p>
        </w:tc>
      </w:tr>
      <w:tr w:rsidR="00C65C49" w:rsidRPr="0027658F" w14:paraId="28089856" w14:textId="77777777" w:rsidTr="007E514B">
        <w:trPr>
          <w:trHeight w:val="357"/>
        </w:trPr>
        <w:tc>
          <w:tcPr>
            <w:tcW w:w="5580" w:type="dxa"/>
          </w:tcPr>
          <w:p w14:paraId="0FC03324" w14:textId="09B70AD0" w:rsidR="00C65C49" w:rsidRPr="00EF2477" w:rsidRDefault="00523E64" w:rsidP="002F1270">
            <w:pPr>
              <w:pStyle w:val="TableParagraph"/>
              <w:spacing w:before="72"/>
              <w:ind w:left="107" w:right="0"/>
              <w:jc w:val="left"/>
              <w:rPr>
                <w:sz w:val="18"/>
                <w:lang w:val="es-ES"/>
              </w:rPr>
            </w:pPr>
            <w:r w:rsidRPr="00EF2477">
              <w:rPr>
                <w:color w:val="000000"/>
                <w:sz w:val="18"/>
                <w:szCs w:val="18"/>
                <w:lang w:val="es-ES"/>
              </w:rPr>
              <w:t>Servicios a los órganos de gobierno (traducciones, interpretación, etc.)</w:t>
            </w:r>
          </w:p>
        </w:tc>
        <w:tc>
          <w:tcPr>
            <w:tcW w:w="990" w:type="dxa"/>
            <w:tcBorders>
              <w:top w:val="nil"/>
              <w:left w:val="nil"/>
              <w:bottom w:val="nil"/>
              <w:right w:val="nil"/>
            </w:tcBorders>
            <w:shd w:val="clear" w:color="000000" w:fill="FFFFFF"/>
            <w:vAlign w:val="center"/>
          </w:tcPr>
          <w:p w14:paraId="5B76A59F" w14:textId="77777777" w:rsidR="00C65C49" w:rsidRPr="00EF2477" w:rsidRDefault="00C65C49" w:rsidP="002F1270">
            <w:pPr>
              <w:pStyle w:val="TableParagraph"/>
              <w:spacing w:before="72"/>
              <w:ind w:right="113"/>
              <w:rPr>
                <w:sz w:val="18"/>
                <w:szCs w:val="18"/>
                <w:lang w:val="es-ES"/>
              </w:rPr>
            </w:pPr>
          </w:p>
        </w:tc>
        <w:tc>
          <w:tcPr>
            <w:tcW w:w="990" w:type="dxa"/>
            <w:tcBorders>
              <w:top w:val="nil"/>
              <w:left w:val="nil"/>
              <w:bottom w:val="nil"/>
              <w:right w:val="nil"/>
            </w:tcBorders>
            <w:shd w:val="clear" w:color="000000" w:fill="FFFFFF"/>
            <w:vAlign w:val="center"/>
          </w:tcPr>
          <w:p w14:paraId="71BCB1C8" w14:textId="77777777" w:rsidR="00C65C49" w:rsidRPr="00EF2477" w:rsidRDefault="00C65C49" w:rsidP="002F1270">
            <w:pPr>
              <w:pStyle w:val="TableParagraph"/>
              <w:spacing w:before="72"/>
              <w:ind w:right="111"/>
              <w:rPr>
                <w:sz w:val="18"/>
                <w:szCs w:val="18"/>
                <w:lang w:val="es-ES"/>
              </w:rPr>
            </w:pPr>
          </w:p>
        </w:tc>
        <w:tc>
          <w:tcPr>
            <w:tcW w:w="1080" w:type="dxa"/>
            <w:tcBorders>
              <w:top w:val="nil"/>
              <w:left w:val="nil"/>
              <w:bottom w:val="nil"/>
              <w:right w:val="nil"/>
            </w:tcBorders>
            <w:shd w:val="clear" w:color="000000" w:fill="FFFFFF"/>
            <w:vAlign w:val="center"/>
          </w:tcPr>
          <w:p w14:paraId="6EFD2A82" w14:textId="77777777" w:rsidR="00C65C49" w:rsidRPr="00EF2477" w:rsidRDefault="00C65C49" w:rsidP="002F1270">
            <w:pPr>
              <w:pStyle w:val="TableParagraph"/>
              <w:spacing w:before="72"/>
              <w:ind w:right="111"/>
              <w:rPr>
                <w:sz w:val="18"/>
                <w:szCs w:val="18"/>
                <w:lang w:val="es-ES"/>
              </w:rPr>
            </w:pPr>
          </w:p>
        </w:tc>
        <w:tc>
          <w:tcPr>
            <w:tcW w:w="1170" w:type="dxa"/>
            <w:tcBorders>
              <w:top w:val="nil"/>
              <w:left w:val="nil"/>
              <w:bottom w:val="nil"/>
              <w:right w:val="nil"/>
            </w:tcBorders>
            <w:shd w:val="clear" w:color="000000" w:fill="FFFFFF"/>
            <w:vAlign w:val="center"/>
          </w:tcPr>
          <w:p w14:paraId="0154A9F4" w14:textId="77777777" w:rsidR="00C65C49" w:rsidRPr="00EF2477" w:rsidRDefault="00C65C49" w:rsidP="002F1270">
            <w:pPr>
              <w:pStyle w:val="TableParagraph"/>
              <w:spacing w:before="72"/>
              <w:ind w:right="107"/>
              <w:rPr>
                <w:sz w:val="18"/>
                <w:szCs w:val="18"/>
              </w:rPr>
            </w:pPr>
            <w:r w:rsidRPr="00EF2477">
              <w:rPr>
                <w:sz w:val="18"/>
                <w:szCs w:val="18"/>
              </w:rPr>
              <w:t xml:space="preserve">0 </w:t>
            </w:r>
          </w:p>
        </w:tc>
      </w:tr>
      <w:tr w:rsidR="00C65C49" w:rsidRPr="0027658F" w14:paraId="5D2BCEE9" w14:textId="77777777" w:rsidTr="007E514B">
        <w:trPr>
          <w:trHeight w:val="356"/>
        </w:trPr>
        <w:tc>
          <w:tcPr>
            <w:tcW w:w="5580" w:type="dxa"/>
            <w:tcBorders>
              <w:bottom w:val="single" w:sz="4" w:space="0" w:color="000000"/>
            </w:tcBorders>
          </w:tcPr>
          <w:p w14:paraId="6CC8D28A" w14:textId="318AFA6C" w:rsidR="00C65C49" w:rsidRPr="00EF2477" w:rsidRDefault="00EF2477" w:rsidP="002F1270">
            <w:pPr>
              <w:pStyle w:val="TableParagraph"/>
              <w:spacing w:before="72"/>
              <w:ind w:left="107" w:right="0"/>
              <w:jc w:val="left"/>
              <w:rPr>
                <w:sz w:val="18"/>
                <w:lang w:val="es-ES"/>
              </w:rPr>
            </w:pPr>
            <w:r w:rsidRPr="00EF2477">
              <w:rPr>
                <w:sz w:val="18"/>
                <w:lang w:val="es-ES"/>
              </w:rPr>
              <w:t>Material de información y producción de documentos</w:t>
            </w:r>
          </w:p>
        </w:tc>
        <w:tc>
          <w:tcPr>
            <w:tcW w:w="990" w:type="dxa"/>
            <w:tcBorders>
              <w:top w:val="nil"/>
              <w:left w:val="nil"/>
              <w:bottom w:val="nil"/>
              <w:right w:val="nil"/>
            </w:tcBorders>
            <w:shd w:val="clear" w:color="000000" w:fill="FFFFFF"/>
            <w:vAlign w:val="center"/>
          </w:tcPr>
          <w:p w14:paraId="6F41DF6B" w14:textId="77777777" w:rsidR="00C65C49" w:rsidRPr="00EF2477" w:rsidRDefault="00C65C49" w:rsidP="002F1270">
            <w:pPr>
              <w:pStyle w:val="TableParagraph"/>
              <w:spacing w:before="72"/>
              <w:ind w:right="113"/>
              <w:rPr>
                <w:sz w:val="18"/>
                <w:szCs w:val="18"/>
              </w:rPr>
            </w:pPr>
            <w:r w:rsidRPr="00EF2477">
              <w:rPr>
                <w:sz w:val="18"/>
                <w:szCs w:val="18"/>
              </w:rPr>
              <w:t xml:space="preserve">13,530 </w:t>
            </w:r>
          </w:p>
        </w:tc>
        <w:tc>
          <w:tcPr>
            <w:tcW w:w="990" w:type="dxa"/>
            <w:tcBorders>
              <w:top w:val="nil"/>
              <w:left w:val="nil"/>
              <w:bottom w:val="nil"/>
              <w:right w:val="nil"/>
            </w:tcBorders>
            <w:shd w:val="clear" w:color="000000" w:fill="FFFFFF"/>
            <w:vAlign w:val="center"/>
          </w:tcPr>
          <w:p w14:paraId="4D250807" w14:textId="77777777" w:rsidR="00C65C49" w:rsidRPr="00EF2477" w:rsidRDefault="00C65C49" w:rsidP="002F1270">
            <w:pPr>
              <w:pStyle w:val="TableParagraph"/>
              <w:spacing w:before="72"/>
              <w:ind w:right="112"/>
              <w:rPr>
                <w:sz w:val="18"/>
                <w:szCs w:val="18"/>
              </w:rPr>
            </w:pPr>
            <w:r w:rsidRPr="00EF2477">
              <w:rPr>
                <w:sz w:val="18"/>
                <w:szCs w:val="18"/>
              </w:rPr>
              <w:t xml:space="preserve">13,801 </w:t>
            </w:r>
          </w:p>
        </w:tc>
        <w:tc>
          <w:tcPr>
            <w:tcW w:w="1080" w:type="dxa"/>
            <w:tcBorders>
              <w:top w:val="nil"/>
              <w:left w:val="nil"/>
              <w:bottom w:val="nil"/>
              <w:right w:val="nil"/>
            </w:tcBorders>
            <w:shd w:val="clear" w:color="000000" w:fill="FFFFFF"/>
            <w:vAlign w:val="center"/>
          </w:tcPr>
          <w:p w14:paraId="20B1CDA3" w14:textId="77777777" w:rsidR="00C65C49" w:rsidRPr="00EF2477" w:rsidRDefault="00C65C49" w:rsidP="002F1270">
            <w:pPr>
              <w:pStyle w:val="TableParagraph"/>
              <w:spacing w:before="72"/>
              <w:ind w:right="111"/>
              <w:rPr>
                <w:sz w:val="18"/>
                <w:szCs w:val="18"/>
              </w:rPr>
            </w:pPr>
            <w:r w:rsidRPr="00EF2477">
              <w:rPr>
                <w:sz w:val="18"/>
                <w:szCs w:val="18"/>
              </w:rPr>
              <w:t xml:space="preserve">14,077 </w:t>
            </w:r>
          </w:p>
        </w:tc>
        <w:tc>
          <w:tcPr>
            <w:tcW w:w="1170" w:type="dxa"/>
            <w:tcBorders>
              <w:top w:val="nil"/>
              <w:left w:val="nil"/>
              <w:bottom w:val="nil"/>
              <w:right w:val="nil"/>
            </w:tcBorders>
            <w:shd w:val="clear" w:color="000000" w:fill="FFFFFF"/>
            <w:vAlign w:val="center"/>
          </w:tcPr>
          <w:p w14:paraId="602A9891" w14:textId="77777777" w:rsidR="00C65C49" w:rsidRPr="00EF2477" w:rsidRDefault="00C65C49" w:rsidP="002F1270">
            <w:pPr>
              <w:pStyle w:val="TableParagraph"/>
              <w:spacing w:before="72"/>
              <w:ind w:right="107"/>
              <w:rPr>
                <w:sz w:val="18"/>
                <w:szCs w:val="18"/>
              </w:rPr>
            </w:pPr>
            <w:r w:rsidRPr="00EF2477">
              <w:rPr>
                <w:sz w:val="18"/>
                <w:szCs w:val="18"/>
              </w:rPr>
              <w:t xml:space="preserve">41,407 </w:t>
            </w:r>
          </w:p>
        </w:tc>
      </w:tr>
      <w:tr w:rsidR="00C65C49" w:rsidRPr="0027658F" w14:paraId="31BD9648" w14:textId="77777777" w:rsidTr="007E514B">
        <w:trPr>
          <w:trHeight w:val="357"/>
        </w:trPr>
        <w:tc>
          <w:tcPr>
            <w:tcW w:w="5580" w:type="dxa"/>
            <w:tcBorders>
              <w:top w:val="single" w:sz="4" w:space="0" w:color="000000"/>
              <w:bottom w:val="single" w:sz="4" w:space="0" w:color="000000"/>
            </w:tcBorders>
          </w:tcPr>
          <w:p w14:paraId="74ADB17C" w14:textId="4F1E9BFC" w:rsidR="00C65C49" w:rsidRPr="0027658F" w:rsidRDefault="00C65C49" w:rsidP="002F1270">
            <w:pPr>
              <w:pStyle w:val="TableParagraph"/>
              <w:spacing w:before="73"/>
              <w:ind w:left="107" w:right="0"/>
              <w:jc w:val="left"/>
              <w:rPr>
                <w:b/>
                <w:sz w:val="18"/>
                <w:highlight w:val="yellow"/>
              </w:rPr>
            </w:pPr>
            <w:r w:rsidRPr="006F2BEF">
              <w:rPr>
                <w:b/>
                <w:spacing w:val="-2"/>
                <w:sz w:val="18"/>
              </w:rPr>
              <w:t>Subtotal</w:t>
            </w:r>
          </w:p>
        </w:tc>
        <w:tc>
          <w:tcPr>
            <w:tcW w:w="990" w:type="dxa"/>
            <w:tcBorders>
              <w:top w:val="single" w:sz="4" w:space="0" w:color="auto"/>
              <w:left w:val="nil"/>
              <w:bottom w:val="single" w:sz="4" w:space="0" w:color="auto"/>
              <w:right w:val="nil"/>
            </w:tcBorders>
            <w:shd w:val="clear" w:color="000000" w:fill="FFFFFF"/>
            <w:vAlign w:val="center"/>
          </w:tcPr>
          <w:p w14:paraId="467ED104" w14:textId="77777777" w:rsidR="00C65C49" w:rsidRPr="00CC1F1F" w:rsidRDefault="00C65C49" w:rsidP="002F1270">
            <w:pPr>
              <w:pStyle w:val="TableParagraph"/>
              <w:spacing w:before="73"/>
              <w:ind w:right="113"/>
              <w:rPr>
                <w:b/>
                <w:bCs/>
                <w:sz w:val="18"/>
                <w:szCs w:val="18"/>
              </w:rPr>
            </w:pPr>
            <w:r w:rsidRPr="00CC1F1F">
              <w:rPr>
                <w:b/>
                <w:bCs/>
                <w:sz w:val="18"/>
                <w:szCs w:val="18"/>
              </w:rPr>
              <w:t xml:space="preserve">109,217 </w:t>
            </w:r>
          </w:p>
        </w:tc>
        <w:tc>
          <w:tcPr>
            <w:tcW w:w="990" w:type="dxa"/>
            <w:tcBorders>
              <w:top w:val="single" w:sz="4" w:space="0" w:color="auto"/>
              <w:left w:val="nil"/>
              <w:bottom w:val="single" w:sz="4" w:space="0" w:color="auto"/>
              <w:right w:val="nil"/>
            </w:tcBorders>
            <w:shd w:val="clear" w:color="000000" w:fill="FFFFFF"/>
            <w:vAlign w:val="center"/>
          </w:tcPr>
          <w:p w14:paraId="0A2560BF" w14:textId="77777777" w:rsidR="00C65C49" w:rsidRPr="00CC1F1F" w:rsidRDefault="00C65C49" w:rsidP="002F1270">
            <w:pPr>
              <w:pStyle w:val="TableParagraph"/>
              <w:spacing w:before="73"/>
              <w:ind w:right="112"/>
              <w:rPr>
                <w:b/>
                <w:bCs/>
                <w:sz w:val="18"/>
                <w:szCs w:val="18"/>
              </w:rPr>
            </w:pPr>
            <w:r w:rsidRPr="00CC1F1F">
              <w:rPr>
                <w:b/>
                <w:bCs/>
                <w:sz w:val="18"/>
                <w:szCs w:val="18"/>
              </w:rPr>
              <w:t xml:space="preserve">111,402 </w:t>
            </w:r>
          </w:p>
        </w:tc>
        <w:tc>
          <w:tcPr>
            <w:tcW w:w="1080" w:type="dxa"/>
            <w:tcBorders>
              <w:top w:val="single" w:sz="4" w:space="0" w:color="auto"/>
              <w:left w:val="nil"/>
              <w:bottom w:val="single" w:sz="4" w:space="0" w:color="auto"/>
              <w:right w:val="nil"/>
            </w:tcBorders>
            <w:shd w:val="clear" w:color="000000" w:fill="FFFFFF"/>
            <w:vAlign w:val="center"/>
          </w:tcPr>
          <w:p w14:paraId="56FD2E24" w14:textId="77777777" w:rsidR="00C65C49" w:rsidRPr="00CC1F1F" w:rsidRDefault="00C65C49" w:rsidP="002F1270">
            <w:pPr>
              <w:pStyle w:val="TableParagraph"/>
              <w:spacing w:before="73"/>
              <w:ind w:right="111"/>
              <w:rPr>
                <w:b/>
                <w:bCs/>
                <w:sz w:val="18"/>
                <w:szCs w:val="18"/>
              </w:rPr>
            </w:pPr>
            <w:r w:rsidRPr="00CC1F1F">
              <w:rPr>
                <w:b/>
                <w:bCs/>
                <w:sz w:val="18"/>
                <w:szCs w:val="18"/>
              </w:rPr>
              <w:t xml:space="preserve">113,630 </w:t>
            </w:r>
          </w:p>
        </w:tc>
        <w:tc>
          <w:tcPr>
            <w:tcW w:w="1170" w:type="dxa"/>
            <w:tcBorders>
              <w:top w:val="single" w:sz="4" w:space="0" w:color="auto"/>
              <w:left w:val="nil"/>
              <w:bottom w:val="single" w:sz="4" w:space="0" w:color="auto"/>
              <w:right w:val="nil"/>
            </w:tcBorders>
            <w:shd w:val="clear" w:color="000000" w:fill="FFFFFF"/>
            <w:vAlign w:val="center"/>
          </w:tcPr>
          <w:p w14:paraId="49E0021B" w14:textId="77777777" w:rsidR="00C65C49" w:rsidRPr="00CC1F1F" w:rsidRDefault="00C65C49" w:rsidP="002F1270">
            <w:pPr>
              <w:pStyle w:val="TableParagraph"/>
              <w:spacing w:before="73"/>
              <w:ind w:right="107"/>
              <w:rPr>
                <w:b/>
                <w:bCs/>
                <w:sz w:val="18"/>
                <w:szCs w:val="18"/>
              </w:rPr>
            </w:pPr>
            <w:r w:rsidRPr="00CC1F1F">
              <w:rPr>
                <w:b/>
                <w:bCs/>
                <w:sz w:val="18"/>
                <w:szCs w:val="18"/>
              </w:rPr>
              <w:t xml:space="preserve">334,248 </w:t>
            </w:r>
          </w:p>
        </w:tc>
      </w:tr>
      <w:tr w:rsidR="00C65C49" w:rsidRPr="0027658F" w14:paraId="392AAC26" w14:textId="77777777" w:rsidTr="007E514B">
        <w:trPr>
          <w:trHeight w:val="360"/>
        </w:trPr>
        <w:tc>
          <w:tcPr>
            <w:tcW w:w="5580" w:type="dxa"/>
            <w:tcBorders>
              <w:top w:val="single" w:sz="4" w:space="0" w:color="000000"/>
            </w:tcBorders>
          </w:tcPr>
          <w:p w14:paraId="513B2524" w14:textId="16BB292B" w:rsidR="00C65C49" w:rsidRPr="0027658F" w:rsidRDefault="00A91D33" w:rsidP="002F1270">
            <w:pPr>
              <w:pStyle w:val="TableParagraph"/>
              <w:spacing w:before="75"/>
              <w:ind w:left="107" w:right="0"/>
              <w:jc w:val="left"/>
              <w:rPr>
                <w:b/>
                <w:sz w:val="18"/>
                <w:highlight w:val="yellow"/>
              </w:rPr>
            </w:pPr>
            <w:r w:rsidRPr="00F7513C">
              <w:rPr>
                <w:b/>
                <w:color w:val="000000"/>
                <w:sz w:val="18"/>
                <w:szCs w:val="18"/>
                <w:lang w:val="es-ES"/>
              </w:rPr>
              <w:t>Costes de operación</w:t>
            </w:r>
          </w:p>
        </w:tc>
        <w:tc>
          <w:tcPr>
            <w:tcW w:w="990" w:type="dxa"/>
            <w:tcBorders>
              <w:top w:val="nil"/>
              <w:left w:val="nil"/>
              <w:bottom w:val="nil"/>
              <w:right w:val="nil"/>
            </w:tcBorders>
            <w:shd w:val="clear" w:color="000000" w:fill="FFFFFF"/>
            <w:vAlign w:val="center"/>
          </w:tcPr>
          <w:p w14:paraId="650CBFE0" w14:textId="77777777" w:rsidR="00C65C49" w:rsidRPr="00CC1F1F" w:rsidRDefault="00C65C49" w:rsidP="002F1270">
            <w:pPr>
              <w:pStyle w:val="TableParagraph"/>
              <w:spacing w:before="0"/>
              <w:ind w:right="0"/>
              <w:rPr>
                <w:sz w:val="18"/>
                <w:szCs w:val="18"/>
              </w:rPr>
            </w:pPr>
          </w:p>
        </w:tc>
        <w:tc>
          <w:tcPr>
            <w:tcW w:w="990" w:type="dxa"/>
            <w:tcBorders>
              <w:top w:val="nil"/>
              <w:left w:val="nil"/>
              <w:bottom w:val="nil"/>
              <w:right w:val="nil"/>
            </w:tcBorders>
            <w:shd w:val="clear" w:color="000000" w:fill="FFFFFF"/>
            <w:vAlign w:val="center"/>
          </w:tcPr>
          <w:p w14:paraId="3529E07F" w14:textId="77777777" w:rsidR="00C65C49" w:rsidRPr="00CC1F1F" w:rsidRDefault="00C65C49" w:rsidP="002F1270">
            <w:pPr>
              <w:pStyle w:val="TableParagraph"/>
              <w:spacing w:before="0"/>
              <w:ind w:right="0"/>
              <w:rPr>
                <w:sz w:val="18"/>
                <w:szCs w:val="18"/>
              </w:rPr>
            </w:pPr>
          </w:p>
        </w:tc>
        <w:tc>
          <w:tcPr>
            <w:tcW w:w="1080" w:type="dxa"/>
            <w:tcBorders>
              <w:top w:val="nil"/>
              <w:left w:val="nil"/>
              <w:bottom w:val="nil"/>
              <w:right w:val="nil"/>
            </w:tcBorders>
            <w:shd w:val="clear" w:color="000000" w:fill="FFFFFF"/>
            <w:vAlign w:val="center"/>
          </w:tcPr>
          <w:p w14:paraId="22964619" w14:textId="77777777" w:rsidR="00C65C49" w:rsidRPr="00CC1F1F" w:rsidRDefault="00C65C49" w:rsidP="002F1270">
            <w:pPr>
              <w:pStyle w:val="TableParagraph"/>
              <w:spacing w:before="0"/>
              <w:ind w:right="0"/>
              <w:rPr>
                <w:sz w:val="18"/>
                <w:szCs w:val="18"/>
              </w:rPr>
            </w:pPr>
          </w:p>
        </w:tc>
        <w:tc>
          <w:tcPr>
            <w:tcW w:w="1170" w:type="dxa"/>
            <w:tcBorders>
              <w:top w:val="nil"/>
              <w:left w:val="nil"/>
              <w:bottom w:val="nil"/>
              <w:right w:val="nil"/>
            </w:tcBorders>
            <w:shd w:val="clear" w:color="000000" w:fill="FFFFFF"/>
            <w:vAlign w:val="center"/>
          </w:tcPr>
          <w:p w14:paraId="7A0BFE60" w14:textId="77777777" w:rsidR="00C65C49" w:rsidRPr="00CC1F1F" w:rsidRDefault="00C65C49" w:rsidP="002F1270">
            <w:pPr>
              <w:pStyle w:val="TableParagraph"/>
              <w:spacing w:before="0"/>
              <w:ind w:right="0"/>
              <w:rPr>
                <w:sz w:val="18"/>
                <w:szCs w:val="18"/>
              </w:rPr>
            </w:pPr>
          </w:p>
        </w:tc>
      </w:tr>
      <w:tr w:rsidR="00C65C49" w:rsidRPr="0027658F" w14:paraId="68149188" w14:textId="77777777" w:rsidTr="007E514B">
        <w:trPr>
          <w:trHeight w:val="357"/>
        </w:trPr>
        <w:tc>
          <w:tcPr>
            <w:tcW w:w="5580" w:type="dxa"/>
          </w:tcPr>
          <w:p w14:paraId="351B10A3" w14:textId="1AA95431" w:rsidR="00C65C49" w:rsidRPr="00492A67" w:rsidRDefault="00492A67" w:rsidP="002F1270">
            <w:pPr>
              <w:pStyle w:val="TableParagraph"/>
              <w:spacing w:before="72"/>
              <w:ind w:left="107" w:right="0"/>
              <w:jc w:val="left"/>
              <w:rPr>
                <w:sz w:val="18"/>
                <w:highlight w:val="yellow"/>
                <w:lang w:val="es-ES"/>
              </w:rPr>
            </w:pPr>
            <w:r w:rsidRPr="00F7513C">
              <w:rPr>
                <w:color w:val="000000"/>
                <w:sz w:val="18"/>
                <w:szCs w:val="18"/>
                <w:lang w:val="es-ES"/>
              </w:rPr>
              <w:t>Herramientas TIC, desarrollo y mantenimiento del sitio web</w:t>
            </w:r>
          </w:p>
        </w:tc>
        <w:tc>
          <w:tcPr>
            <w:tcW w:w="990" w:type="dxa"/>
            <w:tcBorders>
              <w:top w:val="nil"/>
              <w:left w:val="nil"/>
              <w:bottom w:val="nil"/>
              <w:right w:val="nil"/>
            </w:tcBorders>
            <w:shd w:val="clear" w:color="000000" w:fill="FFFFFF"/>
            <w:vAlign w:val="center"/>
          </w:tcPr>
          <w:p w14:paraId="6A5A0718" w14:textId="77777777" w:rsidR="00C65C49" w:rsidRPr="00CC1F1F" w:rsidRDefault="00C65C49" w:rsidP="002F1270">
            <w:pPr>
              <w:pStyle w:val="TableParagraph"/>
              <w:spacing w:before="72"/>
              <w:ind w:right="113"/>
              <w:rPr>
                <w:sz w:val="18"/>
                <w:szCs w:val="18"/>
              </w:rPr>
            </w:pPr>
            <w:r w:rsidRPr="00CC1F1F">
              <w:rPr>
                <w:sz w:val="18"/>
                <w:szCs w:val="18"/>
              </w:rPr>
              <w:t xml:space="preserve">7,036 </w:t>
            </w:r>
          </w:p>
        </w:tc>
        <w:tc>
          <w:tcPr>
            <w:tcW w:w="990" w:type="dxa"/>
            <w:tcBorders>
              <w:top w:val="nil"/>
              <w:left w:val="nil"/>
              <w:bottom w:val="nil"/>
              <w:right w:val="nil"/>
            </w:tcBorders>
            <w:shd w:val="clear" w:color="000000" w:fill="FFFFFF"/>
            <w:vAlign w:val="center"/>
          </w:tcPr>
          <w:p w14:paraId="1ACF014F" w14:textId="77777777" w:rsidR="00C65C49" w:rsidRPr="00CC1F1F" w:rsidRDefault="00C65C49" w:rsidP="002F1270">
            <w:pPr>
              <w:pStyle w:val="TableParagraph"/>
              <w:spacing w:before="72"/>
              <w:ind w:right="112"/>
              <w:rPr>
                <w:sz w:val="18"/>
                <w:szCs w:val="18"/>
              </w:rPr>
            </w:pPr>
            <w:r w:rsidRPr="00CC1F1F">
              <w:rPr>
                <w:sz w:val="18"/>
                <w:szCs w:val="18"/>
              </w:rPr>
              <w:t xml:space="preserve">7,177 </w:t>
            </w:r>
          </w:p>
        </w:tc>
        <w:tc>
          <w:tcPr>
            <w:tcW w:w="1080" w:type="dxa"/>
            <w:tcBorders>
              <w:top w:val="nil"/>
              <w:left w:val="nil"/>
              <w:bottom w:val="nil"/>
              <w:right w:val="nil"/>
            </w:tcBorders>
            <w:shd w:val="clear" w:color="000000" w:fill="FFFFFF"/>
            <w:vAlign w:val="center"/>
          </w:tcPr>
          <w:p w14:paraId="1271E228" w14:textId="77777777" w:rsidR="00C65C49" w:rsidRPr="00CC1F1F" w:rsidRDefault="00C65C49" w:rsidP="002F1270">
            <w:pPr>
              <w:pStyle w:val="TableParagraph"/>
              <w:spacing w:before="72"/>
              <w:ind w:right="111"/>
              <w:rPr>
                <w:sz w:val="18"/>
                <w:szCs w:val="18"/>
              </w:rPr>
            </w:pPr>
            <w:r w:rsidRPr="00CC1F1F">
              <w:rPr>
                <w:sz w:val="18"/>
                <w:szCs w:val="18"/>
              </w:rPr>
              <w:t xml:space="preserve">7,320 </w:t>
            </w:r>
          </w:p>
        </w:tc>
        <w:tc>
          <w:tcPr>
            <w:tcW w:w="1170" w:type="dxa"/>
            <w:tcBorders>
              <w:top w:val="nil"/>
              <w:left w:val="nil"/>
              <w:bottom w:val="nil"/>
              <w:right w:val="nil"/>
            </w:tcBorders>
            <w:shd w:val="clear" w:color="000000" w:fill="FFFFFF"/>
            <w:vAlign w:val="center"/>
          </w:tcPr>
          <w:p w14:paraId="35FDE3AF" w14:textId="77777777" w:rsidR="00C65C49" w:rsidRPr="00CC1F1F" w:rsidRDefault="00C65C49" w:rsidP="002F1270">
            <w:pPr>
              <w:pStyle w:val="TableParagraph"/>
              <w:spacing w:before="72"/>
              <w:ind w:right="107"/>
              <w:rPr>
                <w:sz w:val="18"/>
                <w:szCs w:val="18"/>
              </w:rPr>
            </w:pPr>
            <w:r w:rsidRPr="00CC1F1F">
              <w:rPr>
                <w:sz w:val="18"/>
                <w:szCs w:val="18"/>
              </w:rPr>
              <w:t xml:space="preserve">21,533 </w:t>
            </w:r>
          </w:p>
        </w:tc>
      </w:tr>
      <w:tr w:rsidR="00C65C49" w:rsidRPr="0027658F" w14:paraId="0256652A" w14:textId="77777777" w:rsidTr="007E514B">
        <w:trPr>
          <w:trHeight w:val="357"/>
        </w:trPr>
        <w:tc>
          <w:tcPr>
            <w:tcW w:w="5580" w:type="dxa"/>
          </w:tcPr>
          <w:p w14:paraId="781FE9E4" w14:textId="10238C6B" w:rsidR="00C65C49" w:rsidRPr="007E514B" w:rsidRDefault="007E514B" w:rsidP="002F1270">
            <w:pPr>
              <w:pStyle w:val="TableParagraph"/>
              <w:spacing w:before="72"/>
              <w:ind w:left="107" w:right="0"/>
              <w:jc w:val="left"/>
              <w:rPr>
                <w:sz w:val="18"/>
                <w:highlight w:val="yellow"/>
                <w:lang w:val="es-ES"/>
              </w:rPr>
            </w:pPr>
            <w:r w:rsidRPr="00F7513C">
              <w:rPr>
                <w:color w:val="000000"/>
                <w:sz w:val="18"/>
                <w:szCs w:val="18"/>
                <w:lang w:val="es-ES"/>
              </w:rPr>
              <w:t>Desarrollo del personal (formación, retiros, etc.)</w:t>
            </w:r>
          </w:p>
        </w:tc>
        <w:tc>
          <w:tcPr>
            <w:tcW w:w="990" w:type="dxa"/>
            <w:tcBorders>
              <w:top w:val="nil"/>
              <w:left w:val="nil"/>
              <w:bottom w:val="nil"/>
              <w:right w:val="nil"/>
            </w:tcBorders>
            <w:shd w:val="clear" w:color="000000" w:fill="FFFFFF"/>
            <w:vAlign w:val="center"/>
          </w:tcPr>
          <w:p w14:paraId="7B5CC7B6" w14:textId="77777777" w:rsidR="00C65C49" w:rsidRPr="00CC1F1F" w:rsidRDefault="00C65C49" w:rsidP="002F1270">
            <w:pPr>
              <w:pStyle w:val="TableParagraph"/>
              <w:spacing w:before="72"/>
              <w:ind w:right="113"/>
              <w:rPr>
                <w:sz w:val="18"/>
                <w:szCs w:val="18"/>
              </w:rPr>
            </w:pPr>
            <w:r w:rsidRPr="00CC1F1F">
              <w:rPr>
                <w:sz w:val="18"/>
                <w:szCs w:val="18"/>
              </w:rPr>
              <w:t xml:space="preserve">20,824 </w:t>
            </w:r>
          </w:p>
        </w:tc>
        <w:tc>
          <w:tcPr>
            <w:tcW w:w="990" w:type="dxa"/>
            <w:tcBorders>
              <w:top w:val="nil"/>
              <w:left w:val="nil"/>
              <w:bottom w:val="nil"/>
              <w:right w:val="nil"/>
            </w:tcBorders>
            <w:shd w:val="clear" w:color="000000" w:fill="FFFFFF"/>
            <w:vAlign w:val="center"/>
          </w:tcPr>
          <w:p w14:paraId="316682EF" w14:textId="77777777" w:rsidR="00C65C49" w:rsidRPr="00CC1F1F" w:rsidRDefault="00C65C49" w:rsidP="002F1270">
            <w:pPr>
              <w:pStyle w:val="TableParagraph"/>
              <w:spacing w:before="72"/>
              <w:ind w:right="112"/>
              <w:rPr>
                <w:sz w:val="18"/>
                <w:szCs w:val="18"/>
              </w:rPr>
            </w:pPr>
            <w:r w:rsidRPr="00CC1F1F">
              <w:rPr>
                <w:sz w:val="18"/>
                <w:szCs w:val="18"/>
              </w:rPr>
              <w:t xml:space="preserve">3,213 </w:t>
            </w:r>
          </w:p>
        </w:tc>
        <w:tc>
          <w:tcPr>
            <w:tcW w:w="1080" w:type="dxa"/>
            <w:tcBorders>
              <w:top w:val="nil"/>
              <w:left w:val="nil"/>
              <w:bottom w:val="nil"/>
              <w:right w:val="nil"/>
            </w:tcBorders>
            <w:shd w:val="clear" w:color="000000" w:fill="FFFFFF"/>
            <w:vAlign w:val="center"/>
          </w:tcPr>
          <w:p w14:paraId="44B9E15E" w14:textId="77777777" w:rsidR="00C65C49" w:rsidRPr="00CC1F1F" w:rsidRDefault="00C65C49" w:rsidP="002F1270">
            <w:pPr>
              <w:pStyle w:val="TableParagraph"/>
              <w:spacing w:before="72"/>
              <w:ind w:right="111"/>
              <w:rPr>
                <w:sz w:val="18"/>
                <w:szCs w:val="18"/>
              </w:rPr>
            </w:pPr>
          </w:p>
        </w:tc>
        <w:tc>
          <w:tcPr>
            <w:tcW w:w="1170" w:type="dxa"/>
            <w:tcBorders>
              <w:top w:val="nil"/>
              <w:left w:val="nil"/>
              <w:bottom w:val="nil"/>
              <w:right w:val="nil"/>
            </w:tcBorders>
            <w:shd w:val="clear" w:color="000000" w:fill="FFFFFF"/>
            <w:vAlign w:val="center"/>
          </w:tcPr>
          <w:p w14:paraId="2A07A51F" w14:textId="77777777" w:rsidR="00C65C49" w:rsidRPr="00CC1F1F" w:rsidRDefault="00C65C49" w:rsidP="002F1270">
            <w:pPr>
              <w:pStyle w:val="TableParagraph"/>
              <w:spacing w:before="72"/>
              <w:ind w:right="107"/>
              <w:rPr>
                <w:sz w:val="18"/>
                <w:szCs w:val="18"/>
              </w:rPr>
            </w:pPr>
            <w:r w:rsidRPr="00CC1F1F">
              <w:rPr>
                <w:sz w:val="18"/>
                <w:szCs w:val="18"/>
              </w:rPr>
              <w:t xml:space="preserve">24,037 </w:t>
            </w:r>
          </w:p>
        </w:tc>
      </w:tr>
      <w:tr w:rsidR="00C65C49" w:rsidRPr="0027658F" w14:paraId="5989B27B" w14:textId="77777777" w:rsidTr="007E514B">
        <w:trPr>
          <w:trHeight w:val="357"/>
        </w:trPr>
        <w:tc>
          <w:tcPr>
            <w:tcW w:w="5580" w:type="dxa"/>
          </w:tcPr>
          <w:p w14:paraId="4773BA00" w14:textId="4ED73F3F" w:rsidR="00C65C49" w:rsidRPr="008C2799" w:rsidRDefault="008C2799" w:rsidP="002F1270">
            <w:pPr>
              <w:pStyle w:val="TableParagraph"/>
              <w:spacing w:before="72"/>
              <w:ind w:left="107" w:right="0"/>
              <w:jc w:val="left"/>
              <w:rPr>
                <w:sz w:val="18"/>
                <w:highlight w:val="yellow"/>
                <w:lang w:val="es-ES"/>
              </w:rPr>
            </w:pPr>
            <w:r w:rsidRPr="00F7513C">
              <w:rPr>
                <w:color w:val="000000"/>
                <w:sz w:val="18"/>
                <w:szCs w:val="18"/>
                <w:lang w:val="es-ES"/>
              </w:rPr>
              <w:t>Servicios de tecnología de la información (incluido el programa UNV)</w:t>
            </w:r>
          </w:p>
        </w:tc>
        <w:tc>
          <w:tcPr>
            <w:tcW w:w="990" w:type="dxa"/>
            <w:tcBorders>
              <w:top w:val="nil"/>
              <w:left w:val="nil"/>
              <w:bottom w:val="nil"/>
              <w:right w:val="nil"/>
            </w:tcBorders>
            <w:shd w:val="clear" w:color="000000" w:fill="FFFFFF"/>
            <w:vAlign w:val="center"/>
          </w:tcPr>
          <w:p w14:paraId="3DB35F41" w14:textId="77777777" w:rsidR="00C65C49" w:rsidRPr="00CC1F1F" w:rsidRDefault="00C65C49" w:rsidP="002F1270">
            <w:pPr>
              <w:pStyle w:val="TableParagraph"/>
              <w:spacing w:before="72"/>
              <w:ind w:right="113"/>
              <w:rPr>
                <w:sz w:val="18"/>
                <w:szCs w:val="18"/>
              </w:rPr>
            </w:pPr>
            <w:r w:rsidRPr="00CC1F1F">
              <w:rPr>
                <w:sz w:val="18"/>
                <w:szCs w:val="18"/>
              </w:rPr>
              <w:t xml:space="preserve">75,770 </w:t>
            </w:r>
          </w:p>
        </w:tc>
        <w:tc>
          <w:tcPr>
            <w:tcW w:w="990" w:type="dxa"/>
            <w:tcBorders>
              <w:top w:val="nil"/>
              <w:left w:val="nil"/>
              <w:bottom w:val="nil"/>
              <w:right w:val="nil"/>
            </w:tcBorders>
            <w:shd w:val="clear" w:color="000000" w:fill="FFFFFF"/>
            <w:vAlign w:val="center"/>
          </w:tcPr>
          <w:p w14:paraId="255A1582" w14:textId="77777777" w:rsidR="00C65C49" w:rsidRPr="00CC1F1F" w:rsidRDefault="00C65C49" w:rsidP="002F1270">
            <w:pPr>
              <w:pStyle w:val="TableParagraph"/>
              <w:spacing w:before="72"/>
              <w:ind w:right="112"/>
              <w:rPr>
                <w:sz w:val="18"/>
                <w:szCs w:val="18"/>
              </w:rPr>
            </w:pPr>
            <w:r w:rsidRPr="00CC1F1F">
              <w:rPr>
                <w:sz w:val="18"/>
                <w:szCs w:val="18"/>
              </w:rPr>
              <w:t xml:space="preserve">77,285 </w:t>
            </w:r>
          </w:p>
        </w:tc>
        <w:tc>
          <w:tcPr>
            <w:tcW w:w="1080" w:type="dxa"/>
            <w:tcBorders>
              <w:top w:val="nil"/>
              <w:left w:val="nil"/>
              <w:bottom w:val="nil"/>
              <w:right w:val="nil"/>
            </w:tcBorders>
            <w:shd w:val="clear" w:color="000000" w:fill="FFFFFF"/>
            <w:vAlign w:val="center"/>
          </w:tcPr>
          <w:p w14:paraId="0BF7EE5A" w14:textId="77777777" w:rsidR="00C65C49" w:rsidRPr="00CC1F1F" w:rsidRDefault="00C65C49" w:rsidP="002F1270">
            <w:pPr>
              <w:pStyle w:val="TableParagraph"/>
              <w:spacing w:before="72"/>
              <w:ind w:right="111"/>
              <w:rPr>
                <w:sz w:val="18"/>
                <w:szCs w:val="18"/>
              </w:rPr>
            </w:pPr>
            <w:r w:rsidRPr="00CC1F1F">
              <w:rPr>
                <w:sz w:val="18"/>
                <w:szCs w:val="18"/>
              </w:rPr>
              <w:t xml:space="preserve">78,831 </w:t>
            </w:r>
          </w:p>
        </w:tc>
        <w:tc>
          <w:tcPr>
            <w:tcW w:w="1170" w:type="dxa"/>
            <w:tcBorders>
              <w:top w:val="nil"/>
              <w:left w:val="nil"/>
              <w:bottom w:val="nil"/>
              <w:right w:val="nil"/>
            </w:tcBorders>
            <w:shd w:val="clear" w:color="000000" w:fill="FFFFFF"/>
            <w:vAlign w:val="center"/>
          </w:tcPr>
          <w:p w14:paraId="417FA92B" w14:textId="77777777" w:rsidR="00C65C49" w:rsidRPr="00CC1F1F" w:rsidRDefault="00C65C49" w:rsidP="002F1270">
            <w:pPr>
              <w:pStyle w:val="TableParagraph"/>
              <w:spacing w:before="72"/>
              <w:ind w:right="107"/>
              <w:rPr>
                <w:sz w:val="18"/>
                <w:szCs w:val="18"/>
              </w:rPr>
            </w:pPr>
            <w:r w:rsidRPr="00CC1F1F">
              <w:rPr>
                <w:sz w:val="18"/>
                <w:szCs w:val="18"/>
              </w:rPr>
              <w:t xml:space="preserve">231,887 </w:t>
            </w:r>
          </w:p>
        </w:tc>
      </w:tr>
      <w:tr w:rsidR="00C65C49" w:rsidRPr="0027658F" w14:paraId="7A2927AD" w14:textId="77777777" w:rsidTr="007E514B">
        <w:trPr>
          <w:trHeight w:val="358"/>
        </w:trPr>
        <w:tc>
          <w:tcPr>
            <w:tcW w:w="5580" w:type="dxa"/>
          </w:tcPr>
          <w:p w14:paraId="12910D0D" w14:textId="4BFFD0AE" w:rsidR="00C65C49" w:rsidRPr="00175334" w:rsidRDefault="00175334" w:rsidP="002F1270">
            <w:pPr>
              <w:pStyle w:val="TableParagraph"/>
              <w:spacing w:before="72"/>
              <w:ind w:left="107" w:right="0"/>
              <w:jc w:val="left"/>
              <w:rPr>
                <w:sz w:val="18"/>
                <w:highlight w:val="yellow"/>
                <w:lang w:val="es-ES"/>
              </w:rPr>
            </w:pPr>
            <w:r w:rsidRPr="00F7513C">
              <w:rPr>
                <w:color w:val="000000"/>
                <w:sz w:val="18"/>
                <w:szCs w:val="18"/>
                <w:lang w:val="es-ES"/>
              </w:rPr>
              <w:t>Servicios de ofimática (alquiler de impresoras, alojamiento, etc.)</w:t>
            </w:r>
          </w:p>
        </w:tc>
        <w:tc>
          <w:tcPr>
            <w:tcW w:w="990" w:type="dxa"/>
            <w:tcBorders>
              <w:top w:val="nil"/>
              <w:left w:val="nil"/>
              <w:bottom w:val="nil"/>
              <w:right w:val="nil"/>
            </w:tcBorders>
            <w:shd w:val="clear" w:color="000000" w:fill="FFFFFF"/>
            <w:vAlign w:val="center"/>
          </w:tcPr>
          <w:p w14:paraId="61AE6292" w14:textId="77777777" w:rsidR="00C65C49" w:rsidRPr="00CC1F1F" w:rsidRDefault="00C65C49" w:rsidP="002F1270">
            <w:pPr>
              <w:pStyle w:val="TableParagraph"/>
              <w:spacing w:before="72"/>
              <w:ind w:right="113"/>
              <w:rPr>
                <w:sz w:val="18"/>
                <w:szCs w:val="18"/>
              </w:rPr>
            </w:pPr>
            <w:r w:rsidRPr="00CC1F1F">
              <w:rPr>
                <w:sz w:val="18"/>
                <w:szCs w:val="18"/>
              </w:rPr>
              <w:t xml:space="preserve">10,824 </w:t>
            </w:r>
          </w:p>
        </w:tc>
        <w:tc>
          <w:tcPr>
            <w:tcW w:w="990" w:type="dxa"/>
            <w:tcBorders>
              <w:top w:val="nil"/>
              <w:left w:val="nil"/>
              <w:bottom w:val="nil"/>
              <w:right w:val="nil"/>
            </w:tcBorders>
            <w:shd w:val="clear" w:color="000000" w:fill="FFFFFF"/>
            <w:vAlign w:val="center"/>
          </w:tcPr>
          <w:p w14:paraId="7A085360" w14:textId="77777777" w:rsidR="00C65C49" w:rsidRPr="00CC1F1F" w:rsidRDefault="00C65C49" w:rsidP="002F1270">
            <w:pPr>
              <w:pStyle w:val="TableParagraph"/>
              <w:spacing w:before="72"/>
              <w:ind w:right="112"/>
              <w:rPr>
                <w:sz w:val="18"/>
                <w:szCs w:val="18"/>
              </w:rPr>
            </w:pPr>
            <w:r w:rsidRPr="00CC1F1F">
              <w:rPr>
                <w:sz w:val="18"/>
                <w:szCs w:val="18"/>
              </w:rPr>
              <w:t xml:space="preserve">11,040 </w:t>
            </w:r>
          </w:p>
        </w:tc>
        <w:tc>
          <w:tcPr>
            <w:tcW w:w="1080" w:type="dxa"/>
            <w:tcBorders>
              <w:top w:val="nil"/>
              <w:left w:val="nil"/>
              <w:bottom w:val="nil"/>
              <w:right w:val="nil"/>
            </w:tcBorders>
            <w:shd w:val="clear" w:color="000000" w:fill="FFFFFF"/>
            <w:vAlign w:val="center"/>
          </w:tcPr>
          <w:p w14:paraId="2C739000" w14:textId="77777777" w:rsidR="00C65C49" w:rsidRPr="00CC1F1F" w:rsidRDefault="00C65C49" w:rsidP="002F1270">
            <w:pPr>
              <w:pStyle w:val="TableParagraph"/>
              <w:spacing w:before="72"/>
              <w:ind w:right="111"/>
              <w:rPr>
                <w:sz w:val="18"/>
                <w:szCs w:val="18"/>
              </w:rPr>
            </w:pPr>
            <w:r w:rsidRPr="00CC1F1F">
              <w:rPr>
                <w:sz w:val="18"/>
                <w:szCs w:val="18"/>
              </w:rPr>
              <w:t xml:space="preserve">11,261 </w:t>
            </w:r>
          </w:p>
        </w:tc>
        <w:tc>
          <w:tcPr>
            <w:tcW w:w="1170" w:type="dxa"/>
            <w:tcBorders>
              <w:top w:val="nil"/>
              <w:left w:val="nil"/>
              <w:bottom w:val="nil"/>
              <w:right w:val="nil"/>
            </w:tcBorders>
            <w:shd w:val="clear" w:color="000000" w:fill="FFFFFF"/>
            <w:vAlign w:val="center"/>
          </w:tcPr>
          <w:p w14:paraId="686808DE" w14:textId="77777777" w:rsidR="00C65C49" w:rsidRPr="00CC1F1F" w:rsidRDefault="00C65C49" w:rsidP="002F1270">
            <w:pPr>
              <w:pStyle w:val="TableParagraph"/>
              <w:spacing w:before="72"/>
              <w:ind w:right="107"/>
              <w:rPr>
                <w:sz w:val="18"/>
                <w:szCs w:val="18"/>
              </w:rPr>
            </w:pPr>
            <w:r w:rsidRPr="00CC1F1F">
              <w:rPr>
                <w:sz w:val="18"/>
                <w:szCs w:val="18"/>
              </w:rPr>
              <w:t xml:space="preserve">33,126 </w:t>
            </w:r>
          </w:p>
        </w:tc>
      </w:tr>
      <w:tr w:rsidR="00C65C49" w:rsidRPr="0027658F" w14:paraId="6D94963E" w14:textId="77777777" w:rsidTr="007E514B">
        <w:trPr>
          <w:trHeight w:val="358"/>
        </w:trPr>
        <w:tc>
          <w:tcPr>
            <w:tcW w:w="5580" w:type="dxa"/>
          </w:tcPr>
          <w:p w14:paraId="17E421CB" w14:textId="5AF9117B" w:rsidR="00C65C49" w:rsidRPr="00DB3AE8" w:rsidRDefault="00DB3AE8" w:rsidP="002F1270">
            <w:pPr>
              <w:pStyle w:val="TableParagraph"/>
              <w:spacing w:before="73"/>
              <w:ind w:left="107" w:right="0"/>
              <w:jc w:val="left"/>
              <w:rPr>
                <w:sz w:val="18"/>
                <w:highlight w:val="yellow"/>
                <w:lang w:val="es-ES"/>
              </w:rPr>
            </w:pPr>
            <w:r w:rsidRPr="00F7513C">
              <w:rPr>
                <w:color w:val="000000"/>
                <w:sz w:val="18"/>
                <w:szCs w:val="18"/>
                <w:lang w:val="es-ES"/>
              </w:rPr>
              <w:t>Servicios de comunicación y mensajería</w:t>
            </w:r>
          </w:p>
        </w:tc>
        <w:tc>
          <w:tcPr>
            <w:tcW w:w="990" w:type="dxa"/>
            <w:tcBorders>
              <w:top w:val="nil"/>
              <w:left w:val="nil"/>
              <w:bottom w:val="nil"/>
              <w:right w:val="nil"/>
            </w:tcBorders>
            <w:shd w:val="clear" w:color="000000" w:fill="FFFFFF"/>
            <w:vAlign w:val="center"/>
          </w:tcPr>
          <w:p w14:paraId="25F12BA9" w14:textId="77777777" w:rsidR="00C65C49" w:rsidRPr="00CC1F1F" w:rsidRDefault="00C65C49" w:rsidP="002F1270">
            <w:pPr>
              <w:pStyle w:val="TableParagraph"/>
              <w:spacing w:before="73"/>
              <w:ind w:right="113"/>
              <w:rPr>
                <w:sz w:val="18"/>
                <w:szCs w:val="18"/>
              </w:rPr>
            </w:pPr>
            <w:r w:rsidRPr="00CC1F1F">
              <w:rPr>
                <w:sz w:val="18"/>
                <w:szCs w:val="18"/>
              </w:rPr>
              <w:t xml:space="preserve">10,000 </w:t>
            </w:r>
          </w:p>
        </w:tc>
        <w:tc>
          <w:tcPr>
            <w:tcW w:w="990" w:type="dxa"/>
            <w:tcBorders>
              <w:top w:val="nil"/>
              <w:left w:val="nil"/>
              <w:bottom w:val="nil"/>
              <w:right w:val="nil"/>
            </w:tcBorders>
            <w:shd w:val="clear" w:color="000000" w:fill="FFFFFF"/>
            <w:vAlign w:val="center"/>
          </w:tcPr>
          <w:p w14:paraId="3024ADBD" w14:textId="77777777" w:rsidR="00C65C49" w:rsidRPr="00CC1F1F" w:rsidRDefault="00C65C49" w:rsidP="002F1270">
            <w:pPr>
              <w:pStyle w:val="TableParagraph"/>
              <w:spacing w:before="73"/>
              <w:ind w:right="112"/>
              <w:rPr>
                <w:sz w:val="18"/>
                <w:szCs w:val="18"/>
              </w:rPr>
            </w:pPr>
            <w:r w:rsidRPr="00CC1F1F">
              <w:rPr>
                <w:sz w:val="18"/>
                <w:szCs w:val="18"/>
              </w:rPr>
              <w:t xml:space="preserve">10,200 </w:t>
            </w:r>
          </w:p>
        </w:tc>
        <w:tc>
          <w:tcPr>
            <w:tcW w:w="1080" w:type="dxa"/>
            <w:tcBorders>
              <w:top w:val="nil"/>
              <w:left w:val="nil"/>
              <w:bottom w:val="nil"/>
              <w:right w:val="nil"/>
            </w:tcBorders>
            <w:shd w:val="clear" w:color="000000" w:fill="FFFFFF"/>
            <w:vAlign w:val="center"/>
          </w:tcPr>
          <w:p w14:paraId="0A2A001C" w14:textId="77777777" w:rsidR="00C65C49" w:rsidRPr="00CC1F1F" w:rsidRDefault="00C65C49" w:rsidP="002F1270">
            <w:pPr>
              <w:pStyle w:val="TableParagraph"/>
              <w:spacing w:before="73"/>
              <w:ind w:right="111"/>
              <w:rPr>
                <w:sz w:val="18"/>
                <w:szCs w:val="18"/>
              </w:rPr>
            </w:pPr>
            <w:r w:rsidRPr="00CC1F1F">
              <w:rPr>
                <w:sz w:val="18"/>
                <w:szCs w:val="18"/>
              </w:rPr>
              <w:t xml:space="preserve">10,404 </w:t>
            </w:r>
          </w:p>
        </w:tc>
        <w:tc>
          <w:tcPr>
            <w:tcW w:w="1170" w:type="dxa"/>
            <w:tcBorders>
              <w:top w:val="nil"/>
              <w:left w:val="nil"/>
              <w:bottom w:val="nil"/>
              <w:right w:val="nil"/>
            </w:tcBorders>
            <w:shd w:val="clear" w:color="000000" w:fill="FFFFFF"/>
            <w:vAlign w:val="center"/>
          </w:tcPr>
          <w:p w14:paraId="0852DA7D" w14:textId="77777777" w:rsidR="00C65C49" w:rsidRPr="00CC1F1F" w:rsidRDefault="00C65C49" w:rsidP="002F1270">
            <w:pPr>
              <w:pStyle w:val="TableParagraph"/>
              <w:spacing w:before="73"/>
              <w:ind w:right="107"/>
              <w:rPr>
                <w:sz w:val="18"/>
                <w:szCs w:val="18"/>
              </w:rPr>
            </w:pPr>
            <w:r w:rsidRPr="00CC1F1F">
              <w:rPr>
                <w:sz w:val="18"/>
                <w:szCs w:val="18"/>
              </w:rPr>
              <w:t xml:space="preserve">30,604 </w:t>
            </w:r>
          </w:p>
        </w:tc>
      </w:tr>
      <w:tr w:rsidR="00C65C49" w:rsidRPr="0027658F" w14:paraId="59C7FFAD" w14:textId="77777777" w:rsidTr="007E514B">
        <w:trPr>
          <w:trHeight w:val="358"/>
        </w:trPr>
        <w:tc>
          <w:tcPr>
            <w:tcW w:w="5580" w:type="dxa"/>
          </w:tcPr>
          <w:p w14:paraId="7854C87F" w14:textId="75492318" w:rsidR="00C65C49" w:rsidRPr="0027658F" w:rsidRDefault="00CC1F1F" w:rsidP="002F1270">
            <w:pPr>
              <w:pStyle w:val="TableParagraph"/>
              <w:spacing w:before="73"/>
              <w:ind w:left="107" w:right="0"/>
              <w:jc w:val="left"/>
              <w:rPr>
                <w:sz w:val="18"/>
                <w:highlight w:val="yellow"/>
              </w:rPr>
            </w:pPr>
            <w:r w:rsidRPr="006D7078">
              <w:rPr>
                <w:color w:val="000000"/>
                <w:sz w:val="18"/>
                <w:szCs w:val="18"/>
              </w:rPr>
              <w:t>Varios</w:t>
            </w:r>
          </w:p>
        </w:tc>
        <w:tc>
          <w:tcPr>
            <w:tcW w:w="990" w:type="dxa"/>
            <w:tcBorders>
              <w:top w:val="nil"/>
              <w:left w:val="nil"/>
              <w:bottom w:val="nil"/>
              <w:right w:val="nil"/>
            </w:tcBorders>
            <w:shd w:val="clear" w:color="000000" w:fill="FFFFFF"/>
            <w:vAlign w:val="center"/>
          </w:tcPr>
          <w:p w14:paraId="679CB9A1" w14:textId="77777777" w:rsidR="00C65C49" w:rsidRPr="00CC1F1F" w:rsidRDefault="00C65C49" w:rsidP="002F1270">
            <w:pPr>
              <w:pStyle w:val="TableParagraph"/>
              <w:spacing w:before="73"/>
              <w:ind w:right="113"/>
              <w:rPr>
                <w:sz w:val="18"/>
                <w:szCs w:val="18"/>
              </w:rPr>
            </w:pPr>
            <w:r w:rsidRPr="00CC1F1F">
              <w:rPr>
                <w:sz w:val="18"/>
                <w:szCs w:val="18"/>
              </w:rPr>
              <w:t xml:space="preserve">4,046 </w:t>
            </w:r>
          </w:p>
        </w:tc>
        <w:tc>
          <w:tcPr>
            <w:tcW w:w="990" w:type="dxa"/>
            <w:tcBorders>
              <w:top w:val="nil"/>
              <w:left w:val="nil"/>
              <w:bottom w:val="nil"/>
              <w:right w:val="nil"/>
            </w:tcBorders>
            <w:shd w:val="clear" w:color="000000" w:fill="FFFFFF"/>
            <w:vAlign w:val="center"/>
          </w:tcPr>
          <w:p w14:paraId="028A3B52" w14:textId="77777777" w:rsidR="00C65C49" w:rsidRPr="00CC1F1F" w:rsidRDefault="00C65C49" w:rsidP="002F1270">
            <w:pPr>
              <w:pStyle w:val="TableParagraph"/>
              <w:spacing w:before="73"/>
              <w:ind w:right="112"/>
              <w:rPr>
                <w:sz w:val="18"/>
                <w:szCs w:val="18"/>
              </w:rPr>
            </w:pPr>
            <w:r w:rsidRPr="00CC1F1F">
              <w:rPr>
                <w:sz w:val="18"/>
                <w:szCs w:val="18"/>
              </w:rPr>
              <w:t xml:space="preserve">4,127 </w:t>
            </w:r>
          </w:p>
        </w:tc>
        <w:tc>
          <w:tcPr>
            <w:tcW w:w="1080" w:type="dxa"/>
            <w:tcBorders>
              <w:top w:val="nil"/>
              <w:left w:val="nil"/>
              <w:bottom w:val="nil"/>
              <w:right w:val="nil"/>
            </w:tcBorders>
            <w:shd w:val="clear" w:color="000000" w:fill="FFFFFF"/>
            <w:vAlign w:val="center"/>
          </w:tcPr>
          <w:p w14:paraId="0C126680" w14:textId="77777777" w:rsidR="00C65C49" w:rsidRPr="00CC1F1F" w:rsidRDefault="00C65C49" w:rsidP="002F1270">
            <w:pPr>
              <w:pStyle w:val="TableParagraph"/>
              <w:spacing w:before="73"/>
              <w:ind w:right="111"/>
              <w:rPr>
                <w:sz w:val="18"/>
                <w:szCs w:val="18"/>
              </w:rPr>
            </w:pPr>
            <w:r w:rsidRPr="00CC1F1F">
              <w:rPr>
                <w:sz w:val="18"/>
                <w:szCs w:val="18"/>
              </w:rPr>
              <w:t xml:space="preserve">4,210 </w:t>
            </w:r>
          </w:p>
        </w:tc>
        <w:tc>
          <w:tcPr>
            <w:tcW w:w="1170" w:type="dxa"/>
            <w:tcBorders>
              <w:top w:val="nil"/>
              <w:left w:val="nil"/>
              <w:bottom w:val="nil"/>
              <w:right w:val="nil"/>
            </w:tcBorders>
            <w:shd w:val="clear" w:color="000000" w:fill="FFFFFF"/>
            <w:vAlign w:val="center"/>
          </w:tcPr>
          <w:p w14:paraId="38F2E856" w14:textId="77777777" w:rsidR="00C65C49" w:rsidRPr="00CC1F1F" w:rsidRDefault="00C65C49" w:rsidP="002F1270">
            <w:pPr>
              <w:pStyle w:val="TableParagraph"/>
              <w:spacing w:before="73"/>
              <w:ind w:right="107"/>
              <w:rPr>
                <w:sz w:val="18"/>
                <w:szCs w:val="18"/>
              </w:rPr>
            </w:pPr>
            <w:r w:rsidRPr="00CC1F1F">
              <w:rPr>
                <w:sz w:val="18"/>
                <w:szCs w:val="18"/>
              </w:rPr>
              <w:t xml:space="preserve">12,383 </w:t>
            </w:r>
          </w:p>
        </w:tc>
      </w:tr>
      <w:tr w:rsidR="00C65C49" w:rsidRPr="0027658F" w14:paraId="6C069B10" w14:textId="77777777" w:rsidTr="007E514B">
        <w:trPr>
          <w:trHeight w:val="356"/>
        </w:trPr>
        <w:tc>
          <w:tcPr>
            <w:tcW w:w="5580" w:type="dxa"/>
            <w:tcBorders>
              <w:bottom w:val="single" w:sz="4" w:space="0" w:color="000000"/>
            </w:tcBorders>
          </w:tcPr>
          <w:p w14:paraId="68A87599" w14:textId="77777777" w:rsidR="00C65C49" w:rsidRPr="0027658F" w:rsidRDefault="00C65C49" w:rsidP="002F1270">
            <w:pPr>
              <w:pStyle w:val="TableParagraph"/>
              <w:spacing w:before="72"/>
              <w:ind w:left="107" w:right="0"/>
              <w:jc w:val="left"/>
              <w:rPr>
                <w:sz w:val="18"/>
                <w:highlight w:val="yellow"/>
              </w:rPr>
            </w:pPr>
            <w:r w:rsidRPr="00CC1F1F">
              <w:rPr>
                <w:sz w:val="18"/>
              </w:rPr>
              <w:t>Umoja</w:t>
            </w:r>
          </w:p>
        </w:tc>
        <w:tc>
          <w:tcPr>
            <w:tcW w:w="990" w:type="dxa"/>
            <w:tcBorders>
              <w:top w:val="nil"/>
              <w:left w:val="nil"/>
              <w:bottom w:val="nil"/>
              <w:right w:val="nil"/>
            </w:tcBorders>
            <w:shd w:val="clear" w:color="000000" w:fill="FFFFFF"/>
            <w:vAlign w:val="center"/>
          </w:tcPr>
          <w:p w14:paraId="21B4620C" w14:textId="77777777" w:rsidR="00C65C49" w:rsidRPr="00CC1F1F" w:rsidRDefault="00C65C49" w:rsidP="002F1270">
            <w:pPr>
              <w:pStyle w:val="TableParagraph"/>
              <w:spacing w:before="72"/>
              <w:ind w:right="113"/>
              <w:rPr>
                <w:sz w:val="18"/>
                <w:szCs w:val="18"/>
              </w:rPr>
            </w:pPr>
          </w:p>
        </w:tc>
        <w:tc>
          <w:tcPr>
            <w:tcW w:w="990" w:type="dxa"/>
            <w:tcBorders>
              <w:top w:val="nil"/>
              <w:left w:val="nil"/>
              <w:bottom w:val="nil"/>
              <w:right w:val="nil"/>
            </w:tcBorders>
            <w:shd w:val="clear" w:color="000000" w:fill="FFFFFF"/>
            <w:vAlign w:val="center"/>
          </w:tcPr>
          <w:p w14:paraId="20223CAE" w14:textId="77777777" w:rsidR="00C65C49" w:rsidRPr="00CC1F1F" w:rsidRDefault="00C65C49" w:rsidP="002F1270">
            <w:pPr>
              <w:pStyle w:val="TableParagraph"/>
              <w:spacing w:before="72"/>
              <w:ind w:right="112"/>
              <w:rPr>
                <w:sz w:val="18"/>
                <w:szCs w:val="18"/>
              </w:rPr>
            </w:pPr>
          </w:p>
        </w:tc>
        <w:tc>
          <w:tcPr>
            <w:tcW w:w="1080" w:type="dxa"/>
            <w:tcBorders>
              <w:top w:val="nil"/>
              <w:left w:val="nil"/>
              <w:bottom w:val="nil"/>
              <w:right w:val="nil"/>
            </w:tcBorders>
            <w:shd w:val="clear" w:color="000000" w:fill="FFFFFF"/>
            <w:vAlign w:val="center"/>
          </w:tcPr>
          <w:p w14:paraId="5C7E9C47" w14:textId="77777777" w:rsidR="00C65C49" w:rsidRPr="00CC1F1F" w:rsidRDefault="00C65C49" w:rsidP="002F1270">
            <w:pPr>
              <w:pStyle w:val="TableParagraph"/>
              <w:spacing w:before="72"/>
              <w:ind w:right="111"/>
              <w:rPr>
                <w:sz w:val="18"/>
                <w:szCs w:val="18"/>
              </w:rPr>
            </w:pPr>
          </w:p>
        </w:tc>
        <w:tc>
          <w:tcPr>
            <w:tcW w:w="1170" w:type="dxa"/>
            <w:tcBorders>
              <w:top w:val="nil"/>
              <w:left w:val="nil"/>
              <w:bottom w:val="nil"/>
              <w:right w:val="nil"/>
            </w:tcBorders>
            <w:shd w:val="clear" w:color="000000" w:fill="FFFFFF"/>
            <w:vAlign w:val="center"/>
          </w:tcPr>
          <w:p w14:paraId="003E2B0F" w14:textId="77777777" w:rsidR="00C65C49" w:rsidRPr="00CC1F1F" w:rsidRDefault="00C65C49" w:rsidP="002F1270">
            <w:pPr>
              <w:pStyle w:val="TableParagraph"/>
              <w:spacing w:before="72"/>
              <w:ind w:right="107"/>
              <w:rPr>
                <w:sz w:val="18"/>
                <w:szCs w:val="18"/>
              </w:rPr>
            </w:pPr>
            <w:r w:rsidRPr="00CC1F1F">
              <w:rPr>
                <w:sz w:val="18"/>
                <w:szCs w:val="18"/>
              </w:rPr>
              <w:t xml:space="preserve">0 </w:t>
            </w:r>
          </w:p>
        </w:tc>
      </w:tr>
      <w:tr w:rsidR="00C65C49" w:rsidRPr="0027658F" w14:paraId="5BADF214" w14:textId="77777777" w:rsidTr="007E514B">
        <w:trPr>
          <w:trHeight w:val="357"/>
        </w:trPr>
        <w:tc>
          <w:tcPr>
            <w:tcW w:w="5580" w:type="dxa"/>
            <w:tcBorders>
              <w:top w:val="single" w:sz="4" w:space="0" w:color="000000"/>
              <w:bottom w:val="single" w:sz="4" w:space="0" w:color="000000"/>
            </w:tcBorders>
          </w:tcPr>
          <w:p w14:paraId="5477B2FE" w14:textId="6452E7AA" w:rsidR="00C65C49" w:rsidRPr="00CC1F1F" w:rsidRDefault="00C65C49" w:rsidP="002F1270">
            <w:pPr>
              <w:pStyle w:val="TableParagraph"/>
              <w:spacing w:before="73"/>
              <w:ind w:left="107" w:right="0"/>
              <w:jc w:val="left"/>
              <w:rPr>
                <w:b/>
                <w:sz w:val="18"/>
              </w:rPr>
            </w:pPr>
            <w:r w:rsidRPr="00CC1F1F">
              <w:rPr>
                <w:b/>
                <w:spacing w:val="-2"/>
                <w:sz w:val="18"/>
              </w:rPr>
              <w:t>Subtotal</w:t>
            </w:r>
          </w:p>
        </w:tc>
        <w:tc>
          <w:tcPr>
            <w:tcW w:w="990" w:type="dxa"/>
            <w:tcBorders>
              <w:top w:val="single" w:sz="4" w:space="0" w:color="auto"/>
              <w:left w:val="nil"/>
              <w:bottom w:val="single" w:sz="4" w:space="0" w:color="auto"/>
              <w:right w:val="nil"/>
            </w:tcBorders>
            <w:shd w:val="clear" w:color="000000" w:fill="FFFFFF"/>
            <w:vAlign w:val="center"/>
          </w:tcPr>
          <w:p w14:paraId="0F1A9E02" w14:textId="77777777" w:rsidR="00C65C49" w:rsidRPr="00CC1F1F" w:rsidRDefault="00C65C49" w:rsidP="002F1270">
            <w:pPr>
              <w:pStyle w:val="TableParagraph"/>
              <w:spacing w:before="73"/>
              <w:ind w:right="113"/>
              <w:rPr>
                <w:b/>
                <w:bCs/>
                <w:sz w:val="18"/>
                <w:szCs w:val="18"/>
              </w:rPr>
            </w:pPr>
            <w:r w:rsidRPr="00CC1F1F">
              <w:rPr>
                <w:b/>
                <w:bCs/>
                <w:sz w:val="18"/>
                <w:szCs w:val="18"/>
              </w:rPr>
              <w:t xml:space="preserve">128,500 </w:t>
            </w:r>
          </w:p>
        </w:tc>
        <w:tc>
          <w:tcPr>
            <w:tcW w:w="990" w:type="dxa"/>
            <w:tcBorders>
              <w:top w:val="single" w:sz="4" w:space="0" w:color="auto"/>
              <w:left w:val="nil"/>
              <w:bottom w:val="single" w:sz="4" w:space="0" w:color="auto"/>
              <w:right w:val="nil"/>
            </w:tcBorders>
            <w:shd w:val="clear" w:color="000000" w:fill="FFFFFF"/>
            <w:vAlign w:val="center"/>
          </w:tcPr>
          <w:p w14:paraId="0B2C5D24" w14:textId="77777777" w:rsidR="00C65C49" w:rsidRPr="00CC1F1F" w:rsidRDefault="00C65C49" w:rsidP="002F1270">
            <w:pPr>
              <w:pStyle w:val="TableParagraph"/>
              <w:spacing w:before="73"/>
              <w:ind w:right="112"/>
              <w:rPr>
                <w:b/>
                <w:bCs/>
                <w:sz w:val="18"/>
                <w:szCs w:val="18"/>
              </w:rPr>
            </w:pPr>
            <w:r w:rsidRPr="00CC1F1F">
              <w:rPr>
                <w:b/>
                <w:bCs/>
                <w:sz w:val="18"/>
                <w:szCs w:val="18"/>
              </w:rPr>
              <w:t xml:space="preserve">113,043 </w:t>
            </w:r>
          </w:p>
        </w:tc>
        <w:tc>
          <w:tcPr>
            <w:tcW w:w="1080" w:type="dxa"/>
            <w:tcBorders>
              <w:top w:val="single" w:sz="4" w:space="0" w:color="auto"/>
              <w:left w:val="nil"/>
              <w:bottom w:val="single" w:sz="4" w:space="0" w:color="auto"/>
              <w:right w:val="nil"/>
            </w:tcBorders>
            <w:shd w:val="clear" w:color="000000" w:fill="FFFFFF"/>
            <w:vAlign w:val="center"/>
          </w:tcPr>
          <w:p w14:paraId="3FFDDA36" w14:textId="77777777" w:rsidR="00C65C49" w:rsidRPr="00CC1F1F" w:rsidRDefault="00C65C49" w:rsidP="002F1270">
            <w:pPr>
              <w:pStyle w:val="TableParagraph"/>
              <w:spacing w:before="73"/>
              <w:ind w:right="111"/>
              <w:rPr>
                <w:b/>
                <w:bCs/>
                <w:sz w:val="18"/>
                <w:szCs w:val="18"/>
              </w:rPr>
            </w:pPr>
            <w:r w:rsidRPr="00CC1F1F">
              <w:rPr>
                <w:b/>
                <w:bCs/>
                <w:sz w:val="18"/>
                <w:szCs w:val="18"/>
              </w:rPr>
              <w:t xml:space="preserve">112,026 </w:t>
            </w:r>
          </w:p>
        </w:tc>
        <w:tc>
          <w:tcPr>
            <w:tcW w:w="1170" w:type="dxa"/>
            <w:tcBorders>
              <w:top w:val="single" w:sz="4" w:space="0" w:color="auto"/>
              <w:left w:val="nil"/>
              <w:bottom w:val="single" w:sz="4" w:space="0" w:color="auto"/>
              <w:right w:val="nil"/>
            </w:tcBorders>
            <w:shd w:val="clear" w:color="000000" w:fill="FFFFFF"/>
            <w:vAlign w:val="center"/>
          </w:tcPr>
          <w:p w14:paraId="08A922EF" w14:textId="77777777" w:rsidR="00C65C49" w:rsidRPr="00CC1F1F" w:rsidRDefault="00C65C49" w:rsidP="002F1270">
            <w:pPr>
              <w:pStyle w:val="TableParagraph"/>
              <w:spacing w:before="73"/>
              <w:ind w:right="107"/>
              <w:rPr>
                <w:b/>
                <w:bCs/>
                <w:sz w:val="18"/>
                <w:szCs w:val="18"/>
              </w:rPr>
            </w:pPr>
            <w:r w:rsidRPr="00CC1F1F">
              <w:rPr>
                <w:b/>
                <w:bCs/>
                <w:sz w:val="18"/>
                <w:szCs w:val="18"/>
              </w:rPr>
              <w:t xml:space="preserve">353,570 </w:t>
            </w:r>
          </w:p>
        </w:tc>
      </w:tr>
      <w:tr w:rsidR="00C65C49" w:rsidRPr="0027658F" w14:paraId="2BD376B1" w14:textId="77777777" w:rsidTr="007E514B">
        <w:trPr>
          <w:trHeight w:val="359"/>
        </w:trPr>
        <w:tc>
          <w:tcPr>
            <w:tcW w:w="5580" w:type="dxa"/>
            <w:tcBorders>
              <w:top w:val="single" w:sz="4" w:space="0" w:color="000000"/>
            </w:tcBorders>
          </w:tcPr>
          <w:p w14:paraId="3B2CDF81" w14:textId="1B6FD59D" w:rsidR="00C65C49" w:rsidRPr="00E836BE" w:rsidRDefault="00E47F80" w:rsidP="002F1270">
            <w:pPr>
              <w:pStyle w:val="TableParagraph"/>
              <w:spacing w:before="73"/>
              <w:ind w:left="107" w:right="0"/>
              <w:jc w:val="left"/>
              <w:rPr>
                <w:b/>
                <w:sz w:val="18"/>
              </w:rPr>
            </w:pPr>
            <w:r w:rsidRPr="00E836BE">
              <w:rPr>
                <w:b/>
                <w:spacing w:val="-2"/>
                <w:sz w:val="18"/>
              </w:rPr>
              <w:t>Equipamiento</w:t>
            </w:r>
          </w:p>
        </w:tc>
        <w:tc>
          <w:tcPr>
            <w:tcW w:w="990" w:type="dxa"/>
            <w:tcBorders>
              <w:top w:val="nil"/>
              <w:left w:val="nil"/>
              <w:bottom w:val="nil"/>
              <w:right w:val="nil"/>
            </w:tcBorders>
            <w:shd w:val="clear" w:color="000000" w:fill="FFFFFF"/>
            <w:vAlign w:val="center"/>
          </w:tcPr>
          <w:p w14:paraId="43872377" w14:textId="77777777" w:rsidR="00C65C49" w:rsidRPr="00E836BE" w:rsidRDefault="00C65C49" w:rsidP="002F1270">
            <w:pPr>
              <w:pStyle w:val="TableParagraph"/>
              <w:spacing w:before="0"/>
              <w:ind w:right="0"/>
              <w:rPr>
                <w:sz w:val="18"/>
                <w:szCs w:val="18"/>
              </w:rPr>
            </w:pPr>
          </w:p>
        </w:tc>
        <w:tc>
          <w:tcPr>
            <w:tcW w:w="990" w:type="dxa"/>
            <w:tcBorders>
              <w:top w:val="nil"/>
              <w:left w:val="nil"/>
              <w:bottom w:val="nil"/>
              <w:right w:val="nil"/>
            </w:tcBorders>
            <w:shd w:val="clear" w:color="000000" w:fill="FFFFFF"/>
            <w:vAlign w:val="center"/>
          </w:tcPr>
          <w:p w14:paraId="326870A3" w14:textId="77777777" w:rsidR="00C65C49" w:rsidRPr="00E836BE" w:rsidRDefault="00C65C49" w:rsidP="002F1270">
            <w:pPr>
              <w:pStyle w:val="TableParagraph"/>
              <w:spacing w:before="0"/>
              <w:ind w:right="0"/>
              <w:rPr>
                <w:sz w:val="18"/>
                <w:szCs w:val="18"/>
              </w:rPr>
            </w:pPr>
          </w:p>
        </w:tc>
        <w:tc>
          <w:tcPr>
            <w:tcW w:w="1080" w:type="dxa"/>
            <w:tcBorders>
              <w:top w:val="nil"/>
              <w:left w:val="nil"/>
              <w:bottom w:val="nil"/>
              <w:right w:val="nil"/>
            </w:tcBorders>
            <w:shd w:val="clear" w:color="000000" w:fill="FFFFFF"/>
            <w:vAlign w:val="center"/>
          </w:tcPr>
          <w:p w14:paraId="6BB5DFF9" w14:textId="77777777" w:rsidR="00C65C49" w:rsidRPr="00E836BE" w:rsidRDefault="00C65C49" w:rsidP="002F1270">
            <w:pPr>
              <w:pStyle w:val="TableParagraph"/>
              <w:spacing w:before="0"/>
              <w:ind w:right="0"/>
              <w:rPr>
                <w:sz w:val="18"/>
                <w:szCs w:val="18"/>
              </w:rPr>
            </w:pPr>
          </w:p>
        </w:tc>
        <w:tc>
          <w:tcPr>
            <w:tcW w:w="1170" w:type="dxa"/>
            <w:tcBorders>
              <w:top w:val="nil"/>
              <w:left w:val="nil"/>
              <w:bottom w:val="nil"/>
              <w:right w:val="nil"/>
            </w:tcBorders>
            <w:shd w:val="clear" w:color="000000" w:fill="FFFFFF"/>
            <w:vAlign w:val="center"/>
          </w:tcPr>
          <w:p w14:paraId="3B5E4D97" w14:textId="77777777" w:rsidR="00C65C49" w:rsidRPr="00E836BE" w:rsidRDefault="00C65C49" w:rsidP="002F1270">
            <w:pPr>
              <w:pStyle w:val="TableParagraph"/>
              <w:spacing w:before="0"/>
              <w:ind w:right="0"/>
              <w:rPr>
                <w:sz w:val="18"/>
                <w:szCs w:val="18"/>
              </w:rPr>
            </w:pPr>
          </w:p>
        </w:tc>
      </w:tr>
      <w:tr w:rsidR="00C65C49" w:rsidRPr="0027658F" w14:paraId="7031FACE" w14:textId="77777777" w:rsidTr="007E514B">
        <w:trPr>
          <w:trHeight w:val="355"/>
        </w:trPr>
        <w:tc>
          <w:tcPr>
            <w:tcW w:w="5580" w:type="dxa"/>
            <w:tcBorders>
              <w:bottom w:val="single" w:sz="4" w:space="0" w:color="000000"/>
            </w:tcBorders>
          </w:tcPr>
          <w:p w14:paraId="6A7D4029" w14:textId="4F8040CB" w:rsidR="00C65C49" w:rsidRPr="00E836BE" w:rsidRDefault="00044E3D" w:rsidP="002F1270">
            <w:pPr>
              <w:pStyle w:val="TableParagraph"/>
              <w:spacing w:before="73"/>
              <w:ind w:left="107" w:right="0"/>
              <w:jc w:val="left"/>
              <w:rPr>
                <w:sz w:val="18"/>
              </w:rPr>
            </w:pPr>
            <w:r w:rsidRPr="00E836BE">
              <w:rPr>
                <w:color w:val="000000"/>
                <w:sz w:val="18"/>
                <w:szCs w:val="18"/>
              </w:rPr>
              <w:t>Suministros de oficina</w:t>
            </w:r>
          </w:p>
        </w:tc>
        <w:tc>
          <w:tcPr>
            <w:tcW w:w="990" w:type="dxa"/>
            <w:tcBorders>
              <w:top w:val="nil"/>
              <w:left w:val="nil"/>
              <w:bottom w:val="nil"/>
              <w:right w:val="nil"/>
            </w:tcBorders>
            <w:shd w:val="clear" w:color="000000" w:fill="FFFFFF"/>
            <w:vAlign w:val="center"/>
          </w:tcPr>
          <w:p w14:paraId="62135942" w14:textId="77777777" w:rsidR="00C65C49" w:rsidRPr="00E836BE" w:rsidRDefault="00C65C49" w:rsidP="002F1270">
            <w:pPr>
              <w:pStyle w:val="TableParagraph"/>
              <w:spacing w:before="73"/>
              <w:ind w:right="113"/>
              <w:rPr>
                <w:sz w:val="18"/>
                <w:szCs w:val="18"/>
              </w:rPr>
            </w:pPr>
            <w:r w:rsidRPr="00E836BE">
              <w:rPr>
                <w:sz w:val="18"/>
                <w:szCs w:val="18"/>
              </w:rPr>
              <w:t xml:space="preserve">6,278 </w:t>
            </w:r>
          </w:p>
        </w:tc>
        <w:tc>
          <w:tcPr>
            <w:tcW w:w="990" w:type="dxa"/>
            <w:tcBorders>
              <w:top w:val="nil"/>
              <w:left w:val="nil"/>
              <w:bottom w:val="nil"/>
              <w:right w:val="nil"/>
            </w:tcBorders>
            <w:shd w:val="clear" w:color="000000" w:fill="FFFFFF"/>
            <w:vAlign w:val="center"/>
          </w:tcPr>
          <w:p w14:paraId="1B541631" w14:textId="77777777" w:rsidR="00C65C49" w:rsidRPr="00E836BE" w:rsidRDefault="00C65C49" w:rsidP="002F1270">
            <w:pPr>
              <w:pStyle w:val="TableParagraph"/>
              <w:spacing w:before="73"/>
              <w:ind w:right="112"/>
              <w:rPr>
                <w:sz w:val="18"/>
                <w:szCs w:val="18"/>
              </w:rPr>
            </w:pPr>
            <w:r w:rsidRPr="00E836BE">
              <w:rPr>
                <w:sz w:val="18"/>
                <w:szCs w:val="18"/>
              </w:rPr>
              <w:t xml:space="preserve">6,404 </w:t>
            </w:r>
          </w:p>
        </w:tc>
        <w:tc>
          <w:tcPr>
            <w:tcW w:w="1080" w:type="dxa"/>
            <w:tcBorders>
              <w:top w:val="nil"/>
              <w:left w:val="nil"/>
              <w:bottom w:val="nil"/>
              <w:right w:val="nil"/>
            </w:tcBorders>
            <w:shd w:val="clear" w:color="000000" w:fill="FFFFFF"/>
            <w:vAlign w:val="center"/>
          </w:tcPr>
          <w:p w14:paraId="03E407C8" w14:textId="77777777" w:rsidR="00C65C49" w:rsidRPr="00E836BE" w:rsidRDefault="00C65C49" w:rsidP="002F1270">
            <w:pPr>
              <w:pStyle w:val="TableParagraph"/>
              <w:spacing w:before="73"/>
              <w:ind w:right="111"/>
              <w:rPr>
                <w:sz w:val="18"/>
                <w:szCs w:val="18"/>
              </w:rPr>
            </w:pPr>
            <w:r w:rsidRPr="00E836BE">
              <w:rPr>
                <w:sz w:val="18"/>
                <w:szCs w:val="18"/>
              </w:rPr>
              <w:t xml:space="preserve">6,532 </w:t>
            </w:r>
          </w:p>
        </w:tc>
        <w:tc>
          <w:tcPr>
            <w:tcW w:w="1170" w:type="dxa"/>
            <w:tcBorders>
              <w:top w:val="nil"/>
              <w:left w:val="nil"/>
              <w:bottom w:val="nil"/>
              <w:right w:val="nil"/>
            </w:tcBorders>
            <w:shd w:val="clear" w:color="000000" w:fill="FFFFFF"/>
            <w:vAlign w:val="center"/>
          </w:tcPr>
          <w:p w14:paraId="5E0B3D0D" w14:textId="77777777" w:rsidR="00C65C49" w:rsidRPr="00E836BE" w:rsidRDefault="00C65C49" w:rsidP="002F1270">
            <w:pPr>
              <w:pStyle w:val="TableParagraph"/>
              <w:spacing w:before="73"/>
              <w:ind w:right="107"/>
              <w:rPr>
                <w:sz w:val="18"/>
                <w:szCs w:val="18"/>
              </w:rPr>
            </w:pPr>
            <w:r w:rsidRPr="00E836BE">
              <w:rPr>
                <w:sz w:val="18"/>
                <w:szCs w:val="18"/>
              </w:rPr>
              <w:t xml:space="preserve">19,214 </w:t>
            </w:r>
          </w:p>
        </w:tc>
      </w:tr>
      <w:tr w:rsidR="00C65C49" w:rsidRPr="0027658F" w14:paraId="104261E8" w14:textId="77777777" w:rsidTr="007E514B">
        <w:trPr>
          <w:trHeight w:val="359"/>
        </w:trPr>
        <w:tc>
          <w:tcPr>
            <w:tcW w:w="5580" w:type="dxa"/>
            <w:tcBorders>
              <w:top w:val="single" w:sz="4" w:space="0" w:color="000000"/>
              <w:bottom w:val="single" w:sz="4" w:space="0" w:color="000000"/>
            </w:tcBorders>
          </w:tcPr>
          <w:p w14:paraId="486F9DEE" w14:textId="77777777" w:rsidR="00C65C49" w:rsidRPr="00E836BE" w:rsidRDefault="00C65C49" w:rsidP="002F1270">
            <w:pPr>
              <w:pStyle w:val="TableParagraph"/>
              <w:spacing w:before="75"/>
              <w:ind w:left="107" w:right="0"/>
              <w:jc w:val="left"/>
              <w:rPr>
                <w:b/>
                <w:sz w:val="18"/>
              </w:rPr>
            </w:pPr>
            <w:r w:rsidRPr="00E836BE">
              <w:rPr>
                <w:b/>
                <w:spacing w:val="-2"/>
                <w:sz w:val="18"/>
              </w:rPr>
              <w:t>Subtotal</w:t>
            </w:r>
          </w:p>
        </w:tc>
        <w:tc>
          <w:tcPr>
            <w:tcW w:w="990" w:type="dxa"/>
            <w:tcBorders>
              <w:top w:val="single" w:sz="4" w:space="0" w:color="auto"/>
              <w:left w:val="nil"/>
              <w:bottom w:val="single" w:sz="4" w:space="0" w:color="auto"/>
              <w:right w:val="nil"/>
            </w:tcBorders>
            <w:shd w:val="clear" w:color="000000" w:fill="FFFFFF"/>
            <w:vAlign w:val="center"/>
          </w:tcPr>
          <w:p w14:paraId="7D0A9F48" w14:textId="77777777" w:rsidR="00C65C49" w:rsidRPr="00E836BE" w:rsidRDefault="00C65C49" w:rsidP="002F1270">
            <w:pPr>
              <w:pStyle w:val="TableParagraph"/>
              <w:spacing w:before="75"/>
              <w:ind w:right="113"/>
              <w:rPr>
                <w:b/>
                <w:bCs/>
                <w:sz w:val="18"/>
                <w:szCs w:val="18"/>
              </w:rPr>
            </w:pPr>
            <w:r w:rsidRPr="00E836BE">
              <w:rPr>
                <w:b/>
                <w:bCs/>
                <w:sz w:val="18"/>
                <w:szCs w:val="18"/>
              </w:rPr>
              <w:t xml:space="preserve">6,278 </w:t>
            </w:r>
          </w:p>
        </w:tc>
        <w:tc>
          <w:tcPr>
            <w:tcW w:w="990" w:type="dxa"/>
            <w:tcBorders>
              <w:top w:val="single" w:sz="4" w:space="0" w:color="auto"/>
              <w:left w:val="nil"/>
              <w:bottom w:val="single" w:sz="4" w:space="0" w:color="auto"/>
              <w:right w:val="nil"/>
            </w:tcBorders>
            <w:shd w:val="clear" w:color="000000" w:fill="FFFFFF"/>
            <w:vAlign w:val="center"/>
          </w:tcPr>
          <w:p w14:paraId="1B8D759C" w14:textId="77777777" w:rsidR="00C65C49" w:rsidRPr="00E836BE" w:rsidRDefault="00C65C49" w:rsidP="002F1270">
            <w:pPr>
              <w:pStyle w:val="TableParagraph"/>
              <w:spacing w:before="75"/>
              <w:ind w:right="112"/>
              <w:rPr>
                <w:b/>
                <w:bCs/>
                <w:sz w:val="18"/>
                <w:szCs w:val="18"/>
              </w:rPr>
            </w:pPr>
            <w:r w:rsidRPr="00E836BE">
              <w:rPr>
                <w:b/>
                <w:bCs/>
                <w:sz w:val="18"/>
                <w:szCs w:val="18"/>
              </w:rPr>
              <w:t xml:space="preserve">6,404 </w:t>
            </w:r>
          </w:p>
        </w:tc>
        <w:tc>
          <w:tcPr>
            <w:tcW w:w="1080" w:type="dxa"/>
            <w:tcBorders>
              <w:top w:val="single" w:sz="4" w:space="0" w:color="auto"/>
              <w:left w:val="nil"/>
              <w:bottom w:val="single" w:sz="4" w:space="0" w:color="auto"/>
              <w:right w:val="nil"/>
            </w:tcBorders>
            <w:shd w:val="clear" w:color="000000" w:fill="FFFFFF"/>
            <w:vAlign w:val="center"/>
          </w:tcPr>
          <w:p w14:paraId="1CE59D3E" w14:textId="77777777" w:rsidR="00C65C49" w:rsidRPr="00E836BE" w:rsidRDefault="00C65C49" w:rsidP="002F1270">
            <w:pPr>
              <w:pStyle w:val="TableParagraph"/>
              <w:spacing w:before="75"/>
              <w:ind w:right="111"/>
              <w:rPr>
                <w:b/>
                <w:bCs/>
                <w:sz w:val="18"/>
                <w:szCs w:val="18"/>
              </w:rPr>
            </w:pPr>
            <w:r w:rsidRPr="00E836BE">
              <w:rPr>
                <w:b/>
                <w:bCs/>
                <w:sz w:val="18"/>
                <w:szCs w:val="18"/>
              </w:rPr>
              <w:t xml:space="preserve">6,532 </w:t>
            </w:r>
          </w:p>
        </w:tc>
        <w:tc>
          <w:tcPr>
            <w:tcW w:w="1170" w:type="dxa"/>
            <w:tcBorders>
              <w:top w:val="single" w:sz="4" w:space="0" w:color="auto"/>
              <w:left w:val="nil"/>
              <w:bottom w:val="single" w:sz="4" w:space="0" w:color="auto"/>
              <w:right w:val="nil"/>
            </w:tcBorders>
            <w:shd w:val="clear" w:color="000000" w:fill="FFFFFF"/>
            <w:vAlign w:val="center"/>
          </w:tcPr>
          <w:p w14:paraId="2FCE1683" w14:textId="77777777" w:rsidR="00C65C49" w:rsidRPr="00E836BE" w:rsidRDefault="00C65C49" w:rsidP="002F1270">
            <w:pPr>
              <w:pStyle w:val="TableParagraph"/>
              <w:spacing w:before="75"/>
              <w:ind w:right="107"/>
              <w:rPr>
                <w:b/>
                <w:bCs/>
                <w:sz w:val="18"/>
                <w:szCs w:val="18"/>
              </w:rPr>
            </w:pPr>
            <w:r w:rsidRPr="00E836BE">
              <w:rPr>
                <w:b/>
                <w:bCs/>
                <w:sz w:val="18"/>
                <w:szCs w:val="18"/>
              </w:rPr>
              <w:t xml:space="preserve">19,214 </w:t>
            </w:r>
          </w:p>
        </w:tc>
      </w:tr>
      <w:tr w:rsidR="00C65C49" w:rsidRPr="006363BF" w14:paraId="0BAC937E" w14:textId="77777777" w:rsidTr="007E514B">
        <w:trPr>
          <w:trHeight w:val="358"/>
        </w:trPr>
        <w:tc>
          <w:tcPr>
            <w:tcW w:w="5580" w:type="dxa"/>
            <w:tcBorders>
              <w:top w:val="single" w:sz="4" w:space="0" w:color="000000"/>
            </w:tcBorders>
          </w:tcPr>
          <w:p w14:paraId="5DB2AB3D" w14:textId="22D80F3D" w:rsidR="00C65C49" w:rsidRPr="006363BF" w:rsidRDefault="003B7A6E" w:rsidP="002F1270">
            <w:pPr>
              <w:pStyle w:val="TableParagraph"/>
              <w:spacing w:before="73"/>
              <w:ind w:left="107" w:right="0"/>
              <w:jc w:val="left"/>
              <w:rPr>
                <w:b/>
                <w:sz w:val="18"/>
              </w:rPr>
            </w:pPr>
            <w:r w:rsidRPr="00E836BE">
              <w:rPr>
                <w:b/>
                <w:spacing w:val="-2"/>
                <w:sz w:val="18"/>
              </w:rPr>
              <w:t>Equipamiento</w:t>
            </w:r>
          </w:p>
        </w:tc>
        <w:tc>
          <w:tcPr>
            <w:tcW w:w="990" w:type="dxa"/>
            <w:tcBorders>
              <w:top w:val="nil"/>
              <w:left w:val="nil"/>
              <w:bottom w:val="nil"/>
              <w:right w:val="nil"/>
            </w:tcBorders>
            <w:shd w:val="clear" w:color="000000" w:fill="FFFFFF"/>
            <w:vAlign w:val="center"/>
          </w:tcPr>
          <w:p w14:paraId="2A603893" w14:textId="77777777" w:rsidR="00C65C49" w:rsidRPr="006363BF" w:rsidRDefault="00C65C49" w:rsidP="002F1270">
            <w:pPr>
              <w:pStyle w:val="TableParagraph"/>
              <w:spacing w:before="0"/>
              <w:ind w:right="0"/>
              <w:rPr>
                <w:sz w:val="18"/>
                <w:szCs w:val="18"/>
              </w:rPr>
            </w:pPr>
          </w:p>
        </w:tc>
        <w:tc>
          <w:tcPr>
            <w:tcW w:w="990" w:type="dxa"/>
            <w:tcBorders>
              <w:top w:val="nil"/>
              <w:left w:val="nil"/>
              <w:bottom w:val="nil"/>
              <w:right w:val="nil"/>
            </w:tcBorders>
            <w:shd w:val="clear" w:color="000000" w:fill="FFFFFF"/>
            <w:vAlign w:val="center"/>
          </w:tcPr>
          <w:p w14:paraId="48672B14" w14:textId="77777777" w:rsidR="00C65C49" w:rsidRPr="006363BF" w:rsidRDefault="00C65C49" w:rsidP="002F1270">
            <w:pPr>
              <w:pStyle w:val="TableParagraph"/>
              <w:spacing w:before="0"/>
              <w:ind w:right="0"/>
              <w:rPr>
                <w:sz w:val="18"/>
                <w:szCs w:val="18"/>
              </w:rPr>
            </w:pPr>
          </w:p>
        </w:tc>
        <w:tc>
          <w:tcPr>
            <w:tcW w:w="1080" w:type="dxa"/>
            <w:tcBorders>
              <w:top w:val="nil"/>
              <w:left w:val="nil"/>
              <w:bottom w:val="nil"/>
              <w:right w:val="nil"/>
            </w:tcBorders>
            <w:shd w:val="clear" w:color="000000" w:fill="FFFFFF"/>
            <w:vAlign w:val="center"/>
          </w:tcPr>
          <w:p w14:paraId="38EC89A3" w14:textId="77777777" w:rsidR="00C65C49" w:rsidRPr="006363BF" w:rsidRDefault="00C65C49" w:rsidP="002F1270">
            <w:pPr>
              <w:pStyle w:val="TableParagraph"/>
              <w:spacing w:before="0"/>
              <w:ind w:right="0"/>
              <w:rPr>
                <w:sz w:val="18"/>
                <w:szCs w:val="18"/>
              </w:rPr>
            </w:pPr>
          </w:p>
        </w:tc>
        <w:tc>
          <w:tcPr>
            <w:tcW w:w="1170" w:type="dxa"/>
            <w:tcBorders>
              <w:top w:val="nil"/>
              <w:left w:val="nil"/>
              <w:bottom w:val="nil"/>
              <w:right w:val="nil"/>
            </w:tcBorders>
            <w:shd w:val="clear" w:color="000000" w:fill="FFFFFF"/>
            <w:vAlign w:val="center"/>
          </w:tcPr>
          <w:p w14:paraId="65691737" w14:textId="77777777" w:rsidR="00C65C49" w:rsidRPr="006363BF" w:rsidRDefault="00C65C49" w:rsidP="002F1270">
            <w:pPr>
              <w:pStyle w:val="TableParagraph"/>
              <w:spacing w:before="0"/>
              <w:ind w:right="0"/>
              <w:rPr>
                <w:sz w:val="18"/>
                <w:szCs w:val="18"/>
              </w:rPr>
            </w:pPr>
          </w:p>
        </w:tc>
      </w:tr>
      <w:tr w:rsidR="00C65C49" w:rsidRPr="006363BF" w14:paraId="0EB2724E" w14:textId="77777777" w:rsidTr="007E514B">
        <w:trPr>
          <w:trHeight w:val="356"/>
        </w:trPr>
        <w:tc>
          <w:tcPr>
            <w:tcW w:w="5580" w:type="dxa"/>
            <w:tcBorders>
              <w:bottom w:val="single" w:sz="4" w:space="0" w:color="000000"/>
            </w:tcBorders>
          </w:tcPr>
          <w:p w14:paraId="76A2FB92" w14:textId="464E71EE" w:rsidR="00C65C49" w:rsidRPr="006363BF" w:rsidRDefault="006363BF" w:rsidP="002F1270">
            <w:pPr>
              <w:pStyle w:val="TableParagraph"/>
              <w:spacing w:before="72"/>
              <w:ind w:left="107" w:right="0"/>
              <w:jc w:val="left"/>
              <w:rPr>
                <w:sz w:val="18"/>
              </w:rPr>
            </w:pPr>
            <w:r w:rsidRPr="006363BF">
              <w:rPr>
                <w:spacing w:val="-2"/>
                <w:sz w:val="18"/>
              </w:rPr>
              <w:t>Material no fungible</w:t>
            </w:r>
          </w:p>
        </w:tc>
        <w:tc>
          <w:tcPr>
            <w:tcW w:w="990" w:type="dxa"/>
            <w:tcBorders>
              <w:top w:val="nil"/>
              <w:left w:val="nil"/>
              <w:bottom w:val="nil"/>
              <w:right w:val="nil"/>
            </w:tcBorders>
            <w:shd w:val="clear" w:color="000000" w:fill="FFFFFF"/>
            <w:vAlign w:val="center"/>
          </w:tcPr>
          <w:p w14:paraId="659A1615" w14:textId="77777777" w:rsidR="00C65C49" w:rsidRPr="006363BF" w:rsidRDefault="00C65C49" w:rsidP="002F1270">
            <w:pPr>
              <w:pStyle w:val="TableParagraph"/>
              <w:spacing w:before="72"/>
              <w:ind w:right="113"/>
              <w:rPr>
                <w:sz w:val="18"/>
                <w:szCs w:val="18"/>
              </w:rPr>
            </w:pPr>
            <w:r w:rsidRPr="006363BF">
              <w:rPr>
                <w:sz w:val="18"/>
                <w:szCs w:val="18"/>
              </w:rPr>
              <w:t xml:space="preserve">11,366 </w:t>
            </w:r>
          </w:p>
        </w:tc>
        <w:tc>
          <w:tcPr>
            <w:tcW w:w="990" w:type="dxa"/>
            <w:tcBorders>
              <w:top w:val="nil"/>
              <w:left w:val="nil"/>
              <w:bottom w:val="nil"/>
              <w:right w:val="nil"/>
            </w:tcBorders>
            <w:shd w:val="clear" w:color="000000" w:fill="FFFFFF"/>
            <w:vAlign w:val="center"/>
          </w:tcPr>
          <w:p w14:paraId="634E222E" w14:textId="77777777" w:rsidR="00C65C49" w:rsidRPr="006363BF" w:rsidRDefault="00C65C49" w:rsidP="002F1270">
            <w:pPr>
              <w:pStyle w:val="TableParagraph"/>
              <w:spacing w:before="72"/>
              <w:ind w:right="112"/>
              <w:rPr>
                <w:sz w:val="18"/>
                <w:szCs w:val="18"/>
              </w:rPr>
            </w:pPr>
            <w:r w:rsidRPr="006363BF">
              <w:rPr>
                <w:sz w:val="18"/>
                <w:szCs w:val="18"/>
              </w:rPr>
              <w:t xml:space="preserve">11,593 </w:t>
            </w:r>
          </w:p>
        </w:tc>
        <w:tc>
          <w:tcPr>
            <w:tcW w:w="1080" w:type="dxa"/>
            <w:tcBorders>
              <w:top w:val="nil"/>
              <w:left w:val="nil"/>
              <w:bottom w:val="nil"/>
              <w:right w:val="nil"/>
            </w:tcBorders>
            <w:shd w:val="clear" w:color="000000" w:fill="FFFFFF"/>
            <w:vAlign w:val="center"/>
          </w:tcPr>
          <w:p w14:paraId="478236E5" w14:textId="77777777" w:rsidR="00C65C49" w:rsidRPr="006363BF" w:rsidRDefault="00C65C49" w:rsidP="002F1270">
            <w:pPr>
              <w:pStyle w:val="TableParagraph"/>
              <w:spacing w:before="72"/>
              <w:ind w:right="111"/>
              <w:rPr>
                <w:sz w:val="18"/>
                <w:szCs w:val="18"/>
              </w:rPr>
            </w:pPr>
            <w:r w:rsidRPr="006363BF">
              <w:rPr>
                <w:sz w:val="18"/>
                <w:szCs w:val="18"/>
              </w:rPr>
              <w:t xml:space="preserve">11,825 </w:t>
            </w:r>
          </w:p>
        </w:tc>
        <w:tc>
          <w:tcPr>
            <w:tcW w:w="1170" w:type="dxa"/>
            <w:tcBorders>
              <w:top w:val="nil"/>
              <w:left w:val="nil"/>
              <w:bottom w:val="nil"/>
              <w:right w:val="nil"/>
            </w:tcBorders>
            <w:shd w:val="clear" w:color="000000" w:fill="FFFFFF"/>
            <w:vAlign w:val="center"/>
          </w:tcPr>
          <w:p w14:paraId="6980D684" w14:textId="77777777" w:rsidR="00C65C49" w:rsidRPr="006363BF" w:rsidRDefault="00C65C49" w:rsidP="002F1270">
            <w:pPr>
              <w:pStyle w:val="TableParagraph"/>
              <w:spacing w:before="72"/>
              <w:ind w:right="107"/>
              <w:rPr>
                <w:sz w:val="18"/>
                <w:szCs w:val="18"/>
              </w:rPr>
            </w:pPr>
            <w:r w:rsidRPr="006363BF">
              <w:rPr>
                <w:sz w:val="18"/>
                <w:szCs w:val="18"/>
              </w:rPr>
              <w:t xml:space="preserve">34,784 </w:t>
            </w:r>
          </w:p>
        </w:tc>
      </w:tr>
      <w:tr w:rsidR="00C65C49" w:rsidRPr="006363BF" w14:paraId="528FB938" w14:textId="77777777" w:rsidTr="007E514B">
        <w:trPr>
          <w:trHeight w:val="360"/>
        </w:trPr>
        <w:tc>
          <w:tcPr>
            <w:tcW w:w="5580" w:type="dxa"/>
            <w:tcBorders>
              <w:top w:val="single" w:sz="4" w:space="0" w:color="000000"/>
              <w:bottom w:val="single" w:sz="4" w:space="0" w:color="000000"/>
            </w:tcBorders>
          </w:tcPr>
          <w:p w14:paraId="6ED7C079" w14:textId="77777777" w:rsidR="00C65C49" w:rsidRPr="006363BF" w:rsidRDefault="00C65C49" w:rsidP="002F1270">
            <w:pPr>
              <w:pStyle w:val="TableParagraph"/>
              <w:spacing w:before="76"/>
              <w:ind w:left="107" w:right="0"/>
              <w:jc w:val="left"/>
              <w:rPr>
                <w:b/>
                <w:sz w:val="18"/>
              </w:rPr>
            </w:pPr>
            <w:r w:rsidRPr="006363BF">
              <w:rPr>
                <w:b/>
                <w:spacing w:val="-2"/>
                <w:sz w:val="18"/>
              </w:rPr>
              <w:t>Subtotal</w:t>
            </w:r>
          </w:p>
        </w:tc>
        <w:tc>
          <w:tcPr>
            <w:tcW w:w="990" w:type="dxa"/>
            <w:tcBorders>
              <w:top w:val="single" w:sz="4" w:space="0" w:color="auto"/>
              <w:left w:val="nil"/>
              <w:bottom w:val="single" w:sz="4" w:space="0" w:color="auto"/>
              <w:right w:val="nil"/>
            </w:tcBorders>
            <w:shd w:val="clear" w:color="000000" w:fill="FFFFFF"/>
            <w:vAlign w:val="center"/>
          </w:tcPr>
          <w:p w14:paraId="65FFCD41" w14:textId="77777777" w:rsidR="00C65C49" w:rsidRPr="006363BF" w:rsidRDefault="00C65C49" w:rsidP="002F1270">
            <w:pPr>
              <w:pStyle w:val="TableParagraph"/>
              <w:spacing w:before="76"/>
              <w:ind w:right="113"/>
              <w:rPr>
                <w:b/>
                <w:bCs/>
                <w:sz w:val="18"/>
                <w:szCs w:val="18"/>
              </w:rPr>
            </w:pPr>
            <w:r w:rsidRPr="006363BF">
              <w:rPr>
                <w:b/>
                <w:bCs/>
                <w:sz w:val="18"/>
                <w:szCs w:val="18"/>
              </w:rPr>
              <w:t xml:space="preserve">11,366 </w:t>
            </w:r>
          </w:p>
        </w:tc>
        <w:tc>
          <w:tcPr>
            <w:tcW w:w="990" w:type="dxa"/>
            <w:tcBorders>
              <w:top w:val="single" w:sz="4" w:space="0" w:color="auto"/>
              <w:left w:val="nil"/>
              <w:bottom w:val="single" w:sz="4" w:space="0" w:color="auto"/>
              <w:right w:val="nil"/>
            </w:tcBorders>
            <w:shd w:val="clear" w:color="000000" w:fill="FFFFFF"/>
            <w:vAlign w:val="center"/>
          </w:tcPr>
          <w:p w14:paraId="217214A7" w14:textId="77777777" w:rsidR="00C65C49" w:rsidRPr="006363BF" w:rsidRDefault="00C65C49" w:rsidP="002F1270">
            <w:pPr>
              <w:pStyle w:val="TableParagraph"/>
              <w:spacing w:before="76"/>
              <w:ind w:right="112"/>
              <w:rPr>
                <w:b/>
                <w:bCs/>
                <w:sz w:val="18"/>
                <w:szCs w:val="18"/>
              </w:rPr>
            </w:pPr>
            <w:r w:rsidRPr="006363BF">
              <w:rPr>
                <w:b/>
                <w:bCs/>
                <w:sz w:val="18"/>
                <w:szCs w:val="18"/>
              </w:rPr>
              <w:t xml:space="preserve">11,593 </w:t>
            </w:r>
          </w:p>
        </w:tc>
        <w:tc>
          <w:tcPr>
            <w:tcW w:w="1080" w:type="dxa"/>
            <w:tcBorders>
              <w:top w:val="single" w:sz="4" w:space="0" w:color="auto"/>
              <w:left w:val="nil"/>
              <w:bottom w:val="single" w:sz="4" w:space="0" w:color="auto"/>
              <w:right w:val="nil"/>
            </w:tcBorders>
            <w:shd w:val="clear" w:color="000000" w:fill="FFFFFF"/>
            <w:vAlign w:val="center"/>
          </w:tcPr>
          <w:p w14:paraId="308EFC92" w14:textId="77777777" w:rsidR="00C65C49" w:rsidRPr="006363BF" w:rsidRDefault="00C65C49" w:rsidP="002F1270">
            <w:pPr>
              <w:pStyle w:val="TableParagraph"/>
              <w:spacing w:before="76"/>
              <w:ind w:right="111"/>
              <w:rPr>
                <w:b/>
                <w:bCs/>
                <w:sz w:val="18"/>
                <w:szCs w:val="18"/>
              </w:rPr>
            </w:pPr>
            <w:r w:rsidRPr="006363BF">
              <w:rPr>
                <w:b/>
                <w:bCs/>
                <w:sz w:val="18"/>
                <w:szCs w:val="18"/>
              </w:rPr>
              <w:t xml:space="preserve">11,825 </w:t>
            </w:r>
          </w:p>
        </w:tc>
        <w:tc>
          <w:tcPr>
            <w:tcW w:w="1170" w:type="dxa"/>
            <w:tcBorders>
              <w:top w:val="single" w:sz="4" w:space="0" w:color="auto"/>
              <w:left w:val="nil"/>
              <w:bottom w:val="single" w:sz="4" w:space="0" w:color="auto"/>
              <w:right w:val="nil"/>
            </w:tcBorders>
            <w:shd w:val="clear" w:color="000000" w:fill="FFFFFF"/>
            <w:vAlign w:val="center"/>
          </w:tcPr>
          <w:p w14:paraId="787C45D3" w14:textId="77777777" w:rsidR="00C65C49" w:rsidRPr="006363BF" w:rsidRDefault="00C65C49" w:rsidP="002F1270">
            <w:pPr>
              <w:pStyle w:val="TableParagraph"/>
              <w:spacing w:before="76"/>
              <w:ind w:right="107"/>
              <w:rPr>
                <w:b/>
                <w:bCs/>
                <w:sz w:val="18"/>
                <w:szCs w:val="18"/>
              </w:rPr>
            </w:pPr>
            <w:r w:rsidRPr="006363BF">
              <w:rPr>
                <w:b/>
                <w:bCs/>
                <w:sz w:val="18"/>
                <w:szCs w:val="18"/>
              </w:rPr>
              <w:t xml:space="preserve">34,784 </w:t>
            </w:r>
          </w:p>
        </w:tc>
      </w:tr>
      <w:tr w:rsidR="00C65C49" w:rsidRPr="0027658F" w14:paraId="7B3E9857" w14:textId="77777777" w:rsidTr="007E514B">
        <w:trPr>
          <w:trHeight w:val="358"/>
        </w:trPr>
        <w:tc>
          <w:tcPr>
            <w:tcW w:w="5580" w:type="dxa"/>
            <w:tcBorders>
              <w:top w:val="single" w:sz="4" w:space="0" w:color="000000"/>
            </w:tcBorders>
          </w:tcPr>
          <w:p w14:paraId="6EC18610" w14:textId="5AE7714F" w:rsidR="00C65C49" w:rsidRPr="0027658F" w:rsidRDefault="00676172" w:rsidP="002F1270">
            <w:pPr>
              <w:pStyle w:val="TableParagraph"/>
              <w:spacing w:before="73"/>
              <w:ind w:left="107" w:right="0"/>
              <w:jc w:val="left"/>
              <w:rPr>
                <w:b/>
                <w:sz w:val="18"/>
                <w:highlight w:val="yellow"/>
              </w:rPr>
            </w:pPr>
            <w:r w:rsidRPr="00F7513C">
              <w:rPr>
                <w:b/>
                <w:color w:val="000000"/>
                <w:sz w:val="18"/>
                <w:szCs w:val="18"/>
                <w:lang w:val="es-ES"/>
              </w:rPr>
              <w:t>Viajes</w:t>
            </w:r>
          </w:p>
        </w:tc>
        <w:tc>
          <w:tcPr>
            <w:tcW w:w="990" w:type="dxa"/>
            <w:tcBorders>
              <w:top w:val="single" w:sz="4" w:space="0" w:color="000000"/>
            </w:tcBorders>
            <w:vAlign w:val="center"/>
          </w:tcPr>
          <w:p w14:paraId="11410329" w14:textId="77777777" w:rsidR="00C65C49" w:rsidRPr="0027658F" w:rsidRDefault="00C65C49" w:rsidP="002F1270">
            <w:pPr>
              <w:pStyle w:val="TableParagraph"/>
              <w:spacing w:before="0"/>
              <w:ind w:right="0"/>
              <w:rPr>
                <w:sz w:val="18"/>
                <w:szCs w:val="18"/>
                <w:highlight w:val="yellow"/>
              </w:rPr>
            </w:pPr>
          </w:p>
        </w:tc>
        <w:tc>
          <w:tcPr>
            <w:tcW w:w="990" w:type="dxa"/>
            <w:tcBorders>
              <w:top w:val="single" w:sz="4" w:space="0" w:color="000000"/>
            </w:tcBorders>
            <w:vAlign w:val="center"/>
          </w:tcPr>
          <w:p w14:paraId="0622EC61" w14:textId="77777777" w:rsidR="00C65C49" w:rsidRPr="0027658F" w:rsidRDefault="00C65C49" w:rsidP="002F1270">
            <w:pPr>
              <w:pStyle w:val="TableParagraph"/>
              <w:spacing w:before="0"/>
              <w:ind w:right="0"/>
              <w:rPr>
                <w:sz w:val="18"/>
                <w:szCs w:val="18"/>
                <w:highlight w:val="yellow"/>
              </w:rPr>
            </w:pPr>
          </w:p>
        </w:tc>
        <w:tc>
          <w:tcPr>
            <w:tcW w:w="1080" w:type="dxa"/>
            <w:tcBorders>
              <w:top w:val="single" w:sz="4" w:space="0" w:color="000000"/>
            </w:tcBorders>
            <w:vAlign w:val="center"/>
          </w:tcPr>
          <w:p w14:paraId="04D2E65C" w14:textId="77777777" w:rsidR="00C65C49" w:rsidRPr="0027658F" w:rsidRDefault="00C65C49" w:rsidP="002F1270">
            <w:pPr>
              <w:pStyle w:val="TableParagraph"/>
              <w:spacing w:before="0"/>
              <w:ind w:right="0"/>
              <w:rPr>
                <w:sz w:val="18"/>
                <w:szCs w:val="18"/>
                <w:highlight w:val="yellow"/>
              </w:rPr>
            </w:pPr>
          </w:p>
        </w:tc>
        <w:tc>
          <w:tcPr>
            <w:tcW w:w="1170" w:type="dxa"/>
            <w:tcBorders>
              <w:top w:val="single" w:sz="4" w:space="0" w:color="000000"/>
            </w:tcBorders>
            <w:vAlign w:val="center"/>
          </w:tcPr>
          <w:p w14:paraId="29DC15D7" w14:textId="77777777" w:rsidR="00C65C49" w:rsidRPr="0027658F" w:rsidRDefault="00C65C49" w:rsidP="002F1270">
            <w:pPr>
              <w:pStyle w:val="TableParagraph"/>
              <w:spacing w:before="0"/>
              <w:ind w:right="0"/>
              <w:rPr>
                <w:sz w:val="18"/>
                <w:szCs w:val="18"/>
                <w:highlight w:val="yellow"/>
              </w:rPr>
            </w:pPr>
          </w:p>
        </w:tc>
      </w:tr>
      <w:tr w:rsidR="00C65C49" w:rsidRPr="0027658F" w14:paraId="4EEE6249" w14:textId="77777777" w:rsidTr="007E514B">
        <w:trPr>
          <w:trHeight w:val="357"/>
        </w:trPr>
        <w:tc>
          <w:tcPr>
            <w:tcW w:w="5580" w:type="dxa"/>
          </w:tcPr>
          <w:p w14:paraId="2B674D80" w14:textId="7610BD12" w:rsidR="00C65C49" w:rsidRPr="00DB4CE5" w:rsidRDefault="002D6719" w:rsidP="002F1270">
            <w:pPr>
              <w:pStyle w:val="TableParagraph"/>
              <w:spacing w:before="72"/>
              <w:ind w:left="107" w:right="0"/>
              <w:jc w:val="left"/>
              <w:rPr>
                <w:sz w:val="18"/>
              </w:rPr>
            </w:pPr>
            <w:r w:rsidRPr="00DB4CE5">
              <w:rPr>
                <w:color w:val="000000"/>
                <w:sz w:val="18"/>
                <w:szCs w:val="18"/>
                <w:lang w:val="es-ES"/>
              </w:rPr>
              <w:t>Viajes del personal</w:t>
            </w:r>
          </w:p>
        </w:tc>
        <w:tc>
          <w:tcPr>
            <w:tcW w:w="990" w:type="dxa"/>
            <w:vAlign w:val="center"/>
          </w:tcPr>
          <w:p w14:paraId="3514DFC6" w14:textId="77777777" w:rsidR="00C65C49" w:rsidRPr="00DB4CE5" w:rsidRDefault="00C65C49" w:rsidP="002F1270">
            <w:pPr>
              <w:pStyle w:val="TableParagraph"/>
              <w:spacing w:before="72"/>
              <w:ind w:right="113"/>
              <w:rPr>
                <w:sz w:val="18"/>
                <w:szCs w:val="18"/>
              </w:rPr>
            </w:pPr>
            <w:r w:rsidRPr="00DB4CE5">
              <w:rPr>
                <w:sz w:val="18"/>
                <w:szCs w:val="18"/>
              </w:rPr>
              <w:t xml:space="preserve">68,951 </w:t>
            </w:r>
          </w:p>
        </w:tc>
        <w:tc>
          <w:tcPr>
            <w:tcW w:w="990" w:type="dxa"/>
            <w:vAlign w:val="center"/>
          </w:tcPr>
          <w:p w14:paraId="7CD97236" w14:textId="77777777" w:rsidR="00C65C49" w:rsidRPr="00DB4CE5" w:rsidRDefault="00C65C49" w:rsidP="002F1270">
            <w:pPr>
              <w:pStyle w:val="TableParagraph"/>
              <w:spacing w:before="72"/>
              <w:ind w:right="112"/>
              <w:rPr>
                <w:sz w:val="18"/>
                <w:szCs w:val="18"/>
              </w:rPr>
            </w:pPr>
            <w:r w:rsidRPr="00DB4CE5">
              <w:rPr>
                <w:sz w:val="18"/>
                <w:szCs w:val="18"/>
              </w:rPr>
              <w:t xml:space="preserve">70,330 </w:t>
            </w:r>
          </w:p>
        </w:tc>
        <w:tc>
          <w:tcPr>
            <w:tcW w:w="1080" w:type="dxa"/>
            <w:vAlign w:val="center"/>
          </w:tcPr>
          <w:p w14:paraId="3CFF862A" w14:textId="77777777" w:rsidR="00C65C49" w:rsidRPr="00DB4CE5" w:rsidRDefault="00C65C49" w:rsidP="002F1270">
            <w:pPr>
              <w:pStyle w:val="TableParagraph"/>
              <w:spacing w:before="72"/>
              <w:ind w:right="111"/>
              <w:rPr>
                <w:sz w:val="18"/>
                <w:szCs w:val="18"/>
              </w:rPr>
            </w:pPr>
            <w:r w:rsidRPr="00DB4CE5">
              <w:rPr>
                <w:sz w:val="18"/>
                <w:szCs w:val="18"/>
              </w:rPr>
              <w:t xml:space="preserve">71,737 </w:t>
            </w:r>
          </w:p>
        </w:tc>
        <w:tc>
          <w:tcPr>
            <w:tcW w:w="1170" w:type="dxa"/>
            <w:vAlign w:val="center"/>
          </w:tcPr>
          <w:p w14:paraId="31CADF89" w14:textId="77777777" w:rsidR="00C65C49" w:rsidRPr="00DB4CE5" w:rsidRDefault="00C65C49" w:rsidP="002F1270">
            <w:pPr>
              <w:pStyle w:val="TableParagraph"/>
              <w:spacing w:before="72"/>
              <w:ind w:right="107"/>
              <w:rPr>
                <w:sz w:val="18"/>
                <w:szCs w:val="18"/>
              </w:rPr>
            </w:pPr>
            <w:r w:rsidRPr="00DB4CE5">
              <w:rPr>
                <w:sz w:val="18"/>
                <w:szCs w:val="18"/>
              </w:rPr>
              <w:t xml:space="preserve">211,018 </w:t>
            </w:r>
          </w:p>
        </w:tc>
      </w:tr>
      <w:tr w:rsidR="00C65C49" w:rsidRPr="0027658F" w14:paraId="406256B1" w14:textId="77777777" w:rsidTr="007E514B">
        <w:trPr>
          <w:trHeight w:val="358"/>
        </w:trPr>
        <w:tc>
          <w:tcPr>
            <w:tcW w:w="5580" w:type="dxa"/>
          </w:tcPr>
          <w:p w14:paraId="2A3D6A5B" w14:textId="6440246A" w:rsidR="00C65C49" w:rsidRPr="00DB4CE5" w:rsidRDefault="00912981" w:rsidP="002F1270">
            <w:pPr>
              <w:pStyle w:val="TableParagraph"/>
              <w:spacing w:before="72"/>
              <w:ind w:left="107" w:right="0"/>
              <w:jc w:val="left"/>
              <w:rPr>
                <w:sz w:val="18"/>
              </w:rPr>
            </w:pPr>
            <w:r w:rsidRPr="00DB4CE5">
              <w:rPr>
                <w:color w:val="000000"/>
                <w:sz w:val="18"/>
                <w:szCs w:val="18"/>
                <w:lang w:val="es-ES"/>
              </w:rPr>
              <w:t>Viajes del personal</w:t>
            </w:r>
            <w:r w:rsidR="00C65C49" w:rsidRPr="00DB4CE5">
              <w:rPr>
                <w:spacing w:val="-2"/>
                <w:sz w:val="18"/>
              </w:rPr>
              <w:t xml:space="preserve"> </w:t>
            </w:r>
            <w:r w:rsidR="00C65C49" w:rsidRPr="00DB4CE5">
              <w:rPr>
                <w:sz w:val="18"/>
              </w:rPr>
              <w:t>-</w:t>
            </w:r>
            <w:r w:rsidR="00C65C49" w:rsidRPr="00DB4CE5">
              <w:rPr>
                <w:spacing w:val="-1"/>
                <w:sz w:val="18"/>
              </w:rPr>
              <w:t xml:space="preserve"> </w:t>
            </w:r>
            <w:r w:rsidR="00C65C49" w:rsidRPr="00DB4CE5">
              <w:rPr>
                <w:spacing w:val="-2"/>
                <w:sz w:val="18"/>
              </w:rPr>
              <w:t>COP15</w:t>
            </w:r>
          </w:p>
        </w:tc>
        <w:tc>
          <w:tcPr>
            <w:tcW w:w="990" w:type="dxa"/>
            <w:vAlign w:val="center"/>
          </w:tcPr>
          <w:p w14:paraId="1125E4C0" w14:textId="77777777" w:rsidR="00C65C49" w:rsidRPr="00DB4CE5" w:rsidRDefault="00C65C49" w:rsidP="002F1270">
            <w:pPr>
              <w:pStyle w:val="TableParagraph"/>
              <w:spacing w:before="72"/>
              <w:ind w:right="113"/>
              <w:rPr>
                <w:sz w:val="18"/>
                <w:szCs w:val="18"/>
              </w:rPr>
            </w:pPr>
          </w:p>
        </w:tc>
        <w:tc>
          <w:tcPr>
            <w:tcW w:w="990" w:type="dxa"/>
            <w:vAlign w:val="center"/>
          </w:tcPr>
          <w:p w14:paraId="75C55C5C" w14:textId="77777777" w:rsidR="00C65C49" w:rsidRPr="00DB4CE5" w:rsidRDefault="00C65C49" w:rsidP="002F1270">
            <w:pPr>
              <w:pStyle w:val="TableParagraph"/>
              <w:spacing w:before="72"/>
              <w:ind w:right="111"/>
              <w:rPr>
                <w:sz w:val="18"/>
                <w:szCs w:val="18"/>
              </w:rPr>
            </w:pPr>
          </w:p>
        </w:tc>
        <w:tc>
          <w:tcPr>
            <w:tcW w:w="1080" w:type="dxa"/>
            <w:vAlign w:val="center"/>
          </w:tcPr>
          <w:p w14:paraId="2F75219F" w14:textId="77777777" w:rsidR="00C65C49" w:rsidRPr="00DB4CE5" w:rsidRDefault="00C65C49" w:rsidP="002F1270">
            <w:pPr>
              <w:pStyle w:val="TableParagraph"/>
              <w:spacing w:before="72"/>
              <w:ind w:right="111"/>
              <w:rPr>
                <w:sz w:val="18"/>
                <w:szCs w:val="18"/>
              </w:rPr>
            </w:pPr>
          </w:p>
        </w:tc>
        <w:tc>
          <w:tcPr>
            <w:tcW w:w="1170" w:type="dxa"/>
            <w:vAlign w:val="center"/>
          </w:tcPr>
          <w:p w14:paraId="3B978F54" w14:textId="77777777" w:rsidR="00C65C49" w:rsidRPr="00DB4CE5" w:rsidRDefault="00C65C49" w:rsidP="002F1270">
            <w:pPr>
              <w:pStyle w:val="TableParagraph"/>
              <w:spacing w:before="72"/>
              <w:ind w:right="107"/>
              <w:rPr>
                <w:sz w:val="18"/>
                <w:szCs w:val="18"/>
              </w:rPr>
            </w:pPr>
            <w:r w:rsidRPr="00DB4CE5">
              <w:rPr>
                <w:sz w:val="18"/>
                <w:szCs w:val="18"/>
              </w:rPr>
              <w:t xml:space="preserve">0 </w:t>
            </w:r>
          </w:p>
        </w:tc>
      </w:tr>
      <w:tr w:rsidR="00C65C49" w:rsidRPr="0027658F" w14:paraId="47C291C5" w14:textId="77777777" w:rsidTr="007E514B">
        <w:trPr>
          <w:trHeight w:val="358"/>
        </w:trPr>
        <w:tc>
          <w:tcPr>
            <w:tcW w:w="5580" w:type="dxa"/>
          </w:tcPr>
          <w:p w14:paraId="17A4A197" w14:textId="59E3AA15" w:rsidR="00C65C49" w:rsidRPr="00DB4CE5" w:rsidRDefault="00A65A0E" w:rsidP="002F1270">
            <w:pPr>
              <w:pStyle w:val="TableParagraph"/>
              <w:spacing w:before="73"/>
              <w:ind w:left="107" w:right="0"/>
              <w:jc w:val="left"/>
              <w:rPr>
                <w:sz w:val="18"/>
              </w:rPr>
            </w:pPr>
            <w:r w:rsidRPr="00DB4CE5">
              <w:rPr>
                <w:color w:val="000000"/>
                <w:sz w:val="18"/>
                <w:szCs w:val="18"/>
                <w:lang w:val="es-ES"/>
              </w:rPr>
              <w:t>Reuniones del Comité Permanente</w:t>
            </w:r>
          </w:p>
        </w:tc>
        <w:tc>
          <w:tcPr>
            <w:tcW w:w="990" w:type="dxa"/>
            <w:vAlign w:val="center"/>
          </w:tcPr>
          <w:p w14:paraId="21D7D6CE" w14:textId="77777777" w:rsidR="00C65C49" w:rsidRPr="00DB4CE5" w:rsidRDefault="00C65C49" w:rsidP="002F1270">
            <w:pPr>
              <w:pStyle w:val="TableParagraph"/>
              <w:spacing w:before="73"/>
              <w:ind w:right="113"/>
              <w:rPr>
                <w:sz w:val="18"/>
                <w:szCs w:val="18"/>
              </w:rPr>
            </w:pPr>
          </w:p>
        </w:tc>
        <w:tc>
          <w:tcPr>
            <w:tcW w:w="990" w:type="dxa"/>
            <w:vAlign w:val="center"/>
          </w:tcPr>
          <w:p w14:paraId="7058521B" w14:textId="77777777" w:rsidR="00C65C49" w:rsidRPr="00DB4CE5" w:rsidRDefault="00C65C49" w:rsidP="002F1270">
            <w:pPr>
              <w:pStyle w:val="TableParagraph"/>
              <w:spacing w:before="73"/>
              <w:ind w:right="112"/>
              <w:rPr>
                <w:sz w:val="18"/>
                <w:szCs w:val="18"/>
              </w:rPr>
            </w:pPr>
          </w:p>
        </w:tc>
        <w:tc>
          <w:tcPr>
            <w:tcW w:w="1080" w:type="dxa"/>
            <w:vAlign w:val="center"/>
          </w:tcPr>
          <w:p w14:paraId="0752DBA2" w14:textId="77777777" w:rsidR="00C65C49" w:rsidRPr="00DB4CE5" w:rsidRDefault="00C65C49" w:rsidP="002F1270">
            <w:pPr>
              <w:pStyle w:val="TableParagraph"/>
              <w:spacing w:before="73"/>
              <w:ind w:right="111"/>
              <w:rPr>
                <w:sz w:val="18"/>
                <w:szCs w:val="18"/>
              </w:rPr>
            </w:pPr>
          </w:p>
        </w:tc>
        <w:tc>
          <w:tcPr>
            <w:tcW w:w="1170" w:type="dxa"/>
            <w:vAlign w:val="center"/>
          </w:tcPr>
          <w:p w14:paraId="10C09937" w14:textId="77777777" w:rsidR="00C65C49" w:rsidRPr="00DB4CE5" w:rsidRDefault="00C65C49" w:rsidP="002F1270">
            <w:pPr>
              <w:pStyle w:val="TableParagraph"/>
              <w:spacing w:before="73"/>
              <w:ind w:right="107"/>
              <w:rPr>
                <w:sz w:val="18"/>
                <w:szCs w:val="18"/>
              </w:rPr>
            </w:pPr>
            <w:r w:rsidRPr="00DB4CE5">
              <w:rPr>
                <w:sz w:val="18"/>
                <w:szCs w:val="18"/>
              </w:rPr>
              <w:t xml:space="preserve">0 </w:t>
            </w:r>
          </w:p>
        </w:tc>
      </w:tr>
      <w:tr w:rsidR="00C65C49" w:rsidRPr="0027658F" w14:paraId="5960DAC1" w14:textId="77777777" w:rsidTr="007E514B">
        <w:trPr>
          <w:trHeight w:val="356"/>
        </w:trPr>
        <w:tc>
          <w:tcPr>
            <w:tcW w:w="5580" w:type="dxa"/>
            <w:tcBorders>
              <w:bottom w:val="single" w:sz="4" w:space="0" w:color="000000"/>
            </w:tcBorders>
          </w:tcPr>
          <w:p w14:paraId="0E5F14A7" w14:textId="420A7DA4" w:rsidR="00C65C49" w:rsidRPr="00DB4CE5" w:rsidRDefault="00DB4CE5" w:rsidP="002F1270">
            <w:pPr>
              <w:pStyle w:val="TableParagraph"/>
              <w:spacing w:before="72"/>
              <w:ind w:left="107" w:right="0"/>
              <w:jc w:val="left"/>
              <w:rPr>
                <w:sz w:val="18"/>
              </w:rPr>
            </w:pPr>
            <w:r w:rsidRPr="00DB4CE5">
              <w:rPr>
                <w:color w:val="000000"/>
                <w:sz w:val="18"/>
                <w:szCs w:val="18"/>
                <w:lang w:val="es-ES"/>
              </w:rPr>
              <w:t>Reuniones del Consejo Científico</w:t>
            </w:r>
          </w:p>
        </w:tc>
        <w:tc>
          <w:tcPr>
            <w:tcW w:w="990" w:type="dxa"/>
            <w:tcBorders>
              <w:bottom w:val="single" w:sz="4" w:space="0" w:color="000000"/>
            </w:tcBorders>
            <w:vAlign w:val="center"/>
          </w:tcPr>
          <w:p w14:paraId="70A7F539" w14:textId="77777777" w:rsidR="00C65C49" w:rsidRPr="00DB4CE5" w:rsidRDefault="00C65C49" w:rsidP="002F1270">
            <w:pPr>
              <w:pStyle w:val="TableParagraph"/>
              <w:spacing w:before="72"/>
              <w:ind w:right="113"/>
              <w:rPr>
                <w:sz w:val="18"/>
                <w:szCs w:val="18"/>
              </w:rPr>
            </w:pPr>
          </w:p>
        </w:tc>
        <w:tc>
          <w:tcPr>
            <w:tcW w:w="990" w:type="dxa"/>
            <w:tcBorders>
              <w:bottom w:val="single" w:sz="4" w:space="0" w:color="000000"/>
            </w:tcBorders>
            <w:vAlign w:val="center"/>
          </w:tcPr>
          <w:p w14:paraId="76779280" w14:textId="77777777" w:rsidR="00C65C49" w:rsidRPr="00DB4CE5" w:rsidRDefault="00C65C49" w:rsidP="002F1270">
            <w:pPr>
              <w:pStyle w:val="TableParagraph"/>
              <w:spacing w:before="72"/>
              <w:ind w:right="112"/>
              <w:rPr>
                <w:sz w:val="18"/>
                <w:szCs w:val="18"/>
              </w:rPr>
            </w:pPr>
          </w:p>
        </w:tc>
        <w:tc>
          <w:tcPr>
            <w:tcW w:w="1080" w:type="dxa"/>
            <w:tcBorders>
              <w:bottom w:val="single" w:sz="4" w:space="0" w:color="000000"/>
            </w:tcBorders>
            <w:vAlign w:val="center"/>
          </w:tcPr>
          <w:p w14:paraId="643C3002" w14:textId="77777777" w:rsidR="00C65C49" w:rsidRPr="00DB4CE5" w:rsidRDefault="00C65C49" w:rsidP="002F1270">
            <w:pPr>
              <w:pStyle w:val="TableParagraph"/>
              <w:spacing w:before="72"/>
              <w:ind w:right="111"/>
              <w:rPr>
                <w:sz w:val="18"/>
                <w:szCs w:val="18"/>
              </w:rPr>
            </w:pPr>
          </w:p>
        </w:tc>
        <w:tc>
          <w:tcPr>
            <w:tcW w:w="1170" w:type="dxa"/>
            <w:tcBorders>
              <w:bottom w:val="single" w:sz="4" w:space="0" w:color="000000"/>
            </w:tcBorders>
            <w:vAlign w:val="center"/>
          </w:tcPr>
          <w:p w14:paraId="740AB223" w14:textId="77777777" w:rsidR="00C65C49" w:rsidRPr="00DB4CE5" w:rsidRDefault="00C65C49" w:rsidP="002F1270">
            <w:pPr>
              <w:pStyle w:val="TableParagraph"/>
              <w:spacing w:before="72"/>
              <w:ind w:right="107"/>
              <w:rPr>
                <w:sz w:val="18"/>
                <w:szCs w:val="18"/>
              </w:rPr>
            </w:pPr>
            <w:r w:rsidRPr="00DB4CE5">
              <w:rPr>
                <w:sz w:val="18"/>
                <w:szCs w:val="18"/>
              </w:rPr>
              <w:t xml:space="preserve">0 </w:t>
            </w:r>
          </w:p>
        </w:tc>
      </w:tr>
      <w:tr w:rsidR="00C65C49" w:rsidRPr="0027658F" w14:paraId="26257885" w14:textId="77777777" w:rsidTr="007E514B">
        <w:trPr>
          <w:trHeight w:val="356"/>
        </w:trPr>
        <w:tc>
          <w:tcPr>
            <w:tcW w:w="5580" w:type="dxa"/>
            <w:tcBorders>
              <w:top w:val="single" w:sz="4" w:space="0" w:color="000000"/>
              <w:bottom w:val="single" w:sz="12" w:space="0" w:color="000000"/>
            </w:tcBorders>
          </w:tcPr>
          <w:p w14:paraId="73B509A2" w14:textId="77777777" w:rsidR="00C65C49" w:rsidRPr="00DB4CE5" w:rsidRDefault="00C65C49" w:rsidP="002F1270">
            <w:pPr>
              <w:pStyle w:val="TableParagraph"/>
              <w:spacing w:before="73"/>
              <w:ind w:left="107" w:right="0"/>
              <w:jc w:val="left"/>
              <w:rPr>
                <w:b/>
                <w:sz w:val="18"/>
              </w:rPr>
            </w:pPr>
            <w:r w:rsidRPr="00DB4CE5">
              <w:rPr>
                <w:b/>
                <w:spacing w:val="-2"/>
                <w:sz w:val="18"/>
              </w:rPr>
              <w:t>Subtotal</w:t>
            </w:r>
          </w:p>
        </w:tc>
        <w:tc>
          <w:tcPr>
            <w:tcW w:w="990" w:type="dxa"/>
            <w:tcBorders>
              <w:top w:val="single" w:sz="4" w:space="0" w:color="000000"/>
              <w:bottom w:val="single" w:sz="12" w:space="0" w:color="000000"/>
            </w:tcBorders>
            <w:vAlign w:val="center"/>
          </w:tcPr>
          <w:p w14:paraId="033F7ECC" w14:textId="77777777" w:rsidR="00C65C49" w:rsidRPr="00DB4CE5" w:rsidRDefault="00C65C49" w:rsidP="002F1270">
            <w:pPr>
              <w:pStyle w:val="TableParagraph"/>
              <w:spacing w:before="73"/>
              <w:ind w:right="113"/>
              <w:rPr>
                <w:b/>
                <w:bCs/>
                <w:sz w:val="18"/>
                <w:szCs w:val="18"/>
              </w:rPr>
            </w:pPr>
            <w:r w:rsidRPr="00DB4CE5">
              <w:rPr>
                <w:b/>
                <w:bCs/>
                <w:sz w:val="18"/>
                <w:szCs w:val="18"/>
              </w:rPr>
              <w:t xml:space="preserve">68,951 </w:t>
            </w:r>
          </w:p>
        </w:tc>
        <w:tc>
          <w:tcPr>
            <w:tcW w:w="990" w:type="dxa"/>
            <w:tcBorders>
              <w:top w:val="single" w:sz="4" w:space="0" w:color="000000"/>
              <w:bottom w:val="single" w:sz="12" w:space="0" w:color="000000"/>
            </w:tcBorders>
            <w:vAlign w:val="center"/>
          </w:tcPr>
          <w:p w14:paraId="35EFFDCD" w14:textId="77777777" w:rsidR="00C65C49" w:rsidRPr="00DB4CE5" w:rsidRDefault="00C65C49" w:rsidP="002F1270">
            <w:pPr>
              <w:pStyle w:val="TableParagraph"/>
              <w:spacing w:before="73"/>
              <w:ind w:right="112"/>
              <w:rPr>
                <w:b/>
                <w:bCs/>
                <w:sz w:val="18"/>
                <w:szCs w:val="18"/>
              </w:rPr>
            </w:pPr>
            <w:r w:rsidRPr="00DB4CE5">
              <w:rPr>
                <w:b/>
                <w:bCs/>
                <w:sz w:val="18"/>
                <w:szCs w:val="18"/>
              </w:rPr>
              <w:t xml:space="preserve">70,330 </w:t>
            </w:r>
          </w:p>
        </w:tc>
        <w:tc>
          <w:tcPr>
            <w:tcW w:w="1080" w:type="dxa"/>
            <w:tcBorders>
              <w:top w:val="single" w:sz="4" w:space="0" w:color="000000"/>
              <w:bottom w:val="single" w:sz="12" w:space="0" w:color="000000"/>
            </w:tcBorders>
            <w:vAlign w:val="center"/>
          </w:tcPr>
          <w:p w14:paraId="52E862F6" w14:textId="77777777" w:rsidR="00C65C49" w:rsidRPr="00DB4CE5" w:rsidRDefault="00C65C49" w:rsidP="002F1270">
            <w:pPr>
              <w:pStyle w:val="TableParagraph"/>
              <w:spacing w:before="73"/>
              <w:ind w:right="111"/>
              <w:rPr>
                <w:b/>
                <w:bCs/>
                <w:sz w:val="18"/>
                <w:szCs w:val="18"/>
              </w:rPr>
            </w:pPr>
            <w:r w:rsidRPr="00DB4CE5">
              <w:rPr>
                <w:b/>
                <w:bCs/>
                <w:sz w:val="18"/>
                <w:szCs w:val="18"/>
              </w:rPr>
              <w:t xml:space="preserve">71,737 </w:t>
            </w:r>
          </w:p>
        </w:tc>
        <w:tc>
          <w:tcPr>
            <w:tcW w:w="1170" w:type="dxa"/>
            <w:tcBorders>
              <w:top w:val="single" w:sz="4" w:space="0" w:color="000000"/>
              <w:bottom w:val="single" w:sz="12" w:space="0" w:color="000000"/>
            </w:tcBorders>
            <w:vAlign w:val="center"/>
          </w:tcPr>
          <w:p w14:paraId="38295EC5" w14:textId="77777777" w:rsidR="00C65C49" w:rsidRPr="00DB4CE5" w:rsidRDefault="00C65C49" w:rsidP="002F1270">
            <w:pPr>
              <w:pStyle w:val="TableParagraph"/>
              <w:spacing w:before="73"/>
              <w:ind w:right="107"/>
              <w:rPr>
                <w:b/>
                <w:bCs/>
                <w:sz w:val="18"/>
                <w:szCs w:val="18"/>
              </w:rPr>
            </w:pPr>
            <w:r w:rsidRPr="00DB4CE5">
              <w:rPr>
                <w:b/>
                <w:bCs/>
                <w:sz w:val="18"/>
                <w:szCs w:val="18"/>
              </w:rPr>
              <w:t xml:space="preserve">211,018 </w:t>
            </w:r>
          </w:p>
        </w:tc>
      </w:tr>
      <w:tr w:rsidR="00C65C49" w:rsidRPr="0027658F" w14:paraId="5EF88BD4" w14:textId="77777777" w:rsidTr="007E514B">
        <w:trPr>
          <w:trHeight w:val="359"/>
        </w:trPr>
        <w:tc>
          <w:tcPr>
            <w:tcW w:w="5580" w:type="dxa"/>
            <w:tcBorders>
              <w:top w:val="single" w:sz="12" w:space="0" w:color="000000"/>
              <w:bottom w:val="single" w:sz="8" w:space="0" w:color="000000"/>
            </w:tcBorders>
            <w:shd w:val="clear" w:color="auto" w:fill="D5DCE4" w:themeFill="text2" w:themeFillTint="33"/>
          </w:tcPr>
          <w:p w14:paraId="068D4EB3" w14:textId="77777777" w:rsidR="00C65C49" w:rsidRPr="00DB4CE5" w:rsidRDefault="00C65C49" w:rsidP="002F1270">
            <w:pPr>
              <w:pStyle w:val="TableParagraph"/>
              <w:spacing w:before="75"/>
              <w:ind w:left="107" w:right="0"/>
              <w:jc w:val="left"/>
              <w:rPr>
                <w:b/>
                <w:sz w:val="18"/>
              </w:rPr>
            </w:pPr>
            <w:r w:rsidRPr="00DB4CE5">
              <w:rPr>
                <w:b/>
                <w:spacing w:val="-2"/>
                <w:sz w:val="18"/>
              </w:rPr>
              <w:t>Total</w:t>
            </w:r>
          </w:p>
        </w:tc>
        <w:tc>
          <w:tcPr>
            <w:tcW w:w="990" w:type="dxa"/>
            <w:tcBorders>
              <w:top w:val="single" w:sz="8" w:space="0" w:color="auto"/>
              <w:left w:val="nil"/>
              <w:bottom w:val="single" w:sz="8" w:space="0" w:color="auto"/>
              <w:right w:val="nil"/>
            </w:tcBorders>
            <w:shd w:val="clear" w:color="auto" w:fill="D5DCE4" w:themeFill="text2" w:themeFillTint="33"/>
            <w:vAlign w:val="center"/>
          </w:tcPr>
          <w:p w14:paraId="7610EE55" w14:textId="77777777" w:rsidR="00C65C49" w:rsidRPr="00DB4CE5" w:rsidRDefault="00C65C49" w:rsidP="002F1270">
            <w:pPr>
              <w:pStyle w:val="TableParagraph"/>
              <w:spacing w:before="75"/>
              <w:ind w:right="114"/>
              <w:rPr>
                <w:b/>
                <w:bCs/>
                <w:sz w:val="18"/>
                <w:szCs w:val="18"/>
              </w:rPr>
            </w:pPr>
            <w:r w:rsidRPr="00DB4CE5">
              <w:rPr>
                <w:b/>
                <w:bCs/>
                <w:sz w:val="18"/>
                <w:szCs w:val="18"/>
              </w:rPr>
              <w:t xml:space="preserve"> 2,543,655 </w:t>
            </w:r>
          </w:p>
        </w:tc>
        <w:tc>
          <w:tcPr>
            <w:tcW w:w="990" w:type="dxa"/>
            <w:tcBorders>
              <w:top w:val="single" w:sz="8" w:space="0" w:color="auto"/>
              <w:left w:val="nil"/>
              <w:bottom w:val="single" w:sz="8" w:space="0" w:color="auto"/>
              <w:right w:val="nil"/>
            </w:tcBorders>
            <w:shd w:val="clear" w:color="auto" w:fill="D5DCE4" w:themeFill="text2" w:themeFillTint="33"/>
            <w:vAlign w:val="center"/>
          </w:tcPr>
          <w:p w14:paraId="029433C2" w14:textId="77777777" w:rsidR="00C65C49" w:rsidRPr="00DB4CE5" w:rsidRDefault="00C65C49" w:rsidP="002F1270">
            <w:pPr>
              <w:pStyle w:val="TableParagraph"/>
              <w:spacing w:before="75"/>
              <w:ind w:right="112"/>
              <w:rPr>
                <w:b/>
                <w:bCs/>
                <w:sz w:val="18"/>
                <w:szCs w:val="18"/>
              </w:rPr>
            </w:pPr>
            <w:r w:rsidRPr="00DB4CE5">
              <w:rPr>
                <w:b/>
                <w:bCs/>
                <w:sz w:val="18"/>
                <w:szCs w:val="18"/>
              </w:rPr>
              <w:t xml:space="preserve"> 2,576,502 </w:t>
            </w:r>
          </w:p>
        </w:tc>
        <w:tc>
          <w:tcPr>
            <w:tcW w:w="1080" w:type="dxa"/>
            <w:tcBorders>
              <w:top w:val="single" w:sz="8" w:space="0" w:color="auto"/>
              <w:left w:val="nil"/>
              <w:bottom w:val="single" w:sz="8" w:space="0" w:color="auto"/>
              <w:right w:val="nil"/>
            </w:tcBorders>
            <w:shd w:val="clear" w:color="auto" w:fill="D5DCE4" w:themeFill="text2" w:themeFillTint="33"/>
            <w:vAlign w:val="center"/>
          </w:tcPr>
          <w:p w14:paraId="0A925D24" w14:textId="77777777" w:rsidR="00C65C49" w:rsidRPr="00DB4CE5" w:rsidRDefault="00C65C49" w:rsidP="002F1270">
            <w:pPr>
              <w:pStyle w:val="TableParagraph"/>
              <w:spacing w:before="75"/>
              <w:ind w:right="112"/>
              <w:rPr>
                <w:b/>
                <w:bCs/>
                <w:sz w:val="18"/>
                <w:szCs w:val="18"/>
              </w:rPr>
            </w:pPr>
            <w:r w:rsidRPr="00DB4CE5">
              <w:rPr>
                <w:b/>
                <w:bCs/>
                <w:sz w:val="18"/>
                <w:szCs w:val="18"/>
              </w:rPr>
              <w:t xml:space="preserve"> 2,624,754 </w:t>
            </w:r>
          </w:p>
        </w:tc>
        <w:tc>
          <w:tcPr>
            <w:tcW w:w="1170" w:type="dxa"/>
            <w:tcBorders>
              <w:top w:val="single" w:sz="8" w:space="0" w:color="auto"/>
              <w:left w:val="nil"/>
              <w:bottom w:val="single" w:sz="8" w:space="0" w:color="auto"/>
              <w:right w:val="nil"/>
            </w:tcBorders>
            <w:shd w:val="clear" w:color="auto" w:fill="D5DCE4" w:themeFill="text2" w:themeFillTint="33"/>
            <w:vAlign w:val="center"/>
          </w:tcPr>
          <w:p w14:paraId="2C0BE262" w14:textId="77777777" w:rsidR="00C65C49" w:rsidRPr="00DB4CE5" w:rsidRDefault="00C65C49" w:rsidP="002F1270">
            <w:pPr>
              <w:pStyle w:val="TableParagraph"/>
              <w:spacing w:before="75"/>
              <w:ind w:right="108"/>
              <w:rPr>
                <w:b/>
                <w:bCs/>
                <w:sz w:val="18"/>
                <w:szCs w:val="18"/>
              </w:rPr>
            </w:pPr>
            <w:r w:rsidRPr="00DB4CE5">
              <w:rPr>
                <w:b/>
                <w:bCs/>
                <w:sz w:val="18"/>
                <w:szCs w:val="18"/>
              </w:rPr>
              <w:t xml:space="preserve"> 7,744,910 </w:t>
            </w:r>
          </w:p>
        </w:tc>
      </w:tr>
      <w:tr w:rsidR="00C65C49" w:rsidRPr="0027658F" w14:paraId="367C6A64" w14:textId="77777777" w:rsidTr="007E514B">
        <w:trPr>
          <w:trHeight w:val="356"/>
        </w:trPr>
        <w:tc>
          <w:tcPr>
            <w:tcW w:w="5580" w:type="dxa"/>
            <w:tcBorders>
              <w:top w:val="single" w:sz="8" w:space="0" w:color="000000"/>
              <w:bottom w:val="single" w:sz="12" w:space="0" w:color="000000"/>
            </w:tcBorders>
          </w:tcPr>
          <w:p w14:paraId="0019247D" w14:textId="6347A1D8" w:rsidR="00C65C49" w:rsidRPr="001A4235" w:rsidRDefault="001A4235" w:rsidP="002F1270">
            <w:pPr>
              <w:pStyle w:val="TableParagraph"/>
              <w:spacing w:before="73"/>
              <w:ind w:left="107" w:right="0"/>
              <w:jc w:val="left"/>
              <w:rPr>
                <w:sz w:val="18"/>
                <w:lang w:val="es-ES"/>
              </w:rPr>
            </w:pPr>
            <w:r w:rsidRPr="001A4235">
              <w:rPr>
                <w:sz w:val="18"/>
                <w:lang w:val="es-ES"/>
              </w:rPr>
              <w:t>Gastos de apoyo al programa</w:t>
            </w:r>
            <w:r w:rsidR="00C65C49" w:rsidRPr="001A4235">
              <w:rPr>
                <w:spacing w:val="-5"/>
                <w:sz w:val="18"/>
                <w:lang w:val="es-ES"/>
              </w:rPr>
              <w:t xml:space="preserve"> </w:t>
            </w:r>
            <w:r w:rsidR="00C65C49" w:rsidRPr="001A4235">
              <w:rPr>
                <w:spacing w:val="-4"/>
                <w:sz w:val="18"/>
                <w:lang w:val="es-ES"/>
              </w:rPr>
              <w:t>(13%)</w:t>
            </w:r>
          </w:p>
        </w:tc>
        <w:tc>
          <w:tcPr>
            <w:tcW w:w="990" w:type="dxa"/>
            <w:tcBorders>
              <w:top w:val="nil"/>
              <w:left w:val="nil"/>
              <w:bottom w:val="nil"/>
              <w:right w:val="nil"/>
            </w:tcBorders>
            <w:shd w:val="clear" w:color="000000" w:fill="FFFFFF"/>
          </w:tcPr>
          <w:p w14:paraId="5F9990BF" w14:textId="77777777" w:rsidR="00C65C49" w:rsidRPr="001A4235" w:rsidRDefault="00C65C49" w:rsidP="002F1270">
            <w:pPr>
              <w:pStyle w:val="TableParagraph"/>
              <w:spacing w:before="73"/>
              <w:ind w:right="113"/>
              <w:rPr>
                <w:sz w:val="18"/>
                <w:szCs w:val="18"/>
              </w:rPr>
            </w:pPr>
            <w:r w:rsidRPr="001A4235">
              <w:rPr>
                <w:sz w:val="18"/>
                <w:szCs w:val="18"/>
              </w:rPr>
              <w:t xml:space="preserve">330,675 </w:t>
            </w:r>
          </w:p>
        </w:tc>
        <w:tc>
          <w:tcPr>
            <w:tcW w:w="990" w:type="dxa"/>
            <w:tcBorders>
              <w:top w:val="nil"/>
              <w:left w:val="nil"/>
              <w:bottom w:val="nil"/>
              <w:right w:val="nil"/>
            </w:tcBorders>
            <w:shd w:val="clear" w:color="000000" w:fill="FFFFFF"/>
          </w:tcPr>
          <w:p w14:paraId="2152D837" w14:textId="77777777" w:rsidR="00C65C49" w:rsidRPr="001A4235" w:rsidRDefault="00C65C49" w:rsidP="002F1270">
            <w:pPr>
              <w:pStyle w:val="TableParagraph"/>
              <w:spacing w:before="73"/>
              <w:ind w:right="112"/>
              <w:rPr>
                <w:sz w:val="18"/>
                <w:szCs w:val="18"/>
              </w:rPr>
            </w:pPr>
            <w:r w:rsidRPr="001A4235">
              <w:rPr>
                <w:sz w:val="18"/>
                <w:szCs w:val="18"/>
              </w:rPr>
              <w:t xml:space="preserve">334,945 </w:t>
            </w:r>
          </w:p>
        </w:tc>
        <w:tc>
          <w:tcPr>
            <w:tcW w:w="1080" w:type="dxa"/>
            <w:tcBorders>
              <w:top w:val="nil"/>
              <w:left w:val="nil"/>
              <w:bottom w:val="nil"/>
              <w:right w:val="nil"/>
            </w:tcBorders>
            <w:shd w:val="clear" w:color="000000" w:fill="FFFFFF"/>
          </w:tcPr>
          <w:p w14:paraId="023D7B85" w14:textId="77777777" w:rsidR="00C65C49" w:rsidRPr="001A4235" w:rsidRDefault="00C65C49" w:rsidP="002F1270">
            <w:pPr>
              <w:pStyle w:val="TableParagraph"/>
              <w:spacing w:before="73"/>
              <w:ind w:right="111"/>
              <w:rPr>
                <w:sz w:val="18"/>
                <w:szCs w:val="18"/>
              </w:rPr>
            </w:pPr>
            <w:r w:rsidRPr="001A4235">
              <w:rPr>
                <w:sz w:val="18"/>
                <w:szCs w:val="18"/>
              </w:rPr>
              <w:t xml:space="preserve">341,218 </w:t>
            </w:r>
          </w:p>
        </w:tc>
        <w:tc>
          <w:tcPr>
            <w:tcW w:w="1170" w:type="dxa"/>
            <w:tcBorders>
              <w:top w:val="nil"/>
              <w:left w:val="nil"/>
              <w:bottom w:val="nil"/>
              <w:right w:val="nil"/>
            </w:tcBorders>
            <w:shd w:val="clear" w:color="auto" w:fill="auto"/>
          </w:tcPr>
          <w:p w14:paraId="0BB84003" w14:textId="77777777" w:rsidR="00C65C49" w:rsidRPr="001A4235" w:rsidRDefault="00C65C49" w:rsidP="002F1270">
            <w:pPr>
              <w:pStyle w:val="TableParagraph"/>
              <w:spacing w:before="73"/>
              <w:ind w:right="107"/>
              <w:rPr>
                <w:sz w:val="18"/>
                <w:szCs w:val="18"/>
              </w:rPr>
            </w:pPr>
            <w:r w:rsidRPr="001A4235">
              <w:rPr>
                <w:sz w:val="18"/>
                <w:szCs w:val="18"/>
              </w:rPr>
              <w:t xml:space="preserve">1,006,838 </w:t>
            </w:r>
          </w:p>
        </w:tc>
      </w:tr>
      <w:tr w:rsidR="00C65C49" w14:paraId="72DF476E" w14:textId="77777777" w:rsidTr="007E514B">
        <w:trPr>
          <w:trHeight w:val="359"/>
        </w:trPr>
        <w:tc>
          <w:tcPr>
            <w:tcW w:w="5580" w:type="dxa"/>
            <w:tcBorders>
              <w:top w:val="single" w:sz="12" w:space="0" w:color="000000"/>
              <w:bottom w:val="single" w:sz="12" w:space="0" w:color="000000"/>
            </w:tcBorders>
            <w:shd w:val="clear" w:color="auto" w:fill="D5DCE4" w:themeFill="text2" w:themeFillTint="33"/>
          </w:tcPr>
          <w:p w14:paraId="5E0A4ABE" w14:textId="4E18BBD3" w:rsidR="00C65C49" w:rsidRPr="001A4235" w:rsidRDefault="00C65C49" w:rsidP="002F1270">
            <w:pPr>
              <w:pStyle w:val="TableParagraph"/>
              <w:spacing w:before="75"/>
              <w:ind w:left="107" w:right="0"/>
              <w:jc w:val="left"/>
              <w:rPr>
                <w:b/>
                <w:spacing w:val="-2"/>
                <w:sz w:val="18"/>
              </w:rPr>
            </w:pPr>
            <w:r w:rsidRPr="001A4235">
              <w:rPr>
                <w:b/>
                <w:spacing w:val="-2"/>
                <w:sz w:val="18"/>
              </w:rPr>
              <w:t>Gran total</w:t>
            </w:r>
          </w:p>
        </w:tc>
        <w:tc>
          <w:tcPr>
            <w:tcW w:w="990" w:type="dxa"/>
            <w:tcBorders>
              <w:top w:val="single" w:sz="8" w:space="0" w:color="auto"/>
              <w:left w:val="nil"/>
              <w:bottom w:val="single" w:sz="8" w:space="0" w:color="auto"/>
              <w:right w:val="nil"/>
            </w:tcBorders>
            <w:shd w:val="clear" w:color="auto" w:fill="D5DCE4" w:themeFill="text2" w:themeFillTint="33"/>
          </w:tcPr>
          <w:p w14:paraId="4BE2566E" w14:textId="77777777" w:rsidR="00C65C49" w:rsidRPr="001A4235" w:rsidRDefault="00C65C49" w:rsidP="002F1270">
            <w:pPr>
              <w:pStyle w:val="TableParagraph"/>
              <w:spacing w:before="75"/>
              <w:ind w:left="107" w:right="0"/>
              <w:jc w:val="left"/>
              <w:rPr>
                <w:b/>
                <w:bCs/>
                <w:spacing w:val="-2"/>
                <w:sz w:val="18"/>
                <w:szCs w:val="18"/>
              </w:rPr>
            </w:pPr>
            <w:r w:rsidRPr="001A4235">
              <w:rPr>
                <w:b/>
                <w:bCs/>
                <w:sz w:val="18"/>
                <w:szCs w:val="18"/>
              </w:rPr>
              <w:t xml:space="preserve">2,874,330 </w:t>
            </w:r>
          </w:p>
        </w:tc>
        <w:tc>
          <w:tcPr>
            <w:tcW w:w="990" w:type="dxa"/>
            <w:tcBorders>
              <w:top w:val="single" w:sz="8" w:space="0" w:color="auto"/>
              <w:left w:val="nil"/>
              <w:bottom w:val="single" w:sz="8" w:space="0" w:color="auto"/>
              <w:right w:val="nil"/>
            </w:tcBorders>
            <w:shd w:val="clear" w:color="auto" w:fill="D5DCE4" w:themeFill="text2" w:themeFillTint="33"/>
          </w:tcPr>
          <w:p w14:paraId="451A9A05" w14:textId="77777777" w:rsidR="00C65C49" w:rsidRPr="001A4235" w:rsidRDefault="00C65C49" w:rsidP="002F1270">
            <w:pPr>
              <w:pStyle w:val="TableParagraph"/>
              <w:spacing w:before="75"/>
              <w:ind w:left="107" w:right="0"/>
              <w:jc w:val="left"/>
              <w:rPr>
                <w:b/>
                <w:bCs/>
                <w:spacing w:val="-2"/>
                <w:sz w:val="18"/>
                <w:szCs w:val="18"/>
              </w:rPr>
            </w:pPr>
            <w:r w:rsidRPr="001A4235">
              <w:rPr>
                <w:b/>
                <w:bCs/>
                <w:sz w:val="18"/>
                <w:szCs w:val="18"/>
              </w:rPr>
              <w:t xml:space="preserve">2,911,447 </w:t>
            </w:r>
          </w:p>
        </w:tc>
        <w:tc>
          <w:tcPr>
            <w:tcW w:w="1080" w:type="dxa"/>
            <w:tcBorders>
              <w:top w:val="single" w:sz="8" w:space="0" w:color="auto"/>
              <w:left w:val="nil"/>
              <w:bottom w:val="single" w:sz="8" w:space="0" w:color="auto"/>
              <w:right w:val="nil"/>
            </w:tcBorders>
            <w:shd w:val="clear" w:color="auto" w:fill="D5DCE4" w:themeFill="text2" w:themeFillTint="33"/>
          </w:tcPr>
          <w:p w14:paraId="2893866A" w14:textId="77777777" w:rsidR="00C65C49" w:rsidRPr="001A4235" w:rsidRDefault="00C65C49" w:rsidP="002F1270">
            <w:pPr>
              <w:pStyle w:val="TableParagraph"/>
              <w:spacing w:before="75"/>
              <w:ind w:left="107" w:right="0"/>
              <w:jc w:val="left"/>
              <w:rPr>
                <w:b/>
                <w:bCs/>
                <w:spacing w:val="-2"/>
                <w:sz w:val="18"/>
                <w:szCs w:val="18"/>
              </w:rPr>
            </w:pPr>
            <w:r w:rsidRPr="001A4235">
              <w:rPr>
                <w:b/>
                <w:bCs/>
                <w:sz w:val="18"/>
                <w:szCs w:val="18"/>
              </w:rPr>
              <w:t xml:space="preserve">2,965,972 </w:t>
            </w:r>
          </w:p>
        </w:tc>
        <w:tc>
          <w:tcPr>
            <w:tcW w:w="1170" w:type="dxa"/>
            <w:tcBorders>
              <w:top w:val="single" w:sz="8" w:space="0" w:color="auto"/>
              <w:left w:val="nil"/>
              <w:bottom w:val="single" w:sz="8" w:space="0" w:color="auto"/>
              <w:right w:val="nil"/>
            </w:tcBorders>
            <w:shd w:val="clear" w:color="auto" w:fill="D5DCE4" w:themeFill="text2" w:themeFillTint="33"/>
          </w:tcPr>
          <w:p w14:paraId="3E9846C2" w14:textId="77777777" w:rsidR="00C65C49" w:rsidRPr="001A4235" w:rsidRDefault="00C65C49" w:rsidP="002F1270">
            <w:pPr>
              <w:pStyle w:val="TableParagraph"/>
              <w:spacing w:before="75"/>
              <w:ind w:left="107" w:right="0"/>
              <w:jc w:val="left"/>
              <w:rPr>
                <w:b/>
                <w:bCs/>
                <w:spacing w:val="-2"/>
                <w:sz w:val="18"/>
                <w:szCs w:val="18"/>
              </w:rPr>
            </w:pPr>
            <w:r w:rsidRPr="001A4235">
              <w:rPr>
                <w:b/>
                <w:bCs/>
                <w:sz w:val="18"/>
                <w:szCs w:val="18"/>
              </w:rPr>
              <w:t xml:space="preserve">8,751,749 </w:t>
            </w:r>
          </w:p>
        </w:tc>
      </w:tr>
    </w:tbl>
    <w:p w14:paraId="01DE8D23" w14:textId="77777777" w:rsidR="0080195C" w:rsidRDefault="0080195C">
      <w:pPr>
        <w:rPr>
          <w:rFonts w:eastAsia="Times New Roman" w:cs="Arial"/>
          <w:lang w:val="es-ES" w:eastAsia="es-ES"/>
        </w:rPr>
        <w:sectPr w:rsidR="0080195C" w:rsidSect="00323406">
          <w:headerReference w:type="first" r:id="rId21"/>
          <w:pgSz w:w="11906" w:h="16838" w:code="9"/>
          <w:pgMar w:top="1440" w:right="1440" w:bottom="1440" w:left="1440" w:header="720" w:footer="720" w:gutter="0"/>
          <w:cols w:space="720"/>
          <w:titlePg/>
          <w:docGrid w:linePitch="360"/>
        </w:sectPr>
      </w:pPr>
    </w:p>
    <w:p w14:paraId="639FF08B" w14:textId="254C1D2F" w:rsidR="00DC55BE" w:rsidRPr="00DC55BE" w:rsidRDefault="00DC55BE" w:rsidP="0080745F">
      <w:pPr>
        <w:widowControl w:val="0"/>
        <w:tabs>
          <w:tab w:val="left" w:pos="8364"/>
        </w:tabs>
        <w:autoSpaceDE w:val="0"/>
        <w:autoSpaceDN w:val="0"/>
        <w:spacing w:after="0" w:line="240" w:lineRule="auto"/>
        <w:ind w:right="-42" w:hanging="90"/>
        <w:jc w:val="right"/>
        <w:rPr>
          <w:rFonts w:eastAsia="Arial" w:cs="Arial"/>
          <w:b/>
        </w:rPr>
      </w:pPr>
      <w:r w:rsidRPr="00DC55BE">
        <w:rPr>
          <w:rFonts w:eastAsia="Arial" w:cs="Arial"/>
          <w:b/>
        </w:rPr>
        <w:lastRenderedPageBreak/>
        <w:t>ANEX</w:t>
      </w:r>
      <w:r w:rsidRPr="00CF623A">
        <w:rPr>
          <w:rFonts w:eastAsia="Arial" w:cs="Arial"/>
          <w:b/>
        </w:rPr>
        <w:t>O</w:t>
      </w:r>
      <w:r w:rsidRPr="00DC55BE">
        <w:rPr>
          <w:rFonts w:eastAsia="Arial" w:cs="Arial"/>
          <w:b/>
          <w:spacing w:val="-5"/>
        </w:rPr>
        <w:t xml:space="preserve"> </w:t>
      </w:r>
      <w:r w:rsidRPr="00DC55BE">
        <w:rPr>
          <w:rFonts w:eastAsia="Arial" w:cs="Arial"/>
          <w:b/>
        </w:rPr>
        <w:t>3</w:t>
      </w:r>
      <w:r w:rsidRPr="00DC55BE">
        <w:rPr>
          <w:rFonts w:eastAsia="Arial" w:cs="Arial"/>
          <w:b/>
          <w:spacing w:val="-3"/>
        </w:rPr>
        <w:t xml:space="preserve"> </w:t>
      </w:r>
      <w:r w:rsidRPr="00DC55BE">
        <w:rPr>
          <w:rFonts w:eastAsia="Arial" w:cs="Arial"/>
          <w:b/>
          <w:spacing w:val="-5"/>
        </w:rPr>
        <w:t>(B)</w:t>
      </w:r>
    </w:p>
    <w:p w14:paraId="09DBE4A2" w14:textId="77777777" w:rsidR="00DC55BE" w:rsidRPr="00DC55BE" w:rsidRDefault="00DC55BE" w:rsidP="0080745F">
      <w:pPr>
        <w:widowControl w:val="0"/>
        <w:tabs>
          <w:tab w:val="left" w:pos="8364"/>
        </w:tabs>
        <w:autoSpaceDE w:val="0"/>
        <w:autoSpaceDN w:val="0"/>
        <w:spacing w:after="0" w:line="240" w:lineRule="auto"/>
        <w:ind w:right="-42" w:hanging="90"/>
        <w:jc w:val="center"/>
        <w:rPr>
          <w:rFonts w:eastAsia="Arial" w:cs="Arial"/>
          <w:b/>
        </w:rPr>
      </w:pPr>
    </w:p>
    <w:p w14:paraId="53DED00D" w14:textId="72999837" w:rsidR="00DC55BE" w:rsidRPr="00DC55BE" w:rsidRDefault="00DC55BE" w:rsidP="0080745F">
      <w:pPr>
        <w:widowControl w:val="0"/>
        <w:tabs>
          <w:tab w:val="left" w:pos="8364"/>
        </w:tabs>
        <w:autoSpaceDE w:val="0"/>
        <w:autoSpaceDN w:val="0"/>
        <w:spacing w:after="0" w:line="240" w:lineRule="auto"/>
        <w:ind w:right="-42" w:hanging="90"/>
        <w:jc w:val="center"/>
        <w:rPr>
          <w:rFonts w:eastAsia="Arial" w:cs="Arial"/>
          <w:b/>
          <w:lang w:val="es-ES"/>
        </w:rPr>
      </w:pPr>
      <w:r w:rsidRPr="00CF623A">
        <w:rPr>
          <w:b/>
          <w:lang w:val="es-ES"/>
        </w:rPr>
        <w:t>PROPUESTA DE PRESUPUESTO PARA EL TRIENIO</w:t>
      </w:r>
      <w:r w:rsidRPr="00CF623A">
        <w:rPr>
          <w:b/>
          <w:spacing w:val="-4"/>
          <w:lang w:val="es-ES"/>
        </w:rPr>
        <w:t xml:space="preserve"> </w:t>
      </w:r>
      <w:r w:rsidRPr="00CF623A">
        <w:rPr>
          <w:b/>
          <w:lang w:val="es-ES"/>
        </w:rPr>
        <w:t>2024–2026</w:t>
      </w:r>
      <w:r w:rsidRPr="00DC55BE">
        <w:rPr>
          <w:rFonts w:eastAsia="Arial" w:cs="Arial"/>
          <w:b/>
          <w:lang w:val="es-ES"/>
        </w:rPr>
        <w:t xml:space="preserve"> </w:t>
      </w:r>
    </w:p>
    <w:p w14:paraId="04F6201B" w14:textId="3F064215" w:rsidR="00CF623A" w:rsidRPr="00CF623A" w:rsidRDefault="00CF623A" w:rsidP="0080745F">
      <w:pPr>
        <w:spacing w:after="0" w:line="240" w:lineRule="auto"/>
        <w:ind w:right="-40" w:hanging="90"/>
        <w:jc w:val="center"/>
        <w:rPr>
          <w:b/>
          <w:lang w:val="es-ES"/>
        </w:rPr>
      </w:pPr>
      <w:r w:rsidRPr="00CF623A">
        <w:rPr>
          <w:rFonts w:eastAsia="Arial" w:cs="Arial"/>
          <w:b/>
          <w:lang w:val="es-ES"/>
        </w:rPr>
        <w:t>E</w:t>
      </w:r>
      <w:r w:rsidR="00DC55BE" w:rsidRPr="00DC55BE">
        <w:rPr>
          <w:rFonts w:eastAsia="Arial" w:cs="Arial"/>
          <w:b/>
          <w:lang w:val="es-ES"/>
        </w:rPr>
        <w:t xml:space="preserve">SCENARIO 2 – </w:t>
      </w:r>
      <w:r w:rsidRPr="00CF623A">
        <w:rPr>
          <w:b/>
          <w:lang w:val="es-ES"/>
        </w:rPr>
        <w:t xml:space="preserve">CRECIMIENTO </w:t>
      </w:r>
      <w:r w:rsidR="007700D9">
        <w:rPr>
          <w:b/>
          <w:lang w:val="es-ES"/>
        </w:rPr>
        <w:t xml:space="preserve">REAL </w:t>
      </w:r>
      <w:r w:rsidRPr="00CF623A">
        <w:rPr>
          <w:b/>
          <w:lang w:val="es-ES"/>
        </w:rPr>
        <w:t>CERO</w:t>
      </w:r>
    </w:p>
    <w:p w14:paraId="713A6BDF" w14:textId="77777777" w:rsidR="00CF623A" w:rsidRPr="00B656AC" w:rsidRDefault="00CF623A" w:rsidP="0080745F">
      <w:pPr>
        <w:spacing w:after="0" w:line="240" w:lineRule="auto"/>
        <w:ind w:right="1650" w:hanging="90"/>
        <w:jc w:val="center"/>
        <w:rPr>
          <w:sz w:val="18"/>
          <w:lang w:val="es-ES"/>
        </w:rPr>
      </w:pPr>
      <w:r w:rsidRPr="00CF623A">
        <w:rPr>
          <w:sz w:val="18"/>
          <w:lang w:val="es-ES"/>
        </w:rPr>
        <w:t>(</w:t>
      </w:r>
      <w:r w:rsidRPr="00CF623A">
        <w:rPr>
          <w:rFonts w:eastAsia="Arial" w:cs="Arial"/>
          <w:color w:val="000000"/>
          <w:kern w:val="2"/>
          <w:sz w:val="20"/>
          <w:lang w:val="es-ES"/>
          <w14:ligatures w14:val="standardContextual"/>
        </w:rPr>
        <w:t>todas las cifras en euros</w:t>
      </w:r>
      <w:r w:rsidRPr="00CF623A">
        <w:rPr>
          <w:spacing w:val="-2"/>
          <w:sz w:val="18"/>
          <w:lang w:val="es-ES"/>
        </w:rPr>
        <w:t>)</w:t>
      </w:r>
    </w:p>
    <w:tbl>
      <w:tblPr>
        <w:tblW w:w="9810" w:type="dxa"/>
        <w:tblInd w:w="-360" w:type="dxa"/>
        <w:tblLayout w:type="fixed"/>
        <w:tblCellMar>
          <w:left w:w="0" w:type="dxa"/>
          <w:right w:w="0" w:type="dxa"/>
        </w:tblCellMar>
        <w:tblLook w:val="01E0" w:firstRow="1" w:lastRow="1" w:firstColumn="1" w:lastColumn="1" w:noHBand="0" w:noVBand="0"/>
      </w:tblPr>
      <w:tblGrid>
        <w:gridCol w:w="5313"/>
        <w:gridCol w:w="1076"/>
        <w:gridCol w:w="1033"/>
        <w:gridCol w:w="1032"/>
        <w:gridCol w:w="1356"/>
      </w:tblGrid>
      <w:tr w:rsidR="00DC55BE" w:rsidRPr="00DC55BE" w14:paraId="75C6529F" w14:textId="77777777" w:rsidTr="0080745F">
        <w:trPr>
          <w:trHeight w:val="372"/>
        </w:trPr>
        <w:tc>
          <w:tcPr>
            <w:tcW w:w="5313" w:type="dxa"/>
            <w:tcBorders>
              <w:top w:val="single" w:sz="12" w:space="0" w:color="000000"/>
              <w:bottom w:val="single" w:sz="12" w:space="0" w:color="000000"/>
            </w:tcBorders>
            <w:shd w:val="clear" w:color="auto" w:fill="D9E1F3"/>
            <w:vAlign w:val="center"/>
          </w:tcPr>
          <w:p w14:paraId="2B31E6C4" w14:textId="1140A341" w:rsidR="00DC55BE" w:rsidRPr="00DC55BE" w:rsidRDefault="00CF623A" w:rsidP="00DC55BE">
            <w:pPr>
              <w:widowControl w:val="0"/>
              <w:autoSpaceDE w:val="0"/>
              <w:autoSpaceDN w:val="0"/>
              <w:spacing w:after="0" w:line="240" w:lineRule="auto"/>
              <w:rPr>
                <w:rFonts w:eastAsia="Arial" w:cs="Arial"/>
                <w:b/>
                <w:sz w:val="18"/>
              </w:rPr>
            </w:pPr>
            <w:r w:rsidRPr="0080745F">
              <w:rPr>
                <w:rFonts w:eastAsia="Arial" w:cs="Arial"/>
                <w:b/>
                <w:i/>
                <w:color w:val="000000"/>
                <w:sz w:val="18"/>
                <w:szCs w:val="18"/>
              </w:rPr>
              <w:t>Objeto del gasto</w:t>
            </w:r>
          </w:p>
        </w:tc>
        <w:tc>
          <w:tcPr>
            <w:tcW w:w="1076" w:type="dxa"/>
            <w:tcBorders>
              <w:top w:val="single" w:sz="12" w:space="0" w:color="000000"/>
              <w:bottom w:val="single" w:sz="12" w:space="0" w:color="000000"/>
            </w:tcBorders>
            <w:shd w:val="clear" w:color="auto" w:fill="D9E1F3"/>
            <w:vAlign w:val="center"/>
          </w:tcPr>
          <w:p w14:paraId="346EAB9F" w14:textId="77777777" w:rsidR="00DC55BE" w:rsidRPr="00DC55BE" w:rsidRDefault="00DC55BE" w:rsidP="00DC55BE">
            <w:pPr>
              <w:widowControl w:val="0"/>
              <w:autoSpaceDE w:val="0"/>
              <w:autoSpaceDN w:val="0"/>
              <w:spacing w:after="0" w:line="240" w:lineRule="auto"/>
              <w:jc w:val="center"/>
              <w:rPr>
                <w:rFonts w:eastAsia="Arial" w:cs="Arial"/>
                <w:b/>
                <w:sz w:val="18"/>
              </w:rPr>
            </w:pPr>
            <w:r w:rsidRPr="00DC55BE">
              <w:rPr>
                <w:rFonts w:eastAsia="Arial" w:cs="Arial"/>
                <w:b/>
                <w:spacing w:val="-4"/>
                <w:sz w:val="18"/>
              </w:rPr>
              <w:t>2024</w:t>
            </w:r>
          </w:p>
        </w:tc>
        <w:tc>
          <w:tcPr>
            <w:tcW w:w="1033" w:type="dxa"/>
            <w:tcBorders>
              <w:top w:val="single" w:sz="12" w:space="0" w:color="000000"/>
              <w:bottom w:val="single" w:sz="12" w:space="0" w:color="000000"/>
            </w:tcBorders>
            <w:shd w:val="clear" w:color="auto" w:fill="D9E1F3"/>
            <w:vAlign w:val="center"/>
          </w:tcPr>
          <w:p w14:paraId="14BAB201" w14:textId="77777777" w:rsidR="00DC55BE" w:rsidRPr="00DC55BE" w:rsidRDefault="00DC55BE" w:rsidP="00DC55BE">
            <w:pPr>
              <w:widowControl w:val="0"/>
              <w:autoSpaceDE w:val="0"/>
              <w:autoSpaceDN w:val="0"/>
              <w:spacing w:after="0" w:line="240" w:lineRule="auto"/>
              <w:jc w:val="center"/>
              <w:rPr>
                <w:rFonts w:eastAsia="Arial" w:cs="Arial"/>
                <w:b/>
                <w:sz w:val="18"/>
              </w:rPr>
            </w:pPr>
            <w:r w:rsidRPr="00DC55BE">
              <w:rPr>
                <w:rFonts w:eastAsia="Arial" w:cs="Arial"/>
                <w:b/>
                <w:spacing w:val="-4"/>
                <w:sz w:val="18"/>
              </w:rPr>
              <w:t>2025</w:t>
            </w:r>
          </w:p>
        </w:tc>
        <w:tc>
          <w:tcPr>
            <w:tcW w:w="1032" w:type="dxa"/>
            <w:tcBorders>
              <w:top w:val="single" w:sz="12" w:space="0" w:color="000000"/>
              <w:bottom w:val="single" w:sz="12" w:space="0" w:color="000000"/>
            </w:tcBorders>
            <w:shd w:val="clear" w:color="auto" w:fill="D9E1F3"/>
            <w:vAlign w:val="center"/>
          </w:tcPr>
          <w:p w14:paraId="594B8F87" w14:textId="77777777" w:rsidR="00DC55BE" w:rsidRPr="00DC55BE" w:rsidRDefault="00DC55BE" w:rsidP="00DC55BE">
            <w:pPr>
              <w:widowControl w:val="0"/>
              <w:autoSpaceDE w:val="0"/>
              <w:autoSpaceDN w:val="0"/>
              <w:spacing w:after="0" w:line="240" w:lineRule="auto"/>
              <w:jc w:val="center"/>
              <w:rPr>
                <w:rFonts w:eastAsia="Arial" w:cs="Arial"/>
                <w:b/>
                <w:sz w:val="18"/>
              </w:rPr>
            </w:pPr>
            <w:r w:rsidRPr="00DC55BE">
              <w:rPr>
                <w:rFonts w:eastAsia="Arial" w:cs="Arial"/>
                <w:b/>
                <w:spacing w:val="-4"/>
                <w:sz w:val="18"/>
              </w:rPr>
              <w:t>2026</w:t>
            </w:r>
          </w:p>
        </w:tc>
        <w:tc>
          <w:tcPr>
            <w:tcW w:w="1356" w:type="dxa"/>
            <w:tcBorders>
              <w:top w:val="single" w:sz="12" w:space="0" w:color="000000"/>
              <w:bottom w:val="single" w:sz="12" w:space="0" w:color="000000"/>
            </w:tcBorders>
            <w:shd w:val="clear" w:color="auto" w:fill="D9E1F3"/>
            <w:vAlign w:val="center"/>
          </w:tcPr>
          <w:p w14:paraId="42CE0C9A" w14:textId="77777777" w:rsidR="00DC55BE" w:rsidRPr="00DC55BE" w:rsidRDefault="00DC55BE" w:rsidP="00DC55BE">
            <w:pPr>
              <w:widowControl w:val="0"/>
              <w:autoSpaceDE w:val="0"/>
              <w:autoSpaceDN w:val="0"/>
              <w:spacing w:after="0" w:line="240" w:lineRule="auto"/>
              <w:jc w:val="center"/>
              <w:rPr>
                <w:rFonts w:eastAsia="Arial" w:cs="Arial"/>
                <w:b/>
                <w:sz w:val="18"/>
              </w:rPr>
            </w:pPr>
            <w:r w:rsidRPr="00DC55BE">
              <w:rPr>
                <w:rFonts w:eastAsia="Arial" w:cs="Arial"/>
                <w:b/>
                <w:spacing w:val="-2"/>
                <w:sz w:val="18"/>
              </w:rPr>
              <w:t>Total</w:t>
            </w:r>
          </w:p>
        </w:tc>
      </w:tr>
      <w:tr w:rsidR="00CF623A" w:rsidRPr="00DC55BE" w14:paraId="06D8EB51" w14:textId="77777777" w:rsidTr="0080745F">
        <w:trPr>
          <w:trHeight w:val="360"/>
        </w:trPr>
        <w:tc>
          <w:tcPr>
            <w:tcW w:w="5313" w:type="dxa"/>
            <w:tcBorders>
              <w:top w:val="single" w:sz="12" w:space="0" w:color="000000"/>
            </w:tcBorders>
          </w:tcPr>
          <w:p w14:paraId="545CA66E" w14:textId="7C530BEC" w:rsidR="00CF623A" w:rsidRPr="00DC55BE" w:rsidRDefault="00CF623A" w:rsidP="00CF623A">
            <w:pPr>
              <w:widowControl w:val="0"/>
              <w:autoSpaceDE w:val="0"/>
              <w:autoSpaceDN w:val="0"/>
              <w:spacing w:before="75" w:after="0" w:line="240" w:lineRule="auto"/>
              <w:ind w:left="107"/>
              <w:rPr>
                <w:rFonts w:eastAsia="Arial" w:cs="Arial"/>
                <w:b/>
                <w:sz w:val="18"/>
              </w:rPr>
            </w:pPr>
            <w:r w:rsidRPr="0080745F">
              <w:rPr>
                <w:b/>
                <w:sz w:val="18"/>
              </w:rPr>
              <w:t>Costes de personal</w:t>
            </w:r>
          </w:p>
        </w:tc>
        <w:tc>
          <w:tcPr>
            <w:tcW w:w="1076" w:type="dxa"/>
            <w:tcBorders>
              <w:top w:val="single" w:sz="12" w:space="0" w:color="000000"/>
            </w:tcBorders>
          </w:tcPr>
          <w:p w14:paraId="0169AFCB" w14:textId="77777777" w:rsidR="00CF623A" w:rsidRPr="00DC55BE" w:rsidRDefault="00CF623A" w:rsidP="00CF623A">
            <w:pPr>
              <w:widowControl w:val="0"/>
              <w:autoSpaceDE w:val="0"/>
              <w:autoSpaceDN w:val="0"/>
              <w:spacing w:after="0" w:line="240" w:lineRule="auto"/>
              <w:rPr>
                <w:rFonts w:ascii="Times New Roman" w:eastAsia="Arial" w:cs="Arial"/>
                <w:sz w:val="18"/>
              </w:rPr>
            </w:pPr>
          </w:p>
        </w:tc>
        <w:tc>
          <w:tcPr>
            <w:tcW w:w="1033" w:type="dxa"/>
            <w:tcBorders>
              <w:top w:val="single" w:sz="12" w:space="0" w:color="000000"/>
            </w:tcBorders>
          </w:tcPr>
          <w:p w14:paraId="4E89AC74" w14:textId="77777777" w:rsidR="00CF623A" w:rsidRPr="00DC55BE" w:rsidRDefault="00CF623A" w:rsidP="00CF623A">
            <w:pPr>
              <w:widowControl w:val="0"/>
              <w:autoSpaceDE w:val="0"/>
              <w:autoSpaceDN w:val="0"/>
              <w:spacing w:after="0" w:line="240" w:lineRule="auto"/>
              <w:rPr>
                <w:rFonts w:ascii="Times New Roman" w:eastAsia="Arial" w:cs="Arial"/>
                <w:sz w:val="18"/>
              </w:rPr>
            </w:pPr>
          </w:p>
        </w:tc>
        <w:tc>
          <w:tcPr>
            <w:tcW w:w="1032" w:type="dxa"/>
            <w:tcBorders>
              <w:top w:val="single" w:sz="12" w:space="0" w:color="000000"/>
            </w:tcBorders>
          </w:tcPr>
          <w:p w14:paraId="12A9B057" w14:textId="77777777" w:rsidR="00CF623A" w:rsidRPr="00DC55BE" w:rsidRDefault="00CF623A" w:rsidP="00CF623A">
            <w:pPr>
              <w:widowControl w:val="0"/>
              <w:autoSpaceDE w:val="0"/>
              <w:autoSpaceDN w:val="0"/>
              <w:spacing w:after="0" w:line="240" w:lineRule="auto"/>
              <w:rPr>
                <w:rFonts w:ascii="Times New Roman" w:eastAsia="Arial" w:cs="Arial"/>
                <w:sz w:val="18"/>
              </w:rPr>
            </w:pPr>
          </w:p>
        </w:tc>
        <w:tc>
          <w:tcPr>
            <w:tcW w:w="1356" w:type="dxa"/>
            <w:tcBorders>
              <w:top w:val="single" w:sz="12" w:space="0" w:color="000000"/>
            </w:tcBorders>
          </w:tcPr>
          <w:p w14:paraId="12DEC284" w14:textId="77777777" w:rsidR="00CF623A" w:rsidRPr="00DC55BE" w:rsidRDefault="00CF623A" w:rsidP="00CF623A">
            <w:pPr>
              <w:widowControl w:val="0"/>
              <w:autoSpaceDE w:val="0"/>
              <w:autoSpaceDN w:val="0"/>
              <w:spacing w:after="0" w:line="240" w:lineRule="auto"/>
              <w:rPr>
                <w:rFonts w:ascii="Times New Roman" w:eastAsia="Arial" w:cs="Arial"/>
                <w:sz w:val="18"/>
              </w:rPr>
            </w:pPr>
          </w:p>
        </w:tc>
      </w:tr>
      <w:tr w:rsidR="00CF623A" w:rsidRPr="00DC55BE" w14:paraId="4EE77507" w14:textId="77777777" w:rsidTr="0080745F">
        <w:trPr>
          <w:trHeight w:val="358"/>
        </w:trPr>
        <w:tc>
          <w:tcPr>
            <w:tcW w:w="5313" w:type="dxa"/>
          </w:tcPr>
          <w:p w14:paraId="4AC84017" w14:textId="496AA5CD" w:rsidR="00CF623A" w:rsidRPr="00DC55BE" w:rsidRDefault="00CF623A" w:rsidP="00CF623A">
            <w:pPr>
              <w:widowControl w:val="0"/>
              <w:autoSpaceDE w:val="0"/>
              <w:autoSpaceDN w:val="0"/>
              <w:spacing w:before="72" w:after="0" w:line="240" w:lineRule="auto"/>
              <w:ind w:left="107"/>
              <w:rPr>
                <w:rFonts w:eastAsia="Arial" w:cs="Arial"/>
                <w:sz w:val="18"/>
              </w:rPr>
            </w:pPr>
            <w:r w:rsidRPr="0080745F">
              <w:rPr>
                <w:sz w:val="18"/>
              </w:rPr>
              <w:t>Personal profesional</w:t>
            </w:r>
          </w:p>
        </w:tc>
        <w:tc>
          <w:tcPr>
            <w:tcW w:w="1076" w:type="dxa"/>
            <w:tcBorders>
              <w:top w:val="nil"/>
              <w:left w:val="nil"/>
              <w:bottom w:val="nil"/>
              <w:right w:val="nil"/>
            </w:tcBorders>
            <w:shd w:val="clear" w:color="000000" w:fill="FFFFFF"/>
            <w:vAlign w:val="center"/>
          </w:tcPr>
          <w:p w14:paraId="7F4F9EFF" w14:textId="77777777" w:rsidR="00CF623A" w:rsidRPr="00DC55BE" w:rsidRDefault="00CF623A" w:rsidP="00CF623A">
            <w:pPr>
              <w:widowControl w:val="0"/>
              <w:autoSpaceDE w:val="0"/>
              <w:autoSpaceDN w:val="0"/>
              <w:spacing w:before="72" w:after="0" w:line="240" w:lineRule="auto"/>
              <w:ind w:right="114"/>
              <w:jc w:val="right"/>
              <w:rPr>
                <w:rFonts w:eastAsia="Arial" w:cs="Arial"/>
                <w:sz w:val="18"/>
                <w:szCs w:val="18"/>
              </w:rPr>
            </w:pPr>
            <w:r w:rsidRPr="00DC55BE">
              <w:rPr>
                <w:rFonts w:eastAsia="Arial" w:cs="Arial"/>
                <w:sz w:val="18"/>
                <w:szCs w:val="18"/>
              </w:rPr>
              <w:t xml:space="preserve">1,655,509 </w:t>
            </w:r>
          </w:p>
        </w:tc>
        <w:tc>
          <w:tcPr>
            <w:tcW w:w="1033" w:type="dxa"/>
            <w:tcBorders>
              <w:top w:val="nil"/>
              <w:left w:val="nil"/>
              <w:bottom w:val="nil"/>
              <w:right w:val="nil"/>
            </w:tcBorders>
            <w:shd w:val="clear" w:color="000000" w:fill="FFFFFF"/>
            <w:vAlign w:val="center"/>
          </w:tcPr>
          <w:p w14:paraId="2C93AB60" w14:textId="77777777" w:rsidR="00CF623A" w:rsidRPr="00DC55BE" w:rsidRDefault="00CF623A" w:rsidP="00CF623A">
            <w:pPr>
              <w:widowControl w:val="0"/>
              <w:autoSpaceDE w:val="0"/>
              <w:autoSpaceDN w:val="0"/>
              <w:spacing w:before="72" w:after="0" w:line="240" w:lineRule="auto"/>
              <w:ind w:right="112"/>
              <w:jc w:val="right"/>
              <w:rPr>
                <w:rFonts w:eastAsia="Arial" w:cs="Arial"/>
                <w:sz w:val="18"/>
                <w:szCs w:val="18"/>
              </w:rPr>
            </w:pPr>
            <w:r w:rsidRPr="00DC55BE">
              <w:rPr>
                <w:rFonts w:eastAsia="Arial" w:cs="Arial"/>
                <w:sz w:val="18"/>
                <w:szCs w:val="18"/>
              </w:rPr>
              <w:t xml:space="preserve">1,688,619 </w:t>
            </w:r>
          </w:p>
        </w:tc>
        <w:tc>
          <w:tcPr>
            <w:tcW w:w="1032" w:type="dxa"/>
            <w:tcBorders>
              <w:top w:val="nil"/>
              <w:left w:val="nil"/>
              <w:bottom w:val="nil"/>
              <w:right w:val="nil"/>
            </w:tcBorders>
            <w:shd w:val="clear" w:color="000000" w:fill="FFFFFF"/>
            <w:vAlign w:val="center"/>
          </w:tcPr>
          <w:p w14:paraId="38225CC4" w14:textId="77777777" w:rsidR="00CF623A" w:rsidRPr="00DC55BE" w:rsidRDefault="00CF623A" w:rsidP="00CF623A">
            <w:pPr>
              <w:widowControl w:val="0"/>
              <w:autoSpaceDE w:val="0"/>
              <w:autoSpaceDN w:val="0"/>
              <w:spacing w:before="72" w:after="0" w:line="240" w:lineRule="auto"/>
              <w:ind w:right="112"/>
              <w:jc w:val="right"/>
              <w:rPr>
                <w:rFonts w:eastAsia="Arial" w:cs="Arial"/>
                <w:sz w:val="18"/>
                <w:szCs w:val="18"/>
              </w:rPr>
            </w:pPr>
            <w:r w:rsidRPr="00DC55BE">
              <w:rPr>
                <w:rFonts w:eastAsia="Arial" w:cs="Arial"/>
                <w:sz w:val="18"/>
                <w:szCs w:val="18"/>
              </w:rPr>
              <w:t xml:space="preserve">1,722,391 </w:t>
            </w:r>
          </w:p>
        </w:tc>
        <w:tc>
          <w:tcPr>
            <w:tcW w:w="1356" w:type="dxa"/>
            <w:tcBorders>
              <w:top w:val="nil"/>
              <w:left w:val="nil"/>
              <w:bottom w:val="nil"/>
              <w:right w:val="nil"/>
            </w:tcBorders>
            <w:shd w:val="clear" w:color="000000" w:fill="FFFFFF"/>
            <w:vAlign w:val="center"/>
          </w:tcPr>
          <w:p w14:paraId="194D8B58" w14:textId="77777777" w:rsidR="00CF623A" w:rsidRPr="00DC55BE" w:rsidRDefault="00CF623A" w:rsidP="00CF623A">
            <w:pPr>
              <w:widowControl w:val="0"/>
              <w:autoSpaceDE w:val="0"/>
              <w:autoSpaceDN w:val="0"/>
              <w:spacing w:before="72" w:after="0" w:line="240" w:lineRule="auto"/>
              <w:ind w:right="108"/>
              <w:jc w:val="right"/>
              <w:rPr>
                <w:rFonts w:eastAsia="Arial" w:cs="Arial"/>
                <w:sz w:val="18"/>
                <w:szCs w:val="18"/>
              </w:rPr>
            </w:pPr>
            <w:r w:rsidRPr="00DC55BE">
              <w:rPr>
                <w:rFonts w:eastAsia="Arial" w:cs="Arial"/>
                <w:sz w:val="18"/>
                <w:szCs w:val="18"/>
              </w:rPr>
              <w:t xml:space="preserve">5,066,519 </w:t>
            </w:r>
          </w:p>
        </w:tc>
      </w:tr>
      <w:tr w:rsidR="00CF623A" w:rsidRPr="00DC55BE" w14:paraId="19BC6BB0" w14:textId="77777777" w:rsidTr="0080745F">
        <w:trPr>
          <w:trHeight w:val="355"/>
        </w:trPr>
        <w:tc>
          <w:tcPr>
            <w:tcW w:w="5313" w:type="dxa"/>
            <w:tcBorders>
              <w:bottom w:val="single" w:sz="4" w:space="0" w:color="000000"/>
            </w:tcBorders>
          </w:tcPr>
          <w:p w14:paraId="20816104" w14:textId="6D7E81B9" w:rsidR="00CF623A" w:rsidRPr="00DC55BE" w:rsidRDefault="00CF623A" w:rsidP="00CF623A">
            <w:pPr>
              <w:widowControl w:val="0"/>
              <w:autoSpaceDE w:val="0"/>
              <w:autoSpaceDN w:val="0"/>
              <w:spacing w:before="73" w:after="0" w:line="240" w:lineRule="auto"/>
              <w:ind w:left="107"/>
              <w:rPr>
                <w:rFonts w:eastAsia="Arial" w:cs="Arial"/>
                <w:sz w:val="18"/>
              </w:rPr>
            </w:pPr>
            <w:r w:rsidRPr="0080745F">
              <w:rPr>
                <w:sz w:val="18"/>
              </w:rPr>
              <w:t>Personal de apoyo general</w:t>
            </w:r>
          </w:p>
        </w:tc>
        <w:tc>
          <w:tcPr>
            <w:tcW w:w="1076" w:type="dxa"/>
            <w:tcBorders>
              <w:top w:val="nil"/>
              <w:left w:val="nil"/>
              <w:bottom w:val="nil"/>
              <w:right w:val="nil"/>
            </w:tcBorders>
            <w:shd w:val="clear" w:color="000000" w:fill="FFFFFF"/>
            <w:vAlign w:val="center"/>
          </w:tcPr>
          <w:p w14:paraId="1E739745" w14:textId="77777777" w:rsidR="00CF623A" w:rsidRPr="00DC55BE" w:rsidRDefault="00CF623A" w:rsidP="00CF623A">
            <w:pPr>
              <w:widowControl w:val="0"/>
              <w:autoSpaceDE w:val="0"/>
              <w:autoSpaceDN w:val="0"/>
              <w:spacing w:before="73" w:after="0" w:line="240" w:lineRule="auto"/>
              <w:ind w:right="113"/>
              <w:jc w:val="right"/>
              <w:rPr>
                <w:rFonts w:eastAsia="Arial" w:cs="Arial"/>
                <w:sz w:val="18"/>
                <w:szCs w:val="18"/>
              </w:rPr>
            </w:pPr>
            <w:r w:rsidRPr="00DC55BE">
              <w:rPr>
                <w:rFonts w:eastAsia="Arial" w:cs="Arial"/>
                <w:sz w:val="18"/>
                <w:szCs w:val="18"/>
              </w:rPr>
              <w:t xml:space="preserve">563,834 </w:t>
            </w:r>
          </w:p>
        </w:tc>
        <w:tc>
          <w:tcPr>
            <w:tcW w:w="1033" w:type="dxa"/>
            <w:tcBorders>
              <w:top w:val="nil"/>
              <w:left w:val="nil"/>
              <w:bottom w:val="nil"/>
              <w:right w:val="nil"/>
            </w:tcBorders>
            <w:shd w:val="clear" w:color="000000" w:fill="FFFFFF"/>
            <w:vAlign w:val="center"/>
          </w:tcPr>
          <w:p w14:paraId="537EEA1D" w14:textId="77777777" w:rsidR="00CF623A" w:rsidRPr="00DC55BE" w:rsidRDefault="00CF623A" w:rsidP="00CF623A">
            <w:pPr>
              <w:widowControl w:val="0"/>
              <w:autoSpaceDE w:val="0"/>
              <w:autoSpaceDN w:val="0"/>
              <w:spacing w:before="73" w:after="0" w:line="240" w:lineRule="auto"/>
              <w:ind w:right="112"/>
              <w:jc w:val="right"/>
              <w:rPr>
                <w:rFonts w:eastAsia="Arial" w:cs="Arial"/>
                <w:sz w:val="18"/>
                <w:szCs w:val="18"/>
              </w:rPr>
            </w:pPr>
            <w:r w:rsidRPr="00DC55BE">
              <w:rPr>
                <w:rFonts w:eastAsia="Arial" w:cs="Arial"/>
                <w:sz w:val="18"/>
                <w:szCs w:val="18"/>
              </w:rPr>
              <w:t xml:space="preserve">575,111 </w:t>
            </w:r>
          </w:p>
        </w:tc>
        <w:tc>
          <w:tcPr>
            <w:tcW w:w="1032" w:type="dxa"/>
            <w:tcBorders>
              <w:top w:val="nil"/>
              <w:left w:val="nil"/>
              <w:bottom w:val="nil"/>
              <w:right w:val="nil"/>
            </w:tcBorders>
            <w:shd w:val="clear" w:color="000000" w:fill="FFFFFF"/>
            <w:vAlign w:val="center"/>
          </w:tcPr>
          <w:p w14:paraId="46E82F47" w14:textId="77777777" w:rsidR="00CF623A" w:rsidRPr="00DC55BE" w:rsidRDefault="00CF623A" w:rsidP="00CF623A">
            <w:pPr>
              <w:widowControl w:val="0"/>
              <w:autoSpaceDE w:val="0"/>
              <w:autoSpaceDN w:val="0"/>
              <w:spacing w:before="73" w:after="0" w:line="240" w:lineRule="auto"/>
              <w:ind w:right="111"/>
              <w:jc w:val="right"/>
              <w:rPr>
                <w:rFonts w:eastAsia="Arial" w:cs="Arial"/>
                <w:sz w:val="18"/>
                <w:szCs w:val="18"/>
              </w:rPr>
            </w:pPr>
            <w:r w:rsidRPr="00DC55BE">
              <w:rPr>
                <w:rFonts w:eastAsia="Arial" w:cs="Arial"/>
                <w:sz w:val="18"/>
                <w:szCs w:val="18"/>
              </w:rPr>
              <w:t xml:space="preserve">586,613 </w:t>
            </w:r>
          </w:p>
        </w:tc>
        <w:tc>
          <w:tcPr>
            <w:tcW w:w="1356" w:type="dxa"/>
            <w:tcBorders>
              <w:top w:val="nil"/>
              <w:left w:val="nil"/>
              <w:bottom w:val="nil"/>
              <w:right w:val="nil"/>
            </w:tcBorders>
            <w:shd w:val="clear" w:color="000000" w:fill="FFFFFF"/>
            <w:vAlign w:val="center"/>
          </w:tcPr>
          <w:p w14:paraId="546AA157" w14:textId="77777777" w:rsidR="00CF623A" w:rsidRPr="00DC55BE" w:rsidRDefault="00CF623A" w:rsidP="00CF623A">
            <w:pPr>
              <w:widowControl w:val="0"/>
              <w:autoSpaceDE w:val="0"/>
              <w:autoSpaceDN w:val="0"/>
              <w:spacing w:before="73" w:after="0" w:line="240" w:lineRule="auto"/>
              <w:ind w:right="108"/>
              <w:jc w:val="right"/>
              <w:rPr>
                <w:rFonts w:eastAsia="Arial" w:cs="Arial"/>
                <w:sz w:val="18"/>
                <w:szCs w:val="18"/>
              </w:rPr>
            </w:pPr>
            <w:r w:rsidRPr="00DC55BE">
              <w:rPr>
                <w:rFonts w:eastAsia="Arial" w:cs="Arial"/>
                <w:sz w:val="18"/>
                <w:szCs w:val="18"/>
              </w:rPr>
              <w:t xml:space="preserve">1,725,558 </w:t>
            </w:r>
          </w:p>
        </w:tc>
      </w:tr>
      <w:tr w:rsidR="00DC55BE" w:rsidRPr="00DC55BE" w14:paraId="5243FAC0" w14:textId="77777777" w:rsidTr="0080745F">
        <w:trPr>
          <w:trHeight w:val="360"/>
        </w:trPr>
        <w:tc>
          <w:tcPr>
            <w:tcW w:w="5313" w:type="dxa"/>
            <w:tcBorders>
              <w:top w:val="single" w:sz="4" w:space="0" w:color="000000"/>
              <w:bottom w:val="single" w:sz="4" w:space="0" w:color="000000"/>
            </w:tcBorders>
          </w:tcPr>
          <w:p w14:paraId="6C7BF3AF" w14:textId="77777777" w:rsidR="00DC55BE" w:rsidRPr="00DC55BE" w:rsidRDefault="00DC55BE" w:rsidP="00DC55BE">
            <w:pPr>
              <w:widowControl w:val="0"/>
              <w:autoSpaceDE w:val="0"/>
              <w:autoSpaceDN w:val="0"/>
              <w:spacing w:before="75" w:after="0" w:line="240" w:lineRule="auto"/>
              <w:ind w:left="107"/>
              <w:rPr>
                <w:rFonts w:eastAsia="Arial" w:cs="Arial"/>
                <w:b/>
                <w:sz w:val="18"/>
              </w:rPr>
            </w:pPr>
            <w:r w:rsidRPr="00DC55BE">
              <w:rPr>
                <w:rFonts w:eastAsia="Arial" w:cs="Arial"/>
                <w:b/>
                <w:spacing w:val="-2"/>
                <w:sz w:val="18"/>
              </w:rPr>
              <w:t>Subtotal</w:t>
            </w:r>
          </w:p>
        </w:tc>
        <w:tc>
          <w:tcPr>
            <w:tcW w:w="1076" w:type="dxa"/>
            <w:tcBorders>
              <w:top w:val="single" w:sz="4" w:space="0" w:color="auto"/>
              <w:left w:val="nil"/>
              <w:bottom w:val="single" w:sz="4" w:space="0" w:color="auto"/>
              <w:right w:val="nil"/>
            </w:tcBorders>
            <w:shd w:val="clear" w:color="000000" w:fill="FFFFFF"/>
            <w:vAlign w:val="center"/>
          </w:tcPr>
          <w:p w14:paraId="6A407BFB" w14:textId="77777777" w:rsidR="00DC55BE" w:rsidRPr="00DC55BE" w:rsidRDefault="00DC55BE" w:rsidP="00DC55BE">
            <w:pPr>
              <w:widowControl w:val="0"/>
              <w:autoSpaceDE w:val="0"/>
              <w:autoSpaceDN w:val="0"/>
              <w:spacing w:before="75" w:after="0" w:line="240" w:lineRule="auto"/>
              <w:ind w:right="114"/>
              <w:jc w:val="right"/>
              <w:rPr>
                <w:rFonts w:eastAsia="Arial" w:cs="Arial"/>
                <w:b/>
                <w:bCs/>
                <w:sz w:val="18"/>
                <w:szCs w:val="18"/>
              </w:rPr>
            </w:pPr>
            <w:r w:rsidRPr="00DC55BE">
              <w:rPr>
                <w:rFonts w:eastAsia="Arial" w:cs="Arial"/>
                <w:b/>
                <w:bCs/>
                <w:sz w:val="18"/>
                <w:szCs w:val="18"/>
              </w:rPr>
              <w:t xml:space="preserve">2,219,343 </w:t>
            </w:r>
          </w:p>
        </w:tc>
        <w:tc>
          <w:tcPr>
            <w:tcW w:w="1033" w:type="dxa"/>
            <w:tcBorders>
              <w:top w:val="single" w:sz="4" w:space="0" w:color="auto"/>
              <w:left w:val="nil"/>
              <w:bottom w:val="single" w:sz="4" w:space="0" w:color="auto"/>
              <w:right w:val="nil"/>
            </w:tcBorders>
            <w:shd w:val="clear" w:color="000000" w:fill="FFFFFF"/>
            <w:vAlign w:val="center"/>
          </w:tcPr>
          <w:p w14:paraId="46E12C51" w14:textId="77777777" w:rsidR="00DC55BE" w:rsidRPr="00DC55BE" w:rsidRDefault="00DC55BE" w:rsidP="00DC55BE">
            <w:pPr>
              <w:widowControl w:val="0"/>
              <w:autoSpaceDE w:val="0"/>
              <w:autoSpaceDN w:val="0"/>
              <w:spacing w:before="75" w:after="0" w:line="240" w:lineRule="auto"/>
              <w:ind w:right="112"/>
              <w:jc w:val="right"/>
              <w:rPr>
                <w:rFonts w:eastAsia="Arial" w:cs="Arial"/>
                <w:b/>
                <w:bCs/>
                <w:sz w:val="18"/>
                <w:szCs w:val="18"/>
              </w:rPr>
            </w:pPr>
            <w:r w:rsidRPr="00DC55BE">
              <w:rPr>
                <w:rFonts w:eastAsia="Arial" w:cs="Arial"/>
                <w:b/>
                <w:bCs/>
                <w:sz w:val="18"/>
                <w:szCs w:val="18"/>
              </w:rPr>
              <w:t xml:space="preserve">2,263,730 </w:t>
            </w:r>
          </w:p>
        </w:tc>
        <w:tc>
          <w:tcPr>
            <w:tcW w:w="1032" w:type="dxa"/>
            <w:tcBorders>
              <w:top w:val="single" w:sz="4" w:space="0" w:color="auto"/>
              <w:left w:val="nil"/>
              <w:bottom w:val="single" w:sz="4" w:space="0" w:color="auto"/>
              <w:right w:val="nil"/>
            </w:tcBorders>
            <w:shd w:val="clear" w:color="000000" w:fill="FFFFFF"/>
            <w:vAlign w:val="center"/>
          </w:tcPr>
          <w:p w14:paraId="476DFAFD" w14:textId="77777777" w:rsidR="00DC55BE" w:rsidRPr="00DC55BE" w:rsidRDefault="00DC55BE" w:rsidP="00DC55BE">
            <w:pPr>
              <w:widowControl w:val="0"/>
              <w:autoSpaceDE w:val="0"/>
              <w:autoSpaceDN w:val="0"/>
              <w:spacing w:before="75" w:after="0" w:line="240" w:lineRule="auto"/>
              <w:ind w:right="112"/>
              <w:jc w:val="right"/>
              <w:rPr>
                <w:rFonts w:eastAsia="Arial" w:cs="Arial"/>
                <w:b/>
                <w:bCs/>
                <w:sz w:val="18"/>
                <w:szCs w:val="18"/>
              </w:rPr>
            </w:pPr>
            <w:r w:rsidRPr="00DC55BE">
              <w:rPr>
                <w:rFonts w:eastAsia="Arial" w:cs="Arial"/>
                <w:b/>
                <w:bCs/>
                <w:sz w:val="18"/>
                <w:szCs w:val="18"/>
              </w:rPr>
              <w:t xml:space="preserve">2,309,004 </w:t>
            </w:r>
          </w:p>
        </w:tc>
        <w:tc>
          <w:tcPr>
            <w:tcW w:w="1356" w:type="dxa"/>
            <w:tcBorders>
              <w:top w:val="single" w:sz="4" w:space="0" w:color="auto"/>
              <w:left w:val="nil"/>
              <w:bottom w:val="single" w:sz="4" w:space="0" w:color="auto"/>
              <w:right w:val="nil"/>
            </w:tcBorders>
            <w:shd w:val="clear" w:color="000000" w:fill="FFFFFF"/>
            <w:vAlign w:val="center"/>
          </w:tcPr>
          <w:p w14:paraId="61429466" w14:textId="77777777" w:rsidR="00DC55BE" w:rsidRPr="00DC55BE" w:rsidRDefault="00DC55BE" w:rsidP="00DC55BE">
            <w:pPr>
              <w:widowControl w:val="0"/>
              <w:autoSpaceDE w:val="0"/>
              <w:autoSpaceDN w:val="0"/>
              <w:spacing w:before="75" w:after="0" w:line="240" w:lineRule="auto"/>
              <w:ind w:right="108"/>
              <w:jc w:val="right"/>
              <w:rPr>
                <w:rFonts w:eastAsia="Arial" w:cs="Arial"/>
                <w:b/>
                <w:bCs/>
                <w:sz w:val="18"/>
                <w:szCs w:val="18"/>
              </w:rPr>
            </w:pPr>
            <w:r w:rsidRPr="00DC55BE">
              <w:rPr>
                <w:rFonts w:eastAsia="Arial" w:cs="Arial"/>
                <w:b/>
                <w:bCs/>
                <w:sz w:val="18"/>
                <w:szCs w:val="18"/>
              </w:rPr>
              <w:t xml:space="preserve">6,792,077 </w:t>
            </w:r>
          </w:p>
        </w:tc>
      </w:tr>
      <w:tr w:rsidR="00CF623A" w:rsidRPr="00DC55BE" w14:paraId="27CBD74E" w14:textId="77777777" w:rsidTr="0080745F">
        <w:trPr>
          <w:trHeight w:val="358"/>
        </w:trPr>
        <w:tc>
          <w:tcPr>
            <w:tcW w:w="5313" w:type="dxa"/>
            <w:tcBorders>
              <w:top w:val="single" w:sz="4" w:space="0" w:color="000000"/>
            </w:tcBorders>
          </w:tcPr>
          <w:p w14:paraId="14F76E98" w14:textId="5A2A00F2" w:rsidR="00CF623A" w:rsidRPr="00DC55BE" w:rsidRDefault="00CF623A" w:rsidP="00CF623A">
            <w:pPr>
              <w:widowControl w:val="0"/>
              <w:autoSpaceDE w:val="0"/>
              <w:autoSpaceDN w:val="0"/>
              <w:spacing w:before="73" w:after="0" w:line="240" w:lineRule="auto"/>
              <w:ind w:left="107"/>
              <w:rPr>
                <w:rFonts w:eastAsia="Arial" w:cs="Arial"/>
                <w:b/>
                <w:sz w:val="18"/>
              </w:rPr>
            </w:pPr>
            <w:r w:rsidRPr="0080745F">
              <w:rPr>
                <w:b/>
                <w:spacing w:val="-2"/>
                <w:sz w:val="18"/>
              </w:rPr>
              <w:t>Servicios contractuales</w:t>
            </w:r>
          </w:p>
        </w:tc>
        <w:tc>
          <w:tcPr>
            <w:tcW w:w="1076" w:type="dxa"/>
            <w:tcBorders>
              <w:top w:val="nil"/>
              <w:left w:val="nil"/>
              <w:bottom w:val="nil"/>
              <w:right w:val="nil"/>
            </w:tcBorders>
            <w:shd w:val="clear" w:color="000000" w:fill="FFFFFF"/>
            <w:vAlign w:val="center"/>
          </w:tcPr>
          <w:p w14:paraId="735A84B3" w14:textId="77777777" w:rsidR="00CF623A" w:rsidRPr="00DC55BE" w:rsidRDefault="00CF623A" w:rsidP="00CF623A">
            <w:pPr>
              <w:widowControl w:val="0"/>
              <w:autoSpaceDE w:val="0"/>
              <w:autoSpaceDN w:val="0"/>
              <w:spacing w:after="0" w:line="240" w:lineRule="auto"/>
              <w:jc w:val="right"/>
              <w:rPr>
                <w:rFonts w:eastAsia="Arial" w:cs="Arial"/>
                <w:sz w:val="18"/>
                <w:szCs w:val="18"/>
              </w:rPr>
            </w:pPr>
          </w:p>
        </w:tc>
        <w:tc>
          <w:tcPr>
            <w:tcW w:w="1033" w:type="dxa"/>
            <w:tcBorders>
              <w:top w:val="nil"/>
              <w:left w:val="nil"/>
              <w:bottom w:val="nil"/>
              <w:right w:val="nil"/>
            </w:tcBorders>
            <w:shd w:val="clear" w:color="000000" w:fill="FFFFFF"/>
            <w:vAlign w:val="center"/>
          </w:tcPr>
          <w:p w14:paraId="72A1ABCE" w14:textId="77777777" w:rsidR="00CF623A" w:rsidRPr="00DC55BE" w:rsidRDefault="00CF623A" w:rsidP="00CF623A">
            <w:pPr>
              <w:widowControl w:val="0"/>
              <w:autoSpaceDE w:val="0"/>
              <w:autoSpaceDN w:val="0"/>
              <w:spacing w:after="0" w:line="240" w:lineRule="auto"/>
              <w:jc w:val="right"/>
              <w:rPr>
                <w:rFonts w:eastAsia="Arial" w:cs="Arial"/>
                <w:sz w:val="18"/>
                <w:szCs w:val="18"/>
              </w:rPr>
            </w:pPr>
          </w:p>
        </w:tc>
        <w:tc>
          <w:tcPr>
            <w:tcW w:w="1032" w:type="dxa"/>
            <w:tcBorders>
              <w:top w:val="nil"/>
              <w:left w:val="nil"/>
              <w:bottom w:val="nil"/>
              <w:right w:val="nil"/>
            </w:tcBorders>
            <w:shd w:val="clear" w:color="000000" w:fill="FFFFFF"/>
            <w:vAlign w:val="center"/>
          </w:tcPr>
          <w:p w14:paraId="3F48E384" w14:textId="77777777" w:rsidR="00CF623A" w:rsidRPr="00DC55BE" w:rsidRDefault="00CF623A" w:rsidP="00CF623A">
            <w:pPr>
              <w:widowControl w:val="0"/>
              <w:autoSpaceDE w:val="0"/>
              <w:autoSpaceDN w:val="0"/>
              <w:spacing w:after="0" w:line="240" w:lineRule="auto"/>
              <w:jc w:val="right"/>
              <w:rPr>
                <w:rFonts w:eastAsia="Arial" w:cs="Arial"/>
                <w:sz w:val="18"/>
                <w:szCs w:val="18"/>
              </w:rPr>
            </w:pPr>
          </w:p>
        </w:tc>
        <w:tc>
          <w:tcPr>
            <w:tcW w:w="1356" w:type="dxa"/>
            <w:tcBorders>
              <w:top w:val="nil"/>
              <w:left w:val="nil"/>
              <w:bottom w:val="nil"/>
              <w:right w:val="nil"/>
            </w:tcBorders>
            <w:shd w:val="clear" w:color="000000" w:fill="FFFFFF"/>
            <w:vAlign w:val="center"/>
          </w:tcPr>
          <w:p w14:paraId="6A4D0529" w14:textId="77777777" w:rsidR="00CF623A" w:rsidRPr="00DC55BE" w:rsidRDefault="00CF623A" w:rsidP="00CF623A">
            <w:pPr>
              <w:widowControl w:val="0"/>
              <w:autoSpaceDE w:val="0"/>
              <w:autoSpaceDN w:val="0"/>
              <w:spacing w:after="0" w:line="240" w:lineRule="auto"/>
              <w:jc w:val="right"/>
              <w:rPr>
                <w:rFonts w:eastAsia="Arial" w:cs="Arial"/>
                <w:sz w:val="18"/>
                <w:szCs w:val="18"/>
              </w:rPr>
            </w:pPr>
          </w:p>
        </w:tc>
      </w:tr>
      <w:tr w:rsidR="00CF623A" w:rsidRPr="00DC55BE" w14:paraId="735EE134" w14:textId="77777777" w:rsidTr="0080745F">
        <w:trPr>
          <w:trHeight w:val="358"/>
        </w:trPr>
        <w:tc>
          <w:tcPr>
            <w:tcW w:w="5313" w:type="dxa"/>
          </w:tcPr>
          <w:p w14:paraId="520F83E8" w14:textId="172BDA0B" w:rsidR="00CF623A" w:rsidRPr="00DC55BE" w:rsidRDefault="00CF623A" w:rsidP="00CF623A">
            <w:pPr>
              <w:widowControl w:val="0"/>
              <w:autoSpaceDE w:val="0"/>
              <w:autoSpaceDN w:val="0"/>
              <w:spacing w:before="72" w:after="0" w:line="240" w:lineRule="auto"/>
              <w:ind w:left="107"/>
              <w:rPr>
                <w:rFonts w:eastAsia="Arial" w:cs="Arial"/>
                <w:sz w:val="18"/>
                <w:lang w:val="es-ES"/>
              </w:rPr>
            </w:pPr>
            <w:r w:rsidRPr="0080745F">
              <w:rPr>
                <w:rFonts w:eastAsia="Arial" w:cs="Arial"/>
                <w:color w:val="000000"/>
                <w:sz w:val="18"/>
                <w:szCs w:val="18"/>
                <w:lang w:val="es-ES"/>
              </w:rPr>
              <w:t>Servicios contractuales (traducciones y redacción de informes)</w:t>
            </w:r>
          </w:p>
        </w:tc>
        <w:tc>
          <w:tcPr>
            <w:tcW w:w="1076" w:type="dxa"/>
            <w:tcBorders>
              <w:top w:val="nil"/>
              <w:left w:val="nil"/>
              <w:bottom w:val="nil"/>
              <w:right w:val="nil"/>
            </w:tcBorders>
            <w:shd w:val="clear" w:color="000000" w:fill="FFFFFF"/>
            <w:vAlign w:val="center"/>
          </w:tcPr>
          <w:p w14:paraId="38443A71" w14:textId="77777777" w:rsidR="00CF623A" w:rsidRPr="00DC55BE" w:rsidRDefault="00CF623A" w:rsidP="00CF623A">
            <w:pPr>
              <w:widowControl w:val="0"/>
              <w:autoSpaceDE w:val="0"/>
              <w:autoSpaceDN w:val="0"/>
              <w:spacing w:before="72" w:after="0" w:line="240" w:lineRule="auto"/>
              <w:ind w:right="113"/>
              <w:jc w:val="right"/>
              <w:rPr>
                <w:rFonts w:eastAsia="Arial" w:cs="Arial"/>
                <w:sz w:val="18"/>
                <w:szCs w:val="18"/>
              </w:rPr>
            </w:pPr>
            <w:r w:rsidRPr="00DC55BE">
              <w:rPr>
                <w:rFonts w:eastAsia="Arial" w:cs="Arial"/>
                <w:sz w:val="18"/>
                <w:szCs w:val="18"/>
              </w:rPr>
              <w:t xml:space="preserve">101,544 </w:t>
            </w:r>
          </w:p>
        </w:tc>
        <w:tc>
          <w:tcPr>
            <w:tcW w:w="1033" w:type="dxa"/>
            <w:tcBorders>
              <w:top w:val="nil"/>
              <w:left w:val="nil"/>
              <w:bottom w:val="nil"/>
              <w:right w:val="nil"/>
            </w:tcBorders>
            <w:shd w:val="clear" w:color="000000" w:fill="FFFFFF"/>
            <w:vAlign w:val="center"/>
          </w:tcPr>
          <w:p w14:paraId="2C82CEC1" w14:textId="77777777" w:rsidR="00CF623A" w:rsidRPr="00DC55BE" w:rsidRDefault="00CF623A" w:rsidP="00CF623A">
            <w:pPr>
              <w:widowControl w:val="0"/>
              <w:autoSpaceDE w:val="0"/>
              <w:autoSpaceDN w:val="0"/>
              <w:spacing w:before="72" w:after="0" w:line="240" w:lineRule="auto"/>
              <w:ind w:right="112"/>
              <w:jc w:val="right"/>
              <w:rPr>
                <w:rFonts w:eastAsia="Arial" w:cs="Arial"/>
                <w:sz w:val="18"/>
                <w:szCs w:val="18"/>
              </w:rPr>
            </w:pPr>
            <w:r w:rsidRPr="00DC55BE">
              <w:rPr>
                <w:rFonts w:eastAsia="Arial" w:cs="Arial"/>
                <w:sz w:val="18"/>
                <w:szCs w:val="18"/>
              </w:rPr>
              <w:t xml:space="preserve">103,575 </w:t>
            </w:r>
          </w:p>
        </w:tc>
        <w:tc>
          <w:tcPr>
            <w:tcW w:w="1032" w:type="dxa"/>
            <w:tcBorders>
              <w:top w:val="nil"/>
              <w:left w:val="nil"/>
              <w:bottom w:val="nil"/>
              <w:right w:val="nil"/>
            </w:tcBorders>
            <w:shd w:val="clear" w:color="000000" w:fill="FFFFFF"/>
            <w:vAlign w:val="center"/>
          </w:tcPr>
          <w:p w14:paraId="31428374" w14:textId="77777777" w:rsidR="00CF623A" w:rsidRPr="00DC55BE" w:rsidRDefault="00CF623A" w:rsidP="00CF623A">
            <w:pPr>
              <w:widowControl w:val="0"/>
              <w:autoSpaceDE w:val="0"/>
              <w:autoSpaceDN w:val="0"/>
              <w:spacing w:before="72" w:after="0" w:line="240" w:lineRule="auto"/>
              <w:ind w:right="111"/>
              <w:jc w:val="right"/>
              <w:rPr>
                <w:rFonts w:eastAsia="Arial" w:cs="Arial"/>
                <w:sz w:val="18"/>
                <w:szCs w:val="18"/>
              </w:rPr>
            </w:pPr>
            <w:r w:rsidRPr="00DC55BE">
              <w:rPr>
                <w:rFonts w:eastAsia="Arial" w:cs="Arial"/>
                <w:sz w:val="18"/>
                <w:szCs w:val="18"/>
              </w:rPr>
              <w:t xml:space="preserve">105,646 </w:t>
            </w:r>
          </w:p>
        </w:tc>
        <w:tc>
          <w:tcPr>
            <w:tcW w:w="1356" w:type="dxa"/>
            <w:tcBorders>
              <w:top w:val="nil"/>
              <w:left w:val="nil"/>
              <w:bottom w:val="nil"/>
              <w:right w:val="nil"/>
            </w:tcBorders>
            <w:shd w:val="clear" w:color="000000" w:fill="FFFFFF"/>
            <w:vAlign w:val="center"/>
          </w:tcPr>
          <w:p w14:paraId="5FB9BB9A" w14:textId="77777777" w:rsidR="00CF623A" w:rsidRPr="00DC55BE" w:rsidRDefault="00CF623A" w:rsidP="00CF623A">
            <w:pPr>
              <w:widowControl w:val="0"/>
              <w:autoSpaceDE w:val="0"/>
              <w:autoSpaceDN w:val="0"/>
              <w:spacing w:before="72" w:after="0" w:line="240" w:lineRule="auto"/>
              <w:ind w:right="107"/>
              <w:jc w:val="right"/>
              <w:rPr>
                <w:rFonts w:eastAsia="Arial" w:cs="Arial"/>
                <w:sz w:val="18"/>
                <w:szCs w:val="18"/>
              </w:rPr>
            </w:pPr>
            <w:r w:rsidRPr="00DC55BE">
              <w:rPr>
                <w:rFonts w:eastAsia="Arial" w:cs="Arial"/>
                <w:sz w:val="18"/>
                <w:szCs w:val="18"/>
              </w:rPr>
              <w:t xml:space="preserve">310,765 </w:t>
            </w:r>
          </w:p>
        </w:tc>
      </w:tr>
      <w:tr w:rsidR="00CF623A" w:rsidRPr="00DC55BE" w14:paraId="4850085B" w14:textId="77777777" w:rsidTr="0080745F">
        <w:trPr>
          <w:trHeight w:val="358"/>
        </w:trPr>
        <w:tc>
          <w:tcPr>
            <w:tcW w:w="5313" w:type="dxa"/>
          </w:tcPr>
          <w:p w14:paraId="19F27510" w14:textId="46E2FE87" w:rsidR="00CF623A" w:rsidRPr="00DC55BE" w:rsidRDefault="00CF623A" w:rsidP="00CF623A">
            <w:pPr>
              <w:widowControl w:val="0"/>
              <w:autoSpaceDE w:val="0"/>
              <w:autoSpaceDN w:val="0"/>
              <w:spacing w:before="73" w:after="0" w:line="240" w:lineRule="auto"/>
              <w:ind w:left="107"/>
              <w:rPr>
                <w:rFonts w:eastAsia="Arial" w:cs="Arial"/>
                <w:sz w:val="18"/>
                <w:lang w:val="es-ES"/>
              </w:rPr>
            </w:pPr>
            <w:r w:rsidRPr="0080745F">
              <w:rPr>
                <w:rFonts w:eastAsia="Arial" w:cs="Arial"/>
                <w:color w:val="000000"/>
                <w:sz w:val="18"/>
                <w:szCs w:val="18"/>
                <w:lang w:val="es-ES"/>
              </w:rPr>
              <w:t>Servicios a los órganos de gobierno (traducciones, interpretación, etc.)</w:t>
            </w:r>
          </w:p>
        </w:tc>
        <w:tc>
          <w:tcPr>
            <w:tcW w:w="1076" w:type="dxa"/>
            <w:tcBorders>
              <w:top w:val="nil"/>
              <w:left w:val="nil"/>
              <w:bottom w:val="nil"/>
              <w:right w:val="nil"/>
            </w:tcBorders>
            <w:shd w:val="clear" w:color="000000" w:fill="FFFFFF"/>
            <w:vAlign w:val="center"/>
          </w:tcPr>
          <w:p w14:paraId="0581B351" w14:textId="77777777" w:rsidR="00CF623A" w:rsidRPr="00DC55BE" w:rsidRDefault="00CF623A" w:rsidP="00CF623A">
            <w:pPr>
              <w:widowControl w:val="0"/>
              <w:autoSpaceDE w:val="0"/>
              <w:autoSpaceDN w:val="0"/>
              <w:spacing w:before="73" w:after="0" w:line="240" w:lineRule="auto"/>
              <w:ind w:right="113"/>
              <w:jc w:val="right"/>
              <w:rPr>
                <w:rFonts w:eastAsia="Arial" w:cs="Arial"/>
                <w:sz w:val="18"/>
                <w:szCs w:val="18"/>
                <w:lang w:val="es-ES"/>
              </w:rPr>
            </w:pPr>
          </w:p>
        </w:tc>
        <w:tc>
          <w:tcPr>
            <w:tcW w:w="1033" w:type="dxa"/>
            <w:tcBorders>
              <w:top w:val="nil"/>
              <w:left w:val="nil"/>
              <w:bottom w:val="nil"/>
              <w:right w:val="nil"/>
            </w:tcBorders>
            <w:shd w:val="clear" w:color="000000" w:fill="FFFFFF"/>
            <w:vAlign w:val="center"/>
          </w:tcPr>
          <w:p w14:paraId="5BC8EF5C" w14:textId="77777777" w:rsidR="00CF623A" w:rsidRPr="00DC55BE" w:rsidRDefault="00CF623A" w:rsidP="00CF623A">
            <w:pPr>
              <w:widowControl w:val="0"/>
              <w:autoSpaceDE w:val="0"/>
              <w:autoSpaceDN w:val="0"/>
              <w:spacing w:before="73" w:after="0" w:line="240" w:lineRule="auto"/>
              <w:ind w:right="111"/>
              <w:jc w:val="right"/>
              <w:rPr>
                <w:rFonts w:eastAsia="Arial" w:cs="Arial"/>
                <w:sz w:val="18"/>
                <w:szCs w:val="18"/>
                <w:lang w:val="es-ES"/>
              </w:rPr>
            </w:pPr>
          </w:p>
        </w:tc>
        <w:tc>
          <w:tcPr>
            <w:tcW w:w="1032" w:type="dxa"/>
            <w:tcBorders>
              <w:top w:val="nil"/>
              <w:left w:val="nil"/>
              <w:bottom w:val="nil"/>
              <w:right w:val="nil"/>
            </w:tcBorders>
            <w:shd w:val="clear" w:color="000000" w:fill="FFFFFF"/>
            <w:vAlign w:val="center"/>
          </w:tcPr>
          <w:p w14:paraId="46937A75" w14:textId="77777777" w:rsidR="00CF623A" w:rsidRPr="00DC55BE" w:rsidRDefault="00CF623A" w:rsidP="00CF623A">
            <w:pPr>
              <w:widowControl w:val="0"/>
              <w:autoSpaceDE w:val="0"/>
              <w:autoSpaceDN w:val="0"/>
              <w:spacing w:before="73" w:after="0" w:line="240" w:lineRule="auto"/>
              <w:ind w:right="111"/>
              <w:jc w:val="right"/>
              <w:rPr>
                <w:rFonts w:eastAsia="Arial" w:cs="Arial"/>
                <w:sz w:val="18"/>
                <w:szCs w:val="18"/>
              </w:rPr>
            </w:pPr>
            <w:r w:rsidRPr="00DC55BE">
              <w:rPr>
                <w:rFonts w:eastAsia="Arial" w:cs="Arial"/>
                <w:sz w:val="18"/>
                <w:szCs w:val="18"/>
              </w:rPr>
              <w:t xml:space="preserve">345,814 </w:t>
            </w:r>
          </w:p>
        </w:tc>
        <w:tc>
          <w:tcPr>
            <w:tcW w:w="1356" w:type="dxa"/>
            <w:tcBorders>
              <w:top w:val="nil"/>
              <w:left w:val="nil"/>
              <w:bottom w:val="nil"/>
              <w:right w:val="nil"/>
            </w:tcBorders>
            <w:shd w:val="clear" w:color="000000" w:fill="FFFFFF"/>
            <w:vAlign w:val="center"/>
          </w:tcPr>
          <w:p w14:paraId="22CDB2C6" w14:textId="77777777" w:rsidR="00CF623A" w:rsidRPr="00DC55BE" w:rsidRDefault="00CF623A" w:rsidP="00CF623A">
            <w:pPr>
              <w:widowControl w:val="0"/>
              <w:autoSpaceDE w:val="0"/>
              <w:autoSpaceDN w:val="0"/>
              <w:spacing w:before="73" w:after="0" w:line="240" w:lineRule="auto"/>
              <w:ind w:right="107"/>
              <w:jc w:val="right"/>
              <w:rPr>
                <w:rFonts w:eastAsia="Arial" w:cs="Arial"/>
                <w:sz w:val="18"/>
                <w:szCs w:val="18"/>
              </w:rPr>
            </w:pPr>
            <w:r w:rsidRPr="00DC55BE">
              <w:rPr>
                <w:rFonts w:eastAsia="Arial" w:cs="Arial"/>
                <w:sz w:val="18"/>
                <w:szCs w:val="18"/>
              </w:rPr>
              <w:t xml:space="preserve">345,814 </w:t>
            </w:r>
          </w:p>
        </w:tc>
      </w:tr>
      <w:tr w:rsidR="00CF623A" w:rsidRPr="00DC55BE" w14:paraId="4B2DF13D" w14:textId="77777777" w:rsidTr="0080745F">
        <w:trPr>
          <w:trHeight w:val="356"/>
        </w:trPr>
        <w:tc>
          <w:tcPr>
            <w:tcW w:w="5313" w:type="dxa"/>
            <w:tcBorders>
              <w:bottom w:val="single" w:sz="4" w:space="0" w:color="000000"/>
            </w:tcBorders>
          </w:tcPr>
          <w:p w14:paraId="415D6E44" w14:textId="1E2CAA50" w:rsidR="00CF623A" w:rsidRPr="00DC55BE" w:rsidRDefault="00CF623A" w:rsidP="00CF623A">
            <w:pPr>
              <w:widowControl w:val="0"/>
              <w:autoSpaceDE w:val="0"/>
              <w:autoSpaceDN w:val="0"/>
              <w:spacing w:before="72" w:after="0" w:line="240" w:lineRule="auto"/>
              <w:ind w:left="107"/>
              <w:rPr>
                <w:rFonts w:eastAsia="Arial" w:cs="Arial"/>
                <w:color w:val="FF0000"/>
                <w:sz w:val="18"/>
                <w:lang w:val="es-ES"/>
              </w:rPr>
            </w:pPr>
            <w:r w:rsidRPr="0080745F">
              <w:rPr>
                <w:sz w:val="18"/>
                <w:lang w:val="es-ES"/>
              </w:rPr>
              <w:t>Material de información y producción de documentos</w:t>
            </w:r>
          </w:p>
        </w:tc>
        <w:tc>
          <w:tcPr>
            <w:tcW w:w="1076" w:type="dxa"/>
            <w:tcBorders>
              <w:top w:val="nil"/>
              <w:left w:val="nil"/>
              <w:bottom w:val="nil"/>
              <w:right w:val="nil"/>
            </w:tcBorders>
            <w:shd w:val="clear" w:color="000000" w:fill="FFFFFF"/>
            <w:vAlign w:val="center"/>
          </w:tcPr>
          <w:p w14:paraId="385BED10" w14:textId="77777777" w:rsidR="00CF623A" w:rsidRPr="00DC55BE" w:rsidRDefault="00CF623A" w:rsidP="00CF623A">
            <w:pPr>
              <w:widowControl w:val="0"/>
              <w:autoSpaceDE w:val="0"/>
              <w:autoSpaceDN w:val="0"/>
              <w:spacing w:before="72" w:after="0" w:line="240" w:lineRule="auto"/>
              <w:ind w:right="113"/>
              <w:jc w:val="right"/>
              <w:rPr>
                <w:rFonts w:eastAsia="Arial" w:cs="Arial"/>
                <w:color w:val="FF0000"/>
                <w:sz w:val="18"/>
                <w:szCs w:val="18"/>
              </w:rPr>
            </w:pPr>
            <w:r w:rsidRPr="00DC55BE">
              <w:rPr>
                <w:rFonts w:eastAsia="Arial" w:cs="Arial"/>
                <w:sz w:val="18"/>
                <w:szCs w:val="18"/>
              </w:rPr>
              <w:t xml:space="preserve">14,359 </w:t>
            </w:r>
          </w:p>
        </w:tc>
        <w:tc>
          <w:tcPr>
            <w:tcW w:w="1033" w:type="dxa"/>
            <w:tcBorders>
              <w:top w:val="nil"/>
              <w:left w:val="nil"/>
              <w:bottom w:val="nil"/>
              <w:right w:val="nil"/>
            </w:tcBorders>
            <w:shd w:val="clear" w:color="000000" w:fill="FFFFFF"/>
            <w:vAlign w:val="center"/>
          </w:tcPr>
          <w:p w14:paraId="39A247CB" w14:textId="77777777" w:rsidR="00CF623A" w:rsidRPr="00DC55BE" w:rsidRDefault="00CF623A" w:rsidP="00CF623A">
            <w:pPr>
              <w:widowControl w:val="0"/>
              <w:autoSpaceDE w:val="0"/>
              <w:autoSpaceDN w:val="0"/>
              <w:spacing w:before="72" w:after="0" w:line="240" w:lineRule="auto"/>
              <w:ind w:right="112"/>
              <w:jc w:val="right"/>
              <w:rPr>
                <w:rFonts w:eastAsia="Arial" w:cs="Arial"/>
                <w:color w:val="FF0000"/>
                <w:sz w:val="18"/>
                <w:szCs w:val="18"/>
              </w:rPr>
            </w:pPr>
            <w:r w:rsidRPr="00DC55BE">
              <w:rPr>
                <w:rFonts w:eastAsia="Arial" w:cs="Arial"/>
                <w:sz w:val="18"/>
                <w:szCs w:val="18"/>
              </w:rPr>
              <w:t xml:space="preserve">14,646 </w:t>
            </w:r>
          </w:p>
        </w:tc>
        <w:tc>
          <w:tcPr>
            <w:tcW w:w="1032" w:type="dxa"/>
            <w:tcBorders>
              <w:top w:val="nil"/>
              <w:left w:val="nil"/>
              <w:bottom w:val="nil"/>
              <w:right w:val="nil"/>
            </w:tcBorders>
            <w:shd w:val="clear" w:color="000000" w:fill="FFFFFF"/>
            <w:vAlign w:val="center"/>
          </w:tcPr>
          <w:p w14:paraId="21A90D71" w14:textId="77777777" w:rsidR="00CF623A" w:rsidRPr="00DC55BE" w:rsidRDefault="00CF623A" w:rsidP="00CF623A">
            <w:pPr>
              <w:widowControl w:val="0"/>
              <w:autoSpaceDE w:val="0"/>
              <w:autoSpaceDN w:val="0"/>
              <w:spacing w:before="72" w:after="0" w:line="240" w:lineRule="auto"/>
              <w:ind w:right="111"/>
              <w:jc w:val="right"/>
              <w:rPr>
                <w:rFonts w:eastAsia="Arial" w:cs="Arial"/>
                <w:color w:val="FF0000"/>
                <w:sz w:val="18"/>
                <w:szCs w:val="18"/>
              </w:rPr>
            </w:pPr>
            <w:r w:rsidRPr="00DC55BE">
              <w:rPr>
                <w:rFonts w:eastAsia="Arial" w:cs="Arial"/>
                <w:sz w:val="18"/>
                <w:szCs w:val="18"/>
              </w:rPr>
              <w:t xml:space="preserve">14,939 </w:t>
            </w:r>
          </w:p>
        </w:tc>
        <w:tc>
          <w:tcPr>
            <w:tcW w:w="1356" w:type="dxa"/>
            <w:tcBorders>
              <w:top w:val="nil"/>
              <w:left w:val="nil"/>
              <w:bottom w:val="nil"/>
              <w:right w:val="nil"/>
            </w:tcBorders>
            <w:shd w:val="clear" w:color="000000" w:fill="FFFFFF"/>
            <w:vAlign w:val="center"/>
          </w:tcPr>
          <w:p w14:paraId="6D756198" w14:textId="77777777" w:rsidR="00CF623A" w:rsidRPr="00DC55BE" w:rsidRDefault="00CF623A" w:rsidP="00CF623A">
            <w:pPr>
              <w:widowControl w:val="0"/>
              <w:autoSpaceDE w:val="0"/>
              <w:autoSpaceDN w:val="0"/>
              <w:spacing w:before="72" w:after="0" w:line="240" w:lineRule="auto"/>
              <w:ind w:right="107"/>
              <w:jc w:val="right"/>
              <w:rPr>
                <w:rFonts w:eastAsia="Arial" w:cs="Arial"/>
                <w:color w:val="FF0000"/>
                <w:sz w:val="18"/>
                <w:szCs w:val="18"/>
              </w:rPr>
            </w:pPr>
            <w:r w:rsidRPr="00DC55BE">
              <w:rPr>
                <w:rFonts w:eastAsia="Arial" w:cs="Arial"/>
                <w:sz w:val="18"/>
                <w:szCs w:val="18"/>
              </w:rPr>
              <w:t xml:space="preserve">43,943 </w:t>
            </w:r>
          </w:p>
        </w:tc>
      </w:tr>
      <w:tr w:rsidR="00DC55BE" w:rsidRPr="00DC55BE" w14:paraId="64F1BC0C" w14:textId="77777777" w:rsidTr="0080745F">
        <w:trPr>
          <w:trHeight w:val="357"/>
        </w:trPr>
        <w:tc>
          <w:tcPr>
            <w:tcW w:w="5313" w:type="dxa"/>
            <w:tcBorders>
              <w:top w:val="single" w:sz="4" w:space="0" w:color="000000"/>
              <w:bottom w:val="single" w:sz="4" w:space="0" w:color="000000"/>
            </w:tcBorders>
          </w:tcPr>
          <w:p w14:paraId="3C8C9617" w14:textId="77777777" w:rsidR="00DC55BE" w:rsidRPr="00DC55BE" w:rsidRDefault="00DC55BE" w:rsidP="00DC55BE">
            <w:pPr>
              <w:widowControl w:val="0"/>
              <w:autoSpaceDE w:val="0"/>
              <w:autoSpaceDN w:val="0"/>
              <w:spacing w:before="73" w:after="0" w:line="240" w:lineRule="auto"/>
              <w:ind w:left="107"/>
              <w:rPr>
                <w:rFonts w:eastAsia="Arial" w:cs="Arial"/>
                <w:b/>
                <w:sz w:val="18"/>
              </w:rPr>
            </w:pPr>
            <w:r w:rsidRPr="00DC55BE">
              <w:rPr>
                <w:rFonts w:eastAsia="Arial" w:cs="Arial"/>
                <w:b/>
                <w:spacing w:val="-2"/>
                <w:sz w:val="18"/>
              </w:rPr>
              <w:t>Subtotal</w:t>
            </w:r>
          </w:p>
        </w:tc>
        <w:tc>
          <w:tcPr>
            <w:tcW w:w="1076" w:type="dxa"/>
            <w:tcBorders>
              <w:top w:val="single" w:sz="4" w:space="0" w:color="auto"/>
              <w:left w:val="nil"/>
              <w:bottom w:val="single" w:sz="4" w:space="0" w:color="auto"/>
              <w:right w:val="nil"/>
            </w:tcBorders>
            <w:shd w:val="clear" w:color="000000" w:fill="FFFFFF"/>
            <w:vAlign w:val="center"/>
          </w:tcPr>
          <w:p w14:paraId="7866BD87" w14:textId="77777777" w:rsidR="00DC55BE" w:rsidRPr="00DC55BE" w:rsidRDefault="00DC55BE" w:rsidP="00DC55BE">
            <w:pPr>
              <w:widowControl w:val="0"/>
              <w:autoSpaceDE w:val="0"/>
              <w:autoSpaceDN w:val="0"/>
              <w:spacing w:before="73" w:after="0" w:line="240" w:lineRule="auto"/>
              <w:ind w:right="113"/>
              <w:jc w:val="right"/>
              <w:rPr>
                <w:rFonts w:eastAsia="Arial" w:cs="Arial"/>
                <w:b/>
                <w:bCs/>
                <w:sz w:val="18"/>
                <w:szCs w:val="18"/>
              </w:rPr>
            </w:pPr>
            <w:r w:rsidRPr="00DC55BE">
              <w:rPr>
                <w:rFonts w:eastAsia="Arial" w:cs="Arial"/>
                <w:b/>
                <w:bCs/>
                <w:sz w:val="18"/>
                <w:szCs w:val="18"/>
              </w:rPr>
              <w:t xml:space="preserve">115,903 </w:t>
            </w:r>
          </w:p>
        </w:tc>
        <w:tc>
          <w:tcPr>
            <w:tcW w:w="1033" w:type="dxa"/>
            <w:tcBorders>
              <w:top w:val="single" w:sz="4" w:space="0" w:color="auto"/>
              <w:left w:val="nil"/>
              <w:bottom w:val="single" w:sz="4" w:space="0" w:color="auto"/>
              <w:right w:val="nil"/>
            </w:tcBorders>
            <w:shd w:val="clear" w:color="000000" w:fill="FFFFFF"/>
            <w:vAlign w:val="center"/>
          </w:tcPr>
          <w:p w14:paraId="1881E7B2" w14:textId="77777777" w:rsidR="00DC55BE" w:rsidRPr="00DC55BE" w:rsidRDefault="00DC55BE" w:rsidP="00DC55BE">
            <w:pPr>
              <w:widowControl w:val="0"/>
              <w:autoSpaceDE w:val="0"/>
              <w:autoSpaceDN w:val="0"/>
              <w:spacing w:before="73" w:after="0" w:line="240" w:lineRule="auto"/>
              <w:ind w:right="112"/>
              <w:jc w:val="right"/>
              <w:rPr>
                <w:rFonts w:eastAsia="Arial" w:cs="Arial"/>
                <w:b/>
                <w:bCs/>
                <w:sz w:val="18"/>
                <w:szCs w:val="18"/>
              </w:rPr>
            </w:pPr>
            <w:r w:rsidRPr="00DC55BE">
              <w:rPr>
                <w:rFonts w:eastAsia="Arial" w:cs="Arial"/>
                <w:b/>
                <w:bCs/>
                <w:sz w:val="18"/>
                <w:szCs w:val="18"/>
              </w:rPr>
              <w:t xml:space="preserve">118,221 </w:t>
            </w:r>
          </w:p>
        </w:tc>
        <w:tc>
          <w:tcPr>
            <w:tcW w:w="1032" w:type="dxa"/>
            <w:tcBorders>
              <w:top w:val="single" w:sz="4" w:space="0" w:color="auto"/>
              <w:left w:val="nil"/>
              <w:bottom w:val="single" w:sz="4" w:space="0" w:color="auto"/>
              <w:right w:val="nil"/>
            </w:tcBorders>
            <w:shd w:val="clear" w:color="000000" w:fill="FFFFFF"/>
            <w:vAlign w:val="center"/>
          </w:tcPr>
          <w:p w14:paraId="4AA250AF" w14:textId="77777777" w:rsidR="00DC55BE" w:rsidRPr="00DC55BE" w:rsidRDefault="00DC55BE" w:rsidP="00DC55BE">
            <w:pPr>
              <w:widowControl w:val="0"/>
              <w:autoSpaceDE w:val="0"/>
              <w:autoSpaceDN w:val="0"/>
              <w:spacing w:before="73" w:after="0" w:line="240" w:lineRule="auto"/>
              <w:ind w:right="111"/>
              <w:jc w:val="right"/>
              <w:rPr>
                <w:rFonts w:eastAsia="Arial" w:cs="Arial"/>
                <w:b/>
                <w:bCs/>
                <w:sz w:val="18"/>
                <w:szCs w:val="18"/>
              </w:rPr>
            </w:pPr>
            <w:r w:rsidRPr="00DC55BE">
              <w:rPr>
                <w:rFonts w:eastAsia="Arial" w:cs="Arial"/>
                <w:b/>
                <w:bCs/>
                <w:sz w:val="18"/>
                <w:szCs w:val="18"/>
              </w:rPr>
              <w:t xml:space="preserve">466,399 </w:t>
            </w:r>
          </w:p>
        </w:tc>
        <w:tc>
          <w:tcPr>
            <w:tcW w:w="1356" w:type="dxa"/>
            <w:tcBorders>
              <w:top w:val="single" w:sz="4" w:space="0" w:color="auto"/>
              <w:left w:val="nil"/>
              <w:bottom w:val="single" w:sz="4" w:space="0" w:color="auto"/>
              <w:right w:val="nil"/>
            </w:tcBorders>
            <w:shd w:val="clear" w:color="000000" w:fill="FFFFFF"/>
            <w:vAlign w:val="center"/>
          </w:tcPr>
          <w:p w14:paraId="4FFE2C2E" w14:textId="77777777" w:rsidR="00DC55BE" w:rsidRPr="00DC55BE" w:rsidRDefault="00DC55BE" w:rsidP="00DC55BE">
            <w:pPr>
              <w:widowControl w:val="0"/>
              <w:autoSpaceDE w:val="0"/>
              <w:autoSpaceDN w:val="0"/>
              <w:spacing w:before="73" w:after="0" w:line="240" w:lineRule="auto"/>
              <w:ind w:right="107"/>
              <w:jc w:val="right"/>
              <w:rPr>
                <w:rFonts w:eastAsia="Arial" w:cs="Arial"/>
                <w:b/>
                <w:bCs/>
                <w:sz w:val="18"/>
                <w:szCs w:val="18"/>
              </w:rPr>
            </w:pPr>
            <w:r w:rsidRPr="00DC55BE">
              <w:rPr>
                <w:rFonts w:eastAsia="Arial" w:cs="Arial"/>
                <w:b/>
                <w:bCs/>
                <w:sz w:val="18"/>
                <w:szCs w:val="18"/>
              </w:rPr>
              <w:t xml:space="preserve">700,522 </w:t>
            </w:r>
          </w:p>
        </w:tc>
      </w:tr>
      <w:tr w:rsidR="00432A52" w:rsidRPr="00DC55BE" w14:paraId="53E0D31A" w14:textId="77777777" w:rsidTr="0080745F">
        <w:trPr>
          <w:trHeight w:val="359"/>
        </w:trPr>
        <w:tc>
          <w:tcPr>
            <w:tcW w:w="5313" w:type="dxa"/>
            <w:tcBorders>
              <w:top w:val="single" w:sz="4" w:space="0" w:color="000000"/>
            </w:tcBorders>
          </w:tcPr>
          <w:p w14:paraId="28C8024F" w14:textId="6474B461" w:rsidR="00432A52" w:rsidRPr="00DC55BE" w:rsidRDefault="00432A52" w:rsidP="00432A52">
            <w:pPr>
              <w:widowControl w:val="0"/>
              <w:autoSpaceDE w:val="0"/>
              <w:autoSpaceDN w:val="0"/>
              <w:spacing w:before="73" w:after="0" w:line="240" w:lineRule="auto"/>
              <w:ind w:left="107"/>
              <w:rPr>
                <w:rFonts w:eastAsia="Arial" w:cs="Arial"/>
                <w:b/>
                <w:sz w:val="18"/>
              </w:rPr>
            </w:pPr>
            <w:r w:rsidRPr="0080745F">
              <w:rPr>
                <w:rFonts w:eastAsia="Arial" w:cs="Arial"/>
                <w:b/>
                <w:color w:val="000000"/>
                <w:sz w:val="18"/>
                <w:szCs w:val="18"/>
                <w:lang w:val="es-ES"/>
              </w:rPr>
              <w:t>Costes de operación</w:t>
            </w:r>
          </w:p>
        </w:tc>
        <w:tc>
          <w:tcPr>
            <w:tcW w:w="1076" w:type="dxa"/>
            <w:tcBorders>
              <w:top w:val="nil"/>
              <w:left w:val="nil"/>
              <w:bottom w:val="nil"/>
              <w:right w:val="nil"/>
            </w:tcBorders>
            <w:shd w:val="clear" w:color="000000" w:fill="FFFFFF"/>
            <w:vAlign w:val="center"/>
          </w:tcPr>
          <w:p w14:paraId="1C0D6466" w14:textId="77777777" w:rsidR="00432A52" w:rsidRPr="00DC55BE" w:rsidRDefault="00432A52" w:rsidP="00432A52">
            <w:pPr>
              <w:widowControl w:val="0"/>
              <w:autoSpaceDE w:val="0"/>
              <w:autoSpaceDN w:val="0"/>
              <w:spacing w:after="0" w:line="240" w:lineRule="auto"/>
              <w:jc w:val="right"/>
              <w:rPr>
                <w:rFonts w:eastAsia="Arial" w:cs="Arial"/>
                <w:sz w:val="18"/>
                <w:szCs w:val="18"/>
              </w:rPr>
            </w:pPr>
          </w:p>
        </w:tc>
        <w:tc>
          <w:tcPr>
            <w:tcW w:w="1033" w:type="dxa"/>
            <w:tcBorders>
              <w:top w:val="nil"/>
              <w:left w:val="nil"/>
              <w:bottom w:val="nil"/>
              <w:right w:val="nil"/>
            </w:tcBorders>
            <w:shd w:val="clear" w:color="000000" w:fill="FFFFFF"/>
            <w:vAlign w:val="center"/>
          </w:tcPr>
          <w:p w14:paraId="48D14C69" w14:textId="77777777" w:rsidR="00432A52" w:rsidRPr="00DC55BE" w:rsidRDefault="00432A52" w:rsidP="00432A52">
            <w:pPr>
              <w:widowControl w:val="0"/>
              <w:autoSpaceDE w:val="0"/>
              <w:autoSpaceDN w:val="0"/>
              <w:spacing w:after="0" w:line="240" w:lineRule="auto"/>
              <w:jc w:val="right"/>
              <w:rPr>
                <w:rFonts w:eastAsia="Arial" w:cs="Arial"/>
                <w:sz w:val="18"/>
                <w:szCs w:val="18"/>
              </w:rPr>
            </w:pPr>
          </w:p>
        </w:tc>
        <w:tc>
          <w:tcPr>
            <w:tcW w:w="1032" w:type="dxa"/>
            <w:tcBorders>
              <w:top w:val="nil"/>
              <w:left w:val="nil"/>
              <w:bottom w:val="nil"/>
              <w:right w:val="nil"/>
            </w:tcBorders>
            <w:shd w:val="clear" w:color="000000" w:fill="FFFFFF"/>
            <w:vAlign w:val="center"/>
          </w:tcPr>
          <w:p w14:paraId="206D2A31" w14:textId="77777777" w:rsidR="00432A52" w:rsidRPr="00DC55BE" w:rsidRDefault="00432A52" w:rsidP="00432A52">
            <w:pPr>
              <w:widowControl w:val="0"/>
              <w:autoSpaceDE w:val="0"/>
              <w:autoSpaceDN w:val="0"/>
              <w:spacing w:after="0" w:line="240" w:lineRule="auto"/>
              <w:jc w:val="right"/>
              <w:rPr>
                <w:rFonts w:eastAsia="Arial" w:cs="Arial"/>
                <w:sz w:val="18"/>
                <w:szCs w:val="18"/>
              </w:rPr>
            </w:pPr>
          </w:p>
        </w:tc>
        <w:tc>
          <w:tcPr>
            <w:tcW w:w="1356" w:type="dxa"/>
            <w:tcBorders>
              <w:top w:val="nil"/>
              <w:left w:val="nil"/>
              <w:bottom w:val="nil"/>
              <w:right w:val="nil"/>
            </w:tcBorders>
            <w:shd w:val="clear" w:color="000000" w:fill="FFFFFF"/>
            <w:vAlign w:val="center"/>
          </w:tcPr>
          <w:p w14:paraId="16F86FAC" w14:textId="77777777" w:rsidR="00432A52" w:rsidRPr="00DC55BE" w:rsidRDefault="00432A52" w:rsidP="00432A52">
            <w:pPr>
              <w:widowControl w:val="0"/>
              <w:autoSpaceDE w:val="0"/>
              <w:autoSpaceDN w:val="0"/>
              <w:spacing w:after="0" w:line="240" w:lineRule="auto"/>
              <w:jc w:val="right"/>
              <w:rPr>
                <w:rFonts w:eastAsia="Arial" w:cs="Arial"/>
                <w:sz w:val="18"/>
                <w:szCs w:val="18"/>
              </w:rPr>
            </w:pPr>
          </w:p>
        </w:tc>
      </w:tr>
      <w:tr w:rsidR="00432A52" w:rsidRPr="00DC55BE" w14:paraId="770EC922" w14:textId="77777777" w:rsidTr="0080745F">
        <w:trPr>
          <w:trHeight w:val="358"/>
        </w:trPr>
        <w:tc>
          <w:tcPr>
            <w:tcW w:w="5313" w:type="dxa"/>
          </w:tcPr>
          <w:p w14:paraId="730F806E" w14:textId="5B64E2FA" w:rsidR="00432A52" w:rsidRPr="00DC55BE" w:rsidRDefault="00432A52" w:rsidP="00432A52">
            <w:pPr>
              <w:widowControl w:val="0"/>
              <w:autoSpaceDE w:val="0"/>
              <w:autoSpaceDN w:val="0"/>
              <w:spacing w:before="73" w:after="0" w:line="240" w:lineRule="auto"/>
              <w:ind w:left="107"/>
              <w:rPr>
                <w:rFonts w:eastAsia="Arial" w:cs="Arial"/>
                <w:sz w:val="18"/>
                <w:lang w:val="es-ES"/>
              </w:rPr>
            </w:pPr>
            <w:r w:rsidRPr="0080745F">
              <w:rPr>
                <w:rFonts w:eastAsia="Arial" w:cs="Arial"/>
                <w:color w:val="000000"/>
                <w:sz w:val="18"/>
                <w:szCs w:val="18"/>
                <w:lang w:val="es-ES"/>
              </w:rPr>
              <w:t>Herramientas TIC, desarrollo y mantenimiento del sitio web</w:t>
            </w:r>
          </w:p>
        </w:tc>
        <w:tc>
          <w:tcPr>
            <w:tcW w:w="1076" w:type="dxa"/>
            <w:tcBorders>
              <w:top w:val="nil"/>
              <w:left w:val="nil"/>
              <w:bottom w:val="nil"/>
              <w:right w:val="nil"/>
            </w:tcBorders>
            <w:shd w:val="clear" w:color="000000" w:fill="FFFFFF"/>
            <w:vAlign w:val="center"/>
          </w:tcPr>
          <w:p w14:paraId="34BF030F" w14:textId="77777777" w:rsidR="00432A52" w:rsidRPr="00DC55BE" w:rsidRDefault="00432A52" w:rsidP="00432A52">
            <w:pPr>
              <w:widowControl w:val="0"/>
              <w:autoSpaceDE w:val="0"/>
              <w:autoSpaceDN w:val="0"/>
              <w:spacing w:before="73" w:after="0" w:line="240" w:lineRule="auto"/>
              <w:ind w:right="113"/>
              <w:jc w:val="right"/>
              <w:rPr>
                <w:rFonts w:eastAsia="Arial" w:cs="Arial"/>
                <w:sz w:val="18"/>
                <w:szCs w:val="18"/>
              </w:rPr>
            </w:pPr>
            <w:r w:rsidRPr="00DC55BE">
              <w:rPr>
                <w:rFonts w:eastAsia="Arial" w:cs="Arial"/>
                <w:sz w:val="18"/>
                <w:szCs w:val="18"/>
              </w:rPr>
              <w:t xml:space="preserve">7,466 </w:t>
            </w:r>
          </w:p>
        </w:tc>
        <w:tc>
          <w:tcPr>
            <w:tcW w:w="1033" w:type="dxa"/>
            <w:tcBorders>
              <w:top w:val="nil"/>
              <w:left w:val="nil"/>
              <w:bottom w:val="nil"/>
              <w:right w:val="nil"/>
            </w:tcBorders>
            <w:shd w:val="clear" w:color="000000" w:fill="FFFFFF"/>
            <w:vAlign w:val="center"/>
          </w:tcPr>
          <w:p w14:paraId="1EE51D1C" w14:textId="77777777" w:rsidR="00432A52" w:rsidRPr="00DC55BE" w:rsidRDefault="00432A52" w:rsidP="00432A52">
            <w:pPr>
              <w:widowControl w:val="0"/>
              <w:autoSpaceDE w:val="0"/>
              <w:autoSpaceDN w:val="0"/>
              <w:spacing w:before="73" w:after="0" w:line="240" w:lineRule="auto"/>
              <w:ind w:right="112"/>
              <w:jc w:val="right"/>
              <w:rPr>
                <w:rFonts w:eastAsia="Arial" w:cs="Arial"/>
                <w:sz w:val="18"/>
                <w:szCs w:val="18"/>
              </w:rPr>
            </w:pPr>
            <w:r w:rsidRPr="00DC55BE">
              <w:rPr>
                <w:rFonts w:eastAsia="Arial" w:cs="Arial"/>
                <w:sz w:val="18"/>
                <w:szCs w:val="18"/>
              </w:rPr>
              <w:t xml:space="preserve">7,616 </w:t>
            </w:r>
          </w:p>
        </w:tc>
        <w:tc>
          <w:tcPr>
            <w:tcW w:w="1032" w:type="dxa"/>
            <w:tcBorders>
              <w:top w:val="nil"/>
              <w:left w:val="nil"/>
              <w:bottom w:val="nil"/>
              <w:right w:val="nil"/>
            </w:tcBorders>
            <w:shd w:val="clear" w:color="000000" w:fill="FFFFFF"/>
            <w:vAlign w:val="center"/>
          </w:tcPr>
          <w:p w14:paraId="569A79A9" w14:textId="77777777" w:rsidR="00432A52" w:rsidRPr="00DC55BE" w:rsidRDefault="00432A52" w:rsidP="00432A52">
            <w:pPr>
              <w:widowControl w:val="0"/>
              <w:autoSpaceDE w:val="0"/>
              <w:autoSpaceDN w:val="0"/>
              <w:spacing w:before="73" w:after="0" w:line="240" w:lineRule="auto"/>
              <w:ind w:right="111"/>
              <w:jc w:val="right"/>
              <w:rPr>
                <w:rFonts w:eastAsia="Arial" w:cs="Arial"/>
                <w:sz w:val="18"/>
                <w:szCs w:val="18"/>
              </w:rPr>
            </w:pPr>
            <w:r w:rsidRPr="00DC55BE">
              <w:rPr>
                <w:rFonts w:eastAsia="Arial" w:cs="Arial"/>
                <w:sz w:val="18"/>
                <w:szCs w:val="18"/>
              </w:rPr>
              <w:t xml:space="preserve">7,768 </w:t>
            </w:r>
          </w:p>
        </w:tc>
        <w:tc>
          <w:tcPr>
            <w:tcW w:w="1356" w:type="dxa"/>
            <w:tcBorders>
              <w:top w:val="nil"/>
              <w:left w:val="nil"/>
              <w:bottom w:val="nil"/>
              <w:right w:val="nil"/>
            </w:tcBorders>
            <w:shd w:val="clear" w:color="000000" w:fill="FFFFFF"/>
            <w:vAlign w:val="center"/>
          </w:tcPr>
          <w:p w14:paraId="7F3A34F6" w14:textId="77777777" w:rsidR="00432A52" w:rsidRPr="00DC55BE" w:rsidRDefault="00432A52" w:rsidP="00432A52">
            <w:pPr>
              <w:widowControl w:val="0"/>
              <w:autoSpaceDE w:val="0"/>
              <w:autoSpaceDN w:val="0"/>
              <w:spacing w:before="73" w:after="0" w:line="240" w:lineRule="auto"/>
              <w:ind w:right="107"/>
              <w:jc w:val="right"/>
              <w:rPr>
                <w:rFonts w:eastAsia="Arial" w:cs="Arial"/>
                <w:sz w:val="18"/>
                <w:szCs w:val="18"/>
              </w:rPr>
            </w:pPr>
            <w:r w:rsidRPr="00DC55BE">
              <w:rPr>
                <w:rFonts w:eastAsia="Arial" w:cs="Arial"/>
                <w:sz w:val="18"/>
                <w:szCs w:val="18"/>
              </w:rPr>
              <w:t xml:space="preserve">22,850 </w:t>
            </w:r>
          </w:p>
        </w:tc>
      </w:tr>
      <w:tr w:rsidR="00432A52" w:rsidRPr="00DC55BE" w14:paraId="24C20A68" w14:textId="77777777" w:rsidTr="0080745F">
        <w:trPr>
          <w:trHeight w:val="357"/>
        </w:trPr>
        <w:tc>
          <w:tcPr>
            <w:tcW w:w="5313" w:type="dxa"/>
          </w:tcPr>
          <w:p w14:paraId="0D4722A7" w14:textId="50D815FF" w:rsidR="00432A52" w:rsidRPr="00DC55BE" w:rsidRDefault="00432A52" w:rsidP="00432A52">
            <w:pPr>
              <w:widowControl w:val="0"/>
              <w:autoSpaceDE w:val="0"/>
              <w:autoSpaceDN w:val="0"/>
              <w:spacing w:before="72" w:after="0" w:line="240" w:lineRule="auto"/>
              <w:ind w:left="107"/>
              <w:rPr>
                <w:rFonts w:eastAsia="Arial" w:cs="Arial"/>
                <w:color w:val="000000"/>
                <w:sz w:val="18"/>
                <w:lang w:val="es-ES"/>
              </w:rPr>
            </w:pPr>
            <w:r w:rsidRPr="0080745F">
              <w:rPr>
                <w:rFonts w:eastAsia="Arial" w:cs="Arial"/>
                <w:color w:val="000000"/>
                <w:sz w:val="18"/>
                <w:szCs w:val="18"/>
                <w:lang w:val="es-ES"/>
              </w:rPr>
              <w:t>Desarrollo del personal (formación, retiros, etc.)</w:t>
            </w:r>
          </w:p>
        </w:tc>
        <w:tc>
          <w:tcPr>
            <w:tcW w:w="1076" w:type="dxa"/>
            <w:tcBorders>
              <w:top w:val="nil"/>
              <w:left w:val="nil"/>
              <w:bottom w:val="nil"/>
              <w:right w:val="nil"/>
            </w:tcBorders>
            <w:shd w:val="clear" w:color="000000" w:fill="FFFFFF"/>
            <w:vAlign w:val="center"/>
          </w:tcPr>
          <w:p w14:paraId="7D091989" w14:textId="77777777" w:rsidR="00432A52" w:rsidRPr="00DC55BE" w:rsidRDefault="00432A52" w:rsidP="00432A52">
            <w:pPr>
              <w:widowControl w:val="0"/>
              <w:autoSpaceDE w:val="0"/>
              <w:autoSpaceDN w:val="0"/>
              <w:spacing w:before="72" w:after="0" w:line="240" w:lineRule="auto"/>
              <w:ind w:right="113"/>
              <w:jc w:val="right"/>
              <w:rPr>
                <w:rFonts w:eastAsia="Arial" w:cs="Arial"/>
                <w:color w:val="000000"/>
                <w:sz w:val="18"/>
                <w:szCs w:val="18"/>
              </w:rPr>
            </w:pPr>
            <w:r w:rsidRPr="00DC55BE">
              <w:rPr>
                <w:rFonts w:eastAsia="Arial" w:cs="Arial"/>
                <w:sz w:val="18"/>
                <w:szCs w:val="18"/>
              </w:rPr>
              <w:t xml:space="preserve">22,099 </w:t>
            </w:r>
          </w:p>
        </w:tc>
        <w:tc>
          <w:tcPr>
            <w:tcW w:w="1033" w:type="dxa"/>
            <w:tcBorders>
              <w:top w:val="nil"/>
              <w:left w:val="nil"/>
              <w:bottom w:val="nil"/>
              <w:right w:val="nil"/>
            </w:tcBorders>
            <w:shd w:val="clear" w:color="000000" w:fill="FFFFFF"/>
            <w:vAlign w:val="center"/>
          </w:tcPr>
          <w:p w14:paraId="612597CD" w14:textId="77777777" w:rsidR="00432A52" w:rsidRPr="00DC55BE" w:rsidRDefault="00432A52" w:rsidP="00432A52">
            <w:pPr>
              <w:widowControl w:val="0"/>
              <w:autoSpaceDE w:val="0"/>
              <w:autoSpaceDN w:val="0"/>
              <w:spacing w:before="72" w:after="0" w:line="240" w:lineRule="auto"/>
              <w:ind w:right="112"/>
              <w:jc w:val="right"/>
              <w:rPr>
                <w:rFonts w:eastAsia="Arial" w:cs="Arial"/>
                <w:color w:val="000000"/>
                <w:sz w:val="18"/>
                <w:szCs w:val="18"/>
              </w:rPr>
            </w:pPr>
            <w:r w:rsidRPr="00DC55BE">
              <w:rPr>
                <w:rFonts w:eastAsia="Arial" w:cs="Arial"/>
                <w:sz w:val="18"/>
                <w:szCs w:val="18"/>
              </w:rPr>
              <w:t xml:space="preserve">22,541 </w:t>
            </w:r>
          </w:p>
        </w:tc>
        <w:tc>
          <w:tcPr>
            <w:tcW w:w="1032" w:type="dxa"/>
            <w:tcBorders>
              <w:top w:val="nil"/>
              <w:left w:val="nil"/>
              <w:bottom w:val="nil"/>
              <w:right w:val="nil"/>
            </w:tcBorders>
            <w:shd w:val="clear" w:color="000000" w:fill="FFFFFF"/>
            <w:vAlign w:val="center"/>
          </w:tcPr>
          <w:p w14:paraId="7A3D7733" w14:textId="77777777" w:rsidR="00432A52" w:rsidRPr="00DC55BE" w:rsidRDefault="00432A52" w:rsidP="00432A52">
            <w:pPr>
              <w:widowControl w:val="0"/>
              <w:autoSpaceDE w:val="0"/>
              <w:autoSpaceDN w:val="0"/>
              <w:spacing w:before="72" w:after="0" w:line="240" w:lineRule="auto"/>
              <w:ind w:right="111"/>
              <w:jc w:val="right"/>
              <w:rPr>
                <w:rFonts w:eastAsia="Arial" w:cs="Arial"/>
                <w:color w:val="000000"/>
                <w:sz w:val="18"/>
                <w:szCs w:val="18"/>
              </w:rPr>
            </w:pPr>
            <w:r w:rsidRPr="00DC55BE">
              <w:rPr>
                <w:rFonts w:eastAsia="Arial" w:cs="Arial"/>
                <w:sz w:val="18"/>
                <w:szCs w:val="18"/>
              </w:rPr>
              <w:t xml:space="preserve">22,992 </w:t>
            </w:r>
          </w:p>
        </w:tc>
        <w:tc>
          <w:tcPr>
            <w:tcW w:w="1356" w:type="dxa"/>
            <w:tcBorders>
              <w:top w:val="nil"/>
              <w:left w:val="nil"/>
              <w:bottom w:val="nil"/>
              <w:right w:val="nil"/>
            </w:tcBorders>
            <w:shd w:val="clear" w:color="000000" w:fill="FFFFFF"/>
            <w:vAlign w:val="center"/>
          </w:tcPr>
          <w:p w14:paraId="2312D6AA" w14:textId="77777777" w:rsidR="00432A52" w:rsidRPr="00DC55BE" w:rsidRDefault="00432A52" w:rsidP="00432A52">
            <w:pPr>
              <w:widowControl w:val="0"/>
              <w:autoSpaceDE w:val="0"/>
              <w:autoSpaceDN w:val="0"/>
              <w:spacing w:before="72" w:after="0" w:line="240" w:lineRule="auto"/>
              <w:ind w:right="107"/>
              <w:jc w:val="right"/>
              <w:rPr>
                <w:rFonts w:eastAsia="Arial" w:cs="Arial"/>
                <w:color w:val="000000"/>
                <w:sz w:val="18"/>
                <w:szCs w:val="18"/>
              </w:rPr>
            </w:pPr>
            <w:r w:rsidRPr="00DC55BE">
              <w:rPr>
                <w:rFonts w:eastAsia="Arial" w:cs="Arial"/>
                <w:sz w:val="18"/>
                <w:szCs w:val="18"/>
              </w:rPr>
              <w:t xml:space="preserve">67,633 </w:t>
            </w:r>
          </w:p>
        </w:tc>
      </w:tr>
      <w:tr w:rsidR="00432A52" w:rsidRPr="00DC55BE" w14:paraId="59C8015C" w14:textId="77777777" w:rsidTr="0080745F">
        <w:trPr>
          <w:trHeight w:val="357"/>
        </w:trPr>
        <w:tc>
          <w:tcPr>
            <w:tcW w:w="5313" w:type="dxa"/>
          </w:tcPr>
          <w:p w14:paraId="4315F8AB" w14:textId="3C1BB3AB" w:rsidR="00432A52" w:rsidRPr="00DC55BE" w:rsidRDefault="00432A52" w:rsidP="00432A52">
            <w:pPr>
              <w:widowControl w:val="0"/>
              <w:autoSpaceDE w:val="0"/>
              <w:autoSpaceDN w:val="0"/>
              <w:spacing w:before="72" w:after="0" w:line="240" w:lineRule="auto"/>
              <w:ind w:left="107"/>
              <w:rPr>
                <w:rFonts w:eastAsia="Arial" w:cs="Arial"/>
                <w:sz w:val="18"/>
                <w:lang w:val="es-ES"/>
              </w:rPr>
            </w:pPr>
            <w:r w:rsidRPr="0080745F">
              <w:rPr>
                <w:rFonts w:eastAsia="Arial" w:cs="Arial"/>
                <w:color w:val="000000"/>
                <w:sz w:val="18"/>
                <w:szCs w:val="18"/>
                <w:lang w:val="es-ES"/>
              </w:rPr>
              <w:t>Servicios de tecnología de la información (incluido el programa UNV)</w:t>
            </w:r>
          </w:p>
        </w:tc>
        <w:tc>
          <w:tcPr>
            <w:tcW w:w="1076" w:type="dxa"/>
            <w:tcBorders>
              <w:top w:val="nil"/>
              <w:left w:val="nil"/>
              <w:bottom w:val="nil"/>
              <w:right w:val="nil"/>
            </w:tcBorders>
            <w:shd w:val="clear" w:color="000000" w:fill="FFFFFF"/>
            <w:vAlign w:val="center"/>
          </w:tcPr>
          <w:p w14:paraId="3CF19D80" w14:textId="77777777" w:rsidR="00432A52" w:rsidRPr="00DC55BE" w:rsidRDefault="00432A52" w:rsidP="00432A52">
            <w:pPr>
              <w:widowControl w:val="0"/>
              <w:autoSpaceDE w:val="0"/>
              <w:autoSpaceDN w:val="0"/>
              <w:spacing w:before="72" w:after="0" w:line="240" w:lineRule="auto"/>
              <w:ind w:right="113"/>
              <w:jc w:val="right"/>
              <w:rPr>
                <w:rFonts w:eastAsia="Arial" w:cs="Arial"/>
                <w:sz w:val="18"/>
                <w:szCs w:val="18"/>
              </w:rPr>
            </w:pPr>
            <w:r w:rsidRPr="00DC55BE">
              <w:rPr>
                <w:rFonts w:eastAsia="Arial" w:cs="Arial"/>
                <w:sz w:val="18"/>
                <w:szCs w:val="18"/>
              </w:rPr>
              <w:t xml:space="preserve">80,408 </w:t>
            </w:r>
          </w:p>
        </w:tc>
        <w:tc>
          <w:tcPr>
            <w:tcW w:w="1033" w:type="dxa"/>
            <w:tcBorders>
              <w:top w:val="nil"/>
              <w:left w:val="nil"/>
              <w:bottom w:val="nil"/>
              <w:right w:val="nil"/>
            </w:tcBorders>
            <w:shd w:val="clear" w:color="000000" w:fill="FFFFFF"/>
            <w:vAlign w:val="center"/>
          </w:tcPr>
          <w:p w14:paraId="1C340820" w14:textId="77777777" w:rsidR="00432A52" w:rsidRPr="00DC55BE" w:rsidRDefault="00432A52" w:rsidP="00432A52">
            <w:pPr>
              <w:widowControl w:val="0"/>
              <w:autoSpaceDE w:val="0"/>
              <w:autoSpaceDN w:val="0"/>
              <w:spacing w:before="72" w:after="0" w:line="240" w:lineRule="auto"/>
              <w:ind w:right="112"/>
              <w:jc w:val="right"/>
              <w:rPr>
                <w:rFonts w:eastAsia="Arial" w:cs="Arial"/>
                <w:sz w:val="18"/>
                <w:szCs w:val="18"/>
              </w:rPr>
            </w:pPr>
            <w:r w:rsidRPr="00DC55BE">
              <w:rPr>
                <w:rFonts w:eastAsia="Arial" w:cs="Arial"/>
                <w:sz w:val="18"/>
                <w:szCs w:val="18"/>
              </w:rPr>
              <w:t xml:space="preserve">82,016 </w:t>
            </w:r>
          </w:p>
        </w:tc>
        <w:tc>
          <w:tcPr>
            <w:tcW w:w="1032" w:type="dxa"/>
            <w:tcBorders>
              <w:top w:val="nil"/>
              <w:left w:val="nil"/>
              <w:bottom w:val="nil"/>
              <w:right w:val="nil"/>
            </w:tcBorders>
            <w:shd w:val="clear" w:color="000000" w:fill="FFFFFF"/>
            <w:vAlign w:val="center"/>
          </w:tcPr>
          <w:p w14:paraId="13287830" w14:textId="77777777" w:rsidR="00432A52" w:rsidRPr="00DC55BE" w:rsidRDefault="00432A52" w:rsidP="00432A52">
            <w:pPr>
              <w:widowControl w:val="0"/>
              <w:autoSpaceDE w:val="0"/>
              <w:autoSpaceDN w:val="0"/>
              <w:spacing w:before="72" w:after="0" w:line="240" w:lineRule="auto"/>
              <w:ind w:right="111"/>
              <w:jc w:val="right"/>
              <w:rPr>
                <w:rFonts w:eastAsia="Arial" w:cs="Arial"/>
                <w:sz w:val="18"/>
                <w:szCs w:val="18"/>
              </w:rPr>
            </w:pPr>
            <w:r w:rsidRPr="00DC55BE">
              <w:rPr>
                <w:rFonts w:eastAsia="Arial" w:cs="Arial"/>
                <w:sz w:val="18"/>
                <w:szCs w:val="18"/>
              </w:rPr>
              <w:t xml:space="preserve">83,656 </w:t>
            </w:r>
          </w:p>
        </w:tc>
        <w:tc>
          <w:tcPr>
            <w:tcW w:w="1356" w:type="dxa"/>
            <w:tcBorders>
              <w:top w:val="nil"/>
              <w:left w:val="nil"/>
              <w:bottom w:val="nil"/>
              <w:right w:val="nil"/>
            </w:tcBorders>
            <w:shd w:val="clear" w:color="000000" w:fill="FFFFFF"/>
            <w:vAlign w:val="center"/>
          </w:tcPr>
          <w:p w14:paraId="129784A2" w14:textId="77777777" w:rsidR="00432A52" w:rsidRPr="00DC55BE" w:rsidRDefault="00432A52" w:rsidP="00432A52">
            <w:pPr>
              <w:widowControl w:val="0"/>
              <w:autoSpaceDE w:val="0"/>
              <w:autoSpaceDN w:val="0"/>
              <w:spacing w:before="72" w:after="0" w:line="240" w:lineRule="auto"/>
              <w:ind w:right="107"/>
              <w:jc w:val="right"/>
              <w:rPr>
                <w:rFonts w:eastAsia="Arial" w:cs="Arial"/>
                <w:sz w:val="18"/>
                <w:szCs w:val="18"/>
              </w:rPr>
            </w:pPr>
            <w:r w:rsidRPr="00DC55BE">
              <w:rPr>
                <w:rFonts w:eastAsia="Arial" w:cs="Arial"/>
                <w:sz w:val="18"/>
                <w:szCs w:val="18"/>
              </w:rPr>
              <w:t xml:space="preserve">246,079 </w:t>
            </w:r>
          </w:p>
        </w:tc>
      </w:tr>
      <w:tr w:rsidR="00432A52" w:rsidRPr="00DC55BE" w14:paraId="423B158D" w14:textId="77777777" w:rsidTr="0080745F">
        <w:trPr>
          <w:trHeight w:val="357"/>
        </w:trPr>
        <w:tc>
          <w:tcPr>
            <w:tcW w:w="5313" w:type="dxa"/>
          </w:tcPr>
          <w:p w14:paraId="68E8FD56" w14:textId="5D3F4F1C" w:rsidR="00432A52" w:rsidRPr="00DC55BE" w:rsidRDefault="00432A52" w:rsidP="00432A52">
            <w:pPr>
              <w:widowControl w:val="0"/>
              <w:autoSpaceDE w:val="0"/>
              <w:autoSpaceDN w:val="0"/>
              <w:spacing w:before="72" w:after="0" w:line="240" w:lineRule="auto"/>
              <w:ind w:left="107"/>
              <w:rPr>
                <w:rFonts w:eastAsia="Arial" w:cs="Arial"/>
                <w:sz w:val="18"/>
                <w:lang w:val="es-ES"/>
              </w:rPr>
            </w:pPr>
            <w:r w:rsidRPr="0080745F">
              <w:rPr>
                <w:rFonts w:eastAsia="Arial" w:cs="Arial"/>
                <w:color w:val="000000"/>
                <w:sz w:val="18"/>
                <w:szCs w:val="18"/>
                <w:lang w:val="es-ES"/>
              </w:rPr>
              <w:t>Servicios de ofimática (alquiler de impresoras, alojamiento, etc.)</w:t>
            </w:r>
          </w:p>
        </w:tc>
        <w:tc>
          <w:tcPr>
            <w:tcW w:w="1076" w:type="dxa"/>
            <w:tcBorders>
              <w:top w:val="nil"/>
              <w:left w:val="nil"/>
              <w:bottom w:val="nil"/>
              <w:right w:val="nil"/>
            </w:tcBorders>
            <w:shd w:val="clear" w:color="000000" w:fill="FFFFFF"/>
            <w:vAlign w:val="center"/>
          </w:tcPr>
          <w:p w14:paraId="4D4BC10E" w14:textId="77777777" w:rsidR="00432A52" w:rsidRPr="00DC55BE" w:rsidRDefault="00432A52" w:rsidP="00432A52">
            <w:pPr>
              <w:widowControl w:val="0"/>
              <w:autoSpaceDE w:val="0"/>
              <w:autoSpaceDN w:val="0"/>
              <w:spacing w:before="72" w:after="0" w:line="240" w:lineRule="auto"/>
              <w:ind w:right="113"/>
              <w:jc w:val="right"/>
              <w:rPr>
                <w:rFonts w:eastAsia="Arial" w:cs="Arial"/>
                <w:sz w:val="18"/>
                <w:szCs w:val="18"/>
              </w:rPr>
            </w:pPr>
            <w:r w:rsidRPr="00DC55BE">
              <w:rPr>
                <w:rFonts w:eastAsia="Arial" w:cs="Arial"/>
                <w:sz w:val="18"/>
                <w:szCs w:val="18"/>
              </w:rPr>
              <w:t xml:space="preserve">11,487 </w:t>
            </w:r>
          </w:p>
        </w:tc>
        <w:tc>
          <w:tcPr>
            <w:tcW w:w="1033" w:type="dxa"/>
            <w:tcBorders>
              <w:top w:val="nil"/>
              <w:left w:val="nil"/>
              <w:bottom w:val="nil"/>
              <w:right w:val="nil"/>
            </w:tcBorders>
            <w:shd w:val="clear" w:color="000000" w:fill="FFFFFF"/>
            <w:vAlign w:val="center"/>
          </w:tcPr>
          <w:p w14:paraId="6E3A16BE" w14:textId="77777777" w:rsidR="00432A52" w:rsidRPr="00DC55BE" w:rsidRDefault="00432A52" w:rsidP="00432A52">
            <w:pPr>
              <w:widowControl w:val="0"/>
              <w:autoSpaceDE w:val="0"/>
              <w:autoSpaceDN w:val="0"/>
              <w:spacing w:before="72" w:after="0" w:line="240" w:lineRule="auto"/>
              <w:ind w:right="112"/>
              <w:jc w:val="right"/>
              <w:rPr>
                <w:rFonts w:eastAsia="Arial" w:cs="Arial"/>
                <w:sz w:val="18"/>
                <w:szCs w:val="18"/>
              </w:rPr>
            </w:pPr>
            <w:r w:rsidRPr="00DC55BE">
              <w:rPr>
                <w:rFonts w:eastAsia="Arial" w:cs="Arial"/>
                <w:sz w:val="18"/>
                <w:szCs w:val="18"/>
              </w:rPr>
              <w:t xml:space="preserve">11,717 </w:t>
            </w:r>
          </w:p>
        </w:tc>
        <w:tc>
          <w:tcPr>
            <w:tcW w:w="1032" w:type="dxa"/>
            <w:tcBorders>
              <w:top w:val="nil"/>
              <w:left w:val="nil"/>
              <w:bottom w:val="nil"/>
              <w:right w:val="nil"/>
            </w:tcBorders>
            <w:shd w:val="clear" w:color="000000" w:fill="FFFFFF"/>
            <w:vAlign w:val="center"/>
          </w:tcPr>
          <w:p w14:paraId="45875D00" w14:textId="77777777" w:rsidR="00432A52" w:rsidRPr="00DC55BE" w:rsidRDefault="00432A52" w:rsidP="00432A52">
            <w:pPr>
              <w:widowControl w:val="0"/>
              <w:autoSpaceDE w:val="0"/>
              <w:autoSpaceDN w:val="0"/>
              <w:spacing w:before="72" w:after="0" w:line="240" w:lineRule="auto"/>
              <w:ind w:right="111"/>
              <w:jc w:val="right"/>
              <w:rPr>
                <w:rFonts w:eastAsia="Arial" w:cs="Arial"/>
                <w:sz w:val="18"/>
                <w:szCs w:val="18"/>
              </w:rPr>
            </w:pPr>
            <w:r w:rsidRPr="00DC55BE">
              <w:rPr>
                <w:rFonts w:eastAsia="Arial" w:cs="Arial"/>
                <w:sz w:val="18"/>
                <w:szCs w:val="18"/>
              </w:rPr>
              <w:t xml:space="preserve">11,951 </w:t>
            </w:r>
          </w:p>
        </w:tc>
        <w:tc>
          <w:tcPr>
            <w:tcW w:w="1356" w:type="dxa"/>
            <w:tcBorders>
              <w:top w:val="nil"/>
              <w:left w:val="nil"/>
              <w:bottom w:val="nil"/>
              <w:right w:val="nil"/>
            </w:tcBorders>
            <w:shd w:val="clear" w:color="000000" w:fill="FFFFFF"/>
            <w:vAlign w:val="center"/>
          </w:tcPr>
          <w:p w14:paraId="7507AB14" w14:textId="77777777" w:rsidR="00432A52" w:rsidRPr="00DC55BE" w:rsidRDefault="00432A52" w:rsidP="00432A52">
            <w:pPr>
              <w:widowControl w:val="0"/>
              <w:autoSpaceDE w:val="0"/>
              <w:autoSpaceDN w:val="0"/>
              <w:spacing w:before="72" w:after="0" w:line="240" w:lineRule="auto"/>
              <w:ind w:right="107"/>
              <w:jc w:val="right"/>
              <w:rPr>
                <w:rFonts w:eastAsia="Arial" w:cs="Arial"/>
                <w:sz w:val="18"/>
                <w:szCs w:val="18"/>
              </w:rPr>
            </w:pPr>
            <w:r w:rsidRPr="00DC55BE">
              <w:rPr>
                <w:rFonts w:eastAsia="Arial" w:cs="Arial"/>
                <w:sz w:val="18"/>
                <w:szCs w:val="18"/>
              </w:rPr>
              <w:t xml:space="preserve">35,156 </w:t>
            </w:r>
          </w:p>
        </w:tc>
      </w:tr>
      <w:tr w:rsidR="00432A52" w:rsidRPr="00DC55BE" w14:paraId="70A5CFFD" w14:textId="77777777" w:rsidTr="0080745F">
        <w:trPr>
          <w:trHeight w:val="357"/>
        </w:trPr>
        <w:tc>
          <w:tcPr>
            <w:tcW w:w="5313" w:type="dxa"/>
          </w:tcPr>
          <w:p w14:paraId="6FB6A2A7" w14:textId="60AC3E1E" w:rsidR="00432A52" w:rsidRPr="00DC55BE" w:rsidRDefault="00432A52" w:rsidP="00432A52">
            <w:pPr>
              <w:widowControl w:val="0"/>
              <w:autoSpaceDE w:val="0"/>
              <w:autoSpaceDN w:val="0"/>
              <w:spacing w:before="72" w:after="0" w:line="240" w:lineRule="auto"/>
              <w:ind w:left="107"/>
              <w:rPr>
                <w:rFonts w:eastAsia="Arial" w:cs="Arial"/>
                <w:sz w:val="18"/>
                <w:lang w:val="es-ES"/>
              </w:rPr>
            </w:pPr>
            <w:r w:rsidRPr="0080745F">
              <w:rPr>
                <w:rFonts w:eastAsia="Arial" w:cs="Arial"/>
                <w:color w:val="000000"/>
                <w:sz w:val="18"/>
                <w:szCs w:val="18"/>
                <w:lang w:val="es-ES"/>
              </w:rPr>
              <w:t>Servicios de comunicación y mensajería</w:t>
            </w:r>
          </w:p>
        </w:tc>
        <w:tc>
          <w:tcPr>
            <w:tcW w:w="1076" w:type="dxa"/>
            <w:tcBorders>
              <w:top w:val="nil"/>
              <w:left w:val="nil"/>
              <w:bottom w:val="nil"/>
              <w:right w:val="nil"/>
            </w:tcBorders>
            <w:shd w:val="clear" w:color="000000" w:fill="FFFFFF"/>
            <w:vAlign w:val="center"/>
          </w:tcPr>
          <w:p w14:paraId="4C8AD81A" w14:textId="77777777" w:rsidR="00432A52" w:rsidRPr="00DC55BE" w:rsidRDefault="00432A52" w:rsidP="00432A52">
            <w:pPr>
              <w:widowControl w:val="0"/>
              <w:autoSpaceDE w:val="0"/>
              <w:autoSpaceDN w:val="0"/>
              <w:spacing w:before="72" w:after="0" w:line="240" w:lineRule="auto"/>
              <w:ind w:right="113"/>
              <w:jc w:val="right"/>
              <w:rPr>
                <w:rFonts w:eastAsia="Arial" w:cs="Arial"/>
                <w:spacing w:val="-2"/>
                <w:sz w:val="18"/>
                <w:szCs w:val="18"/>
              </w:rPr>
            </w:pPr>
            <w:r w:rsidRPr="00DC55BE">
              <w:rPr>
                <w:rFonts w:eastAsia="Arial" w:cs="Arial"/>
                <w:sz w:val="18"/>
                <w:szCs w:val="18"/>
              </w:rPr>
              <w:t xml:space="preserve">10,612 </w:t>
            </w:r>
          </w:p>
        </w:tc>
        <w:tc>
          <w:tcPr>
            <w:tcW w:w="1033" w:type="dxa"/>
            <w:tcBorders>
              <w:top w:val="nil"/>
              <w:left w:val="nil"/>
              <w:bottom w:val="nil"/>
              <w:right w:val="nil"/>
            </w:tcBorders>
            <w:shd w:val="clear" w:color="000000" w:fill="FFFFFF"/>
            <w:vAlign w:val="center"/>
          </w:tcPr>
          <w:p w14:paraId="05914BF8" w14:textId="77777777" w:rsidR="00432A52" w:rsidRPr="00DC55BE" w:rsidRDefault="00432A52" w:rsidP="00432A52">
            <w:pPr>
              <w:widowControl w:val="0"/>
              <w:autoSpaceDE w:val="0"/>
              <w:autoSpaceDN w:val="0"/>
              <w:spacing w:before="72" w:after="0" w:line="240" w:lineRule="auto"/>
              <w:ind w:right="112"/>
              <w:jc w:val="right"/>
              <w:rPr>
                <w:rFonts w:eastAsia="Arial" w:cs="Arial"/>
                <w:spacing w:val="-2"/>
                <w:sz w:val="18"/>
                <w:szCs w:val="18"/>
              </w:rPr>
            </w:pPr>
            <w:r w:rsidRPr="00DC55BE">
              <w:rPr>
                <w:rFonts w:eastAsia="Arial" w:cs="Arial"/>
                <w:sz w:val="18"/>
                <w:szCs w:val="18"/>
              </w:rPr>
              <w:t xml:space="preserve">10,824 </w:t>
            </w:r>
          </w:p>
        </w:tc>
        <w:tc>
          <w:tcPr>
            <w:tcW w:w="1032" w:type="dxa"/>
            <w:tcBorders>
              <w:top w:val="nil"/>
              <w:left w:val="nil"/>
              <w:bottom w:val="nil"/>
              <w:right w:val="nil"/>
            </w:tcBorders>
            <w:shd w:val="clear" w:color="000000" w:fill="FFFFFF"/>
            <w:vAlign w:val="center"/>
          </w:tcPr>
          <w:p w14:paraId="321C1980" w14:textId="77777777" w:rsidR="00432A52" w:rsidRPr="00DC55BE" w:rsidRDefault="00432A52" w:rsidP="00432A52">
            <w:pPr>
              <w:widowControl w:val="0"/>
              <w:autoSpaceDE w:val="0"/>
              <w:autoSpaceDN w:val="0"/>
              <w:spacing w:before="72" w:after="0" w:line="240" w:lineRule="auto"/>
              <w:ind w:right="111"/>
              <w:jc w:val="right"/>
              <w:rPr>
                <w:rFonts w:eastAsia="Arial" w:cs="Arial"/>
                <w:spacing w:val="-2"/>
                <w:sz w:val="18"/>
                <w:szCs w:val="18"/>
              </w:rPr>
            </w:pPr>
            <w:r w:rsidRPr="00DC55BE">
              <w:rPr>
                <w:rFonts w:eastAsia="Arial" w:cs="Arial"/>
                <w:sz w:val="18"/>
                <w:szCs w:val="18"/>
              </w:rPr>
              <w:t xml:space="preserve">11,041 </w:t>
            </w:r>
          </w:p>
        </w:tc>
        <w:tc>
          <w:tcPr>
            <w:tcW w:w="1356" w:type="dxa"/>
            <w:tcBorders>
              <w:top w:val="nil"/>
              <w:left w:val="nil"/>
              <w:bottom w:val="nil"/>
              <w:right w:val="nil"/>
            </w:tcBorders>
            <w:shd w:val="clear" w:color="000000" w:fill="FFFFFF"/>
            <w:vAlign w:val="center"/>
          </w:tcPr>
          <w:p w14:paraId="7B0B0403" w14:textId="77777777" w:rsidR="00432A52" w:rsidRPr="00DC55BE" w:rsidRDefault="00432A52" w:rsidP="00432A52">
            <w:pPr>
              <w:widowControl w:val="0"/>
              <w:autoSpaceDE w:val="0"/>
              <w:autoSpaceDN w:val="0"/>
              <w:spacing w:before="72" w:after="0" w:line="240" w:lineRule="auto"/>
              <w:ind w:right="107"/>
              <w:jc w:val="right"/>
              <w:rPr>
                <w:rFonts w:eastAsia="Arial" w:cs="Arial"/>
                <w:spacing w:val="-2"/>
                <w:sz w:val="18"/>
                <w:szCs w:val="18"/>
              </w:rPr>
            </w:pPr>
            <w:r w:rsidRPr="00DC55BE">
              <w:rPr>
                <w:rFonts w:eastAsia="Arial" w:cs="Arial"/>
                <w:sz w:val="18"/>
                <w:szCs w:val="18"/>
              </w:rPr>
              <w:t xml:space="preserve">32,477 </w:t>
            </w:r>
          </w:p>
        </w:tc>
      </w:tr>
      <w:tr w:rsidR="00432A52" w:rsidRPr="00DC55BE" w14:paraId="6655F5E7" w14:textId="77777777" w:rsidTr="0080745F">
        <w:trPr>
          <w:trHeight w:val="357"/>
        </w:trPr>
        <w:tc>
          <w:tcPr>
            <w:tcW w:w="5313" w:type="dxa"/>
          </w:tcPr>
          <w:p w14:paraId="24290224" w14:textId="58D32FF3" w:rsidR="00432A52" w:rsidRPr="00DC55BE" w:rsidRDefault="00432A52" w:rsidP="00432A52">
            <w:pPr>
              <w:widowControl w:val="0"/>
              <w:autoSpaceDE w:val="0"/>
              <w:autoSpaceDN w:val="0"/>
              <w:spacing w:before="72" w:after="0" w:line="240" w:lineRule="auto"/>
              <w:ind w:left="107"/>
              <w:rPr>
                <w:rFonts w:eastAsia="Arial" w:cs="Arial"/>
                <w:sz w:val="18"/>
              </w:rPr>
            </w:pPr>
            <w:r w:rsidRPr="0080745F">
              <w:rPr>
                <w:rFonts w:eastAsia="Arial" w:cs="Arial"/>
                <w:b/>
                <w:color w:val="000000"/>
                <w:sz w:val="18"/>
                <w:szCs w:val="18"/>
                <w:lang w:val="es-ES"/>
              </w:rPr>
              <w:t>Costes de operación</w:t>
            </w:r>
          </w:p>
        </w:tc>
        <w:tc>
          <w:tcPr>
            <w:tcW w:w="1076" w:type="dxa"/>
            <w:tcBorders>
              <w:top w:val="nil"/>
              <w:left w:val="nil"/>
              <w:bottom w:val="nil"/>
              <w:right w:val="nil"/>
            </w:tcBorders>
            <w:shd w:val="clear" w:color="000000" w:fill="FFFFFF"/>
            <w:vAlign w:val="center"/>
          </w:tcPr>
          <w:p w14:paraId="5443E1D7" w14:textId="77777777" w:rsidR="00432A52" w:rsidRPr="00DC55BE" w:rsidRDefault="00432A52" w:rsidP="00432A52">
            <w:pPr>
              <w:widowControl w:val="0"/>
              <w:autoSpaceDE w:val="0"/>
              <w:autoSpaceDN w:val="0"/>
              <w:spacing w:before="72" w:after="0" w:line="240" w:lineRule="auto"/>
              <w:ind w:right="113"/>
              <w:jc w:val="right"/>
              <w:rPr>
                <w:rFonts w:eastAsia="Arial" w:cs="Arial"/>
                <w:sz w:val="18"/>
                <w:szCs w:val="18"/>
              </w:rPr>
            </w:pPr>
            <w:r w:rsidRPr="00DC55BE">
              <w:rPr>
                <w:rFonts w:eastAsia="Arial" w:cs="Arial"/>
                <w:sz w:val="18"/>
                <w:szCs w:val="18"/>
              </w:rPr>
              <w:t xml:space="preserve">4,294 </w:t>
            </w:r>
          </w:p>
        </w:tc>
        <w:tc>
          <w:tcPr>
            <w:tcW w:w="1033" w:type="dxa"/>
            <w:tcBorders>
              <w:top w:val="nil"/>
              <w:left w:val="nil"/>
              <w:bottom w:val="nil"/>
              <w:right w:val="nil"/>
            </w:tcBorders>
            <w:shd w:val="clear" w:color="000000" w:fill="FFFFFF"/>
            <w:vAlign w:val="center"/>
          </w:tcPr>
          <w:p w14:paraId="4B3BC8E0" w14:textId="77777777" w:rsidR="00432A52" w:rsidRPr="00DC55BE" w:rsidRDefault="00432A52" w:rsidP="00432A52">
            <w:pPr>
              <w:widowControl w:val="0"/>
              <w:autoSpaceDE w:val="0"/>
              <w:autoSpaceDN w:val="0"/>
              <w:spacing w:before="72" w:after="0" w:line="240" w:lineRule="auto"/>
              <w:ind w:right="112"/>
              <w:jc w:val="right"/>
              <w:rPr>
                <w:rFonts w:eastAsia="Arial" w:cs="Arial"/>
                <w:sz w:val="18"/>
                <w:szCs w:val="18"/>
              </w:rPr>
            </w:pPr>
            <w:r w:rsidRPr="00DC55BE">
              <w:rPr>
                <w:rFonts w:eastAsia="Arial" w:cs="Arial"/>
                <w:sz w:val="18"/>
                <w:szCs w:val="18"/>
              </w:rPr>
              <w:t xml:space="preserve">4,380 </w:t>
            </w:r>
          </w:p>
        </w:tc>
        <w:tc>
          <w:tcPr>
            <w:tcW w:w="1032" w:type="dxa"/>
            <w:tcBorders>
              <w:top w:val="nil"/>
              <w:left w:val="nil"/>
              <w:bottom w:val="nil"/>
              <w:right w:val="nil"/>
            </w:tcBorders>
            <w:shd w:val="clear" w:color="000000" w:fill="FFFFFF"/>
            <w:vAlign w:val="center"/>
          </w:tcPr>
          <w:p w14:paraId="4F961610" w14:textId="77777777" w:rsidR="00432A52" w:rsidRPr="00DC55BE" w:rsidRDefault="00432A52" w:rsidP="00432A52">
            <w:pPr>
              <w:widowControl w:val="0"/>
              <w:autoSpaceDE w:val="0"/>
              <w:autoSpaceDN w:val="0"/>
              <w:spacing w:before="72" w:after="0" w:line="240" w:lineRule="auto"/>
              <w:ind w:right="111"/>
              <w:jc w:val="right"/>
              <w:rPr>
                <w:rFonts w:eastAsia="Arial" w:cs="Arial"/>
                <w:sz w:val="18"/>
                <w:szCs w:val="18"/>
              </w:rPr>
            </w:pPr>
            <w:r w:rsidRPr="00DC55BE">
              <w:rPr>
                <w:rFonts w:eastAsia="Arial" w:cs="Arial"/>
                <w:sz w:val="18"/>
                <w:szCs w:val="18"/>
              </w:rPr>
              <w:t xml:space="preserve">4,468 </w:t>
            </w:r>
          </w:p>
        </w:tc>
        <w:tc>
          <w:tcPr>
            <w:tcW w:w="1356" w:type="dxa"/>
            <w:tcBorders>
              <w:top w:val="nil"/>
              <w:left w:val="nil"/>
              <w:bottom w:val="nil"/>
              <w:right w:val="nil"/>
            </w:tcBorders>
            <w:shd w:val="clear" w:color="000000" w:fill="FFFFFF"/>
            <w:vAlign w:val="center"/>
          </w:tcPr>
          <w:p w14:paraId="4BD931BD" w14:textId="77777777" w:rsidR="00432A52" w:rsidRPr="00DC55BE" w:rsidRDefault="00432A52" w:rsidP="00432A52">
            <w:pPr>
              <w:widowControl w:val="0"/>
              <w:autoSpaceDE w:val="0"/>
              <w:autoSpaceDN w:val="0"/>
              <w:spacing w:before="72" w:after="0" w:line="240" w:lineRule="auto"/>
              <w:ind w:right="107"/>
              <w:jc w:val="right"/>
              <w:rPr>
                <w:rFonts w:eastAsia="Arial" w:cs="Arial"/>
                <w:sz w:val="18"/>
                <w:szCs w:val="18"/>
              </w:rPr>
            </w:pPr>
            <w:r w:rsidRPr="00DC55BE">
              <w:rPr>
                <w:rFonts w:eastAsia="Arial" w:cs="Arial"/>
                <w:sz w:val="18"/>
                <w:szCs w:val="18"/>
              </w:rPr>
              <w:t xml:space="preserve">13,142 </w:t>
            </w:r>
          </w:p>
        </w:tc>
      </w:tr>
      <w:tr w:rsidR="00DC55BE" w:rsidRPr="00DC55BE" w14:paraId="108C5E7C" w14:textId="77777777" w:rsidTr="0080745F">
        <w:trPr>
          <w:trHeight w:val="356"/>
        </w:trPr>
        <w:tc>
          <w:tcPr>
            <w:tcW w:w="5313" w:type="dxa"/>
            <w:tcBorders>
              <w:bottom w:val="single" w:sz="4" w:space="0" w:color="000000"/>
            </w:tcBorders>
          </w:tcPr>
          <w:p w14:paraId="0AC77B62" w14:textId="77777777" w:rsidR="00DC55BE" w:rsidRPr="00DC55BE" w:rsidRDefault="00DC55BE" w:rsidP="00DC55BE">
            <w:pPr>
              <w:widowControl w:val="0"/>
              <w:autoSpaceDE w:val="0"/>
              <w:autoSpaceDN w:val="0"/>
              <w:spacing w:before="72" w:after="0" w:line="240" w:lineRule="auto"/>
              <w:ind w:left="107"/>
              <w:rPr>
                <w:rFonts w:eastAsia="Arial" w:cs="Arial"/>
                <w:color w:val="FF0000"/>
                <w:sz w:val="18"/>
              </w:rPr>
            </w:pPr>
            <w:r w:rsidRPr="00DC55BE">
              <w:rPr>
                <w:rFonts w:eastAsia="Arial" w:cs="Arial"/>
                <w:color w:val="FF0000"/>
                <w:sz w:val="18"/>
              </w:rPr>
              <w:t>Umoja</w:t>
            </w:r>
          </w:p>
        </w:tc>
        <w:tc>
          <w:tcPr>
            <w:tcW w:w="1076" w:type="dxa"/>
            <w:tcBorders>
              <w:top w:val="nil"/>
              <w:left w:val="nil"/>
              <w:bottom w:val="nil"/>
              <w:right w:val="nil"/>
            </w:tcBorders>
            <w:shd w:val="clear" w:color="000000" w:fill="FFFFFF"/>
            <w:vAlign w:val="center"/>
          </w:tcPr>
          <w:p w14:paraId="21D517A0" w14:textId="77777777" w:rsidR="00DC55BE" w:rsidRPr="00DC55BE" w:rsidRDefault="00DC55BE" w:rsidP="00DC55BE">
            <w:pPr>
              <w:widowControl w:val="0"/>
              <w:autoSpaceDE w:val="0"/>
              <w:autoSpaceDN w:val="0"/>
              <w:spacing w:before="72" w:after="0" w:line="240" w:lineRule="auto"/>
              <w:ind w:right="113"/>
              <w:jc w:val="right"/>
              <w:rPr>
                <w:rFonts w:eastAsia="Arial" w:cs="Arial"/>
                <w:color w:val="FF0000"/>
                <w:sz w:val="18"/>
                <w:szCs w:val="18"/>
              </w:rPr>
            </w:pPr>
            <w:r w:rsidRPr="00DC55BE">
              <w:rPr>
                <w:rFonts w:eastAsia="Arial" w:cs="Arial"/>
                <w:color w:val="FF0000"/>
                <w:sz w:val="18"/>
                <w:szCs w:val="18"/>
              </w:rPr>
              <w:t xml:space="preserve"> 50,000 </w:t>
            </w:r>
          </w:p>
        </w:tc>
        <w:tc>
          <w:tcPr>
            <w:tcW w:w="1033" w:type="dxa"/>
            <w:tcBorders>
              <w:top w:val="nil"/>
              <w:left w:val="nil"/>
              <w:bottom w:val="nil"/>
              <w:right w:val="nil"/>
            </w:tcBorders>
            <w:shd w:val="clear" w:color="000000" w:fill="FFFFFF"/>
            <w:vAlign w:val="center"/>
          </w:tcPr>
          <w:p w14:paraId="06F8115F" w14:textId="77777777" w:rsidR="00DC55BE" w:rsidRPr="00DC55BE" w:rsidRDefault="00DC55BE" w:rsidP="00DC55BE">
            <w:pPr>
              <w:widowControl w:val="0"/>
              <w:autoSpaceDE w:val="0"/>
              <w:autoSpaceDN w:val="0"/>
              <w:spacing w:before="72" w:after="0" w:line="240" w:lineRule="auto"/>
              <w:ind w:right="112"/>
              <w:jc w:val="right"/>
              <w:rPr>
                <w:rFonts w:eastAsia="Arial" w:cs="Arial"/>
                <w:color w:val="FF0000"/>
                <w:sz w:val="18"/>
                <w:szCs w:val="18"/>
              </w:rPr>
            </w:pPr>
            <w:r w:rsidRPr="00DC55BE">
              <w:rPr>
                <w:rFonts w:eastAsia="Arial" w:cs="Arial"/>
                <w:color w:val="FF0000"/>
                <w:sz w:val="18"/>
                <w:szCs w:val="18"/>
              </w:rPr>
              <w:t xml:space="preserve">51,000 </w:t>
            </w:r>
          </w:p>
        </w:tc>
        <w:tc>
          <w:tcPr>
            <w:tcW w:w="1032" w:type="dxa"/>
            <w:tcBorders>
              <w:top w:val="nil"/>
              <w:left w:val="nil"/>
              <w:bottom w:val="nil"/>
              <w:right w:val="nil"/>
            </w:tcBorders>
            <w:shd w:val="clear" w:color="000000" w:fill="FFFFFF"/>
            <w:vAlign w:val="center"/>
          </w:tcPr>
          <w:p w14:paraId="75BF1E7C" w14:textId="77777777" w:rsidR="00DC55BE" w:rsidRPr="00DC55BE" w:rsidRDefault="00DC55BE" w:rsidP="00DC55BE">
            <w:pPr>
              <w:widowControl w:val="0"/>
              <w:autoSpaceDE w:val="0"/>
              <w:autoSpaceDN w:val="0"/>
              <w:spacing w:before="72" w:after="0" w:line="240" w:lineRule="auto"/>
              <w:ind w:right="111"/>
              <w:jc w:val="right"/>
              <w:rPr>
                <w:rFonts w:eastAsia="Arial" w:cs="Arial"/>
                <w:color w:val="FF0000"/>
                <w:sz w:val="18"/>
                <w:szCs w:val="18"/>
              </w:rPr>
            </w:pPr>
            <w:r w:rsidRPr="00DC55BE">
              <w:rPr>
                <w:rFonts w:eastAsia="Arial" w:cs="Arial"/>
                <w:color w:val="FF0000"/>
                <w:sz w:val="18"/>
                <w:szCs w:val="18"/>
              </w:rPr>
              <w:t xml:space="preserve">52,020 </w:t>
            </w:r>
          </w:p>
        </w:tc>
        <w:tc>
          <w:tcPr>
            <w:tcW w:w="1356" w:type="dxa"/>
            <w:tcBorders>
              <w:top w:val="nil"/>
              <w:left w:val="nil"/>
              <w:bottom w:val="nil"/>
              <w:right w:val="nil"/>
            </w:tcBorders>
            <w:shd w:val="clear" w:color="000000" w:fill="FFFFFF"/>
            <w:vAlign w:val="center"/>
          </w:tcPr>
          <w:p w14:paraId="400164FF" w14:textId="77777777" w:rsidR="00DC55BE" w:rsidRPr="00DC55BE" w:rsidRDefault="00DC55BE" w:rsidP="00DC55BE">
            <w:pPr>
              <w:widowControl w:val="0"/>
              <w:autoSpaceDE w:val="0"/>
              <w:autoSpaceDN w:val="0"/>
              <w:spacing w:before="72" w:after="0" w:line="240" w:lineRule="auto"/>
              <w:ind w:right="107"/>
              <w:jc w:val="right"/>
              <w:rPr>
                <w:rFonts w:eastAsia="Arial" w:cs="Arial"/>
                <w:color w:val="FF0000"/>
                <w:sz w:val="18"/>
                <w:szCs w:val="18"/>
              </w:rPr>
            </w:pPr>
            <w:r w:rsidRPr="00DC55BE">
              <w:rPr>
                <w:rFonts w:eastAsia="Arial" w:cs="Arial"/>
                <w:color w:val="FF0000"/>
                <w:sz w:val="18"/>
                <w:szCs w:val="18"/>
              </w:rPr>
              <w:t xml:space="preserve">153,020 </w:t>
            </w:r>
          </w:p>
        </w:tc>
      </w:tr>
      <w:tr w:rsidR="00DC55BE" w:rsidRPr="00DC55BE" w14:paraId="535E3C01" w14:textId="77777777" w:rsidTr="0080745F">
        <w:trPr>
          <w:trHeight w:val="359"/>
        </w:trPr>
        <w:tc>
          <w:tcPr>
            <w:tcW w:w="5313" w:type="dxa"/>
            <w:tcBorders>
              <w:top w:val="single" w:sz="4" w:space="0" w:color="000000"/>
              <w:bottom w:val="single" w:sz="4" w:space="0" w:color="000000"/>
            </w:tcBorders>
          </w:tcPr>
          <w:p w14:paraId="74117856" w14:textId="77777777" w:rsidR="00DC55BE" w:rsidRPr="00DC55BE" w:rsidRDefault="00DC55BE" w:rsidP="00DC55BE">
            <w:pPr>
              <w:widowControl w:val="0"/>
              <w:autoSpaceDE w:val="0"/>
              <w:autoSpaceDN w:val="0"/>
              <w:spacing w:before="75" w:after="0" w:line="240" w:lineRule="auto"/>
              <w:ind w:left="107"/>
              <w:rPr>
                <w:rFonts w:eastAsia="Arial" w:cs="Arial"/>
                <w:b/>
                <w:sz w:val="18"/>
              </w:rPr>
            </w:pPr>
            <w:r w:rsidRPr="00DC55BE">
              <w:rPr>
                <w:rFonts w:eastAsia="Arial" w:cs="Arial"/>
                <w:b/>
                <w:spacing w:val="-2"/>
                <w:sz w:val="18"/>
              </w:rPr>
              <w:t>Subtotal</w:t>
            </w:r>
          </w:p>
        </w:tc>
        <w:tc>
          <w:tcPr>
            <w:tcW w:w="1076" w:type="dxa"/>
            <w:tcBorders>
              <w:top w:val="single" w:sz="4" w:space="0" w:color="auto"/>
              <w:left w:val="nil"/>
              <w:bottom w:val="single" w:sz="4" w:space="0" w:color="auto"/>
              <w:right w:val="nil"/>
            </w:tcBorders>
            <w:shd w:val="clear" w:color="000000" w:fill="FFFFFF"/>
            <w:vAlign w:val="center"/>
          </w:tcPr>
          <w:p w14:paraId="5D426B69" w14:textId="77777777" w:rsidR="00DC55BE" w:rsidRPr="00DC55BE" w:rsidRDefault="00DC55BE" w:rsidP="00DC55BE">
            <w:pPr>
              <w:widowControl w:val="0"/>
              <w:autoSpaceDE w:val="0"/>
              <w:autoSpaceDN w:val="0"/>
              <w:spacing w:before="75" w:after="0" w:line="240" w:lineRule="auto"/>
              <w:ind w:right="113"/>
              <w:jc w:val="right"/>
              <w:rPr>
                <w:rFonts w:eastAsia="Arial" w:cs="Arial"/>
                <w:b/>
                <w:bCs/>
                <w:sz w:val="18"/>
                <w:szCs w:val="18"/>
              </w:rPr>
            </w:pPr>
            <w:r w:rsidRPr="00DC55BE">
              <w:rPr>
                <w:rFonts w:eastAsia="Arial" w:cs="Arial"/>
                <w:b/>
                <w:bCs/>
                <w:sz w:val="18"/>
                <w:szCs w:val="18"/>
              </w:rPr>
              <w:t xml:space="preserve">186,367 </w:t>
            </w:r>
          </w:p>
        </w:tc>
        <w:tc>
          <w:tcPr>
            <w:tcW w:w="1033" w:type="dxa"/>
            <w:tcBorders>
              <w:top w:val="single" w:sz="4" w:space="0" w:color="auto"/>
              <w:left w:val="nil"/>
              <w:bottom w:val="single" w:sz="4" w:space="0" w:color="auto"/>
              <w:right w:val="nil"/>
            </w:tcBorders>
            <w:shd w:val="clear" w:color="000000" w:fill="FFFFFF"/>
            <w:vAlign w:val="center"/>
          </w:tcPr>
          <w:p w14:paraId="581F71D6" w14:textId="77777777" w:rsidR="00DC55BE" w:rsidRPr="00DC55BE" w:rsidRDefault="00DC55BE" w:rsidP="00DC55BE">
            <w:pPr>
              <w:widowControl w:val="0"/>
              <w:autoSpaceDE w:val="0"/>
              <w:autoSpaceDN w:val="0"/>
              <w:spacing w:before="75" w:after="0" w:line="240" w:lineRule="auto"/>
              <w:ind w:right="112"/>
              <w:jc w:val="right"/>
              <w:rPr>
                <w:rFonts w:eastAsia="Arial" w:cs="Arial"/>
                <w:b/>
                <w:bCs/>
                <w:sz w:val="18"/>
                <w:szCs w:val="18"/>
              </w:rPr>
            </w:pPr>
            <w:r w:rsidRPr="00DC55BE">
              <w:rPr>
                <w:rFonts w:eastAsia="Arial" w:cs="Arial"/>
                <w:b/>
                <w:bCs/>
                <w:sz w:val="18"/>
                <w:szCs w:val="18"/>
              </w:rPr>
              <w:t xml:space="preserve">190,094 </w:t>
            </w:r>
          </w:p>
        </w:tc>
        <w:tc>
          <w:tcPr>
            <w:tcW w:w="1032" w:type="dxa"/>
            <w:tcBorders>
              <w:top w:val="single" w:sz="4" w:space="0" w:color="auto"/>
              <w:left w:val="nil"/>
              <w:bottom w:val="single" w:sz="4" w:space="0" w:color="auto"/>
              <w:right w:val="nil"/>
            </w:tcBorders>
            <w:shd w:val="clear" w:color="000000" w:fill="FFFFFF"/>
            <w:vAlign w:val="center"/>
          </w:tcPr>
          <w:p w14:paraId="495EFEA6" w14:textId="77777777" w:rsidR="00DC55BE" w:rsidRPr="00DC55BE" w:rsidRDefault="00DC55BE" w:rsidP="00DC55BE">
            <w:pPr>
              <w:widowControl w:val="0"/>
              <w:autoSpaceDE w:val="0"/>
              <w:autoSpaceDN w:val="0"/>
              <w:spacing w:before="75" w:after="0" w:line="240" w:lineRule="auto"/>
              <w:ind w:right="111"/>
              <w:jc w:val="right"/>
              <w:rPr>
                <w:rFonts w:eastAsia="Arial" w:cs="Arial"/>
                <w:b/>
                <w:bCs/>
                <w:sz w:val="18"/>
                <w:szCs w:val="18"/>
              </w:rPr>
            </w:pPr>
            <w:r w:rsidRPr="00DC55BE">
              <w:rPr>
                <w:rFonts w:eastAsia="Arial" w:cs="Arial"/>
                <w:b/>
                <w:bCs/>
                <w:sz w:val="18"/>
                <w:szCs w:val="18"/>
              </w:rPr>
              <w:t xml:space="preserve">193,896 </w:t>
            </w:r>
          </w:p>
        </w:tc>
        <w:tc>
          <w:tcPr>
            <w:tcW w:w="1356" w:type="dxa"/>
            <w:tcBorders>
              <w:top w:val="single" w:sz="4" w:space="0" w:color="auto"/>
              <w:left w:val="nil"/>
              <w:bottom w:val="single" w:sz="4" w:space="0" w:color="auto"/>
              <w:right w:val="nil"/>
            </w:tcBorders>
            <w:shd w:val="clear" w:color="000000" w:fill="FFFFFF"/>
            <w:vAlign w:val="center"/>
          </w:tcPr>
          <w:p w14:paraId="5C5C1353" w14:textId="77777777" w:rsidR="00DC55BE" w:rsidRPr="00DC55BE" w:rsidRDefault="00DC55BE" w:rsidP="00DC55BE">
            <w:pPr>
              <w:widowControl w:val="0"/>
              <w:autoSpaceDE w:val="0"/>
              <w:autoSpaceDN w:val="0"/>
              <w:spacing w:before="75" w:after="0" w:line="240" w:lineRule="auto"/>
              <w:ind w:right="107"/>
              <w:jc w:val="right"/>
              <w:rPr>
                <w:rFonts w:eastAsia="Arial" w:cs="Arial"/>
                <w:b/>
                <w:bCs/>
                <w:sz w:val="18"/>
                <w:szCs w:val="18"/>
              </w:rPr>
            </w:pPr>
            <w:r w:rsidRPr="00DC55BE">
              <w:rPr>
                <w:rFonts w:eastAsia="Arial" w:cs="Arial"/>
                <w:b/>
                <w:bCs/>
                <w:sz w:val="18"/>
                <w:szCs w:val="18"/>
              </w:rPr>
              <w:t xml:space="preserve">570,357 </w:t>
            </w:r>
          </w:p>
        </w:tc>
      </w:tr>
      <w:tr w:rsidR="00432A52" w:rsidRPr="00DC55BE" w14:paraId="60B487C1" w14:textId="77777777" w:rsidTr="0080745F">
        <w:trPr>
          <w:trHeight w:val="358"/>
        </w:trPr>
        <w:tc>
          <w:tcPr>
            <w:tcW w:w="5313" w:type="dxa"/>
            <w:tcBorders>
              <w:top w:val="single" w:sz="4" w:space="0" w:color="000000"/>
            </w:tcBorders>
          </w:tcPr>
          <w:p w14:paraId="6130DEEF" w14:textId="49390E37" w:rsidR="00432A52" w:rsidRPr="00DC55BE" w:rsidRDefault="00432A52" w:rsidP="00432A52">
            <w:pPr>
              <w:widowControl w:val="0"/>
              <w:autoSpaceDE w:val="0"/>
              <w:autoSpaceDN w:val="0"/>
              <w:spacing w:before="73" w:after="0" w:line="240" w:lineRule="auto"/>
              <w:ind w:left="107"/>
              <w:rPr>
                <w:rFonts w:eastAsia="Arial" w:cs="Arial"/>
                <w:b/>
                <w:sz w:val="18"/>
              </w:rPr>
            </w:pPr>
            <w:r w:rsidRPr="0080745F">
              <w:rPr>
                <w:b/>
                <w:spacing w:val="-2"/>
                <w:sz w:val="18"/>
              </w:rPr>
              <w:t>Equipamiento</w:t>
            </w:r>
          </w:p>
        </w:tc>
        <w:tc>
          <w:tcPr>
            <w:tcW w:w="1076" w:type="dxa"/>
            <w:tcBorders>
              <w:top w:val="nil"/>
              <w:left w:val="nil"/>
              <w:bottom w:val="nil"/>
              <w:right w:val="nil"/>
            </w:tcBorders>
            <w:shd w:val="clear" w:color="000000" w:fill="FFFFFF"/>
            <w:vAlign w:val="center"/>
          </w:tcPr>
          <w:p w14:paraId="2AE5583C" w14:textId="77777777" w:rsidR="00432A52" w:rsidRPr="00DC55BE" w:rsidRDefault="00432A52" w:rsidP="00432A52">
            <w:pPr>
              <w:widowControl w:val="0"/>
              <w:autoSpaceDE w:val="0"/>
              <w:autoSpaceDN w:val="0"/>
              <w:spacing w:after="0" w:line="240" w:lineRule="auto"/>
              <w:jc w:val="right"/>
              <w:rPr>
                <w:rFonts w:eastAsia="Arial" w:cs="Arial"/>
                <w:sz w:val="18"/>
                <w:szCs w:val="18"/>
              </w:rPr>
            </w:pPr>
          </w:p>
        </w:tc>
        <w:tc>
          <w:tcPr>
            <w:tcW w:w="1033" w:type="dxa"/>
            <w:tcBorders>
              <w:top w:val="nil"/>
              <w:left w:val="nil"/>
              <w:bottom w:val="nil"/>
              <w:right w:val="nil"/>
            </w:tcBorders>
            <w:shd w:val="clear" w:color="000000" w:fill="FFFFFF"/>
            <w:vAlign w:val="center"/>
          </w:tcPr>
          <w:p w14:paraId="3B76AE5E" w14:textId="77777777" w:rsidR="00432A52" w:rsidRPr="00DC55BE" w:rsidRDefault="00432A52" w:rsidP="00432A52">
            <w:pPr>
              <w:widowControl w:val="0"/>
              <w:autoSpaceDE w:val="0"/>
              <w:autoSpaceDN w:val="0"/>
              <w:spacing w:after="0" w:line="240" w:lineRule="auto"/>
              <w:jc w:val="right"/>
              <w:rPr>
                <w:rFonts w:eastAsia="Arial" w:cs="Arial"/>
                <w:sz w:val="18"/>
                <w:szCs w:val="18"/>
              </w:rPr>
            </w:pPr>
          </w:p>
        </w:tc>
        <w:tc>
          <w:tcPr>
            <w:tcW w:w="1032" w:type="dxa"/>
            <w:tcBorders>
              <w:top w:val="nil"/>
              <w:left w:val="nil"/>
              <w:bottom w:val="nil"/>
              <w:right w:val="nil"/>
            </w:tcBorders>
            <w:shd w:val="clear" w:color="000000" w:fill="FFFFFF"/>
            <w:vAlign w:val="center"/>
          </w:tcPr>
          <w:p w14:paraId="530C2B4E" w14:textId="77777777" w:rsidR="00432A52" w:rsidRPr="00DC55BE" w:rsidRDefault="00432A52" w:rsidP="00432A52">
            <w:pPr>
              <w:widowControl w:val="0"/>
              <w:autoSpaceDE w:val="0"/>
              <w:autoSpaceDN w:val="0"/>
              <w:spacing w:after="0" w:line="240" w:lineRule="auto"/>
              <w:jc w:val="right"/>
              <w:rPr>
                <w:rFonts w:eastAsia="Arial" w:cs="Arial"/>
                <w:sz w:val="18"/>
                <w:szCs w:val="18"/>
              </w:rPr>
            </w:pPr>
          </w:p>
        </w:tc>
        <w:tc>
          <w:tcPr>
            <w:tcW w:w="1356" w:type="dxa"/>
            <w:tcBorders>
              <w:top w:val="nil"/>
              <w:left w:val="nil"/>
              <w:bottom w:val="nil"/>
              <w:right w:val="nil"/>
            </w:tcBorders>
            <w:shd w:val="clear" w:color="000000" w:fill="FFFFFF"/>
            <w:vAlign w:val="center"/>
          </w:tcPr>
          <w:p w14:paraId="14E64367" w14:textId="77777777" w:rsidR="00432A52" w:rsidRPr="00DC55BE" w:rsidRDefault="00432A52" w:rsidP="00432A52">
            <w:pPr>
              <w:widowControl w:val="0"/>
              <w:autoSpaceDE w:val="0"/>
              <w:autoSpaceDN w:val="0"/>
              <w:spacing w:after="0" w:line="240" w:lineRule="auto"/>
              <w:jc w:val="right"/>
              <w:rPr>
                <w:rFonts w:eastAsia="Arial" w:cs="Arial"/>
                <w:sz w:val="18"/>
                <w:szCs w:val="18"/>
              </w:rPr>
            </w:pPr>
          </w:p>
        </w:tc>
      </w:tr>
      <w:tr w:rsidR="00432A52" w:rsidRPr="00DC55BE" w14:paraId="0274DC30" w14:textId="77777777" w:rsidTr="0080745F">
        <w:trPr>
          <w:trHeight w:val="356"/>
        </w:trPr>
        <w:tc>
          <w:tcPr>
            <w:tcW w:w="5313" w:type="dxa"/>
            <w:tcBorders>
              <w:bottom w:val="single" w:sz="4" w:space="0" w:color="000000"/>
            </w:tcBorders>
          </w:tcPr>
          <w:p w14:paraId="08C8DFF1" w14:textId="22A3BFFD" w:rsidR="00432A52" w:rsidRPr="00DC55BE" w:rsidRDefault="00432A52" w:rsidP="00432A52">
            <w:pPr>
              <w:widowControl w:val="0"/>
              <w:autoSpaceDE w:val="0"/>
              <w:autoSpaceDN w:val="0"/>
              <w:spacing w:before="72" w:after="0" w:line="240" w:lineRule="auto"/>
              <w:ind w:left="107"/>
              <w:rPr>
                <w:rFonts w:eastAsia="Arial" w:cs="Arial"/>
                <w:sz w:val="18"/>
              </w:rPr>
            </w:pPr>
            <w:r w:rsidRPr="0080745F">
              <w:rPr>
                <w:rFonts w:eastAsia="Arial" w:cs="Arial"/>
                <w:color w:val="000000"/>
                <w:sz w:val="18"/>
                <w:szCs w:val="18"/>
              </w:rPr>
              <w:t>Suministros de oficina</w:t>
            </w:r>
          </w:p>
        </w:tc>
        <w:tc>
          <w:tcPr>
            <w:tcW w:w="1076" w:type="dxa"/>
            <w:tcBorders>
              <w:top w:val="nil"/>
              <w:left w:val="nil"/>
              <w:bottom w:val="nil"/>
              <w:right w:val="nil"/>
            </w:tcBorders>
            <w:shd w:val="clear" w:color="000000" w:fill="FFFFFF"/>
            <w:vAlign w:val="center"/>
          </w:tcPr>
          <w:p w14:paraId="1D43D873" w14:textId="77777777" w:rsidR="00432A52" w:rsidRPr="00DC55BE" w:rsidRDefault="00432A52" w:rsidP="00432A52">
            <w:pPr>
              <w:widowControl w:val="0"/>
              <w:autoSpaceDE w:val="0"/>
              <w:autoSpaceDN w:val="0"/>
              <w:spacing w:before="72" w:after="0" w:line="240" w:lineRule="auto"/>
              <w:ind w:right="113"/>
              <w:jc w:val="right"/>
              <w:rPr>
                <w:rFonts w:eastAsia="Arial" w:cs="Arial"/>
                <w:sz w:val="18"/>
                <w:szCs w:val="18"/>
              </w:rPr>
            </w:pPr>
            <w:r w:rsidRPr="00DC55BE">
              <w:rPr>
                <w:rFonts w:eastAsia="Arial" w:cs="Arial"/>
                <w:sz w:val="18"/>
                <w:szCs w:val="18"/>
              </w:rPr>
              <w:t xml:space="preserve">6,663 </w:t>
            </w:r>
          </w:p>
        </w:tc>
        <w:tc>
          <w:tcPr>
            <w:tcW w:w="1033" w:type="dxa"/>
            <w:tcBorders>
              <w:top w:val="nil"/>
              <w:left w:val="nil"/>
              <w:bottom w:val="nil"/>
              <w:right w:val="nil"/>
            </w:tcBorders>
            <w:shd w:val="clear" w:color="000000" w:fill="FFFFFF"/>
            <w:vAlign w:val="center"/>
          </w:tcPr>
          <w:p w14:paraId="4ED37A96" w14:textId="77777777" w:rsidR="00432A52" w:rsidRPr="00DC55BE" w:rsidRDefault="00432A52" w:rsidP="00432A52">
            <w:pPr>
              <w:widowControl w:val="0"/>
              <w:autoSpaceDE w:val="0"/>
              <w:autoSpaceDN w:val="0"/>
              <w:spacing w:before="72" w:after="0" w:line="240" w:lineRule="auto"/>
              <w:ind w:right="112"/>
              <w:jc w:val="right"/>
              <w:rPr>
                <w:rFonts w:eastAsia="Arial" w:cs="Arial"/>
                <w:sz w:val="18"/>
                <w:szCs w:val="18"/>
              </w:rPr>
            </w:pPr>
            <w:r w:rsidRPr="00DC55BE">
              <w:rPr>
                <w:rFonts w:eastAsia="Arial" w:cs="Arial"/>
                <w:sz w:val="18"/>
                <w:szCs w:val="18"/>
              </w:rPr>
              <w:t xml:space="preserve">6,796 </w:t>
            </w:r>
          </w:p>
        </w:tc>
        <w:tc>
          <w:tcPr>
            <w:tcW w:w="1032" w:type="dxa"/>
            <w:tcBorders>
              <w:top w:val="nil"/>
              <w:left w:val="nil"/>
              <w:bottom w:val="nil"/>
              <w:right w:val="nil"/>
            </w:tcBorders>
            <w:shd w:val="clear" w:color="000000" w:fill="FFFFFF"/>
            <w:vAlign w:val="center"/>
          </w:tcPr>
          <w:p w14:paraId="221298EC" w14:textId="77777777" w:rsidR="00432A52" w:rsidRPr="00DC55BE" w:rsidRDefault="00432A52" w:rsidP="00432A52">
            <w:pPr>
              <w:widowControl w:val="0"/>
              <w:autoSpaceDE w:val="0"/>
              <w:autoSpaceDN w:val="0"/>
              <w:spacing w:before="72" w:after="0" w:line="240" w:lineRule="auto"/>
              <w:ind w:right="111"/>
              <w:jc w:val="right"/>
              <w:rPr>
                <w:rFonts w:eastAsia="Arial" w:cs="Arial"/>
                <w:sz w:val="18"/>
                <w:szCs w:val="18"/>
              </w:rPr>
            </w:pPr>
            <w:r w:rsidRPr="00DC55BE">
              <w:rPr>
                <w:rFonts w:eastAsia="Arial" w:cs="Arial"/>
                <w:sz w:val="18"/>
                <w:szCs w:val="18"/>
              </w:rPr>
              <w:t xml:space="preserve">6,932 </w:t>
            </w:r>
          </w:p>
        </w:tc>
        <w:tc>
          <w:tcPr>
            <w:tcW w:w="1356" w:type="dxa"/>
            <w:tcBorders>
              <w:top w:val="nil"/>
              <w:left w:val="nil"/>
              <w:bottom w:val="nil"/>
              <w:right w:val="nil"/>
            </w:tcBorders>
            <w:shd w:val="clear" w:color="000000" w:fill="FFFFFF"/>
            <w:vAlign w:val="center"/>
          </w:tcPr>
          <w:p w14:paraId="3E8153B3" w14:textId="77777777" w:rsidR="00432A52" w:rsidRPr="00DC55BE" w:rsidRDefault="00432A52" w:rsidP="00432A52">
            <w:pPr>
              <w:widowControl w:val="0"/>
              <w:autoSpaceDE w:val="0"/>
              <w:autoSpaceDN w:val="0"/>
              <w:spacing w:before="72" w:after="0" w:line="240" w:lineRule="auto"/>
              <w:ind w:right="107"/>
              <w:jc w:val="right"/>
              <w:rPr>
                <w:rFonts w:eastAsia="Arial" w:cs="Arial"/>
                <w:sz w:val="18"/>
                <w:szCs w:val="18"/>
              </w:rPr>
            </w:pPr>
            <w:r w:rsidRPr="00DC55BE">
              <w:rPr>
                <w:rFonts w:eastAsia="Arial" w:cs="Arial"/>
                <w:sz w:val="18"/>
                <w:szCs w:val="18"/>
              </w:rPr>
              <w:t xml:space="preserve">20,390 </w:t>
            </w:r>
          </w:p>
        </w:tc>
      </w:tr>
      <w:tr w:rsidR="00DC55BE" w:rsidRPr="00DC55BE" w14:paraId="22399852" w14:textId="77777777" w:rsidTr="0080745F">
        <w:trPr>
          <w:trHeight w:val="357"/>
        </w:trPr>
        <w:tc>
          <w:tcPr>
            <w:tcW w:w="5313" w:type="dxa"/>
            <w:tcBorders>
              <w:top w:val="single" w:sz="4" w:space="0" w:color="000000"/>
              <w:bottom w:val="single" w:sz="4" w:space="0" w:color="000000"/>
            </w:tcBorders>
          </w:tcPr>
          <w:p w14:paraId="582FCEF7" w14:textId="77777777" w:rsidR="00DC55BE" w:rsidRPr="00DC55BE" w:rsidRDefault="00DC55BE" w:rsidP="00DC55BE">
            <w:pPr>
              <w:widowControl w:val="0"/>
              <w:autoSpaceDE w:val="0"/>
              <w:autoSpaceDN w:val="0"/>
              <w:spacing w:before="75" w:after="0" w:line="240" w:lineRule="auto"/>
              <w:ind w:left="107"/>
              <w:rPr>
                <w:rFonts w:eastAsia="Arial" w:cs="Arial"/>
                <w:b/>
                <w:sz w:val="18"/>
              </w:rPr>
            </w:pPr>
            <w:r w:rsidRPr="00DC55BE">
              <w:rPr>
                <w:rFonts w:eastAsia="Arial" w:cs="Arial"/>
                <w:b/>
                <w:spacing w:val="-2"/>
                <w:sz w:val="18"/>
              </w:rPr>
              <w:t>Subtotal</w:t>
            </w:r>
          </w:p>
        </w:tc>
        <w:tc>
          <w:tcPr>
            <w:tcW w:w="1076" w:type="dxa"/>
            <w:tcBorders>
              <w:top w:val="single" w:sz="4" w:space="0" w:color="auto"/>
              <w:left w:val="nil"/>
              <w:bottom w:val="single" w:sz="4" w:space="0" w:color="auto"/>
              <w:right w:val="nil"/>
            </w:tcBorders>
            <w:shd w:val="clear" w:color="000000" w:fill="FFFFFF"/>
            <w:vAlign w:val="center"/>
          </w:tcPr>
          <w:p w14:paraId="3D23B60C" w14:textId="77777777" w:rsidR="00DC55BE" w:rsidRPr="00DC55BE" w:rsidRDefault="00DC55BE" w:rsidP="00DC55BE">
            <w:pPr>
              <w:widowControl w:val="0"/>
              <w:autoSpaceDE w:val="0"/>
              <w:autoSpaceDN w:val="0"/>
              <w:spacing w:before="75" w:after="0" w:line="240" w:lineRule="auto"/>
              <w:ind w:right="113"/>
              <w:jc w:val="right"/>
              <w:rPr>
                <w:rFonts w:eastAsia="Arial" w:cs="Arial"/>
                <w:b/>
                <w:bCs/>
                <w:sz w:val="18"/>
                <w:szCs w:val="18"/>
              </w:rPr>
            </w:pPr>
            <w:r w:rsidRPr="00DC55BE">
              <w:rPr>
                <w:rFonts w:eastAsia="Arial" w:cs="Arial"/>
                <w:b/>
                <w:bCs/>
                <w:sz w:val="18"/>
                <w:szCs w:val="18"/>
              </w:rPr>
              <w:t xml:space="preserve">6,663 </w:t>
            </w:r>
          </w:p>
        </w:tc>
        <w:tc>
          <w:tcPr>
            <w:tcW w:w="1033" w:type="dxa"/>
            <w:tcBorders>
              <w:top w:val="single" w:sz="4" w:space="0" w:color="auto"/>
              <w:left w:val="nil"/>
              <w:bottom w:val="single" w:sz="4" w:space="0" w:color="auto"/>
              <w:right w:val="nil"/>
            </w:tcBorders>
            <w:shd w:val="clear" w:color="000000" w:fill="FFFFFF"/>
            <w:vAlign w:val="center"/>
          </w:tcPr>
          <w:p w14:paraId="1E0BAC73" w14:textId="77777777" w:rsidR="00DC55BE" w:rsidRPr="00DC55BE" w:rsidRDefault="00DC55BE" w:rsidP="00DC55BE">
            <w:pPr>
              <w:widowControl w:val="0"/>
              <w:autoSpaceDE w:val="0"/>
              <w:autoSpaceDN w:val="0"/>
              <w:spacing w:before="75" w:after="0" w:line="240" w:lineRule="auto"/>
              <w:ind w:right="112"/>
              <w:jc w:val="right"/>
              <w:rPr>
                <w:rFonts w:eastAsia="Arial" w:cs="Arial"/>
                <w:b/>
                <w:bCs/>
                <w:sz w:val="18"/>
                <w:szCs w:val="18"/>
              </w:rPr>
            </w:pPr>
            <w:r w:rsidRPr="00DC55BE">
              <w:rPr>
                <w:rFonts w:eastAsia="Arial" w:cs="Arial"/>
                <w:b/>
                <w:bCs/>
                <w:sz w:val="18"/>
                <w:szCs w:val="18"/>
              </w:rPr>
              <w:t xml:space="preserve">6,796 </w:t>
            </w:r>
          </w:p>
        </w:tc>
        <w:tc>
          <w:tcPr>
            <w:tcW w:w="1032" w:type="dxa"/>
            <w:tcBorders>
              <w:top w:val="single" w:sz="4" w:space="0" w:color="auto"/>
              <w:left w:val="nil"/>
              <w:bottom w:val="single" w:sz="4" w:space="0" w:color="auto"/>
              <w:right w:val="nil"/>
            </w:tcBorders>
            <w:shd w:val="clear" w:color="000000" w:fill="FFFFFF"/>
            <w:vAlign w:val="center"/>
          </w:tcPr>
          <w:p w14:paraId="40E37332" w14:textId="77777777" w:rsidR="00DC55BE" w:rsidRPr="00DC55BE" w:rsidRDefault="00DC55BE" w:rsidP="00DC55BE">
            <w:pPr>
              <w:widowControl w:val="0"/>
              <w:autoSpaceDE w:val="0"/>
              <w:autoSpaceDN w:val="0"/>
              <w:spacing w:before="75" w:after="0" w:line="240" w:lineRule="auto"/>
              <w:ind w:right="111"/>
              <w:jc w:val="right"/>
              <w:rPr>
                <w:rFonts w:eastAsia="Arial" w:cs="Arial"/>
                <w:b/>
                <w:bCs/>
                <w:sz w:val="18"/>
                <w:szCs w:val="18"/>
              </w:rPr>
            </w:pPr>
            <w:r w:rsidRPr="00DC55BE">
              <w:rPr>
                <w:rFonts w:eastAsia="Arial" w:cs="Arial"/>
                <w:b/>
                <w:bCs/>
                <w:sz w:val="18"/>
                <w:szCs w:val="18"/>
              </w:rPr>
              <w:t xml:space="preserve">6,932 </w:t>
            </w:r>
          </w:p>
        </w:tc>
        <w:tc>
          <w:tcPr>
            <w:tcW w:w="1356" w:type="dxa"/>
            <w:tcBorders>
              <w:top w:val="single" w:sz="4" w:space="0" w:color="auto"/>
              <w:left w:val="nil"/>
              <w:bottom w:val="single" w:sz="4" w:space="0" w:color="auto"/>
              <w:right w:val="nil"/>
            </w:tcBorders>
            <w:shd w:val="clear" w:color="000000" w:fill="FFFFFF"/>
            <w:vAlign w:val="center"/>
          </w:tcPr>
          <w:p w14:paraId="70C72093" w14:textId="77777777" w:rsidR="00DC55BE" w:rsidRPr="00DC55BE" w:rsidRDefault="00DC55BE" w:rsidP="00DC55BE">
            <w:pPr>
              <w:widowControl w:val="0"/>
              <w:autoSpaceDE w:val="0"/>
              <w:autoSpaceDN w:val="0"/>
              <w:spacing w:before="75" w:after="0" w:line="240" w:lineRule="auto"/>
              <w:ind w:right="107"/>
              <w:jc w:val="right"/>
              <w:rPr>
                <w:rFonts w:eastAsia="Arial" w:cs="Arial"/>
                <w:b/>
                <w:bCs/>
                <w:sz w:val="18"/>
                <w:szCs w:val="18"/>
              </w:rPr>
            </w:pPr>
            <w:r w:rsidRPr="00DC55BE">
              <w:rPr>
                <w:rFonts w:eastAsia="Arial" w:cs="Arial"/>
                <w:b/>
                <w:bCs/>
                <w:sz w:val="18"/>
                <w:szCs w:val="18"/>
              </w:rPr>
              <w:t xml:space="preserve">20,390 </w:t>
            </w:r>
          </w:p>
        </w:tc>
      </w:tr>
      <w:tr w:rsidR="0080745F" w:rsidRPr="00DC55BE" w14:paraId="154CE3AC" w14:textId="77777777" w:rsidTr="0080745F">
        <w:trPr>
          <w:trHeight w:val="360"/>
        </w:trPr>
        <w:tc>
          <w:tcPr>
            <w:tcW w:w="5313" w:type="dxa"/>
            <w:tcBorders>
              <w:top w:val="single" w:sz="4" w:space="0" w:color="000000"/>
            </w:tcBorders>
          </w:tcPr>
          <w:p w14:paraId="16955171" w14:textId="1E3FAF8F" w:rsidR="0080745F" w:rsidRPr="00DC55BE" w:rsidRDefault="0080745F" w:rsidP="0080745F">
            <w:pPr>
              <w:widowControl w:val="0"/>
              <w:autoSpaceDE w:val="0"/>
              <w:autoSpaceDN w:val="0"/>
              <w:spacing w:before="75" w:after="0" w:line="240" w:lineRule="auto"/>
              <w:ind w:left="107"/>
              <w:rPr>
                <w:rFonts w:eastAsia="Arial" w:cs="Arial"/>
                <w:b/>
                <w:sz w:val="18"/>
              </w:rPr>
            </w:pPr>
            <w:r w:rsidRPr="0080745F">
              <w:rPr>
                <w:b/>
                <w:spacing w:val="-2"/>
                <w:sz w:val="18"/>
              </w:rPr>
              <w:t>Equipamiento</w:t>
            </w:r>
          </w:p>
        </w:tc>
        <w:tc>
          <w:tcPr>
            <w:tcW w:w="1076" w:type="dxa"/>
            <w:tcBorders>
              <w:top w:val="nil"/>
              <w:left w:val="nil"/>
              <w:bottom w:val="nil"/>
              <w:right w:val="nil"/>
            </w:tcBorders>
            <w:shd w:val="clear" w:color="000000" w:fill="FFFFFF"/>
            <w:vAlign w:val="center"/>
          </w:tcPr>
          <w:p w14:paraId="796212BF" w14:textId="77777777" w:rsidR="0080745F" w:rsidRPr="00DC55BE" w:rsidRDefault="0080745F" w:rsidP="0080745F">
            <w:pPr>
              <w:widowControl w:val="0"/>
              <w:autoSpaceDE w:val="0"/>
              <w:autoSpaceDN w:val="0"/>
              <w:spacing w:after="0" w:line="240" w:lineRule="auto"/>
              <w:jc w:val="right"/>
              <w:rPr>
                <w:rFonts w:eastAsia="Arial" w:cs="Arial"/>
                <w:sz w:val="18"/>
                <w:szCs w:val="18"/>
              </w:rPr>
            </w:pPr>
          </w:p>
        </w:tc>
        <w:tc>
          <w:tcPr>
            <w:tcW w:w="1033" w:type="dxa"/>
            <w:tcBorders>
              <w:top w:val="nil"/>
              <w:left w:val="nil"/>
              <w:bottom w:val="nil"/>
              <w:right w:val="nil"/>
            </w:tcBorders>
            <w:shd w:val="clear" w:color="000000" w:fill="FFFFFF"/>
            <w:vAlign w:val="center"/>
          </w:tcPr>
          <w:p w14:paraId="42761A27" w14:textId="77777777" w:rsidR="0080745F" w:rsidRPr="00DC55BE" w:rsidRDefault="0080745F" w:rsidP="0080745F">
            <w:pPr>
              <w:widowControl w:val="0"/>
              <w:autoSpaceDE w:val="0"/>
              <w:autoSpaceDN w:val="0"/>
              <w:spacing w:after="0" w:line="240" w:lineRule="auto"/>
              <w:jc w:val="right"/>
              <w:rPr>
                <w:rFonts w:eastAsia="Arial" w:cs="Arial"/>
                <w:sz w:val="18"/>
                <w:szCs w:val="18"/>
              </w:rPr>
            </w:pPr>
          </w:p>
        </w:tc>
        <w:tc>
          <w:tcPr>
            <w:tcW w:w="1032" w:type="dxa"/>
            <w:tcBorders>
              <w:top w:val="nil"/>
              <w:left w:val="nil"/>
              <w:bottom w:val="nil"/>
              <w:right w:val="nil"/>
            </w:tcBorders>
            <w:shd w:val="clear" w:color="000000" w:fill="FFFFFF"/>
            <w:vAlign w:val="center"/>
          </w:tcPr>
          <w:p w14:paraId="47D6323E" w14:textId="77777777" w:rsidR="0080745F" w:rsidRPr="00DC55BE" w:rsidRDefault="0080745F" w:rsidP="0080745F">
            <w:pPr>
              <w:widowControl w:val="0"/>
              <w:autoSpaceDE w:val="0"/>
              <w:autoSpaceDN w:val="0"/>
              <w:spacing w:after="0" w:line="240" w:lineRule="auto"/>
              <w:jc w:val="right"/>
              <w:rPr>
                <w:rFonts w:eastAsia="Arial" w:cs="Arial"/>
                <w:sz w:val="18"/>
                <w:szCs w:val="18"/>
              </w:rPr>
            </w:pPr>
          </w:p>
        </w:tc>
        <w:tc>
          <w:tcPr>
            <w:tcW w:w="1356" w:type="dxa"/>
            <w:tcBorders>
              <w:top w:val="nil"/>
              <w:left w:val="nil"/>
              <w:bottom w:val="nil"/>
              <w:right w:val="nil"/>
            </w:tcBorders>
            <w:shd w:val="clear" w:color="000000" w:fill="FFFFFF"/>
            <w:vAlign w:val="center"/>
          </w:tcPr>
          <w:p w14:paraId="7F5259D3" w14:textId="77777777" w:rsidR="0080745F" w:rsidRPr="00DC55BE" w:rsidRDefault="0080745F" w:rsidP="0080745F">
            <w:pPr>
              <w:widowControl w:val="0"/>
              <w:autoSpaceDE w:val="0"/>
              <w:autoSpaceDN w:val="0"/>
              <w:spacing w:after="0" w:line="240" w:lineRule="auto"/>
              <w:jc w:val="right"/>
              <w:rPr>
                <w:rFonts w:eastAsia="Arial" w:cs="Arial"/>
                <w:sz w:val="18"/>
                <w:szCs w:val="18"/>
              </w:rPr>
            </w:pPr>
          </w:p>
        </w:tc>
      </w:tr>
      <w:tr w:rsidR="0080745F" w:rsidRPr="00DC55BE" w14:paraId="6A23EA2C" w14:textId="77777777" w:rsidTr="0080745F">
        <w:trPr>
          <w:trHeight w:val="356"/>
        </w:trPr>
        <w:tc>
          <w:tcPr>
            <w:tcW w:w="5313" w:type="dxa"/>
            <w:tcBorders>
              <w:bottom w:val="single" w:sz="4" w:space="0" w:color="000000"/>
            </w:tcBorders>
          </w:tcPr>
          <w:p w14:paraId="41C7063D" w14:textId="60E0DA20" w:rsidR="0080745F" w:rsidRPr="00DC55BE" w:rsidRDefault="0080745F" w:rsidP="0080745F">
            <w:pPr>
              <w:widowControl w:val="0"/>
              <w:autoSpaceDE w:val="0"/>
              <w:autoSpaceDN w:val="0"/>
              <w:spacing w:before="72" w:after="0" w:line="240" w:lineRule="auto"/>
              <w:ind w:left="107"/>
              <w:rPr>
                <w:rFonts w:eastAsia="Arial" w:cs="Arial"/>
                <w:sz w:val="18"/>
              </w:rPr>
            </w:pPr>
            <w:r w:rsidRPr="0080745F">
              <w:rPr>
                <w:spacing w:val="-2"/>
                <w:sz w:val="18"/>
              </w:rPr>
              <w:t>Material no fungible</w:t>
            </w:r>
          </w:p>
        </w:tc>
        <w:tc>
          <w:tcPr>
            <w:tcW w:w="1076" w:type="dxa"/>
            <w:tcBorders>
              <w:top w:val="nil"/>
              <w:left w:val="nil"/>
              <w:bottom w:val="nil"/>
              <w:right w:val="nil"/>
            </w:tcBorders>
            <w:shd w:val="clear" w:color="000000" w:fill="FFFFFF"/>
            <w:vAlign w:val="center"/>
          </w:tcPr>
          <w:p w14:paraId="0B473A50" w14:textId="77777777" w:rsidR="0080745F" w:rsidRPr="00DC55BE" w:rsidRDefault="0080745F" w:rsidP="0080745F">
            <w:pPr>
              <w:widowControl w:val="0"/>
              <w:autoSpaceDE w:val="0"/>
              <w:autoSpaceDN w:val="0"/>
              <w:spacing w:before="72" w:after="0" w:line="240" w:lineRule="auto"/>
              <w:ind w:right="113"/>
              <w:jc w:val="right"/>
              <w:rPr>
                <w:rFonts w:eastAsia="Arial" w:cs="Arial"/>
                <w:sz w:val="18"/>
                <w:szCs w:val="18"/>
              </w:rPr>
            </w:pPr>
            <w:r w:rsidRPr="00DC55BE">
              <w:rPr>
                <w:rFonts w:eastAsia="Arial" w:cs="Arial"/>
                <w:sz w:val="18"/>
                <w:szCs w:val="18"/>
              </w:rPr>
              <w:t xml:space="preserve">12,062 </w:t>
            </w:r>
          </w:p>
        </w:tc>
        <w:tc>
          <w:tcPr>
            <w:tcW w:w="1033" w:type="dxa"/>
            <w:tcBorders>
              <w:top w:val="nil"/>
              <w:left w:val="nil"/>
              <w:bottom w:val="nil"/>
              <w:right w:val="nil"/>
            </w:tcBorders>
            <w:shd w:val="clear" w:color="000000" w:fill="FFFFFF"/>
            <w:vAlign w:val="center"/>
          </w:tcPr>
          <w:p w14:paraId="4694D4F8" w14:textId="77777777" w:rsidR="0080745F" w:rsidRPr="00DC55BE" w:rsidRDefault="0080745F" w:rsidP="0080745F">
            <w:pPr>
              <w:widowControl w:val="0"/>
              <w:autoSpaceDE w:val="0"/>
              <w:autoSpaceDN w:val="0"/>
              <w:spacing w:before="72" w:after="0" w:line="240" w:lineRule="auto"/>
              <w:ind w:right="112"/>
              <w:jc w:val="right"/>
              <w:rPr>
                <w:rFonts w:eastAsia="Arial" w:cs="Arial"/>
                <w:sz w:val="18"/>
                <w:szCs w:val="18"/>
              </w:rPr>
            </w:pPr>
            <w:r w:rsidRPr="00DC55BE">
              <w:rPr>
                <w:rFonts w:eastAsia="Arial" w:cs="Arial"/>
                <w:sz w:val="18"/>
                <w:szCs w:val="18"/>
              </w:rPr>
              <w:t xml:space="preserve">12,303 </w:t>
            </w:r>
          </w:p>
        </w:tc>
        <w:tc>
          <w:tcPr>
            <w:tcW w:w="1032" w:type="dxa"/>
            <w:tcBorders>
              <w:top w:val="nil"/>
              <w:left w:val="nil"/>
              <w:bottom w:val="nil"/>
              <w:right w:val="nil"/>
            </w:tcBorders>
            <w:shd w:val="clear" w:color="000000" w:fill="FFFFFF"/>
            <w:vAlign w:val="center"/>
          </w:tcPr>
          <w:p w14:paraId="56BB19FD" w14:textId="77777777" w:rsidR="0080745F" w:rsidRPr="00DC55BE" w:rsidRDefault="0080745F" w:rsidP="0080745F">
            <w:pPr>
              <w:widowControl w:val="0"/>
              <w:autoSpaceDE w:val="0"/>
              <w:autoSpaceDN w:val="0"/>
              <w:spacing w:before="72" w:after="0" w:line="240" w:lineRule="auto"/>
              <w:ind w:right="111"/>
              <w:jc w:val="right"/>
              <w:rPr>
                <w:rFonts w:eastAsia="Arial" w:cs="Arial"/>
                <w:sz w:val="18"/>
                <w:szCs w:val="18"/>
              </w:rPr>
            </w:pPr>
            <w:r w:rsidRPr="00DC55BE">
              <w:rPr>
                <w:rFonts w:eastAsia="Arial" w:cs="Arial"/>
                <w:sz w:val="18"/>
                <w:szCs w:val="18"/>
              </w:rPr>
              <w:t xml:space="preserve">12,549 </w:t>
            </w:r>
          </w:p>
        </w:tc>
        <w:tc>
          <w:tcPr>
            <w:tcW w:w="1356" w:type="dxa"/>
            <w:tcBorders>
              <w:top w:val="nil"/>
              <w:left w:val="nil"/>
              <w:bottom w:val="nil"/>
              <w:right w:val="nil"/>
            </w:tcBorders>
            <w:shd w:val="clear" w:color="000000" w:fill="FFFFFF"/>
            <w:vAlign w:val="center"/>
          </w:tcPr>
          <w:p w14:paraId="62E0EE54" w14:textId="77777777" w:rsidR="0080745F" w:rsidRPr="00DC55BE" w:rsidRDefault="0080745F" w:rsidP="0080745F">
            <w:pPr>
              <w:widowControl w:val="0"/>
              <w:autoSpaceDE w:val="0"/>
              <w:autoSpaceDN w:val="0"/>
              <w:spacing w:before="72" w:after="0" w:line="240" w:lineRule="auto"/>
              <w:ind w:right="107"/>
              <w:jc w:val="right"/>
              <w:rPr>
                <w:rFonts w:eastAsia="Arial" w:cs="Arial"/>
                <w:sz w:val="18"/>
                <w:szCs w:val="18"/>
              </w:rPr>
            </w:pPr>
            <w:r w:rsidRPr="00DC55BE">
              <w:rPr>
                <w:rFonts w:eastAsia="Arial" w:cs="Arial"/>
                <w:sz w:val="18"/>
                <w:szCs w:val="18"/>
              </w:rPr>
              <w:t xml:space="preserve">36,913 </w:t>
            </w:r>
          </w:p>
        </w:tc>
      </w:tr>
      <w:tr w:rsidR="00DC55BE" w:rsidRPr="00DC55BE" w14:paraId="6AE7BF02" w14:textId="77777777" w:rsidTr="0080745F">
        <w:trPr>
          <w:trHeight w:val="357"/>
        </w:trPr>
        <w:tc>
          <w:tcPr>
            <w:tcW w:w="5313" w:type="dxa"/>
            <w:tcBorders>
              <w:top w:val="single" w:sz="4" w:space="0" w:color="000000"/>
              <w:bottom w:val="single" w:sz="4" w:space="0" w:color="000000"/>
            </w:tcBorders>
          </w:tcPr>
          <w:p w14:paraId="7EDB9C22" w14:textId="77777777" w:rsidR="00DC55BE" w:rsidRPr="00DC55BE" w:rsidRDefault="00DC55BE" w:rsidP="00DC55BE">
            <w:pPr>
              <w:widowControl w:val="0"/>
              <w:autoSpaceDE w:val="0"/>
              <w:autoSpaceDN w:val="0"/>
              <w:spacing w:before="74" w:after="0" w:line="240" w:lineRule="auto"/>
              <w:ind w:left="107"/>
              <w:rPr>
                <w:rFonts w:eastAsia="Arial" w:cs="Arial"/>
                <w:b/>
                <w:sz w:val="18"/>
              </w:rPr>
            </w:pPr>
            <w:r w:rsidRPr="00DC55BE">
              <w:rPr>
                <w:rFonts w:eastAsia="Arial" w:cs="Arial"/>
                <w:b/>
                <w:spacing w:val="-2"/>
                <w:sz w:val="18"/>
              </w:rPr>
              <w:t>Subtotal</w:t>
            </w:r>
          </w:p>
        </w:tc>
        <w:tc>
          <w:tcPr>
            <w:tcW w:w="1076" w:type="dxa"/>
            <w:tcBorders>
              <w:top w:val="single" w:sz="4" w:space="0" w:color="auto"/>
              <w:left w:val="nil"/>
              <w:bottom w:val="single" w:sz="4" w:space="0" w:color="auto"/>
              <w:right w:val="nil"/>
            </w:tcBorders>
            <w:shd w:val="clear" w:color="000000" w:fill="FFFFFF"/>
            <w:vAlign w:val="center"/>
          </w:tcPr>
          <w:p w14:paraId="4A01B1BF" w14:textId="77777777" w:rsidR="00DC55BE" w:rsidRPr="00DC55BE" w:rsidRDefault="00DC55BE" w:rsidP="00DC55BE">
            <w:pPr>
              <w:widowControl w:val="0"/>
              <w:autoSpaceDE w:val="0"/>
              <w:autoSpaceDN w:val="0"/>
              <w:spacing w:before="74" w:after="0" w:line="240" w:lineRule="auto"/>
              <w:ind w:right="113"/>
              <w:jc w:val="right"/>
              <w:rPr>
                <w:rFonts w:eastAsia="Arial" w:cs="Arial"/>
                <w:b/>
                <w:bCs/>
                <w:sz w:val="18"/>
                <w:szCs w:val="18"/>
              </w:rPr>
            </w:pPr>
            <w:r w:rsidRPr="00DC55BE">
              <w:rPr>
                <w:rFonts w:eastAsia="Arial" w:cs="Arial"/>
                <w:b/>
                <w:bCs/>
                <w:sz w:val="18"/>
                <w:szCs w:val="18"/>
              </w:rPr>
              <w:t xml:space="preserve">12,062 </w:t>
            </w:r>
          </w:p>
        </w:tc>
        <w:tc>
          <w:tcPr>
            <w:tcW w:w="1033" w:type="dxa"/>
            <w:tcBorders>
              <w:top w:val="single" w:sz="4" w:space="0" w:color="auto"/>
              <w:left w:val="nil"/>
              <w:bottom w:val="single" w:sz="4" w:space="0" w:color="auto"/>
              <w:right w:val="nil"/>
            </w:tcBorders>
            <w:shd w:val="clear" w:color="000000" w:fill="FFFFFF"/>
            <w:vAlign w:val="center"/>
          </w:tcPr>
          <w:p w14:paraId="3E0CCDB8" w14:textId="77777777" w:rsidR="00DC55BE" w:rsidRPr="00DC55BE" w:rsidRDefault="00DC55BE" w:rsidP="00DC55BE">
            <w:pPr>
              <w:widowControl w:val="0"/>
              <w:autoSpaceDE w:val="0"/>
              <w:autoSpaceDN w:val="0"/>
              <w:spacing w:before="74" w:after="0" w:line="240" w:lineRule="auto"/>
              <w:ind w:right="112"/>
              <w:jc w:val="right"/>
              <w:rPr>
                <w:rFonts w:eastAsia="Arial" w:cs="Arial"/>
                <w:b/>
                <w:bCs/>
                <w:sz w:val="18"/>
                <w:szCs w:val="18"/>
              </w:rPr>
            </w:pPr>
            <w:r w:rsidRPr="00DC55BE">
              <w:rPr>
                <w:rFonts w:eastAsia="Arial" w:cs="Arial"/>
                <w:b/>
                <w:bCs/>
                <w:sz w:val="18"/>
                <w:szCs w:val="18"/>
              </w:rPr>
              <w:t xml:space="preserve">12,303 </w:t>
            </w:r>
          </w:p>
        </w:tc>
        <w:tc>
          <w:tcPr>
            <w:tcW w:w="1032" w:type="dxa"/>
            <w:tcBorders>
              <w:top w:val="single" w:sz="4" w:space="0" w:color="auto"/>
              <w:left w:val="nil"/>
              <w:bottom w:val="single" w:sz="4" w:space="0" w:color="auto"/>
              <w:right w:val="nil"/>
            </w:tcBorders>
            <w:shd w:val="clear" w:color="000000" w:fill="FFFFFF"/>
            <w:vAlign w:val="center"/>
          </w:tcPr>
          <w:p w14:paraId="0C3CE3D0" w14:textId="77777777" w:rsidR="00DC55BE" w:rsidRPr="00DC55BE" w:rsidRDefault="00DC55BE" w:rsidP="00DC55BE">
            <w:pPr>
              <w:widowControl w:val="0"/>
              <w:autoSpaceDE w:val="0"/>
              <w:autoSpaceDN w:val="0"/>
              <w:spacing w:before="74" w:after="0" w:line="240" w:lineRule="auto"/>
              <w:ind w:right="111"/>
              <w:jc w:val="right"/>
              <w:rPr>
                <w:rFonts w:eastAsia="Arial" w:cs="Arial"/>
                <w:b/>
                <w:bCs/>
                <w:sz w:val="18"/>
                <w:szCs w:val="18"/>
              </w:rPr>
            </w:pPr>
            <w:r w:rsidRPr="00DC55BE">
              <w:rPr>
                <w:rFonts w:eastAsia="Arial" w:cs="Arial"/>
                <w:b/>
                <w:bCs/>
                <w:sz w:val="18"/>
                <w:szCs w:val="18"/>
              </w:rPr>
              <w:t xml:space="preserve">12,549 </w:t>
            </w:r>
          </w:p>
        </w:tc>
        <w:tc>
          <w:tcPr>
            <w:tcW w:w="1356" w:type="dxa"/>
            <w:tcBorders>
              <w:top w:val="single" w:sz="4" w:space="0" w:color="auto"/>
              <w:left w:val="nil"/>
              <w:bottom w:val="single" w:sz="4" w:space="0" w:color="auto"/>
              <w:right w:val="nil"/>
            </w:tcBorders>
            <w:shd w:val="clear" w:color="000000" w:fill="FFFFFF"/>
            <w:vAlign w:val="center"/>
          </w:tcPr>
          <w:p w14:paraId="16FC5F7B" w14:textId="77777777" w:rsidR="00DC55BE" w:rsidRPr="00DC55BE" w:rsidRDefault="00DC55BE" w:rsidP="00DC55BE">
            <w:pPr>
              <w:widowControl w:val="0"/>
              <w:autoSpaceDE w:val="0"/>
              <w:autoSpaceDN w:val="0"/>
              <w:spacing w:before="74" w:after="0" w:line="240" w:lineRule="auto"/>
              <w:ind w:right="107"/>
              <w:jc w:val="right"/>
              <w:rPr>
                <w:rFonts w:eastAsia="Arial" w:cs="Arial"/>
                <w:b/>
                <w:bCs/>
                <w:sz w:val="18"/>
                <w:szCs w:val="18"/>
              </w:rPr>
            </w:pPr>
            <w:r w:rsidRPr="00DC55BE">
              <w:rPr>
                <w:rFonts w:eastAsia="Arial" w:cs="Arial"/>
                <w:b/>
                <w:bCs/>
                <w:sz w:val="18"/>
                <w:szCs w:val="18"/>
              </w:rPr>
              <w:t xml:space="preserve">36,913 </w:t>
            </w:r>
          </w:p>
        </w:tc>
      </w:tr>
      <w:tr w:rsidR="0080745F" w:rsidRPr="00DC55BE" w14:paraId="0F1519B1" w14:textId="77777777" w:rsidTr="00BF0D46">
        <w:trPr>
          <w:trHeight w:val="278"/>
        </w:trPr>
        <w:tc>
          <w:tcPr>
            <w:tcW w:w="5313" w:type="dxa"/>
            <w:tcBorders>
              <w:top w:val="single" w:sz="4" w:space="0" w:color="000000"/>
            </w:tcBorders>
          </w:tcPr>
          <w:p w14:paraId="57979AF3" w14:textId="743DF6F5" w:rsidR="0080745F" w:rsidRPr="00DC55BE" w:rsidRDefault="0080745F" w:rsidP="0080745F">
            <w:pPr>
              <w:widowControl w:val="0"/>
              <w:autoSpaceDE w:val="0"/>
              <w:autoSpaceDN w:val="0"/>
              <w:spacing w:before="75" w:after="0" w:line="240" w:lineRule="auto"/>
              <w:ind w:left="107"/>
              <w:rPr>
                <w:rFonts w:eastAsia="Arial" w:cs="Arial"/>
                <w:b/>
                <w:sz w:val="18"/>
              </w:rPr>
            </w:pPr>
            <w:r w:rsidRPr="0080745F">
              <w:rPr>
                <w:rFonts w:eastAsia="Arial" w:cs="Arial"/>
                <w:b/>
                <w:color w:val="000000"/>
                <w:sz w:val="18"/>
                <w:szCs w:val="18"/>
                <w:lang w:val="es-ES"/>
              </w:rPr>
              <w:t>Viajes</w:t>
            </w:r>
          </w:p>
        </w:tc>
        <w:tc>
          <w:tcPr>
            <w:tcW w:w="1076" w:type="dxa"/>
            <w:tcBorders>
              <w:top w:val="nil"/>
              <w:left w:val="nil"/>
              <w:bottom w:val="nil"/>
              <w:right w:val="nil"/>
            </w:tcBorders>
            <w:shd w:val="clear" w:color="000000" w:fill="FFFFFF"/>
            <w:vAlign w:val="center"/>
          </w:tcPr>
          <w:p w14:paraId="6E20336B" w14:textId="77777777" w:rsidR="0080745F" w:rsidRPr="00DC55BE" w:rsidRDefault="0080745F" w:rsidP="0080745F">
            <w:pPr>
              <w:widowControl w:val="0"/>
              <w:autoSpaceDE w:val="0"/>
              <w:autoSpaceDN w:val="0"/>
              <w:spacing w:after="0" w:line="240" w:lineRule="auto"/>
              <w:jc w:val="right"/>
              <w:rPr>
                <w:rFonts w:eastAsia="Arial" w:cs="Arial"/>
                <w:sz w:val="18"/>
                <w:szCs w:val="18"/>
              </w:rPr>
            </w:pPr>
          </w:p>
        </w:tc>
        <w:tc>
          <w:tcPr>
            <w:tcW w:w="1033" w:type="dxa"/>
            <w:tcBorders>
              <w:top w:val="nil"/>
              <w:left w:val="nil"/>
              <w:bottom w:val="nil"/>
              <w:right w:val="nil"/>
            </w:tcBorders>
            <w:shd w:val="clear" w:color="000000" w:fill="FFFFFF"/>
            <w:vAlign w:val="center"/>
          </w:tcPr>
          <w:p w14:paraId="64617339" w14:textId="77777777" w:rsidR="0080745F" w:rsidRPr="00DC55BE" w:rsidRDefault="0080745F" w:rsidP="0080745F">
            <w:pPr>
              <w:widowControl w:val="0"/>
              <w:autoSpaceDE w:val="0"/>
              <w:autoSpaceDN w:val="0"/>
              <w:spacing w:after="0" w:line="240" w:lineRule="auto"/>
              <w:jc w:val="right"/>
              <w:rPr>
                <w:rFonts w:eastAsia="Arial" w:cs="Arial"/>
                <w:sz w:val="18"/>
                <w:szCs w:val="18"/>
              </w:rPr>
            </w:pPr>
          </w:p>
        </w:tc>
        <w:tc>
          <w:tcPr>
            <w:tcW w:w="1032" w:type="dxa"/>
            <w:tcBorders>
              <w:top w:val="nil"/>
              <w:left w:val="nil"/>
              <w:bottom w:val="nil"/>
              <w:right w:val="nil"/>
            </w:tcBorders>
            <w:shd w:val="clear" w:color="000000" w:fill="FFFFFF"/>
            <w:vAlign w:val="center"/>
          </w:tcPr>
          <w:p w14:paraId="098E4C85" w14:textId="77777777" w:rsidR="0080745F" w:rsidRPr="00DC55BE" w:rsidRDefault="0080745F" w:rsidP="0080745F">
            <w:pPr>
              <w:widowControl w:val="0"/>
              <w:autoSpaceDE w:val="0"/>
              <w:autoSpaceDN w:val="0"/>
              <w:spacing w:after="0" w:line="240" w:lineRule="auto"/>
              <w:jc w:val="right"/>
              <w:rPr>
                <w:rFonts w:eastAsia="Arial" w:cs="Arial"/>
                <w:sz w:val="18"/>
                <w:szCs w:val="18"/>
              </w:rPr>
            </w:pPr>
          </w:p>
        </w:tc>
        <w:tc>
          <w:tcPr>
            <w:tcW w:w="1356" w:type="dxa"/>
            <w:tcBorders>
              <w:top w:val="nil"/>
              <w:left w:val="nil"/>
              <w:bottom w:val="nil"/>
              <w:right w:val="nil"/>
            </w:tcBorders>
            <w:shd w:val="clear" w:color="000000" w:fill="FFFFFF"/>
            <w:vAlign w:val="center"/>
          </w:tcPr>
          <w:p w14:paraId="331A32A1" w14:textId="77777777" w:rsidR="0080745F" w:rsidRPr="00DC55BE" w:rsidRDefault="0080745F" w:rsidP="0080745F">
            <w:pPr>
              <w:widowControl w:val="0"/>
              <w:autoSpaceDE w:val="0"/>
              <w:autoSpaceDN w:val="0"/>
              <w:spacing w:after="0" w:line="240" w:lineRule="auto"/>
              <w:jc w:val="right"/>
              <w:rPr>
                <w:rFonts w:eastAsia="Arial" w:cs="Arial"/>
                <w:sz w:val="18"/>
                <w:szCs w:val="18"/>
              </w:rPr>
            </w:pPr>
          </w:p>
        </w:tc>
      </w:tr>
      <w:tr w:rsidR="0080745F" w:rsidRPr="00DC55BE" w14:paraId="5C893E84" w14:textId="77777777" w:rsidTr="0080745F">
        <w:trPr>
          <w:trHeight w:val="357"/>
        </w:trPr>
        <w:tc>
          <w:tcPr>
            <w:tcW w:w="5313" w:type="dxa"/>
          </w:tcPr>
          <w:p w14:paraId="37874E8D" w14:textId="6A2DC873" w:rsidR="0080745F" w:rsidRPr="00DC55BE" w:rsidRDefault="0080745F" w:rsidP="0080745F">
            <w:pPr>
              <w:widowControl w:val="0"/>
              <w:autoSpaceDE w:val="0"/>
              <w:autoSpaceDN w:val="0"/>
              <w:spacing w:before="72" w:after="0" w:line="240" w:lineRule="auto"/>
              <w:ind w:left="107"/>
              <w:rPr>
                <w:rFonts w:eastAsia="Arial" w:cs="Arial"/>
                <w:sz w:val="18"/>
              </w:rPr>
            </w:pPr>
            <w:r w:rsidRPr="0080745F">
              <w:rPr>
                <w:rFonts w:eastAsia="Arial" w:cs="Arial"/>
                <w:color w:val="000000"/>
                <w:sz w:val="18"/>
                <w:szCs w:val="18"/>
                <w:lang w:val="es-ES"/>
              </w:rPr>
              <w:t>Viajes del personal</w:t>
            </w:r>
          </w:p>
        </w:tc>
        <w:tc>
          <w:tcPr>
            <w:tcW w:w="1076" w:type="dxa"/>
            <w:tcBorders>
              <w:top w:val="nil"/>
              <w:left w:val="nil"/>
              <w:bottom w:val="nil"/>
              <w:right w:val="nil"/>
            </w:tcBorders>
            <w:shd w:val="clear" w:color="000000" w:fill="FFFFFF"/>
            <w:vAlign w:val="center"/>
          </w:tcPr>
          <w:p w14:paraId="5CDD5A5A" w14:textId="77777777" w:rsidR="0080745F" w:rsidRPr="00DC55BE" w:rsidRDefault="0080745F" w:rsidP="0080745F">
            <w:pPr>
              <w:widowControl w:val="0"/>
              <w:autoSpaceDE w:val="0"/>
              <w:autoSpaceDN w:val="0"/>
              <w:spacing w:before="72" w:after="0" w:line="240" w:lineRule="auto"/>
              <w:ind w:right="113"/>
              <w:jc w:val="right"/>
              <w:rPr>
                <w:rFonts w:eastAsia="Arial" w:cs="Arial"/>
                <w:sz w:val="18"/>
                <w:szCs w:val="18"/>
              </w:rPr>
            </w:pPr>
            <w:r w:rsidRPr="00DC55BE">
              <w:rPr>
                <w:rFonts w:eastAsia="Arial" w:cs="Arial"/>
                <w:sz w:val="18"/>
                <w:szCs w:val="18"/>
              </w:rPr>
              <w:t xml:space="preserve">73,172 </w:t>
            </w:r>
          </w:p>
        </w:tc>
        <w:tc>
          <w:tcPr>
            <w:tcW w:w="1033" w:type="dxa"/>
            <w:tcBorders>
              <w:top w:val="nil"/>
              <w:left w:val="nil"/>
              <w:bottom w:val="nil"/>
              <w:right w:val="nil"/>
            </w:tcBorders>
            <w:shd w:val="clear" w:color="000000" w:fill="FFFFFF"/>
            <w:vAlign w:val="center"/>
          </w:tcPr>
          <w:p w14:paraId="32E01473" w14:textId="77777777" w:rsidR="0080745F" w:rsidRPr="00DC55BE" w:rsidRDefault="0080745F" w:rsidP="0080745F">
            <w:pPr>
              <w:widowControl w:val="0"/>
              <w:autoSpaceDE w:val="0"/>
              <w:autoSpaceDN w:val="0"/>
              <w:spacing w:before="72" w:after="0" w:line="240" w:lineRule="auto"/>
              <w:ind w:right="112"/>
              <w:jc w:val="right"/>
              <w:rPr>
                <w:rFonts w:eastAsia="Arial" w:cs="Arial"/>
                <w:sz w:val="18"/>
                <w:szCs w:val="18"/>
              </w:rPr>
            </w:pPr>
            <w:r w:rsidRPr="00DC55BE">
              <w:rPr>
                <w:rFonts w:eastAsia="Arial" w:cs="Arial"/>
                <w:sz w:val="18"/>
                <w:szCs w:val="18"/>
              </w:rPr>
              <w:t xml:space="preserve">74,635 </w:t>
            </w:r>
          </w:p>
        </w:tc>
        <w:tc>
          <w:tcPr>
            <w:tcW w:w="1032" w:type="dxa"/>
            <w:tcBorders>
              <w:top w:val="nil"/>
              <w:left w:val="nil"/>
              <w:bottom w:val="nil"/>
              <w:right w:val="nil"/>
            </w:tcBorders>
            <w:shd w:val="clear" w:color="000000" w:fill="FFFFFF"/>
            <w:vAlign w:val="center"/>
          </w:tcPr>
          <w:p w14:paraId="597D4CE1" w14:textId="77777777" w:rsidR="0080745F" w:rsidRPr="00DC55BE" w:rsidRDefault="0080745F" w:rsidP="0080745F">
            <w:pPr>
              <w:widowControl w:val="0"/>
              <w:autoSpaceDE w:val="0"/>
              <w:autoSpaceDN w:val="0"/>
              <w:spacing w:before="72" w:after="0" w:line="240" w:lineRule="auto"/>
              <w:ind w:right="111"/>
              <w:jc w:val="right"/>
              <w:rPr>
                <w:rFonts w:eastAsia="Arial" w:cs="Arial"/>
                <w:sz w:val="18"/>
                <w:szCs w:val="18"/>
              </w:rPr>
            </w:pPr>
            <w:r w:rsidRPr="00DC55BE">
              <w:rPr>
                <w:rFonts w:eastAsia="Arial" w:cs="Arial"/>
                <w:sz w:val="18"/>
                <w:szCs w:val="18"/>
              </w:rPr>
              <w:t xml:space="preserve">76,128 </w:t>
            </w:r>
          </w:p>
        </w:tc>
        <w:tc>
          <w:tcPr>
            <w:tcW w:w="1356" w:type="dxa"/>
            <w:tcBorders>
              <w:top w:val="nil"/>
              <w:left w:val="nil"/>
              <w:bottom w:val="nil"/>
              <w:right w:val="nil"/>
            </w:tcBorders>
            <w:shd w:val="clear" w:color="000000" w:fill="FFFFFF"/>
            <w:vAlign w:val="center"/>
          </w:tcPr>
          <w:p w14:paraId="36FB2A0E" w14:textId="77777777" w:rsidR="0080745F" w:rsidRPr="00DC55BE" w:rsidRDefault="0080745F" w:rsidP="0080745F">
            <w:pPr>
              <w:widowControl w:val="0"/>
              <w:autoSpaceDE w:val="0"/>
              <w:autoSpaceDN w:val="0"/>
              <w:spacing w:before="72" w:after="0" w:line="240" w:lineRule="auto"/>
              <w:ind w:right="107"/>
              <w:jc w:val="right"/>
              <w:rPr>
                <w:rFonts w:eastAsia="Arial" w:cs="Arial"/>
                <w:sz w:val="18"/>
                <w:szCs w:val="18"/>
              </w:rPr>
            </w:pPr>
            <w:r w:rsidRPr="00DC55BE">
              <w:rPr>
                <w:rFonts w:eastAsia="Arial" w:cs="Arial"/>
                <w:sz w:val="18"/>
                <w:szCs w:val="18"/>
              </w:rPr>
              <w:t xml:space="preserve">223,935 </w:t>
            </w:r>
          </w:p>
        </w:tc>
      </w:tr>
      <w:tr w:rsidR="0080745F" w:rsidRPr="00DC55BE" w14:paraId="15BAD750" w14:textId="77777777" w:rsidTr="0080745F">
        <w:trPr>
          <w:trHeight w:val="357"/>
        </w:trPr>
        <w:tc>
          <w:tcPr>
            <w:tcW w:w="5313" w:type="dxa"/>
          </w:tcPr>
          <w:p w14:paraId="18302938" w14:textId="5317168A" w:rsidR="0080745F" w:rsidRPr="00DC55BE" w:rsidRDefault="0080745F" w:rsidP="0080745F">
            <w:pPr>
              <w:widowControl w:val="0"/>
              <w:autoSpaceDE w:val="0"/>
              <w:autoSpaceDN w:val="0"/>
              <w:spacing w:before="72" w:after="0" w:line="240" w:lineRule="auto"/>
              <w:ind w:left="107"/>
              <w:rPr>
                <w:rFonts w:eastAsia="Arial" w:cs="Arial"/>
                <w:sz w:val="18"/>
              </w:rPr>
            </w:pPr>
            <w:r w:rsidRPr="0080745F">
              <w:rPr>
                <w:rFonts w:eastAsia="Arial" w:cs="Arial"/>
                <w:color w:val="000000"/>
                <w:sz w:val="18"/>
                <w:szCs w:val="18"/>
                <w:lang w:val="es-ES"/>
              </w:rPr>
              <w:t>Viajes del personal</w:t>
            </w:r>
            <w:r w:rsidRPr="0080745F">
              <w:rPr>
                <w:spacing w:val="-2"/>
                <w:sz w:val="18"/>
              </w:rPr>
              <w:t xml:space="preserve"> </w:t>
            </w:r>
            <w:r w:rsidRPr="0080745F">
              <w:rPr>
                <w:sz w:val="18"/>
              </w:rPr>
              <w:t>-</w:t>
            </w:r>
            <w:r w:rsidRPr="0080745F">
              <w:rPr>
                <w:spacing w:val="-1"/>
                <w:sz w:val="18"/>
              </w:rPr>
              <w:t xml:space="preserve"> </w:t>
            </w:r>
            <w:r w:rsidRPr="0080745F">
              <w:rPr>
                <w:spacing w:val="-2"/>
                <w:sz w:val="18"/>
              </w:rPr>
              <w:t>COP15</w:t>
            </w:r>
          </w:p>
        </w:tc>
        <w:tc>
          <w:tcPr>
            <w:tcW w:w="1076" w:type="dxa"/>
            <w:tcBorders>
              <w:top w:val="nil"/>
              <w:left w:val="nil"/>
              <w:bottom w:val="nil"/>
              <w:right w:val="nil"/>
            </w:tcBorders>
            <w:shd w:val="clear" w:color="000000" w:fill="FFFFFF"/>
            <w:vAlign w:val="center"/>
          </w:tcPr>
          <w:p w14:paraId="0AAA05F7" w14:textId="77777777" w:rsidR="0080745F" w:rsidRPr="00DC55BE" w:rsidRDefault="0080745F" w:rsidP="0080745F">
            <w:pPr>
              <w:widowControl w:val="0"/>
              <w:autoSpaceDE w:val="0"/>
              <w:autoSpaceDN w:val="0"/>
              <w:spacing w:before="72" w:after="0" w:line="240" w:lineRule="auto"/>
              <w:ind w:right="113"/>
              <w:jc w:val="right"/>
              <w:rPr>
                <w:rFonts w:eastAsia="Arial" w:cs="Arial"/>
                <w:sz w:val="18"/>
                <w:szCs w:val="18"/>
              </w:rPr>
            </w:pPr>
          </w:p>
        </w:tc>
        <w:tc>
          <w:tcPr>
            <w:tcW w:w="1033" w:type="dxa"/>
            <w:tcBorders>
              <w:top w:val="nil"/>
              <w:left w:val="nil"/>
              <w:bottom w:val="nil"/>
              <w:right w:val="nil"/>
            </w:tcBorders>
            <w:shd w:val="clear" w:color="000000" w:fill="FFFFFF"/>
            <w:vAlign w:val="center"/>
          </w:tcPr>
          <w:p w14:paraId="37B3862F" w14:textId="77777777" w:rsidR="0080745F" w:rsidRPr="00DC55BE" w:rsidRDefault="0080745F" w:rsidP="0080745F">
            <w:pPr>
              <w:widowControl w:val="0"/>
              <w:autoSpaceDE w:val="0"/>
              <w:autoSpaceDN w:val="0"/>
              <w:spacing w:before="72" w:after="0" w:line="240" w:lineRule="auto"/>
              <w:ind w:right="111"/>
              <w:jc w:val="right"/>
              <w:rPr>
                <w:rFonts w:eastAsia="Arial" w:cs="Arial"/>
                <w:sz w:val="18"/>
                <w:szCs w:val="18"/>
              </w:rPr>
            </w:pPr>
          </w:p>
        </w:tc>
        <w:tc>
          <w:tcPr>
            <w:tcW w:w="1032" w:type="dxa"/>
            <w:tcBorders>
              <w:top w:val="nil"/>
              <w:left w:val="nil"/>
              <w:bottom w:val="nil"/>
              <w:right w:val="nil"/>
            </w:tcBorders>
            <w:shd w:val="clear" w:color="000000" w:fill="FFFFFF"/>
            <w:vAlign w:val="center"/>
          </w:tcPr>
          <w:p w14:paraId="7D2F8E6A" w14:textId="77777777" w:rsidR="0080745F" w:rsidRPr="00DC55BE" w:rsidRDefault="0080745F" w:rsidP="0080745F">
            <w:pPr>
              <w:widowControl w:val="0"/>
              <w:autoSpaceDE w:val="0"/>
              <w:autoSpaceDN w:val="0"/>
              <w:spacing w:before="72" w:after="0" w:line="240" w:lineRule="auto"/>
              <w:ind w:right="111"/>
              <w:jc w:val="right"/>
              <w:rPr>
                <w:rFonts w:eastAsia="Arial" w:cs="Arial"/>
                <w:sz w:val="18"/>
                <w:szCs w:val="18"/>
              </w:rPr>
            </w:pPr>
            <w:r w:rsidRPr="00DC55BE">
              <w:rPr>
                <w:rFonts w:eastAsia="Arial" w:cs="Arial"/>
                <w:sz w:val="18"/>
                <w:szCs w:val="18"/>
              </w:rPr>
              <w:t xml:space="preserve">63,341 </w:t>
            </w:r>
          </w:p>
        </w:tc>
        <w:tc>
          <w:tcPr>
            <w:tcW w:w="1356" w:type="dxa"/>
            <w:tcBorders>
              <w:top w:val="nil"/>
              <w:left w:val="nil"/>
              <w:bottom w:val="nil"/>
              <w:right w:val="nil"/>
            </w:tcBorders>
            <w:shd w:val="clear" w:color="000000" w:fill="FFFFFF"/>
            <w:vAlign w:val="center"/>
          </w:tcPr>
          <w:p w14:paraId="24777471" w14:textId="77777777" w:rsidR="0080745F" w:rsidRPr="00DC55BE" w:rsidRDefault="0080745F" w:rsidP="0080745F">
            <w:pPr>
              <w:widowControl w:val="0"/>
              <w:autoSpaceDE w:val="0"/>
              <w:autoSpaceDN w:val="0"/>
              <w:spacing w:before="72" w:after="0" w:line="240" w:lineRule="auto"/>
              <w:ind w:right="107"/>
              <w:jc w:val="right"/>
              <w:rPr>
                <w:rFonts w:eastAsia="Arial" w:cs="Arial"/>
                <w:sz w:val="18"/>
                <w:szCs w:val="18"/>
              </w:rPr>
            </w:pPr>
            <w:r w:rsidRPr="00DC55BE">
              <w:rPr>
                <w:rFonts w:eastAsia="Arial" w:cs="Arial"/>
                <w:sz w:val="18"/>
                <w:szCs w:val="18"/>
              </w:rPr>
              <w:t xml:space="preserve">63,341 </w:t>
            </w:r>
          </w:p>
        </w:tc>
      </w:tr>
      <w:tr w:rsidR="00DC55BE" w:rsidRPr="00DC55BE" w14:paraId="76A93E06" w14:textId="77777777" w:rsidTr="0080745F">
        <w:trPr>
          <w:trHeight w:val="357"/>
        </w:trPr>
        <w:tc>
          <w:tcPr>
            <w:tcW w:w="5313" w:type="dxa"/>
          </w:tcPr>
          <w:p w14:paraId="3BE2DDBF" w14:textId="60B895EE" w:rsidR="00DC55BE" w:rsidRPr="00DC55BE" w:rsidRDefault="0080745F" w:rsidP="00DC55BE">
            <w:pPr>
              <w:widowControl w:val="0"/>
              <w:autoSpaceDE w:val="0"/>
              <w:autoSpaceDN w:val="0"/>
              <w:spacing w:before="72" w:after="0" w:line="240" w:lineRule="auto"/>
              <w:ind w:left="107"/>
              <w:rPr>
                <w:rFonts w:eastAsia="Arial" w:cs="Arial"/>
                <w:color w:val="FF0000"/>
                <w:sz w:val="18"/>
              </w:rPr>
            </w:pPr>
            <w:r w:rsidRPr="0080745F">
              <w:rPr>
                <w:rFonts w:eastAsia="Arial" w:cs="Arial"/>
                <w:color w:val="FF0000"/>
                <w:sz w:val="18"/>
              </w:rPr>
              <w:t>Reuniones del Comité Permanente</w:t>
            </w:r>
          </w:p>
        </w:tc>
        <w:tc>
          <w:tcPr>
            <w:tcW w:w="1076" w:type="dxa"/>
            <w:tcBorders>
              <w:top w:val="nil"/>
              <w:left w:val="nil"/>
              <w:bottom w:val="nil"/>
              <w:right w:val="nil"/>
            </w:tcBorders>
            <w:shd w:val="clear" w:color="000000" w:fill="FFFFFF"/>
            <w:vAlign w:val="center"/>
          </w:tcPr>
          <w:p w14:paraId="0961BF62" w14:textId="77777777" w:rsidR="00DC55BE" w:rsidRPr="00DC55BE" w:rsidRDefault="00DC55BE" w:rsidP="00DC55BE">
            <w:pPr>
              <w:widowControl w:val="0"/>
              <w:autoSpaceDE w:val="0"/>
              <w:autoSpaceDN w:val="0"/>
              <w:spacing w:before="72" w:after="0" w:line="240" w:lineRule="auto"/>
              <w:ind w:right="113"/>
              <w:jc w:val="right"/>
              <w:rPr>
                <w:rFonts w:eastAsia="Arial" w:cs="Arial"/>
                <w:color w:val="FF0000"/>
                <w:sz w:val="18"/>
                <w:szCs w:val="18"/>
              </w:rPr>
            </w:pPr>
            <w:r w:rsidRPr="00DC55BE">
              <w:rPr>
                <w:rFonts w:eastAsia="Arial" w:cs="Arial"/>
                <w:color w:val="FF0000"/>
                <w:sz w:val="18"/>
                <w:szCs w:val="18"/>
              </w:rPr>
              <w:t xml:space="preserve">30,000 </w:t>
            </w:r>
          </w:p>
        </w:tc>
        <w:tc>
          <w:tcPr>
            <w:tcW w:w="1033" w:type="dxa"/>
            <w:tcBorders>
              <w:top w:val="nil"/>
              <w:left w:val="nil"/>
              <w:bottom w:val="nil"/>
              <w:right w:val="nil"/>
            </w:tcBorders>
            <w:shd w:val="clear" w:color="000000" w:fill="FFFFFF"/>
            <w:vAlign w:val="center"/>
          </w:tcPr>
          <w:p w14:paraId="05F7C1A9" w14:textId="77777777" w:rsidR="00DC55BE" w:rsidRPr="00DC55BE" w:rsidRDefault="00DC55BE" w:rsidP="00DC55BE">
            <w:pPr>
              <w:widowControl w:val="0"/>
              <w:autoSpaceDE w:val="0"/>
              <w:autoSpaceDN w:val="0"/>
              <w:spacing w:before="72" w:after="0" w:line="240" w:lineRule="auto"/>
              <w:ind w:right="112"/>
              <w:jc w:val="right"/>
              <w:rPr>
                <w:rFonts w:eastAsia="Arial" w:cs="Arial"/>
                <w:color w:val="FF0000"/>
                <w:sz w:val="18"/>
                <w:szCs w:val="18"/>
              </w:rPr>
            </w:pPr>
            <w:r w:rsidRPr="00DC55BE">
              <w:rPr>
                <w:rFonts w:eastAsia="Arial" w:cs="Arial"/>
                <w:color w:val="FF0000"/>
                <w:sz w:val="18"/>
                <w:szCs w:val="18"/>
              </w:rPr>
              <w:t xml:space="preserve">30,600 </w:t>
            </w:r>
          </w:p>
        </w:tc>
        <w:tc>
          <w:tcPr>
            <w:tcW w:w="1032" w:type="dxa"/>
            <w:tcBorders>
              <w:top w:val="nil"/>
              <w:left w:val="nil"/>
              <w:bottom w:val="nil"/>
              <w:right w:val="nil"/>
            </w:tcBorders>
            <w:shd w:val="clear" w:color="000000" w:fill="FFFFFF"/>
            <w:vAlign w:val="center"/>
          </w:tcPr>
          <w:p w14:paraId="0CCD2692" w14:textId="77777777" w:rsidR="00DC55BE" w:rsidRPr="00DC55BE" w:rsidRDefault="00DC55BE" w:rsidP="00DC55BE">
            <w:pPr>
              <w:widowControl w:val="0"/>
              <w:autoSpaceDE w:val="0"/>
              <w:autoSpaceDN w:val="0"/>
              <w:spacing w:before="72" w:after="0" w:line="240" w:lineRule="auto"/>
              <w:ind w:right="111"/>
              <w:jc w:val="right"/>
              <w:rPr>
                <w:rFonts w:eastAsia="Arial" w:cs="Arial"/>
                <w:color w:val="FF0000"/>
                <w:sz w:val="18"/>
                <w:szCs w:val="18"/>
              </w:rPr>
            </w:pPr>
          </w:p>
        </w:tc>
        <w:tc>
          <w:tcPr>
            <w:tcW w:w="1356" w:type="dxa"/>
            <w:tcBorders>
              <w:top w:val="nil"/>
              <w:left w:val="nil"/>
              <w:bottom w:val="nil"/>
              <w:right w:val="nil"/>
            </w:tcBorders>
            <w:shd w:val="clear" w:color="000000" w:fill="FFFFFF"/>
            <w:vAlign w:val="center"/>
          </w:tcPr>
          <w:p w14:paraId="354D6F07" w14:textId="77777777" w:rsidR="00DC55BE" w:rsidRPr="00DC55BE" w:rsidRDefault="00DC55BE" w:rsidP="00DC55BE">
            <w:pPr>
              <w:widowControl w:val="0"/>
              <w:autoSpaceDE w:val="0"/>
              <w:autoSpaceDN w:val="0"/>
              <w:spacing w:before="72" w:after="0" w:line="240" w:lineRule="auto"/>
              <w:ind w:right="107"/>
              <w:jc w:val="right"/>
              <w:rPr>
                <w:rFonts w:eastAsia="Arial" w:cs="Arial"/>
                <w:color w:val="FF0000"/>
                <w:sz w:val="18"/>
                <w:szCs w:val="18"/>
              </w:rPr>
            </w:pPr>
            <w:r w:rsidRPr="00DC55BE">
              <w:rPr>
                <w:rFonts w:eastAsia="Arial" w:cs="Arial"/>
                <w:color w:val="FF0000"/>
                <w:sz w:val="18"/>
                <w:szCs w:val="18"/>
              </w:rPr>
              <w:t xml:space="preserve">60,600 </w:t>
            </w:r>
          </w:p>
        </w:tc>
      </w:tr>
      <w:tr w:rsidR="00DC55BE" w:rsidRPr="00DC55BE" w14:paraId="77E9CC64" w14:textId="77777777" w:rsidTr="0080745F">
        <w:trPr>
          <w:trHeight w:val="356"/>
        </w:trPr>
        <w:tc>
          <w:tcPr>
            <w:tcW w:w="5313" w:type="dxa"/>
            <w:tcBorders>
              <w:bottom w:val="single" w:sz="4" w:space="0" w:color="000000"/>
            </w:tcBorders>
          </w:tcPr>
          <w:p w14:paraId="55BD6E41" w14:textId="312C5021" w:rsidR="00DC55BE" w:rsidRPr="00DC55BE" w:rsidRDefault="0080745F" w:rsidP="00DC55BE">
            <w:pPr>
              <w:widowControl w:val="0"/>
              <w:autoSpaceDE w:val="0"/>
              <w:autoSpaceDN w:val="0"/>
              <w:spacing w:before="72" w:after="0" w:line="240" w:lineRule="auto"/>
              <w:ind w:left="107"/>
              <w:rPr>
                <w:rFonts w:eastAsia="Arial" w:cs="Arial"/>
                <w:color w:val="FF0000"/>
                <w:sz w:val="18"/>
              </w:rPr>
            </w:pPr>
            <w:r w:rsidRPr="0080745F">
              <w:rPr>
                <w:rFonts w:eastAsia="Arial" w:cs="Arial"/>
                <w:color w:val="FF0000"/>
                <w:sz w:val="18"/>
              </w:rPr>
              <w:t>Reuniones del Consejo Científico</w:t>
            </w:r>
          </w:p>
        </w:tc>
        <w:tc>
          <w:tcPr>
            <w:tcW w:w="1076" w:type="dxa"/>
            <w:tcBorders>
              <w:top w:val="nil"/>
              <w:left w:val="nil"/>
              <w:bottom w:val="nil"/>
              <w:right w:val="nil"/>
            </w:tcBorders>
            <w:shd w:val="clear" w:color="000000" w:fill="FFFFFF"/>
            <w:vAlign w:val="center"/>
          </w:tcPr>
          <w:p w14:paraId="5F3B9A0A" w14:textId="77777777" w:rsidR="00DC55BE" w:rsidRPr="00DC55BE" w:rsidRDefault="00DC55BE" w:rsidP="00DC55BE">
            <w:pPr>
              <w:widowControl w:val="0"/>
              <w:autoSpaceDE w:val="0"/>
              <w:autoSpaceDN w:val="0"/>
              <w:spacing w:before="72" w:after="0" w:line="240" w:lineRule="auto"/>
              <w:ind w:right="113"/>
              <w:jc w:val="right"/>
              <w:rPr>
                <w:rFonts w:eastAsia="Arial" w:cs="Arial"/>
                <w:color w:val="FF0000"/>
                <w:sz w:val="18"/>
                <w:szCs w:val="18"/>
              </w:rPr>
            </w:pPr>
            <w:r w:rsidRPr="00DC55BE">
              <w:rPr>
                <w:rFonts w:eastAsia="Arial" w:cs="Arial"/>
                <w:color w:val="FF0000"/>
                <w:sz w:val="18"/>
                <w:szCs w:val="18"/>
              </w:rPr>
              <w:t xml:space="preserve">85,000 </w:t>
            </w:r>
          </w:p>
        </w:tc>
        <w:tc>
          <w:tcPr>
            <w:tcW w:w="1033" w:type="dxa"/>
            <w:tcBorders>
              <w:top w:val="nil"/>
              <w:left w:val="nil"/>
              <w:bottom w:val="nil"/>
              <w:right w:val="nil"/>
            </w:tcBorders>
            <w:shd w:val="clear" w:color="000000" w:fill="FFFFFF"/>
            <w:vAlign w:val="center"/>
          </w:tcPr>
          <w:p w14:paraId="0C915717" w14:textId="77777777" w:rsidR="00DC55BE" w:rsidRPr="00DC55BE" w:rsidRDefault="00DC55BE" w:rsidP="00DC55BE">
            <w:pPr>
              <w:widowControl w:val="0"/>
              <w:autoSpaceDE w:val="0"/>
              <w:autoSpaceDN w:val="0"/>
              <w:spacing w:before="72" w:after="0" w:line="240" w:lineRule="auto"/>
              <w:ind w:right="112"/>
              <w:jc w:val="right"/>
              <w:rPr>
                <w:rFonts w:eastAsia="Arial" w:cs="Arial"/>
                <w:color w:val="FF0000"/>
                <w:sz w:val="18"/>
                <w:szCs w:val="18"/>
              </w:rPr>
            </w:pPr>
            <w:r w:rsidRPr="00DC55BE">
              <w:rPr>
                <w:rFonts w:eastAsia="Arial" w:cs="Arial"/>
                <w:color w:val="FF0000"/>
                <w:sz w:val="18"/>
                <w:szCs w:val="18"/>
              </w:rPr>
              <w:t xml:space="preserve">86,700 </w:t>
            </w:r>
          </w:p>
        </w:tc>
        <w:tc>
          <w:tcPr>
            <w:tcW w:w="1032" w:type="dxa"/>
            <w:tcBorders>
              <w:top w:val="nil"/>
              <w:left w:val="nil"/>
              <w:bottom w:val="nil"/>
              <w:right w:val="nil"/>
            </w:tcBorders>
            <w:shd w:val="clear" w:color="000000" w:fill="FFFFFF"/>
            <w:vAlign w:val="center"/>
          </w:tcPr>
          <w:p w14:paraId="3EC6BE95" w14:textId="77777777" w:rsidR="00DC55BE" w:rsidRPr="00DC55BE" w:rsidRDefault="00DC55BE" w:rsidP="00DC55BE">
            <w:pPr>
              <w:widowControl w:val="0"/>
              <w:autoSpaceDE w:val="0"/>
              <w:autoSpaceDN w:val="0"/>
              <w:spacing w:before="72" w:after="0" w:line="240" w:lineRule="auto"/>
              <w:ind w:right="111"/>
              <w:jc w:val="right"/>
              <w:rPr>
                <w:rFonts w:eastAsia="Arial" w:cs="Arial"/>
                <w:color w:val="FF0000"/>
                <w:sz w:val="18"/>
                <w:szCs w:val="18"/>
              </w:rPr>
            </w:pPr>
          </w:p>
        </w:tc>
        <w:tc>
          <w:tcPr>
            <w:tcW w:w="1356" w:type="dxa"/>
            <w:tcBorders>
              <w:top w:val="nil"/>
              <w:left w:val="nil"/>
              <w:bottom w:val="nil"/>
              <w:right w:val="nil"/>
            </w:tcBorders>
            <w:shd w:val="clear" w:color="000000" w:fill="FFFFFF"/>
            <w:vAlign w:val="center"/>
          </w:tcPr>
          <w:p w14:paraId="698A40EE" w14:textId="77777777" w:rsidR="00DC55BE" w:rsidRPr="00DC55BE" w:rsidRDefault="00DC55BE" w:rsidP="00DC55BE">
            <w:pPr>
              <w:widowControl w:val="0"/>
              <w:autoSpaceDE w:val="0"/>
              <w:autoSpaceDN w:val="0"/>
              <w:spacing w:before="72" w:after="0" w:line="240" w:lineRule="auto"/>
              <w:ind w:right="107"/>
              <w:jc w:val="right"/>
              <w:rPr>
                <w:rFonts w:eastAsia="Arial" w:cs="Arial"/>
                <w:color w:val="FF0000"/>
                <w:sz w:val="18"/>
                <w:szCs w:val="18"/>
              </w:rPr>
            </w:pPr>
            <w:r w:rsidRPr="00DC55BE">
              <w:rPr>
                <w:rFonts w:eastAsia="Arial" w:cs="Arial"/>
                <w:color w:val="FF0000"/>
                <w:sz w:val="18"/>
                <w:szCs w:val="18"/>
              </w:rPr>
              <w:t xml:space="preserve">171,700 </w:t>
            </w:r>
          </w:p>
        </w:tc>
      </w:tr>
      <w:tr w:rsidR="00DC55BE" w:rsidRPr="00DC55BE" w14:paraId="23298330" w14:textId="77777777" w:rsidTr="0080745F">
        <w:trPr>
          <w:trHeight w:val="356"/>
        </w:trPr>
        <w:tc>
          <w:tcPr>
            <w:tcW w:w="5313" w:type="dxa"/>
            <w:tcBorders>
              <w:top w:val="single" w:sz="4" w:space="0" w:color="000000"/>
              <w:bottom w:val="single" w:sz="12" w:space="0" w:color="000000"/>
            </w:tcBorders>
          </w:tcPr>
          <w:p w14:paraId="5F5301AD" w14:textId="77777777" w:rsidR="00DC55BE" w:rsidRPr="00DC55BE" w:rsidRDefault="00DC55BE" w:rsidP="00DC55BE">
            <w:pPr>
              <w:widowControl w:val="0"/>
              <w:autoSpaceDE w:val="0"/>
              <w:autoSpaceDN w:val="0"/>
              <w:spacing w:before="75" w:after="0" w:line="240" w:lineRule="auto"/>
              <w:ind w:left="107"/>
              <w:rPr>
                <w:rFonts w:eastAsia="Arial" w:cs="Arial"/>
                <w:b/>
                <w:sz w:val="18"/>
              </w:rPr>
            </w:pPr>
            <w:r w:rsidRPr="00DC55BE">
              <w:rPr>
                <w:rFonts w:eastAsia="Arial" w:cs="Arial"/>
                <w:b/>
                <w:spacing w:val="-2"/>
                <w:sz w:val="18"/>
              </w:rPr>
              <w:t>Subtotal</w:t>
            </w:r>
          </w:p>
        </w:tc>
        <w:tc>
          <w:tcPr>
            <w:tcW w:w="1076" w:type="dxa"/>
            <w:tcBorders>
              <w:top w:val="single" w:sz="4" w:space="0" w:color="auto"/>
              <w:left w:val="nil"/>
              <w:bottom w:val="single" w:sz="4" w:space="0" w:color="auto"/>
              <w:right w:val="nil"/>
            </w:tcBorders>
            <w:shd w:val="clear" w:color="000000" w:fill="FFFFFF"/>
            <w:vAlign w:val="center"/>
          </w:tcPr>
          <w:p w14:paraId="0E7432AD" w14:textId="77777777" w:rsidR="00DC55BE" w:rsidRPr="00DC55BE" w:rsidRDefault="00DC55BE" w:rsidP="00DC55BE">
            <w:pPr>
              <w:widowControl w:val="0"/>
              <w:autoSpaceDE w:val="0"/>
              <w:autoSpaceDN w:val="0"/>
              <w:spacing w:before="75" w:after="0" w:line="240" w:lineRule="auto"/>
              <w:ind w:right="113"/>
              <w:jc w:val="right"/>
              <w:rPr>
                <w:rFonts w:eastAsia="Arial" w:cs="Arial"/>
                <w:b/>
                <w:bCs/>
                <w:sz w:val="18"/>
                <w:szCs w:val="18"/>
              </w:rPr>
            </w:pPr>
            <w:r w:rsidRPr="00DC55BE">
              <w:rPr>
                <w:rFonts w:eastAsia="Arial" w:cs="Arial"/>
                <w:b/>
                <w:bCs/>
                <w:sz w:val="18"/>
                <w:szCs w:val="18"/>
              </w:rPr>
              <w:t xml:space="preserve">188,172 </w:t>
            </w:r>
          </w:p>
        </w:tc>
        <w:tc>
          <w:tcPr>
            <w:tcW w:w="1033" w:type="dxa"/>
            <w:tcBorders>
              <w:top w:val="single" w:sz="4" w:space="0" w:color="auto"/>
              <w:left w:val="nil"/>
              <w:bottom w:val="single" w:sz="4" w:space="0" w:color="auto"/>
              <w:right w:val="nil"/>
            </w:tcBorders>
            <w:shd w:val="clear" w:color="000000" w:fill="FFFFFF"/>
            <w:vAlign w:val="center"/>
          </w:tcPr>
          <w:p w14:paraId="1AC8CEBF" w14:textId="77777777" w:rsidR="00DC55BE" w:rsidRPr="00DC55BE" w:rsidRDefault="00DC55BE" w:rsidP="00DC55BE">
            <w:pPr>
              <w:widowControl w:val="0"/>
              <w:autoSpaceDE w:val="0"/>
              <w:autoSpaceDN w:val="0"/>
              <w:spacing w:before="75" w:after="0" w:line="240" w:lineRule="auto"/>
              <w:ind w:right="112"/>
              <w:jc w:val="right"/>
              <w:rPr>
                <w:rFonts w:eastAsia="Arial" w:cs="Arial"/>
                <w:b/>
                <w:bCs/>
                <w:sz w:val="18"/>
                <w:szCs w:val="18"/>
              </w:rPr>
            </w:pPr>
            <w:r w:rsidRPr="00DC55BE">
              <w:rPr>
                <w:rFonts w:eastAsia="Arial" w:cs="Arial"/>
                <w:b/>
                <w:bCs/>
                <w:sz w:val="18"/>
                <w:szCs w:val="18"/>
              </w:rPr>
              <w:t xml:space="preserve">191,935 </w:t>
            </w:r>
          </w:p>
        </w:tc>
        <w:tc>
          <w:tcPr>
            <w:tcW w:w="1032" w:type="dxa"/>
            <w:tcBorders>
              <w:top w:val="single" w:sz="4" w:space="0" w:color="auto"/>
              <w:left w:val="nil"/>
              <w:bottom w:val="single" w:sz="4" w:space="0" w:color="auto"/>
              <w:right w:val="nil"/>
            </w:tcBorders>
            <w:shd w:val="clear" w:color="000000" w:fill="FFFFFF"/>
            <w:vAlign w:val="center"/>
          </w:tcPr>
          <w:p w14:paraId="24B03C32" w14:textId="77777777" w:rsidR="00DC55BE" w:rsidRPr="00DC55BE" w:rsidRDefault="00DC55BE" w:rsidP="00DC55BE">
            <w:pPr>
              <w:widowControl w:val="0"/>
              <w:autoSpaceDE w:val="0"/>
              <w:autoSpaceDN w:val="0"/>
              <w:spacing w:before="75" w:after="0" w:line="240" w:lineRule="auto"/>
              <w:ind w:right="111"/>
              <w:jc w:val="right"/>
              <w:rPr>
                <w:rFonts w:eastAsia="Arial" w:cs="Arial"/>
                <w:b/>
                <w:bCs/>
                <w:sz w:val="18"/>
                <w:szCs w:val="18"/>
              </w:rPr>
            </w:pPr>
            <w:r w:rsidRPr="00DC55BE">
              <w:rPr>
                <w:rFonts w:eastAsia="Arial" w:cs="Arial"/>
                <w:b/>
                <w:bCs/>
                <w:sz w:val="18"/>
                <w:szCs w:val="18"/>
              </w:rPr>
              <w:t xml:space="preserve">139,469 </w:t>
            </w:r>
          </w:p>
        </w:tc>
        <w:tc>
          <w:tcPr>
            <w:tcW w:w="1356" w:type="dxa"/>
            <w:tcBorders>
              <w:top w:val="single" w:sz="4" w:space="0" w:color="auto"/>
              <w:left w:val="nil"/>
              <w:bottom w:val="single" w:sz="4" w:space="0" w:color="auto"/>
              <w:right w:val="nil"/>
            </w:tcBorders>
            <w:shd w:val="clear" w:color="000000" w:fill="FFFFFF"/>
            <w:vAlign w:val="center"/>
          </w:tcPr>
          <w:p w14:paraId="18021698" w14:textId="77777777" w:rsidR="00DC55BE" w:rsidRPr="00DC55BE" w:rsidRDefault="00DC55BE" w:rsidP="00DC55BE">
            <w:pPr>
              <w:widowControl w:val="0"/>
              <w:autoSpaceDE w:val="0"/>
              <w:autoSpaceDN w:val="0"/>
              <w:spacing w:before="75" w:after="0" w:line="240" w:lineRule="auto"/>
              <w:ind w:right="107"/>
              <w:jc w:val="right"/>
              <w:rPr>
                <w:rFonts w:eastAsia="Arial" w:cs="Arial"/>
                <w:b/>
                <w:bCs/>
                <w:sz w:val="18"/>
                <w:szCs w:val="18"/>
              </w:rPr>
            </w:pPr>
            <w:r w:rsidRPr="00DC55BE">
              <w:rPr>
                <w:rFonts w:eastAsia="Arial" w:cs="Arial"/>
                <w:b/>
                <w:bCs/>
                <w:sz w:val="18"/>
                <w:szCs w:val="18"/>
              </w:rPr>
              <w:t xml:space="preserve">519,576 </w:t>
            </w:r>
          </w:p>
        </w:tc>
      </w:tr>
      <w:tr w:rsidR="00DC55BE" w:rsidRPr="0080745F" w14:paraId="28C38741" w14:textId="77777777" w:rsidTr="0080745F">
        <w:trPr>
          <w:trHeight w:val="358"/>
        </w:trPr>
        <w:tc>
          <w:tcPr>
            <w:tcW w:w="5313" w:type="dxa"/>
            <w:tcBorders>
              <w:top w:val="single" w:sz="12" w:space="0" w:color="000000"/>
              <w:bottom w:val="single" w:sz="8" w:space="0" w:color="000000"/>
            </w:tcBorders>
            <w:shd w:val="clear" w:color="auto" w:fill="C6D9F1"/>
          </w:tcPr>
          <w:p w14:paraId="0A9A843C" w14:textId="77777777" w:rsidR="00DC55BE" w:rsidRPr="00DC55BE" w:rsidRDefault="00DC55BE" w:rsidP="00DC55BE">
            <w:pPr>
              <w:widowControl w:val="0"/>
              <w:autoSpaceDE w:val="0"/>
              <w:autoSpaceDN w:val="0"/>
              <w:spacing w:before="75" w:after="0" w:line="240" w:lineRule="auto"/>
              <w:ind w:left="107"/>
              <w:rPr>
                <w:rFonts w:eastAsia="Arial" w:cs="Arial"/>
                <w:b/>
                <w:sz w:val="18"/>
              </w:rPr>
            </w:pPr>
            <w:r w:rsidRPr="00DC55BE">
              <w:rPr>
                <w:rFonts w:eastAsia="Arial" w:cs="Arial"/>
                <w:b/>
                <w:spacing w:val="-2"/>
                <w:sz w:val="18"/>
              </w:rPr>
              <w:t>Total</w:t>
            </w:r>
          </w:p>
        </w:tc>
        <w:tc>
          <w:tcPr>
            <w:tcW w:w="1076" w:type="dxa"/>
            <w:tcBorders>
              <w:top w:val="single" w:sz="8" w:space="0" w:color="auto"/>
              <w:left w:val="nil"/>
              <w:bottom w:val="single" w:sz="8" w:space="0" w:color="auto"/>
              <w:right w:val="nil"/>
            </w:tcBorders>
            <w:shd w:val="clear" w:color="auto" w:fill="C6D9F1"/>
            <w:vAlign w:val="center"/>
          </w:tcPr>
          <w:p w14:paraId="64CFA353" w14:textId="77777777" w:rsidR="00DC55BE" w:rsidRPr="00DC55BE" w:rsidRDefault="00DC55BE" w:rsidP="00DC55BE">
            <w:pPr>
              <w:widowControl w:val="0"/>
              <w:autoSpaceDE w:val="0"/>
              <w:autoSpaceDN w:val="0"/>
              <w:spacing w:before="75" w:after="0" w:line="240" w:lineRule="auto"/>
              <w:ind w:right="114"/>
              <w:jc w:val="right"/>
              <w:rPr>
                <w:rFonts w:eastAsia="Arial" w:cs="Arial"/>
                <w:b/>
                <w:bCs/>
                <w:sz w:val="18"/>
                <w:szCs w:val="18"/>
              </w:rPr>
            </w:pPr>
            <w:r w:rsidRPr="00DC55BE">
              <w:rPr>
                <w:rFonts w:eastAsia="Arial" w:cs="Arial"/>
                <w:b/>
                <w:bCs/>
                <w:sz w:val="18"/>
                <w:szCs w:val="18"/>
              </w:rPr>
              <w:t xml:space="preserve">2,728,508 </w:t>
            </w:r>
          </w:p>
        </w:tc>
        <w:tc>
          <w:tcPr>
            <w:tcW w:w="1033" w:type="dxa"/>
            <w:tcBorders>
              <w:top w:val="single" w:sz="8" w:space="0" w:color="auto"/>
              <w:left w:val="nil"/>
              <w:bottom w:val="single" w:sz="8" w:space="0" w:color="auto"/>
              <w:right w:val="nil"/>
            </w:tcBorders>
            <w:shd w:val="clear" w:color="auto" w:fill="C6D9F1"/>
            <w:vAlign w:val="center"/>
          </w:tcPr>
          <w:p w14:paraId="0CB98378" w14:textId="77777777" w:rsidR="00DC55BE" w:rsidRPr="00DC55BE" w:rsidRDefault="00DC55BE" w:rsidP="00DC55BE">
            <w:pPr>
              <w:widowControl w:val="0"/>
              <w:autoSpaceDE w:val="0"/>
              <w:autoSpaceDN w:val="0"/>
              <w:spacing w:before="75" w:after="0" w:line="240" w:lineRule="auto"/>
              <w:ind w:right="112"/>
              <w:jc w:val="right"/>
              <w:rPr>
                <w:rFonts w:eastAsia="Arial" w:cs="Arial"/>
                <w:b/>
                <w:bCs/>
                <w:sz w:val="18"/>
                <w:szCs w:val="18"/>
              </w:rPr>
            </w:pPr>
            <w:r w:rsidRPr="00DC55BE">
              <w:rPr>
                <w:rFonts w:eastAsia="Arial" w:cs="Arial"/>
                <w:b/>
                <w:bCs/>
                <w:sz w:val="18"/>
                <w:szCs w:val="18"/>
              </w:rPr>
              <w:t xml:space="preserve">2,783,078 </w:t>
            </w:r>
          </w:p>
        </w:tc>
        <w:tc>
          <w:tcPr>
            <w:tcW w:w="1032" w:type="dxa"/>
            <w:tcBorders>
              <w:top w:val="single" w:sz="8" w:space="0" w:color="auto"/>
              <w:left w:val="nil"/>
              <w:bottom w:val="single" w:sz="8" w:space="0" w:color="auto"/>
              <w:right w:val="nil"/>
            </w:tcBorders>
            <w:shd w:val="clear" w:color="auto" w:fill="C6D9F1"/>
            <w:vAlign w:val="center"/>
          </w:tcPr>
          <w:p w14:paraId="43F53DAD" w14:textId="77777777" w:rsidR="00DC55BE" w:rsidRPr="00DC55BE" w:rsidRDefault="00DC55BE" w:rsidP="00DC55BE">
            <w:pPr>
              <w:widowControl w:val="0"/>
              <w:autoSpaceDE w:val="0"/>
              <w:autoSpaceDN w:val="0"/>
              <w:spacing w:before="75" w:after="0" w:line="240" w:lineRule="auto"/>
              <w:ind w:right="112"/>
              <w:jc w:val="right"/>
              <w:rPr>
                <w:rFonts w:eastAsia="Arial" w:cs="Arial"/>
                <w:b/>
                <w:bCs/>
                <w:sz w:val="18"/>
                <w:szCs w:val="18"/>
              </w:rPr>
            </w:pPr>
            <w:r w:rsidRPr="00DC55BE">
              <w:rPr>
                <w:rFonts w:eastAsia="Arial" w:cs="Arial"/>
                <w:b/>
                <w:bCs/>
                <w:sz w:val="18"/>
                <w:szCs w:val="18"/>
              </w:rPr>
              <w:t xml:space="preserve">3,128,249 </w:t>
            </w:r>
          </w:p>
        </w:tc>
        <w:tc>
          <w:tcPr>
            <w:tcW w:w="1356" w:type="dxa"/>
            <w:tcBorders>
              <w:top w:val="single" w:sz="8" w:space="0" w:color="auto"/>
              <w:left w:val="nil"/>
              <w:bottom w:val="single" w:sz="8" w:space="0" w:color="auto"/>
              <w:right w:val="nil"/>
            </w:tcBorders>
            <w:shd w:val="clear" w:color="auto" w:fill="C6D9F1"/>
            <w:vAlign w:val="center"/>
          </w:tcPr>
          <w:p w14:paraId="324C00B2" w14:textId="77777777" w:rsidR="00DC55BE" w:rsidRPr="00DC55BE" w:rsidRDefault="00DC55BE" w:rsidP="00DC55BE">
            <w:pPr>
              <w:widowControl w:val="0"/>
              <w:autoSpaceDE w:val="0"/>
              <w:autoSpaceDN w:val="0"/>
              <w:spacing w:before="75" w:after="0" w:line="240" w:lineRule="auto"/>
              <w:ind w:right="108"/>
              <w:jc w:val="right"/>
              <w:rPr>
                <w:rFonts w:eastAsia="Arial" w:cs="Arial"/>
                <w:b/>
                <w:bCs/>
                <w:sz w:val="18"/>
                <w:szCs w:val="18"/>
              </w:rPr>
            </w:pPr>
            <w:r w:rsidRPr="00DC55BE">
              <w:rPr>
                <w:rFonts w:eastAsia="Arial" w:cs="Arial"/>
                <w:b/>
                <w:bCs/>
                <w:sz w:val="18"/>
                <w:szCs w:val="18"/>
              </w:rPr>
              <w:t xml:space="preserve">8,639,836 </w:t>
            </w:r>
          </w:p>
        </w:tc>
      </w:tr>
      <w:tr w:rsidR="00DC55BE" w:rsidRPr="00DC55BE" w14:paraId="035A8C69" w14:textId="77777777" w:rsidTr="0080745F">
        <w:trPr>
          <w:trHeight w:val="358"/>
        </w:trPr>
        <w:tc>
          <w:tcPr>
            <w:tcW w:w="5313" w:type="dxa"/>
            <w:tcBorders>
              <w:top w:val="single" w:sz="8" w:space="0" w:color="000000"/>
              <w:bottom w:val="single" w:sz="12" w:space="0" w:color="000000"/>
            </w:tcBorders>
          </w:tcPr>
          <w:p w14:paraId="7028933D" w14:textId="1ADEB619" w:rsidR="00DC55BE" w:rsidRPr="00DC55BE" w:rsidRDefault="0080745F" w:rsidP="00DC55BE">
            <w:pPr>
              <w:widowControl w:val="0"/>
              <w:autoSpaceDE w:val="0"/>
              <w:autoSpaceDN w:val="0"/>
              <w:spacing w:before="75" w:after="0" w:line="240" w:lineRule="auto"/>
              <w:ind w:left="107"/>
              <w:rPr>
                <w:rFonts w:eastAsia="Arial" w:cs="Arial"/>
                <w:sz w:val="18"/>
                <w:lang w:val="es-ES"/>
              </w:rPr>
            </w:pPr>
            <w:r w:rsidRPr="0080745F">
              <w:rPr>
                <w:sz w:val="18"/>
                <w:lang w:val="es-ES"/>
              </w:rPr>
              <w:t>Gastos de apoyo al programa</w:t>
            </w:r>
            <w:r w:rsidR="00DC55BE" w:rsidRPr="00DC55BE">
              <w:rPr>
                <w:rFonts w:eastAsia="Arial" w:cs="Arial"/>
                <w:spacing w:val="-5"/>
                <w:sz w:val="18"/>
                <w:lang w:val="es-ES"/>
              </w:rPr>
              <w:t xml:space="preserve"> </w:t>
            </w:r>
            <w:r w:rsidR="00DC55BE" w:rsidRPr="00DC55BE">
              <w:rPr>
                <w:rFonts w:eastAsia="Arial" w:cs="Arial"/>
                <w:spacing w:val="-4"/>
                <w:sz w:val="18"/>
                <w:lang w:val="es-ES"/>
              </w:rPr>
              <w:t>(13%)</w:t>
            </w:r>
          </w:p>
        </w:tc>
        <w:tc>
          <w:tcPr>
            <w:tcW w:w="1076" w:type="dxa"/>
            <w:tcBorders>
              <w:top w:val="nil"/>
              <w:left w:val="nil"/>
              <w:bottom w:val="nil"/>
              <w:right w:val="nil"/>
            </w:tcBorders>
            <w:shd w:val="clear" w:color="000000" w:fill="FFFFFF"/>
            <w:vAlign w:val="center"/>
          </w:tcPr>
          <w:p w14:paraId="5FA58810" w14:textId="77777777" w:rsidR="00DC55BE" w:rsidRPr="00DC55BE" w:rsidRDefault="00DC55BE" w:rsidP="00DC55BE">
            <w:pPr>
              <w:widowControl w:val="0"/>
              <w:autoSpaceDE w:val="0"/>
              <w:autoSpaceDN w:val="0"/>
              <w:spacing w:before="75" w:after="0" w:line="240" w:lineRule="auto"/>
              <w:ind w:right="113"/>
              <w:jc w:val="right"/>
              <w:rPr>
                <w:rFonts w:eastAsia="Arial" w:cs="Arial"/>
                <w:sz w:val="18"/>
                <w:szCs w:val="18"/>
              </w:rPr>
            </w:pPr>
            <w:r w:rsidRPr="00DC55BE">
              <w:rPr>
                <w:rFonts w:eastAsia="Arial" w:cs="Arial"/>
                <w:sz w:val="18"/>
                <w:szCs w:val="18"/>
              </w:rPr>
              <w:t xml:space="preserve">354,706 </w:t>
            </w:r>
          </w:p>
        </w:tc>
        <w:tc>
          <w:tcPr>
            <w:tcW w:w="1033" w:type="dxa"/>
            <w:tcBorders>
              <w:top w:val="nil"/>
              <w:left w:val="nil"/>
              <w:bottom w:val="nil"/>
              <w:right w:val="nil"/>
            </w:tcBorders>
            <w:shd w:val="clear" w:color="000000" w:fill="FFFFFF"/>
            <w:vAlign w:val="center"/>
          </w:tcPr>
          <w:p w14:paraId="6C61C638" w14:textId="77777777" w:rsidR="00DC55BE" w:rsidRPr="00DC55BE" w:rsidRDefault="00DC55BE" w:rsidP="00DC55BE">
            <w:pPr>
              <w:widowControl w:val="0"/>
              <w:autoSpaceDE w:val="0"/>
              <w:autoSpaceDN w:val="0"/>
              <w:spacing w:before="75" w:after="0" w:line="240" w:lineRule="auto"/>
              <w:ind w:right="112"/>
              <w:jc w:val="right"/>
              <w:rPr>
                <w:rFonts w:eastAsia="Arial" w:cs="Arial"/>
                <w:sz w:val="18"/>
                <w:szCs w:val="18"/>
              </w:rPr>
            </w:pPr>
            <w:r w:rsidRPr="00DC55BE">
              <w:rPr>
                <w:rFonts w:eastAsia="Arial" w:cs="Arial"/>
                <w:sz w:val="18"/>
                <w:szCs w:val="18"/>
              </w:rPr>
              <w:t xml:space="preserve">361,800 </w:t>
            </w:r>
          </w:p>
        </w:tc>
        <w:tc>
          <w:tcPr>
            <w:tcW w:w="1032" w:type="dxa"/>
            <w:tcBorders>
              <w:top w:val="nil"/>
              <w:left w:val="nil"/>
              <w:bottom w:val="nil"/>
              <w:right w:val="nil"/>
            </w:tcBorders>
            <w:shd w:val="clear" w:color="000000" w:fill="FFFFFF"/>
            <w:vAlign w:val="center"/>
          </w:tcPr>
          <w:p w14:paraId="7DFE4E92" w14:textId="77777777" w:rsidR="00DC55BE" w:rsidRPr="00DC55BE" w:rsidRDefault="00DC55BE" w:rsidP="00DC55BE">
            <w:pPr>
              <w:widowControl w:val="0"/>
              <w:autoSpaceDE w:val="0"/>
              <w:autoSpaceDN w:val="0"/>
              <w:spacing w:before="75" w:after="0" w:line="240" w:lineRule="auto"/>
              <w:ind w:right="111"/>
              <w:jc w:val="right"/>
              <w:rPr>
                <w:rFonts w:eastAsia="Arial" w:cs="Arial"/>
                <w:sz w:val="18"/>
                <w:szCs w:val="18"/>
              </w:rPr>
            </w:pPr>
            <w:r w:rsidRPr="00DC55BE">
              <w:rPr>
                <w:rFonts w:eastAsia="Arial" w:cs="Arial"/>
                <w:sz w:val="18"/>
                <w:szCs w:val="18"/>
              </w:rPr>
              <w:t xml:space="preserve">406,672 </w:t>
            </w:r>
          </w:p>
        </w:tc>
        <w:tc>
          <w:tcPr>
            <w:tcW w:w="1356" w:type="dxa"/>
            <w:tcBorders>
              <w:top w:val="nil"/>
              <w:left w:val="nil"/>
              <w:bottom w:val="nil"/>
              <w:right w:val="nil"/>
            </w:tcBorders>
            <w:shd w:val="clear" w:color="auto" w:fill="auto"/>
            <w:vAlign w:val="center"/>
          </w:tcPr>
          <w:p w14:paraId="20193D8A" w14:textId="77777777" w:rsidR="00DC55BE" w:rsidRPr="00DC55BE" w:rsidRDefault="00DC55BE" w:rsidP="00DC55BE">
            <w:pPr>
              <w:widowControl w:val="0"/>
              <w:autoSpaceDE w:val="0"/>
              <w:autoSpaceDN w:val="0"/>
              <w:spacing w:before="75" w:after="0" w:line="240" w:lineRule="auto"/>
              <w:ind w:right="107"/>
              <w:jc w:val="right"/>
              <w:rPr>
                <w:rFonts w:eastAsia="Arial" w:cs="Arial"/>
                <w:sz w:val="18"/>
                <w:szCs w:val="18"/>
              </w:rPr>
            </w:pPr>
            <w:r w:rsidRPr="00DC55BE">
              <w:rPr>
                <w:rFonts w:eastAsia="Arial" w:cs="Arial"/>
                <w:sz w:val="18"/>
                <w:szCs w:val="18"/>
              </w:rPr>
              <w:t xml:space="preserve">1,123,179 </w:t>
            </w:r>
          </w:p>
        </w:tc>
      </w:tr>
      <w:tr w:rsidR="00DC55BE" w:rsidRPr="0080745F" w14:paraId="6D4760B0" w14:textId="77777777" w:rsidTr="0080745F">
        <w:trPr>
          <w:trHeight w:val="359"/>
        </w:trPr>
        <w:tc>
          <w:tcPr>
            <w:tcW w:w="5313" w:type="dxa"/>
            <w:tcBorders>
              <w:top w:val="single" w:sz="12" w:space="0" w:color="000000"/>
              <w:bottom w:val="single" w:sz="12" w:space="0" w:color="000000"/>
            </w:tcBorders>
            <w:shd w:val="clear" w:color="auto" w:fill="C6D9F1"/>
          </w:tcPr>
          <w:p w14:paraId="43C9513D" w14:textId="5EE7C931" w:rsidR="00DC55BE" w:rsidRPr="00DC55BE" w:rsidRDefault="00DC55BE" w:rsidP="00DC55BE">
            <w:pPr>
              <w:widowControl w:val="0"/>
              <w:autoSpaceDE w:val="0"/>
              <w:autoSpaceDN w:val="0"/>
              <w:spacing w:before="76" w:after="0" w:line="240" w:lineRule="auto"/>
              <w:ind w:left="107"/>
              <w:rPr>
                <w:rFonts w:eastAsia="Arial" w:cs="Arial"/>
                <w:b/>
                <w:sz w:val="18"/>
              </w:rPr>
            </w:pPr>
            <w:r w:rsidRPr="00DC55BE">
              <w:rPr>
                <w:rFonts w:eastAsia="Arial" w:cs="Arial"/>
                <w:b/>
                <w:sz w:val="18"/>
              </w:rPr>
              <w:t>Gran</w:t>
            </w:r>
            <w:r w:rsidRPr="00DC55BE">
              <w:rPr>
                <w:rFonts w:eastAsia="Arial" w:cs="Arial"/>
                <w:b/>
                <w:spacing w:val="-1"/>
                <w:sz w:val="18"/>
              </w:rPr>
              <w:t xml:space="preserve"> </w:t>
            </w:r>
            <w:r w:rsidRPr="00DC55BE">
              <w:rPr>
                <w:rFonts w:eastAsia="Arial" w:cs="Arial"/>
                <w:b/>
                <w:spacing w:val="-2"/>
                <w:sz w:val="18"/>
              </w:rPr>
              <w:t>total</w:t>
            </w:r>
          </w:p>
        </w:tc>
        <w:tc>
          <w:tcPr>
            <w:tcW w:w="1076" w:type="dxa"/>
            <w:tcBorders>
              <w:top w:val="single" w:sz="8" w:space="0" w:color="auto"/>
              <w:left w:val="nil"/>
              <w:bottom w:val="single" w:sz="8" w:space="0" w:color="auto"/>
              <w:right w:val="nil"/>
            </w:tcBorders>
            <w:shd w:val="clear" w:color="auto" w:fill="C6D9F1"/>
            <w:vAlign w:val="center"/>
          </w:tcPr>
          <w:p w14:paraId="1D3E7ABD" w14:textId="77777777" w:rsidR="00DC55BE" w:rsidRPr="00DC55BE" w:rsidRDefault="00DC55BE" w:rsidP="00DC55BE">
            <w:pPr>
              <w:widowControl w:val="0"/>
              <w:autoSpaceDE w:val="0"/>
              <w:autoSpaceDN w:val="0"/>
              <w:spacing w:before="76" w:after="0" w:line="240" w:lineRule="auto"/>
              <w:ind w:left="107"/>
              <w:jc w:val="right"/>
              <w:rPr>
                <w:rFonts w:eastAsia="Arial" w:cs="Arial"/>
                <w:b/>
                <w:bCs/>
                <w:sz w:val="18"/>
                <w:szCs w:val="18"/>
              </w:rPr>
            </w:pPr>
            <w:r w:rsidRPr="00DC55BE">
              <w:rPr>
                <w:rFonts w:eastAsia="Arial" w:cs="Arial"/>
                <w:b/>
                <w:bCs/>
                <w:sz w:val="18"/>
                <w:szCs w:val="18"/>
              </w:rPr>
              <w:t xml:space="preserve">3,083,214 </w:t>
            </w:r>
          </w:p>
        </w:tc>
        <w:tc>
          <w:tcPr>
            <w:tcW w:w="1033" w:type="dxa"/>
            <w:tcBorders>
              <w:top w:val="single" w:sz="8" w:space="0" w:color="auto"/>
              <w:left w:val="nil"/>
              <w:bottom w:val="single" w:sz="8" w:space="0" w:color="auto"/>
              <w:right w:val="nil"/>
            </w:tcBorders>
            <w:shd w:val="clear" w:color="auto" w:fill="C6D9F1"/>
            <w:vAlign w:val="center"/>
          </w:tcPr>
          <w:p w14:paraId="00F75585" w14:textId="77777777" w:rsidR="00DC55BE" w:rsidRPr="00DC55BE" w:rsidRDefault="00DC55BE" w:rsidP="00DC55BE">
            <w:pPr>
              <w:widowControl w:val="0"/>
              <w:autoSpaceDE w:val="0"/>
              <w:autoSpaceDN w:val="0"/>
              <w:spacing w:before="76" w:after="0" w:line="240" w:lineRule="auto"/>
              <w:ind w:left="107"/>
              <w:jc w:val="right"/>
              <w:rPr>
                <w:rFonts w:eastAsia="Arial" w:cs="Arial"/>
                <w:b/>
                <w:bCs/>
                <w:sz w:val="18"/>
                <w:szCs w:val="18"/>
              </w:rPr>
            </w:pPr>
            <w:r w:rsidRPr="00DC55BE">
              <w:rPr>
                <w:rFonts w:eastAsia="Arial" w:cs="Arial"/>
                <w:b/>
                <w:bCs/>
                <w:sz w:val="18"/>
                <w:szCs w:val="18"/>
              </w:rPr>
              <w:t xml:space="preserve">3,144,879 </w:t>
            </w:r>
          </w:p>
        </w:tc>
        <w:tc>
          <w:tcPr>
            <w:tcW w:w="1032" w:type="dxa"/>
            <w:tcBorders>
              <w:top w:val="single" w:sz="8" w:space="0" w:color="auto"/>
              <w:left w:val="nil"/>
              <w:bottom w:val="single" w:sz="8" w:space="0" w:color="auto"/>
              <w:right w:val="nil"/>
            </w:tcBorders>
            <w:shd w:val="clear" w:color="auto" w:fill="C6D9F1"/>
            <w:vAlign w:val="center"/>
          </w:tcPr>
          <w:p w14:paraId="2B986CEA" w14:textId="77777777" w:rsidR="00DC55BE" w:rsidRPr="00DC55BE" w:rsidRDefault="00DC55BE" w:rsidP="00DC55BE">
            <w:pPr>
              <w:widowControl w:val="0"/>
              <w:autoSpaceDE w:val="0"/>
              <w:autoSpaceDN w:val="0"/>
              <w:spacing w:before="76" w:after="0" w:line="240" w:lineRule="auto"/>
              <w:ind w:left="107"/>
              <w:jc w:val="right"/>
              <w:rPr>
                <w:rFonts w:eastAsia="Arial" w:cs="Arial"/>
                <w:b/>
                <w:bCs/>
                <w:sz w:val="18"/>
                <w:szCs w:val="18"/>
              </w:rPr>
            </w:pPr>
            <w:r w:rsidRPr="00DC55BE">
              <w:rPr>
                <w:rFonts w:eastAsia="Arial" w:cs="Arial"/>
                <w:b/>
                <w:bCs/>
                <w:sz w:val="18"/>
                <w:szCs w:val="18"/>
              </w:rPr>
              <w:t xml:space="preserve">3,534,921 </w:t>
            </w:r>
          </w:p>
        </w:tc>
        <w:tc>
          <w:tcPr>
            <w:tcW w:w="1356" w:type="dxa"/>
            <w:tcBorders>
              <w:top w:val="single" w:sz="8" w:space="0" w:color="auto"/>
              <w:left w:val="nil"/>
              <w:bottom w:val="single" w:sz="8" w:space="0" w:color="auto"/>
              <w:right w:val="nil"/>
            </w:tcBorders>
            <w:shd w:val="clear" w:color="auto" w:fill="C6D9F1"/>
            <w:vAlign w:val="center"/>
          </w:tcPr>
          <w:p w14:paraId="11971D2F" w14:textId="77777777" w:rsidR="00DC55BE" w:rsidRPr="00DC55BE" w:rsidRDefault="00DC55BE" w:rsidP="00DC55BE">
            <w:pPr>
              <w:widowControl w:val="0"/>
              <w:autoSpaceDE w:val="0"/>
              <w:autoSpaceDN w:val="0"/>
              <w:spacing w:before="76" w:after="0" w:line="240" w:lineRule="auto"/>
              <w:ind w:left="107"/>
              <w:jc w:val="right"/>
              <w:rPr>
                <w:rFonts w:eastAsia="Arial" w:cs="Arial"/>
                <w:b/>
                <w:bCs/>
                <w:sz w:val="18"/>
                <w:szCs w:val="18"/>
              </w:rPr>
            </w:pPr>
            <w:r w:rsidRPr="00DC55BE">
              <w:rPr>
                <w:rFonts w:eastAsia="Arial" w:cs="Arial"/>
                <w:b/>
                <w:bCs/>
                <w:sz w:val="18"/>
                <w:szCs w:val="18"/>
              </w:rPr>
              <w:t xml:space="preserve">9,763,014 </w:t>
            </w:r>
          </w:p>
        </w:tc>
      </w:tr>
    </w:tbl>
    <w:p w14:paraId="28792F23" w14:textId="77777777" w:rsidR="00BF0D46" w:rsidRDefault="00BF0D46" w:rsidP="005339CC">
      <w:pPr>
        <w:spacing w:after="0" w:line="240" w:lineRule="auto"/>
        <w:ind w:right="-42"/>
        <w:jc w:val="right"/>
        <w:rPr>
          <w:b/>
        </w:rPr>
        <w:sectPr w:rsidR="00BF0D46" w:rsidSect="00323406">
          <w:headerReference w:type="first" r:id="rId22"/>
          <w:pgSz w:w="11906" w:h="16838" w:code="9"/>
          <w:pgMar w:top="1440" w:right="1440" w:bottom="1440" w:left="1440" w:header="720" w:footer="720" w:gutter="0"/>
          <w:cols w:space="720"/>
          <w:titlePg/>
          <w:docGrid w:linePitch="360"/>
        </w:sectPr>
      </w:pPr>
    </w:p>
    <w:p w14:paraId="0509413C" w14:textId="0F6D83CE" w:rsidR="005339CC" w:rsidRPr="00243F46" w:rsidRDefault="005339CC" w:rsidP="005339CC">
      <w:pPr>
        <w:spacing w:after="0" w:line="240" w:lineRule="auto"/>
        <w:ind w:right="-42"/>
        <w:jc w:val="right"/>
        <w:rPr>
          <w:b/>
          <w:spacing w:val="-5"/>
        </w:rPr>
      </w:pPr>
      <w:r w:rsidRPr="00243F46">
        <w:rPr>
          <w:b/>
        </w:rPr>
        <w:lastRenderedPageBreak/>
        <w:t>ANEX</w:t>
      </w:r>
      <w:r w:rsidR="001A4235" w:rsidRPr="00243F46">
        <w:rPr>
          <w:b/>
        </w:rPr>
        <w:t>O</w:t>
      </w:r>
      <w:r w:rsidRPr="00243F46">
        <w:rPr>
          <w:b/>
          <w:spacing w:val="-5"/>
        </w:rPr>
        <w:t xml:space="preserve"> </w:t>
      </w:r>
      <w:r w:rsidRPr="00243F46">
        <w:rPr>
          <w:b/>
        </w:rPr>
        <w:t>3</w:t>
      </w:r>
      <w:r w:rsidRPr="00243F46">
        <w:rPr>
          <w:b/>
          <w:spacing w:val="-3"/>
        </w:rPr>
        <w:t xml:space="preserve"> </w:t>
      </w:r>
      <w:r w:rsidRPr="00243F46">
        <w:rPr>
          <w:b/>
          <w:spacing w:val="-5"/>
        </w:rPr>
        <w:t>(C)</w:t>
      </w:r>
    </w:p>
    <w:p w14:paraId="4F186127" w14:textId="77777777" w:rsidR="005339CC" w:rsidRPr="00243F46" w:rsidRDefault="005339CC" w:rsidP="005339CC">
      <w:pPr>
        <w:spacing w:after="0" w:line="240" w:lineRule="auto"/>
        <w:ind w:right="-42"/>
        <w:jc w:val="right"/>
        <w:rPr>
          <w:b/>
        </w:rPr>
      </w:pPr>
    </w:p>
    <w:p w14:paraId="70D1AD2F" w14:textId="77777777" w:rsidR="00243F46" w:rsidRPr="00243F46" w:rsidRDefault="001A4235" w:rsidP="005339CC">
      <w:pPr>
        <w:spacing w:after="0" w:line="240" w:lineRule="auto"/>
        <w:ind w:right="-40"/>
        <w:jc w:val="center"/>
        <w:rPr>
          <w:b/>
          <w:lang w:val="es-ES"/>
        </w:rPr>
      </w:pPr>
      <w:r w:rsidRPr="00243F46">
        <w:rPr>
          <w:b/>
          <w:lang w:val="es-ES"/>
        </w:rPr>
        <w:t>PROPUESTA DE PRESUPUESTO PARA EL TRIENIO</w:t>
      </w:r>
      <w:r w:rsidRPr="00243F46">
        <w:rPr>
          <w:b/>
          <w:spacing w:val="-4"/>
          <w:lang w:val="es-ES"/>
        </w:rPr>
        <w:t xml:space="preserve"> </w:t>
      </w:r>
      <w:r w:rsidRPr="00243F46">
        <w:rPr>
          <w:b/>
          <w:lang w:val="es-ES"/>
        </w:rPr>
        <w:t>2024–2026</w:t>
      </w:r>
    </w:p>
    <w:p w14:paraId="75540482" w14:textId="5213F9E5" w:rsidR="005339CC" w:rsidRPr="008161B0" w:rsidRDefault="005339CC" w:rsidP="005339CC">
      <w:pPr>
        <w:spacing w:after="0" w:line="240" w:lineRule="auto"/>
        <w:ind w:right="-40"/>
        <w:jc w:val="center"/>
        <w:rPr>
          <w:b/>
          <w:lang w:val="es-ES"/>
        </w:rPr>
      </w:pPr>
      <w:r w:rsidRPr="00243F46">
        <w:rPr>
          <w:b/>
          <w:lang w:val="es-ES"/>
        </w:rPr>
        <w:t xml:space="preserve"> </w:t>
      </w:r>
      <w:r w:rsidR="00243F46" w:rsidRPr="00243F46">
        <w:rPr>
          <w:b/>
          <w:lang w:val="es-ES"/>
        </w:rPr>
        <w:t>E</w:t>
      </w:r>
      <w:r w:rsidRPr="008161B0">
        <w:rPr>
          <w:b/>
          <w:lang w:val="es-ES"/>
        </w:rPr>
        <w:t>SCENARIO 3</w:t>
      </w:r>
    </w:p>
    <w:p w14:paraId="333DEC48" w14:textId="4F2493F2" w:rsidR="005339CC" w:rsidRPr="00243F46" w:rsidRDefault="005339CC" w:rsidP="005339CC">
      <w:pPr>
        <w:spacing w:after="0" w:line="240" w:lineRule="auto"/>
        <w:ind w:right="-40"/>
        <w:jc w:val="center"/>
        <w:rPr>
          <w:sz w:val="18"/>
          <w:lang w:val="es-ES"/>
        </w:rPr>
      </w:pPr>
      <w:r w:rsidRPr="00243F46">
        <w:rPr>
          <w:sz w:val="18"/>
          <w:lang w:val="es-ES"/>
        </w:rPr>
        <w:t>(a</w:t>
      </w:r>
      <w:r w:rsidR="00243F46" w:rsidRPr="00243F46">
        <w:rPr>
          <w:rFonts w:eastAsia="Arial" w:cs="Arial"/>
          <w:color w:val="000000"/>
          <w:kern w:val="2"/>
          <w:sz w:val="20"/>
          <w:lang w:val="es-ES"/>
          <w14:ligatures w14:val="standardContextual"/>
        </w:rPr>
        <w:t xml:space="preserve"> todas las cifras en euros</w:t>
      </w:r>
      <w:r w:rsidRPr="00243F46">
        <w:rPr>
          <w:spacing w:val="-2"/>
          <w:sz w:val="18"/>
          <w:lang w:val="es-ES"/>
        </w:rPr>
        <w:t>)</w:t>
      </w:r>
    </w:p>
    <w:tbl>
      <w:tblPr>
        <w:tblW w:w="9990" w:type="dxa"/>
        <w:tblInd w:w="-270" w:type="dxa"/>
        <w:tblLayout w:type="fixed"/>
        <w:tblCellMar>
          <w:left w:w="0" w:type="dxa"/>
          <w:right w:w="0" w:type="dxa"/>
        </w:tblCellMar>
        <w:tblLook w:val="01E0" w:firstRow="1" w:lastRow="1" w:firstColumn="1" w:lastColumn="1" w:noHBand="0" w:noVBand="0"/>
      </w:tblPr>
      <w:tblGrid>
        <w:gridCol w:w="5220"/>
        <w:gridCol w:w="1440"/>
        <w:gridCol w:w="1080"/>
        <w:gridCol w:w="1170"/>
        <w:gridCol w:w="1080"/>
      </w:tblGrid>
      <w:tr w:rsidR="005339CC" w:rsidRPr="0027658F" w14:paraId="10D3F04D" w14:textId="77777777" w:rsidTr="004E21AD">
        <w:trPr>
          <w:trHeight w:val="348"/>
        </w:trPr>
        <w:tc>
          <w:tcPr>
            <w:tcW w:w="5220" w:type="dxa"/>
            <w:tcBorders>
              <w:top w:val="single" w:sz="12" w:space="0" w:color="000000"/>
              <w:bottom w:val="single" w:sz="12" w:space="0" w:color="000000"/>
            </w:tcBorders>
            <w:shd w:val="clear" w:color="auto" w:fill="D9E1F3"/>
            <w:vAlign w:val="center"/>
          </w:tcPr>
          <w:p w14:paraId="699E6623" w14:textId="3176C58C" w:rsidR="005339CC" w:rsidRPr="0027658F" w:rsidRDefault="00243F46" w:rsidP="002F1270">
            <w:pPr>
              <w:pStyle w:val="TableParagraph"/>
              <w:spacing w:before="0"/>
              <w:ind w:right="0"/>
              <w:jc w:val="left"/>
              <w:rPr>
                <w:b/>
                <w:i/>
                <w:sz w:val="18"/>
                <w:highlight w:val="yellow"/>
              </w:rPr>
            </w:pPr>
            <w:r w:rsidRPr="006D7078">
              <w:rPr>
                <w:b/>
                <w:i/>
                <w:color w:val="000000"/>
                <w:sz w:val="18"/>
                <w:szCs w:val="18"/>
              </w:rPr>
              <w:t>Objeto del gasto</w:t>
            </w:r>
          </w:p>
        </w:tc>
        <w:tc>
          <w:tcPr>
            <w:tcW w:w="1440" w:type="dxa"/>
            <w:tcBorders>
              <w:top w:val="single" w:sz="12" w:space="0" w:color="000000"/>
              <w:bottom w:val="single" w:sz="12" w:space="0" w:color="000000"/>
            </w:tcBorders>
            <w:shd w:val="clear" w:color="auto" w:fill="D9E1F3"/>
            <w:vAlign w:val="center"/>
          </w:tcPr>
          <w:p w14:paraId="7CC140B3" w14:textId="77777777" w:rsidR="005339CC" w:rsidRPr="00243F46" w:rsidRDefault="005339CC" w:rsidP="002F1270">
            <w:pPr>
              <w:pStyle w:val="TableParagraph"/>
              <w:spacing w:before="0"/>
              <w:ind w:right="0"/>
              <w:jc w:val="center"/>
              <w:rPr>
                <w:b/>
                <w:i/>
                <w:sz w:val="18"/>
                <w:szCs w:val="18"/>
              </w:rPr>
            </w:pPr>
            <w:r w:rsidRPr="00243F46">
              <w:rPr>
                <w:b/>
                <w:i/>
                <w:spacing w:val="-4"/>
                <w:sz w:val="18"/>
                <w:szCs w:val="18"/>
              </w:rPr>
              <w:t>2024</w:t>
            </w:r>
          </w:p>
        </w:tc>
        <w:tc>
          <w:tcPr>
            <w:tcW w:w="1080" w:type="dxa"/>
            <w:tcBorders>
              <w:top w:val="single" w:sz="12" w:space="0" w:color="000000"/>
              <w:bottom w:val="single" w:sz="12" w:space="0" w:color="000000"/>
            </w:tcBorders>
            <w:shd w:val="clear" w:color="auto" w:fill="D9E1F3"/>
            <w:vAlign w:val="center"/>
          </w:tcPr>
          <w:p w14:paraId="1CDC1A20" w14:textId="77777777" w:rsidR="005339CC" w:rsidRPr="00243F46" w:rsidRDefault="005339CC" w:rsidP="002F1270">
            <w:pPr>
              <w:pStyle w:val="TableParagraph"/>
              <w:spacing w:before="0"/>
              <w:ind w:right="0"/>
              <w:jc w:val="center"/>
              <w:rPr>
                <w:b/>
                <w:i/>
                <w:sz w:val="18"/>
                <w:szCs w:val="18"/>
              </w:rPr>
            </w:pPr>
            <w:r w:rsidRPr="00243F46">
              <w:rPr>
                <w:b/>
                <w:i/>
                <w:spacing w:val="-4"/>
                <w:sz w:val="18"/>
                <w:szCs w:val="18"/>
              </w:rPr>
              <w:t>2025</w:t>
            </w:r>
          </w:p>
        </w:tc>
        <w:tc>
          <w:tcPr>
            <w:tcW w:w="1170" w:type="dxa"/>
            <w:tcBorders>
              <w:top w:val="single" w:sz="12" w:space="0" w:color="000000"/>
              <w:bottom w:val="single" w:sz="12" w:space="0" w:color="000000"/>
            </w:tcBorders>
            <w:shd w:val="clear" w:color="auto" w:fill="D9E1F3"/>
            <w:vAlign w:val="center"/>
          </w:tcPr>
          <w:p w14:paraId="42E30448" w14:textId="77777777" w:rsidR="005339CC" w:rsidRPr="00243F46" w:rsidRDefault="005339CC" w:rsidP="002F1270">
            <w:pPr>
              <w:pStyle w:val="TableParagraph"/>
              <w:spacing w:before="0"/>
              <w:ind w:right="0"/>
              <w:jc w:val="center"/>
              <w:rPr>
                <w:b/>
                <w:i/>
                <w:sz w:val="18"/>
                <w:szCs w:val="18"/>
              </w:rPr>
            </w:pPr>
            <w:r w:rsidRPr="00243F46">
              <w:rPr>
                <w:b/>
                <w:i/>
                <w:spacing w:val="-4"/>
                <w:sz w:val="18"/>
                <w:szCs w:val="18"/>
              </w:rPr>
              <w:t>2026</w:t>
            </w:r>
          </w:p>
        </w:tc>
        <w:tc>
          <w:tcPr>
            <w:tcW w:w="1080" w:type="dxa"/>
            <w:tcBorders>
              <w:top w:val="single" w:sz="12" w:space="0" w:color="000000"/>
              <w:bottom w:val="single" w:sz="12" w:space="0" w:color="000000"/>
            </w:tcBorders>
            <w:shd w:val="clear" w:color="auto" w:fill="D9E1F3"/>
            <w:vAlign w:val="center"/>
          </w:tcPr>
          <w:p w14:paraId="1A282303" w14:textId="77777777" w:rsidR="005339CC" w:rsidRPr="00243F46" w:rsidRDefault="005339CC" w:rsidP="002F1270">
            <w:pPr>
              <w:pStyle w:val="TableParagraph"/>
              <w:spacing w:before="0"/>
              <w:ind w:right="0"/>
              <w:jc w:val="center"/>
              <w:rPr>
                <w:b/>
                <w:i/>
                <w:sz w:val="18"/>
                <w:szCs w:val="18"/>
              </w:rPr>
            </w:pPr>
            <w:r w:rsidRPr="00243F46">
              <w:rPr>
                <w:b/>
                <w:i/>
                <w:spacing w:val="-2"/>
                <w:sz w:val="18"/>
                <w:szCs w:val="18"/>
              </w:rPr>
              <w:t>Total</w:t>
            </w:r>
          </w:p>
        </w:tc>
      </w:tr>
      <w:tr w:rsidR="005339CC" w:rsidRPr="0027658F" w14:paraId="4F222205" w14:textId="77777777" w:rsidTr="004E21AD">
        <w:trPr>
          <w:trHeight w:val="240"/>
        </w:trPr>
        <w:tc>
          <w:tcPr>
            <w:tcW w:w="5220" w:type="dxa"/>
            <w:tcBorders>
              <w:top w:val="single" w:sz="12" w:space="0" w:color="000000"/>
            </w:tcBorders>
          </w:tcPr>
          <w:p w14:paraId="2DB67505" w14:textId="406B2052" w:rsidR="005339CC" w:rsidRPr="00243F46" w:rsidRDefault="00243F46" w:rsidP="002F1270">
            <w:pPr>
              <w:pStyle w:val="TableParagraph"/>
              <w:spacing w:before="77"/>
              <w:ind w:left="122" w:right="0"/>
              <w:jc w:val="left"/>
              <w:rPr>
                <w:b/>
                <w:sz w:val="18"/>
              </w:rPr>
            </w:pPr>
            <w:r w:rsidRPr="00243F46">
              <w:rPr>
                <w:b/>
                <w:sz w:val="18"/>
              </w:rPr>
              <w:t>Costes de personal</w:t>
            </w:r>
          </w:p>
        </w:tc>
        <w:tc>
          <w:tcPr>
            <w:tcW w:w="1440" w:type="dxa"/>
            <w:tcBorders>
              <w:top w:val="single" w:sz="12" w:space="0" w:color="000000"/>
            </w:tcBorders>
            <w:vAlign w:val="center"/>
          </w:tcPr>
          <w:p w14:paraId="4BB3F963" w14:textId="77777777" w:rsidR="005339CC" w:rsidRPr="00243F46" w:rsidRDefault="005339CC" w:rsidP="002F1270">
            <w:pPr>
              <w:pStyle w:val="TableParagraph"/>
              <w:spacing w:before="0"/>
              <w:ind w:right="0"/>
              <w:rPr>
                <w:sz w:val="18"/>
                <w:szCs w:val="18"/>
              </w:rPr>
            </w:pPr>
          </w:p>
        </w:tc>
        <w:tc>
          <w:tcPr>
            <w:tcW w:w="1080" w:type="dxa"/>
            <w:tcBorders>
              <w:top w:val="single" w:sz="12" w:space="0" w:color="000000"/>
            </w:tcBorders>
            <w:vAlign w:val="center"/>
          </w:tcPr>
          <w:p w14:paraId="52732A1F" w14:textId="77777777" w:rsidR="005339CC" w:rsidRPr="00243F46" w:rsidRDefault="005339CC" w:rsidP="002F1270">
            <w:pPr>
              <w:pStyle w:val="TableParagraph"/>
              <w:spacing w:before="0"/>
              <w:ind w:right="0"/>
              <w:rPr>
                <w:sz w:val="18"/>
                <w:szCs w:val="18"/>
              </w:rPr>
            </w:pPr>
          </w:p>
        </w:tc>
        <w:tc>
          <w:tcPr>
            <w:tcW w:w="1170" w:type="dxa"/>
            <w:tcBorders>
              <w:top w:val="single" w:sz="12" w:space="0" w:color="000000"/>
            </w:tcBorders>
            <w:vAlign w:val="center"/>
          </w:tcPr>
          <w:p w14:paraId="2723DB54" w14:textId="77777777" w:rsidR="005339CC" w:rsidRPr="00243F46" w:rsidRDefault="005339CC" w:rsidP="002F1270">
            <w:pPr>
              <w:pStyle w:val="TableParagraph"/>
              <w:spacing w:before="0"/>
              <w:ind w:right="0"/>
              <w:rPr>
                <w:sz w:val="18"/>
                <w:szCs w:val="18"/>
              </w:rPr>
            </w:pPr>
          </w:p>
        </w:tc>
        <w:tc>
          <w:tcPr>
            <w:tcW w:w="1080" w:type="dxa"/>
            <w:tcBorders>
              <w:top w:val="single" w:sz="12" w:space="0" w:color="000000"/>
            </w:tcBorders>
            <w:vAlign w:val="center"/>
          </w:tcPr>
          <w:p w14:paraId="25A1E6DB" w14:textId="77777777" w:rsidR="005339CC" w:rsidRPr="00243F46" w:rsidRDefault="005339CC" w:rsidP="002F1270">
            <w:pPr>
              <w:pStyle w:val="TableParagraph"/>
              <w:spacing w:before="0"/>
              <w:ind w:right="0"/>
              <w:rPr>
                <w:sz w:val="18"/>
                <w:szCs w:val="18"/>
              </w:rPr>
            </w:pPr>
          </w:p>
        </w:tc>
      </w:tr>
      <w:tr w:rsidR="005339CC" w:rsidRPr="0027658F" w14:paraId="50CDA338" w14:textId="77777777" w:rsidTr="004E21AD">
        <w:trPr>
          <w:trHeight w:val="315"/>
        </w:trPr>
        <w:tc>
          <w:tcPr>
            <w:tcW w:w="5220" w:type="dxa"/>
          </w:tcPr>
          <w:p w14:paraId="6B7FF813" w14:textId="608AC92D" w:rsidR="005339CC" w:rsidRPr="00243F46" w:rsidRDefault="00243F46" w:rsidP="002F1270">
            <w:pPr>
              <w:pStyle w:val="TableParagraph"/>
              <w:spacing w:before="73"/>
              <w:ind w:left="122" w:right="0"/>
              <w:jc w:val="left"/>
              <w:rPr>
                <w:sz w:val="18"/>
              </w:rPr>
            </w:pPr>
            <w:r w:rsidRPr="00243F46">
              <w:rPr>
                <w:color w:val="FF0000"/>
                <w:sz w:val="18"/>
              </w:rPr>
              <w:t>Personal profesional</w:t>
            </w:r>
          </w:p>
        </w:tc>
        <w:tc>
          <w:tcPr>
            <w:tcW w:w="1440" w:type="dxa"/>
            <w:tcBorders>
              <w:top w:val="nil"/>
              <w:left w:val="nil"/>
              <w:bottom w:val="nil"/>
              <w:right w:val="nil"/>
            </w:tcBorders>
            <w:shd w:val="clear" w:color="000000" w:fill="FFFFFF"/>
          </w:tcPr>
          <w:p w14:paraId="275CDE13" w14:textId="77777777" w:rsidR="005339CC" w:rsidRPr="00243F46" w:rsidRDefault="005339CC" w:rsidP="002F1270">
            <w:pPr>
              <w:pStyle w:val="TableParagraph"/>
              <w:spacing w:before="72"/>
              <w:ind w:right="114"/>
              <w:rPr>
                <w:color w:val="FF0000"/>
                <w:sz w:val="18"/>
                <w:szCs w:val="18"/>
              </w:rPr>
            </w:pPr>
            <w:r w:rsidRPr="00243F46">
              <w:rPr>
                <w:color w:val="FF0000"/>
                <w:sz w:val="18"/>
                <w:szCs w:val="18"/>
              </w:rPr>
              <w:t>1,864,238</w:t>
            </w:r>
          </w:p>
        </w:tc>
        <w:tc>
          <w:tcPr>
            <w:tcW w:w="1080" w:type="dxa"/>
            <w:tcBorders>
              <w:top w:val="nil"/>
              <w:left w:val="nil"/>
              <w:bottom w:val="nil"/>
              <w:right w:val="nil"/>
            </w:tcBorders>
            <w:shd w:val="clear" w:color="000000" w:fill="FFFFFF"/>
          </w:tcPr>
          <w:p w14:paraId="30C04B68" w14:textId="77777777" w:rsidR="005339CC" w:rsidRPr="00243F46" w:rsidRDefault="005339CC" w:rsidP="002F1270">
            <w:pPr>
              <w:pStyle w:val="TableParagraph"/>
              <w:spacing w:before="72"/>
              <w:ind w:right="114"/>
              <w:rPr>
                <w:color w:val="FF0000"/>
                <w:sz w:val="18"/>
                <w:szCs w:val="18"/>
              </w:rPr>
            </w:pPr>
            <w:r w:rsidRPr="00243F46">
              <w:rPr>
                <w:color w:val="FF0000"/>
                <w:sz w:val="18"/>
                <w:szCs w:val="18"/>
              </w:rPr>
              <w:t>2,114,427</w:t>
            </w:r>
          </w:p>
        </w:tc>
        <w:tc>
          <w:tcPr>
            <w:tcW w:w="1170" w:type="dxa"/>
            <w:tcBorders>
              <w:top w:val="nil"/>
              <w:left w:val="nil"/>
              <w:bottom w:val="nil"/>
              <w:right w:val="nil"/>
            </w:tcBorders>
            <w:shd w:val="clear" w:color="000000" w:fill="FFFFFF"/>
          </w:tcPr>
          <w:p w14:paraId="5C1999B7" w14:textId="77777777" w:rsidR="005339CC" w:rsidRPr="00243F46" w:rsidRDefault="005339CC" w:rsidP="002F1270">
            <w:pPr>
              <w:pStyle w:val="TableParagraph"/>
              <w:spacing w:before="72"/>
              <w:ind w:right="114"/>
              <w:rPr>
                <w:color w:val="FF0000"/>
                <w:sz w:val="18"/>
                <w:szCs w:val="18"/>
              </w:rPr>
            </w:pPr>
            <w:r w:rsidRPr="00243F46">
              <w:rPr>
                <w:color w:val="FF0000"/>
                <w:sz w:val="18"/>
                <w:szCs w:val="18"/>
              </w:rPr>
              <w:t>2,156,715</w:t>
            </w:r>
          </w:p>
        </w:tc>
        <w:tc>
          <w:tcPr>
            <w:tcW w:w="1080" w:type="dxa"/>
            <w:tcBorders>
              <w:top w:val="nil"/>
              <w:left w:val="nil"/>
              <w:bottom w:val="nil"/>
              <w:right w:val="nil"/>
            </w:tcBorders>
            <w:shd w:val="clear" w:color="000000" w:fill="FFFFFF"/>
          </w:tcPr>
          <w:p w14:paraId="5D2ADF84" w14:textId="77777777" w:rsidR="005339CC" w:rsidRPr="00243F46" w:rsidRDefault="005339CC" w:rsidP="002F1270">
            <w:pPr>
              <w:pStyle w:val="TableParagraph"/>
              <w:spacing w:before="72"/>
              <w:ind w:right="114"/>
              <w:rPr>
                <w:color w:val="FF0000"/>
                <w:sz w:val="18"/>
                <w:szCs w:val="18"/>
              </w:rPr>
            </w:pPr>
            <w:r w:rsidRPr="00243F46">
              <w:rPr>
                <w:color w:val="FF0000"/>
                <w:sz w:val="18"/>
                <w:szCs w:val="18"/>
              </w:rPr>
              <w:t>6,135,380</w:t>
            </w:r>
          </w:p>
        </w:tc>
      </w:tr>
      <w:tr w:rsidR="005339CC" w:rsidRPr="0027658F" w14:paraId="5CD6B6B7" w14:textId="77777777" w:rsidTr="004E21AD">
        <w:trPr>
          <w:trHeight w:val="358"/>
        </w:trPr>
        <w:tc>
          <w:tcPr>
            <w:tcW w:w="5220" w:type="dxa"/>
            <w:tcBorders>
              <w:bottom w:val="single" w:sz="4" w:space="0" w:color="000000"/>
            </w:tcBorders>
          </w:tcPr>
          <w:p w14:paraId="7BFB7421" w14:textId="3C68C5BD" w:rsidR="005339CC" w:rsidRPr="00243F46" w:rsidRDefault="00243F46" w:rsidP="002F1270">
            <w:pPr>
              <w:pStyle w:val="TableParagraph"/>
              <w:spacing w:before="74"/>
              <w:ind w:left="122" w:right="0"/>
              <w:jc w:val="left"/>
              <w:rPr>
                <w:sz w:val="18"/>
              </w:rPr>
            </w:pPr>
            <w:r w:rsidRPr="00243F46">
              <w:rPr>
                <w:color w:val="FF0000"/>
                <w:sz w:val="18"/>
              </w:rPr>
              <w:t>Personal de apoyo general</w:t>
            </w:r>
          </w:p>
        </w:tc>
        <w:tc>
          <w:tcPr>
            <w:tcW w:w="1440" w:type="dxa"/>
            <w:tcBorders>
              <w:top w:val="nil"/>
              <w:left w:val="nil"/>
              <w:bottom w:val="nil"/>
              <w:right w:val="nil"/>
            </w:tcBorders>
            <w:shd w:val="clear" w:color="000000" w:fill="FFFFFF"/>
          </w:tcPr>
          <w:p w14:paraId="78A31F8E" w14:textId="77777777" w:rsidR="005339CC" w:rsidRPr="00243F46" w:rsidRDefault="005339CC" w:rsidP="002F1270">
            <w:pPr>
              <w:pStyle w:val="TableParagraph"/>
              <w:spacing w:before="72"/>
              <w:ind w:right="114"/>
              <w:rPr>
                <w:color w:val="FF0000"/>
                <w:sz w:val="18"/>
                <w:szCs w:val="18"/>
              </w:rPr>
            </w:pPr>
            <w:r w:rsidRPr="00243F46">
              <w:rPr>
                <w:color w:val="FF0000"/>
                <w:sz w:val="18"/>
                <w:szCs w:val="18"/>
              </w:rPr>
              <w:t>629,825</w:t>
            </w:r>
          </w:p>
        </w:tc>
        <w:tc>
          <w:tcPr>
            <w:tcW w:w="1080" w:type="dxa"/>
            <w:tcBorders>
              <w:top w:val="nil"/>
              <w:left w:val="nil"/>
              <w:bottom w:val="nil"/>
              <w:right w:val="nil"/>
            </w:tcBorders>
            <w:shd w:val="clear" w:color="000000" w:fill="FFFFFF"/>
          </w:tcPr>
          <w:p w14:paraId="24FE774F" w14:textId="77777777" w:rsidR="005339CC" w:rsidRPr="00243F46" w:rsidRDefault="005339CC" w:rsidP="002F1270">
            <w:pPr>
              <w:pStyle w:val="TableParagraph"/>
              <w:spacing w:before="72"/>
              <w:ind w:right="114"/>
              <w:rPr>
                <w:color w:val="FF0000"/>
                <w:sz w:val="18"/>
                <w:szCs w:val="18"/>
              </w:rPr>
            </w:pPr>
            <w:r w:rsidRPr="00243F46">
              <w:rPr>
                <w:color w:val="FF0000"/>
                <w:sz w:val="18"/>
                <w:szCs w:val="18"/>
              </w:rPr>
              <w:t>690,500</w:t>
            </w:r>
          </w:p>
        </w:tc>
        <w:tc>
          <w:tcPr>
            <w:tcW w:w="1170" w:type="dxa"/>
            <w:tcBorders>
              <w:top w:val="nil"/>
              <w:left w:val="nil"/>
              <w:bottom w:val="nil"/>
              <w:right w:val="nil"/>
            </w:tcBorders>
            <w:shd w:val="clear" w:color="000000" w:fill="FFFFFF"/>
          </w:tcPr>
          <w:p w14:paraId="5133DAC1" w14:textId="77777777" w:rsidR="005339CC" w:rsidRPr="00243F46" w:rsidRDefault="005339CC" w:rsidP="002F1270">
            <w:pPr>
              <w:pStyle w:val="TableParagraph"/>
              <w:spacing w:before="72"/>
              <w:ind w:right="114"/>
              <w:rPr>
                <w:color w:val="FF0000"/>
                <w:sz w:val="18"/>
                <w:szCs w:val="18"/>
              </w:rPr>
            </w:pPr>
            <w:r w:rsidRPr="00243F46">
              <w:rPr>
                <w:color w:val="FF0000"/>
                <w:sz w:val="18"/>
                <w:szCs w:val="18"/>
              </w:rPr>
              <w:t>704,310</w:t>
            </w:r>
          </w:p>
        </w:tc>
        <w:tc>
          <w:tcPr>
            <w:tcW w:w="1080" w:type="dxa"/>
            <w:tcBorders>
              <w:top w:val="nil"/>
              <w:left w:val="nil"/>
              <w:bottom w:val="nil"/>
              <w:right w:val="nil"/>
            </w:tcBorders>
            <w:shd w:val="clear" w:color="000000" w:fill="FFFFFF"/>
          </w:tcPr>
          <w:p w14:paraId="4D5BFBC6" w14:textId="77777777" w:rsidR="005339CC" w:rsidRPr="00243F46" w:rsidRDefault="005339CC" w:rsidP="002F1270">
            <w:pPr>
              <w:pStyle w:val="TableParagraph"/>
              <w:spacing w:before="72"/>
              <w:ind w:right="114"/>
              <w:rPr>
                <w:color w:val="FF0000"/>
                <w:sz w:val="18"/>
                <w:szCs w:val="18"/>
              </w:rPr>
            </w:pPr>
            <w:r w:rsidRPr="00243F46">
              <w:rPr>
                <w:color w:val="FF0000"/>
                <w:sz w:val="18"/>
                <w:szCs w:val="18"/>
              </w:rPr>
              <w:t>2,024,635</w:t>
            </w:r>
          </w:p>
        </w:tc>
      </w:tr>
      <w:tr w:rsidR="005339CC" w:rsidRPr="0027658F" w14:paraId="16222373" w14:textId="77777777" w:rsidTr="004E21AD">
        <w:trPr>
          <w:trHeight w:val="362"/>
        </w:trPr>
        <w:tc>
          <w:tcPr>
            <w:tcW w:w="5220" w:type="dxa"/>
            <w:tcBorders>
              <w:top w:val="single" w:sz="4" w:space="0" w:color="000000"/>
              <w:bottom w:val="single" w:sz="4" w:space="0" w:color="000000"/>
            </w:tcBorders>
          </w:tcPr>
          <w:p w14:paraId="342C77E0" w14:textId="77777777" w:rsidR="005339CC" w:rsidRPr="00243F46" w:rsidRDefault="005339CC" w:rsidP="002F1270">
            <w:pPr>
              <w:pStyle w:val="TableParagraph"/>
              <w:spacing w:before="75"/>
              <w:ind w:left="122" w:right="0"/>
              <w:jc w:val="left"/>
              <w:rPr>
                <w:b/>
                <w:sz w:val="18"/>
              </w:rPr>
            </w:pPr>
            <w:r w:rsidRPr="00243F46">
              <w:rPr>
                <w:b/>
                <w:spacing w:val="-2"/>
                <w:sz w:val="18"/>
              </w:rPr>
              <w:t>Subtotal</w:t>
            </w:r>
          </w:p>
        </w:tc>
        <w:tc>
          <w:tcPr>
            <w:tcW w:w="1440" w:type="dxa"/>
            <w:tcBorders>
              <w:top w:val="single" w:sz="4" w:space="0" w:color="auto"/>
              <w:left w:val="nil"/>
              <w:bottom w:val="single" w:sz="4" w:space="0" w:color="auto"/>
              <w:right w:val="nil"/>
            </w:tcBorders>
            <w:shd w:val="clear" w:color="000000" w:fill="FFFFFF"/>
          </w:tcPr>
          <w:p w14:paraId="28FFADB5" w14:textId="77777777" w:rsidR="005339CC" w:rsidRPr="00243F46" w:rsidRDefault="005339CC" w:rsidP="002F1270">
            <w:pPr>
              <w:pStyle w:val="TableParagraph"/>
              <w:spacing w:before="72"/>
              <w:ind w:right="114"/>
              <w:rPr>
                <w:b/>
                <w:bCs/>
                <w:sz w:val="18"/>
                <w:szCs w:val="18"/>
              </w:rPr>
            </w:pPr>
            <w:r w:rsidRPr="00243F46">
              <w:rPr>
                <w:b/>
                <w:bCs/>
                <w:sz w:val="18"/>
                <w:szCs w:val="18"/>
              </w:rPr>
              <w:t>2,494,063</w:t>
            </w:r>
          </w:p>
        </w:tc>
        <w:tc>
          <w:tcPr>
            <w:tcW w:w="1080" w:type="dxa"/>
            <w:tcBorders>
              <w:top w:val="single" w:sz="4" w:space="0" w:color="auto"/>
              <w:left w:val="nil"/>
              <w:bottom w:val="single" w:sz="4" w:space="0" w:color="auto"/>
              <w:right w:val="nil"/>
            </w:tcBorders>
            <w:shd w:val="clear" w:color="000000" w:fill="FFFFFF"/>
          </w:tcPr>
          <w:p w14:paraId="73B7D0B8" w14:textId="77777777" w:rsidR="005339CC" w:rsidRPr="00243F46" w:rsidRDefault="005339CC" w:rsidP="002F1270">
            <w:pPr>
              <w:pStyle w:val="TableParagraph"/>
              <w:spacing w:before="72"/>
              <w:ind w:left="161" w:right="114"/>
              <w:rPr>
                <w:b/>
                <w:bCs/>
                <w:sz w:val="18"/>
                <w:szCs w:val="18"/>
              </w:rPr>
            </w:pPr>
            <w:r w:rsidRPr="00243F46">
              <w:rPr>
                <w:b/>
                <w:bCs/>
                <w:sz w:val="18"/>
                <w:szCs w:val="18"/>
              </w:rPr>
              <w:t>2,804,927</w:t>
            </w:r>
          </w:p>
        </w:tc>
        <w:tc>
          <w:tcPr>
            <w:tcW w:w="1170" w:type="dxa"/>
            <w:tcBorders>
              <w:top w:val="single" w:sz="4" w:space="0" w:color="auto"/>
              <w:left w:val="nil"/>
              <w:bottom w:val="single" w:sz="4" w:space="0" w:color="auto"/>
              <w:right w:val="nil"/>
            </w:tcBorders>
            <w:shd w:val="clear" w:color="000000" w:fill="FFFFFF"/>
          </w:tcPr>
          <w:p w14:paraId="6DCF061F" w14:textId="77777777" w:rsidR="005339CC" w:rsidRPr="00243F46" w:rsidRDefault="005339CC" w:rsidP="002F1270">
            <w:pPr>
              <w:pStyle w:val="TableParagraph"/>
              <w:spacing w:before="72"/>
              <w:ind w:left="160" w:right="114"/>
              <w:rPr>
                <w:b/>
                <w:bCs/>
                <w:sz w:val="18"/>
                <w:szCs w:val="18"/>
              </w:rPr>
            </w:pPr>
            <w:r w:rsidRPr="00243F46">
              <w:rPr>
                <w:b/>
                <w:bCs/>
                <w:sz w:val="18"/>
                <w:szCs w:val="18"/>
              </w:rPr>
              <w:t>2,861,025</w:t>
            </w:r>
          </w:p>
        </w:tc>
        <w:tc>
          <w:tcPr>
            <w:tcW w:w="1080" w:type="dxa"/>
            <w:tcBorders>
              <w:top w:val="single" w:sz="4" w:space="0" w:color="auto"/>
              <w:left w:val="nil"/>
              <w:bottom w:val="single" w:sz="4" w:space="0" w:color="auto"/>
              <w:right w:val="nil"/>
            </w:tcBorders>
            <w:shd w:val="clear" w:color="000000" w:fill="FFFFFF"/>
          </w:tcPr>
          <w:p w14:paraId="3A2AC707" w14:textId="77777777" w:rsidR="005339CC" w:rsidRPr="00243F46" w:rsidRDefault="005339CC" w:rsidP="002F1270">
            <w:pPr>
              <w:pStyle w:val="TableParagraph"/>
              <w:spacing w:before="72"/>
              <w:ind w:right="114"/>
              <w:rPr>
                <w:b/>
                <w:bCs/>
                <w:sz w:val="18"/>
                <w:szCs w:val="18"/>
              </w:rPr>
            </w:pPr>
            <w:r w:rsidRPr="00243F46">
              <w:rPr>
                <w:b/>
                <w:bCs/>
                <w:sz w:val="18"/>
                <w:szCs w:val="18"/>
              </w:rPr>
              <w:t>8,160,014</w:t>
            </w:r>
          </w:p>
        </w:tc>
      </w:tr>
      <w:tr w:rsidR="005339CC" w:rsidRPr="0027658F" w14:paraId="701FDE16" w14:textId="77777777" w:rsidTr="004E21AD">
        <w:trPr>
          <w:trHeight w:val="362"/>
        </w:trPr>
        <w:tc>
          <w:tcPr>
            <w:tcW w:w="5220" w:type="dxa"/>
            <w:tcBorders>
              <w:top w:val="single" w:sz="4" w:space="0" w:color="000000"/>
            </w:tcBorders>
          </w:tcPr>
          <w:p w14:paraId="36B6A654" w14:textId="723D2A2D" w:rsidR="005339CC" w:rsidRPr="009F0C19" w:rsidRDefault="00243F46" w:rsidP="002F1270">
            <w:pPr>
              <w:pStyle w:val="TableParagraph"/>
              <w:spacing w:before="76"/>
              <w:ind w:left="122" w:right="0"/>
              <w:jc w:val="left"/>
              <w:rPr>
                <w:b/>
                <w:sz w:val="18"/>
              </w:rPr>
            </w:pPr>
            <w:r w:rsidRPr="009F0C19">
              <w:rPr>
                <w:b/>
                <w:spacing w:val="-2"/>
                <w:sz w:val="18"/>
              </w:rPr>
              <w:t>Servicios contractuales</w:t>
            </w:r>
          </w:p>
        </w:tc>
        <w:tc>
          <w:tcPr>
            <w:tcW w:w="1440" w:type="dxa"/>
            <w:tcBorders>
              <w:top w:val="nil"/>
              <w:left w:val="nil"/>
              <w:bottom w:val="nil"/>
              <w:right w:val="nil"/>
            </w:tcBorders>
            <w:shd w:val="clear" w:color="000000" w:fill="FFFFFF"/>
          </w:tcPr>
          <w:p w14:paraId="1817BD29" w14:textId="77777777" w:rsidR="005339CC" w:rsidRPr="009F0C19" w:rsidRDefault="005339CC" w:rsidP="002F1270">
            <w:pPr>
              <w:pStyle w:val="TableParagraph"/>
              <w:spacing w:before="72"/>
              <w:ind w:right="114"/>
              <w:rPr>
                <w:sz w:val="18"/>
                <w:szCs w:val="18"/>
              </w:rPr>
            </w:pPr>
          </w:p>
        </w:tc>
        <w:tc>
          <w:tcPr>
            <w:tcW w:w="1080" w:type="dxa"/>
            <w:tcBorders>
              <w:top w:val="nil"/>
              <w:left w:val="nil"/>
              <w:bottom w:val="nil"/>
              <w:right w:val="nil"/>
            </w:tcBorders>
            <w:shd w:val="clear" w:color="000000" w:fill="FFFFFF"/>
          </w:tcPr>
          <w:p w14:paraId="61C07CCC" w14:textId="77777777" w:rsidR="005339CC" w:rsidRPr="009F0C19" w:rsidRDefault="005339CC" w:rsidP="002F1270">
            <w:pPr>
              <w:pStyle w:val="TableParagraph"/>
              <w:spacing w:before="72"/>
              <w:ind w:right="114"/>
              <w:rPr>
                <w:sz w:val="18"/>
                <w:szCs w:val="18"/>
              </w:rPr>
            </w:pPr>
          </w:p>
        </w:tc>
        <w:tc>
          <w:tcPr>
            <w:tcW w:w="1170" w:type="dxa"/>
            <w:tcBorders>
              <w:top w:val="nil"/>
              <w:left w:val="nil"/>
              <w:bottom w:val="nil"/>
              <w:right w:val="nil"/>
            </w:tcBorders>
            <w:shd w:val="clear" w:color="000000" w:fill="FFFFFF"/>
          </w:tcPr>
          <w:p w14:paraId="30809313" w14:textId="77777777" w:rsidR="005339CC" w:rsidRPr="009F0C19" w:rsidRDefault="005339CC" w:rsidP="002F1270">
            <w:pPr>
              <w:pStyle w:val="TableParagraph"/>
              <w:spacing w:before="72"/>
              <w:ind w:right="114"/>
              <w:rPr>
                <w:sz w:val="18"/>
                <w:szCs w:val="18"/>
              </w:rPr>
            </w:pPr>
          </w:p>
        </w:tc>
        <w:tc>
          <w:tcPr>
            <w:tcW w:w="1080" w:type="dxa"/>
            <w:tcBorders>
              <w:top w:val="nil"/>
              <w:left w:val="nil"/>
              <w:bottom w:val="nil"/>
              <w:right w:val="nil"/>
            </w:tcBorders>
            <w:shd w:val="clear" w:color="000000" w:fill="FFFFFF"/>
          </w:tcPr>
          <w:p w14:paraId="4F970822" w14:textId="77777777" w:rsidR="005339CC" w:rsidRPr="009F0C19" w:rsidRDefault="005339CC" w:rsidP="002F1270">
            <w:pPr>
              <w:pStyle w:val="TableParagraph"/>
              <w:spacing w:before="72"/>
              <w:ind w:right="114"/>
              <w:rPr>
                <w:sz w:val="18"/>
                <w:szCs w:val="18"/>
              </w:rPr>
            </w:pPr>
          </w:p>
        </w:tc>
      </w:tr>
      <w:tr w:rsidR="005339CC" w:rsidRPr="0027658F" w14:paraId="7524DDCC" w14:textId="77777777" w:rsidTr="004E21AD">
        <w:trPr>
          <w:trHeight w:val="361"/>
        </w:trPr>
        <w:tc>
          <w:tcPr>
            <w:tcW w:w="5220" w:type="dxa"/>
          </w:tcPr>
          <w:p w14:paraId="1197D4C0" w14:textId="36286CD4" w:rsidR="005339CC" w:rsidRPr="009F0C19" w:rsidRDefault="00243F46" w:rsidP="002F1270">
            <w:pPr>
              <w:pStyle w:val="TableParagraph"/>
              <w:spacing w:before="73"/>
              <w:ind w:left="122" w:right="0"/>
              <w:jc w:val="left"/>
              <w:rPr>
                <w:sz w:val="18"/>
                <w:lang w:val="es-ES"/>
              </w:rPr>
            </w:pPr>
            <w:r w:rsidRPr="009F0C19">
              <w:rPr>
                <w:color w:val="FF0000"/>
                <w:sz w:val="18"/>
                <w:lang w:val="es-ES"/>
              </w:rPr>
              <w:t>Servicios contractuales (traducciones y redacción de informes)</w:t>
            </w:r>
          </w:p>
        </w:tc>
        <w:tc>
          <w:tcPr>
            <w:tcW w:w="1440" w:type="dxa"/>
            <w:tcBorders>
              <w:top w:val="nil"/>
              <w:left w:val="nil"/>
              <w:bottom w:val="nil"/>
              <w:right w:val="nil"/>
            </w:tcBorders>
            <w:shd w:val="clear" w:color="000000" w:fill="FFFFFF"/>
          </w:tcPr>
          <w:p w14:paraId="08C98CD1" w14:textId="77777777" w:rsidR="005339CC" w:rsidRPr="009F0C19" w:rsidRDefault="005339CC" w:rsidP="002F1270">
            <w:pPr>
              <w:pStyle w:val="TableParagraph"/>
              <w:spacing w:before="72"/>
              <w:ind w:right="114"/>
              <w:rPr>
                <w:color w:val="FF0000"/>
                <w:sz w:val="18"/>
                <w:szCs w:val="18"/>
              </w:rPr>
            </w:pPr>
            <w:r w:rsidRPr="009F0C19">
              <w:rPr>
                <w:color w:val="FF0000"/>
                <w:sz w:val="18"/>
                <w:szCs w:val="18"/>
              </w:rPr>
              <w:t>126,744</w:t>
            </w:r>
          </w:p>
        </w:tc>
        <w:tc>
          <w:tcPr>
            <w:tcW w:w="1080" w:type="dxa"/>
            <w:tcBorders>
              <w:top w:val="nil"/>
              <w:left w:val="nil"/>
              <w:bottom w:val="nil"/>
              <w:right w:val="nil"/>
            </w:tcBorders>
            <w:shd w:val="clear" w:color="000000" w:fill="FFFFFF"/>
          </w:tcPr>
          <w:p w14:paraId="372BD0D8" w14:textId="77777777" w:rsidR="005339CC" w:rsidRPr="009F0C19" w:rsidRDefault="005339CC" w:rsidP="002F1270">
            <w:pPr>
              <w:pStyle w:val="TableParagraph"/>
              <w:spacing w:before="72"/>
              <w:ind w:right="114"/>
              <w:rPr>
                <w:color w:val="FF0000"/>
                <w:sz w:val="18"/>
                <w:szCs w:val="18"/>
              </w:rPr>
            </w:pPr>
            <w:r w:rsidRPr="009F0C19">
              <w:rPr>
                <w:color w:val="FF0000"/>
                <w:sz w:val="18"/>
                <w:szCs w:val="18"/>
              </w:rPr>
              <w:t>129,279</w:t>
            </w:r>
          </w:p>
        </w:tc>
        <w:tc>
          <w:tcPr>
            <w:tcW w:w="1170" w:type="dxa"/>
            <w:tcBorders>
              <w:top w:val="nil"/>
              <w:left w:val="nil"/>
              <w:bottom w:val="nil"/>
              <w:right w:val="nil"/>
            </w:tcBorders>
            <w:shd w:val="clear" w:color="000000" w:fill="FFFFFF"/>
          </w:tcPr>
          <w:p w14:paraId="26F7BAAC" w14:textId="77777777" w:rsidR="005339CC" w:rsidRPr="009F0C19" w:rsidRDefault="005339CC" w:rsidP="002F1270">
            <w:pPr>
              <w:pStyle w:val="TableParagraph"/>
              <w:spacing w:before="72"/>
              <w:ind w:right="114"/>
              <w:rPr>
                <w:color w:val="FF0000"/>
                <w:sz w:val="18"/>
                <w:szCs w:val="18"/>
              </w:rPr>
            </w:pPr>
            <w:r w:rsidRPr="009F0C19">
              <w:rPr>
                <w:color w:val="FF0000"/>
                <w:sz w:val="18"/>
                <w:szCs w:val="18"/>
              </w:rPr>
              <w:t>131,865</w:t>
            </w:r>
          </w:p>
        </w:tc>
        <w:tc>
          <w:tcPr>
            <w:tcW w:w="1080" w:type="dxa"/>
            <w:tcBorders>
              <w:top w:val="nil"/>
              <w:left w:val="nil"/>
              <w:bottom w:val="nil"/>
              <w:right w:val="nil"/>
            </w:tcBorders>
            <w:shd w:val="clear" w:color="000000" w:fill="FFFFFF"/>
          </w:tcPr>
          <w:p w14:paraId="08C127E9" w14:textId="77777777" w:rsidR="005339CC" w:rsidRPr="009F0C19" w:rsidRDefault="005339CC" w:rsidP="002F1270">
            <w:pPr>
              <w:pStyle w:val="TableParagraph"/>
              <w:spacing w:before="72"/>
              <w:ind w:right="114"/>
              <w:rPr>
                <w:color w:val="FF0000"/>
                <w:sz w:val="18"/>
                <w:szCs w:val="18"/>
              </w:rPr>
            </w:pPr>
            <w:r w:rsidRPr="009F0C19">
              <w:rPr>
                <w:color w:val="FF0000"/>
                <w:sz w:val="18"/>
                <w:szCs w:val="18"/>
              </w:rPr>
              <w:t>387,888</w:t>
            </w:r>
          </w:p>
        </w:tc>
      </w:tr>
      <w:tr w:rsidR="005339CC" w:rsidRPr="0027658F" w14:paraId="708FB5A3" w14:textId="77777777" w:rsidTr="004E21AD">
        <w:trPr>
          <w:trHeight w:val="361"/>
        </w:trPr>
        <w:tc>
          <w:tcPr>
            <w:tcW w:w="5220" w:type="dxa"/>
          </w:tcPr>
          <w:p w14:paraId="225DD83E" w14:textId="31B885E5" w:rsidR="005339CC" w:rsidRPr="009F0C19" w:rsidRDefault="00243F46" w:rsidP="002F1270">
            <w:pPr>
              <w:pStyle w:val="TableParagraph"/>
              <w:spacing w:before="74"/>
              <w:ind w:left="122" w:right="0"/>
              <w:jc w:val="left"/>
              <w:rPr>
                <w:sz w:val="18"/>
                <w:lang w:val="es-ES"/>
              </w:rPr>
            </w:pPr>
            <w:r w:rsidRPr="009F0C19">
              <w:rPr>
                <w:sz w:val="18"/>
                <w:lang w:val="es-ES"/>
              </w:rPr>
              <w:t>Servicios a los órganos de gobierno (traducciones, interpretación, etc.)</w:t>
            </w:r>
          </w:p>
        </w:tc>
        <w:tc>
          <w:tcPr>
            <w:tcW w:w="1440" w:type="dxa"/>
            <w:tcBorders>
              <w:top w:val="nil"/>
              <w:left w:val="nil"/>
              <w:bottom w:val="nil"/>
              <w:right w:val="nil"/>
            </w:tcBorders>
            <w:shd w:val="clear" w:color="000000" w:fill="FFFFFF"/>
          </w:tcPr>
          <w:p w14:paraId="053D8331" w14:textId="77777777" w:rsidR="005339CC" w:rsidRPr="009F0C19" w:rsidRDefault="005339CC" w:rsidP="002F1270">
            <w:pPr>
              <w:pStyle w:val="TableParagraph"/>
              <w:spacing w:before="72"/>
              <w:ind w:right="114"/>
              <w:rPr>
                <w:sz w:val="18"/>
                <w:szCs w:val="18"/>
              </w:rPr>
            </w:pPr>
            <w:r w:rsidRPr="009F0C19">
              <w:rPr>
                <w:sz w:val="18"/>
                <w:szCs w:val="18"/>
              </w:rPr>
              <w:t>0</w:t>
            </w:r>
          </w:p>
        </w:tc>
        <w:tc>
          <w:tcPr>
            <w:tcW w:w="1080" w:type="dxa"/>
            <w:tcBorders>
              <w:top w:val="nil"/>
              <w:left w:val="nil"/>
              <w:bottom w:val="nil"/>
              <w:right w:val="nil"/>
            </w:tcBorders>
            <w:shd w:val="clear" w:color="000000" w:fill="FFFFFF"/>
          </w:tcPr>
          <w:p w14:paraId="23DE98EA" w14:textId="77777777" w:rsidR="005339CC" w:rsidRPr="009F0C19" w:rsidRDefault="005339CC" w:rsidP="002F1270">
            <w:pPr>
              <w:pStyle w:val="TableParagraph"/>
              <w:spacing w:before="72"/>
              <w:ind w:right="114"/>
              <w:rPr>
                <w:sz w:val="18"/>
                <w:szCs w:val="18"/>
              </w:rPr>
            </w:pPr>
            <w:r w:rsidRPr="009F0C19">
              <w:rPr>
                <w:sz w:val="18"/>
                <w:szCs w:val="18"/>
              </w:rPr>
              <w:t>0</w:t>
            </w:r>
          </w:p>
        </w:tc>
        <w:tc>
          <w:tcPr>
            <w:tcW w:w="1170" w:type="dxa"/>
            <w:tcBorders>
              <w:top w:val="nil"/>
              <w:left w:val="nil"/>
              <w:bottom w:val="nil"/>
              <w:right w:val="nil"/>
            </w:tcBorders>
            <w:shd w:val="clear" w:color="000000" w:fill="FFFFFF"/>
          </w:tcPr>
          <w:p w14:paraId="2D9CFFA2" w14:textId="77777777" w:rsidR="005339CC" w:rsidRPr="009F0C19" w:rsidRDefault="005339CC" w:rsidP="002F1270">
            <w:pPr>
              <w:pStyle w:val="TableParagraph"/>
              <w:spacing w:before="72"/>
              <w:ind w:right="114"/>
              <w:rPr>
                <w:sz w:val="18"/>
                <w:szCs w:val="18"/>
              </w:rPr>
            </w:pPr>
            <w:r w:rsidRPr="009F0C19">
              <w:rPr>
                <w:sz w:val="18"/>
                <w:szCs w:val="18"/>
              </w:rPr>
              <w:t>345,814</w:t>
            </w:r>
          </w:p>
        </w:tc>
        <w:tc>
          <w:tcPr>
            <w:tcW w:w="1080" w:type="dxa"/>
            <w:tcBorders>
              <w:top w:val="nil"/>
              <w:left w:val="nil"/>
              <w:bottom w:val="nil"/>
              <w:right w:val="nil"/>
            </w:tcBorders>
            <w:shd w:val="clear" w:color="000000" w:fill="FFFFFF"/>
          </w:tcPr>
          <w:p w14:paraId="7B07AD49" w14:textId="77777777" w:rsidR="005339CC" w:rsidRPr="009F0C19" w:rsidRDefault="005339CC" w:rsidP="002F1270">
            <w:pPr>
              <w:pStyle w:val="TableParagraph"/>
              <w:spacing w:before="72"/>
              <w:ind w:right="114"/>
              <w:rPr>
                <w:sz w:val="18"/>
                <w:szCs w:val="18"/>
              </w:rPr>
            </w:pPr>
            <w:r w:rsidRPr="009F0C19">
              <w:rPr>
                <w:sz w:val="18"/>
                <w:szCs w:val="18"/>
              </w:rPr>
              <w:t>345,814</w:t>
            </w:r>
          </w:p>
        </w:tc>
      </w:tr>
      <w:tr w:rsidR="005339CC" w:rsidRPr="0027658F" w14:paraId="2C2EFC32" w14:textId="77777777" w:rsidTr="004E21AD">
        <w:trPr>
          <w:trHeight w:val="359"/>
        </w:trPr>
        <w:tc>
          <w:tcPr>
            <w:tcW w:w="5220" w:type="dxa"/>
            <w:tcBorders>
              <w:bottom w:val="single" w:sz="4" w:space="0" w:color="000000"/>
            </w:tcBorders>
          </w:tcPr>
          <w:p w14:paraId="5438329D" w14:textId="518C56FC" w:rsidR="005339CC" w:rsidRPr="009F0C19" w:rsidRDefault="009F0C19" w:rsidP="002F1270">
            <w:pPr>
              <w:pStyle w:val="TableParagraph"/>
              <w:spacing w:before="73"/>
              <w:ind w:left="122" w:right="0"/>
              <w:jc w:val="left"/>
              <w:rPr>
                <w:color w:val="FF0000"/>
                <w:sz w:val="18"/>
                <w:lang w:val="es-ES"/>
              </w:rPr>
            </w:pPr>
            <w:r w:rsidRPr="009F0C19">
              <w:rPr>
                <w:color w:val="FF0000"/>
                <w:sz w:val="18"/>
                <w:lang w:val="es-ES"/>
              </w:rPr>
              <w:t>Material de información y producción de documentos</w:t>
            </w:r>
          </w:p>
        </w:tc>
        <w:tc>
          <w:tcPr>
            <w:tcW w:w="1440" w:type="dxa"/>
            <w:tcBorders>
              <w:top w:val="nil"/>
              <w:left w:val="nil"/>
              <w:bottom w:val="nil"/>
              <w:right w:val="nil"/>
            </w:tcBorders>
            <w:shd w:val="clear" w:color="000000" w:fill="FFFFFF"/>
          </w:tcPr>
          <w:p w14:paraId="0AFA8961" w14:textId="77777777" w:rsidR="005339CC" w:rsidRPr="009F0C19" w:rsidRDefault="005339CC" w:rsidP="002F1270">
            <w:pPr>
              <w:pStyle w:val="TableParagraph"/>
              <w:spacing w:before="72"/>
              <w:ind w:right="114"/>
              <w:rPr>
                <w:color w:val="FF0000"/>
                <w:sz w:val="18"/>
                <w:szCs w:val="18"/>
              </w:rPr>
            </w:pPr>
            <w:r w:rsidRPr="009F0C19">
              <w:rPr>
                <w:color w:val="FF0000"/>
                <w:sz w:val="18"/>
                <w:szCs w:val="18"/>
              </w:rPr>
              <w:t>17,270</w:t>
            </w:r>
          </w:p>
        </w:tc>
        <w:tc>
          <w:tcPr>
            <w:tcW w:w="1080" w:type="dxa"/>
            <w:tcBorders>
              <w:top w:val="nil"/>
              <w:left w:val="nil"/>
              <w:bottom w:val="nil"/>
              <w:right w:val="nil"/>
            </w:tcBorders>
            <w:shd w:val="clear" w:color="000000" w:fill="FFFFFF"/>
          </w:tcPr>
          <w:p w14:paraId="487507A2" w14:textId="77777777" w:rsidR="005339CC" w:rsidRPr="009F0C19" w:rsidRDefault="005339CC" w:rsidP="002F1270">
            <w:pPr>
              <w:pStyle w:val="TableParagraph"/>
              <w:spacing w:before="72"/>
              <w:ind w:right="114"/>
              <w:rPr>
                <w:color w:val="FF0000"/>
                <w:sz w:val="18"/>
                <w:szCs w:val="18"/>
              </w:rPr>
            </w:pPr>
            <w:r w:rsidRPr="009F0C19">
              <w:rPr>
                <w:color w:val="FF0000"/>
                <w:sz w:val="18"/>
                <w:szCs w:val="18"/>
              </w:rPr>
              <w:t>17,615</w:t>
            </w:r>
          </w:p>
        </w:tc>
        <w:tc>
          <w:tcPr>
            <w:tcW w:w="1170" w:type="dxa"/>
            <w:tcBorders>
              <w:top w:val="nil"/>
              <w:left w:val="nil"/>
              <w:bottom w:val="nil"/>
              <w:right w:val="nil"/>
            </w:tcBorders>
            <w:shd w:val="clear" w:color="000000" w:fill="FFFFFF"/>
          </w:tcPr>
          <w:p w14:paraId="4CB2B0EF" w14:textId="77777777" w:rsidR="005339CC" w:rsidRPr="009F0C19" w:rsidRDefault="005339CC" w:rsidP="002F1270">
            <w:pPr>
              <w:pStyle w:val="TableParagraph"/>
              <w:spacing w:before="72"/>
              <w:ind w:right="114"/>
              <w:rPr>
                <w:color w:val="FF0000"/>
                <w:sz w:val="18"/>
                <w:szCs w:val="18"/>
              </w:rPr>
            </w:pPr>
            <w:r w:rsidRPr="009F0C19">
              <w:rPr>
                <w:color w:val="FF0000"/>
                <w:sz w:val="18"/>
                <w:szCs w:val="18"/>
              </w:rPr>
              <w:t>17,967</w:t>
            </w:r>
          </w:p>
        </w:tc>
        <w:tc>
          <w:tcPr>
            <w:tcW w:w="1080" w:type="dxa"/>
            <w:tcBorders>
              <w:top w:val="nil"/>
              <w:left w:val="nil"/>
              <w:bottom w:val="nil"/>
              <w:right w:val="nil"/>
            </w:tcBorders>
            <w:shd w:val="clear" w:color="000000" w:fill="FFFFFF"/>
          </w:tcPr>
          <w:p w14:paraId="7E3AADEB" w14:textId="77777777" w:rsidR="005339CC" w:rsidRPr="009F0C19" w:rsidRDefault="005339CC" w:rsidP="002F1270">
            <w:pPr>
              <w:pStyle w:val="TableParagraph"/>
              <w:spacing w:before="72"/>
              <w:ind w:right="114"/>
              <w:rPr>
                <w:color w:val="FF0000"/>
                <w:sz w:val="18"/>
                <w:szCs w:val="18"/>
              </w:rPr>
            </w:pPr>
            <w:r w:rsidRPr="009F0C19">
              <w:rPr>
                <w:color w:val="FF0000"/>
                <w:sz w:val="18"/>
                <w:szCs w:val="18"/>
              </w:rPr>
              <w:t>52,852</w:t>
            </w:r>
          </w:p>
        </w:tc>
      </w:tr>
      <w:tr w:rsidR="005339CC" w:rsidRPr="0027658F" w14:paraId="7C9C2F7E" w14:textId="77777777" w:rsidTr="004E21AD">
        <w:trPr>
          <w:trHeight w:val="287"/>
        </w:trPr>
        <w:tc>
          <w:tcPr>
            <w:tcW w:w="5220" w:type="dxa"/>
            <w:tcBorders>
              <w:top w:val="single" w:sz="4" w:space="0" w:color="000000"/>
              <w:bottom w:val="single" w:sz="4" w:space="0" w:color="000000"/>
            </w:tcBorders>
          </w:tcPr>
          <w:p w14:paraId="218DCC54" w14:textId="77777777" w:rsidR="005339CC" w:rsidRPr="009F0C19" w:rsidRDefault="005339CC" w:rsidP="002F1270">
            <w:pPr>
              <w:pStyle w:val="TableParagraph"/>
              <w:spacing w:before="75"/>
              <w:ind w:left="122" w:right="0"/>
              <w:jc w:val="left"/>
              <w:rPr>
                <w:b/>
                <w:sz w:val="18"/>
              </w:rPr>
            </w:pPr>
            <w:r w:rsidRPr="009F0C19">
              <w:rPr>
                <w:b/>
                <w:spacing w:val="-2"/>
                <w:sz w:val="18"/>
              </w:rPr>
              <w:t>Subtotal</w:t>
            </w:r>
          </w:p>
        </w:tc>
        <w:tc>
          <w:tcPr>
            <w:tcW w:w="1440" w:type="dxa"/>
            <w:tcBorders>
              <w:top w:val="single" w:sz="4" w:space="0" w:color="auto"/>
              <w:left w:val="nil"/>
              <w:bottom w:val="single" w:sz="4" w:space="0" w:color="auto"/>
              <w:right w:val="nil"/>
            </w:tcBorders>
            <w:shd w:val="clear" w:color="000000" w:fill="FFFFFF"/>
          </w:tcPr>
          <w:p w14:paraId="57E474E7" w14:textId="77777777" w:rsidR="005339CC" w:rsidRPr="009F0C19" w:rsidRDefault="005339CC" w:rsidP="002F1270">
            <w:pPr>
              <w:pStyle w:val="TableParagraph"/>
              <w:spacing w:before="72"/>
              <w:ind w:right="114"/>
              <w:rPr>
                <w:b/>
                <w:bCs/>
                <w:sz w:val="18"/>
                <w:szCs w:val="18"/>
              </w:rPr>
            </w:pPr>
            <w:r w:rsidRPr="009F0C19">
              <w:rPr>
                <w:b/>
                <w:bCs/>
                <w:sz w:val="18"/>
                <w:szCs w:val="18"/>
              </w:rPr>
              <w:t>144,014</w:t>
            </w:r>
          </w:p>
        </w:tc>
        <w:tc>
          <w:tcPr>
            <w:tcW w:w="1080" w:type="dxa"/>
            <w:tcBorders>
              <w:top w:val="single" w:sz="4" w:space="0" w:color="auto"/>
              <w:left w:val="nil"/>
              <w:bottom w:val="single" w:sz="4" w:space="0" w:color="auto"/>
              <w:right w:val="nil"/>
            </w:tcBorders>
            <w:shd w:val="clear" w:color="000000" w:fill="FFFFFF"/>
          </w:tcPr>
          <w:p w14:paraId="72659935" w14:textId="77777777" w:rsidR="005339CC" w:rsidRPr="009F0C19" w:rsidRDefault="005339CC" w:rsidP="002F1270">
            <w:pPr>
              <w:pStyle w:val="TableParagraph"/>
              <w:spacing w:before="72"/>
              <w:ind w:right="114"/>
              <w:rPr>
                <w:b/>
                <w:bCs/>
                <w:sz w:val="18"/>
                <w:szCs w:val="18"/>
              </w:rPr>
            </w:pPr>
            <w:r w:rsidRPr="009F0C19">
              <w:rPr>
                <w:b/>
                <w:bCs/>
                <w:sz w:val="18"/>
                <w:szCs w:val="18"/>
              </w:rPr>
              <w:t>146,894</w:t>
            </w:r>
          </w:p>
        </w:tc>
        <w:tc>
          <w:tcPr>
            <w:tcW w:w="1170" w:type="dxa"/>
            <w:tcBorders>
              <w:top w:val="single" w:sz="4" w:space="0" w:color="auto"/>
              <w:left w:val="nil"/>
              <w:bottom w:val="single" w:sz="4" w:space="0" w:color="auto"/>
              <w:right w:val="nil"/>
            </w:tcBorders>
            <w:shd w:val="clear" w:color="000000" w:fill="FFFFFF"/>
          </w:tcPr>
          <w:p w14:paraId="3EB3778C" w14:textId="77777777" w:rsidR="005339CC" w:rsidRPr="009F0C19" w:rsidRDefault="005339CC" w:rsidP="002F1270">
            <w:pPr>
              <w:pStyle w:val="TableParagraph"/>
              <w:spacing w:before="72"/>
              <w:ind w:right="114"/>
              <w:rPr>
                <w:b/>
                <w:bCs/>
                <w:sz w:val="18"/>
                <w:szCs w:val="18"/>
              </w:rPr>
            </w:pPr>
            <w:r w:rsidRPr="009F0C19">
              <w:rPr>
                <w:b/>
                <w:bCs/>
                <w:sz w:val="18"/>
                <w:szCs w:val="18"/>
              </w:rPr>
              <w:t>495,646</w:t>
            </w:r>
          </w:p>
        </w:tc>
        <w:tc>
          <w:tcPr>
            <w:tcW w:w="1080" w:type="dxa"/>
            <w:tcBorders>
              <w:top w:val="single" w:sz="4" w:space="0" w:color="auto"/>
              <w:left w:val="nil"/>
              <w:bottom w:val="single" w:sz="4" w:space="0" w:color="auto"/>
              <w:right w:val="nil"/>
            </w:tcBorders>
            <w:shd w:val="clear" w:color="000000" w:fill="FFFFFF"/>
          </w:tcPr>
          <w:p w14:paraId="05FE01EA" w14:textId="77777777" w:rsidR="005339CC" w:rsidRPr="009F0C19" w:rsidRDefault="005339CC" w:rsidP="002F1270">
            <w:pPr>
              <w:pStyle w:val="TableParagraph"/>
              <w:spacing w:before="72"/>
              <w:ind w:right="114"/>
              <w:rPr>
                <w:b/>
                <w:bCs/>
                <w:sz w:val="18"/>
                <w:szCs w:val="18"/>
              </w:rPr>
            </w:pPr>
            <w:r w:rsidRPr="009F0C19">
              <w:rPr>
                <w:b/>
                <w:bCs/>
                <w:sz w:val="18"/>
                <w:szCs w:val="18"/>
              </w:rPr>
              <w:t>786,554</w:t>
            </w:r>
          </w:p>
        </w:tc>
      </w:tr>
      <w:tr w:rsidR="005339CC" w:rsidRPr="0027658F" w14:paraId="567C419C" w14:textId="77777777" w:rsidTr="004E21AD">
        <w:trPr>
          <w:trHeight w:val="363"/>
        </w:trPr>
        <w:tc>
          <w:tcPr>
            <w:tcW w:w="5220" w:type="dxa"/>
            <w:tcBorders>
              <w:top w:val="single" w:sz="4" w:space="0" w:color="000000"/>
            </w:tcBorders>
            <w:shd w:val="clear" w:color="auto" w:fill="auto"/>
          </w:tcPr>
          <w:p w14:paraId="0ED6EB8A" w14:textId="74F3EA78" w:rsidR="005339CC" w:rsidRPr="00BA25F6" w:rsidRDefault="009F0C19" w:rsidP="002F1270">
            <w:pPr>
              <w:pStyle w:val="TableParagraph"/>
              <w:spacing w:before="75"/>
              <w:ind w:left="122" w:right="0"/>
              <w:jc w:val="left"/>
              <w:rPr>
                <w:b/>
                <w:sz w:val="18"/>
              </w:rPr>
            </w:pPr>
            <w:r w:rsidRPr="00BA25F6">
              <w:rPr>
                <w:b/>
                <w:color w:val="000000"/>
                <w:sz w:val="18"/>
                <w:szCs w:val="18"/>
                <w:lang w:val="es-ES"/>
              </w:rPr>
              <w:t>Costes de operación</w:t>
            </w:r>
          </w:p>
        </w:tc>
        <w:tc>
          <w:tcPr>
            <w:tcW w:w="1440" w:type="dxa"/>
            <w:tcBorders>
              <w:top w:val="nil"/>
              <w:left w:val="nil"/>
              <w:bottom w:val="nil"/>
              <w:right w:val="nil"/>
            </w:tcBorders>
            <w:shd w:val="clear" w:color="auto" w:fill="auto"/>
          </w:tcPr>
          <w:p w14:paraId="6616BCDC" w14:textId="77777777" w:rsidR="005339CC" w:rsidRPr="00BA25F6" w:rsidRDefault="005339CC" w:rsidP="002F1270">
            <w:pPr>
              <w:pStyle w:val="TableParagraph"/>
              <w:spacing w:before="72"/>
              <w:ind w:right="114"/>
              <w:rPr>
                <w:sz w:val="18"/>
                <w:szCs w:val="18"/>
              </w:rPr>
            </w:pPr>
          </w:p>
        </w:tc>
        <w:tc>
          <w:tcPr>
            <w:tcW w:w="1080" w:type="dxa"/>
            <w:tcBorders>
              <w:top w:val="nil"/>
              <w:left w:val="nil"/>
              <w:bottom w:val="nil"/>
              <w:right w:val="nil"/>
            </w:tcBorders>
            <w:shd w:val="clear" w:color="auto" w:fill="auto"/>
          </w:tcPr>
          <w:p w14:paraId="115838D0" w14:textId="77777777" w:rsidR="005339CC" w:rsidRPr="00BA25F6" w:rsidRDefault="005339CC" w:rsidP="002F1270">
            <w:pPr>
              <w:pStyle w:val="TableParagraph"/>
              <w:spacing w:before="72"/>
              <w:ind w:right="114"/>
              <w:rPr>
                <w:sz w:val="18"/>
                <w:szCs w:val="18"/>
              </w:rPr>
            </w:pPr>
          </w:p>
        </w:tc>
        <w:tc>
          <w:tcPr>
            <w:tcW w:w="1170" w:type="dxa"/>
            <w:tcBorders>
              <w:top w:val="nil"/>
              <w:left w:val="nil"/>
              <w:bottom w:val="nil"/>
              <w:right w:val="nil"/>
            </w:tcBorders>
            <w:shd w:val="clear" w:color="auto" w:fill="auto"/>
          </w:tcPr>
          <w:p w14:paraId="008844D4" w14:textId="77777777" w:rsidR="005339CC" w:rsidRPr="00BA25F6" w:rsidRDefault="005339CC" w:rsidP="002F1270">
            <w:pPr>
              <w:pStyle w:val="TableParagraph"/>
              <w:spacing w:before="72"/>
              <w:ind w:right="114"/>
              <w:rPr>
                <w:sz w:val="18"/>
                <w:szCs w:val="18"/>
              </w:rPr>
            </w:pPr>
          </w:p>
        </w:tc>
        <w:tc>
          <w:tcPr>
            <w:tcW w:w="1080" w:type="dxa"/>
            <w:tcBorders>
              <w:top w:val="nil"/>
              <w:left w:val="nil"/>
              <w:bottom w:val="nil"/>
              <w:right w:val="nil"/>
            </w:tcBorders>
            <w:shd w:val="clear" w:color="auto" w:fill="auto"/>
          </w:tcPr>
          <w:p w14:paraId="06C53483" w14:textId="77777777" w:rsidR="005339CC" w:rsidRPr="00BA25F6" w:rsidRDefault="005339CC" w:rsidP="002F1270">
            <w:pPr>
              <w:pStyle w:val="TableParagraph"/>
              <w:spacing w:before="72"/>
              <w:ind w:right="114"/>
              <w:rPr>
                <w:sz w:val="18"/>
                <w:szCs w:val="18"/>
              </w:rPr>
            </w:pPr>
          </w:p>
        </w:tc>
      </w:tr>
      <w:tr w:rsidR="005339CC" w:rsidRPr="0027658F" w14:paraId="68479935" w14:textId="77777777" w:rsidTr="004E21AD">
        <w:trPr>
          <w:trHeight w:val="361"/>
        </w:trPr>
        <w:tc>
          <w:tcPr>
            <w:tcW w:w="5220" w:type="dxa"/>
            <w:shd w:val="clear" w:color="auto" w:fill="auto"/>
          </w:tcPr>
          <w:p w14:paraId="77EDCF9A" w14:textId="0A86D89B" w:rsidR="005339CC" w:rsidRPr="00BA25F6" w:rsidRDefault="00BA25F6" w:rsidP="002F1270">
            <w:pPr>
              <w:pStyle w:val="TableParagraph"/>
              <w:spacing w:before="74"/>
              <w:ind w:left="122" w:right="0"/>
              <w:jc w:val="left"/>
              <w:rPr>
                <w:color w:val="FF0000"/>
                <w:sz w:val="18"/>
                <w:lang w:val="es-ES"/>
              </w:rPr>
            </w:pPr>
            <w:r w:rsidRPr="00BA25F6">
              <w:rPr>
                <w:color w:val="FF0000"/>
                <w:sz w:val="18"/>
                <w:lang w:val="es-ES"/>
              </w:rPr>
              <w:t>Herramientas TIC, desarrollo y mantenimiento del sitio web</w:t>
            </w:r>
          </w:p>
        </w:tc>
        <w:tc>
          <w:tcPr>
            <w:tcW w:w="1440" w:type="dxa"/>
            <w:tcBorders>
              <w:top w:val="nil"/>
              <w:left w:val="nil"/>
              <w:bottom w:val="nil"/>
              <w:right w:val="nil"/>
            </w:tcBorders>
            <w:shd w:val="clear" w:color="auto" w:fill="auto"/>
          </w:tcPr>
          <w:p w14:paraId="79424BDD" w14:textId="77777777" w:rsidR="005339CC" w:rsidRPr="00BA25F6" w:rsidRDefault="005339CC" w:rsidP="002F1270">
            <w:pPr>
              <w:pStyle w:val="TableParagraph"/>
              <w:spacing w:before="72"/>
              <w:ind w:right="114"/>
              <w:rPr>
                <w:color w:val="FF0000"/>
                <w:sz w:val="18"/>
                <w:szCs w:val="18"/>
              </w:rPr>
            </w:pPr>
            <w:r w:rsidRPr="00BA25F6">
              <w:rPr>
                <w:color w:val="FF0000"/>
                <w:sz w:val="18"/>
                <w:szCs w:val="18"/>
              </w:rPr>
              <w:t>14,800</w:t>
            </w:r>
          </w:p>
        </w:tc>
        <w:tc>
          <w:tcPr>
            <w:tcW w:w="1080" w:type="dxa"/>
            <w:tcBorders>
              <w:top w:val="nil"/>
              <w:left w:val="nil"/>
              <w:bottom w:val="nil"/>
              <w:right w:val="nil"/>
            </w:tcBorders>
            <w:shd w:val="clear" w:color="auto" w:fill="auto"/>
          </w:tcPr>
          <w:p w14:paraId="7F65667A" w14:textId="77777777" w:rsidR="005339CC" w:rsidRPr="00BA25F6" w:rsidRDefault="005339CC" w:rsidP="002F1270">
            <w:pPr>
              <w:pStyle w:val="TableParagraph"/>
              <w:spacing w:before="72"/>
              <w:ind w:right="114"/>
              <w:rPr>
                <w:color w:val="FF0000"/>
                <w:sz w:val="18"/>
                <w:szCs w:val="18"/>
              </w:rPr>
            </w:pPr>
            <w:r w:rsidRPr="00BA25F6">
              <w:rPr>
                <w:color w:val="FF0000"/>
                <w:sz w:val="18"/>
                <w:szCs w:val="18"/>
              </w:rPr>
              <w:t>15,096</w:t>
            </w:r>
          </w:p>
        </w:tc>
        <w:tc>
          <w:tcPr>
            <w:tcW w:w="1170" w:type="dxa"/>
            <w:tcBorders>
              <w:top w:val="nil"/>
              <w:left w:val="nil"/>
              <w:bottom w:val="nil"/>
              <w:right w:val="nil"/>
            </w:tcBorders>
            <w:shd w:val="clear" w:color="auto" w:fill="auto"/>
          </w:tcPr>
          <w:p w14:paraId="701946A3" w14:textId="77777777" w:rsidR="005339CC" w:rsidRPr="00BA25F6" w:rsidRDefault="005339CC" w:rsidP="002F1270">
            <w:pPr>
              <w:pStyle w:val="TableParagraph"/>
              <w:spacing w:before="72"/>
              <w:ind w:right="114"/>
              <w:rPr>
                <w:color w:val="FF0000"/>
                <w:sz w:val="18"/>
                <w:szCs w:val="18"/>
              </w:rPr>
            </w:pPr>
            <w:r w:rsidRPr="00BA25F6">
              <w:rPr>
                <w:color w:val="FF0000"/>
                <w:sz w:val="18"/>
                <w:szCs w:val="18"/>
              </w:rPr>
              <w:t>15,398</w:t>
            </w:r>
          </w:p>
        </w:tc>
        <w:tc>
          <w:tcPr>
            <w:tcW w:w="1080" w:type="dxa"/>
            <w:tcBorders>
              <w:top w:val="nil"/>
              <w:left w:val="nil"/>
              <w:bottom w:val="nil"/>
              <w:right w:val="nil"/>
            </w:tcBorders>
            <w:shd w:val="clear" w:color="auto" w:fill="auto"/>
          </w:tcPr>
          <w:p w14:paraId="14B7BFD9" w14:textId="77777777" w:rsidR="005339CC" w:rsidRPr="00BA25F6" w:rsidRDefault="005339CC" w:rsidP="002F1270">
            <w:pPr>
              <w:pStyle w:val="TableParagraph"/>
              <w:spacing w:before="72"/>
              <w:ind w:right="114"/>
              <w:rPr>
                <w:color w:val="FF0000"/>
                <w:sz w:val="18"/>
                <w:szCs w:val="18"/>
              </w:rPr>
            </w:pPr>
            <w:r w:rsidRPr="00BA25F6">
              <w:rPr>
                <w:color w:val="FF0000"/>
                <w:sz w:val="18"/>
                <w:szCs w:val="18"/>
              </w:rPr>
              <w:t>45,294</w:t>
            </w:r>
          </w:p>
        </w:tc>
      </w:tr>
      <w:tr w:rsidR="005339CC" w:rsidRPr="0027658F" w14:paraId="36C75EA3" w14:textId="77777777" w:rsidTr="004E21AD">
        <w:trPr>
          <w:trHeight w:val="361"/>
        </w:trPr>
        <w:tc>
          <w:tcPr>
            <w:tcW w:w="5220" w:type="dxa"/>
            <w:shd w:val="clear" w:color="auto" w:fill="auto"/>
          </w:tcPr>
          <w:p w14:paraId="1DCD7AFF" w14:textId="7073F35D" w:rsidR="005339CC" w:rsidRPr="00BA25F6" w:rsidRDefault="00BA25F6" w:rsidP="002F1270">
            <w:pPr>
              <w:pStyle w:val="TableParagraph"/>
              <w:spacing w:before="73"/>
              <w:ind w:left="122" w:right="0"/>
              <w:jc w:val="left"/>
              <w:rPr>
                <w:sz w:val="18"/>
                <w:lang w:val="es-ES"/>
              </w:rPr>
            </w:pPr>
            <w:r w:rsidRPr="00BA25F6">
              <w:rPr>
                <w:color w:val="000000"/>
                <w:sz w:val="18"/>
                <w:szCs w:val="18"/>
                <w:lang w:val="es-ES"/>
              </w:rPr>
              <w:t>Desarrollo del personal (formación, retiros, etc.)</w:t>
            </w:r>
          </w:p>
        </w:tc>
        <w:tc>
          <w:tcPr>
            <w:tcW w:w="1440" w:type="dxa"/>
            <w:tcBorders>
              <w:top w:val="nil"/>
              <w:left w:val="nil"/>
              <w:bottom w:val="nil"/>
              <w:right w:val="nil"/>
            </w:tcBorders>
            <w:shd w:val="clear" w:color="auto" w:fill="auto"/>
          </w:tcPr>
          <w:p w14:paraId="6EF43BF6" w14:textId="77777777" w:rsidR="005339CC" w:rsidRPr="00BA25F6" w:rsidRDefault="005339CC" w:rsidP="002F1270">
            <w:pPr>
              <w:pStyle w:val="TableParagraph"/>
              <w:spacing w:before="72"/>
              <w:ind w:right="114"/>
              <w:rPr>
                <w:sz w:val="18"/>
                <w:szCs w:val="18"/>
              </w:rPr>
            </w:pPr>
            <w:r w:rsidRPr="00BA25F6">
              <w:rPr>
                <w:sz w:val="18"/>
                <w:szCs w:val="18"/>
              </w:rPr>
              <w:t>22,099</w:t>
            </w:r>
          </w:p>
        </w:tc>
        <w:tc>
          <w:tcPr>
            <w:tcW w:w="1080" w:type="dxa"/>
            <w:tcBorders>
              <w:top w:val="nil"/>
              <w:left w:val="nil"/>
              <w:bottom w:val="nil"/>
              <w:right w:val="nil"/>
            </w:tcBorders>
            <w:shd w:val="clear" w:color="auto" w:fill="auto"/>
          </w:tcPr>
          <w:p w14:paraId="2AAD3678" w14:textId="77777777" w:rsidR="005339CC" w:rsidRPr="00BA25F6" w:rsidRDefault="005339CC" w:rsidP="002F1270">
            <w:pPr>
              <w:pStyle w:val="TableParagraph"/>
              <w:spacing w:before="72"/>
              <w:ind w:right="114"/>
              <w:rPr>
                <w:sz w:val="18"/>
                <w:szCs w:val="18"/>
              </w:rPr>
            </w:pPr>
            <w:r w:rsidRPr="00BA25F6">
              <w:rPr>
                <w:sz w:val="18"/>
                <w:szCs w:val="18"/>
              </w:rPr>
              <w:t>22,541</w:t>
            </w:r>
          </w:p>
        </w:tc>
        <w:tc>
          <w:tcPr>
            <w:tcW w:w="1170" w:type="dxa"/>
            <w:tcBorders>
              <w:top w:val="nil"/>
              <w:left w:val="nil"/>
              <w:bottom w:val="nil"/>
              <w:right w:val="nil"/>
            </w:tcBorders>
            <w:shd w:val="clear" w:color="auto" w:fill="auto"/>
          </w:tcPr>
          <w:p w14:paraId="520F54DC" w14:textId="77777777" w:rsidR="005339CC" w:rsidRPr="00BA25F6" w:rsidRDefault="005339CC" w:rsidP="002F1270">
            <w:pPr>
              <w:pStyle w:val="TableParagraph"/>
              <w:spacing w:before="72"/>
              <w:ind w:right="114"/>
              <w:rPr>
                <w:sz w:val="18"/>
                <w:szCs w:val="18"/>
              </w:rPr>
            </w:pPr>
            <w:r w:rsidRPr="00BA25F6">
              <w:rPr>
                <w:sz w:val="18"/>
                <w:szCs w:val="18"/>
              </w:rPr>
              <w:t>22,992</w:t>
            </w:r>
          </w:p>
        </w:tc>
        <w:tc>
          <w:tcPr>
            <w:tcW w:w="1080" w:type="dxa"/>
            <w:tcBorders>
              <w:top w:val="nil"/>
              <w:left w:val="nil"/>
              <w:bottom w:val="nil"/>
              <w:right w:val="nil"/>
            </w:tcBorders>
            <w:shd w:val="clear" w:color="auto" w:fill="auto"/>
          </w:tcPr>
          <w:p w14:paraId="31376FC3" w14:textId="77777777" w:rsidR="005339CC" w:rsidRPr="00BA25F6" w:rsidRDefault="005339CC" w:rsidP="002F1270">
            <w:pPr>
              <w:pStyle w:val="TableParagraph"/>
              <w:spacing w:before="72"/>
              <w:ind w:right="114"/>
              <w:rPr>
                <w:sz w:val="18"/>
                <w:szCs w:val="18"/>
              </w:rPr>
            </w:pPr>
            <w:r w:rsidRPr="00BA25F6">
              <w:rPr>
                <w:sz w:val="18"/>
                <w:szCs w:val="18"/>
              </w:rPr>
              <w:t>67,633</w:t>
            </w:r>
          </w:p>
        </w:tc>
      </w:tr>
      <w:tr w:rsidR="005339CC" w:rsidRPr="0027658F" w14:paraId="51B3A797" w14:textId="77777777" w:rsidTr="004E21AD">
        <w:trPr>
          <w:trHeight w:val="361"/>
        </w:trPr>
        <w:tc>
          <w:tcPr>
            <w:tcW w:w="5220" w:type="dxa"/>
            <w:shd w:val="clear" w:color="auto" w:fill="auto"/>
          </w:tcPr>
          <w:p w14:paraId="1986620B" w14:textId="0016150D" w:rsidR="005339CC" w:rsidRPr="00BA25F6" w:rsidRDefault="00BA25F6" w:rsidP="002F1270">
            <w:pPr>
              <w:pStyle w:val="TableParagraph"/>
              <w:spacing w:before="74"/>
              <w:ind w:left="122" w:right="0"/>
              <w:jc w:val="left"/>
              <w:rPr>
                <w:sz w:val="18"/>
                <w:lang w:val="es-ES"/>
              </w:rPr>
            </w:pPr>
            <w:r w:rsidRPr="00BA25F6">
              <w:rPr>
                <w:color w:val="000000"/>
                <w:sz w:val="18"/>
                <w:szCs w:val="18"/>
                <w:lang w:val="es-ES"/>
              </w:rPr>
              <w:t xml:space="preserve">Servicios de tecnología de la información (incluido </w:t>
            </w:r>
            <w:r w:rsidR="004E21AD">
              <w:rPr>
                <w:color w:val="000000"/>
                <w:sz w:val="18"/>
                <w:szCs w:val="18"/>
                <w:lang w:val="es-ES"/>
              </w:rPr>
              <w:t>UNV</w:t>
            </w:r>
            <w:r w:rsidRPr="00BA25F6">
              <w:rPr>
                <w:color w:val="000000"/>
                <w:sz w:val="18"/>
                <w:szCs w:val="18"/>
                <w:lang w:val="es-ES"/>
              </w:rPr>
              <w:t>)</w:t>
            </w:r>
          </w:p>
        </w:tc>
        <w:tc>
          <w:tcPr>
            <w:tcW w:w="1440" w:type="dxa"/>
            <w:tcBorders>
              <w:top w:val="nil"/>
              <w:left w:val="nil"/>
              <w:bottom w:val="nil"/>
              <w:right w:val="nil"/>
            </w:tcBorders>
            <w:shd w:val="clear" w:color="auto" w:fill="auto"/>
          </w:tcPr>
          <w:p w14:paraId="536BF6C5" w14:textId="77777777" w:rsidR="005339CC" w:rsidRPr="00BA25F6" w:rsidRDefault="005339CC" w:rsidP="002F1270">
            <w:pPr>
              <w:pStyle w:val="TableParagraph"/>
              <w:spacing w:before="72"/>
              <w:ind w:right="114"/>
              <w:rPr>
                <w:sz w:val="18"/>
                <w:szCs w:val="18"/>
              </w:rPr>
            </w:pPr>
            <w:r w:rsidRPr="00BA25F6">
              <w:rPr>
                <w:sz w:val="18"/>
                <w:szCs w:val="18"/>
              </w:rPr>
              <w:t>80,408</w:t>
            </w:r>
          </w:p>
        </w:tc>
        <w:tc>
          <w:tcPr>
            <w:tcW w:w="1080" w:type="dxa"/>
            <w:tcBorders>
              <w:top w:val="nil"/>
              <w:left w:val="nil"/>
              <w:bottom w:val="nil"/>
              <w:right w:val="nil"/>
            </w:tcBorders>
            <w:shd w:val="clear" w:color="auto" w:fill="auto"/>
          </w:tcPr>
          <w:p w14:paraId="6FE6B4F0" w14:textId="77777777" w:rsidR="005339CC" w:rsidRPr="00BA25F6" w:rsidRDefault="005339CC" w:rsidP="002F1270">
            <w:pPr>
              <w:pStyle w:val="TableParagraph"/>
              <w:spacing w:before="72"/>
              <w:ind w:right="114"/>
              <w:rPr>
                <w:sz w:val="18"/>
                <w:szCs w:val="18"/>
              </w:rPr>
            </w:pPr>
            <w:r w:rsidRPr="00BA25F6">
              <w:rPr>
                <w:sz w:val="18"/>
                <w:szCs w:val="18"/>
              </w:rPr>
              <w:t>82,016</w:t>
            </w:r>
          </w:p>
        </w:tc>
        <w:tc>
          <w:tcPr>
            <w:tcW w:w="1170" w:type="dxa"/>
            <w:tcBorders>
              <w:top w:val="nil"/>
              <w:left w:val="nil"/>
              <w:bottom w:val="nil"/>
              <w:right w:val="nil"/>
            </w:tcBorders>
            <w:shd w:val="clear" w:color="auto" w:fill="auto"/>
          </w:tcPr>
          <w:p w14:paraId="00B83F12" w14:textId="77777777" w:rsidR="005339CC" w:rsidRPr="00BA25F6" w:rsidRDefault="005339CC" w:rsidP="002F1270">
            <w:pPr>
              <w:pStyle w:val="TableParagraph"/>
              <w:spacing w:before="72"/>
              <w:ind w:right="114"/>
              <w:rPr>
                <w:sz w:val="18"/>
                <w:szCs w:val="18"/>
              </w:rPr>
            </w:pPr>
            <w:r w:rsidRPr="00BA25F6">
              <w:rPr>
                <w:sz w:val="18"/>
                <w:szCs w:val="18"/>
              </w:rPr>
              <w:t>83,656</w:t>
            </w:r>
          </w:p>
        </w:tc>
        <w:tc>
          <w:tcPr>
            <w:tcW w:w="1080" w:type="dxa"/>
            <w:tcBorders>
              <w:top w:val="nil"/>
              <w:left w:val="nil"/>
              <w:bottom w:val="nil"/>
              <w:right w:val="nil"/>
            </w:tcBorders>
            <w:shd w:val="clear" w:color="auto" w:fill="auto"/>
          </w:tcPr>
          <w:p w14:paraId="37584DF6" w14:textId="77777777" w:rsidR="005339CC" w:rsidRPr="00BA25F6" w:rsidRDefault="005339CC" w:rsidP="002F1270">
            <w:pPr>
              <w:pStyle w:val="TableParagraph"/>
              <w:spacing w:before="72"/>
              <w:ind w:right="114"/>
              <w:rPr>
                <w:sz w:val="18"/>
                <w:szCs w:val="18"/>
              </w:rPr>
            </w:pPr>
            <w:r w:rsidRPr="00BA25F6">
              <w:rPr>
                <w:sz w:val="18"/>
                <w:szCs w:val="18"/>
              </w:rPr>
              <w:t>246,079</w:t>
            </w:r>
          </w:p>
        </w:tc>
      </w:tr>
      <w:tr w:rsidR="005339CC" w:rsidRPr="0027658F" w14:paraId="6B310849" w14:textId="77777777" w:rsidTr="004E21AD">
        <w:trPr>
          <w:trHeight w:val="360"/>
        </w:trPr>
        <w:tc>
          <w:tcPr>
            <w:tcW w:w="5220" w:type="dxa"/>
            <w:shd w:val="clear" w:color="auto" w:fill="auto"/>
          </w:tcPr>
          <w:p w14:paraId="74312D42" w14:textId="10C28BD6" w:rsidR="005339CC" w:rsidRPr="00BA25F6" w:rsidRDefault="00BA25F6" w:rsidP="002F1270">
            <w:pPr>
              <w:pStyle w:val="TableParagraph"/>
              <w:spacing w:before="73"/>
              <w:ind w:left="122" w:right="0"/>
              <w:jc w:val="left"/>
              <w:rPr>
                <w:sz w:val="18"/>
                <w:lang w:val="es-ES"/>
              </w:rPr>
            </w:pPr>
            <w:r w:rsidRPr="00BA25F6">
              <w:rPr>
                <w:color w:val="000000"/>
                <w:sz w:val="18"/>
                <w:szCs w:val="18"/>
                <w:lang w:val="es-ES"/>
              </w:rPr>
              <w:t>Servicios de ofimática (alquiler de impresoras, alojamiento, etc.)</w:t>
            </w:r>
          </w:p>
        </w:tc>
        <w:tc>
          <w:tcPr>
            <w:tcW w:w="1440" w:type="dxa"/>
            <w:tcBorders>
              <w:top w:val="nil"/>
              <w:left w:val="nil"/>
              <w:bottom w:val="nil"/>
              <w:right w:val="nil"/>
            </w:tcBorders>
            <w:shd w:val="clear" w:color="auto" w:fill="auto"/>
          </w:tcPr>
          <w:p w14:paraId="1DA24247" w14:textId="77777777" w:rsidR="005339CC" w:rsidRPr="00BA25F6" w:rsidRDefault="005339CC" w:rsidP="002F1270">
            <w:pPr>
              <w:pStyle w:val="TableParagraph"/>
              <w:spacing w:before="72"/>
              <w:ind w:right="114"/>
              <w:rPr>
                <w:sz w:val="18"/>
                <w:szCs w:val="18"/>
              </w:rPr>
            </w:pPr>
            <w:r w:rsidRPr="00BA25F6">
              <w:rPr>
                <w:sz w:val="18"/>
                <w:szCs w:val="18"/>
              </w:rPr>
              <w:t>11,487</w:t>
            </w:r>
          </w:p>
        </w:tc>
        <w:tc>
          <w:tcPr>
            <w:tcW w:w="1080" w:type="dxa"/>
            <w:tcBorders>
              <w:top w:val="nil"/>
              <w:left w:val="nil"/>
              <w:bottom w:val="nil"/>
              <w:right w:val="nil"/>
            </w:tcBorders>
            <w:shd w:val="clear" w:color="auto" w:fill="auto"/>
          </w:tcPr>
          <w:p w14:paraId="74D556A9" w14:textId="77777777" w:rsidR="005339CC" w:rsidRPr="00BA25F6" w:rsidRDefault="005339CC" w:rsidP="002F1270">
            <w:pPr>
              <w:pStyle w:val="TableParagraph"/>
              <w:spacing w:before="72"/>
              <w:ind w:right="114"/>
              <w:rPr>
                <w:sz w:val="18"/>
                <w:szCs w:val="18"/>
              </w:rPr>
            </w:pPr>
            <w:r w:rsidRPr="00BA25F6">
              <w:rPr>
                <w:sz w:val="18"/>
                <w:szCs w:val="18"/>
              </w:rPr>
              <w:t>11,717</w:t>
            </w:r>
          </w:p>
        </w:tc>
        <w:tc>
          <w:tcPr>
            <w:tcW w:w="1170" w:type="dxa"/>
            <w:tcBorders>
              <w:top w:val="nil"/>
              <w:left w:val="nil"/>
              <w:bottom w:val="nil"/>
              <w:right w:val="nil"/>
            </w:tcBorders>
            <w:shd w:val="clear" w:color="auto" w:fill="auto"/>
          </w:tcPr>
          <w:p w14:paraId="376A8C6D" w14:textId="77777777" w:rsidR="005339CC" w:rsidRPr="00BA25F6" w:rsidRDefault="005339CC" w:rsidP="002F1270">
            <w:pPr>
              <w:pStyle w:val="TableParagraph"/>
              <w:spacing w:before="72"/>
              <w:ind w:right="114"/>
              <w:rPr>
                <w:sz w:val="18"/>
                <w:szCs w:val="18"/>
              </w:rPr>
            </w:pPr>
            <w:r w:rsidRPr="00BA25F6">
              <w:rPr>
                <w:sz w:val="18"/>
                <w:szCs w:val="18"/>
              </w:rPr>
              <w:t>11,951</w:t>
            </w:r>
          </w:p>
        </w:tc>
        <w:tc>
          <w:tcPr>
            <w:tcW w:w="1080" w:type="dxa"/>
            <w:tcBorders>
              <w:top w:val="nil"/>
              <w:left w:val="nil"/>
              <w:bottom w:val="nil"/>
              <w:right w:val="nil"/>
            </w:tcBorders>
            <w:shd w:val="clear" w:color="auto" w:fill="auto"/>
          </w:tcPr>
          <w:p w14:paraId="0D9A1555" w14:textId="77777777" w:rsidR="005339CC" w:rsidRPr="00BA25F6" w:rsidRDefault="005339CC" w:rsidP="002F1270">
            <w:pPr>
              <w:pStyle w:val="TableParagraph"/>
              <w:spacing w:before="72"/>
              <w:ind w:right="114"/>
              <w:rPr>
                <w:sz w:val="18"/>
                <w:szCs w:val="18"/>
              </w:rPr>
            </w:pPr>
            <w:r w:rsidRPr="00BA25F6">
              <w:rPr>
                <w:sz w:val="18"/>
                <w:szCs w:val="18"/>
              </w:rPr>
              <w:t>35,156</w:t>
            </w:r>
          </w:p>
        </w:tc>
      </w:tr>
      <w:tr w:rsidR="005339CC" w:rsidRPr="0027658F" w14:paraId="63D0AECF" w14:textId="77777777" w:rsidTr="004E21AD">
        <w:trPr>
          <w:trHeight w:val="361"/>
        </w:trPr>
        <w:tc>
          <w:tcPr>
            <w:tcW w:w="5220" w:type="dxa"/>
            <w:shd w:val="clear" w:color="auto" w:fill="auto"/>
          </w:tcPr>
          <w:p w14:paraId="5317D161" w14:textId="1D63093B" w:rsidR="005339CC" w:rsidRPr="00BA25F6" w:rsidRDefault="00BA25F6" w:rsidP="002F1270">
            <w:pPr>
              <w:pStyle w:val="TableParagraph"/>
              <w:spacing w:before="73"/>
              <w:ind w:left="122" w:right="0"/>
              <w:jc w:val="left"/>
              <w:rPr>
                <w:sz w:val="18"/>
                <w:lang w:val="es-ES"/>
              </w:rPr>
            </w:pPr>
            <w:r w:rsidRPr="00BA25F6">
              <w:rPr>
                <w:sz w:val="18"/>
                <w:lang w:val="es-ES"/>
              </w:rPr>
              <w:t>Servicios de comunicación y mensajería</w:t>
            </w:r>
          </w:p>
        </w:tc>
        <w:tc>
          <w:tcPr>
            <w:tcW w:w="1440" w:type="dxa"/>
            <w:tcBorders>
              <w:top w:val="nil"/>
              <w:left w:val="nil"/>
              <w:bottom w:val="nil"/>
              <w:right w:val="nil"/>
            </w:tcBorders>
            <w:shd w:val="clear" w:color="auto" w:fill="auto"/>
          </w:tcPr>
          <w:p w14:paraId="53C84FA0" w14:textId="77777777" w:rsidR="005339CC" w:rsidRPr="00BA25F6" w:rsidRDefault="005339CC" w:rsidP="002F1270">
            <w:pPr>
              <w:pStyle w:val="TableParagraph"/>
              <w:spacing w:before="72"/>
              <w:ind w:right="114"/>
              <w:rPr>
                <w:sz w:val="18"/>
                <w:szCs w:val="18"/>
              </w:rPr>
            </w:pPr>
            <w:r w:rsidRPr="00BA25F6">
              <w:rPr>
                <w:sz w:val="18"/>
                <w:szCs w:val="18"/>
              </w:rPr>
              <w:t>10,612</w:t>
            </w:r>
          </w:p>
        </w:tc>
        <w:tc>
          <w:tcPr>
            <w:tcW w:w="1080" w:type="dxa"/>
            <w:tcBorders>
              <w:top w:val="nil"/>
              <w:left w:val="nil"/>
              <w:bottom w:val="nil"/>
              <w:right w:val="nil"/>
            </w:tcBorders>
            <w:shd w:val="clear" w:color="auto" w:fill="auto"/>
          </w:tcPr>
          <w:p w14:paraId="46A3A1B7" w14:textId="77777777" w:rsidR="005339CC" w:rsidRPr="00BA25F6" w:rsidRDefault="005339CC" w:rsidP="002F1270">
            <w:pPr>
              <w:pStyle w:val="TableParagraph"/>
              <w:spacing w:before="72"/>
              <w:ind w:right="114"/>
              <w:rPr>
                <w:sz w:val="18"/>
                <w:szCs w:val="18"/>
              </w:rPr>
            </w:pPr>
            <w:r w:rsidRPr="00BA25F6">
              <w:rPr>
                <w:sz w:val="18"/>
                <w:szCs w:val="18"/>
              </w:rPr>
              <w:t>10,824</w:t>
            </w:r>
          </w:p>
        </w:tc>
        <w:tc>
          <w:tcPr>
            <w:tcW w:w="1170" w:type="dxa"/>
            <w:tcBorders>
              <w:top w:val="nil"/>
              <w:left w:val="nil"/>
              <w:bottom w:val="nil"/>
              <w:right w:val="nil"/>
            </w:tcBorders>
            <w:shd w:val="clear" w:color="auto" w:fill="auto"/>
          </w:tcPr>
          <w:p w14:paraId="0E7FB53C" w14:textId="77777777" w:rsidR="005339CC" w:rsidRPr="00BA25F6" w:rsidRDefault="005339CC" w:rsidP="002F1270">
            <w:pPr>
              <w:pStyle w:val="TableParagraph"/>
              <w:spacing w:before="72"/>
              <w:ind w:right="114"/>
              <w:rPr>
                <w:sz w:val="18"/>
                <w:szCs w:val="18"/>
              </w:rPr>
            </w:pPr>
            <w:r w:rsidRPr="00BA25F6">
              <w:rPr>
                <w:sz w:val="18"/>
                <w:szCs w:val="18"/>
              </w:rPr>
              <w:t>11,041</w:t>
            </w:r>
          </w:p>
        </w:tc>
        <w:tc>
          <w:tcPr>
            <w:tcW w:w="1080" w:type="dxa"/>
            <w:tcBorders>
              <w:top w:val="nil"/>
              <w:left w:val="nil"/>
              <w:bottom w:val="nil"/>
              <w:right w:val="nil"/>
            </w:tcBorders>
            <w:shd w:val="clear" w:color="auto" w:fill="auto"/>
          </w:tcPr>
          <w:p w14:paraId="54588AC6" w14:textId="77777777" w:rsidR="005339CC" w:rsidRPr="00BA25F6" w:rsidRDefault="005339CC" w:rsidP="002F1270">
            <w:pPr>
              <w:pStyle w:val="TableParagraph"/>
              <w:spacing w:before="72"/>
              <w:ind w:right="114"/>
              <w:rPr>
                <w:sz w:val="18"/>
                <w:szCs w:val="18"/>
              </w:rPr>
            </w:pPr>
            <w:r w:rsidRPr="00BA25F6">
              <w:rPr>
                <w:sz w:val="18"/>
                <w:szCs w:val="18"/>
              </w:rPr>
              <w:t>32,477</w:t>
            </w:r>
          </w:p>
        </w:tc>
      </w:tr>
      <w:tr w:rsidR="005339CC" w:rsidRPr="0027658F" w14:paraId="4A7B0901" w14:textId="77777777" w:rsidTr="004E21AD">
        <w:trPr>
          <w:trHeight w:val="361"/>
        </w:trPr>
        <w:tc>
          <w:tcPr>
            <w:tcW w:w="5220" w:type="dxa"/>
            <w:shd w:val="clear" w:color="auto" w:fill="auto"/>
          </w:tcPr>
          <w:p w14:paraId="57CF3615" w14:textId="145BA216" w:rsidR="005339CC" w:rsidRPr="00BA25F6" w:rsidRDefault="00BA25F6" w:rsidP="002F1270">
            <w:pPr>
              <w:pStyle w:val="TableParagraph"/>
              <w:spacing w:before="73"/>
              <w:ind w:left="122" w:right="0"/>
              <w:jc w:val="left"/>
              <w:rPr>
                <w:sz w:val="18"/>
              </w:rPr>
            </w:pPr>
            <w:r w:rsidRPr="00BA25F6">
              <w:rPr>
                <w:color w:val="000000"/>
                <w:sz w:val="18"/>
                <w:szCs w:val="18"/>
              </w:rPr>
              <w:t>Varios</w:t>
            </w:r>
          </w:p>
        </w:tc>
        <w:tc>
          <w:tcPr>
            <w:tcW w:w="1440" w:type="dxa"/>
            <w:tcBorders>
              <w:top w:val="nil"/>
              <w:left w:val="nil"/>
              <w:bottom w:val="nil"/>
              <w:right w:val="nil"/>
            </w:tcBorders>
            <w:shd w:val="clear" w:color="auto" w:fill="auto"/>
          </w:tcPr>
          <w:p w14:paraId="435A9946" w14:textId="77777777" w:rsidR="005339CC" w:rsidRPr="00BA25F6" w:rsidRDefault="005339CC" w:rsidP="002F1270">
            <w:pPr>
              <w:pStyle w:val="TableParagraph"/>
              <w:spacing w:before="72"/>
              <w:ind w:right="114"/>
              <w:rPr>
                <w:sz w:val="18"/>
                <w:szCs w:val="18"/>
              </w:rPr>
            </w:pPr>
            <w:r w:rsidRPr="00BA25F6">
              <w:rPr>
                <w:sz w:val="18"/>
                <w:szCs w:val="18"/>
              </w:rPr>
              <w:t>4,294</w:t>
            </w:r>
          </w:p>
        </w:tc>
        <w:tc>
          <w:tcPr>
            <w:tcW w:w="1080" w:type="dxa"/>
            <w:tcBorders>
              <w:top w:val="nil"/>
              <w:left w:val="nil"/>
              <w:bottom w:val="nil"/>
              <w:right w:val="nil"/>
            </w:tcBorders>
            <w:shd w:val="clear" w:color="auto" w:fill="auto"/>
          </w:tcPr>
          <w:p w14:paraId="05B6DD83" w14:textId="77777777" w:rsidR="005339CC" w:rsidRPr="00BA25F6" w:rsidRDefault="005339CC" w:rsidP="002F1270">
            <w:pPr>
              <w:pStyle w:val="TableParagraph"/>
              <w:spacing w:before="72"/>
              <w:ind w:right="114"/>
              <w:rPr>
                <w:sz w:val="18"/>
                <w:szCs w:val="18"/>
              </w:rPr>
            </w:pPr>
            <w:r w:rsidRPr="00BA25F6">
              <w:rPr>
                <w:sz w:val="18"/>
                <w:szCs w:val="18"/>
              </w:rPr>
              <w:t>4,380</w:t>
            </w:r>
          </w:p>
        </w:tc>
        <w:tc>
          <w:tcPr>
            <w:tcW w:w="1170" w:type="dxa"/>
            <w:tcBorders>
              <w:top w:val="nil"/>
              <w:left w:val="nil"/>
              <w:bottom w:val="nil"/>
              <w:right w:val="nil"/>
            </w:tcBorders>
            <w:shd w:val="clear" w:color="auto" w:fill="auto"/>
          </w:tcPr>
          <w:p w14:paraId="535C9E37" w14:textId="77777777" w:rsidR="005339CC" w:rsidRPr="00BA25F6" w:rsidRDefault="005339CC" w:rsidP="002F1270">
            <w:pPr>
              <w:pStyle w:val="TableParagraph"/>
              <w:spacing w:before="72"/>
              <w:ind w:right="114"/>
              <w:rPr>
                <w:sz w:val="18"/>
                <w:szCs w:val="18"/>
              </w:rPr>
            </w:pPr>
            <w:r w:rsidRPr="00BA25F6">
              <w:rPr>
                <w:sz w:val="18"/>
                <w:szCs w:val="18"/>
              </w:rPr>
              <w:t>4,468</w:t>
            </w:r>
          </w:p>
        </w:tc>
        <w:tc>
          <w:tcPr>
            <w:tcW w:w="1080" w:type="dxa"/>
            <w:tcBorders>
              <w:top w:val="nil"/>
              <w:left w:val="nil"/>
              <w:bottom w:val="nil"/>
              <w:right w:val="nil"/>
            </w:tcBorders>
            <w:shd w:val="clear" w:color="auto" w:fill="auto"/>
          </w:tcPr>
          <w:p w14:paraId="232E8397" w14:textId="77777777" w:rsidR="005339CC" w:rsidRPr="00BA25F6" w:rsidRDefault="005339CC" w:rsidP="002F1270">
            <w:pPr>
              <w:pStyle w:val="TableParagraph"/>
              <w:spacing w:before="72"/>
              <w:ind w:right="114"/>
              <w:rPr>
                <w:sz w:val="18"/>
                <w:szCs w:val="18"/>
              </w:rPr>
            </w:pPr>
            <w:r w:rsidRPr="00BA25F6">
              <w:rPr>
                <w:sz w:val="18"/>
                <w:szCs w:val="18"/>
              </w:rPr>
              <w:t>13,142</w:t>
            </w:r>
          </w:p>
        </w:tc>
      </w:tr>
      <w:tr w:rsidR="005339CC" w:rsidRPr="0027658F" w14:paraId="3797A0EA" w14:textId="77777777" w:rsidTr="004E21AD">
        <w:trPr>
          <w:trHeight w:val="358"/>
        </w:trPr>
        <w:tc>
          <w:tcPr>
            <w:tcW w:w="5220" w:type="dxa"/>
            <w:tcBorders>
              <w:bottom w:val="single" w:sz="4" w:space="0" w:color="000000"/>
            </w:tcBorders>
            <w:shd w:val="clear" w:color="auto" w:fill="auto"/>
          </w:tcPr>
          <w:p w14:paraId="6D153A56" w14:textId="22647883" w:rsidR="005339CC" w:rsidRPr="00BA25F6" w:rsidRDefault="00BA25F6" w:rsidP="002F1270">
            <w:pPr>
              <w:pStyle w:val="TableParagraph"/>
              <w:spacing w:before="74"/>
              <w:ind w:left="122" w:right="0"/>
              <w:jc w:val="left"/>
              <w:rPr>
                <w:sz w:val="18"/>
              </w:rPr>
            </w:pPr>
            <w:r w:rsidRPr="00BA25F6">
              <w:rPr>
                <w:sz w:val="18"/>
              </w:rPr>
              <w:t>Umoja</w:t>
            </w:r>
          </w:p>
        </w:tc>
        <w:tc>
          <w:tcPr>
            <w:tcW w:w="1440" w:type="dxa"/>
            <w:tcBorders>
              <w:top w:val="nil"/>
              <w:left w:val="nil"/>
              <w:bottom w:val="nil"/>
              <w:right w:val="nil"/>
            </w:tcBorders>
            <w:shd w:val="clear" w:color="auto" w:fill="auto"/>
          </w:tcPr>
          <w:p w14:paraId="626BE050" w14:textId="77777777" w:rsidR="005339CC" w:rsidRPr="00BA25F6" w:rsidRDefault="005339CC" w:rsidP="002F1270">
            <w:pPr>
              <w:pStyle w:val="TableParagraph"/>
              <w:spacing w:before="72"/>
              <w:ind w:right="114"/>
              <w:rPr>
                <w:sz w:val="18"/>
                <w:szCs w:val="18"/>
              </w:rPr>
            </w:pPr>
            <w:r w:rsidRPr="00BA25F6">
              <w:rPr>
                <w:sz w:val="18"/>
                <w:szCs w:val="18"/>
              </w:rPr>
              <w:t>50,000</w:t>
            </w:r>
          </w:p>
        </w:tc>
        <w:tc>
          <w:tcPr>
            <w:tcW w:w="1080" w:type="dxa"/>
            <w:tcBorders>
              <w:top w:val="nil"/>
              <w:left w:val="nil"/>
              <w:bottom w:val="nil"/>
              <w:right w:val="nil"/>
            </w:tcBorders>
            <w:shd w:val="clear" w:color="auto" w:fill="auto"/>
          </w:tcPr>
          <w:p w14:paraId="5F894CA1" w14:textId="77777777" w:rsidR="005339CC" w:rsidRPr="00BA25F6" w:rsidRDefault="005339CC" w:rsidP="002F1270">
            <w:pPr>
              <w:pStyle w:val="TableParagraph"/>
              <w:spacing w:before="72"/>
              <w:ind w:right="114"/>
              <w:rPr>
                <w:sz w:val="18"/>
                <w:szCs w:val="18"/>
              </w:rPr>
            </w:pPr>
            <w:r w:rsidRPr="00BA25F6">
              <w:rPr>
                <w:sz w:val="18"/>
                <w:szCs w:val="18"/>
              </w:rPr>
              <w:t>51,000</w:t>
            </w:r>
          </w:p>
        </w:tc>
        <w:tc>
          <w:tcPr>
            <w:tcW w:w="1170" w:type="dxa"/>
            <w:tcBorders>
              <w:top w:val="nil"/>
              <w:left w:val="nil"/>
              <w:bottom w:val="nil"/>
              <w:right w:val="nil"/>
            </w:tcBorders>
            <w:shd w:val="clear" w:color="auto" w:fill="auto"/>
          </w:tcPr>
          <w:p w14:paraId="314DA816" w14:textId="77777777" w:rsidR="005339CC" w:rsidRPr="00BA25F6" w:rsidRDefault="005339CC" w:rsidP="002F1270">
            <w:pPr>
              <w:pStyle w:val="TableParagraph"/>
              <w:spacing w:before="72"/>
              <w:ind w:right="114"/>
              <w:rPr>
                <w:sz w:val="18"/>
                <w:szCs w:val="18"/>
              </w:rPr>
            </w:pPr>
            <w:r w:rsidRPr="00BA25F6">
              <w:rPr>
                <w:sz w:val="18"/>
                <w:szCs w:val="18"/>
              </w:rPr>
              <w:t>52,020</w:t>
            </w:r>
          </w:p>
        </w:tc>
        <w:tc>
          <w:tcPr>
            <w:tcW w:w="1080" w:type="dxa"/>
            <w:tcBorders>
              <w:top w:val="nil"/>
              <w:left w:val="nil"/>
              <w:bottom w:val="nil"/>
              <w:right w:val="nil"/>
            </w:tcBorders>
            <w:shd w:val="clear" w:color="auto" w:fill="auto"/>
          </w:tcPr>
          <w:p w14:paraId="0B36278A" w14:textId="77777777" w:rsidR="005339CC" w:rsidRPr="00BA25F6" w:rsidRDefault="005339CC" w:rsidP="002F1270">
            <w:pPr>
              <w:pStyle w:val="TableParagraph"/>
              <w:spacing w:before="72"/>
              <w:ind w:right="114"/>
              <w:rPr>
                <w:sz w:val="18"/>
                <w:szCs w:val="18"/>
              </w:rPr>
            </w:pPr>
            <w:r w:rsidRPr="00BA25F6">
              <w:rPr>
                <w:sz w:val="18"/>
                <w:szCs w:val="18"/>
              </w:rPr>
              <w:t>153,020</w:t>
            </w:r>
          </w:p>
        </w:tc>
      </w:tr>
      <w:tr w:rsidR="005339CC" w:rsidRPr="0027658F" w14:paraId="63E1ED57" w14:textId="77777777" w:rsidTr="004E21AD">
        <w:trPr>
          <w:trHeight w:val="362"/>
        </w:trPr>
        <w:tc>
          <w:tcPr>
            <w:tcW w:w="5220" w:type="dxa"/>
            <w:tcBorders>
              <w:top w:val="single" w:sz="4" w:space="0" w:color="000000"/>
              <w:bottom w:val="single" w:sz="4" w:space="0" w:color="000000"/>
            </w:tcBorders>
            <w:shd w:val="clear" w:color="auto" w:fill="auto"/>
          </w:tcPr>
          <w:p w14:paraId="4F050B4C" w14:textId="77777777" w:rsidR="005339CC" w:rsidRPr="00BA25F6" w:rsidRDefault="005339CC" w:rsidP="002F1270">
            <w:pPr>
              <w:pStyle w:val="TableParagraph"/>
              <w:spacing w:before="75"/>
              <w:ind w:left="122" w:right="0"/>
              <w:jc w:val="left"/>
              <w:rPr>
                <w:b/>
                <w:sz w:val="18"/>
              </w:rPr>
            </w:pPr>
            <w:r w:rsidRPr="00BA25F6">
              <w:rPr>
                <w:b/>
                <w:spacing w:val="-2"/>
                <w:sz w:val="18"/>
              </w:rPr>
              <w:t>Subtotal</w:t>
            </w:r>
          </w:p>
        </w:tc>
        <w:tc>
          <w:tcPr>
            <w:tcW w:w="1440" w:type="dxa"/>
            <w:tcBorders>
              <w:top w:val="single" w:sz="4" w:space="0" w:color="auto"/>
              <w:left w:val="nil"/>
              <w:bottom w:val="single" w:sz="4" w:space="0" w:color="auto"/>
              <w:right w:val="nil"/>
            </w:tcBorders>
            <w:shd w:val="clear" w:color="auto" w:fill="auto"/>
          </w:tcPr>
          <w:p w14:paraId="0F8F37BB" w14:textId="77777777" w:rsidR="005339CC" w:rsidRPr="00BA25F6" w:rsidRDefault="005339CC" w:rsidP="002F1270">
            <w:pPr>
              <w:pStyle w:val="TableParagraph"/>
              <w:spacing w:before="72"/>
              <w:ind w:right="114"/>
              <w:rPr>
                <w:b/>
                <w:bCs/>
                <w:sz w:val="18"/>
                <w:szCs w:val="18"/>
              </w:rPr>
            </w:pPr>
            <w:r w:rsidRPr="00BA25F6">
              <w:rPr>
                <w:b/>
                <w:bCs/>
                <w:sz w:val="18"/>
                <w:szCs w:val="18"/>
              </w:rPr>
              <w:t>193,700</w:t>
            </w:r>
          </w:p>
        </w:tc>
        <w:tc>
          <w:tcPr>
            <w:tcW w:w="1080" w:type="dxa"/>
            <w:tcBorders>
              <w:top w:val="single" w:sz="4" w:space="0" w:color="auto"/>
              <w:left w:val="nil"/>
              <w:bottom w:val="single" w:sz="4" w:space="0" w:color="auto"/>
              <w:right w:val="nil"/>
            </w:tcBorders>
            <w:shd w:val="clear" w:color="auto" w:fill="auto"/>
          </w:tcPr>
          <w:p w14:paraId="0459C19A" w14:textId="77777777" w:rsidR="005339CC" w:rsidRPr="00BA25F6" w:rsidRDefault="005339CC" w:rsidP="002F1270">
            <w:pPr>
              <w:pStyle w:val="TableParagraph"/>
              <w:spacing w:before="72"/>
              <w:ind w:right="114"/>
              <w:rPr>
                <w:b/>
                <w:bCs/>
                <w:sz w:val="18"/>
                <w:szCs w:val="18"/>
              </w:rPr>
            </w:pPr>
            <w:r w:rsidRPr="00BA25F6">
              <w:rPr>
                <w:b/>
                <w:bCs/>
                <w:sz w:val="18"/>
                <w:szCs w:val="18"/>
              </w:rPr>
              <w:t>197,574</w:t>
            </w:r>
          </w:p>
        </w:tc>
        <w:tc>
          <w:tcPr>
            <w:tcW w:w="1170" w:type="dxa"/>
            <w:tcBorders>
              <w:top w:val="single" w:sz="4" w:space="0" w:color="auto"/>
              <w:left w:val="nil"/>
              <w:bottom w:val="single" w:sz="4" w:space="0" w:color="auto"/>
              <w:right w:val="nil"/>
            </w:tcBorders>
            <w:shd w:val="clear" w:color="auto" w:fill="auto"/>
          </w:tcPr>
          <w:p w14:paraId="0264DB0F" w14:textId="77777777" w:rsidR="005339CC" w:rsidRPr="00BA25F6" w:rsidRDefault="005339CC" w:rsidP="002F1270">
            <w:pPr>
              <w:pStyle w:val="TableParagraph"/>
              <w:spacing w:before="72"/>
              <w:ind w:right="114"/>
              <w:rPr>
                <w:b/>
                <w:bCs/>
                <w:sz w:val="18"/>
                <w:szCs w:val="18"/>
              </w:rPr>
            </w:pPr>
            <w:r w:rsidRPr="00BA25F6">
              <w:rPr>
                <w:b/>
                <w:bCs/>
                <w:sz w:val="18"/>
                <w:szCs w:val="18"/>
              </w:rPr>
              <w:t>201,526</w:t>
            </w:r>
          </w:p>
        </w:tc>
        <w:tc>
          <w:tcPr>
            <w:tcW w:w="1080" w:type="dxa"/>
            <w:tcBorders>
              <w:top w:val="single" w:sz="4" w:space="0" w:color="auto"/>
              <w:left w:val="nil"/>
              <w:bottom w:val="single" w:sz="4" w:space="0" w:color="auto"/>
              <w:right w:val="nil"/>
            </w:tcBorders>
            <w:shd w:val="clear" w:color="auto" w:fill="auto"/>
          </w:tcPr>
          <w:p w14:paraId="72348512" w14:textId="77777777" w:rsidR="005339CC" w:rsidRPr="00BA25F6" w:rsidRDefault="005339CC" w:rsidP="002F1270">
            <w:pPr>
              <w:pStyle w:val="TableParagraph"/>
              <w:spacing w:before="72"/>
              <w:ind w:right="114"/>
              <w:rPr>
                <w:b/>
                <w:bCs/>
                <w:sz w:val="18"/>
                <w:szCs w:val="18"/>
              </w:rPr>
            </w:pPr>
            <w:r w:rsidRPr="00BA25F6">
              <w:rPr>
                <w:b/>
                <w:bCs/>
                <w:sz w:val="18"/>
                <w:szCs w:val="18"/>
              </w:rPr>
              <w:t>592,801</w:t>
            </w:r>
          </w:p>
        </w:tc>
      </w:tr>
      <w:tr w:rsidR="005339CC" w:rsidRPr="0027658F" w14:paraId="4A0A7748" w14:textId="77777777" w:rsidTr="004E21AD">
        <w:trPr>
          <w:trHeight w:val="362"/>
        </w:trPr>
        <w:tc>
          <w:tcPr>
            <w:tcW w:w="5220" w:type="dxa"/>
            <w:tcBorders>
              <w:top w:val="single" w:sz="4" w:space="0" w:color="000000"/>
            </w:tcBorders>
          </w:tcPr>
          <w:p w14:paraId="6D5AFF70" w14:textId="7B78E4EF" w:rsidR="005339CC" w:rsidRPr="003B7A6E" w:rsidRDefault="003B7A6E" w:rsidP="002F1270">
            <w:pPr>
              <w:pStyle w:val="TableParagraph"/>
              <w:spacing w:before="75"/>
              <w:ind w:left="122" w:right="0"/>
              <w:jc w:val="left"/>
              <w:rPr>
                <w:sz w:val="18"/>
              </w:rPr>
            </w:pPr>
            <w:r w:rsidRPr="003B7A6E">
              <w:rPr>
                <w:b/>
                <w:spacing w:val="-2"/>
                <w:sz w:val="18"/>
              </w:rPr>
              <w:t>Equipamiento</w:t>
            </w:r>
          </w:p>
        </w:tc>
        <w:tc>
          <w:tcPr>
            <w:tcW w:w="1440" w:type="dxa"/>
            <w:tcBorders>
              <w:top w:val="nil"/>
              <w:left w:val="nil"/>
              <w:bottom w:val="nil"/>
              <w:right w:val="nil"/>
            </w:tcBorders>
            <w:shd w:val="clear" w:color="000000" w:fill="FFFFFF"/>
          </w:tcPr>
          <w:p w14:paraId="57066DE9" w14:textId="77777777" w:rsidR="005339CC" w:rsidRPr="003B7A6E" w:rsidRDefault="005339CC" w:rsidP="002F1270">
            <w:pPr>
              <w:pStyle w:val="TableParagraph"/>
              <w:spacing w:before="72"/>
              <w:ind w:right="114"/>
              <w:rPr>
                <w:sz w:val="18"/>
                <w:szCs w:val="18"/>
              </w:rPr>
            </w:pPr>
          </w:p>
        </w:tc>
        <w:tc>
          <w:tcPr>
            <w:tcW w:w="1080" w:type="dxa"/>
            <w:tcBorders>
              <w:top w:val="nil"/>
              <w:left w:val="nil"/>
              <w:bottom w:val="nil"/>
              <w:right w:val="nil"/>
            </w:tcBorders>
            <w:shd w:val="clear" w:color="000000" w:fill="FFFFFF"/>
          </w:tcPr>
          <w:p w14:paraId="2CB37829" w14:textId="77777777" w:rsidR="005339CC" w:rsidRPr="003B7A6E" w:rsidRDefault="005339CC" w:rsidP="002F1270">
            <w:pPr>
              <w:pStyle w:val="TableParagraph"/>
              <w:spacing w:before="72"/>
              <w:ind w:right="114"/>
              <w:rPr>
                <w:sz w:val="18"/>
                <w:szCs w:val="18"/>
              </w:rPr>
            </w:pPr>
          </w:p>
        </w:tc>
        <w:tc>
          <w:tcPr>
            <w:tcW w:w="1170" w:type="dxa"/>
            <w:tcBorders>
              <w:top w:val="nil"/>
              <w:left w:val="nil"/>
              <w:bottom w:val="nil"/>
              <w:right w:val="nil"/>
            </w:tcBorders>
            <w:shd w:val="clear" w:color="000000" w:fill="FFFFFF"/>
          </w:tcPr>
          <w:p w14:paraId="7C1581AD" w14:textId="77777777" w:rsidR="005339CC" w:rsidRPr="003B7A6E" w:rsidRDefault="005339CC" w:rsidP="002F1270">
            <w:pPr>
              <w:pStyle w:val="TableParagraph"/>
              <w:spacing w:before="72"/>
              <w:ind w:right="114"/>
              <w:rPr>
                <w:sz w:val="18"/>
                <w:szCs w:val="18"/>
              </w:rPr>
            </w:pPr>
          </w:p>
        </w:tc>
        <w:tc>
          <w:tcPr>
            <w:tcW w:w="1080" w:type="dxa"/>
            <w:tcBorders>
              <w:top w:val="nil"/>
              <w:left w:val="nil"/>
              <w:bottom w:val="nil"/>
              <w:right w:val="nil"/>
            </w:tcBorders>
            <w:shd w:val="clear" w:color="000000" w:fill="FFFFFF"/>
          </w:tcPr>
          <w:p w14:paraId="601CC04F" w14:textId="77777777" w:rsidR="005339CC" w:rsidRPr="003B7A6E" w:rsidRDefault="005339CC" w:rsidP="002F1270">
            <w:pPr>
              <w:pStyle w:val="TableParagraph"/>
              <w:spacing w:before="72"/>
              <w:ind w:right="114"/>
              <w:rPr>
                <w:sz w:val="18"/>
                <w:szCs w:val="18"/>
              </w:rPr>
            </w:pPr>
          </w:p>
        </w:tc>
      </w:tr>
      <w:tr w:rsidR="005339CC" w:rsidRPr="0027658F" w14:paraId="1745B3A0" w14:textId="77777777" w:rsidTr="004E21AD">
        <w:trPr>
          <w:trHeight w:val="359"/>
        </w:trPr>
        <w:tc>
          <w:tcPr>
            <w:tcW w:w="5220" w:type="dxa"/>
            <w:tcBorders>
              <w:bottom w:val="single" w:sz="4" w:space="0" w:color="000000"/>
            </w:tcBorders>
          </w:tcPr>
          <w:p w14:paraId="0E8EE42B" w14:textId="1E2A6123" w:rsidR="005339CC" w:rsidRPr="003B7A6E" w:rsidRDefault="003B7A6E" w:rsidP="002F1270">
            <w:pPr>
              <w:pStyle w:val="TableParagraph"/>
              <w:spacing w:before="73"/>
              <w:ind w:left="122" w:right="0"/>
              <w:jc w:val="left"/>
              <w:rPr>
                <w:sz w:val="18"/>
              </w:rPr>
            </w:pPr>
            <w:r w:rsidRPr="003B7A6E">
              <w:rPr>
                <w:color w:val="000000"/>
                <w:sz w:val="18"/>
                <w:szCs w:val="18"/>
              </w:rPr>
              <w:t>Suministros de oficina</w:t>
            </w:r>
          </w:p>
        </w:tc>
        <w:tc>
          <w:tcPr>
            <w:tcW w:w="1440" w:type="dxa"/>
            <w:tcBorders>
              <w:top w:val="nil"/>
              <w:left w:val="nil"/>
              <w:bottom w:val="nil"/>
              <w:right w:val="nil"/>
            </w:tcBorders>
            <w:shd w:val="clear" w:color="000000" w:fill="FFFFFF"/>
          </w:tcPr>
          <w:p w14:paraId="1AD40563" w14:textId="77777777" w:rsidR="005339CC" w:rsidRPr="003B7A6E" w:rsidRDefault="005339CC" w:rsidP="002F1270">
            <w:pPr>
              <w:pStyle w:val="TableParagraph"/>
              <w:spacing w:before="72"/>
              <w:ind w:right="114"/>
              <w:rPr>
                <w:sz w:val="18"/>
                <w:szCs w:val="18"/>
              </w:rPr>
            </w:pPr>
            <w:r w:rsidRPr="003B7A6E">
              <w:rPr>
                <w:sz w:val="18"/>
                <w:szCs w:val="18"/>
              </w:rPr>
              <w:t>6,663</w:t>
            </w:r>
          </w:p>
        </w:tc>
        <w:tc>
          <w:tcPr>
            <w:tcW w:w="1080" w:type="dxa"/>
            <w:tcBorders>
              <w:top w:val="nil"/>
              <w:left w:val="nil"/>
              <w:bottom w:val="nil"/>
              <w:right w:val="nil"/>
            </w:tcBorders>
            <w:shd w:val="clear" w:color="000000" w:fill="FFFFFF"/>
          </w:tcPr>
          <w:p w14:paraId="52DF708B" w14:textId="77777777" w:rsidR="005339CC" w:rsidRPr="003B7A6E" w:rsidRDefault="005339CC" w:rsidP="002F1270">
            <w:pPr>
              <w:pStyle w:val="TableParagraph"/>
              <w:spacing w:before="72"/>
              <w:ind w:right="114"/>
              <w:rPr>
                <w:sz w:val="18"/>
                <w:szCs w:val="18"/>
              </w:rPr>
            </w:pPr>
            <w:r w:rsidRPr="003B7A6E">
              <w:rPr>
                <w:sz w:val="18"/>
                <w:szCs w:val="18"/>
              </w:rPr>
              <w:t>6,796</w:t>
            </w:r>
          </w:p>
        </w:tc>
        <w:tc>
          <w:tcPr>
            <w:tcW w:w="1170" w:type="dxa"/>
            <w:tcBorders>
              <w:top w:val="nil"/>
              <w:left w:val="nil"/>
              <w:bottom w:val="nil"/>
              <w:right w:val="nil"/>
            </w:tcBorders>
            <w:shd w:val="clear" w:color="000000" w:fill="FFFFFF"/>
          </w:tcPr>
          <w:p w14:paraId="60ED6C92" w14:textId="77777777" w:rsidR="005339CC" w:rsidRPr="003B7A6E" w:rsidRDefault="005339CC" w:rsidP="002F1270">
            <w:pPr>
              <w:pStyle w:val="TableParagraph"/>
              <w:spacing w:before="72"/>
              <w:ind w:right="114"/>
              <w:rPr>
                <w:sz w:val="18"/>
                <w:szCs w:val="18"/>
              </w:rPr>
            </w:pPr>
            <w:r w:rsidRPr="003B7A6E">
              <w:rPr>
                <w:sz w:val="18"/>
                <w:szCs w:val="18"/>
              </w:rPr>
              <w:t>6,932</w:t>
            </w:r>
          </w:p>
        </w:tc>
        <w:tc>
          <w:tcPr>
            <w:tcW w:w="1080" w:type="dxa"/>
            <w:tcBorders>
              <w:top w:val="nil"/>
              <w:left w:val="nil"/>
              <w:bottom w:val="nil"/>
              <w:right w:val="nil"/>
            </w:tcBorders>
            <w:shd w:val="clear" w:color="000000" w:fill="FFFFFF"/>
          </w:tcPr>
          <w:p w14:paraId="0F6B0258" w14:textId="77777777" w:rsidR="005339CC" w:rsidRPr="003B7A6E" w:rsidRDefault="005339CC" w:rsidP="002F1270">
            <w:pPr>
              <w:pStyle w:val="TableParagraph"/>
              <w:spacing w:before="72"/>
              <w:ind w:right="114"/>
              <w:rPr>
                <w:sz w:val="18"/>
                <w:szCs w:val="18"/>
              </w:rPr>
            </w:pPr>
            <w:r w:rsidRPr="003B7A6E">
              <w:rPr>
                <w:sz w:val="18"/>
                <w:szCs w:val="18"/>
              </w:rPr>
              <w:t>20,390</w:t>
            </w:r>
          </w:p>
        </w:tc>
      </w:tr>
      <w:tr w:rsidR="005339CC" w:rsidRPr="0027658F" w14:paraId="75C43618" w14:textId="77777777" w:rsidTr="004E21AD">
        <w:trPr>
          <w:trHeight w:val="359"/>
        </w:trPr>
        <w:tc>
          <w:tcPr>
            <w:tcW w:w="5220" w:type="dxa"/>
            <w:tcBorders>
              <w:top w:val="single" w:sz="4" w:space="0" w:color="000000"/>
              <w:bottom w:val="single" w:sz="4" w:space="0" w:color="000000"/>
            </w:tcBorders>
          </w:tcPr>
          <w:p w14:paraId="6808C9CE" w14:textId="77777777" w:rsidR="005339CC" w:rsidRPr="003B7A6E" w:rsidRDefault="005339CC" w:rsidP="002F1270">
            <w:pPr>
              <w:pStyle w:val="TableParagraph"/>
              <w:spacing w:before="75"/>
              <w:ind w:left="122" w:right="0"/>
              <w:jc w:val="left"/>
              <w:rPr>
                <w:b/>
                <w:sz w:val="18"/>
              </w:rPr>
            </w:pPr>
            <w:r w:rsidRPr="003B7A6E">
              <w:rPr>
                <w:b/>
                <w:spacing w:val="-2"/>
                <w:sz w:val="18"/>
              </w:rPr>
              <w:t>Subtotal</w:t>
            </w:r>
          </w:p>
        </w:tc>
        <w:tc>
          <w:tcPr>
            <w:tcW w:w="1440" w:type="dxa"/>
            <w:tcBorders>
              <w:top w:val="single" w:sz="4" w:space="0" w:color="auto"/>
              <w:left w:val="nil"/>
              <w:bottom w:val="single" w:sz="4" w:space="0" w:color="auto"/>
              <w:right w:val="nil"/>
            </w:tcBorders>
            <w:shd w:val="clear" w:color="000000" w:fill="FFFFFF"/>
          </w:tcPr>
          <w:p w14:paraId="3432C505" w14:textId="77777777" w:rsidR="005339CC" w:rsidRPr="003B7A6E" w:rsidRDefault="005339CC" w:rsidP="002F1270">
            <w:pPr>
              <w:pStyle w:val="TableParagraph"/>
              <w:spacing w:before="72"/>
              <w:ind w:right="114"/>
              <w:rPr>
                <w:b/>
                <w:bCs/>
                <w:sz w:val="18"/>
                <w:szCs w:val="18"/>
              </w:rPr>
            </w:pPr>
            <w:r w:rsidRPr="003B7A6E">
              <w:rPr>
                <w:b/>
                <w:bCs/>
                <w:sz w:val="18"/>
                <w:szCs w:val="18"/>
              </w:rPr>
              <w:t>6,663</w:t>
            </w:r>
          </w:p>
        </w:tc>
        <w:tc>
          <w:tcPr>
            <w:tcW w:w="1080" w:type="dxa"/>
            <w:tcBorders>
              <w:top w:val="single" w:sz="4" w:space="0" w:color="auto"/>
              <w:left w:val="nil"/>
              <w:bottom w:val="single" w:sz="4" w:space="0" w:color="auto"/>
              <w:right w:val="nil"/>
            </w:tcBorders>
            <w:shd w:val="clear" w:color="000000" w:fill="FFFFFF"/>
          </w:tcPr>
          <w:p w14:paraId="1ABD1AD9" w14:textId="77777777" w:rsidR="005339CC" w:rsidRPr="003B7A6E" w:rsidRDefault="005339CC" w:rsidP="002F1270">
            <w:pPr>
              <w:pStyle w:val="TableParagraph"/>
              <w:spacing w:before="72"/>
              <w:ind w:right="114"/>
              <w:rPr>
                <w:b/>
                <w:bCs/>
                <w:sz w:val="18"/>
                <w:szCs w:val="18"/>
              </w:rPr>
            </w:pPr>
            <w:r w:rsidRPr="003B7A6E">
              <w:rPr>
                <w:b/>
                <w:bCs/>
                <w:sz w:val="18"/>
                <w:szCs w:val="18"/>
              </w:rPr>
              <w:t>6,796</w:t>
            </w:r>
          </w:p>
        </w:tc>
        <w:tc>
          <w:tcPr>
            <w:tcW w:w="1170" w:type="dxa"/>
            <w:tcBorders>
              <w:top w:val="single" w:sz="4" w:space="0" w:color="auto"/>
              <w:left w:val="nil"/>
              <w:bottom w:val="single" w:sz="4" w:space="0" w:color="auto"/>
              <w:right w:val="nil"/>
            </w:tcBorders>
            <w:shd w:val="clear" w:color="000000" w:fill="FFFFFF"/>
          </w:tcPr>
          <w:p w14:paraId="63BBBBFD" w14:textId="77777777" w:rsidR="005339CC" w:rsidRPr="003B7A6E" w:rsidRDefault="005339CC" w:rsidP="002F1270">
            <w:pPr>
              <w:pStyle w:val="TableParagraph"/>
              <w:spacing w:before="72"/>
              <w:ind w:right="114"/>
              <w:rPr>
                <w:b/>
                <w:bCs/>
                <w:sz w:val="18"/>
                <w:szCs w:val="18"/>
              </w:rPr>
            </w:pPr>
            <w:r w:rsidRPr="003B7A6E">
              <w:rPr>
                <w:b/>
                <w:bCs/>
                <w:sz w:val="18"/>
                <w:szCs w:val="18"/>
              </w:rPr>
              <w:t>6,932</w:t>
            </w:r>
          </w:p>
        </w:tc>
        <w:tc>
          <w:tcPr>
            <w:tcW w:w="1080" w:type="dxa"/>
            <w:tcBorders>
              <w:top w:val="single" w:sz="4" w:space="0" w:color="auto"/>
              <w:left w:val="nil"/>
              <w:bottom w:val="single" w:sz="4" w:space="0" w:color="auto"/>
              <w:right w:val="nil"/>
            </w:tcBorders>
            <w:shd w:val="clear" w:color="000000" w:fill="FFFFFF"/>
          </w:tcPr>
          <w:p w14:paraId="3427CBDA" w14:textId="77777777" w:rsidR="005339CC" w:rsidRPr="003B7A6E" w:rsidRDefault="005339CC" w:rsidP="002F1270">
            <w:pPr>
              <w:pStyle w:val="TableParagraph"/>
              <w:spacing w:before="72"/>
              <w:ind w:right="114"/>
              <w:rPr>
                <w:b/>
                <w:bCs/>
                <w:sz w:val="18"/>
                <w:szCs w:val="18"/>
              </w:rPr>
            </w:pPr>
            <w:r w:rsidRPr="003B7A6E">
              <w:rPr>
                <w:b/>
                <w:bCs/>
                <w:sz w:val="18"/>
                <w:szCs w:val="18"/>
              </w:rPr>
              <w:t>20,390</w:t>
            </w:r>
          </w:p>
        </w:tc>
      </w:tr>
      <w:tr w:rsidR="005339CC" w:rsidRPr="0027658F" w14:paraId="3ADE6065" w14:textId="77777777" w:rsidTr="004E21AD">
        <w:trPr>
          <w:trHeight w:val="364"/>
        </w:trPr>
        <w:tc>
          <w:tcPr>
            <w:tcW w:w="5220" w:type="dxa"/>
            <w:tcBorders>
              <w:top w:val="single" w:sz="4" w:space="0" w:color="000000"/>
            </w:tcBorders>
          </w:tcPr>
          <w:p w14:paraId="035C3700" w14:textId="0825F9D8" w:rsidR="005339CC" w:rsidRPr="003B7A6E" w:rsidRDefault="003B7A6E" w:rsidP="002F1270">
            <w:pPr>
              <w:pStyle w:val="TableParagraph"/>
              <w:spacing w:before="78"/>
              <w:ind w:left="122" w:right="0"/>
              <w:jc w:val="left"/>
              <w:rPr>
                <w:b/>
                <w:sz w:val="18"/>
              </w:rPr>
            </w:pPr>
            <w:r w:rsidRPr="003B7A6E">
              <w:rPr>
                <w:b/>
                <w:spacing w:val="-2"/>
                <w:sz w:val="18"/>
              </w:rPr>
              <w:t>Equipamiento</w:t>
            </w:r>
          </w:p>
        </w:tc>
        <w:tc>
          <w:tcPr>
            <w:tcW w:w="1440" w:type="dxa"/>
            <w:tcBorders>
              <w:top w:val="nil"/>
              <w:left w:val="nil"/>
              <w:bottom w:val="nil"/>
              <w:right w:val="nil"/>
            </w:tcBorders>
            <w:shd w:val="clear" w:color="000000" w:fill="FFFFFF"/>
          </w:tcPr>
          <w:p w14:paraId="03B6AD48" w14:textId="77777777" w:rsidR="005339CC" w:rsidRPr="003B7A6E" w:rsidRDefault="005339CC" w:rsidP="002F1270">
            <w:pPr>
              <w:pStyle w:val="TableParagraph"/>
              <w:spacing w:before="72"/>
              <w:ind w:right="114"/>
              <w:rPr>
                <w:sz w:val="18"/>
                <w:szCs w:val="18"/>
              </w:rPr>
            </w:pPr>
          </w:p>
        </w:tc>
        <w:tc>
          <w:tcPr>
            <w:tcW w:w="1080" w:type="dxa"/>
            <w:tcBorders>
              <w:top w:val="nil"/>
              <w:left w:val="nil"/>
              <w:bottom w:val="nil"/>
              <w:right w:val="nil"/>
            </w:tcBorders>
            <w:shd w:val="clear" w:color="000000" w:fill="FFFFFF"/>
          </w:tcPr>
          <w:p w14:paraId="12225211" w14:textId="77777777" w:rsidR="005339CC" w:rsidRPr="003B7A6E" w:rsidRDefault="005339CC" w:rsidP="002F1270">
            <w:pPr>
              <w:pStyle w:val="TableParagraph"/>
              <w:spacing w:before="72"/>
              <w:ind w:right="114"/>
              <w:rPr>
                <w:sz w:val="18"/>
                <w:szCs w:val="18"/>
              </w:rPr>
            </w:pPr>
          </w:p>
        </w:tc>
        <w:tc>
          <w:tcPr>
            <w:tcW w:w="1170" w:type="dxa"/>
            <w:tcBorders>
              <w:top w:val="nil"/>
              <w:left w:val="nil"/>
              <w:bottom w:val="nil"/>
              <w:right w:val="nil"/>
            </w:tcBorders>
            <w:shd w:val="clear" w:color="000000" w:fill="FFFFFF"/>
          </w:tcPr>
          <w:p w14:paraId="49B2FE69" w14:textId="77777777" w:rsidR="005339CC" w:rsidRPr="003B7A6E" w:rsidRDefault="005339CC" w:rsidP="002F1270">
            <w:pPr>
              <w:pStyle w:val="TableParagraph"/>
              <w:spacing w:before="72"/>
              <w:ind w:right="114"/>
              <w:rPr>
                <w:sz w:val="18"/>
                <w:szCs w:val="18"/>
              </w:rPr>
            </w:pPr>
          </w:p>
        </w:tc>
        <w:tc>
          <w:tcPr>
            <w:tcW w:w="1080" w:type="dxa"/>
            <w:tcBorders>
              <w:top w:val="nil"/>
              <w:left w:val="nil"/>
              <w:bottom w:val="nil"/>
              <w:right w:val="nil"/>
            </w:tcBorders>
            <w:shd w:val="clear" w:color="000000" w:fill="FFFFFF"/>
          </w:tcPr>
          <w:p w14:paraId="72D6F0BC" w14:textId="77777777" w:rsidR="005339CC" w:rsidRPr="003B7A6E" w:rsidRDefault="005339CC" w:rsidP="002F1270">
            <w:pPr>
              <w:pStyle w:val="TableParagraph"/>
              <w:spacing w:before="72"/>
              <w:ind w:right="114"/>
              <w:rPr>
                <w:sz w:val="18"/>
                <w:szCs w:val="18"/>
              </w:rPr>
            </w:pPr>
          </w:p>
        </w:tc>
      </w:tr>
      <w:tr w:rsidR="005339CC" w:rsidRPr="0027658F" w14:paraId="229EC6B1" w14:textId="77777777" w:rsidTr="004E21AD">
        <w:trPr>
          <w:trHeight w:val="357"/>
        </w:trPr>
        <w:tc>
          <w:tcPr>
            <w:tcW w:w="5220" w:type="dxa"/>
            <w:tcBorders>
              <w:bottom w:val="single" w:sz="4" w:space="0" w:color="000000"/>
            </w:tcBorders>
          </w:tcPr>
          <w:p w14:paraId="0024E587" w14:textId="037F057A" w:rsidR="005339CC" w:rsidRPr="003B7A6E" w:rsidRDefault="003B7A6E" w:rsidP="002F1270">
            <w:pPr>
              <w:pStyle w:val="TableParagraph"/>
              <w:spacing w:before="73"/>
              <w:ind w:left="122" w:right="0"/>
              <w:jc w:val="left"/>
              <w:rPr>
                <w:sz w:val="18"/>
              </w:rPr>
            </w:pPr>
            <w:r w:rsidRPr="003B7A6E">
              <w:rPr>
                <w:spacing w:val="-2"/>
                <w:sz w:val="18"/>
              </w:rPr>
              <w:t>Material no fungible</w:t>
            </w:r>
          </w:p>
        </w:tc>
        <w:tc>
          <w:tcPr>
            <w:tcW w:w="1440" w:type="dxa"/>
            <w:tcBorders>
              <w:top w:val="nil"/>
              <w:left w:val="nil"/>
              <w:bottom w:val="nil"/>
              <w:right w:val="nil"/>
            </w:tcBorders>
            <w:shd w:val="clear" w:color="000000" w:fill="FFFFFF"/>
          </w:tcPr>
          <w:p w14:paraId="22860F90" w14:textId="77777777" w:rsidR="005339CC" w:rsidRPr="003B7A6E" w:rsidRDefault="005339CC" w:rsidP="002F1270">
            <w:pPr>
              <w:pStyle w:val="TableParagraph"/>
              <w:spacing w:before="72"/>
              <w:ind w:right="114"/>
              <w:rPr>
                <w:sz w:val="18"/>
                <w:szCs w:val="18"/>
              </w:rPr>
            </w:pPr>
            <w:r w:rsidRPr="003B7A6E">
              <w:rPr>
                <w:sz w:val="18"/>
                <w:szCs w:val="18"/>
              </w:rPr>
              <w:t>12,062</w:t>
            </w:r>
          </w:p>
        </w:tc>
        <w:tc>
          <w:tcPr>
            <w:tcW w:w="1080" w:type="dxa"/>
            <w:tcBorders>
              <w:top w:val="nil"/>
              <w:left w:val="nil"/>
              <w:bottom w:val="nil"/>
              <w:right w:val="nil"/>
            </w:tcBorders>
            <w:shd w:val="clear" w:color="000000" w:fill="FFFFFF"/>
          </w:tcPr>
          <w:p w14:paraId="0C0FBE8A" w14:textId="77777777" w:rsidR="005339CC" w:rsidRPr="003B7A6E" w:rsidRDefault="005339CC" w:rsidP="002F1270">
            <w:pPr>
              <w:pStyle w:val="TableParagraph"/>
              <w:spacing w:before="72"/>
              <w:ind w:right="114"/>
              <w:rPr>
                <w:sz w:val="18"/>
                <w:szCs w:val="18"/>
              </w:rPr>
            </w:pPr>
            <w:r w:rsidRPr="003B7A6E">
              <w:rPr>
                <w:sz w:val="18"/>
                <w:szCs w:val="18"/>
              </w:rPr>
              <w:t>12,303</w:t>
            </w:r>
          </w:p>
        </w:tc>
        <w:tc>
          <w:tcPr>
            <w:tcW w:w="1170" w:type="dxa"/>
            <w:tcBorders>
              <w:top w:val="nil"/>
              <w:left w:val="nil"/>
              <w:bottom w:val="nil"/>
              <w:right w:val="nil"/>
            </w:tcBorders>
            <w:shd w:val="clear" w:color="000000" w:fill="FFFFFF"/>
          </w:tcPr>
          <w:p w14:paraId="530D70F9" w14:textId="77777777" w:rsidR="005339CC" w:rsidRPr="003B7A6E" w:rsidRDefault="005339CC" w:rsidP="002F1270">
            <w:pPr>
              <w:pStyle w:val="TableParagraph"/>
              <w:spacing w:before="72"/>
              <w:ind w:right="114"/>
              <w:rPr>
                <w:sz w:val="18"/>
                <w:szCs w:val="18"/>
              </w:rPr>
            </w:pPr>
            <w:r w:rsidRPr="003B7A6E">
              <w:rPr>
                <w:sz w:val="18"/>
                <w:szCs w:val="18"/>
              </w:rPr>
              <w:t>12,549</w:t>
            </w:r>
          </w:p>
        </w:tc>
        <w:tc>
          <w:tcPr>
            <w:tcW w:w="1080" w:type="dxa"/>
            <w:tcBorders>
              <w:top w:val="nil"/>
              <w:left w:val="nil"/>
              <w:bottom w:val="nil"/>
              <w:right w:val="nil"/>
            </w:tcBorders>
            <w:shd w:val="clear" w:color="000000" w:fill="FFFFFF"/>
          </w:tcPr>
          <w:p w14:paraId="45B3ED2E" w14:textId="77777777" w:rsidR="005339CC" w:rsidRPr="003B7A6E" w:rsidRDefault="005339CC" w:rsidP="002F1270">
            <w:pPr>
              <w:pStyle w:val="TableParagraph"/>
              <w:spacing w:before="72"/>
              <w:ind w:right="114"/>
              <w:rPr>
                <w:sz w:val="18"/>
                <w:szCs w:val="18"/>
              </w:rPr>
            </w:pPr>
            <w:r w:rsidRPr="003B7A6E">
              <w:rPr>
                <w:sz w:val="18"/>
                <w:szCs w:val="18"/>
              </w:rPr>
              <w:t>36,913</w:t>
            </w:r>
          </w:p>
        </w:tc>
      </w:tr>
      <w:tr w:rsidR="005339CC" w:rsidRPr="0027658F" w14:paraId="35C60C06" w14:textId="77777777" w:rsidTr="004E21AD">
        <w:trPr>
          <w:trHeight w:val="362"/>
        </w:trPr>
        <w:tc>
          <w:tcPr>
            <w:tcW w:w="5220" w:type="dxa"/>
            <w:tcBorders>
              <w:top w:val="single" w:sz="4" w:space="0" w:color="000000"/>
              <w:bottom w:val="single" w:sz="4" w:space="0" w:color="000000"/>
            </w:tcBorders>
          </w:tcPr>
          <w:p w14:paraId="40394AFE" w14:textId="77777777" w:rsidR="005339CC" w:rsidRPr="003B7A6E" w:rsidRDefault="005339CC" w:rsidP="002F1270">
            <w:pPr>
              <w:pStyle w:val="TableParagraph"/>
              <w:spacing w:before="78"/>
              <w:ind w:left="122" w:right="0"/>
              <w:jc w:val="left"/>
              <w:rPr>
                <w:b/>
                <w:sz w:val="18"/>
              </w:rPr>
            </w:pPr>
            <w:r w:rsidRPr="003B7A6E">
              <w:rPr>
                <w:b/>
                <w:spacing w:val="-2"/>
                <w:sz w:val="18"/>
              </w:rPr>
              <w:t>Subtotal</w:t>
            </w:r>
          </w:p>
        </w:tc>
        <w:tc>
          <w:tcPr>
            <w:tcW w:w="1440" w:type="dxa"/>
            <w:tcBorders>
              <w:top w:val="single" w:sz="4" w:space="0" w:color="auto"/>
              <w:left w:val="nil"/>
              <w:bottom w:val="single" w:sz="4" w:space="0" w:color="auto"/>
              <w:right w:val="nil"/>
            </w:tcBorders>
            <w:shd w:val="clear" w:color="000000" w:fill="FFFFFF"/>
          </w:tcPr>
          <w:p w14:paraId="70FED22E" w14:textId="77777777" w:rsidR="005339CC" w:rsidRPr="003B7A6E" w:rsidRDefault="005339CC" w:rsidP="002F1270">
            <w:pPr>
              <w:pStyle w:val="TableParagraph"/>
              <w:spacing w:before="72"/>
              <w:ind w:right="114"/>
              <w:rPr>
                <w:b/>
                <w:bCs/>
                <w:sz w:val="18"/>
                <w:szCs w:val="18"/>
              </w:rPr>
            </w:pPr>
            <w:r w:rsidRPr="003B7A6E">
              <w:rPr>
                <w:b/>
                <w:bCs/>
                <w:sz w:val="18"/>
                <w:szCs w:val="18"/>
              </w:rPr>
              <w:t>12,062</w:t>
            </w:r>
          </w:p>
        </w:tc>
        <w:tc>
          <w:tcPr>
            <w:tcW w:w="1080" w:type="dxa"/>
            <w:tcBorders>
              <w:top w:val="single" w:sz="4" w:space="0" w:color="auto"/>
              <w:left w:val="nil"/>
              <w:bottom w:val="single" w:sz="4" w:space="0" w:color="auto"/>
              <w:right w:val="nil"/>
            </w:tcBorders>
            <w:shd w:val="clear" w:color="000000" w:fill="FFFFFF"/>
          </w:tcPr>
          <w:p w14:paraId="7AD21BBA" w14:textId="77777777" w:rsidR="005339CC" w:rsidRPr="003B7A6E" w:rsidRDefault="005339CC" w:rsidP="002F1270">
            <w:pPr>
              <w:pStyle w:val="TableParagraph"/>
              <w:spacing w:before="72"/>
              <w:ind w:right="114"/>
              <w:rPr>
                <w:b/>
                <w:bCs/>
                <w:sz w:val="18"/>
                <w:szCs w:val="18"/>
              </w:rPr>
            </w:pPr>
            <w:r w:rsidRPr="003B7A6E">
              <w:rPr>
                <w:b/>
                <w:bCs/>
                <w:sz w:val="18"/>
                <w:szCs w:val="18"/>
              </w:rPr>
              <w:t>12,303</w:t>
            </w:r>
          </w:p>
        </w:tc>
        <w:tc>
          <w:tcPr>
            <w:tcW w:w="1170" w:type="dxa"/>
            <w:tcBorders>
              <w:top w:val="single" w:sz="4" w:space="0" w:color="auto"/>
              <w:left w:val="nil"/>
              <w:bottom w:val="single" w:sz="4" w:space="0" w:color="auto"/>
              <w:right w:val="nil"/>
            </w:tcBorders>
            <w:shd w:val="clear" w:color="000000" w:fill="FFFFFF"/>
          </w:tcPr>
          <w:p w14:paraId="697EB9DC" w14:textId="77777777" w:rsidR="005339CC" w:rsidRPr="003B7A6E" w:rsidRDefault="005339CC" w:rsidP="002F1270">
            <w:pPr>
              <w:pStyle w:val="TableParagraph"/>
              <w:spacing w:before="72"/>
              <w:ind w:right="114"/>
              <w:rPr>
                <w:b/>
                <w:bCs/>
                <w:sz w:val="18"/>
                <w:szCs w:val="18"/>
              </w:rPr>
            </w:pPr>
            <w:r w:rsidRPr="003B7A6E">
              <w:rPr>
                <w:b/>
                <w:bCs/>
                <w:sz w:val="18"/>
                <w:szCs w:val="18"/>
              </w:rPr>
              <w:t>12,549</w:t>
            </w:r>
          </w:p>
        </w:tc>
        <w:tc>
          <w:tcPr>
            <w:tcW w:w="1080" w:type="dxa"/>
            <w:tcBorders>
              <w:top w:val="single" w:sz="4" w:space="0" w:color="auto"/>
              <w:left w:val="nil"/>
              <w:bottom w:val="single" w:sz="4" w:space="0" w:color="auto"/>
              <w:right w:val="nil"/>
            </w:tcBorders>
            <w:shd w:val="clear" w:color="000000" w:fill="FFFFFF"/>
          </w:tcPr>
          <w:p w14:paraId="3DAD2089" w14:textId="77777777" w:rsidR="005339CC" w:rsidRPr="003B7A6E" w:rsidRDefault="005339CC" w:rsidP="002F1270">
            <w:pPr>
              <w:pStyle w:val="TableParagraph"/>
              <w:spacing w:before="72"/>
              <w:ind w:right="114"/>
              <w:rPr>
                <w:b/>
                <w:bCs/>
                <w:sz w:val="18"/>
                <w:szCs w:val="18"/>
              </w:rPr>
            </w:pPr>
            <w:r w:rsidRPr="003B7A6E">
              <w:rPr>
                <w:b/>
                <w:bCs/>
                <w:sz w:val="18"/>
                <w:szCs w:val="18"/>
              </w:rPr>
              <w:t>36,913</w:t>
            </w:r>
          </w:p>
        </w:tc>
      </w:tr>
      <w:tr w:rsidR="003B7A6E" w:rsidRPr="003B7A6E" w14:paraId="47C85CF4" w14:textId="77777777" w:rsidTr="004E21AD">
        <w:trPr>
          <w:trHeight w:val="363"/>
        </w:trPr>
        <w:tc>
          <w:tcPr>
            <w:tcW w:w="5220" w:type="dxa"/>
            <w:tcBorders>
              <w:top w:val="single" w:sz="4" w:space="0" w:color="000000"/>
            </w:tcBorders>
          </w:tcPr>
          <w:p w14:paraId="09C81D5F" w14:textId="79F3396C" w:rsidR="003B7A6E" w:rsidRPr="003B7A6E" w:rsidRDefault="003B7A6E" w:rsidP="003B7A6E">
            <w:pPr>
              <w:pStyle w:val="TableParagraph"/>
              <w:spacing w:before="75"/>
              <w:ind w:left="122" w:right="0"/>
              <w:jc w:val="left"/>
              <w:rPr>
                <w:b/>
                <w:sz w:val="18"/>
              </w:rPr>
            </w:pPr>
            <w:r w:rsidRPr="003B7A6E">
              <w:rPr>
                <w:b/>
                <w:color w:val="000000"/>
                <w:sz w:val="18"/>
                <w:szCs w:val="18"/>
                <w:lang w:val="es-ES"/>
              </w:rPr>
              <w:t>Viajes</w:t>
            </w:r>
          </w:p>
        </w:tc>
        <w:tc>
          <w:tcPr>
            <w:tcW w:w="1440" w:type="dxa"/>
            <w:tcBorders>
              <w:top w:val="nil"/>
              <w:left w:val="nil"/>
              <w:bottom w:val="nil"/>
              <w:right w:val="nil"/>
            </w:tcBorders>
            <w:shd w:val="clear" w:color="000000" w:fill="FFFFFF"/>
          </w:tcPr>
          <w:p w14:paraId="5D1B7B29" w14:textId="77777777" w:rsidR="003B7A6E" w:rsidRPr="003B7A6E" w:rsidRDefault="003B7A6E" w:rsidP="003B7A6E">
            <w:pPr>
              <w:pStyle w:val="TableParagraph"/>
              <w:spacing w:before="72"/>
              <w:ind w:right="114"/>
              <w:rPr>
                <w:sz w:val="18"/>
                <w:szCs w:val="18"/>
              </w:rPr>
            </w:pPr>
          </w:p>
        </w:tc>
        <w:tc>
          <w:tcPr>
            <w:tcW w:w="1080" w:type="dxa"/>
            <w:tcBorders>
              <w:top w:val="nil"/>
              <w:left w:val="nil"/>
              <w:bottom w:val="nil"/>
              <w:right w:val="nil"/>
            </w:tcBorders>
            <w:shd w:val="clear" w:color="000000" w:fill="FFFFFF"/>
          </w:tcPr>
          <w:p w14:paraId="0250AFD6" w14:textId="77777777" w:rsidR="003B7A6E" w:rsidRPr="003B7A6E" w:rsidRDefault="003B7A6E" w:rsidP="003B7A6E">
            <w:pPr>
              <w:pStyle w:val="TableParagraph"/>
              <w:spacing w:before="72"/>
              <w:ind w:right="114"/>
              <w:rPr>
                <w:sz w:val="18"/>
                <w:szCs w:val="18"/>
              </w:rPr>
            </w:pPr>
          </w:p>
        </w:tc>
        <w:tc>
          <w:tcPr>
            <w:tcW w:w="1170" w:type="dxa"/>
            <w:tcBorders>
              <w:top w:val="nil"/>
              <w:left w:val="nil"/>
              <w:bottom w:val="nil"/>
              <w:right w:val="nil"/>
            </w:tcBorders>
            <w:shd w:val="clear" w:color="000000" w:fill="FFFFFF"/>
          </w:tcPr>
          <w:p w14:paraId="6C765358" w14:textId="77777777" w:rsidR="003B7A6E" w:rsidRPr="003B7A6E" w:rsidRDefault="003B7A6E" w:rsidP="003B7A6E">
            <w:pPr>
              <w:pStyle w:val="TableParagraph"/>
              <w:spacing w:before="72"/>
              <w:ind w:right="114"/>
              <w:rPr>
                <w:sz w:val="18"/>
                <w:szCs w:val="18"/>
              </w:rPr>
            </w:pPr>
          </w:p>
        </w:tc>
        <w:tc>
          <w:tcPr>
            <w:tcW w:w="1080" w:type="dxa"/>
            <w:tcBorders>
              <w:top w:val="nil"/>
              <w:left w:val="nil"/>
              <w:bottom w:val="nil"/>
              <w:right w:val="nil"/>
            </w:tcBorders>
            <w:shd w:val="clear" w:color="000000" w:fill="FFFFFF"/>
          </w:tcPr>
          <w:p w14:paraId="1268566D" w14:textId="77777777" w:rsidR="003B7A6E" w:rsidRPr="003B7A6E" w:rsidRDefault="003B7A6E" w:rsidP="003B7A6E">
            <w:pPr>
              <w:pStyle w:val="TableParagraph"/>
              <w:spacing w:before="72"/>
              <w:ind w:right="114"/>
              <w:rPr>
                <w:sz w:val="18"/>
                <w:szCs w:val="18"/>
              </w:rPr>
            </w:pPr>
          </w:p>
        </w:tc>
      </w:tr>
      <w:tr w:rsidR="003B7A6E" w:rsidRPr="003B7A6E" w14:paraId="5FF7E667" w14:textId="77777777" w:rsidTr="004E21AD">
        <w:trPr>
          <w:trHeight w:val="361"/>
        </w:trPr>
        <w:tc>
          <w:tcPr>
            <w:tcW w:w="5220" w:type="dxa"/>
          </w:tcPr>
          <w:p w14:paraId="6CA2CFCF" w14:textId="221A6A4C" w:rsidR="003B7A6E" w:rsidRPr="003B7A6E" w:rsidRDefault="003B7A6E" w:rsidP="003B7A6E">
            <w:pPr>
              <w:pStyle w:val="TableParagraph"/>
              <w:spacing w:before="74"/>
              <w:ind w:left="122" w:right="0"/>
              <w:jc w:val="left"/>
              <w:rPr>
                <w:sz w:val="18"/>
              </w:rPr>
            </w:pPr>
            <w:r w:rsidRPr="003B7A6E">
              <w:rPr>
                <w:color w:val="000000"/>
                <w:sz w:val="18"/>
                <w:szCs w:val="18"/>
                <w:lang w:val="es-ES"/>
              </w:rPr>
              <w:t>Viajes del personal</w:t>
            </w:r>
          </w:p>
        </w:tc>
        <w:tc>
          <w:tcPr>
            <w:tcW w:w="1440" w:type="dxa"/>
            <w:tcBorders>
              <w:top w:val="nil"/>
              <w:left w:val="nil"/>
              <w:bottom w:val="nil"/>
              <w:right w:val="nil"/>
            </w:tcBorders>
            <w:shd w:val="clear" w:color="000000" w:fill="FFFFFF"/>
          </w:tcPr>
          <w:p w14:paraId="3D0B29DE" w14:textId="77777777" w:rsidR="003B7A6E" w:rsidRPr="003B7A6E" w:rsidRDefault="003B7A6E" w:rsidP="003B7A6E">
            <w:pPr>
              <w:pStyle w:val="TableParagraph"/>
              <w:spacing w:before="72"/>
              <w:ind w:right="114"/>
              <w:rPr>
                <w:sz w:val="18"/>
                <w:szCs w:val="18"/>
              </w:rPr>
            </w:pPr>
            <w:r w:rsidRPr="003B7A6E">
              <w:rPr>
                <w:sz w:val="18"/>
                <w:szCs w:val="18"/>
              </w:rPr>
              <w:t>73,172</w:t>
            </w:r>
          </w:p>
        </w:tc>
        <w:tc>
          <w:tcPr>
            <w:tcW w:w="1080" w:type="dxa"/>
            <w:tcBorders>
              <w:top w:val="nil"/>
              <w:left w:val="nil"/>
              <w:bottom w:val="nil"/>
              <w:right w:val="nil"/>
            </w:tcBorders>
            <w:shd w:val="clear" w:color="000000" w:fill="FFFFFF"/>
          </w:tcPr>
          <w:p w14:paraId="7051F240" w14:textId="77777777" w:rsidR="003B7A6E" w:rsidRPr="003B7A6E" w:rsidRDefault="003B7A6E" w:rsidP="003B7A6E">
            <w:pPr>
              <w:pStyle w:val="TableParagraph"/>
              <w:spacing w:before="72"/>
              <w:ind w:right="114"/>
              <w:rPr>
                <w:sz w:val="18"/>
                <w:szCs w:val="18"/>
              </w:rPr>
            </w:pPr>
            <w:r w:rsidRPr="003B7A6E">
              <w:rPr>
                <w:sz w:val="18"/>
                <w:szCs w:val="18"/>
              </w:rPr>
              <w:t>74,635</w:t>
            </w:r>
          </w:p>
        </w:tc>
        <w:tc>
          <w:tcPr>
            <w:tcW w:w="1170" w:type="dxa"/>
            <w:tcBorders>
              <w:top w:val="nil"/>
              <w:left w:val="nil"/>
              <w:bottom w:val="nil"/>
              <w:right w:val="nil"/>
            </w:tcBorders>
            <w:shd w:val="clear" w:color="000000" w:fill="FFFFFF"/>
          </w:tcPr>
          <w:p w14:paraId="12C781D4" w14:textId="77777777" w:rsidR="003B7A6E" w:rsidRPr="003B7A6E" w:rsidRDefault="003B7A6E" w:rsidP="003B7A6E">
            <w:pPr>
              <w:pStyle w:val="TableParagraph"/>
              <w:spacing w:before="72"/>
              <w:ind w:right="114"/>
              <w:rPr>
                <w:sz w:val="18"/>
                <w:szCs w:val="18"/>
              </w:rPr>
            </w:pPr>
            <w:r w:rsidRPr="003B7A6E">
              <w:rPr>
                <w:sz w:val="18"/>
                <w:szCs w:val="18"/>
              </w:rPr>
              <w:t>76,128</w:t>
            </w:r>
          </w:p>
        </w:tc>
        <w:tc>
          <w:tcPr>
            <w:tcW w:w="1080" w:type="dxa"/>
            <w:tcBorders>
              <w:top w:val="nil"/>
              <w:left w:val="nil"/>
              <w:bottom w:val="nil"/>
              <w:right w:val="nil"/>
            </w:tcBorders>
            <w:shd w:val="clear" w:color="000000" w:fill="FFFFFF"/>
          </w:tcPr>
          <w:p w14:paraId="0ACC702B" w14:textId="77777777" w:rsidR="003B7A6E" w:rsidRPr="003B7A6E" w:rsidRDefault="003B7A6E" w:rsidP="003B7A6E">
            <w:pPr>
              <w:pStyle w:val="TableParagraph"/>
              <w:spacing w:before="72"/>
              <w:ind w:right="114"/>
              <w:rPr>
                <w:sz w:val="18"/>
                <w:szCs w:val="18"/>
              </w:rPr>
            </w:pPr>
            <w:r w:rsidRPr="003B7A6E">
              <w:rPr>
                <w:sz w:val="18"/>
                <w:szCs w:val="18"/>
              </w:rPr>
              <w:t>223,935</w:t>
            </w:r>
          </w:p>
        </w:tc>
      </w:tr>
      <w:tr w:rsidR="003B7A6E" w:rsidRPr="003B7A6E" w14:paraId="19E18B5F" w14:textId="77777777" w:rsidTr="004E21AD">
        <w:trPr>
          <w:trHeight w:val="360"/>
        </w:trPr>
        <w:tc>
          <w:tcPr>
            <w:tcW w:w="5220" w:type="dxa"/>
          </w:tcPr>
          <w:p w14:paraId="444EF3E1" w14:textId="676FB92B" w:rsidR="003B7A6E" w:rsidRPr="003B7A6E" w:rsidRDefault="003B7A6E" w:rsidP="003B7A6E">
            <w:pPr>
              <w:pStyle w:val="TableParagraph"/>
              <w:spacing w:before="73"/>
              <w:ind w:left="122" w:right="0"/>
              <w:jc w:val="left"/>
              <w:rPr>
                <w:sz w:val="18"/>
              </w:rPr>
            </w:pPr>
            <w:r w:rsidRPr="003B7A6E">
              <w:rPr>
                <w:color w:val="000000"/>
                <w:sz w:val="18"/>
                <w:szCs w:val="18"/>
                <w:lang w:val="es-ES"/>
              </w:rPr>
              <w:t>Viajes del personal</w:t>
            </w:r>
            <w:r w:rsidRPr="003B7A6E">
              <w:rPr>
                <w:spacing w:val="-2"/>
                <w:sz w:val="18"/>
              </w:rPr>
              <w:t xml:space="preserve"> </w:t>
            </w:r>
            <w:r w:rsidRPr="003B7A6E">
              <w:rPr>
                <w:sz w:val="18"/>
              </w:rPr>
              <w:t>-</w:t>
            </w:r>
            <w:r w:rsidRPr="003B7A6E">
              <w:rPr>
                <w:spacing w:val="-1"/>
                <w:sz w:val="18"/>
              </w:rPr>
              <w:t xml:space="preserve"> </w:t>
            </w:r>
            <w:r w:rsidRPr="003B7A6E">
              <w:rPr>
                <w:spacing w:val="-2"/>
                <w:sz w:val="18"/>
              </w:rPr>
              <w:t>COP15</w:t>
            </w:r>
          </w:p>
        </w:tc>
        <w:tc>
          <w:tcPr>
            <w:tcW w:w="1440" w:type="dxa"/>
            <w:tcBorders>
              <w:top w:val="nil"/>
              <w:left w:val="nil"/>
              <w:bottom w:val="nil"/>
              <w:right w:val="nil"/>
            </w:tcBorders>
            <w:shd w:val="clear" w:color="000000" w:fill="FFFFFF"/>
          </w:tcPr>
          <w:p w14:paraId="23EEDF3F" w14:textId="77777777" w:rsidR="003B7A6E" w:rsidRPr="003B7A6E" w:rsidRDefault="003B7A6E" w:rsidP="003B7A6E">
            <w:pPr>
              <w:pStyle w:val="TableParagraph"/>
              <w:spacing w:before="72"/>
              <w:ind w:right="114"/>
              <w:rPr>
                <w:sz w:val="18"/>
                <w:szCs w:val="18"/>
              </w:rPr>
            </w:pPr>
            <w:r w:rsidRPr="003B7A6E">
              <w:rPr>
                <w:sz w:val="18"/>
                <w:szCs w:val="18"/>
              </w:rPr>
              <w:t>0</w:t>
            </w:r>
          </w:p>
        </w:tc>
        <w:tc>
          <w:tcPr>
            <w:tcW w:w="1080" w:type="dxa"/>
            <w:tcBorders>
              <w:top w:val="nil"/>
              <w:left w:val="nil"/>
              <w:bottom w:val="nil"/>
              <w:right w:val="nil"/>
            </w:tcBorders>
            <w:shd w:val="clear" w:color="000000" w:fill="FFFFFF"/>
          </w:tcPr>
          <w:p w14:paraId="1DF74BEE" w14:textId="77777777" w:rsidR="003B7A6E" w:rsidRPr="003B7A6E" w:rsidRDefault="003B7A6E" w:rsidP="003B7A6E">
            <w:pPr>
              <w:pStyle w:val="TableParagraph"/>
              <w:spacing w:before="72"/>
              <w:ind w:right="114"/>
              <w:rPr>
                <w:sz w:val="18"/>
                <w:szCs w:val="18"/>
              </w:rPr>
            </w:pPr>
            <w:r w:rsidRPr="003B7A6E">
              <w:rPr>
                <w:sz w:val="18"/>
                <w:szCs w:val="18"/>
              </w:rPr>
              <w:t>0</w:t>
            </w:r>
          </w:p>
        </w:tc>
        <w:tc>
          <w:tcPr>
            <w:tcW w:w="1170" w:type="dxa"/>
            <w:tcBorders>
              <w:top w:val="nil"/>
              <w:left w:val="nil"/>
              <w:bottom w:val="nil"/>
              <w:right w:val="nil"/>
            </w:tcBorders>
            <w:shd w:val="clear" w:color="000000" w:fill="FFFFFF"/>
          </w:tcPr>
          <w:p w14:paraId="3328AD59" w14:textId="77777777" w:rsidR="003B7A6E" w:rsidRPr="003B7A6E" w:rsidRDefault="003B7A6E" w:rsidP="003B7A6E">
            <w:pPr>
              <w:pStyle w:val="TableParagraph"/>
              <w:spacing w:before="72"/>
              <w:ind w:right="114"/>
              <w:rPr>
                <w:sz w:val="18"/>
                <w:szCs w:val="18"/>
              </w:rPr>
            </w:pPr>
            <w:r w:rsidRPr="003B7A6E">
              <w:rPr>
                <w:sz w:val="18"/>
                <w:szCs w:val="18"/>
              </w:rPr>
              <w:t>63,341</w:t>
            </w:r>
          </w:p>
        </w:tc>
        <w:tc>
          <w:tcPr>
            <w:tcW w:w="1080" w:type="dxa"/>
            <w:tcBorders>
              <w:top w:val="nil"/>
              <w:left w:val="nil"/>
              <w:bottom w:val="nil"/>
              <w:right w:val="nil"/>
            </w:tcBorders>
            <w:shd w:val="clear" w:color="000000" w:fill="FFFFFF"/>
          </w:tcPr>
          <w:p w14:paraId="3A8EF88A" w14:textId="77777777" w:rsidR="003B7A6E" w:rsidRPr="003B7A6E" w:rsidRDefault="003B7A6E" w:rsidP="003B7A6E">
            <w:pPr>
              <w:pStyle w:val="TableParagraph"/>
              <w:spacing w:before="72"/>
              <w:ind w:right="114"/>
              <w:rPr>
                <w:sz w:val="18"/>
                <w:szCs w:val="18"/>
              </w:rPr>
            </w:pPr>
            <w:r w:rsidRPr="003B7A6E">
              <w:rPr>
                <w:sz w:val="18"/>
                <w:szCs w:val="18"/>
              </w:rPr>
              <w:t>63,341</w:t>
            </w:r>
          </w:p>
        </w:tc>
      </w:tr>
      <w:tr w:rsidR="003B7A6E" w:rsidRPr="003B7A6E" w14:paraId="4AC79762" w14:textId="77777777" w:rsidTr="004E21AD">
        <w:trPr>
          <w:trHeight w:val="361"/>
        </w:trPr>
        <w:tc>
          <w:tcPr>
            <w:tcW w:w="5220" w:type="dxa"/>
          </w:tcPr>
          <w:p w14:paraId="7CAC68B1" w14:textId="0A41E181" w:rsidR="003B7A6E" w:rsidRPr="003B7A6E" w:rsidRDefault="003B7A6E" w:rsidP="003B7A6E">
            <w:pPr>
              <w:pStyle w:val="TableParagraph"/>
              <w:spacing w:before="73"/>
              <w:ind w:left="122" w:right="0"/>
              <w:jc w:val="left"/>
              <w:rPr>
                <w:sz w:val="18"/>
              </w:rPr>
            </w:pPr>
            <w:r w:rsidRPr="003B7A6E">
              <w:rPr>
                <w:color w:val="000000"/>
                <w:sz w:val="18"/>
                <w:szCs w:val="18"/>
                <w:lang w:val="es-ES"/>
              </w:rPr>
              <w:t>Reuniones del Comité Permanente</w:t>
            </w:r>
          </w:p>
        </w:tc>
        <w:tc>
          <w:tcPr>
            <w:tcW w:w="1440" w:type="dxa"/>
            <w:tcBorders>
              <w:top w:val="nil"/>
              <w:left w:val="nil"/>
              <w:bottom w:val="nil"/>
              <w:right w:val="nil"/>
            </w:tcBorders>
            <w:shd w:val="clear" w:color="000000" w:fill="FFFFFF"/>
          </w:tcPr>
          <w:p w14:paraId="7D393C71" w14:textId="77777777" w:rsidR="003B7A6E" w:rsidRPr="003B7A6E" w:rsidRDefault="003B7A6E" w:rsidP="003B7A6E">
            <w:pPr>
              <w:pStyle w:val="TableParagraph"/>
              <w:spacing w:before="72"/>
              <w:ind w:right="114"/>
              <w:rPr>
                <w:sz w:val="18"/>
                <w:szCs w:val="18"/>
              </w:rPr>
            </w:pPr>
            <w:r w:rsidRPr="003B7A6E">
              <w:rPr>
                <w:sz w:val="18"/>
                <w:szCs w:val="18"/>
              </w:rPr>
              <w:t>30,000</w:t>
            </w:r>
          </w:p>
        </w:tc>
        <w:tc>
          <w:tcPr>
            <w:tcW w:w="1080" w:type="dxa"/>
            <w:tcBorders>
              <w:top w:val="nil"/>
              <w:left w:val="nil"/>
              <w:bottom w:val="nil"/>
              <w:right w:val="nil"/>
            </w:tcBorders>
            <w:shd w:val="clear" w:color="000000" w:fill="FFFFFF"/>
          </w:tcPr>
          <w:p w14:paraId="17D0BBDB" w14:textId="77777777" w:rsidR="003B7A6E" w:rsidRPr="003B7A6E" w:rsidRDefault="003B7A6E" w:rsidP="003B7A6E">
            <w:pPr>
              <w:pStyle w:val="TableParagraph"/>
              <w:spacing w:before="72"/>
              <w:ind w:right="114"/>
              <w:rPr>
                <w:sz w:val="18"/>
                <w:szCs w:val="18"/>
              </w:rPr>
            </w:pPr>
            <w:r w:rsidRPr="003B7A6E">
              <w:rPr>
                <w:sz w:val="18"/>
                <w:szCs w:val="18"/>
              </w:rPr>
              <w:t>30,600</w:t>
            </w:r>
          </w:p>
        </w:tc>
        <w:tc>
          <w:tcPr>
            <w:tcW w:w="1170" w:type="dxa"/>
            <w:tcBorders>
              <w:top w:val="nil"/>
              <w:left w:val="nil"/>
              <w:bottom w:val="nil"/>
              <w:right w:val="nil"/>
            </w:tcBorders>
            <w:shd w:val="clear" w:color="000000" w:fill="FFFFFF"/>
          </w:tcPr>
          <w:p w14:paraId="3DC37D53" w14:textId="77777777" w:rsidR="003B7A6E" w:rsidRPr="003B7A6E" w:rsidRDefault="003B7A6E" w:rsidP="003B7A6E">
            <w:pPr>
              <w:pStyle w:val="TableParagraph"/>
              <w:spacing w:before="72"/>
              <w:ind w:right="114"/>
              <w:rPr>
                <w:sz w:val="18"/>
                <w:szCs w:val="18"/>
              </w:rPr>
            </w:pPr>
            <w:r w:rsidRPr="003B7A6E">
              <w:rPr>
                <w:sz w:val="18"/>
                <w:szCs w:val="18"/>
              </w:rPr>
              <w:t>0</w:t>
            </w:r>
          </w:p>
        </w:tc>
        <w:tc>
          <w:tcPr>
            <w:tcW w:w="1080" w:type="dxa"/>
            <w:tcBorders>
              <w:top w:val="nil"/>
              <w:left w:val="nil"/>
              <w:bottom w:val="nil"/>
              <w:right w:val="nil"/>
            </w:tcBorders>
            <w:shd w:val="clear" w:color="000000" w:fill="FFFFFF"/>
          </w:tcPr>
          <w:p w14:paraId="0FABBEE9" w14:textId="77777777" w:rsidR="003B7A6E" w:rsidRPr="003B7A6E" w:rsidRDefault="003B7A6E" w:rsidP="003B7A6E">
            <w:pPr>
              <w:pStyle w:val="TableParagraph"/>
              <w:spacing w:before="72"/>
              <w:ind w:right="114"/>
              <w:rPr>
                <w:sz w:val="18"/>
                <w:szCs w:val="18"/>
              </w:rPr>
            </w:pPr>
            <w:r w:rsidRPr="003B7A6E">
              <w:rPr>
                <w:sz w:val="18"/>
                <w:szCs w:val="18"/>
              </w:rPr>
              <w:t>60,600</w:t>
            </w:r>
          </w:p>
        </w:tc>
      </w:tr>
      <w:tr w:rsidR="003B7A6E" w:rsidRPr="003B7A6E" w14:paraId="6AFEA503" w14:textId="77777777" w:rsidTr="004E21AD">
        <w:trPr>
          <w:trHeight w:val="358"/>
        </w:trPr>
        <w:tc>
          <w:tcPr>
            <w:tcW w:w="5220" w:type="dxa"/>
            <w:tcBorders>
              <w:bottom w:val="single" w:sz="4" w:space="0" w:color="000000"/>
            </w:tcBorders>
          </w:tcPr>
          <w:p w14:paraId="660760EB" w14:textId="47F41E92" w:rsidR="003B7A6E" w:rsidRPr="003B7A6E" w:rsidRDefault="003B7A6E" w:rsidP="003B7A6E">
            <w:pPr>
              <w:pStyle w:val="TableParagraph"/>
              <w:spacing w:before="74"/>
              <w:ind w:left="122" w:right="0"/>
              <w:jc w:val="left"/>
              <w:rPr>
                <w:sz w:val="18"/>
              </w:rPr>
            </w:pPr>
            <w:r w:rsidRPr="003B7A6E">
              <w:rPr>
                <w:color w:val="000000"/>
                <w:sz w:val="18"/>
                <w:szCs w:val="18"/>
                <w:lang w:val="es-ES"/>
              </w:rPr>
              <w:t>Reuniones del Consejo Científico</w:t>
            </w:r>
          </w:p>
        </w:tc>
        <w:tc>
          <w:tcPr>
            <w:tcW w:w="1440" w:type="dxa"/>
            <w:tcBorders>
              <w:top w:val="nil"/>
              <w:left w:val="nil"/>
              <w:bottom w:val="nil"/>
              <w:right w:val="nil"/>
            </w:tcBorders>
            <w:shd w:val="clear" w:color="000000" w:fill="FFFFFF"/>
          </w:tcPr>
          <w:p w14:paraId="441DFACD" w14:textId="77777777" w:rsidR="003B7A6E" w:rsidRPr="003B7A6E" w:rsidRDefault="003B7A6E" w:rsidP="003B7A6E">
            <w:pPr>
              <w:pStyle w:val="TableParagraph"/>
              <w:spacing w:before="72"/>
              <w:ind w:right="114"/>
              <w:rPr>
                <w:sz w:val="18"/>
                <w:szCs w:val="18"/>
              </w:rPr>
            </w:pPr>
            <w:r w:rsidRPr="003B7A6E">
              <w:rPr>
                <w:sz w:val="18"/>
                <w:szCs w:val="18"/>
              </w:rPr>
              <w:t>85,000</w:t>
            </w:r>
          </w:p>
        </w:tc>
        <w:tc>
          <w:tcPr>
            <w:tcW w:w="1080" w:type="dxa"/>
            <w:tcBorders>
              <w:top w:val="nil"/>
              <w:left w:val="nil"/>
              <w:bottom w:val="nil"/>
              <w:right w:val="nil"/>
            </w:tcBorders>
            <w:shd w:val="clear" w:color="000000" w:fill="FFFFFF"/>
          </w:tcPr>
          <w:p w14:paraId="4D2B65BC" w14:textId="77777777" w:rsidR="003B7A6E" w:rsidRPr="003B7A6E" w:rsidRDefault="003B7A6E" w:rsidP="003B7A6E">
            <w:pPr>
              <w:pStyle w:val="TableParagraph"/>
              <w:spacing w:before="72"/>
              <w:ind w:right="114"/>
              <w:rPr>
                <w:sz w:val="18"/>
                <w:szCs w:val="18"/>
              </w:rPr>
            </w:pPr>
            <w:r w:rsidRPr="003B7A6E">
              <w:rPr>
                <w:sz w:val="18"/>
                <w:szCs w:val="18"/>
              </w:rPr>
              <w:t>86,700</w:t>
            </w:r>
          </w:p>
        </w:tc>
        <w:tc>
          <w:tcPr>
            <w:tcW w:w="1170" w:type="dxa"/>
            <w:tcBorders>
              <w:top w:val="nil"/>
              <w:left w:val="nil"/>
              <w:bottom w:val="nil"/>
              <w:right w:val="nil"/>
            </w:tcBorders>
            <w:shd w:val="clear" w:color="000000" w:fill="FFFFFF"/>
          </w:tcPr>
          <w:p w14:paraId="14EAC048" w14:textId="77777777" w:rsidR="003B7A6E" w:rsidRPr="003B7A6E" w:rsidRDefault="003B7A6E" w:rsidP="003B7A6E">
            <w:pPr>
              <w:pStyle w:val="TableParagraph"/>
              <w:spacing w:before="72"/>
              <w:ind w:right="114"/>
              <w:rPr>
                <w:sz w:val="18"/>
                <w:szCs w:val="18"/>
              </w:rPr>
            </w:pPr>
            <w:r w:rsidRPr="003B7A6E">
              <w:rPr>
                <w:sz w:val="18"/>
                <w:szCs w:val="18"/>
              </w:rPr>
              <w:t>0</w:t>
            </w:r>
          </w:p>
        </w:tc>
        <w:tc>
          <w:tcPr>
            <w:tcW w:w="1080" w:type="dxa"/>
            <w:tcBorders>
              <w:top w:val="nil"/>
              <w:left w:val="nil"/>
              <w:bottom w:val="nil"/>
              <w:right w:val="nil"/>
            </w:tcBorders>
            <w:shd w:val="clear" w:color="000000" w:fill="FFFFFF"/>
          </w:tcPr>
          <w:p w14:paraId="0CDF3B9D" w14:textId="77777777" w:rsidR="003B7A6E" w:rsidRPr="003B7A6E" w:rsidRDefault="003B7A6E" w:rsidP="003B7A6E">
            <w:pPr>
              <w:pStyle w:val="TableParagraph"/>
              <w:spacing w:before="72"/>
              <w:ind w:right="114"/>
              <w:rPr>
                <w:sz w:val="18"/>
                <w:szCs w:val="18"/>
              </w:rPr>
            </w:pPr>
            <w:r w:rsidRPr="003B7A6E">
              <w:rPr>
                <w:sz w:val="18"/>
                <w:szCs w:val="18"/>
              </w:rPr>
              <w:t>171,700</w:t>
            </w:r>
          </w:p>
        </w:tc>
      </w:tr>
      <w:tr w:rsidR="005339CC" w:rsidRPr="003B7A6E" w14:paraId="31E28B75" w14:textId="77777777" w:rsidTr="004E21AD">
        <w:trPr>
          <w:trHeight w:val="361"/>
        </w:trPr>
        <w:tc>
          <w:tcPr>
            <w:tcW w:w="5220" w:type="dxa"/>
            <w:tcBorders>
              <w:top w:val="single" w:sz="4" w:space="0" w:color="000000"/>
              <w:bottom w:val="single" w:sz="12" w:space="0" w:color="000000"/>
            </w:tcBorders>
          </w:tcPr>
          <w:p w14:paraId="460D6005" w14:textId="77777777" w:rsidR="005339CC" w:rsidRPr="003B7A6E" w:rsidRDefault="005339CC" w:rsidP="002F1270">
            <w:pPr>
              <w:pStyle w:val="TableParagraph"/>
              <w:spacing w:before="75"/>
              <w:ind w:left="122" w:right="0"/>
              <w:jc w:val="left"/>
              <w:rPr>
                <w:b/>
                <w:sz w:val="18"/>
              </w:rPr>
            </w:pPr>
            <w:r w:rsidRPr="003B7A6E">
              <w:rPr>
                <w:b/>
                <w:spacing w:val="-2"/>
                <w:sz w:val="18"/>
              </w:rPr>
              <w:t>Subtotal</w:t>
            </w:r>
          </w:p>
        </w:tc>
        <w:tc>
          <w:tcPr>
            <w:tcW w:w="1440" w:type="dxa"/>
            <w:tcBorders>
              <w:top w:val="single" w:sz="4" w:space="0" w:color="auto"/>
              <w:left w:val="nil"/>
              <w:bottom w:val="single" w:sz="4" w:space="0" w:color="auto"/>
              <w:right w:val="nil"/>
            </w:tcBorders>
            <w:shd w:val="clear" w:color="000000" w:fill="FFFFFF"/>
          </w:tcPr>
          <w:p w14:paraId="0A298A71" w14:textId="77777777" w:rsidR="005339CC" w:rsidRPr="003B7A6E" w:rsidRDefault="005339CC" w:rsidP="002F1270">
            <w:pPr>
              <w:pStyle w:val="TableParagraph"/>
              <w:spacing w:before="72"/>
              <w:ind w:right="114"/>
              <w:rPr>
                <w:b/>
                <w:bCs/>
                <w:sz w:val="18"/>
                <w:szCs w:val="18"/>
              </w:rPr>
            </w:pPr>
            <w:r w:rsidRPr="003B7A6E">
              <w:rPr>
                <w:b/>
                <w:bCs/>
                <w:sz w:val="18"/>
                <w:szCs w:val="18"/>
              </w:rPr>
              <w:t>188,172</w:t>
            </w:r>
          </w:p>
        </w:tc>
        <w:tc>
          <w:tcPr>
            <w:tcW w:w="1080" w:type="dxa"/>
            <w:tcBorders>
              <w:top w:val="single" w:sz="4" w:space="0" w:color="auto"/>
              <w:left w:val="nil"/>
              <w:bottom w:val="single" w:sz="4" w:space="0" w:color="auto"/>
              <w:right w:val="nil"/>
            </w:tcBorders>
            <w:shd w:val="clear" w:color="000000" w:fill="FFFFFF"/>
          </w:tcPr>
          <w:p w14:paraId="76B0D6BB" w14:textId="77777777" w:rsidR="005339CC" w:rsidRPr="003B7A6E" w:rsidRDefault="005339CC" w:rsidP="002F1270">
            <w:pPr>
              <w:pStyle w:val="TableParagraph"/>
              <w:spacing w:before="72"/>
              <w:ind w:right="114"/>
              <w:rPr>
                <w:b/>
                <w:bCs/>
                <w:sz w:val="18"/>
                <w:szCs w:val="18"/>
              </w:rPr>
            </w:pPr>
            <w:r w:rsidRPr="003B7A6E">
              <w:rPr>
                <w:b/>
                <w:bCs/>
                <w:sz w:val="18"/>
                <w:szCs w:val="18"/>
              </w:rPr>
              <w:t>191,935</w:t>
            </w:r>
          </w:p>
        </w:tc>
        <w:tc>
          <w:tcPr>
            <w:tcW w:w="1170" w:type="dxa"/>
            <w:tcBorders>
              <w:top w:val="single" w:sz="4" w:space="0" w:color="auto"/>
              <w:left w:val="nil"/>
              <w:bottom w:val="single" w:sz="4" w:space="0" w:color="auto"/>
              <w:right w:val="nil"/>
            </w:tcBorders>
            <w:shd w:val="clear" w:color="000000" w:fill="FFFFFF"/>
          </w:tcPr>
          <w:p w14:paraId="792AC149" w14:textId="77777777" w:rsidR="005339CC" w:rsidRPr="003B7A6E" w:rsidRDefault="005339CC" w:rsidP="002F1270">
            <w:pPr>
              <w:pStyle w:val="TableParagraph"/>
              <w:spacing w:before="72"/>
              <w:ind w:right="114"/>
              <w:rPr>
                <w:b/>
                <w:bCs/>
                <w:sz w:val="18"/>
                <w:szCs w:val="18"/>
              </w:rPr>
            </w:pPr>
            <w:r w:rsidRPr="003B7A6E">
              <w:rPr>
                <w:b/>
                <w:bCs/>
                <w:sz w:val="18"/>
                <w:szCs w:val="18"/>
              </w:rPr>
              <w:t>139,469</w:t>
            </w:r>
          </w:p>
        </w:tc>
        <w:tc>
          <w:tcPr>
            <w:tcW w:w="1080" w:type="dxa"/>
            <w:tcBorders>
              <w:top w:val="single" w:sz="4" w:space="0" w:color="auto"/>
              <w:left w:val="nil"/>
              <w:bottom w:val="single" w:sz="4" w:space="0" w:color="auto"/>
              <w:right w:val="nil"/>
            </w:tcBorders>
            <w:shd w:val="clear" w:color="000000" w:fill="FFFFFF"/>
          </w:tcPr>
          <w:p w14:paraId="7846095F" w14:textId="77777777" w:rsidR="005339CC" w:rsidRPr="003B7A6E" w:rsidRDefault="005339CC" w:rsidP="002F1270">
            <w:pPr>
              <w:pStyle w:val="TableParagraph"/>
              <w:spacing w:before="72"/>
              <w:ind w:right="114"/>
              <w:rPr>
                <w:b/>
                <w:bCs/>
                <w:sz w:val="18"/>
                <w:szCs w:val="18"/>
              </w:rPr>
            </w:pPr>
            <w:r w:rsidRPr="003B7A6E">
              <w:rPr>
                <w:b/>
                <w:bCs/>
                <w:sz w:val="18"/>
                <w:szCs w:val="18"/>
              </w:rPr>
              <w:t>519,576</w:t>
            </w:r>
          </w:p>
        </w:tc>
      </w:tr>
      <w:tr w:rsidR="005339CC" w:rsidRPr="003B7A6E" w14:paraId="15593A1B" w14:textId="77777777" w:rsidTr="004E21AD">
        <w:trPr>
          <w:trHeight w:val="361"/>
        </w:trPr>
        <w:tc>
          <w:tcPr>
            <w:tcW w:w="5220" w:type="dxa"/>
            <w:tcBorders>
              <w:top w:val="single" w:sz="12" w:space="0" w:color="000000"/>
              <w:bottom w:val="single" w:sz="8" w:space="0" w:color="000000"/>
            </w:tcBorders>
            <w:shd w:val="clear" w:color="auto" w:fill="CBD9ED"/>
          </w:tcPr>
          <w:p w14:paraId="5B0CCA6A" w14:textId="77777777" w:rsidR="005339CC" w:rsidRPr="003B7A6E" w:rsidRDefault="005339CC" w:rsidP="002F1270">
            <w:pPr>
              <w:pStyle w:val="TableParagraph"/>
              <w:spacing w:before="75"/>
              <w:ind w:left="122" w:right="0"/>
              <w:jc w:val="left"/>
              <w:rPr>
                <w:b/>
                <w:sz w:val="18"/>
              </w:rPr>
            </w:pPr>
            <w:r w:rsidRPr="003B7A6E">
              <w:rPr>
                <w:b/>
                <w:spacing w:val="-2"/>
                <w:sz w:val="18"/>
              </w:rPr>
              <w:t>Total</w:t>
            </w:r>
          </w:p>
        </w:tc>
        <w:tc>
          <w:tcPr>
            <w:tcW w:w="1440" w:type="dxa"/>
            <w:tcBorders>
              <w:top w:val="single" w:sz="8" w:space="0" w:color="auto"/>
              <w:left w:val="nil"/>
              <w:bottom w:val="single" w:sz="8" w:space="0" w:color="auto"/>
              <w:right w:val="nil"/>
            </w:tcBorders>
            <w:shd w:val="clear" w:color="auto" w:fill="CBD9ED"/>
          </w:tcPr>
          <w:p w14:paraId="14BE2638" w14:textId="77777777" w:rsidR="005339CC" w:rsidRPr="003B7A6E" w:rsidRDefault="005339CC" w:rsidP="002F1270">
            <w:pPr>
              <w:pStyle w:val="TableParagraph"/>
              <w:spacing w:before="72"/>
              <w:ind w:right="114"/>
              <w:rPr>
                <w:b/>
                <w:bCs/>
                <w:sz w:val="18"/>
                <w:szCs w:val="18"/>
              </w:rPr>
            </w:pPr>
            <w:r w:rsidRPr="003B7A6E">
              <w:rPr>
                <w:b/>
                <w:bCs/>
                <w:sz w:val="18"/>
                <w:szCs w:val="18"/>
              </w:rPr>
              <w:t>3,038,673</w:t>
            </w:r>
          </w:p>
        </w:tc>
        <w:tc>
          <w:tcPr>
            <w:tcW w:w="1080" w:type="dxa"/>
            <w:tcBorders>
              <w:top w:val="single" w:sz="8" w:space="0" w:color="auto"/>
              <w:left w:val="nil"/>
              <w:bottom w:val="single" w:sz="8" w:space="0" w:color="auto"/>
              <w:right w:val="nil"/>
            </w:tcBorders>
            <w:shd w:val="clear" w:color="auto" w:fill="CBD9ED"/>
          </w:tcPr>
          <w:p w14:paraId="5DCCE06C" w14:textId="77777777" w:rsidR="005339CC" w:rsidRPr="003B7A6E" w:rsidRDefault="005339CC" w:rsidP="002F1270">
            <w:pPr>
              <w:pStyle w:val="TableParagraph"/>
              <w:spacing w:before="72"/>
              <w:ind w:right="114"/>
              <w:rPr>
                <w:b/>
                <w:bCs/>
                <w:sz w:val="18"/>
                <w:szCs w:val="18"/>
              </w:rPr>
            </w:pPr>
            <w:r w:rsidRPr="003B7A6E">
              <w:rPr>
                <w:b/>
                <w:bCs/>
                <w:sz w:val="18"/>
                <w:szCs w:val="18"/>
              </w:rPr>
              <w:t>3,360,429</w:t>
            </w:r>
          </w:p>
        </w:tc>
        <w:tc>
          <w:tcPr>
            <w:tcW w:w="1170" w:type="dxa"/>
            <w:tcBorders>
              <w:top w:val="single" w:sz="8" w:space="0" w:color="auto"/>
              <w:left w:val="nil"/>
              <w:bottom w:val="single" w:sz="8" w:space="0" w:color="auto"/>
              <w:right w:val="nil"/>
            </w:tcBorders>
            <w:shd w:val="clear" w:color="auto" w:fill="CBD9ED"/>
          </w:tcPr>
          <w:p w14:paraId="17CA8446" w14:textId="77777777" w:rsidR="005339CC" w:rsidRPr="003B7A6E" w:rsidRDefault="005339CC" w:rsidP="002F1270">
            <w:pPr>
              <w:pStyle w:val="TableParagraph"/>
              <w:spacing w:before="72"/>
              <w:ind w:right="114"/>
              <w:rPr>
                <w:b/>
                <w:bCs/>
                <w:sz w:val="18"/>
                <w:szCs w:val="18"/>
              </w:rPr>
            </w:pPr>
            <w:r w:rsidRPr="003B7A6E">
              <w:rPr>
                <w:b/>
                <w:bCs/>
                <w:sz w:val="18"/>
                <w:szCs w:val="18"/>
              </w:rPr>
              <w:t>3,717,147</w:t>
            </w:r>
          </w:p>
        </w:tc>
        <w:tc>
          <w:tcPr>
            <w:tcW w:w="1080" w:type="dxa"/>
            <w:tcBorders>
              <w:top w:val="single" w:sz="8" w:space="0" w:color="auto"/>
              <w:left w:val="nil"/>
              <w:bottom w:val="single" w:sz="8" w:space="0" w:color="auto"/>
              <w:right w:val="nil"/>
            </w:tcBorders>
            <w:shd w:val="clear" w:color="auto" w:fill="CBD9ED"/>
          </w:tcPr>
          <w:p w14:paraId="4F4140A1" w14:textId="77777777" w:rsidR="005339CC" w:rsidRPr="003B7A6E" w:rsidRDefault="005339CC" w:rsidP="002F1270">
            <w:pPr>
              <w:pStyle w:val="TableParagraph"/>
              <w:spacing w:before="72"/>
              <w:ind w:right="114"/>
              <w:rPr>
                <w:b/>
                <w:bCs/>
                <w:sz w:val="18"/>
                <w:szCs w:val="18"/>
              </w:rPr>
            </w:pPr>
            <w:r w:rsidRPr="003B7A6E">
              <w:rPr>
                <w:b/>
                <w:bCs/>
                <w:sz w:val="18"/>
                <w:szCs w:val="18"/>
              </w:rPr>
              <w:t>10,116,248</w:t>
            </w:r>
          </w:p>
        </w:tc>
      </w:tr>
      <w:tr w:rsidR="005339CC" w:rsidRPr="003B7A6E" w14:paraId="0D53B9FD" w14:textId="77777777" w:rsidTr="004E21AD">
        <w:trPr>
          <w:trHeight w:val="358"/>
        </w:trPr>
        <w:tc>
          <w:tcPr>
            <w:tcW w:w="5220" w:type="dxa"/>
            <w:tcBorders>
              <w:top w:val="single" w:sz="8" w:space="0" w:color="000000"/>
              <w:bottom w:val="single" w:sz="12" w:space="0" w:color="000000"/>
            </w:tcBorders>
          </w:tcPr>
          <w:p w14:paraId="1B16DA94" w14:textId="07574524" w:rsidR="005339CC" w:rsidRPr="003B7A6E" w:rsidRDefault="003B7A6E" w:rsidP="002F1270">
            <w:pPr>
              <w:pStyle w:val="TableParagraph"/>
              <w:spacing w:before="75"/>
              <w:ind w:left="122" w:right="0"/>
              <w:jc w:val="left"/>
              <w:rPr>
                <w:sz w:val="18"/>
                <w:lang w:val="es-ES"/>
              </w:rPr>
            </w:pPr>
            <w:r w:rsidRPr="003B7A6E">
              <w:rPr>
                <w:sz w:val="18"/>
                <w:lang w:val="es-ES"/>
              </w:rPr>
              <w:t>Gastos de apoyo al programa</w:t>
            </w:r>
            <w:r w:rsidRPr="003B7A6E">
              <w:rPr>
                <w:spacing w:val="-4"/>
                <w:sz w:val="18"/>
                <w:lang w:val="es-ES"/>
              </w:rPr>
              <w:t xml:space="preserve"> </w:t>
            </w:r>
            <w:r w:rsidR="005339CC" w:rsidRPr="003B7A6E">
              <w:rPr>
                <w:spacing w:val="-4"/>
                <w:sz w:val="18"/>
                <w:lang w:val="es-ES"/>
              </w:rPr>
              <w:t>(13%)</w:t>
            </w:r>
          </w:p>
        </w:tc>
        <w:tc>
          <w:tcPr>
            <w:tcW w:w="1440" w:type="dxa"/>
            <w:tcBorders>
              <w:top w:val="nil"/>
              <w:left w:val="nil"/>
              <w:bottom w:val="nil"/>
              <w:right w:val="nil"/>
            </w:tcBorders>
            <w:shd w:val="clear" w:color="000000" w:fill="FFFFFF"/>
          </w:tcPr>
          <w:p w14:paraId="56CC1F27" w14:textId="77777777" w:rsidR="005339CC" w:rsidRPr="003B7A6E" w:rsidRDefault="005339CC" w:rsidP="002F1270">
            <w:pPr>
              <w:pStyle w:val="TableParagraph"/>
              <w:spacing w:before="72"/>
              <w:ind w:right="114"/>
              <w:rPr>
                <w:sz w:val="18"/>
                <w:szCs w:val="18"/>
              </w:rPr>
            </w:pPr>
            <w:r w:rsidRPr="003B7A6E">
              <w:rPr>
                <w:sz w:val="18"/>
                <w:szCs w:val="18"/>
              </w:rPr>
              <w:t>395,027</w:t>
            </w:r>
          </w:p>
        </w:tc>
        <w:tc>
          <w:tcPr>
            <w:tcW w:w="1080" w:type="dxa"/>
            <w:tcBorders>
              <w:top w:val="nil"/>
              <w:left w:val="nil"/>
              <w:bottom w:val="nil"/>
              <w:right w:val="nil"/>
            </w:tcBorders>
            <w:shd w:val="clear" w:color="000000" w:fill="FFFFFF"/>
          </w:tcPr>
          <w:p w14:paraId="6FD40EA1" w14:textId="77777777" w:rsidR="005339CC" w:rsidRPr="003B7A6E" w:rsidRDefault="005339CC" w:rsidP="002F1270">
            <w:pPr>
              <w:pStyle w:val="TableParagraph"/>
              <w:spacing w:before="72"/>
              <w:ind w:right="114"/>
              <w:rPr>
                <w:sz w:val="18"/>
                <w:szCs w:val="18"/>
              </w:rPr>
            </w:pPr>
            <w:r w:rsidRPr="003B7A6E">
              <w:rPr>
                <w:sz w:val="18"/>
                <w:szCs w:val="18"/>
              </w:rPr>
              <w:t>436,856</w:t>
            </w:r>
          </w:p>
        </w:tc>
        <w:tc>
          <w:tcPr>
            <w:tcW w:w="1170" w:type="dxa"/>
            <w:tcBorders>
              <w:top w:val="nil"/>
              <w:left w:val="nil"/>
              <w:bottom w:val="nil"/>
              <w:right w:val="nil"/>
            </w:tcBorders>
            <w:shd w:val="clear" w:color="000000" w:fill="FFFFFF"/>
          </w:tcPr>
          <w:p w14:paraId="3542332C" w14:textId="77777777" w:rsidR="005339CC" w:rsidRPr="003B7A6E" w:rsidRDefault="005339CC" w:rsidP="002F1270">
            <w:pPr>
              <w:pStyle w:val="TableParagraph"/>
              <w:spacing w:before="72"/>
              <w:ind w:right="114"/>
              <w:rPr>
                <w:sz w:val="18"/>
                <w:szCs w:val="18"/>
              </w:rPr>
            </w:pPr>
            <w:r w:rsidRPr="003B7A6E">
              <w:rPr>
                <w:sz w:val="18"/>
                <w:szCs w:val="18"/>
              </w:rPr>
              <w:t>483,229</w:t>
            </w:r>
          </w:p>
        </w:tc>
        <w:tc>
          <w:tcPr>
            <w:tcW w:w="1080" w:type="dxa"/>
            <w:tcBorders>
              <w:top w:val="nil"/>
              <w:left w:val="nil"/>
              <w:bottom w:val="nil"/>
              <w:right w:val="nil"/>
            </w:tcBorders>
            <w:shd w:val="clear" w:color="000000" w:fill="FFFFFF"/>
          </w:tcPr>
          <w:p w14:paraId="47B1DC0D" w14:textId="77777777" w:rsidR="005339CC" w:rsidRPr="003B7A6E" w:rsidRDefault="005339CC" w:rsidP="002F1270">
            <w:pPr>
              <w:pStyle w:val="TableParagraph"/>
              <w:spacing w:before="72"/>
              <w:ind w:right="114"/>
              <w:rPr>
                <w:sz w:val="18"/>
                <w:szCs w:val="18"/>
              </w:rPr>
            </w:pPr>
            <w:r w:rsidRPr="003B7A6E">
              <w:rPr>
                <w:sz w:val="18"/>
                <w:szCs w:val="18"/>
              </w:rPr>
              <w:t>1,315,112</w:t>
            </w:r>
          </w:p>
        </w:tc>
      </w:tr>
      <w:tr w:rsidR="005339CC" w:rsidRPr="003B7A6E" w14:paraId="444F513E" w14:textId="77777777" w:rsidTr="004E21AD">
        <w:trPr>
          <w:trHeight w:val="364"/>
        </w:trPr>
        <w:tc>
          <w:tcPr>
            <w:tcW w:w="5220" w:type="dxa"/>
            <w:tcBorders>
              <w:top w:val="single" w:sz="12" w:space="0" w:color="000000"/>
              <w:bottom w:val="single" w:sz="12" w:space="0" w:color="000000"/>
            </w:tcBorders>
            <w:shd w:val="clear" w:color="auto" w:fill="D5DCE4" w:themeFill="text2" w:themeFillTint="33"/>
          </w:tcPr>
          <w:p w14:paraId="6012DB87" w14:textId="3A042A9B" w:rsidR="005339CC" w:rsidRPr="003B7A6E" w:rsidRDefault="005339CC" w:rsidP="002F1270">
            <w:pPr>
              <w:pStyle w:val="TableParagraph"/>
              <w:spacing w:before="78"/>
              <w:ind w:left="122" w:right="0"/>
              <w:jc w:val="left"/>
              <w:rPr>
                <w:b/>
                <w:sz w:val="18"/>
              </w:rPr>
            </w:pPr>
            <w:r w:rsidRPr="003B7A6E">
              <w:rPr>
                <w:b/>
                <w:sz w:val="18"/>
              </w:rPr>
              <w:t>Gran</w:t>
            </w:r>
            <w:r w:rsidRPr="003B7A6E">
              <w:rPr>
                <w:b/>
                <w:spacing w:val="-1"/>
                <w:sz w:val="18"/>
              </w:rPr>
              <w:t xml:space="preserve"> </w:t>
            </w:r>
            <w:r w:rsidRPr="003B7A6E">
              <w:rPr>
                <w:b/>
                <w:spacing w:val="-2"/>
                <w:sz w:val="18"/>
              </w:rPr>
              <w:t>total</w:t>
            </w:r>
          </w:p>
        </w:tc>
        <w:tc>
          <w:tcPr>
            <w:tcW w:w="1440" w:type="dxa"/>
            <w:tcBorders>
              <w:top w:val="single" w:sz="8" w:space="0" w:color="auto"/>
              <w:left w:val="nil"/>
              <w:bottom w:val="single" w:sz="8" w:space="0" w:color="auto"/>
              <w:right w:val="nil"/>
            </w:tcBorders>
            <w:shd w:val="clear" w:color="auto" w:fill="D5DCE4" w:themeFill="text2" w:themeFillTint="33"/>
          </w:tcPr>
          <w:p w14:paraId="4E7CA1DC" w14:textId="77777777" w:rsidR="005339CC" w:rsidRPr="003B7A6E" w:rsidRDefault="005339CC" w:rsidP="002F1270">
            <w:pPr>
              <w:pStyle w:val="TableParagraph"/>
              <w:spacing w:before="72"/>
              <w:ind w:right="114"/>
              <w:rPr>
                <w:b/>
                <w:bCs/>
                <w:sz w:val="18"/>
                <w:szCs w:val="18"/>
              </w:rPr>
            </w:pPr>
            <w:r w:rsidRPr="003B7A6E">
              <w:rPr>
                <w:b/>
                <w:bCs/>
                <w:sz w:val="18"/>
                <w:szCs w:val="18"/>
              </w:rPr>
              <w:t>3,433,700</w:t>
            </w:r>
          </w:p>
        </w:tc>
        <w:tc>
          <w:tcPr>
            <w:tcW w:w="1080" w:type="dxa"/>
            <w:tcBorders>
              <w:top w:val="single" w:sz="8" w:space="0" w:color="auto"/>
              <w:left w:val="nil"/>
              <w:bottom w:val="single" w:sz="8" w:space="0" w:color="auto"/>
              <w:right w:val="nil"/>
            </w:tcBorders>
            <w:shd w:val="clear" w:color="auto" w:fill="D5DCE4" w:themeFill="text2" w:themeFillTint="33"/>
          </w:tcPr>
          <w:p w14:paraId="1E5A4A45" w14:textId="77777777" w:rsidR="005339CC" w:rsidRPr="003B7A6E" w:rsidRDefault="005339CC" w:rsidP="002F1270">
            <w:pPr>
              <w:pStyle w:val="TableParagraph"/>
              <w:spacing w:before="72"/>
              <w:ind w:right="114"/>
              <w:rPr>
                <w:b/>
                <w:bCs/>
                <w:sz w:val="18"/>
                <w:szCs w:val="18"/>
              </w:rPr>
            </w:pPr>
            <w:r w:rsidRPr="003B7A6E">
              <w:rPr>
                <w:b/>
                <w:bCs/>
                <w:sz w:val="18"/>
                <w:szCs w:val="18"/>
              </w:rPr>
              <w:t>3,797,285</w:t>
            </w:r>
          </w:p>
        </w:tc>
        <w:tc>
          <w:tcPr>
            <w:tcW w:w="1170" w:type="dxa"/>
            <w:tcBorders>
              <w:top w:val="single" w:sz="8" w:space="0" w:color="auto"/>
              <w:left w:val="nil"/>
              <w:bottom w:val="single" w:sz="8" w:space="0" w:color="auto"/>
              <w:right w:val="nil"/>
            </w:tcBorders>
            <w:shd w:val="clear" w:color="auto" w:fill="D5DCE4" w:themeFill="text2" w:themeFillTint="33"/>
          </w:tcPr>
          <w:p w14:paraId="08DFE846" w14:textId="77777777" w:rsidR="005339CC" w:rsidRPr="003B7A6E" w:rsidRDefault="005339CC" w:rsidP="002F1270">
            <w:pPr>
              <w:pStyle w:val="TableParagraph"/>
              <w:spacing w:before="72"/>
              <w:ind w:right="114"/>
              <w:rPr>
                <w:b/>
                <w:bCs/>
                <w:sz w:val="18"/>
                <w:szCs w:val="18"/>
              </w:rPr>
            </w:pPr>
            <w:r w:rsidRPr="003B7A6E">
              <w:rPr>
                <w:b/>
                <w:bCs/>
                <w:sz w:val="18"/>
                <w:szCs w:val="18"/>
              </w:rPr>
              <w:t>4,200,376</w:t>
            </w:r>
          </w:p>
        </w:tc>
        <w:tc>
          <w:tcPr>
            <w:tcW w:w="1080" w:type="dxa"/>
            <w:tcBorders>
              <w:top w:val="single" w:sz="8" w:space="0" w:color="auto"/>
              <w:left w:val="nil"/>
              <w:bottom w:val="single" w:sz="8" w:space="0" w:color="auto"/>
              <w:right w:val="nil"/>
            </w:tcBorders>
            <w:shd w:val="clear" w:color="auto" w:fill="D5DCE4" w:themeFill="text2" w:themeFillTint="33"/>
          </w:tcPr>
          <w:p w14:paraId="10DE898B" w14:textId="77777777" w:rsidR="005339CC" w:rsidRPr="003B7A6E" w:rsidRDefault="005339CC" w:rsidP="002F1270">
            <w:pPr>
              <w:pStyle w:val="TableParagraph"/>
              <w:spacing w:before="72"/>
              <w:ind w:right="114"/>
              <w:rPr>
                <w:b/>
                <w:bCs/>
                <w:sz w:val="18"/>
                <w:szCs w:val="18"/>
              </w:rPr>
            </w:pPr>
            <w:r w:rsidRPr="003B7A6E">
              <w:rPr>
                <w:b/>
                <w:bCs/>
                <w:sz w:val="18"/>
                <w:szCs w:val="18"/>
              </w:rPr>
              <w:t>11,431,361</w:t>
            </w:r>
          </w:p>
        </w:tc>
      </w:tr>
    </w:tbl>
    <w:p w14:paraId="074843A1" w14:textId="77777777" w:rsidR="005339CC" w:rsidRDefault="005339CC">
      <w:pPr>
        <w:rPr>
          <w:rFonts w:eastAsia="Times New Roman" w:cs="Arial"/>
          <w:lang w:val="es-ES" w:eastAsia="es-ES"/>
        </w:rPr>
        <w:sectPr w:rsidR="005339CC" w:rsidSect="00323406">
          <w:headerReference w:type="first" r:id="rId23"/>
          <w:pgSz w:w="11906" w:h="16838" w:code="9"/>
          <w:pgMar w:top="1440" w:right="1440" w:bottom="1440" w:left="1440" w:header="720" w:footer="720" w:gutter="0"/>
          <w:cols w:space="720"/>
          <w:titlePg/>
          <w:docGrid w:linePitch="360"/>
        </w:sectPr>
      </w:pPr>
    </w:p>
    <w:p w14:paraId="5B7CA918" w14:textId="7E8D1DD4" w:rsidR="005C376C" w:rsidRPr="00B85B08" w:rsidRDefault="005C376C" w:rsidP="005C376C">
      <w:pPr>
        <w:spacing w:after="0" w:line="240" w:lineRule="auto"/>
        <w:jc w:val="right"/>
        <w:rPr>
          <w:rFonts w:eastAsia="Times New Roman" w:cs="Arial"/>
          <w:b/>
          <w:bCs/>
          <w:lang w:val="es-ES" w:eastAsia="es-ES"/>
        </w:rPr>
      </w:pPr>
      <w:r w:rsidRPr="00B85B08">
        <w:rPr>
          <w:rFonts w:eastAsia="Times New Roman" w:cs="Arial"/>
          <w:b/>
          <w:bCs/>
          <w:lang w:val="es-ES" w:eastAsia="es-ES"/>
        </w:rPr>
        <w:lastRenderedPageBreak/>
        <w:t>ANEX</w:t>
      </w:r>
      <w:r w:rsidR="001B6B91" w:rsidRPr="00B85B08">
        <w:rPr>
          <w:rFonts w:eastAsia="Times New Roman" w:cs="Arial"/>
          <w:b/>
          <w:bCs/>
          <w:lang w:val="es-ES" w:eastAsia="es-ES"/>
        </w:rPr>
        <w:t>O</w:t>
      </w:r>
      <w:r w:rsidRPr="00B85B08">
        <w:rPr>
          <w:rFonts w:eastAsia="Times New Roman" w:cs="Arial"/>
          <w:b/>
          <w:bCs/>
          <w:lang w:val="es-ES" w:eastAsia="es-ES"/>
        </w:rPr>
        <w:t xml:space="preserve"> 4 </w:t>
      </w:r>
    </w:p>
    <w:p w14:paraId="586FD203" w14:textId="100DDCB7" w:rsidR="005C376C" w:rsidRPr="00B85B08" w:rsidRDefault="00CD0043" w:rsidP="005C376C">
      <w:pPr>
        <w:spacing w:after="0" w:line="240" w:lineRule="auto"/>
        <w:jc w:val="center"/>
        <w:rPr>
          <w:rFonts w:eastAsia="Times New Roman" w:cs="Arial"/>
          <w:b/>
          <w:bCs/>
          <w:lang w:val="es-ES" w:eastAsia="es-ES"/>
        </w:rPr>
      </w:pPr>
      <w:r w:rsidRPr="00B85B08">
        <w:rPr>
          <w:rFonts w:eastAsia="Times New Roman" w:cs="Arial"/>
          <w:b/>
          <w:bCs/>
          <w:lang w:val="es-ES" w:eastAsia="es-ES"/>
        </w:rPr>
        <w:t>ESCALA DE CONTRIBUCIONES PARA EL</w:t>
      </w:r>
      <w:r w:rsidR="00B85B08" w:rsidRPr="00B85B08">
        <w:rPr>
          <w:rFonts w:eastAsia="Times New Roman" w:cs="Arial"/>
          <w:b/>
          <w:bCs/>
          <w:lang w:val="es-ES" w:eastAsia="es-ES"/>
        </w:rPr>
        <w:t xml:space="preserve"> PRESUPU</w:t>
      </w:r>
      <w:r w:rsidR="00B85B08">
        <w:rPr>
          <w:rFonts w:eastAsia="Times New Roman" w:cs="Arial"/>
          <w:b/>
          <w:bCs/>
          <w:lang w:val="es-ES" w:eastAsia="es-ES"/>
        </w:rPr>
        <w:t>ESTO DEL</w:t>
      </w:r>
      <w:r w:rsidRPr="00B85B08">
        <w:rPr>
          <w:rFonts w:eastAsia="Times New Roman" w:cs="Arial"/>
          <w:b/>
          <w:bCs/>
          <w:lang w:val="es-ES" w:eastAsia="es-ES"/>
        </w:rPr>
        <w:t xml:space="preserve"> TRIENIO</w:t>
      </w:r>
      <w:r w:rsidR="005C376C" w:rsidRPr="00B85B08">
        <w:rPr>
          <w:rFonts w:eastAsia="Times New Roman" w:cs="Arial"/>
          <w:b/>
          <w:bCs/>
          <w:lang w:val="es-ES" w:eastAsia="es-ES"/>
        </w:rPr>
        <w:t xml:space="preserve"> 2024–2026</w:t>
      </w:r>
    </w:p>
    <w:p w14:paraId="4983369B" w14:textId="785DAB7F" w:rsidR="000E6A34" w:rsidRPr="000E6A34" w:rsidRDefault="002675A1" w:rsidP="005C376C">
      <w:pPr>
        <w:spacing w:after="0" w:line="240" w:lineRule="auto"/>
        <w:jc w:val="center"/>
        <w:rPr>
          <w:rFonts w:eastAsia="Times New Roman" w:cs="Arial"/>
          <w:b/>
          <w:bCs/>
          <w:lang w:val="es-ES" w:eastAsia="es-ES"/>
        </w:rPr>
      </w:pPr>
      <w:r>
        <w:rPr>
          <w:rFonts w:eastAsia="Times New Roman" w:cs="Arial"/>
          <w:b/>
          <w:bCs/>
          <w:lang w:val="es-ES" w:eastAsia="es-ES"/>
        </w:rPr>
        <w:t>Basada en la escala de cuotas</w:t>
      </w:r>
      <w:r w:rsidR="000E6A34" w:rsidRPr="000E6A34">
        <w:rPr>
          <w:rFonts w:eastAsia="Times New Roman" w:cs="Arial"/>
          <w:b/>
          <w:bCs/>
          <w:lang w:val="es-ES" w:eastAsia="es-ES"/>
        </w:rPr>
        <w:t xml:space="preserve"> de la ONU </w:t>
      </w:r>
    </w:p>
    <w:p w14:paraId="05548B7A" w14:textId="65034537" w:rsidR="00312515" w:rsidRPr="005C376C" w:rsidRDefault="00FF01DC" w:rsidP="005C376C">
      <w:pPr>
        <w:spacing w:after="0" w:line="240" w:lineRule="auto"/>
        <w:jc w:val="center"/>
        <w:rPr>
          <w:rFonts w:eastAsia="Times New Roman" w:cs="Arial"/>
          <w:lang w:val="es-ES" w:eastAsia="es-ES"/>
        </w:rPr>
      </w:pPr>
      <w:r>
        <w:rPr>
          <w:rFonts w:eastAsia="Arial" w:cs="Arial"/>
          <w:color w:val="000000"/>
          <w:kern w:val="2"/>
          <w:sz w:val="20"/>
          <w:lang w:val="es-ES"/>
          <w14:ligatures w14:val="standardContextual"/>
        </w:rPr>
        <w:t>(</w:t>
      </w:r>
      <w:r w:rsidRPr="00F7513C">
        <w:rPr>
          <w:rFonts w:eastAsia="Arial" w:cs="Arial"/>
          <w:color w:val="000000"/>
          <w:kern w:val="2"/>
          <w:sz w:val="20"/>
          <w:lang w:val="es-ES"/>
          <w14:ligatures w14:val="standardContextual"/>
        </w:rPr>
        <w:t>todas las cifras en euros)</w:t>
      </w:r>
    </w:p>
    <w:p w14:paraId="255B687A" w14:textId="77777777" w:rsidR="00DF6D80" w:rsidRDefault="00DF6D80" w:rsidP="00DF6D80">
      <w:pPr>
        <w:spacing w:after="0" w:line="240" w:lineRule="auto"/>
        <w:ind w:left="-720"/>
        <w:rPr>
          <w:rFonts w:eastAsia="Times New Roman" w:cs="Arial"/>
          <w:lang w:val="es-ES" w:eastAsia="es-ES"/>
        </w:rPr>
      </w:pPr>
    </w:p>
    <w:tbl>
      <w:tblPr>
        <w:tblW w:w="5000" w:type="pct"/>
        <w:tblLook w:val="04A0" w:firstRow="1" w:lastRow="0" w:firstColumn="1" w:lastColumn="0" w:noHBand="0" w:noVBand="1"/>
      </w:tblPr>
      <w:tblGrid>
        <w:gridCol w:w="470"/>
        <w:gridCol w:w="2569"/>
        <w:gridCol w:w="1129"/>
        <w:gridCol w:w="1173"/>
        <w:gridCol w:w="1240"/>
        <w:gridCol w:w="1220"/>
        <w:gridCol w:w="1239"/>
        <w:gridCol w:w="1220"/>
        <w:gridCol w:w="1239"/>
        <w:gridCol w:w="1220"/>
        <w:gridCol w:w="1239"/>
      </w:tblGrid>
      <w:tr w:rsidR="006D34EE" w:rsidRPr="00CC659A" w14:paraId="7FA2F184" w14:textId="77777777" w:rsidTr="00486E63">
        <w:trPr>
          <w:trHeight w:val="20"/>
          <w:tblHeader/>
        </w:trPr>
        <w:tc>
          <w:tcPr>
            <w:tcW w:w="168" w:type="pct"/>
            <w:tcBorders>
              <w:top w:val="nil"/>
              <w:left w:val="nil"/>
              <w:bottom w:val="nil"/>
              <w:right w:val="nil"/>
            </w:tcBorders>
            <w:shd w:val="clear" w:color="auto" w:fill="B4C6E7" w:themeFill="accent1" w:themeFillTint="66"/>
            <w:hideMark/>
          </w:tcPr>
          <w:p w14:paraId="3B012470" w14:textId="77777777" w:rsidR="00CC659A" w:rsidRPr="00CC659A" w:rsidRDefault="00CC659A" w:rsidP="00CC659A">
            <w:pPr>
              <w:spacing w:after="0" w:line="240" w:lineRule="auto"/>
              <w:ind w:left="-108"/>
              <w:rPr>
                <w:rFonts w:ascii="Times New Roman" w:eastAsia="Times New Roman" w:hAnsi="Times New Roman" w:cs="Times New Roman"/>
                <w:sz w:val="16"/>
                <w:szCs w:val="16"/>
                <w:lang w:val="es-ES"/>
              </w:rPr>
            </w:pPr>
          </w:p>
        </w:tc>
        <w:tc>
          <w:tcPr>
            <w:tcW w:w="920" w:type="pct"/>
            <w:tcBorders>
              <w:top w:val="nil"/>
              <w:left w:val="nil"/>
              <w:bottom w:val="nil"/>
              <w:right w:val="nil"/>
            </w:tcBorders>
            <w:shd w:val="clear" w:color="auto" w:fill="B4C6E7" w:themeFill="accent1" w:themeFillTint="66"/>
            <w:hideMark/>
          </w:tcPr>
          <w:p w14:paraId="35DF9E53" w14:textId="77777777" w:rsidR="00CC659A" w:rsidRPr="00CC659A" w:rsidRDefault="00CC659A" w:rsidP="00CC659A">
            <w:pPr>
              <w:spacing w:after="0" w:line="240" w:lineRule="auto"/>
              <w:ind w:left="-108"/>
              <w:rPr>
                <w:rFonts w:ascii="Times New Roman" w:eastAsia="Times New Roman" w:hAnsi="Times New Roman" w:cs="Times New Roman"/>
                <w:sz w:val="16"/>
                <w:szCs w:val="16"/>
                <w:lang w:val="es-ES"/>
              </w:rPr>
            </w:pPr>
          </w:p>
        </w:tc>
        <w:tc>
          <w:tcPr>
            <w:tcW w:w="404" w:type="pct"/>
            <w:tcBorders>
              <w:top w:val="nil"/>
              <w:left w:val="nil"/>
              <w:bottom w:val="nil"/>
              <w:right w:val="nil"/>
            </w:tcBorders>
            <w:shd w:val="clear" w:color="auto" w:fill="B4C6E7" w:themeFill="accent1" w:themeFillTint="66"/>
            <w:hideMark/>
          </w:tcPr>
          <w:p w14:paraId="5EC9B47C" w14:textId="77777777" w:rsidR="00CC659A" w:rsidRPr="00CC659A" w:rsidRDefault="00CC659A" w:rsidP="00CC659A">
            <w:pPr>
              <w:spacing w:after="0" w:line="240" w:lineRule="auto"/>
              <w:ind w:left="-108"/>
              <w:rPr>
                <w:rFonts w:ascii="Times New Roman" w:eastAsia="Times New Roman" w:hAnsi="Times New Roman" w:cs="Times New Roman"/>
                <w:sz w:val="16"/>
                <w:szCs w:val="16"/>
                <w:lang w:val="es-ES"/>
              </w:rPr>
            </w:pPr>
          </w:p>
        </w:tc>
        <w:tc>
          <w:tcPr>
            <w:tcW w:w="420" w:type="pct"/>
            <w:tcBorders>
              <w:top w:val="nil"/>
              <w:left w:val="nil"/>
              <w:bottom w:val="nil"/>
              <w:right w:val="single" w:sz="4" w:space="0" w:color="auto"/>
            </w:tcBorders>
            <w:shd w:val="clear" w:color="auto" w:fill="B4C6E7" w:themeFill="accent1" w:themeFillTint="66"/>
            <w:hideMark/>
          </w:tcPr>
          <w:p w14:paraId="7B1DED2F" w14:textId="77777777" w:rsidR="00CC659A" w:rsidRPr="00CC659A" w:rsidRDefault="00CC659A" w:rsidP="00CC659A">
            <w:pPr>
              <w:spacing w:after="0" w:line="240" w:lineRule="auto"/>
              <w:ind w:left="-108"/>
              <w:jc w:val="center"/>
              <w:rPr>
                <w:rFonts w:ascii="Times New Roman" w:eastAsia="Times New Roman" w:hAnsi="Times New Roman" w:cs="Times New Roman"/>
                <w:sz w:val="16"/>
                <w:szCs w:val="16"/>
                <w:lang w:val="es-ES"/>
              </w:rPr>
            </w:pPr>
          </w:p>
        </w:tc>
        <w:tc>
          <w:tcPr>
            <w:tcW w:w="881"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462112BE" w14:textId="05BE3865" w:rsidR="00CC659A" w:rsidRPr="00CC659A" w:rsidRDefault="002A3532" w:rsidP="00CC659A">
            <w:pPr>
              <w:spacing w:after="0" w:line="240" w:lineRule="auto"/>
              <w:ind w:left="-108"/>
              <w:jc w:val="center"/>
              <w:rPr>
                <w:rFonts w:eastAsia="Times New Roman"/>
                <w:b/>
                <w:bCs/>
                <w:color w:val="000000"/>
                <w:sz w:val="16"/>
                <w:szCs w:val="16"/>
                <w:lang w:val="es-ES"/>
              </w:rPr>
            </w:pPr>
            <w:r w:rsidRPr="00B77017">
              <w:rPr>
                <w:rFonts w:eastAsia="Times New Roman"/>
                <w:b/>
                <w:bCs/>
                <w:color w:val="000000"/>
                <w:sz w:val="16"/>
                <w:szCs w:val="16"/>
                <w:lang w:val="es-ES"/>
              </w:rPr>
              <w:t>Es</w:t>
            </w:r>
            <w:r w:rsidR="00CC659A" w:rsidRPr="00CC659A">
              <w:rPr>
                <w:rFonts w:eastAsia="Times New Roman"/>
                <w:b/>
                <w:bCs/>
                <w:color w:val="000000"/>
                <w:sz w:val="16"/>
                <w:szCs w:val="16"/>
                <w:lang w:val="es-ES"/>
              </w:rPr>
              <w:t>c</w:t>
            </w:r>
            <w:r w:rsidRPr="00B77017">
              <w:rPr>
                <w:rFonts w:eastAsia="Times New Roman"/>
                <w:b/>
                <w:bCs/>
                <w:color w:val="000000"/>
                <w:sz w:val="16"/>
                <w:szCs w:val="16"/>
                <w:lang w:val="es-ES"/>
              </w:rPr>
              <w:t>e</w:t>
            </w:r>
            <w:r w:rsidR="00CC659A" w:rsidRPr="00CC659A">
              <w:rPr>
                <w:rFonts w:eastAsia="Times New Roman"/>
                <w:b/>
                <w:bCs/>
                <w:color w:val="000000"/>
                <w:sz w:val="16"/>
                <w:szCs w:val="16"/>
                <w:lang w:val="es-ES"/>
              </w:rPr>
              <w:t xml:space="preserve">nario 1 – Nominal </w:t>
            </w:r>
            <w:r w:rsidRPr="00B77017">
              <w:rPr>
                <w:rFonts w:eastAsia="Times New Roman"/>
                <w:b/>
                <w:bCs/>
                <w:color w:val="000000"/>
                <w:sz w:val="16"/>
                <w:szCs w:val="16"/>
                <w:lang w:val="es-ES"/>
              </w:rPr>
              <w:t>Ce</w:t>
            </w:r>
            <w:r w:rsidR="00CC659A" w:rsidRPr="00CC659A">
              <w:rPr>
                <w:rFonts w:eastAsia="Times New Roman"/>
                <w:b/>
                <w:bCs/>
                <w:color w:val="000000"/>
                <w:sz w:val="16"/>
                <w:szCs w:val="16"/>
                <w:lang w:val="es-ES"/>
              </w:rPr>
              <w:t>ro</w:t>
            </w:r>
          </w:p>
        </w:tc>
        <w:tc>
          <w:tcPr>
            <w:tcW w:w="881" w:type="pct"/>
            <w:gridSpan w:val="2"/>
            <w:tcBorders>
              <w:top w:val="single" w:sz="8" w:space="0" w:color="808080"/>
              <w:left w:val="single" w:sz="4" w:space="0" w:color="auto"/>
              <w:bottom w:val="nil"/>
              <w:right w:val="single" w:sz="4" w:space="0" w:color="808080"/>
            </w:tcBorders>
            <w:shd w:val="clear" w:color="auto" w:fill="B4C6E7" w:themeFill="accent1" w:themeFillTint="66"/>
            <w:hideMark/>
          </w:tcPr>
          <w:p w14:paraId="7DD8E7CC" w14:textId="369609E9" w:rsidR="00CC659A" w:rsidRPr="00CC659A" w:rsidRDefault="002A3532" w:rsidP="00CC659A">
            <w:pPr>
              <w:spacing w:after="0" w:line="240" w:lineRule="auto"/>
              <w:ind w:left="-108"/>
              <w:jc w:val="center"/>
              <w:rPr>
                <w:rFonts w:eastAsia="Times New Roman"/>
                <w:b/>
                <w:bCs/>
                <w:color w:val="000000"/>
                <w:sz w:val="16"/>
                <w:szCs w:val="16"/>
                <w:lang w:val="es-ES"/>
              </w:rPr>
            </w:pPr>
            <w:r w:rsidRPr="00B77017">
              <w:rPr>
                <w:rFonts w:eastAsia="Times New Roman"/>
                <w:b/>
                <w:bCs/>
                <w:color w:val="000000"/>
                <w:sz w:val="16"/>
                <w:szCs w:val="16"/>
                <w:lang w:val="es-ES"/>
              </w:rPr>
              <w:t>Es</w:t>
            </w:r>
            <w:r w:rsidR="00CC659A" w:rsidRPr="00CC659A">
              <w:rPr>
                <w:rFonts w:eastAsia="Times New Roman"/>
                <w:b/>
                <w:bCs/>
                <w:color w:val="000000"/>
                <w:sz w:val="16"/>
                <w:szCs w:val="16"/>
                <w:lang w:val="es-ES"/>
              </w:rPr>
              <w:t>c</w:t>
            </w:r>
            <w:r w:rsidRPr="00B77017">
              <w:rPr>
                <w:rFonts w:eastAsia="Times New Roman"/>
                <w:b/>
                <w:bCs/>
                <w:color w:val="000000"/>
                <w:sz w:val="16"/>
                <w:szCs w:val="16"/>
                <w:lang w:val="es-ES"/>
              </w:rPr>
              <w:t>e</w:t>
            </w:r>
            <w:r w:rsidR="00CC659A" w:rsidRPr="00CC659A">
              <w:rPr>
                <w:rFonts w:eastAsia="Times New Roman"/>
                <w:b/>
                <w:bCs/>
                <w:color w:val="000000"/>
                <w:sz w:val="16"/>
                <w:szCs w:val="16"/>
                <w:lang w:val="es-ES"/>
              </w:rPr>
              <w:t>nario 2 – R</w:t>
            </w:r>
            <w:r w:rsidR="007700D9" w:rsidRPr="00B77017">
              <w:rPr>
                <w:rFonts w:eastAsia="Times New Roman"/>
                <w:b/>
                <w:bCs/>
                <w:color w:val="000000"/>
                <w:sz w:val="16"/>
                <w:szCs w:val="16"/>
                <w:lang w:val="es-ES"/>
              </w:rPr>
              <w:t>eal</w:t>
            </w:r>
            <w:r w:rsidR="00CC659A" w:rsidRPr="00CC659A">
              <w:rPr>
                <w:rFonts w:eastAsia="Times New Roman"/>
                <w:b/>
                <w:bCs/>
                <w:color w:val="000000"/>
                <w:sz w:val="16"/>
                <w:szCs w:val="16"/>
                <w:lang w:val="es-ES"/>
              </w:rPr>
              <w:t xml:space="preserve"> </w:t>
            </w:r>
            <w:r w:rsidR="007700D9" w:rsidRPr="00B77017">
              <w:rPr>
                <w:rFonts w:eastAsia="Times New Roman"/>
                <w:b/>
                <w:bCs/>
                <w:color w:val="000000"/>
                <w:sz w:val="16"/>
                <w:szCs w:val="16"/>
                <w:lang w:val="es-ES"/>
              </w:rPr>
              <w:t>Ce</w:t>
            </w:r>
            <w:r w:rsidR="00CC659A" w:rsidRPr="00CC659A">
              <w:rPr>
                <w:rFonts w:eastAsia="Times New Roman"/>
                <w:b/>
                <w:bCs/>
                <w:color w:val="000000"/>
                <w:sz w:val="16"/>
                <w:szCs w:val="16"/>
                <w:lang w:val="es-ES"/>
              </w:rPr>
              <w:t>ro</w:t>
            </w:r>
          </w:p>
        </w:tc>
        <w:tc>
          <w:tcPr>
            <w:tcW w:w="881" w:type="pct"/>
            <w:gridSpan w:val="2"/>
            <w:tcBorders>
              <w:top w:val="single" w:sz="8" w:space="0" w:color="808080"/>
              <w:left w:val="single" w:sz="4" w:space="0" w:color="808080"/>
              <w:bottom w:val="nil"/>
              <w:right w:val="single" w:sz="4" w:space="0" w:color="808080"/>
            </w:tcBorders>
            <w:shd w:val="clear" w:color="auto" w:fill="B4C6E7" w:themeFill="accent1" w:themeFillTint="66"/>
            <w:hideMark/>
          </w:tcPr>
          <w:p w14:paraId="05418914" w14:textId="0F3B8F39" w:rsidR="00CC659A" w:rsidRPr="00CC659A" w:rsidRDefault="007700D9" w:rsidP="00CC659A">
            <w:pPr>
              <w:spacing w:after="0" w:line="240" w:lineRule="auto"/>
              <w:ind w:left="-108"/>
              <w:jc w:val="center"/>
              <w:rPr>
                <w:rFonts w:eastAsia="Times New Roman"/>
                <w:b/>
                <w:bCs/>
                <w:color w:val="000000"/>
                <w:sz w:val="16"/>
                <w:szCs w:val="16"/>
                <w:lang w:val="es-ES"/>
              </w:rPr>
            </w:pPr>
            <w:r w:rsidRPr="00B77017">
              <w:rPr>
                <w:rFonts w:eastAsia="Times New Roman"/>
                <w:b/>
                <w:bCs/>
                <w:color w:val="000000"/>
                <w:sz w:val="16"/>
                <w:szCs w:val="16"/>
                <w:lang w:val="es-ES"/>
              </w:rPr>
              <w:t>Es</w:t>
            </w:r>
            <w:r w:rsidR="00CC659A" w:rsidRPr="00CC659A">
              <w:rPr>
                <w:rFonts w:eastAsia="Times New Roman"/>
                <w:b/>
                <w:bCs/>
                <w:color w:val="000000"/>
                <w:sz w:val="16"/>
                <w:szCs w:val="16"/>
                <w:lang w:val="es-ES"/>
              </w:rPr>
              <w:t>c</w:t>
            </w:r>
            <w:r w:rsidRPr="00B77017">
              <w:rPr>
                <w:rFonts w:eastAsia="Times New Roman"/>
                <w:b/>
                <w:bCs/>
                <w:color w:val="000000"/>
                <w:sz w:val="16"/>
                <w:szCs w:val="16"/>
                <w:lang w:val="es-ES"/>
              </w:rPr>
              <w:t>e</w:t>
            </w:r>
            <w:r w:rsidR="00CC659A" w:rsidRPr="00CC659A">
              <w:rPr>
                <w:rFonts w:eastAsia="Times New Roman"/>
                <w:b/>
                <w:bCs/>
                <w:color w:val="000000"/>
                <w:sz w:val="16"/>
                <w:szCs w:val="16"/>
                <w:lang w:val="es-ES"/>
              </w:rPr>
              <w:t>nario 3</w:t>
            </w:r>
          </w:p>
        </w:tc>
        <w:tc>
          <w:tcPr>
            <w:tcW w:w="444" w:type="pct"/>
            <w:tcBorders>
              <w:top w:val="nil"/>
              <w:left w:val="nil"/>
              <w:bottom w:val="nil"/>
              <w:right w:val="nil"/>
            </w:tcBorders>
            <w:shd w:val="clear" w:color="auto" w:fill="B4C6E7" w:themeFill="accent1" w:themeFillTint="66"/>
            <w:hideMark/>
          </w:tcPr>
          <w:p w14:paraId="3E34836E" w14:textId="77777777" w:rsidR="00CC659A" w:rsidRPr="00CC659A" w:rsidRDefault="00CC659A" w:rsidP="00CC659A">
            <w:pPr>
              <w:spacing w:after="0" w:line="240" w:lineRule="auto"/>
              <w:ind w:left="-108"/>
              <w:jc w:val="center"/>
              <w:rPr>
                <w:rFonts w:eastAsia="Times New Roman"/>
                <w:b/>
                <w:bCs/>
                <w:color w:val="000000"/>
                <w:sz w:val="16"/>
                <w:szCs w:val="16"/>
                <w:lang w:val="es-ES"/>
              </w:rPr>
            </w:pPr>
          </w:p>
        </w:tc>
      </w:tr>
      <w:tr w:rsidR="006D34EE" w:rsidRPr="00CC659A" w14:paraId="470534EF" w14:textId="77777777" w:rsidTr="00486E63">
        <w:trPr>
          <w:trHeight w:val="20"/>
          <w:tblHeader/>
        </w:trPr>
        <w:tc>
          <w:tcPr>
            <w:tcW w:w="168" w:type="pct"/>
            <w:vMerge w:val="restart"/>
            <w:tcBorders>
              <w:top w:val="single" w:sz="8" w:space="0" w:color="808080"/>
              <w:left w:val="single" w:sz="8" w:space="0" w:color="808080"/>
              <w:bottom w:val="single" w:sz="8" w:space="0" w:color="808080"/>
              <w:right w:val="single" w:sz="8" w:space="0" w:color="808080"/>
            </w:tcBorders>
            <w:shd w:val="clear" w:color="auto" w:fill="B4C6E7" w:themeFill="accent1" w:themeFillTint="66"/>
            <w:hideMark/>
          </w:tcPr>
          <w:p w14:paraId="29185E00" w14:textId="77777777" w:rsidR="00CC659A" w:rsidRPr="00CC659A" w:rsidRDefault="00CC659A" w:rsidP="00CC659A">
            <w:pPr>
              <w:spacing w:after="0" w:line="240" w:lineRule="auto"/>
              <w:ind w:left="-108"/>
              <w:jc w:val="center"/>
              <w:rPr>
                <w:rFonts w:eastAsia="Times New Roman"/>
                <w:b/>
                <w:bCs/>
                <w:color w:val="000000"/>
                <w:sz w:val="16"/>
                <w:szCs w:val="16"/>
                <w:lang w:val="es-ES"/>
              </w:rPr>
            </w:pPr>
            <w:r w:rsidRPr="00CC659A">
              <w:rPr>
                <w:rFonts w:eastAsia="Times New Roman"/>
                <w:b/>
                <w:bCs/>
                <w:color w:val="000000"/>
                <w:sz w:val="16"/>
                <w:szCs w:val="16"/>
                <w:lang w:val="es-ES"/>
              </w:rPr>
              <w:t>N°</w:t>
            </w:r>
          </w:p>
        </w:tc>
        <w:tc>
          <w:tcPr>
            <w:tcW w:w="920" w:type="pct"/>
            <w:tcBorders>
              <w:top w:val="single" w:sz="8" w:space="0" w:color="808080"/>
              <w:left w:val="nil"/>
              <w:bottom w:val="nil"/>
              <w:right w:val="nil"/>
            </w:tcBorders>
            <w:shd w:val="clear" w:color="auto" w:fill="B4C6E7" w:themeFill="accent1" w:themeFillTint="66"/>
            <w:hideMark/>
          </w:tcPr>
          <w:p w14:paraId="26DAE205" w14:textId="7348BA33" w:rsidR="00CC659A" w:rsidRPr="00CC659A" w:rsidRDefault="00CC659A" w:rsidP="00CC659A">
            <w:pPr>
              <w:spacing w:after="0" w:line="240" w:lineRule="auto"/>
              <w:ind w:left="-108"/>
              <w:rPr>
                <w:rFonts w:eastAsia="Times New Roman"/>
                <w:b/>
                <w:bCs/>
                <w:color w:val="000000"/>
                <w:sz w:val="16"/>
                <w:szCs w:val="16"/>
                <w:lang w:val="es-ES"/>
              </w:rPr>
            </w:pPr>
            <w:r w:rsidRPr="00CC659A">
              <w:rPr>
                <w:rFonts w:eastAsia="Times New Roman"/>
                <w:b/>
                <w:bCs/>
                <w:color w:val="000000"/>
                <w:sz w:val="16"/>
                <w:szCs w:val="16"/>
                <w:lang w:val="es-ES"/>
              </w:rPr>
              <w:t>Part</w:t>
            </w:r>
            <w:r w:rsidR="00ED53A3" w:rsidRPr="00B77017">
              <w:rPr>
                <w:rFonts w:eastAsia="Times New Roman"/>
                <w:b/>
                <w:bCs/>
                <w:color w:val="000000"/>
                <w:sz w:val="16"/>
                <w:szCs w:val="16"/>
                <w:lang w:val="es-ES"/>
              </w:rPr>
              <w:t>e</w:t>
            </w:r>
          </w:p>
        </w:tc>
        <w:tc>
          <w:tcPr>
            <w:tcW w:w="404" w:type="pct"/>
            <w:tcBorders>
              <w:top w:val="single" w:sz="8" w:space="0" w:color="808080"/>
              <w:left w:val="nil"/>
              <w:bottom w:val="nil"/>
              <w:right w:val="nil"/>
            </w:tcBorders>
            <w:shd w:val="clear" w:color="auto" w:fill="B4C6E7" w:themeFill="accent1" w:themeFillTint="66"/>
            <w:hideMark/>
          </w:tcPr>
          <w:p w14:paraId="361DA040" w14:textId="535768CF" w:rsidR="00CC659A" w:rsidRPr="00CC659A" w:rsidRDefault="00ED53A3" w:rsidP="00CC659A">
            <w:pPr>
              <w:spacing w:after="0" w:line="240" w:lineRule="auto"/>
              <w:ind w:left="-108"/>
              <w:jc w:val="center"/>
              <w:rPr>
                <w:rFonts w:eastAsia="Times New Roman"/>
                <w:b/>
                <w:bCs/>
                <w:color w:val="000000"/>
                <w:sz w:val="16"/>
                <w:szCs w:val="16"/>
                <w:lang w:val="es-ES"/>
              </w:rPr>
            </w:pPr>
            <w:r w:rsidRPr="00B77017">
              <w:rPr>
                <w:rFonts w:eastAsia="Times New Roman"/>
                <w:b/>
                <w:bCs/>
                <w:color w:val="000000"/>
                <w:sz w:val="16"/>
                <w:szCs w:val="16"/>
                <w:lang w:val="es-ES"/>
              </w:rPr>
              <w:t xml:space="preserve">Escala </w:t>
            </w:r>
            <w:r w:rsidR="00CC659A" w:rsidRPr="00CC659A">
              <w:rPr>
                <w:rFonts w:eastAsia="Times New Roman"/>
                <w:b/>
                <w:bCs/>
                <w:color w:val="000000"/>
                <w:sz w:val="16"/>
                <w:szCs w:val="16"/>
                <w:lang w:val="es-ES"/>
              </w:rPr>
              <w:t>ONU</w:t>
            </w:r>
            <w:r w:rsidR="000D08CB" w:rsidRPr="00B77017">
              <w:rPr>
                <w:rFonts w:eastAsia="Times New Roman"/>
                <w:b/>
                <w:bCs/>
                <w:color w:val="000000"/>
                <w:sz w:val="16"/>
                <w:szCs w:val="16"/>
                <w:lang w:val="es-ES"/>
              </w:rPr>
              <w:t xml:space="preserve"> par</w:t>
            </w:r>
          </w:p>
        </w:tc>
        <w:tc>
          <w:tcPr>
            <w:tcW w:w="420" w:type="pct"/>
            <w:tcBorders>
              <w:top w:val="single" w:sz="8" w:space="0" w:color="808080"/>
              <w:left w:val="nil"/>
              <w:bottom w:val="nil"/>
              <w:right w:val="single" w:sz="8" w:space="0" w:color="808080"/>
            </w:tcBorders>
            <w:shd w:val="clear" w:color="auto" w:fill="B4C6E7" w:themeFill="accent1" w:themeFillTint="66"/>
            <w:hideMark/>
          </w:tcPr>
          <w:p w14:paraId="29998733" w14:textId="5C1D1BC1" w:rsidR="00CC659A" w:rsidRPr="00CC659A" w:rsidRDefault="00ED53A3" w:rsidP="00CC659A">
            <w:pPr>
              <w:spacing w:after="0" w:line="240" w:lineRule="auto"/>
              <w:ind w:left="-108"/>
              <w:jc w:val="center"/>
              <w:rPr>
                <w:rFonts w:eastAsia="Times New Roman"/>
                <w:b/>
                <w:bCs/>
                <w:color w:val="000000"/>
                <w:sz w:val="16"/>
                <w:szCs w:val="16"/>
                <w:lang w:val="es-ES"/>
              </w:rPr>
            </w:pPr>
            <w:r w:rsidRPr="00B77017">
              <w:rPr>
                <w:rFonts w:eastAsia="Times New Roman"/>
                <w:b/>
                <w:bCs/>
                <w:color w:val="000000"/>
                <w:sz w:val="16"/>
                <w:szCs w:val="16"/>
                <w:lang w:val="es-ES"/>
              </w:rPr>
              <w:t>Escala a</w:t>
            </w:r>
            <w:r w:rsidR="007700D9" w:rsidRPr="00B77017">
              <w:rPr>
                <w:rFonts w:eastAsia="Times New Roman"/>
                <w:b/>
                <w:bCs/>
                <w:color w:val="000000"/>
                <w:sz w:val="16"/>
                <w:szCs w:val="16"/>
                <w:lang w:val="es-ES"/>
              </w:rPr>
              <w:t>jus</w:t>
            </w:r>
            <w:r w:rsidRPr="00B77017">
              <w:rPr>
                <w:rFonts w:eastAsia="Times New Roman"/>
                <w:b/>
                <w:bCs/>
                <w:color w:val="000000"/>
                <w:sz w:val="16"/>
                <w:szCs w:val="16"/>
                <w:lang w:val="es-ES"/>
              </w:rPr>
              <w:t>tada</w:t>
            </w:r>
            <w:r w:rsidR="00CC659A" w:rsidRPr="00CC659A">
              <w:rPr>
                <w:rFonts w:eastAsia="Times New Roman"/>
                <w:b/>
                <w:bCs/>
                <w:color w:val="000000"/>
                <w:sz w:val="16"/>
                <w:szCs w:val="16"/>
                <w:lang w:val="es-ES"/>
              </w:rPr>
              <w:t xml:space="preserve"> </w:t>
            </w:r>
          </w:p>
        </w:tc>
        <w:tc>
          <w:tcPr>
            <w:tcW w:w="444" w:type="pct"/>
            <w:vMerge w:val="restart"/>
            <w:tcBorders>
              <w:top w:val="single" w:sz="4" w:space="0" w:color="auto"/>
              <w:left w:val="single" w:sz="4" w:space="0" w:color="808080"/>
              <w:bottom w:val="single" w:sz="8" w:space="0" w:color="808080"/>
              <w:right w:val="single" w:sz="4" w:space="0" w:color="808080"/>
            </w:tcBorders>
            <w:shd w:val="clear" w:color="auto" w:fill="B4C6E7" w:themeFill="accent1" w:themeFillTint="66"/>
            <w:hideMark/>
          </w:tcPr>
          <w:p w14:paraId="01E4821A" w14:textId="137F3788" w:rsidR="00CC659A" w:rsidRPr="00CC659A" w:rsidRDefault="001B0BBC" w:rsidP="00CC659A">
            <w:pPr>
              <w:spacing w:after="0" w:line="240" w:lineRule="auto"/>
              <w:ind w:left="-108"/>
              <w:jc w:val="center"/>
              <w:rPr>
                <w:rFonts w:eastAsia="Times New Roman"/>
                <w:b/>
                <w:bCs/>
                <w:color w:val="000000"/>
                <w:sz w:val="16"/>
                <w:szCs w:val="16"/>
                <w:lang w:val="es-ES"/>
              </w:rPr>
            </w:pPr>
            <w:r w:rsidRPr="00B77017">
              <w:rPr>
                <w:rFonts w:eastAsia="Times New Roman"/>
                <w:b/>
                <w:bCs/>
                <w:color w:val="000000"/>
                <w:sz w:val="16"/>
                <w:szCs w:val="16"/>
                <w:lang w:val="es-ES"/>
              </w:rPr>
              <w:t>C</w:t>
            </w:r>
            <w:r w:rsidR="006D34EE">
              <w:rPr>
                <w:rFonts w:eastAsia="Times New Roman"/>
                <w:b/>
                <w:bCs/>
                <w:color w:val="000000"/>
                <w:sz w:val="16"/>
                <w:szCs w:val="16"/>
                <w:lang w:val="es-ES"/>
              </w:rPr>
              <w:t>uotas</w:t>
            </w:r>
            <w:r w:rsidRPr="00B77017">
              <w:rPr>
                <w:rFonts w:eastAsia="Times New Roman"/>
                <w:b/>
                <w:bCs/>
                <w:color w:val="000000"/>
                <w:sz w:val="16"/>
                <w:szCs w:val="16"/>
                <w:lang w:val="es-ES"/>
              </w:rPr>
              <w:t xml:space="preserve"> asignadas</w:t>
            </w:r>
            <w:r w:rsidR="00CC659A" w:rsidRPr="00CC659A">
              <w:rPr>
                <w:rFonts w:eastAsia="Times New Roman"/>
                <w:b/>
                <w:bCs/>
                <w:color w:val="000000"/>
                <w:sz w:val="16"/>
                <w:szCs w:val="16"/>
                <w:lang w:val="es-ES"/>
              </w:rPr>
              <w:t xml:space="preserve"> 2024-2026</w:t>
            </w:r>
          </w:p>
        </w:tc>
        <w:tc>
          <w:tcPr>
            <w:tcW w:w="437" w:type="pct"/>
            <w:vMerge w:val="restart"/>
            <w:tcBorders>
              <w:top w:val="single" w:sz="4" w:space="0" w:color="auto"/>
              <w:left w:val="single" w:sz="4" w:space="0" w:color="808080"/>
              <w:bottom w:val="single" w:sz="8" w:space="0" w:color="808080"/>
              <w:right w:val="single" w:sz="8" w:space="0" w:color="808080"/>
            </w:tcBorders>
            <w:shd w:val="clear" w:color="auto" w:fill="B4C6E7" w:themeFill="accent1" w:themeFillTint="66"/>
            <w:hideMark/>
          </w:tcPr>
          <w:p w14:paraId="365FD95E" w14:textId="352E71E4" w:rsidR="00CC659A" w:rsidRPr="00CC659A" w:rsidRDefault="00713CA2" w:rsidP="00CC659A">
            <w:pPr>
              <w:spacing w:after="0" w:line="240" w:lineRule="auto"/>
              <w:ind w:left="-108"/>
              <w:jc w:val="center"/>
              <w:rPr>
                <w:rFonts w:eastAsia="Times New Roman"/>
                <w:b/>
                <w:bCs/>
                <w:color w:val="000000"/>
                <w:sz w:val="16"/>
                <w:szCs w:val="16"/>
                <w:lang w:val="es-ES"/>
              </w:rPr>
            </w:pPr>
            <w:r w:rsidRPr="00B77017">
              <w:rPr>
                <w:rFonts w:eastAsia="Times New Roman"/>
                <w:b/>
                <w:bCs/>
                <w:color w:val="000000"/>
                <w:sz w:val="16"/>
                <w:szCs w:val="16"/>
                <w:lang w:val="es-ES"/>
              </w:rPr>
              <w:t>Contribución media anual</w:t>
            </w:r>
          </w:p>
        </w:tc>
        <w:tc>
          <w:tcPr>
            <w:tcW w:w="444" w:type="pct"/>
            <w:vMerge w:val="restart"/>
            <w:tcBorders>
              <w:top w:val="single" w:sz="8" w:space="0" w:color="808080"/>
              <w:left w:val="single" w:sz="4" w:space="0" w:color="808080"/>
              <w:bottom w:val="single" w:sz="8" w:space="0" w:color="808080"/>
              <w:right w:val="single" w:sz="4" w:space="0" w:color="808080"/>
            </w:tcBorders>
            <w:shd w:val="clear" w:color="auto" w:fill="B4C6E7" w:themeFill="accent1" w:themeFillTint="66"/>
            <w:hideMark/>
          </w:tcPr>
          <w:p w14:paraId="1622AE4A" w14:textId="3889873E" w:rsidR="00CC659A" w:rsidRPr="00CC659A" w:rsidRDefault="00391F33" w:rsidP="00CC659A">
            <w:pPr>
              <w:spacing w:after="0" w:line="240" w:lineRule="auto"/>
              <w:ind w:left="-108"/>
              <w:jc w:val="center"/>
              <w:rPr>
                <w:rFonts w:eastAsia="Times New Roman"/>
                <w:b/>
                <w:bCs/>
                <w:color w:val="000000"/>
                <w:sz w:val="16"/>
                <w:szCs w:val="16"/>
                <w:lang w:val="es-ES"/>
              </w:rPr>
            </w:pPr>
            <w:r w:rsidRPr="00B77017">
              <w:rPr>
                <w:rFonts w:eastAsia="Times New Roman"/>
                <w:b/>
                <w:bCs/>
                <w:color w:val="000000"/>
                <w:sz w:val="16"/>
                <w:szCs w:val="16"/>
                <w:lang w:val="es-ES"/>
              </w:rPr>
              <w:t>C</w:t>
            </w:r>
            <w:r w:rsidR="006D34EE">
              <w:rPr>
                <w:rFonts w:eastAsia="Times New Roman"/>
                <w:b/>
                <w:bCs/>
                <w:color w:val="000000"/>
                <w:sz w:val="16"/>
                <w:szCs w:val="16"/>
                <w:lang w:val="es-ES"/>
              </w:rPr>
              <w:t>uotas</w:t>
            </w:r>
            <w:r w:rsidR="008161B0">
              <w:rPr>
                <w:rFonts w:eastAsia="Times New Roman"/>
                <w:b/>
                <w:bCs/>
                <w:color w:val="000000"/>
                <w:sz w:val="16"/>
                <w:szCs w:val="16"/>
                <w:lang w:val="es-ES"/>
              </w:rPr>
              <w:t xml:space="preserve"> asi</w:t>
            </w:r>
            <w:r w:rsidRPr="00B77017">
              <w:rPr>
                <w:rFonts w:eastAsia="Times New Roman"/>
                <w:b/>
                <w:bCs/>
                <w:color w:val="000000"/>
                <w:sz w:val="16"/>
                <w:szCs w:val="16"/>
                <w:lang w:val="es-ES"/>
              </w:rPr>
              <w:t>gnadas</w:t>
            </w:r>
            <w:r w:rsidR="00CC659A" w:rsidRPr="00CC659A">
              <w:rPr>
                <w:rFonts w:eastAsia="Times New Roman"/>
                <w:b/>
                <w:bCs/>
                <w:color w:val="000000"/>
                <w:sz w:val="16"/>
                <w:szCs w:val="16"/>
                <w:lang w:val="es-ES"/>
              </w:rPr>
              <w:t xml:space="preserve"> 2024-2026</w:t>
            </w:r>
          </w:p>
        </w:tc>
        <w:tc>
          <w:tcPr>
            <w:tcW w:w="437" w:type="pct"/>
            <w:vMerge w:val="restart"/>
            <w:tcBorders>
              <w:top w:val="single" w:sz="8" w:space="0" w:color="808080"/>
              <w:left w:val="single" w:sz="4" w:space="0" w:color="808080"/>
              <w:bottom w:val="single" w:sz="8" w:space="0" w:color="808080"/>
              <w:right w:val="single" w:sz="8" w:space="0" w:color="808080"/>
            </w:tcBorders>
            <w:shd w:val="clear" w:color="auto" w:fill="B4C6E7" w:themeFill="accent1" w:themeFillTint="66"/>
            <w:hideMark/>
          </w:tcPr>
          <w:p w14:paraId="4B850DC5" w14:textId="316AE113" w:rsidR="00CC659A" w:rsidRPr="00CC659A" w:rsidRDefault="00391F33" w:rsidP="00CC659A">
            <w:pPr>
              <w:spacing w:after="0" w:line="240" w:lineRule="auto"/>
              <w:ind w:left="-108"/>
              <w:jc w:val="center"/>
              <w:rPr>
                <w:rFonts w:eastAsia="Times New Roman"/>
                <w:b/>
                <w:bCs/>
                <w:color w:val="000000"/>
                <w:sz w:val="16"/>
                <w:szCs w:val="16"/>
                <w:lang w:val="es-ES"/>
              </w:rPr>
            </w:pPr>
            <w:r w:rsidRPr="00B77017">
              <w:rPr>
                <w:rFonts w:eastAsia="Times New Roman"/>
                <w:b/>
                <w:bCs/>
                <w:color w:val="000000"/>
                <w:sz w:val="16"/>
                <w:szCs w:val="16"/>
                <w:lang w:val="es-ES"/>
              </w:rPr>
              <w:t>Contribución media anual</w:t>
            </w:r>
          </w:p>
        </w:tc>
        <w:tc>
          <w:tcPr>
            <w:tcW w:w="444" w:type="pct"/>
            <w:vMerge w:val="restart"/>
            <w:tcBorders>
              <w:top w:val="single" w:sz="8" w:space="0" w:color="808080"/>
              <w:left w:val="single" w:sz="4" w:space="0" w:color="808080"/>
              <w:bottom w:val="single" w:sz="8" w:space="0" w:color="808080"/>
              <w:right w:val="single" w:sz="4" w:space="0" w:color="808080"/>
            </w:tcBorders>
            <w:shd w:val="clear" w:color="auto" w:fill="B4C6E7" w:themeFill="accent1" w:themeFillTint="66"/>
            <w:hideMark/>
          </w:tcPr>
          <w:p w14:paraId="4A6E23F2" w14:textId="5F573A06" w:rsidR="00CC659A" w:rsidRPr="00CC659A" w:rsidRDefault="008161B0" w:rsidP="00CC659A">
            <w:pPr>
              <w:spacing w:after="0" w:line="240" w:lineRule="auto"/>
              <w:ind w:left="-108"/>
              <w:jc w:val="center"/>
              <w:rPr>
                <w:rFonts w:eastAsia="Times New Roman"/>
                <w:b/>
                <w:bCs/>
                <w:color w:val="000000"/>
                <w:sz w:val="16"/>
                <w:szCs w:val="16"/>
                <w:lang w:val="es-ES"/>
              </w:rPr>
            </w:pPr>
            <w:r>
              <w:rPr>
                <w:rFonts w:eastAsia="Times New Roman"/>
                <w:b/>
                <w:bCs/>
                <w:color w:val="000000"/>
                <w:sz w:val="16"/>
                <w:szCs w:val="16"/>
                <w:lang w:val="es-ES"/>
              </w:rPr>
              <w:t>Cuotas asignadas</w:t>
            </w:r>
            <w:r w:rsidR="00CC659A" w:rsidRPr="00CC659A">
              <w:rPr>
                <w:rFonts w:eastAsia="Times New Roman"/>
                <w:b/>
                <w:bCs/>
                <w:color w:val="000000"/>
                <w:sz w:val="16"/>
                <w:szCs w:val="16"/>
                <w:lang w:val="es-ES"/>
              </w:rPr>
              <w:t xml:space="preserve"> 2024-2026</w:t>
            </w:r>
          </w:p>
        </w:tc>
        <w:tc>
          <w:tcPr>
            <w:tcW w:w="437" w:type="pct"/>
            <w:vMerge w:val="restart"/>
            <w:tcBorders>
              <w:top w:val="single" w:sz="8" w:space="0" w:color="808080"/>
              <w:left w:val="single" w:sz="4" w:space="0" w:color="808080"/>
              <w:bottom w:val="single" w:sz="8" w:space="0" w:color="808080"/>
              <w:right w:val="single" w:sz="8" w:space="0" w:color="808080"/>
            </w:tcBorders>
            <w:shd w:val="clear" w:color="auto" w:fill="B4C6E7" w:themeFill="accent1" w:themeFillTint="66"/>
            <w:hideMark/>
          </w:tcPr>
          <w:p w14:paraId="7E65CB89" w14:textId="5473CA2F" w:rsidR="00CC659A" w:rsidRPr="00CC659A" w:rsidRDefault="00391F33" w:rsidP="00CC659A">
            <w:pPr>
              <w:spacing w:after="0" w:line="240" w:lineRule="auto"/>
              <w:ind w:left="-108"/>
              <w:jc w:val="center"/>
              <w:rPr>
                <w:rFonts w:eastAsia="Times New Roman"/>
                <w:b/>
                <w:bCs/>
                <w:color w:val="000000"/>
                <w:sz w:val="16"/>
                <w:szCs w:val="16"/>
                <w:lang w:val="es-ES"/>
              </w:rPr>
            </w:pPr>
            <w:r w:rsidRPr="00B77017">
              <w:rPr>
                <w:rFonts w:eastAsia="Times New Roman"/>
                <w:b/>
                <w:bCs/>
                <w:color w:val="000000"/>
                <w:sz w:val="16"/>
                <w:szCs w:val="16"/>
                <w:lang w:val="es-ES"/>
              </w:rPr>
              <w:t>Contribución media anual</w:t>
            </w:r>
          </w:p>
        </w:tc>
        <w:tc>
          <w:tcPr>
            <w:tcW w:w="444" w:type="pct"/>
            <w:vMerge w:val="restart"/>
            <w:tcBorders>
              <w:top w:val="single" w:sz="8" w:space="0" w:color="808080"/>
              <w:left w:val="single" w:sz="4" w:space="0" w:color="808080"/>
              <w:bottom w:val="single" w:sz="8" w:space="0" w:color="808080"/>
              <w:right w:val="nil"/>
            </w:tcBorders>
            <w:shd w:val="clear" w:color="auto" w:fill="B4C6E7" w:themeFill="accent1" w:themeFillTint="66"/>
            <w:hideMark/>
          </w:tcPr>
          <w:p w14:paraId="223E31B2" w14:textId="3C1D9D0F" w:rsidR="00CC659A" w:rsidRPr="00CC659A" w:rsidRDefault="006928AF" w:rsidP="00CC659A">
            <w:pPr>
              <w:spacing w:after="0" w:line="240" w:lineRule="auto"/>
              <w:ind w:left="-108"/>
              <w:jc w:val="center"/>
              <w:rPr>
                <w:rFonts w:eastAsia="Times New Roman"/>
                <w:b/>
                <w:bCs/>
                <w:color w:val="000000"/>
                <w:sz w:val="16"/>
                <w:szCs w:val="16"/>
                <w:lang w:val="es-ES"/>
              </w:rPr>
            </w:pPr>
            <w:r w:rsidRPr="00B77017">
              <w:rPr>
                <w:rFonts w:eastAsia="Times New Roman"/>
                <w:b/>
                <w:bCs/>
                <w:color w:val="000000"/>
                <w:sz w:val="16"/>
                <w:szCs w:val="16"/>
                <w:lang w:val="es-ES"/>
              </w:rPr>
              <w:t>C</w:t>
            </w:r>
            <w:r w:rsidR="008161B0">
              <w:rPr>
                <w:rFonts w:eastAsia="Times New Roman"/>
                <w:b/>
                <w:bCs/>
                <w:color w:val="000000"/>
                <w:sz w:val="16"/>
                <w:szCs w:val="16"/>
                <w:lang w:val="es-ES"/>
              </w:rPr>
              <w:t>uotas</w:t>
            </w:r>
            <w:r w:rsidRPr="00B77017">
              <w:rPr>
                <w:rFonts w:eastAsia="Times New Roman"/>
                <w:b/>
                <w:bCs/>
                <w:color w:val="000000"/>
                <w:sz w:val="16"/>
                <w:szCs w:val="16"/>
                <w:lang w:val="es-ES"/>
              </w:rPr>
              <w:t xml:space="preserve"> asignadas </w:t>
            </w:r>
            <w:r w:rsidR="00CC659A" w:rsidRPr="00CC659A">
              <w:rPr>
                <w:rFonts w:eastAsia="Times New Roman"/>
                <w:b/>
                <w:bCs/>
                <w:color w:val="000000"/>
                <w:sz w:val="16"/>
                <w:szCs w:val="16"/>
                <w:lang w:val="es-ES"/>
              </w:rPr>
              <w:t>2021-2023</w:t>
            </w:r>
          </w:p>
        </w:tc>
      </w:tr>
      <w:tr w:rsidR="006D34EE" w:rsidRPr="00CC659A" w14:paraId="66ACE43A" w14:textId="77777777" w:rsidTr="00486E63">
        <w:trPr>
          <w:trHeight w:val="20"/>
        </w:trPr>
        <w:tc>
          <w:tcPr>
            <w:tcW w:w="168" w:type="pct"/>
            <w:vMerge/>
            <w:tcBorders>
              <w:top w:val="single" w:sz="8" w:space="0" w:color="808080"/>
              <w:left w:val="single" w:sz="8" w:space="0" w:color="808080"/>
              <w:bottom w:val="single" w:sz="8" w:space="0" w:color="808080"/>
              <w:right w:val="single" w:sz="8" w:space="0" w:color="808080"/>
            </w:tcBorders>
            <w:vAlign w:val="center"/>
            <w:hideMark/>
          </w:tcPr>
          <w:p w14:paraId="2DCC824D" w14:textId="77777777" w:rsidR="00CC659A" w:rsidRPr="00CC659A" w:rsidRDefault="00CC659A" w:rsidP="00CC659A">
            <w:pPr>
              <w:spacing w:after="0" w:line="240" w:lineRule="auto"/>
              <w:ind w:left="-108"/>
              <w:rPr>
                <w:rFonts w:ascii="Times New Roman" w:eastAsia="Times New Roman" w:hAnsi="Times New Roman" w:cs="Times New Roman"/>
                <w:b/>
                <w:bCs/>
                <w:color w:val="000000"/>
                <w:sz w:val="16"/>
                <w:szCs w:val="16"/>
                <w:lang w:val="es-ES"/>
              </w:rPr>
            </w:pPr>
          </w:p>
        </w:tc>
        <w:tc>
          <w:tcPr>
            <w:tcW w:w="920" w:type="pct"/>
            <w:tcBorders>
              <w:top w:val="nil"/>
              <w:left w:val="nil"/>
              <w:bottom w:val="single" w:sz="8" w:space="0" w:color="808080"/>
              <w:right w:val="nil"/>
            </w:tcBorders>
            <w:shd w:val="clear" w:color="auto" w:fill="B4C6E7" w:themeFill="accent1" w:themeFillTint="66"/>
            <w:hideMark/>
          </w:tcPr>
          <w:p w14:paraId="19AF96C5" w14:textId="77777777" w:rsidR="00CC659A" w:rsidRPr="00CC659A" w:rsidRDefault="00CC659A" w:rsidP="00CC659A">
            <w:pPr>
              <w:spacing w:after="0" w:line="240" w:lineRule="auto"/>
              <w:ind w:left="-108"/>
              <w:rPr>
                <w:rFonts w:ascii="Times New Roman" w:eastAsia="Times New Roman" w:hAnsi="Times New Roman" w:cs="Times New Roman"/>
                <w:b/>
                <w:bCs/>
                <w:color w:val="000000"/>
                <w:sz w:val="16"/>
                <w:szCs w:val="16"/>
                <w:lang w:val="es-ES"/>
              </w:rPr>
            </w:pPr>
            <w:r w:rsidRPr="00CC659A">
              <w:rPr>
                <w:rFonts w:ascii="Times New Roman" w:eastAsia="Times New Roman" w:hAnsi="Times New Roman" w:cs="Times New Roman"/>
                <w:b/>
                <w:bCs/>
                <w:color w:val="000000"/>
                <w:sz w:val="16"/>
                <w:szCs w:val="16"/>
                <w:lang w:val="es-ES"/>
              </w:rPr>
              <w:t> </w:t>
            </w:r>
          </w:p>
        </w:tc>
        <w:tc>
          <w:tcPr>
            <w:tcW w:w="404" w:type="pct"/>
            <w:tcBorders>
              <w:top w:val="nil"/>
              <w:left w:val="nil"/>
              <w:bottom w:val="single" w:sz="8" w:space="0" w:color="808080"/>
              <w:right w:val="nil"/>
            </w:tcBorders>
            <w:shd w:val="clear" w:color="auto" w:fill="B4C6E7" w:themeFill="accent1" w:themeFillTint="66"/>
            <w:hideMark/>
          </w:tcPr>
          <w:p w14:paraId="0037D265" w14:textId="77777777" w:rsidR="00CC659A" w:rsidRPr="00CC659A" w:rsidRDefault="00CC659A" w:rsidP="00CC659A">
            <w:pPr>
              <w:spacing w:after="0" w:line="240" w:lineRule="auto"/>
              <w:ind w:left="-108"/>
              <w:jc w:val="center"/>
              <w:rPr>
                <w:rFonts w:eastAsia="Times New Roman"/>
                <w:b/>
                <w:bCs/>
                <w:color w:val="000000"/>
                <w:sz w:val="16"/>
                <w:szCs w:val="16"/>
                <w:lang w:val="es-ES"/>
              </w:rPr>
            </w:pPr>
            <w:r w:rsidRPr="00CC659A">
              <w:rPr>
                <w:rFonts w:eastAsia="Times New Roman"/>
                <w:b/>
                <w:bCs/>
                <w:color w:val="000000"/>
                <w:sz w:val="16"/>
                <w:szCs w:val="16"/>
                <w:lang w:val="es-ES"/>
              </w:rPr>
              <w:t>2022-2024</w:t>
            </w:r>
          </w:p>
        </w:tc>
        <w:tc>
          <w:tcPr>
            <w:tcW w:w="420" w:type="pct"/>
            <w:tcBorders>
              <w:top w:val="nil"/>
              <w:left w:val="nil"/>
              <w:bottom w:val="single" w:sz="8" w:space="0" w:color="808080"/>
              <w:right w:val="single" w:sz="8" w:space="0" w:color="808080"/>
            </w:tcBorders>
            <w:shd w:val="clear" w:color="auto" w:fill="B4C6E7" w:themeFill="accent1" w:themeFillTint="66"/>
            <w:hideMark/>
          </w:tcPr>
          <w:p w14:paraId="788F2376" w14:textId="77777777" w:rsidR="00CC659A" w:rsidRPr="00CC659A" w:rsidRDefault="00CC659A" w:rsidP="00CC659A">
            <w:pPr>
              <w:spacing w:after="0" w:line="240" w:lineRule="auto"/>
              <w:ind w:left="-108"/>
              <w:jc w:val="center"/>
              <w:rPr>
                <w:rFonts w:eastAsia="Times New Roman"/>
                <w:b/>
                <w:bCs/>
                <w:color w:val="000000"/>
                <w:sz w:val="16"/>
                <w:szCs w:val="16"/>
                <w:lang w:val="es-ES"/>
              </w:rPr>
            </w:pPr>
            <w:r w:rsidRPr="00CC659A">
              <w:rPr>
                <w:rFonts w:eastAsia="Times New Roman"/>
                <w:b/>
                <w:bCs/>
                <w:color w:val="000000"/>
                <w:sz w:val="16"/>
                <w:szCs w:val="16"/>
                <w:lang w:val="es-ES"/>
              </w:rPr>
              <w:t xml:space="preserve"> % </w:t>
            </w:r>
          </w:p>
        </w:tc>
        <w:tc>
          <w:tcPr>
            <w:tcW w:w="444" w:type="pct"/>
            <w:vMerge/>
            <w:tcBorders>
              <w:top w:val="nil"/>
              <w:left w:val="single" w:sz="4" w:space="0" w:color="808080"/>
              <w:bottom w:val="single" w:sz="8" w:space="0" w:color="808080"/>
              <w:right w:val="single" w:sz="4" w:space="0" w:color="808080"/>
            </w:tcBorders>
            <w:vAlign w:val="center"/>
            <w:hideMark/>
          </w:tcPr>
          <w:p w14:paraId="26505D9B" w14:textId="77777777" w:rsidR="00CC659A" w:rsidRPr="00CC659A" w:rsidRDefault="00CC659A" w:rsidP="00CC659A">
            <w:pPr>
              <w:spacing w:after="0" w:line="240" w:lineRule="auto"/>
              <w:ind w:left="-108"/>
              <w:rPr>
                <w:rFonts w:ascii="Times New Roman" w:eastAsia="Times New Roman" w:hAnsi="Times New Roman" w:cs="Times New Roman"/>
                <w:b/>
                <w:bCs/>
                <w:color w:val="000000"/>
                <w:sz w:val="16"/>
                <w:szCs w:val="16"/>
                <w:lang w:val="es-ES"/>
              </w:rPr>
            </w:pPr>
          </w:p>
        </w:tc>
        <w:tc>
          <w:tcPr>
            <w:tcW w:w="437" w:type="pct"/>
            <w:vMerge/>
            <w:tcBorders>
              <w:top w:val="nil"/>
              <w:left w:val="single" w:sz="4" w:space="0" w:color="808080"/>
              <w:bottom w:val="single" w:sz="8" w:space="0" w:color="808080"/>
              <w:right w:val="single" w:sz="8" w:space="0" w:color="808080"/>
            </w:tcBorders>
            <w:vAlign w:val="center"/>
            <w:hideMark/>
          </w:tcPr>
          <w:p w14:paraId="7423CF35" w14:textId="77777777" w:rsidR="00CC659A" w:rsidRPr="00CC659A" w:rsidRDefault="00CC659A" w:rsidP="00CC659A">
            <w:pPr>
              <w:spacing w:after="0" w:line="240" w:lineRule="auto"/>
              <w:ind w:left="-108"/>
              <w:rPr>
                <w:rFonts w:ascii="Times New Roman" w:eastAsia="Times New Roman" w:hAnsi="Times New Roman" w:cs="Times New Roman"/>
                <w:b/>
                <w:bCs/>
                <w:color w:val="000000"/>
                <w:sz w:val="16"/>
                <w:szCs w:val="16"/>
                <w:lang w:val="es-ES"/>
              </w:rPr>
            </w:pPr>
          </w:p>
        </w:tc>
        <w:tc>
          <w:tcPr>
            <w:tcW w:w="444" w:type="pct"/>
            <w:vMerge/>
            <w:tcBorders>
              <w:top w:val="single" w:sz="8" w:space="0" w:color="808080"/>
              <w:left w:val="single" w:sz="4" w:space="0" w:color="808080"/>
              <w:bottom w:val="single" w:sz="8" w:space="0" w:color="808080"/>
              <w:right w:val="single" w:sz="4" w:space="0" w:color="808080"/>
            </w:tcBorders>
            <w:vAlign w:val="center"/>
            <w:hideMark/>
          </w:tcPr>
          <w:p w14:paraId="1CD12489" w14:textId="77777777" w:rsidR="00CC659A" w:rsidRPr="00CC659A" w:rsidRDefault="00CC659A" w:rsidP="00CC659A">
            <w:pPr>
              <w:spacing w:after="0" w:line="240" w:lineRule="auto"/>
              <w:ind w:left="-108"/>
              <w:rPr>
                <w:rFonts w:ascii="Times New Roman" w:eastAsia="Times New Roman" w:hAnsi="Times New Roman" w:cs="Times New Roman"/>
                <w:b/>
                <w:bCs/>
                <w:color w:val="000000"/>
                <w:sz w:val="16"/>
                <w:szCs w:val="16"/>
                <w:lang w:val="es-ES"/>
              </w:rPr>
            </w:pPr>
          </w:p>
        </w:tc>
        <w:tc>
          <w:tcPr>
            <w:tcW w:w="437" w:type="pct"/>
            <w:vMerge/>
            <w:tcBorders>
              <w:top w:val="single" w:sz="8" w:space="0" w:color="808080"/>
              <w:left w:val="single" w:sz="4" w:space="0" w:color="808080"/>
              <w:bottom w:val="single" w:sz="8" w:space="0" w:color="808080"/>
              <w:right w:val="single" w:sz="8" w:space="0" w:color="808080"/>
            </w:tcBorders>
            <w:shd w:val="clear" w:color="auto" w:fill="D5DCE4" w:themeFill="text2" w:themeFillTint="33"/>
            <w:vAlign w:val="center"/>
            <w:hideMark/>
          </w:tcPr>
          <w:p w14:paraId="1E734E0C" w14:textId="77777777" w:rsidR="00CC659A" w:rsidRPr="00CC659A" w:rsidRDefault="00CC659A" w:rsidP="00CC659A">
            <w:pPr>
              <w:spacing w:after="0" w:line="240" w:lineRule="auto"/>
              <w:ind w:left="-108"/>
              <w:rPr>
                <w:rFonts w:ascii="Times New Roman" w:eastAsia="Times New Roman" w:hAnsi="Times New Roman" w:cs="Times New Roman"/>
                <w:b/>
                <w:bCs/>
                <w:color w:val="000000"/>
                <w:sz w:val="16"/>
                <w:szCs w:val="16"/>
                <w:lang w:val="es-ES"/>
              </w:rPr>
            </w:pPr>
          </w:p>
        </w:tc>
        <w:tc>
          <w:tcPr>
            <w:tcW w:w="444" w:type="pct"/>
            <w:vMerge/>
            <w:tcBorders>
              <w:top w:val="single" w:sz="8" w:space="0" w:color="808080"/>
              <w:left w:val="single" w:sz="4" w:space="0" w:color="808080"/>
              <w:bottom w:val="single" w:sz="8" w:space="0" w:color="808080"/>
              <w:right w:val="single" w:sz="4" w:space="0" w:color="808080"/>
            </w:tcBorders>
            <w:vAlign w:val="center"/>
            <w:hideMark/>
          </w:tcPr>
          <w:p w14:paraId="4885F7A1" w14:textId="77777777" w:rsidR="00CC659A" w:rsidRPr="00CC659A" w:rsidRDefault="00CC659A" w:rsidP="00CC659A">
            <w:pPr>
              <w:spacing w:after="0" w:line="240" w:lineRule="auto"/>
              <w:ind w:left="-108"/>
              <w:rPr>
                <w:rFonts w:ascii="Times New Roman" w:eastAsia="Times New Roman" w:hAnsi="Times New Roman" w:cs="Times New Roman"/>
                <w:b/>
                <w:bCs/>
                <w:color w:val="000000"/>
                <w:sz w:val="16"/>
                <w:szCs w:val="16"/>
                <w:lang w:val="es-ES"/>
              </w:rPr>
            </w:pPr>
          </w:p>
        </w:tc>
        <w:tc>
          <w:tcPr>
            <w:tcW w:w="437" w:type="pct"/>
            <w:vMerge/>
            <w:tcBorders>
              <w:top w:val="single" w:sz="8" w:space="0" w:color="808080"/>
              <w:left w:val="single" w:sz="4" w:space="0" w:color="808080"/>
              <w:bottom w:val="single" w:sz="8" w:space="0" w:color="808080"/>
              <w:right w:val="single" w:sz="8" w:space="0" w:color="808080"/>
            </w:tcBorders>
            <w:vAlign w:val="center"/>
            <w:hideMark/>
          </w:tcPr>
          <w:p w14:paraId="5679AA16" w14:textId="77777777" w:rsidR="00CC659A" w:rsidRPr="00CC659A" w:rsidRDefault="00CC659A" w:rsidP="00CC659A">
            <w:pPr>
              <w:spacing w:after="0" w:line="240" w:lineRule="auto"/>
              <w:ind w:left="-108"/>
              <w:rPr>
                <w:rFonts w:ascii="Times New Roman" w:eastAsia="Times New Roman" w:hAnsi="Times New Roman" w:cs="Times New Roman"/>
                <w:b/>
                <w:bCs/>
                <w:color w:val="000000"/>
                <w:sz w:val="16"/>
                <w:szCs w:val="16"/>
                <w:lang w:val="es-ES"/>
              </w:rPr>
            </w:pPr>
          </w:p>
        </w:tc>
        <w:tc>
          <w:tcPr>
            <w:tcW w:w="444" w:type="pct"/>
            <w:vMerge/>
            <w:tcBorders>
              <w:top w:val="single" w:sz="8" w:space="0" w:color="808080"/>
              <w:left w:val="single" w:sz="4" w:space="0" w:color="808080"/>
              <w:bottom w:val="single" w:sz="8" w:space="0" w:color="808080"/>
              <w:right w:val="nil"/>
            </w:tcBorders>
            <w:vAlign w:val="center"/>
            <w:hideMark/>
          </w:tcPr>
          <w:p w14:paraId="147EFC97" w14:textId="77777777" w:rsidR="00CC659A" w:rsidRPr="00CC659A" w:rsidRDefault="00CC659A" w:rsidP="00CC659A">
            <w:pPr>
              <w:spacing w:after="0" w:line="240" w:lineRule="auto"/>
              <w:ind w:left="-108"/>
              <w:rPr>
                <w:rFonts w:ascii="Times New Roman" w:eastAsia="Times New Roman" w:hAnsi="Times New Roman" w:cs="Times New Roman"/>
                <w:b/>
                <w:bCs/>
                <w:color w:val="000000"/>
                <w:sz w:val="16"/>
                <w:szCs w:val="16"/>
                <w:lang w:val="es-ES"/>
              </w:rPr>
            </w:pPr>
          </w:p>
        </w:tc>
      </w:tr>
      <w:tr w:rsidR="006D34EE" w:rsidRPr="00CC659A" w14:paraId="15825714" w14:textId="77777777" w:rsidTr="00477854">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11BC67D4" w14:textId="77777777" w:rsidR="00CC659A" w:rsidRPr="00CC659A" w:rsidRDefault="00CC659A" w:rsidP="00CC659A">
            <w:pPr>
              <w:spacing w:after="0" w:line="240" w:lineRule="auto"/>
              <w:ind w:left="-108"/>
              <w:jc w:val="right"/>
              <w:rPr>
                <w:rFonts w:eastAsia="Times New Roman"/>
                <w:color w:val="000000"/>
                <w:sz w:val="16"/>
                <w:szCs w:val="16"/>
                <w:lang w:val="es-ES"/>
              </w:rPr>
            </w:pPr>
            <w:r w:rsidRPr="00CC659A">
              <w:rPr>
                <w:rFonts w:eastAsia="Times New Roman"/>
                <w:color w:val="000000"/>
                <w:sz w:val="16"/>
                <w:szCs w:val="16"/>
                <w:lang w:val="es-ES"/>
              </w:rPr>
              <w:t>1</w:t>
            </w:r>
          </w:p>
        </w:tc>
        <w:tc>
          <w:tcPr>
            <w:tcW w:w="920" w:type="pct"/>
            <w:tcBorders>
              <w:top w:val="nil"/>
              <w:left w:val="nil"/>
              <w:bottom w:val="nil"/>
              <w:right w:val="nil"/>
            </w:tcBorders>
            <w:shd w:val="clear" w:color="auto" w:fill="auto"/>
            <w:vAlign w:val="center"/>
            <w:hideMark/>
          </w:tcPr>
          <w:p w14:paraId="03E7F2EE" w14:textId="112B99E0" w:rsidR="00CC659A" w:rsidRPr="00CC659A" w:rsidRDefault="00B77017"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Afganistán</w:t>
            </w:r>
          </w:p>
        </w:tc>
        <w:tc>
          <w:tcPr>
            <w:tcW w:w="404" w:type="pct"/>
            <w:tcBorders>
              <w:top w:val="nil"/>
              <w:left w:val="nil"/>
              <w:bottom w:val="nil"/>
              <w:right w:val="nil"/>
            </w:tcBorders>
            <w:shd w:val="clear" w:color="auto" w:fill="auto"/>
            <w:vAlign w:val="center"/>
            <w:hideMark/>
          </w:tcPr>
          <w:p w14:paraId="745F4FCD" w14:textId="77777777" w:rsidR="00CC659A" w:rsidRPr="00CC659A" w:rsidRDefault="00CC659A" w:rsidP="00CC659A">
            <w:pPr>
              <w:spacing w:after="0" w:line="240" w:lineRule="auto"/>
              <w:ind w:left="-108"/>
              <w:jc w:val="center"/>
              <w:rPr>
                <w:rFonts w:eastAsia="Times New Roman"/>
                <w:color w:val="000000"/>
                <w:sz w:val="16"/>
                <w:szCs w:val="16"/>
                <w:lang w:val="es-ES"/>
              </w:rPr>
            </w:pPr>
            <w:r w:rsidRPr="00CC659A">
              <w:rPr>
                <w:rFonts w:eastAsia="Times New Roman"/>
                <w:color w:val="000000"/>
                <w:sz w:val="16"/>
                <w:szCs w:val="16"/>
                <w:lang w:val="es-ES"/>
              </w:rPr>
              <w:t>0.006</w:t>
            </w:r>
          </w:p>
        </w:tc>
        <w:tc>
          <w:tcPr>
            <w:tcW w:w="420" w:type="pct"/>
            <w:tcBorders>
              <w:top w:val="nil"/>
              <w:left w:val="nil"/>
              <w:bottom w:val="nil"/>
              <w:right w:val="single" w:sz="8" w:space="0" w:color="808080"/>
            </w:tcBorders>
            <w:shd w:val="clear" w:color="auto" w:fill="auto"/>
            <w:vAlign w:val="center"/>
            <w:hideMark/>
          </w:tcPr>
          <w:p w14:paraId="07856649" w14:textId="77777777" w:rsidR="00CC659A" w:rsidRPr="00CC659A" w:rsidRDefault="00CC659A" w:rsidP="00CC659A">
            <w:pPr>
              <w:spacing w:after="0" w:line="240" w:lineRule="auto"/>
              <w:ind w:left="-108"/>
              <w:jc w:val="right"/>
              <w:rPr>
                <w:rFonts w:eastAsia="Times New Roman" w:cs="Arial"/>
                <w:color w:val="000000"/>
                <w:sz w:val="16"/>
                <w:szCs w:val="16"/>
                <w:lang w:val="es-ES"/>
              </w:rPr>
            </w:pPr>
            <w:r w:rsidRPr="00CC659A">
              <w:rPr>
                <w:rFonts w:eastAsia="Times New Roman" w:cs="Arial"/>
                <w:color w:val="000000"/>
                <w:sz w:val="16"/>
                <w:szCs w:val="16"/>
                <w:lang w:val="es-ES"/>
              </w:rPr>
              <w:t xml:space="preserve"> 0.014 </w:t>
            </w:r>
          </w:p>
        </w:tc>
        <w:tc>
          <w:tcPr>
            <w:tcW w:w="444" w:type="pct"/>
            <w:tcBorders>
              <w:top w:val="nil"/>
              <w:left w:val="nil"/>
              <w:bottom w:val="nil"/>
              <w:right w:val="single" w:sz="4" w:space="0" w:color="808080"/>
            </w:tcBorders>
            <w:shd w:val="clear" w:color="auto" w:fill="auto"/>
            <w:vAlign w:val="center"/>
            <w:hideMark/>
          </w:tcPr>
          <w:p w14:paraId="23B1A6E8"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1 208 </w:t>
            </w:r>
          </w:p>
        </w:tc>
        <w:tc>
          <w:tcPr>
            <w:tcW w:w="437" w:type="pct"/>
            <w:tcBorders>
              <w:top w:val="nil"/>
              <w:left w:val="nil"/>
              <w:bottom w:val="nil"/>
              <w:right w:val="single" w:sz="8" w:space="0" w:color="808080"/>
            </w:tcBorders>
            <w:shd w:val="clear" w:color="auto" w:fill="auto"/>
            <w:vAlign w:val="center"/>
            <w:hideMark/>
          </w:tcPr>
          <w:p w14:paraId="715CE872"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403 </w:t>
            </w:r>
          </w:p>
        </w:tc>
        <w:tc>
          <w:tcPr>
            <w:tcW w:w="444" w:type="pct"/>
            <w:tcBorders>
              <w:top w:val="nil"/>
              <w:left w:val="nil"/>
              <w:bottom w:val="nil"/>
              <w:right w:val="single" w:sz="4" w:space="0" w:color="808080"/>
            </w:tcBorders>
            <w:shd w:val="clear" w:color="auto" w:fill="auto"/>
            <w:vAlign w:val="center"/>
            <w:hideMark/>
          </w:tcPr>
          <w:p w14:paraId="144E5946"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1 348 </w:t>
            </w:r>
          </w:p>
        </w:tc>
        <w:tc>
          <w:tcPr>
            <w:tcW w:w="437" w:type="pct"/>
            <w:tcBorders>
              <w:top w:val="nil"/>
              <w:left w:val="nil"/>
              <w:bottom w:val="nil"/>
              <w:right w:val="single" w:sz="8" w:space="0" w:color="808080"/>
            </w:tcBorders>
            <w:shd w:val="clear" w:color="auto" w:fill="auto"/>
            <w:vAlign w:val="center"/>
            <w:hideMark/>
          </w:tcPr>
          <w:p w14:paraId="1CC38FA6"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449 </w:t>
            </w:r>
          </w:p>
        </w:tc>
        <w:tc>
          <w:tcPr>
            <w:tcW w:w="444" w:type="pct"/>
            <w:tcBorders>
              <w:top w:val="nil"/>
              <w:left w:val="nil"/>
              <w:bottom w:val="nil"/>
              <w:right w:val="single" w:sz="4" w:space="0" w:color="808080"/>
            </w:tcBorders>
            <w:shd w:val="clear" w:color="auto" w:fill="auto"/>
            <w:vAlign w:val="center"/>
            <w:hideMark/>
          </w:tcPr>
          <w:p w14:paraId="156A9625"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1 578 </w:t>
            </w:r>
          </w:p>
        </w:tc>
        <w:tc>
          <w:tcPr>
            <w:tcW w:w="437" w:type="pct"/>
            <w:tcBorders>
              <w:top w:val="nil"/>
              <w:left w:val="nil"/>
              <w:bottom w:val="nil"/>
              <w:right w:val="single" w:sz="8" w:space="0" w:color="808080"/>
            </w:tcBorders>
            <w:shd w:val="clear" w:color="auto" w:fill="auto"/>
            <w:vAlign w:val="center"/>
            <w:hideMark/>
          </w:tcPr>
          <w:p w14:paraId="350EBDD1"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526 </w:t>
            </w:r>
          </w:p>
        </w:tc>
        <w:tc>
          <w:tcPr>
            <w:tcW w:w="444" w:type="pct"/>
            <w:tcBorders>
              <w:top w:val="nil"/>
              <w:left w:val="single" w:sz="4" w:space="0" w:color="808080"/>
              <w:bottom w:val="nil"/>
              <w:right w:val="single" w:sz="8" w:space="0" w:color="808080"/>
            </w:tcBorders>
            <w:shd w:val="clear" w:color="auto" w:fill="auto"/>
            <w:vAlign w:val="center"/>
            <w:hideMark/>
          </w:tcPr>
          <w:p w14:paraId="1194D37F"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1 372 </w:t>
            </w:r>
          </w:p>
        </w:tc>
      </w:tr>
      <w:tr w:rsidR="006D34EE" w:rsidRPr="00CC659A" w14:paraId="6C7AA711" w14:textId="77777777" w:rsidTr="00477854">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445346A0" w14:textId="77777777" w:rsidR="00CC659A" w:rsidRPr="00CC659A" w:rsidRDefault="00CC659A" w:rsidP="00CC659A">
            <w:pPr>
              <w:spacing w:after="0" w:line="240" w:lineRule="auto"/>
              <w:ind w:left="-108"/>
              <w:jc w:val="right"/>
              <w:rPr>
                <w:rFonts w:eastAsia="Times New Roman"/>
                <w:color w:val="000000"/>
                <w:sz w:val="16"/>
                <w:szCs w:val="16"/>
                <w:lang w:val="es-ES"/>
              </w:rPr>
            </w:pPr>
            <w:r w:rsidRPr="00CC659A">
              <w:rPr>
                <w:rFonts w:eastAsia="Times New Roman"/>
                <w:color w:val="000000"/>
                <w:sz w:val="16"/>
                <w:szCs w:val="16"/>
                <w:lang w:val="es-ES"/>
              </w:rPr>
              <w:t>2</w:t>
            </w:r>
          </w:p>
        </w:tc>
        <w:tc>
          <w:tcPr>
            <w:tcW w:w="920" w:type="pct"/>
            <w:tcBorders>
              <w:top w:val="nil"/>
              <w:left w:val="nil"/>
              <w:bottom w:val="nil"/>
              <w:right w:val="nil"/>
            </w:tcBorders>
            <w:shd w:val="clear" w:color="auto" w:fill="auto"/>
            <w:vAlign w:val="center"/>
            <w:hideMark/>
          </w:tcPr>
          <w:p w14:paraId="49C92FFB" w14:textId="68FA9FF2" w:rsidR="00CC659A" w:rsidRPr="00CC659A" w:rsidRDefault="00B77017"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Albania</w:t>
            </w:r>
            <w:r w:rsidR="00CC659A" w:rsidRPr="00CC659A">
              <w:rPr>
                <w:rFonts w:eastAsia="Times New Roman"/>
                <w:color w:val="000000"/>
                <w:sz w:val="16"/>
                <w:szCs w:val="16"/>
                <w:lang w:val="es-ES"/>
              </w:rPr>
              <w:t xml:space="preserve"> </w:t>
            </w:r>
          </w:p>
        </w:tc>
        <w:tc>
          <w:tcPr>
            <w:tcW w:w="404" w:type="pct"/>
            <w:tcBorders>
              <w:top w:val="nil"/>
              <w:left w:val="nil"/>
              <w:bottom w:val="nil"/>
              <w:right w:val="nil"/>
            </w:tcBorders>
            <w:shd w:val="clear" w:color="auto" w:fill="auto"/>
            <w:vAlign w:val="center"/>
            <w:hideMark/>
          </w:tcPr>
          <w:p w14:paraId="46429171" w14:textId="77777777" w:rsidR="00CC659A" w:rsidRPr="00CC659A" w:rsidRDefault="00CC659A" w:rsidP="00CC659A">
            <w:pPr>
              <w:spacing w:after="0" w:line="240" w:lineRule="auto"/>
              <w:ind w:left="-108"/>
              <w:jc w:val="center"/>
              <w:rPr>
                <w:rFonts w:eastAsia="Times New Roman"/>
                <w:color w:val="000000"/>
                <w:sz w:val="16"/>
                <w:szCs w:val="16"/>
                <w:lang w:val="es-ES"/>
              </w:rPr>
            </w:pPr>
            <w:r w:rsidRPr="00CC659A">
              <w:rPr>
                <w:rFonts w:eastAsia="Times New Roman"/>
                <w:color w:val="000000"/>
                <w:sz w:val="16"/>
                <w:szCs w:val="16"/>
                <w:lang w:val="es-ES"/>
              </w:rPr>
              <w:t>0.008</w:t>
            </w:r>
          </w:p>
        </w:tc>
        <w:tc>
          <w:tcPr>
            <w:tcW w:w="420" w:type="pct"/>
            <w:tcBorders>
              <w:top w:val="nil"/>
              <w:left w:val="nil"/>
              <w:bottom w:val="nil"/>
              <w:right w:val="single" w:sz="8" w:space="0" w:color="808080"/>
            </w:tcBorders>
            <w:shd w:val="clear" w:color="auto" w:fill="auto"/>
            <w:vAlign w:val="center"/>
            <w:hideMark/>
          </w:tcPr>
          <w:p w14:paraId="02D26D0D" w14:textId="77777777" w:rsidR="00CC659A" w:rsidRPr="00CC659A" w:rsidRDefault="00CC659A" w:rsidP="00CC659A">
            <w:pPr>
              <w:spacing w:after="0" w:line="240" w:lineRule="auto"/>
              <w:ind w:left="-108"/>
              <w:jc w:val="right"/>
              <w:rPr>
                <w:rFonts w:eastAsia="Times New Roman" w:cs="Arial"/>
                <w:color w:val="000000"/>
                <w:sz w:val="16"/>
                <w:szCs w:val="16"/>
                <w:lang w:val="es-ES"/>
              </w:rPr>
            </w:pPr>
            <w:r w:rsidRPr="00CC659A">
              <w:rPr>
                <w:rFonts w:eastAsia="Times New Roman" w:cs="Arial"/>
                <w:color w:val="000000"/>
                <w:sz w:val="16"/>
                <w:szCs w:val="16"/>
                <w:lang w:val="es-ES"/>
              </w:rPr>
              <w:t xml:space="preserve">0.018 </w:t>
            </w:r>
          </w:p>
        </w:tc>
        <w:tc>
          <w:tcPr>
            <w:tcW w:w="444" w:type="pct"/>
            <w:tcBorders>
              <w:top w:val="nil"/>
              <w:left w:val="nil"/>
              <w:bottom w:val="nil"/>
              <w:right w:val="single" w:sz="4" w:space="0" w:color="808080"/>
            </w:tcBorders>
            <w:shd w:val="clear" w:color="auto" w:fill="auto"/>
            <w:vAlign w:val="center"/>
            <w:hideMark/>
          </w:tcPr>
          <w:p w14:paraId="5DAE4CC2"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1 611 </w:t>
            </w:r>
          </w:p>
        </w:tc>
        <w:tc>
          <w:tcPr>
            <w:tcW w:w="437" w:type="pct"/>
            <w:tcBorders>
              <w:top w:val="nil"/>
              <w:left w:val="nil"/>
              <w:bottom w:val="nil"/>
              <w:right w:val="single" w:sz="8" w:space="0" w:color="808080"/>
            </w:tcBorders>
            <w:shd w:val="clear" w:color="auto" w:fill="auto"/>
            <w:vAlign w:val="center"/>
            <w:hideMark/>
          </w:tcPr>
          <w:p w14:paraId="02C3A1CC"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537 </w:t>
            </w:r>
          </w:p>
        </w:tc>
        <w:tc>
          <w:tcPr>
            <w:tcW w:w="444" w:type="pct"/>
            <w:tcBorders>
              <w:top w:val="nil"/>
              <w:left w:val="nil"/>
              <w:bottom w:val="nil"/>
              <w:right w:val="single" w:sz="4" w:space="0" w:color="808080"/>
            </w:tcBorders>
            <w:shd w:val="clear" w:color="auto" w:fill="auto"/>
            <w:vAlign w:val="center"/>
            <w:hideMark/>
          </w:tcPr>
          <w:p w14:paraId="2622C822"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1 797 </w:t>
            </w:r>
          </w:p>
        </w:tc>
        <w:tc>
          <w:tcPr>
            <w:tcW w:w="437" w:type="pct"/>
            <w:tcBorders>
              <w:top w:val="nil"/>
              <w:left w:val="nil"/>
              <w:bottom w:val="nil"/>
              <w:right w:val="single" w:sz="8" w:space="0" w:color="808080"/>
            </w:tcBorders>
            <w:shd w:val="clear" w:color="auto" w:fill="auto"/>
            <w:vAlign w:val="center"/>
            <w:hideMark/>
          </w:tcPr>
          <w:p w14:paraId="1F647C99"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599 </w:t>
            </w:r>
          </w:p>
        </w:tc>
        <w:tc>
          <w:tcPr>
            <w:tcW w:w="444" w:type="pct"/>
            <w:tcBorders>
              <w:top w:val="nil"/>
              <w:left w:val="nil"/>
              <w:bottom w:val="nil"/>
              <w:right w:val="single" w:sz="4" w:space="0" w:color="808080"/>
            </w:tcBorders>
            <w:shd w:val="clear" w:color="auto" w:fill="auto"/>
            <w:vAlign w:val="center"/>
            <w:hideMark/>
          </w:tcPr>
          <w:p w14:paraId="6D0CC58F"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2 105 </w:t>
            </w:r>
          </w:p>
        </w:tc>
        <w:tc>
          <w:tcPr>
            <w:tcW w:w="437" w:type="pct"/>
            <w:tcBorders>
              <w:top w:val="nil"/>
              <w:left w:val="nil"/>
              <w:bottom w:val="nil"/>
              <w:right w:val="single" w:sz="8" w:space="0" w:color="808080"/>
            </w:tcBorders>
            <w:shd w:val="clear" w:color="auto" w:fill="auto"/>
            <w:vAlign w:val="center"/>
            <w:hideMark/>
          </w:tcPr>
          <w:p w14:paraId="1E03DFD5"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702 </w:t>
            </w:r>
          </w:p>
        </w:tc>
        <w:tc>
          <w:tcPr>
            <w:tcW w:w="444" w:type="pct"/>
            <w:tcBorders>
              <w:top w:val="nil"/>
              <w:left w:val="single" w:sz="4" w:space="0" w:color="808080"/>
              <w:bottom w:val="nil"/>
              <w:right w:val="single" w:sz="8" w:space="0" w:color="808080"/>
            </w:tcBorders>
            <w:shd w:val="clear" w:color="auto" w:fill="auto"/>
            <w:vAlign w:val="center"/>
            <w:hideMark/>
          </w:tcPr>
          <w:p w14:paraId="15AEC2FA"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1 565 </w:t>
            </w:r>
          </w:p>
        </w:tc>
      </w:tr>
      <w:tr w:rsidR="006D34EE" w:rsidRPr="00CC659A" w14:paraId="43BB446D" w14:textId="77777777" w:rsidTr="00477854">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3868247F" w14:textId="77777777" w:rsidR="00CC659A" w:rsidRPr="00CC659A" w:rsidRDefault="00CC659A" w:rsidP="00CC659A">
            <w:pPr>
              <w:spacing w:after="0" w:line="240" w:lineRule="auto"/>
              <w:ind w:left="-108"/>
              <w:jc w:val="right"/>
              <w:rPr>
                <w:rFonts w:eastAsia="Times New Roman"/>
                <w:color w:val="000000"/>
                <w:sz w:val="16"/>
                <w:szCs w:val="16"/>
                <w:lang w:val="es-ES"/>
              </w:rPr>
            </w:pPr>
            <w:r w:rsidRPr="00CC659A">
              <w:rPr>
                <w:rFonts w:eastAsia="Times New Roman"/>
                <w:color w:val="000000"/>
                <w:sz w:val="16"/>
                <w:szCs w:val="16"/>
                <w:lang w:val="es-ES"/>
              </w:rPr>
              <w:t>3</w:t>
            </w:r>
          </w:p>
        </w:tc>
        <w:tc>
          <w:tcPr>
            <w:tcW w:w="920" w:type="pct"/>
            <w:tcBorders>
              <w:top w:val="nil"/>
              <w:left w:val="nil"/>
              <w:bottom w:val="nil"/>
              <w:right w:val="nil"/>
            </w:tcBorders>
            <w:shd w:val="clear" w:color="auto" w:fill="auto"/>
            <w:vAlign w:val="center"/>
            <w:hideMark/>
          </w:tcPr>
          <w:p w14:paraId="0E4CF694" w14:textId="605E3AE6" w:rsidR="00CC659A" w:rsidRPr="00CC659A" w:rsidRDefault="00B77017" w:rsidP="00CC659A">
            <w:pPr>
              <w:spacing w:after="0" w:line="240" w:lineRule="auto"/>
              <w:ind w:left="-108"/>
              <w:rPr>
                <w:rFonts w:eastAsia="Times New Roman"/>
                <w:color w:val="000000"/>
                <w:sz w:val="16"/>
                <w:szCs w:val="16"/>
                <w:lang w:val="es-ES"/>
              </w:rPr>
            </w:pPr>
            <w:r>
              <w:rPr>
                <w:rFonts w:eastAsia="Times New Roman"/>
                <w:color w:val="000000"/>
                <w:sz w:val="16"/>
                <w:szCs w:val="16"/>
                <w:lang w:val="es-ES"/>
              </w:rPr>
              <w:t>Argelia</w:t>
            </w:r>
          </w:p>
        </w:tc>
        <w:tc>
          <w:tcPr>
            <w:tcW w:w="404" w:type="pct"/>
            <w:tcBorders>
              <w:top w:val="nil"/>
              <w:left w:val="nil"/>
              <w:bottom w:val="nil"/>
              <w:right w:val="nil"/>
            </w:tcBorders>
            <w:shd w:val="clear" w:color="auto" w:fill="auto"/>
            <w:vAlign w:val="center"/>
            <w:hideMark/>
          </w:tcPr>
          <w:p w14:paraId="399C4875" w14:textId="77777777" w:rsidR="00CC659A" w:rsidRPr="00CC659A" w:rsidRDefault="00CC659A" w:rsidP="00CC659A">
            <w:pPr>
              <w:spacing w:after="0" w:line="240" w:lineRule="auto"/>
              <w:ind w:left="-108"/>
              <w:jc w:val="center"/>
              <w:rPr>
                <w:rFonts w:eastAsia="Times New Roman"/>
                <w:color w:val="000000"/>
                <w:sz w:val="16"/>
                <w:szCs w:val="16"/>
                <w:lang w:val="es-ES"/>
              </w:rPr>
            </w:pPr>
            <w:r w:rsidRPr="00CC659A">
              <w:rPr>
                <w:rFonts w:eastAsia="Times New Roman"/>
                <w:color w:val="000000"/>
                <w:sz w:val="16"/>
                <w:szCs w:val="16"/>
                <w:lang w:val="es-ES"/>
              </w:rPr>
              <w:t>0.109</w:t>
            </w:r>
          </w:p>
        </w:tc>
        <w:tc>
          <w:tcPr>
            <w:tcW w:w="420" w:type="pct"/>
            <w:tcBorders>
              <w:top w:val="nil"/>
              <w:left w:val="nil"/>
              <w:bottom w:val="nil"/>
              <w:right w:val="single" w:sz="8" w:space="0" w:color="808080"/>
            </w:tcBorders>
            <w:shd w:val="clear" w:color="auto" w:fill="auto"/>
            <w:vAlign w:val="center"/>
            <w:hideMark/>
          </w:tcPr>
          <w:p w14:paraId="3B948F4A" w14:textId="77777777" w:rsidR="00CC659A" w:rsidRPr="00CC659A" w:rsidRDefault="00CC659A" w:rsidP="00CC659A">
            <w:pPr>
              <w:spacing w:after="0" w:line="240" w:lineRule="auto"/>
              <w:ind w:left="-108"/>
              <w:jc w:val="right"/>
              <w:rPr>
                <w:rFonts w:eastAsia="Times New Roman" w:cs="Arial"/>
                <w:color w:val="000000"/>
                <w:sz w:val="16"/>
                <w:szCs w:val="16"/>
                <w:lang w:val="es-ES"/>
              </w:rPr>
            </w:pPr>
            <w:r w:rsidRPr="00CC659A">
              <w:rPr>
                <w:rFonts w:eastAsia="Times New Roman" w:cs="Arial"/>
                <w:color w:val="000000"/>
                <w:sz w:val="16"/>
                <w:szCs w:val="16"/>
                <w:lang w:val="es-ES"/>
              </w:rPr>
              <w:t xml:space="preserve"> 0.251 </w:t>
            </w:r>
          </w:p>
        </w:tc>
        <w:tc>
          <w:tcPr>
            <w:tcW w:w="444" w:type="pct"/>
            <w:tcBorders>
              <w:top w:val="nil"/>
              <w:left w:val="nil"/>
              <w:bottom w:val="nil"/>
              <w:right w:val="single" w:sz="4" w:space="0" w:color="808080"/>
            </w:tcBorders>
            <w:shd w:val="clear" w:color="auto" w:fill="auto"/>
            <w:vAlign w:val="center"/>
            <w:hideMark/>
          </w:tcPr>
          <w:p w14:paraId="4D49DB1B"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21 953 </w:t>
            </w:r>
          </w:p>
        </w:tc>
        <w:tc>
          <w:tcPr>
            <w:tcW w:w="437" w:type="pct"/>
            <w:tcBorders>
              <w:top w:val="nil"/>
              <w:left w:val="nil"/>
              <w:bottom w:val="nil"/>
              <w:right w:val="single" w:sz="8" w:space="0" w:color="808080"/>
            </w:tcBorders>
            <w:shd w:val="clear" w:color="auto" w:fill="auto"/>
            <w:vAlign w:val="center"/>
            <w:hideMark/>
          </w:tcPr>
          <w:p w14:paraId="256770C1"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7 318 </w:t>
            </w:r>
          </w:p>
        </w:tc>
        <w:tc>
          <w:tcPr>
            <w:tcW w:w="444" w:type="pct"/>
            <w:tcBorders>
              <w:top w:val="nil"/>
              <w:left w:val="nil"/>
              <w:bottom w:val="nil"/>
              <w:right w:val="single" w:sz="4" w:space="0" w:color="808080"/>
            </w:tcBorders>
            <w:shd w:val="clear" w:color="auto" w:fill="auto"/>
            <w:vAlign w:val="center"/>
            <w:hideMark/>
          </w:tcPr>
          <w:p w14:paraId="0C5D5CB4"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24 489 </w:t>
            </w:r>
          </w:p>
        </w:tc>
        <w:tc>
          <w:tcPr>
            <w:tcW w:w="437" w:type="pct"/>
            <w:tcBorders>
              <w:top w:val="nil"/>
              <w:left w:val="nil"/>
              <w:bottom w:val="nil"/>
              <w:right w:val="single" w:sz="8" w:space="0" w:color="808080"/>
            </w:tcBorders>
            <w:shd w:val="clear" w:color="auto" w:fill="auto"/>
            <w:vAlign w:val="center"/>
            <w:hideMark/>
          </w:tcPr>
          <w:p w14:paraId="74BA2EE4"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8 163 </w:t>
            </w:r>
          </w:p>
        </w:tc>
        <w:tc>
          <w:tcPr>
            <w:tcW w:w="444" w:type="pct"/>
            <w:tcBorders>
              <w:top w:val="nil"/>
              <w:left w:val="nil"/>
              <w:bottom w:val="nil"/>
              <w:right w:val="single" w:sz="4" w:space="0" w:color="808080"/>
            </w:tcBorders>
            <w:shd w:val="clear" w:color="auto" w:fill="auto"/>
            <w:vAlign w:val="center"/>
            <w:hideMark/>
          </w:tcPr>
          <w:p w14:paraId="25A5E84D"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28 674 </w:t>
            </w:r>
          </w:p>
        </w:tc>
        <w:tc>
          <w:tcPr>
            <w:tcW w:w="437" w:type="pct"/>
            <w:tcBorders>
              <w:top w:val="nil"/>
              <w:left w:val="nil"/>
              <w:bottom w:val="nil"/>
              <w:right w:val="single" w:sz="8" w:space="0" w:color="808080"/>
            </w:tcBorders>
            <w:shd w:val="clear" w:color="auto" w:fill="auto"/>
            <w:vAlign w:val="center"/>
            <w:hideMark/>
          </w:tcPr>
          <w:p w14:paraId="68CD9508"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9 558 </w:t>
            </w:r>
          </w:p>
        </w:tc>
        <w:tc>
          <w:tcPr>
            <w:tcW w:w="444" w:type="pct"/>
            <w:tcBorders>
              <w:top w:val="nil"/>
              <w:left w:val="single" w:sz="4" w:space="0" w:color="808080"/>
              <w:bottom w:val="nil"/>
              <w:right w:val="single" w:sz="8" w:space="0" w:color="808080"/>
            </w:tcBorders>
            <w:shd w:val="clear" w:color="auto" w:fill="auto"/>
            <w:vAlign w:val="center"/>
            <w:hideMark/>
          </w:tcPr>
          <w:p w14:paraId="31DB438D"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27 042 </w:t>
            </w:r>
          </w:p>
        </w:tc>
      </w:tr>
      <w:tr w:rsidR="006D34EE" w:rsidRPr="00CC659A" w14:paraId="3048952C" w14:textId="77777777" w:rsidTr="00477854">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023CD907" w14:textId="77777777" w:rsidR="00CC659A" w:rsidRPr="00CC659A" w:rsidRDefault="00CC659A" w:rsidP="00CC659A">
            <w:pPr>
              <w:spacing w:after="0" w:line="240" w:lineRule="auto"/>
              <w:ind w:left="-108"/>
              <w:jc w:val="right"/>
              <w:rPr>
                <w:rFonts w:eastAsia="Times New Roman"/>
                <w:color w:val="000000"/>
                <w:sz w:val="16"/>
                <w:szCs w:val="16"/>
                <w:lang w:val="es-ES"/>
              </w:rPr>
            </w:pPr>
            <w:r w:rsidRPr="00CC659A">
              <w:rPr>
                <w:rFonts w:eastAsia="Times New Roman"/>
                <w:color w:val="000000"/>
                <w:sz w:val="16"/>
                <w:szCs w:val="16"/>
                <w:lang w:val="es-ES"/>
              </w:rPr>
              <w:t>4</w:t>
            </w:r>
          </w:p>
        </w:tc>
        <w:tc>
          <w:tcPr>
            <w:tcW w:w="920" w:type="pct"/>
            <w:tcBorders>
              <w:top w:val="nil"/>
              <w:left w:val="nil"/>
              <w:bottom w:val="nil"/>
              <w:right w:val="nil"/>
            </w:tcBorders>
            <w:shd w:val="clear" w:color="auto" w:fill="auto"/>
            <w:vAlign w:val="center"/>
            <w:hideMark/>
          </w:tcPr>
          <w:p w14:paraId="735E8355"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Angola</w:t>
            </w:r>
          </w:p>
        </w:tc>
        <w:tc>
          <w:tcPr>
            <w:tcW w:w="404" w:type="pct"/>
            <w:tcBorders>
              <w:top w:val="nil"/>
              <w:left w:val="nil"/>
              <w:bottom w:val="nil"/>
              <w:right w:val="nil"/>
            </w:tcBorders>
            <w:shd w:val="clear" w:color="auto" w:fill="auto"/>
            <w:vAlign w:val="center"/>
            <w:hideMark/>
          </w:tcPr>
          <w:p w14:paraId="0BE15104" w14:textId="77777777" w:rsidR="00CC659A" w:rsidRPr="00CC659A" w:rsidRDefault="00CC659A" w:rsidP="00CC659A">
            <w:pPr>
              <w:spacing w:after="0" w:line="240" w:lineRule="auto"/>
              <w:ind w:left="-108"/>
              <w:jc w:val="center"/>
              <w:rPr>
                <w:rFonts w:eastAsia="Times New Roman"/>
                <w:color w:val="000000"/>
                <w:sz w:val="16"/>
                <w:szCs w:val="16"/>
                <w:lang w:val="es-ES"/>
              </w:rPr>
            </w:pPr>
            <w:r w:rsidRPr="00CC659A">
              <w:rPr>
                <w:rFonts w:eastAsia="Times New Roman"/>
                <w:color w:val="000000"/>
                <w:sz w:val="16"/>
                <w:szCs w:val="16"/>
                <w:lang w:val="es-ES"/>
              </w:rPr>
              <w:t>0.01</w:t>
            </w:r>
          </w:p>
        </w:tc>
        <w:tc>
          <w:tcPr>
            <w:tcW w:w="420" w:type="pct"/>
            <w:tcBorders>
              <w:top w:val="nil"/>
              <w:left w:val="nil"/>
              <w:bottom w:val="nil"/>
              <w:right w:val="single" w:sz="8" w:space="0" w:color="808080"/>
            </w:tcBorders>
            <w:shd w:val="clear" w:color="auto" w:fill="auto"/>
            <w:vAlign w:val="center"/>
            <w:hideMark/>
          </w:tcPr>
          <w:p w14:paraId="5DEDB7AE" w14:textId="77777777" w:rsidR="00CC659A" w:rsidRPr="00CC659A" w:rsidRDefault="00CC659A" w:rsidP="00CC659A">
            <w:pPr>
              <w:spacing w:after="0" w:line="240" w:lineRule="auto"/>
              <w:ind w:left="-108"/>
              <w:jc w:val="right"/>
              <w:rPr>
                <w:rFonts w:eastAsia="Times New Roman" w:cs="Arial"/>
                <w:color w:val="000000"/>
                <w:sz w:val="16"/>
                <w:szCs w:val="16"/>
                <w:lang w:val="es-ES"/>
              </w:rPr>
            </w:pPr>
            <w:r w:rsidRPr="00CC659A">
              <w:rPr>
                <w:rFonts w:eastAsia="Times New Roman" w:cs="Arial"/>
                <w:color w:val="000000"/>
                <w:sz w:val="16"/>
                <w:szCs w:val="16"/>
                <w:lang w:val="es-ES"/>
              </w:rPr>
              <w:t xml:space="preserve">0.023 </w:t>
            </w:r>
          </w:p>
        </w:tc>
        <w:tc>
          <w:tcPr>
            <w:tcW w:w="444" w:type="pct"/>
            <w:tcBorders>
              <w:top w:val="nil"/>
              <w:left w:val="nil"/>
              <w:bottom w:val="nil"/>
              <w:right w:val="single" w:sz="4" w:space="0" w:color="808080"/>
            </w:tcBorders>
            <w:shd w:val="clear" w:color="auto" w:fill="auto"/>
            <w:vAlign w:val="center"/>
            <w:hideMark/>
          </w:tcPr>
          <w:p w14:paraId="03AC7504"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2 014 </w:t>
            </w:r>
          </w:p>
        </w:tc>
        <w:tc>
          <w:tcPr>
            <w:tcW w:w="437" w:type="pct"/>
            <w:tcBorders>
              <w:top w:val="nil"/>
              <w:left w:val="nil"/>
              <w:bottom w:val="nil"/>
              <w:right w:val="single" w:sz="8" w:space="0" w:color="808080"/>
            </w:tcBorders>
            <w:shd w:val="clear" w:color="auto" w:fill="auto"/>
            <w:vAlign w:val="center"/>
            <w:hideMark/>
          </w:tcPr>
          <w:p w14:paraId="0A11D606"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671 </w:t>
            </w:r>
          </w:p>
        </w:tc>
        <w:tc>
          <w:tcPr>
            <w:tcW w:w="444" w:type="pct"/>
            <w:tcBorders>
              <w:top w:val="nil"/>
              <w:left w:val="nil"/>
              <w:bottom w:val="nil"/>
              <w:right w:val="single" w:sz="4" w:space="0" w:color="808080"/>
            </w:tcBorders>
            <w:shd w:val="clear" w:color="auto" w:fill="auto"/>
            <w:vAlign w:val="center"/>
            <w:hideMark/>
          </w:tcPr>
          <w:p w14:paraId="694C672A"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2 247 </w:t>
            </w:r>
          </w:p>
        </w:tc>
        <w:tc>
          <w:tcPr>
            <w:tcW w:w="437" w:type="pct"/>
            <w:tcBorders>
              <w:top w:val="nil"/>
              <w:left w:val="nil"/>
              <w:bottom w:val="nil"/>
              <w:right w:val="single" w:sz="8" w:space="0" w:color="808080"/>
            </w:tcBorders>
            <w:shd w:val="clear" w:color="auto" w:fill="auto"/>
            <w:vAlign w:val="center"/>
            <w:hideMark/>
          </w:tcPr>
          <w:p w14:paraId="331E9EEF"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749 </w:t>
            </w:r>
          </w:p>
        </w:tc>
        <w:tc>
          <w:tcPr>
            <w:tcW w:w="444" w:type="pct"/>
            <w:tcBorders>
              <w:top w:val="nil"/>
              <w:left w:val="nil"/>
              <w:bottom w:val="nil"/>
              <w:right w:val="single" w:sz="4" w:space="0" w:color="808080"/>
            </w:tcBorders>
            <w:shd w:val="clear" w:color="auto" w:fill="auto"/>
            <w:vAlign w:val="center"/>
            <w:hideMark/>
          </w:tcPr>
          <w:p w14:paraId="38C40726"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2 631 </w:t>
            </w:r>
          </w:p>
        </w:tc>
        <w:tc>
          <w:tcPr>
            <w:tcW w:w="437" w:type="pct"/>
            <w:tcBorders>
              <w:top w:val="nil"/>
              <w:left w:val="nil"/>
              <w:bottom w:val="nil"/>
              <w:right w:val="single" w:sz="8" w:space="0" w:color="808080"/>
            </w:tcBorders>
            <w:shd w:val="clear" w:color="auto" w:fill="auto"/>
            <w:vAlign w:val="center"/>
            <w:hideMark/>
          </w:tcPr>
          <w:p w14:paraId="53530BDA"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877 </w:t>
            </w:r>
          </w:p>
        </w:tc>
        <w:tc>
          <w:tcPr>
            <w:tcW w:w="444" w:type="pct"/>
            <w:tcBorders>
              <w:top w:val="nil"/>
              <w:left w:val="single" w:sz="4" w:space="0" w:color="808080"/>
              <w:bottom w:val="nil"/>
              <w:right w:val="single" w:sz="8" w:space="0" w:color="808080"/>
            </w:tcBorders>
            <w:shd w:val="clear" w:color="auto" w:fill="auto"/>
            <w:vAlign w:val="center"/>
            <w:hideMark/>
          </w:tcPr>
          <w:p w14:paraId="33FA9C3D"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1 960 </w:t>
            </w:r>
          </w:p>
        </w:tc>
      </w:tr>
      <w:tr w:rsidR="006D34EE" w:rsidRPr="00CC659A" w14:paraId="70B528F3" w14:textId="77777777" w:rsidTr="00477854">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6B8F779F" w14:textId="77777777" w:rsidR="00CC659A" w:rsidRPr="00CC659A" w:rsidRDefault="00CC659A" w:rsidP="00CC659A">
            <w:pPr>
              <w:spacing w:after="0" w:line="240" w:lineRule="auto"/>
              <w:ind w:left="-108"/>
              <w:jc w:val="right"/>
              <w:rPr>
                <w:rFonts w:eastAsia="Times New Roman"/>
                <w:color w:val="000000"/>
                <w:sz w:val="16"/>
                <w:szCs w:val="16"/>
                <w:lang w:val="es-ES"/>
              </w:rPr>
            </w:pPr>
            <w:r w:rsidRPr="00CC659A">
              <w:rPr>
                <w:rFonts w:eastAsia="Times New Roman"/>
                <w:color w:val="000000"/>
                <w:sz w:val="16"/>
                <w:szCs w:val="16"/>
                <w:lang w:val="es-ES"/>
              </w:rPr>
              <w:t>5</w:t>
            </w:r>
          </w:p>
        </w:tc>
        <w:tc>
          <w:tcPr>
            <w:tcW w:w="920" w:type="pct"/>
            <w:tcBorders>
              <w:top w:val="nil"/>
              <w:left w:val="nil"/>
              <w:bottom w:val="nil"/>
              <w:right w:val="nil"/>
            </w:tcBorders>
            <w:shd w:val="clear" w:color="auto" w:fill="auto"/>
            <w:vAlign w:val="center"/>
            <w:hideMark/>
          </w:tcPr>
          <w:p w14:paraId="79ED0944" w14:textId="34C53043"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Antigua-</w:t>
            </w:r>
            <w:r w:rsidR="00B77017">
              <w:rPr>
                <w:rFonts w:eastAsia="Times New Roman"/>
                <w:color w:val="000000"/>
                <w:sz w:val="16"/>
                <w:szCs w:val="16"/>
                <w:lang w:val="es-ES"/>
              </w:rPr>
              <w:t>y</w:t>
            </w:r>
            <w:r w:rsidRPr="00CC659A">
              <w:rPr>
                <w:rFonts w:eastAsia="Times New Roman"/>
                <w:color w:val="000000"/>
                <w:sz w:val="16"/>
                <w:szCs w:val="16"/>
                <w:lang w:val="es-ES"/>
              </w:rPr>
              <w:t>-Barbuda</w:t>
            </w:r>
          </w:p>
        </w:tc>
        <w:tc>
          <w:tcPr>
            <w:tcW w:w="404" w:type="pct"/>
            <w:tcBorders>
              <w:top w:val="nil"/>
              <w:left w:val="nil"/>
              <w:bottom w:val="nil"/>
              <w:right w:val="nil"/>
            </w:tcBorders>
            <w:shd w:val="clear" w:color="auto" w:fill="auto"/>
            <w:vAlign w:val="center"/>
            <w:hideMark/>
          </w:tcPr>
          <w:p w14:paraId="1589754F" w14:textId="77777777" w:rsidR="00CC659A" w:rsidRPr="00CC659A" w:rsidRDefault="00CC659A" w:rsidP="00CC659A">
            <w:pPr>
              <w:spacing w:after="0" w:line="240" w:lineRule="auto"/>
              <w:ind w:left="-108"/>
              <w:jc w:val="center"/>
              <w:rPr>
                <w:rFonts w:eastAsia="Times New Roman"/>
                <w:color w:val="000000"/>
                <w:sz w:val="16"/>
                <w:szCs w:val="16"/>
                <w:lang w:val="es-ES"/>
              </w:rPr>
            </w:pPr>
            <w:r w:rsidRPr="00CC659A">
              <w:rPr>
                <w:rFonts w:eastAsia="Times New Roman"/>
                <w:color w:val="000000"/>
                <w:sz w:val="16"/>
                <w:szCs w:val="16"/>
                <w:lang w:val="es-ES"/>
              </w:rPr>
              <w:t>0.002</w:t>
            </w:r>
          </w:p>
        </w:tc>
        <w:tc>
          <w:tcPr>
            <w:tcW w:w="420" w:type="pct"/>
            <w:tcBorders>
              <w:top w:val="nil"/>
              <w:left w:val="nil"/>
              <w:bottom w:val="nil"/>
              <w:right w:val="single" w:sz="8" w:space="0" w:color="808080"/>
            </w:tcBorders>
            <w:shd w:val="clear" w:color="auto" w:fill="auto"/>
            <w:vAlign w:val="center"/>
            <w:hideMark/>
          </w:tcPr>
          <w:p w14:paraId="55661810" w14:textId="77777777" w:rsidR="00CC659A" w:rsidRPr="00CC659A" w:rsidRDefault="00CC659A" w:rsidP="00CC659A">
            <w:pPr>
              <w:spacing w:after="0" w:line="240" w:lineRule="auto"/>
              <w:ind w:left="-108"/>
              <w:jc w:val="right"/>
              <w:rPr>
                <w:rFonts w:eastAsia="Times New Roman" w:cs="Arial"/>
                <w:color w:val="000000"/>
                <w:sz w:val="16"/>
                <w:szCs w:val="16"/>
                <w:lang w:val="es-ES"/>
              </w:rPr>
            </w:pPr>
            <w:r w:rsidRPr="00CC659A">
              <w:rPr>
                <w:rFonts w:eastAsia="Times New Roman" w:cs="Arial"/>
                <w:color w:val="000000"/>
                <w:sz w:val="16"/>
                <w:szCs w:val="16"/>
                <w:lang w:val="es-ES"/>
              </w:rPr>
              <w:t xml:space="preserve">0.005 </w:t>
            </w:r>
          </w:p>
        </w:tc>
        <w:tc>
          <w:tcPr>
            <w:tcW w:w="444" w:type="pct"/>
            <w:tcBorders>
              <w:top w:val="nil"/>
              <w:left w:val="nil"/>
              <w:bottom w:val="nil"/>
              <w:right w:val="single" w:sz="4" w:space="0" w:color="808080"/>
            </w:tcBorders>
            <w:shd w:val="clear" w:color="auto" w:fill="auto"/>
            <w:vAlign w:val="center"/>
            <w:hideMark/>
          </w:tcPr>
          <w:p w14:paraId="48B5F8C6"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403 </w:t>
            </w:r>
          </w:p>
        </w:tc>
        <w:tc>
          <w:tcPr>
            <w:tcW w:w="437" w:type="pct"/>
            <w:tcBorders>
              <w:top w:val="nil"/>
              <w:left w:val="nil"/>
              <w:bottom w:val="nil"/>
              <w:right w:val="single" w:sz="8" w:space="0" w:color="808080"/>
            </w:tcBorders>
            <w:shd w:val="clear" w:color="auto" w:fill="auto"/>
            <w:vAlign w:val="center"/>
            <w:hideMark/>
          </w:tcPr>
          <w:p w14:paraId="0815B167"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134 </w:t>
            </w:r>
          </w:p>
        </w:tc>
        <w:tc>
          <w:tcPr>
            <w:tcW w:w="444" w:type="pct"/>
            <w:tcBorders>
              <w:top w:val="nil"/>
              <w:left w:val="nil"/>
              <w:bottom w:val="nil"/>
              <w:right w:val="single" w:sz="4" w:space="0" w:color="808080"/>
            </w:tcBorders>
            <w:shd w:val="clear" w:color="auto" w:fill="auto"/>
            <w:vAlign w:val="center"/>
            <w:hideMark/>
          </w:tcPr>
          <w:p w14:paraId="43437E5B"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449 </w:t>
            </w:r>
          </w:p>
        </w:tc>
        <w:tc>
          <w:tcPr>
            <w:tcW w:w="437" w:type="pct"/>
            <w:tcBorders>
              <w:top w:val="nil"/>
              <w:left w:val="nil"/>
              <w:bottom w:val="nil"/>
              <w:right w:val="single" w:sz="8" w:space="0" w:color="808080"/>
            </w:tcBorders>
            <w:shd w:val="clear" w:color="auto" w:fill="auto"/>
            <w:vAlign w:val="center"/>
            <w:hideMark/>
          </w:tcPr>
          <w:p w14:paraId="0F533CE8"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150 </w:t>
            </w:r>
          </w:p>
        </w:tc>
        <w:tc>
          <w:tcPr>
            <w:tcW w:w="444" w:type="pct"/>
            <w:tcBorders>
              <w:top w:val="nil"/>
              <w:left w:val="nil"/>
              <w:bottom w:val="nil"/>
              <w:right w:val="single" w:sz="4" w:space="0" w:color="808080"/>
            </w:tcBorders>
            <w:shd w:val="clear" w:color="auto" w:fill="auto"/>
            <w:vAlign w:val="center"/>
            <w:hideMark/>
          </w:tcPr>
          <w:p w14:paraId="07544D94"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526 </w:t>
            </w:r>
          </w:p>
        </w:tc>
        <w:tc>
          <w:tcPr>
            <w:tcW w:w="437" w:type="pct"/>
            <w:tcBorders>
              <w:top w:val="nil"/>
              <w:left w:val="nil"/>
              <w:bottom w:val="nil"/>
              <w:right w:val="single" w:sz="8" w:space="0" w:color="808080"/>
            </w:tcBorders>
            <w:shd w:val="clear" w:color="auto" w:fill="auto"/>
            <w:vAlign w:val="center"/>
            <w:hideMark/>
          </w:tcPr>
          <w:p w14:paraId="4830CA35"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175 </w:t>
            </w:r>
          </w:p>
        </w:tc>
        <w:tc>
          <w:tcPr>
            <w:tcW w:w="444" w:type="pct"/>
            <w:tcBorders>
              <w:top w:val="nil"/>
              <w:left w:val="single" w:sz="4" w:space="0" w:color="808080"/>
              <w:bottom w:val="nil"/>
              <w:right w:val="single" w:sz="8" w:space="0" w:color="808080"/>
            </w:tcBorders>
            <w:shd w:val="clear" w:color="auto" w:fill="auto"/>
            <w:vAlign w:val="center"/>
            <w:hideMark/>
          </w:tcPr>
          <w:p w14:paraId="12CA29E0"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391 </w:t>
            </w:r>
          </w:p>
        </w:tc>
      </w:tr>
      <w:tr w:rsidR="006D34EE" w:rsidRPr="00CC659A" w14:paraId="48F6B5D8" w14:textId="77777777" w:rsidTr="00477854">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70F0E36B" w14:textId="77777777" w:rsidR="00CC659A" w:rsidRPr="00CC659A" w:rsidRDefault="00CC659A" w:rsidP="00CC659A">
            <w:pPr>
              <w:spacing w:after="0" w:line="240" w:lineRule="auto"/>
              <w:ind w:left="-108"/>
              <w:jc w:val="right"/>
              <w:rPr>
                <w:rFonts w:eastAsia="Times New Roman"/>
                <w:color w:val="000000"/>
                <w:sz w:val="16"/>
                <w:szCs w:val="16"/>
                <w:lang w:val="es-ES"/>
              </w:rPr>
            </w:pPr>
            <w:r w:rsidRPr="00CC659A">
              <w:rPr>
                <w:rFonts w:eastAsia="Times New Roman"/>
                <w:color w:val="000000"/>
                <w:sz w:val="16"/>
                <w:szCs w:val="16"/>
                <w:lang w:val="es-ES"/>
              </w:rPr>
              <w:t>6</w:t>
            </w:r>
          </w:p>
        </w:tc>
        <w:tc>
          <w:tcPr>
            <w:tcW w:w="920" w:type="pct"/>
            <w:tcBorders>
              <w:top w:val="nil"/>
              <w:left w:val="nil"/>
              <w:bottom w:val="nil"/>
              <w:right w:val="nil"/>
            </w:tcBorders>
            <w:shd w:val="clear" w:color="auto" w:fill="auto"/>
            <w:vAlign w:val="center"/>
            <w:hideMark/>
          </w:tcPr>
          <w:p w14:paraId="6451647F" w14:textId="2B90799C"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Argentin</w:t>
            </w:r>
            <w:r w:rsidR="00B77017">
              <w:rPr>
                <w:rFonts w:eastAsia="Times New Roman"/>
                <w:color w:val="000000"/>
                <w:sz w:val="16"/>
                <w:szCs w:val="16"/>
                <w:lang w:val="es-ES"/>
              </w:rPr>
              <w:t>a</w:t>
            </w:r>
          </w:p>
        </w:tc>
        <w:tc>
          <w:tcPr>
            <w:tcW w:w="404" w:type="pct"/>
            <w:tcBorders>
              <w:top w:val="nil"/>
              <w:left w:val="nil"/>
              <w:bottom w:val="nil"/>
              <w:right w:val="nil"/>
            </w:tcBorders>
            <w:shd w:val="clear" w:color="auto" w:fill="auto"/>
            <w:vAlign w:val="center"/>
            <w:hideMark/>
          </w:tcPr>
          <w:p w14:paraId="21895A3E" w14:textId="77777777" w:rsidR="00CC659A" w:rsidRPr="00CC659A" w:rsidRDefault="00CC659A" w:rsidP="00CC659A">
            <w:pPr>
              <w:spacing w:after="0" w:line="240" w:lineRule="auto"/>
              <w:ind w:left="-108"/>
              <w:jc w:val="center"/>
              <w:rPr>
                <w:rFonts w:eastAsia="Times New Roman"/>
                <w:color w:val="000000"/>
                <w:sz w:val="16"/>
                <w:szCs w:val="16"/>
                <w:lang w:val="es-ES"/>
              </w:rPr>
            </w:pPr>
            <w:r w:rsidRPr="00CC659A">
              <w:rPr>
                <w:rFonts w:eastAsia="Times New Roman"/>
                <w:color w:val="000000"/>
                <w:sz w:val="16"/>
                <w:szCs w:val="16"/>
                <w:lang w:val="es-ES"/>
              </w:rPr>
              <w:t>0.719</w:t>
            </w:r>
          </w:p>
        </w:tc>
        <w:tc>
          <w:tcPr>
            <w:tcW w:w="420" w:type="pct"/>
            <w:tcBorders>
              <w:top w:val="nil"/>
              <w:left w:val="nil"/>
              <w:bottom w:val="nil"/>
              <w:right w:val="single" w:sz="8" w:space="0" w:color="808080"/>
            </w:tcBorders>
            <w:shd w:val="clear" w:color="auto" w:fill="auto"/>
            <w:vAlign w:val="center"/>
            <w:hideMark/>
          </w:tcPr>
          <w:p w14:paraId="2D57CAE6" w14:textId="77777777" w:rsidR="00CC659A" w:rsidRPr="00CC659A" w:rsidRDefault="00CC659A" w:rsidP="00CC659A">
            <w:pPr>
              <w:spacing w:after="0" w:line="240" w:lineRule="auto"/>
              <w:ind w:left="-108"/>
              <w:jc w:val="right"/>
              <w:rPr>
                <w:rFonts w:eastAsia="Times New Roman" w:cs="Arial"/>
                <w:color w:val="000000"/>
                <w:sz w:val="16"/>
                <w:szCs w:val="16"/>
                <w:lang w:val="es-ES"/>
              </w:rPr>
            </w:pPr>
            <w:r w:rsidRPr="00CC659A">
              <w:rPr>
                <w:rFonts w:eastAsia="Times New Roman" w:cs="Arial"/>
                <w:color w:val="000000"/>
                <w:sz w:val="16"/>
                <w:szCs w:val="16"/>
                <w:lang w:val="es-ES"/>
              </w:rPr>
              <w:t xml:space="preserve">1.655 </w:t>
            </w:r>
          </w:p>
        </w:tc>
        <w:tc>
          <w:tcPr>
            <w:tcW w:w="444" w:type="pct"/>
            <w:tcBorders>
              <w:top w:val="nil"/>
              <w:left w:val="nil"/>
              <w:bottom w:val="nil"/>
              <w:right w:val="single" w:sz="4" w:space="0" w:color="808080"/>
            </w:tcBorders>
            <w:shd w:val="clear" w:color="auto" w:fill="auto"/>
            <w:vAlign w:val="center"/>
            <w:hideMark/>
          </w:tcPr>
          <w:p w14:paraId="1C0FB33F"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144 807 </w:t>
            </w:r>
          </w:p>
        </w:tc>
        <w:tc>
          <w:tcPr>
            <w:tcW w:w="437" w:type="pct"/>
            <w:tcBorders>
              <w:top w:val="nil"/>
              <w:left w:val="nil"/>
              <w:bottom w:val="nil"/>
              <w:right w:val="single" w:sz="8" w:space="0" w:color="808080"/>
            </w:tcBorders>
            <w:shd w:val="clear" w:color="auto" w:fill="auto"/>
            <w:vAlign w:val="center"/>
            <w:hideMark/>
          </w:tcPr>
          <w:p w14:paraId="215C3BA0"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48 269 </w:t>
            </w:r>
          </w:p>
        </w:tc>
        <w:tc>
          <w:tcPr>
            <w:tcW w:w="444" w:type="pct"/>
            <w:tcBorders>
              <w:top w:val="nil"/>
              <w:left w:val="nil"/>
              <w:bottom w:val="nil"/>
              <w:right w:val="single" w:sz="4" w:space="0" w:color="808080"/>
            </w:tcBorders>
            <w:shd w:val="clear" w:color="auto" w:fill="auto"/>
            <w:vAlign w:val="center"/>
            <w:hideMark/>
          </w:tcPr>
          <w:p w14:paraId="6A682464"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161 540 </w:t>
            </w:r>
          </w:p>
        </w:tc>
        <w:tc>
          <w:tcPr>
            <w:tcW w:w="437" w:type="pct"/>
            <w:tcBorders>
              <w:top w:val="nil"/>
              <w:left w:val="nil"/>
              <w:bottom w:val="nil"/>
              <w:right w:val="single" w:sz="8" w:space="0" w:color="808080"/>
            </w:tcBorders>
            <w:shd w:val="clear" w:color="auto" w:fill="auto"/>
            <w:vAlign w:val="center"/>
            <w:hideMark/>
          </w:tcPr>
          <w:p w14:paraId="3849042B"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53 847 </w:t>
            </w:r>
          </w:p>
        </w:tc>
        <w:tc>
          <w:tcPr>
            <w:tcW w:w="444" w:type="pct"/>
            <w:tcBorders>
              <w:top w:val="nil"/>
              <w:left w:val="nil"/>
              <w:bottom w:val="nil"/>
              <w:right w:val="single" w:sz="4" w:space="0" w:color="808080"/>
            </w:tcBorders>
            <w:shd w:val="clear" w:color="auto" w:fill="auto"/>
            <w:vAlign w:val="center"/>
            <w:hideMark/>
          </w:tcPr>
          <w:p w14:paraId="6431B86A"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189 144 </w:t>
            </w:r>
          </w:p>
        </w:tc>
        <w:tc>
          <w:tcPr>
            <w:tcW w:w="437" w:type="pct"/>
            <w:tcBorders>
              <w:top w:val="nil"/>
              <w:left w:val="nil"/>
              <w:bottom w:val="nil"/>
              <w:right w:val="single" w:sz="8" w:space="0" w:color="808080"/>
            </w:tcBorders>
            <w:shd w:val="clear" w:color="auto" w:fill="auto"/>
            <w:vAlign w:val="center"/>
            <w:hideMark/>
          </w:tcPr>
          <w:p w14:paraId="627CAFB2"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63 048 </w:t>
            </w:r>
          </w:p>
        </w:tc>
        <w:tc>
          <w:tcPr>
            <w:tcW w:w="444" w:type="pct"/>
            <w:tcBorders>
              <w:top w:val="nil"/>
              <w:left w:val="single" w:sz="4" w:space="0" w:color="808080"/>
              <w:bottom w:val="nil"/>
              <w:right w:val="single" w:sz="8" w:space="0" w:color="808080"/>
            </w:tcBorders>
            <w:shd w:val="clear" w:color="auto" w:fill="auto"/>
            <w:vAlign w:val="center"/>
            <w:hideMark/>
          </w:tcPr>
          <w:p w14:paraId="646D1CCC"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179 305 </w:t>
            </w:r>
          </w:p>
        </w:tc>
      </w:tr>
      <w:tr w:rsidR="006D34EE" w:rsidRPr="00CC659A" w14:paraId="0A199971" w14:textId="77777777" w:rsidTr="00477854">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3BAB0359" w14:textId="77777777" w:rsidR="00CC659A" w:rsidRPr="00CC659A" w:rsidRDefault="00CC659A" w:rsidP="00CC659A">
            <w:pPr>
              <w:spacing w:after="0" w:line="240" w:lineRule="auto"/>
              <w:ind w:left="-108"/>
              <w:jc w:val="right"/>
              <w:rPr>
                <w:rFonts w:eastAsia="Times New Roman"/>
                <w:color w:val="000000"/>
                <w:sz w:val="16"/>
                <w:szCs w:val="16"/>
                <w:lang w:val="es-ES"/>
              </w:rPr>
            </w:pPr>
            <w:r w:rsidRPr="00CC659A">
              <w:rPr>
                <w:rFonts w:eastAsia="Times New Roman"/>
                <w:color w:val="000000"/>
                <w:sz w:val="16"/>
                <w:szCs w:val="16"/>
                <w:lang w:val="es-ES"/>
              </w:rPr>
              <w:t>7</w:t>
            </w:r>
          </w:p>
        </w:tc>
        <w:tc>
          <w:tcPr>
            <w:tcW w:w="920" w:type="pct"/>
            <w:tcBorders>
              <w:top w:val="nil"/>
              <w:left w:val="nil"/>
              <w:bottom w:val="nil"/>
              <w:right w:val="nil"/>
            </w:tcBorders>
            <w:shd w:val="clear" w:color="auto" w:fill="auto"/>
            <w:vAlign w:val="center"/>
            <w:hideMark/>
          </w:tcPr>
          <w:p w14:paraId="2AAC4C0B" w14:textId="2ED70189" w:rsidR="00CC659A" w:rsidRPr="00CC659A" w:rsidRDefault="00B77017"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Armenia</w:t>
            </w:r>
          </w:p>
        </w:tc>
        <w:tc>
          <w:tcPr>
            <w:tcW w:w="404" w:type="pct"/>
            <w:tcBorders>
              <w:top w:val="nil"/>
              <w:left w:val="nil"/>
              <w:bottom w:val="nil"/>
              <w:right w:val="nil"/>
            </w:tcBorders>
            <w:shd w:val="clear" w:color="auto" w:fill="auto"/>
            <w:vAlign w:val="center"/>
            <w:hideMark/>
          </w:tcPr>
          <w:p w14:paraId="2EEE0C40" w14:textId="77777777" w:rsidR="00CC659A" w:rsidRPr="00CC659A" w:rsidRDefault="00CC659A" w:rsidP="00CC659A">
            <w:pPr>
              <w:spacing w:after="0" w:line="240" w:lineRule="auto"/>
              <w:ind w:left="-108"/>
              <w:jc w:val="center"/>
              <w:rPr>
                <w:rFonts w:eastAsia="Times New Roman"/>
                <w:color w:val="000000"/>
                <w:sz w:val="16"/>
                <w:szCs w:val="16"/>
                <w:lang w:val="es-ES"/>
              </w:rPr>
            </w:pPr>
            <w:r w:rsidRPr="00CC659A">
              <w:rPr>
                <w:rFonts w:eastAsia="Times New Roman"/>
                <w:color w:val="000000"/>
                <w:sz w:val="16"/>
                <w:szCs w:val="16"/>
                <w:lang w:val="es-ES"/>
              </w:rPr>
              <w:t>0.007</w:t>
            </w:r>
          </w:p>
        </w:tc>
        <w:tc>
          <w:tcPr>
            <w:tcW w:w="420" w:type="pct"/>
            <w:tcBorders>
              <w:top w:val="nil"/>
              <w:left w:val="nil"/>
              <w:bottom w:val="nil"/>
              <w:right w:val="single" w:sz="8" w:space="0" w:color="808080"/>
            </w:tcBorders>
            <w:shd w:val="clear" w:color="auto" w:fill="auto"/>
            <w:vAlign w:val="center"/>
            <w:hideMark/>
          </w:tcPr>
          <w:p w14:paraId="7D58CD4F" w14:textId="77777777" w:rsidR="00CC659A" w:rsidRPr="00CC659A" w:rsidRDefault="00CC659A" w:rsidP="00CC659A">
            <w:pPr>
              <w:spacing w:after="0" w:line="240" w:lineRule="auto"/>
              <w:ind w:left="-108"/>
              <w:jc w:val="right"/>
              <w:rPr>
                <w:rFonts w:eastAsia="Times New Roman" w:cs="Arial"/>
                <w:color w:val="000000"/>
                <w:sz w:val="16"/>
                <w:szCs w:val="16"/>
                <w:lang w:val="es-ES"/>
              </w:rPr>
            </w:pPr>
            <w:r w:rsidRPr="00CC659A">
              <w:rPr>
                <w:rFonts w:eastAsia="Times New Roman" w:cs="Arial"/>
                <w:color w:val="000000"/>
                <w:sz w:val="16"/>
                <w:szCs w:val="16"/>
                <w:lang w:val="es-ES"/>
              </w:rPr>
              <w:t xml:space="preserve">0.016 </w:t>
            </w:r>
          </w:p>
        </w:tc>
        <w:tc>
          <w:tcPr>
            <w:tcW w:w="444" w:type="pct"/>
            <w:tcBorders>
              <w:top w:val="nil"/>
              <w:left w:val="nil"/>
              <w:bottom w:val="nil"/>
              <w:right w:val="single" w:sz="4" w:space="0" w:color="808080"/>
            </w:tcBorders>
            <w:shd w:val="clear" w:color="auto" w:fill="auto"/>
            <w:vAlign w:val="center"/>
            <w:hideMark/>
          </w:tcPr>
          <w:p w14:paraId="52C95CA3"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1 410 </w:t>
            </w:r>
          </w:p>
        </w:tc>
        <w:tc>
          <w:tcPr>
            <w:tcW w:w="437" w:type="pct"/>
            <w:tcBorders>
              <w:top w:val="nil"/>
              <w:left w:val="nil"/>
              <w:bottom w:val="nil"/>
              <w:right w:val="single" w:sz="8" w:space="0" w:color="808080"/>
            </w:tcBorders>
            <w:shd w:val="clear" w:color="auto" w:fill="auto"/>
            <w:vAlign w:val="center"/>
            <w:hideMark/>
          </w:tcPr>
          <w:p w14:paraId="11F3CCAF"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470 </w:t>
            </w:r>
          </w:p>
        </w:tc>
        <w:tc>
          <w:tcPr>
            <w:tcW w:w="444" w:type="pct"/>
            <w:tcBorders>
              <w:top w:val="nil"/>
              <w:left w:val="nil"/>
              <w:bottom w:val="nil"/>
              <w:right w:val="single" w:sz="4" w:space="0" w:color="808080"/>
            </w:tcBorders>
            <w:shd w:val="clear" w:color="auto" w:fill="auto"/>
            <w:vAlign w:val="center"/>
            <w:hideMark/>
          </w:tcPr>
          <w:p w14:paraId="51000587"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1 573 </w:t>
            </w:r>
          </w:p>
        </w:tc>
        <w:tc>
          <w:tcPr>
            <w:tcW w:w="437" w:type="pct"/>
            <w:tcBorders>
              <w:top w:val="nil"/>
              <w:left w:val="nil"/>
              <w:bottom w:val="nil"/>
              <w:right w:val="single" w:sz="8" w:space="0" w:color="808080"/>
            </w:tcBorders>
            <w:shd w:val="clear" w:color="auto" w:fill="auto"/>
            <w:vAlign w:val="center"/>
            <w:hideMark/>
          </w:tcPr>
          <w:p w14:paraId="08E0EF7A"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524 </w:t>
            </w:r>
          </w:p>
        </w:tc>
        <w:tc>
          <w:tcPr>
            <w:tcW w:w="444" w:type="pct"/>
            <w:tcBorders>
              <w:top w:val="nil"/>
              <w:left w:val="nil"/>
              <w:bottom w:val="nil"/>
              <w:right w:val="single" w:sz="4" w:space="0" w:color="808080"/>
            </w:tcBorders>
            <w:shd w:val="clear" w:color="auto" w:fill="auto"/>
            <w:vAlign w:val="center"/>
            <w:hideMark/>
          </w:tcPr>
          <w:p w14:paraId="384FD038"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1 841 </w:t>
            </w:r>
          </w:p>
        </w:tc>
        <w:tc>
          <w:tcPr>
            <w:tcW w:w="437" w:type="pct"/>
            <w:tcBorders>
              <w:top w:val="nil"/>
              <w:left w:val="nil"/>
              <w:bottom w:val="nil"/>
              <w:right w:val="single" w:sz="8" w:space="0" w:color="808080"/>
            </w:tcBorders>
            <w:shd w:val="clear" w:color="auto" w:fill="auto"/>
            <w:vAlign w:val="center"/>
            <w:hideMark/>
          </w:tcPr>
          <w:p w14:paraId="68F3D752"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614 </w:t>
            </w:r>
          </w:p>
        </w:tc>
        <w:tc>
          <w:tcPr>
            <w:tcW w:w="444" w:type="pct"/>
            <w:tcBorders>
              <w:top w:val="nil"/>
              <w:left w:val="single" w:sz="4" w:space="0" w:color="808080"/>
              <w:bottom w:val="nil"/>
              <w:right w:val="single" w:sz="8" w:space="0" w:color="808080"/>
            </w:tcBorders>
            <w:shd w:val="clear" w:color="auto" w:fill="auto"/>
            <w:vAlign w:val="center"/>
            <w:hideMark/>
          </w:tcPr>
          <w:p w14:paraId="6D9862F7"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1 372 </w:t>
            </w:r>
          </w:p>
        </w:tc>
      </w:tr>
      <w:tr w:rsidR="006D34EE" w:rsidRPr="00CC659A" w14:paraId="393564D6" w14:textId="77777777" w:rsidTr="00477854">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13203355" w14:textId="77777777" w:rsidR="00CC659A" w:rsidRPr="00CC659A" w:rsidRDefault="00CC659A" w:rsidP="00CC659A">
            <w:pPr>
              <w:spacing w:after="0" w:line="240" w:lineRule="auto"/>
              <w:ind w:left="-108"/>
              <w:jc w:val="right"/>
              <w:rPr>
                <w:rFonts w:eastAsia="Times New Roman"/>
                <w:color w:val="000000"/>
                <w:sz w:val="16"/>
                <w:szCs w:val="16"/>
                <w:lang w:val="es-ES"/>
              </w:rPr>
            </w:pPr>
            <w:r w:rsidRPr="00CC659A">
              <w:rPr>
                <w:rFonts w:eastAsia="Times New Roman"/>
                <w:color w:val="000000"/>
                <w:sz w:val="16"/>
                <w:szCs w:val="16"/>
                <w:lang w:val="es-ES"/>
              </w:rPr>
              <w:t>8</w:t>
            </w:r>
          </w:p>
        </w:tc>
        <w:tc>
          <w:tcPr>
            <w:tcW w:w="920" w:type="pct"/>
            <w:tcBorders>
              <w:top w:val="nil"/>
              <w:left w:val="nil"/>
              <w:bottom w:val="nil"/>
              <w:right w:val="nil"/>
            </w:tcBorders>
            <w:shd w:val="clear" w:color="auto" w:fill="auto"/>
            <w:vAlign w:val="center"/>
            <w:hideMark/>
          </w:tcPr>
          <w:p w14:paraId="555E0EF5" w14:textId="5D79615B" w:rsidR="00CC659A" w:rsidRPr="00CC659A" w:rsidRDefault="00B77017"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Australia</w:t>
            </w:r>
          </w:p>
        </w:tc>
        <w:tc>
          <w:tcPr>
            <w:tcW w:w="404" w:type="pct"/>
            <w:tcBorders>
              <w:top w:val="nil"/>
              <w:left w:val="nil"/>
              <w:bottom w:val="nil"/>
              <w:right w:val="nil"/>
            </w:tcBorders>
            <w:shd w:val="clear" w:color="auto" w:fill="auto"/>
            <w:vAlign w:val="center"/>
            <w:hideMark/>
          </w:tcPr>
          <w:p w14:paraId="1470A6FF" w14:textId="77777777" w:rsidR="00CC659A" w:rsidRPr="00CC659A" w:rsidRDefault="00CC659A" w:rsidP="00CC659A">
            <w:pPr>
              <w:spacing w:after="0" w:line="240" w:lineRule="auto"/>
              <w:ind w:left="-108"/>
              <w:jc w:val="center"/>
              <w:rPr>
                <w:rFonts w:eastAsia="Times New Roman"/>
                <w:color w:val="000000"/>
                <w:sz w:val="16"/>
                <w:szCs w:val="16"/>
                <w:lang w:val="es-ES"/>
              </w:rPr>
            </w:pPr>
            <w:r w:rsidRPr="00CC659A">
              <w:rPr>
                <w:rFonts w:eastAsia="Times New Roman"/>
                <w:color w:val="000000"/>
                <w:sz w:val="16"/>
                <w:szCs w:val="16"/>
                <w:lang w:val="es-ES"/>
              </w:rPr>
              <w:t>2.111</w:t>
            </w:r>
          </w:p>
        </w:tc>
        <w:tc>
          <w:tcPr>
            <w:tcW w:w="420" w:type="pct"/>
            <w:tcBorders>
              <w:top w:val="nil"/>
              <w:left w:val="nil"/>
              <w:bottom w:val="nil"/>
              <w:right w:val="single" w:sz="8" w:space="0" w:color="808080"/>
            </w:tcBorders>
            <w:shd w:val="clear" w:color="auto" w:fill="auto"/>
            <w:vAlign w:val="center"/>
            <w:hideMark/>
          </w:tcPr>
          <w:p w14:paraId="40C33DE2" w14:textId="77777777" w:rsidR="00CC659A" w:rsidRPr="00CC659A" w:rsidRDefault="00CC659A" w:rsidP="00CC659A">
            <w:pPr>
              <w:spacing w:after="0" w:line="240" w:lineRule="auto"/>
              <w:ind w:left="-108"/>
              <w:jc w:val="right"/>
              <w:rPr>
                <w:rFonts w:eastAsia="Times New Roman" w:cs="Arial"/>
                <w:color w:val="000000"/>
                <w:sz w:val="16"/>
                <w:szCs w:val="16"/>
                <w:lang w:val="es-ES"/>
              </w:rPr>
            </w:pPr>
            <w:r w:rsidRPr="00CC659A">
              <w:rPr>
                <w:rFonts w:eastAsia="Times New Roman" w:cs="Arial"/>
                <w:color w:val="000000"/>
                <w:sz w:val="16"/>
                <w:szCs w:val="16"/>
                <w:lang w:val="es-ES"/>
              </w:rPr>
              <w:t xml:space="preserve">4.858 </w:t>
            </w:r>
          </w:p>
        </w:tc>
        <w:tc>
          <w:tcPr>
            <w:tcW w:w="444" w:type="pct"/>
            <w:tcBorders>
              <w:top w:val="nil"/>
              <w:left w:val="nil"/>
              <w:bottom w:val="nil"/>
              <w:right w:val="single" w:sz="4" w:space="0" w:color="808080"/>
            </w:tcBorders>
            <w:shd w:val="clear" w:color="auto" w:fill="auto"/>
            <w:vAlign w:val="center"/>
            <w:hideMark/>
          </w:tcPr>
          <w:p w14:paraId="1D29D840"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425 157 </w:t>
            </w:r>
          </w:p>
        </w:tc>
        <w:tc>
          <w:tcPr>
            <w:tcW w:w="437" w:type="pct"/>
            <w:tcBorders>
              <w:top w:val="nil"/>
              <w:left w:val="nil"/>
              <w:bottom w:val="nil"/>
              <w:right w:val="single" w:sz="8" w:space="0" w:color="808080"/>
            </w:tcBorders>
            <w:shd w:val="clear" w:color="auto" w:fill="auto"/>
            <w:vAlign w:val="center"/>
            <w:hideMark/>
          </w:tcPr>
          <w:p w14:paraId="6959DE39"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141 719 </w:t>
            </w:r>
          </w:p>
        </w:tc>
        <w:tc>
          <w:tcPr>
            <w:tcW w:w="444" w:type="pct"/>
            <w:tcBorders>
              <w:top w:val="nil"/>
              <w:left w:val="nil"/>
              <w:bottom w:val="nil"/>
              <w:right w:val="single" w:sz="4" w:space="0" w:color="808080"/>
            </w:tcBorders>
            <w:shd w:val="clear" w:color="auto" w:fill="auto"/>
            <w:vAlign w:val="center"/>
            <w:hideMark/>
          </w:tcPr>
          <w:p w14:paraId="37AF1BC8"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474 284 </w:t>
            </w:r>
          </w:p>
        </w:tc>
        <w:tc>
          <w:tcPr>
            <w:tcW w:w="437" w:type="pct"/>
            <w:tcBorders>
              <w:top w:val="nil"/>
              <w:left w:val="nil"/>
              <w:bottom w:val="nil"/>
              <w:right w:val="single" w:sz="8" w:space="0" w:color="808080"/>
            </w:tcBorders>
            <w:shd w:val="clear" w:color="auto" w:fill="auto"/>
            <w:vAlign w:val="center"/>
            <w:hideMark/>
          </w:tcPr>
          <w:p w14:paraId="53C990C9"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158 095 </w:t>
            </w:r>
          </w:p>
        </w:tc>
        <w:tc>
          <w:tcPr>
            <w:tcW w:w="444" w:type="pct"/>
            <w:tcBorders>
              <w:top w:val="nil"/>
              <w:left w:val="nil"/>
              <w:bottom w:val="nil"/>
              <w:right w:val="single" w:sz="4" w:space="0" w:color="808080"/>
            </w:tcBorders>
            <w:shd w:val="clear" w:color="auto" w:fill="auto"/>
            <w:vAlign w:val="center"/>
            <w:hideMark/>
          </w:tcPr>
          <w:p w14:paraId="76C453A5"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555 332 </w:t>
            </w:r>
          </w:p>
        </w:tc>
        <w:tc>
          <w:tcPr>
            <w:tcW w:w="437" w:type="pct"/>
            <w:tcBorders>
              <w:top w:val="nil"/>
              <w:left w:val="nil"/>
              <w:bottom w:val="nil"/>
              <w:right w:val="single" w:sz="8" w:space="0" w:color="808080"/>
            </w:tcBorders>
            <w:shd w:val="clear" w:color="auto" w:fill="auto"/>
            <w:vAlign w:val="center"/>
            <w:hideMark/>
          </w:tcPr>
          <w:p w14:paraId="64C9DEF8"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185 111 </w:t>
            </w:r>
          </w:p>
        </w:tc>
        <w:tc>
          <w:tcPr>
            <w:tcW w:w="444" w:type="pct"/>
            <w:tcBorders>
              <w:top w:val="nil"/>
              <w:left w:val="single" w:sz="4" w:space="0" w:color="808080"/>
              <w:bottom w:val="nil"/>
              <w:right w:val="single" w:sz="8" w:space="0" w:color="808080"/>
            </w:tcBorders>
            <w:shd w:val="clear" w:color="auto" w:fill="auto"/>
            <w:vAlign w:val="center"/>
            <w:hideMark/>
          </w:tcPr>
          <w:p w14:paraId="2F7BBE04"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433 075 </w:t>
            </w:r>
          </w:p>
        </w:tc>
      </w:tr>
      <w:tr w:rsidR="006D34EE" w:rsidRPr="00CC659A" w14:paraId="7176B4B5" w14:textId="77777777" w:rsidTr="00477854">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506A4739" w14:textId="77777777" w:rsidR="00CC659A" w:rsidRPr="00CC659A" w:rsidRDefault="00CC659A" w:rsidP="00CC659A">
            <w:pPr>
              <w:spacing w:after="0" w:line="240" w:lineRule="auto"/>
              <w:ind w:left="-108"/>
              <w:jc w:val="right"/>
              <w:rPr>
                <w:rFonts w:eastAsia="Times New Roman"/>
                <w:color w:val="000000"/>
                <w:sz w:val="16"/>
                <w:szCs w:val="16"/>
                <w:lang w:val="es-ES"/>
              </w:rPr>
            </w:pPr>
            <w:r w:rsidRPr="00CC659A">
              <w:rPr>
                <w:rFonts w:eastAsia="Times New Roman"/>
                <w:color w:val="000000"/>
                <w:sz w:val="16"/>
                <w:szCs w:val="16"/>
                <w:lang w:val="es-ES"/>
              </w:rPr>
              <w:t>9</w:t>
            </w:r>
          </w:p>
        </w:tc>
        <w:tc>
          <w:tcPr>
            <w:tcW w:w="920" w:type="pct"/>
            <w:tcBorders>
              <w:top w:val="nil"/>
              <w:left w:val="nil"/>
              <w:bottom w:val="nil"/>
              <w:right w:val="nil"/>
            </w:tcBorders>
            <w:shd w:val="clear" w:color="auto" w:fill="auto"/>
            <w:vAlign w:val="center"/>
            <w:hideMark/>
          </w:tcPr>
          <w:p w14:paraId="183B3B9D" w14:textId="3CE7FB5E"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Au</w:t>
            </w:r>
            <w:r w:rsidR="00B77017">
              <w:rPr>
                <w:rFonts w:eastAsia="Times New Roman"/>
                <w:color w:val="000000"/>
                <w:sz w:val="16"/>
                <w:szCs w:val="16"/>
                <w:lang w:val="es-ES"/>
              </w:rPr>
              <w:t>stria</w:t>
            </w:r>
          </w:p>
        </w:tc>
        <w:tc>
          <w:tcPr>
            <w:tcW w:w="404" w:type="pct"/>
            <w:tcBorders>
              <w:top w:val="nil"/>
              <w:left w:val="nil"/>
              <w:bottom w:val="nil"/>
              <w:right w:val="nil"/>
            </w:tcBorders>
            <w:shd w:val="clear" w:color="auto" w:fill="auto"/>
            <w:vAlign w:val="center"/>
            <w:hideMark/>
          </w:tcPr>
          <w:p w14:paraId="336AAAB6" w14:textId="77777777" w:rsidR="00CC659A" w:rsidRPr="00CC659A" w:rsidRDefault="00CC659A" w:rsidP="00CC659A">
            <w:pPr>
              <w:spacing w:after="0" w:line="240" w:lineRule="auto"/>
              <w:ind w:left="-108"/>
              <w:jc w:val="center"/>
              <w:rPr>
                <w:rFonts w:eastAsia="Times New Roman"/>
                <w:color w:val="000000"/>
                <w:sz w:val="16"/>
                <w:szCs w:val="16"/>
                <w:lang w:val="es-ES"/>
              </w:rPr>
            </w:pPr>
            <w:r w:rsidRPr="00CC659A">
              <w:rPr>
                <w:rFonts w:eastAsia="Times New Roman"/>
                <w:color w:val="000000"/>
                <w:sz w:val="16"/>
                <w:szCs w:val="16"/>
                <w:lang w:val="es-ES"/>
              </w:rPr>
              <w:t>0.679</w:t>
            </w:r>
          </w:p>
        </w:tc>
        <w:tc>
          <w:tcPr>
            <w:tcW w:w="420" w:type="pct"/>
            <w:tcBorders>
              <w:top w:val="nil"/>
              <w:left w:val="nil"/>
              <w:bottom w:val="nil"/>
              <w:right w:val="single" w:sz="8" w:space="0" w:color="808080"/>
            </w:tcBorders>
            <w:shd w:val="clear" w:color="auto" w:fill="auto"/>
            <w:vAlign w:val="center"/>
            <w:hideMark/>
          </w:tcPr>
          <w:p w14:paraId="1E23D632" w14:textId="77777777" w:rsidR="00CC659A" w:rsidRPr="00CC659A" w:rsidRDefault="00CC659A" w:rsidP="00CC659A">
            <w:pPr>
              <w:spacing w:after="0" w:line="240" w:lineRule="auto"/>
              <w:ind w:left="-108"/>
              <w:jc w:val="right"/>
              <w:rPr>
                <w:rFonts w:eastAsia="Times New Roman" w:cs="Arial"/>
                <w:color w:val="000000"/>
                <w:sz w:val="16"/>
                <w:szCs w:val="16"/>
                <w:lang w:val="es-ES"/>
              </w:rPr>
            </w:pPr>
            <w:r w:rsidRPr="00CC659A">
              <w:rPr>
                <w:rFonts w:eastAsia="Times New Roman" w:cs="Arial"/>
                <w:color w:val="000000"/>
                <w:sz w:val="16"/>
                <w:szCs w:val="16"/>
                <w:lang w:val="es-ES"/>
              </w:rPr>
              <w:t xml:space="preserve">1.563 </w:t>
            </w:r>
          </w:p>
        </w:tc>
        <w:tc>
          <w:tcPr>
            <w:tcW w:w="444" w:type="pct"/>
            <w:tcBorders>
              <w:top w:val="nil"/>
              <w:left w:val="nil"/>
              <w:bottom w:val="nil"/>
              <w:right w:val="single" w:sz="4" w:space="0" w:color="808080"/>
            </w:tcBorders>
            <w:shd w:val="clear" w:color="auto" w:fill="auto"/>
            <w:vAlign w:val="center"/>
            <w:hideMark/>
          </w:tcPr>
          <w:p w14:paraId="5FDCF9FA"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136 751 </w:t>
            </w:r>
          </w:p>
        </w:tc>
        <w:tc>
          <w:tcPr>
            <w:tcW w:w="437" w:type="pct"/>
            <w:tcBorders>
              <w:top w:val="nil"/>
              <w:left w:val="nil"/>
              <w:bottom w:val="nil"/>
              <w:right w:val="single" w:sz="8" w:space="0" w:color="808080"/>
            </w:tcBorders>
            <w:shd w:val="clear" w:color="auto" w:fill="auto"/>
            <w:vAlign w:val="center"/>
            <w:hideMark/>
          </w:tcPr>
          <w:p w14:paraId="3B6EE667"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45 584 </w:t>
            </w:r>
          </w:p>
        </w:tc>
        <w:tc>
          <w:tcPr>
            <w:tcW w:w="444" w:type="pct"/>
            <w:tcBorders>
              <w:top w:val="nil"/>
              <w:left w:val="nil"/>
              <w:bottom w:val="nil"/>
              <w:right w:val="single" w:sz="4" w:space="0" w:color="808080"/>
            </w:tcBorders>
            <w:shd w:val="clear" w:color="auto" w:fill="auto"/>
            <w:vAlign w:val="center"/>
            <w:hideMark/>
          </w:tcPr>
          <w:p w14:paraId="2889DD8D"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152 553 </w:t>
            </w:r>
          </w:p>
        </w:tc>
        <w:tc>
          <w:tcPr>
            <w:tcW w:w="437" w:type="pct"/>
            <w:tcBorders>
              <w:top w:val="nil"/>
              <w:left w:val="nil"/>
              <w:bottom w:val="nil"/>
              <w:right w:val="single" w:sz="8" w:space="0" w:color="808080"/>
            </w:tcBorders>
            <w:shd w:val="clear" w:color="auto" w:fill="auto"/>
            <w:vAlign w:val="center"/>
            <w:hideMark/>
          </w:tcPr>
          <w:p w14:paraId="4C0545C9"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50 851 </w:t>
            </w:r>
          </w:p>
        </w:tc>
        <w:tc>
          <w:tcPr>
            <w:tcW w:w="444" w:type="pct"/>
            <w:tcBorders>
              <w:top w:val="nil"/>
              <w:left w:val="nil"/>
              <w:bottom w:val="nil"/>
              <w:right w:val="single" w:sz="4" w:space="0" w:color="808080"/>
            </w:tcBorders>
            <w:shd w:val="clear" w:color="auto" w:fill="auto"/>
            <w:vAlign w:val="center"/>
            <w:hideMark/>
          </w:tcPr>
          <w:p w14:paraId="01530884"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178 622 </w:t>
            </w:r>
          </w:p>
        </w:tc>
        <w:tc>
          <w:tcPr>
            <w:tcW w:w="437" w:type="pct"/>
            <w:tcBorders>
              <w:top w:val="nil"/>
              <w:left w:val="nil"/>
              <w:bottom w:val="nil"/>
              <w:right w:val="single" w:sz="8" w:space="0" w:color="808080"/>
            </w:tcBorders>
            <w:shd w:val="clear" w:color="auto" w:fill="auto"/>
            <w:vAlign w:val="center"/>
            <w:hideMark/>
          </w:tcPr>
          <w:p w14:paraId="697A50EB"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59 541 </w:t>
            </w:r>
          </w:p>
        </w:tc>
        <w:tc>
          <w:tcPr>
            <w:tcW w:w="444" w:type="pct"/>
            <w:tcBorders>
              <w:top w:val="nil"/>
              <w:left w:val="single" w:sz="4" w:space="0" w:color="808080"/>
              <w:bottom w:val="nil"/>
              <w:right w:val="single" w:sz="8" w:space="0" w:color="808080"/>
            </w:tcBorders>
            <w:shd w:val="clear" w:color="auto" w:fill="auto"/>
            <w:vAlign w:val="center"/>
            <w:hideMark/>
          </w:tcPr>
          <w:p w14:paraId="147F4495"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132 666 </w:t>
            </w:r>
          </w:p>
        </w:tc>
      </w:tr>
      <w:tr w:rsidR="006D34EE" w:rsidRPr="00CC659A" w14:paraId="633C2033" w14:textId="77777777" w:rsidTr="00477854">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71FF86E0" w14:textId="77777777" w:rsidR="00CC659A" w:rsidRPr="00CC659A" w:rsidRDefault="00CC659A" w:rsidP="00CC659A">
            <w:pPr>
              <w:spacing w:after="0" w:line="240" w:lineRule="auto"/>
              <w:ind w:left="-108"/>
              <w:jc w:val="right"/>
              <w:rPr>
                <w:rFonts w:eastAsia="Times New Roman"/>
                <w:color w:val="000000"/>
                <w:sz w:val="16"/>
                <w:szCs w:val="16"/>
                <w:lang w:val="es-ES"/>
              </w:rPr>
            </w:pPr>
            <w:r w:rsidRPr="00CC659A">
              <w:rPr>
                <w:rFonts w:eastAsia="Times New Roman"/>
                <w:color w:val="000000"/>
                <w:sz w:val="16"/>
                <w:szCs w:val="16"/>
                <w:lang w:val="es-ES"/>
              </w:rPr>
              <w:t>10</w:t>
            </w:r>
          </w:p>
        </w:tc>
        <w:tc>
          <w:tcPr>
            <w:tcW w:w="920" w:type="pct"/>
            <w:tcBorders>
              <w:top w:val="nil"/>
              <w:left w:val="nil"/>
              <w:bottom w:val="nil"/>
              <w:right w:val="nil"/>
            </w:tcBorders>
            <w:shd w:val="clear" w:color="auto" w:fill="auto"/>
            <w:vAlign w:val="center"/>
            <w:hideMark/>
          </w:tcPr>
          <w:p w14:paraId="72E63AC7"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Bangladesh</w:t>
            </w:r>
          </w:p>
        </w:tc>
        <w:tc>
          <w:tcPr>
            <w:tcW w:w="404" w:type="pct"/>
            <w:tcBorders>
              <w:top w:val="nil"/>
              <w:left w:val="nil"/>
              <w:bottom w:val="nil"/>
              <w:right w:val="nil"/>
            </w:tcBorders>
            <w:shd w:val="clear" w:color="auto" w:fill="auto"/>
            <w:vAlign w:val="center"/>
            <w:hideMark/>
          </w:tcPr>
          <w:p w14:paraId="0569EACB" w14:textId="77777777" w:rsidR="00CC659A" w:rsidRPr="00CC659A" w:rsidRDefault="00CC659A" w:rsidP="00CC659A">
            <w:pPr>
              <w:spacing w:after="0" w:line="240" w:lineRule="auto"/>
              <w:ind w:left="-108"/>
              <w:jc w:val="center"/>
              <w:rPr>
                <w:rFonts w:eastAsia="Times New Roman"/>
                <w:color w:val="000000"/>
                <w:sz w:val="16"/>
                <w:szCs w:val="16"/>
                <w:lang w:val="es-ES"/>
              </w:rPr>
            </w:pPr>
            <w:r w:rsidRPr="00CC659A">
              <w:rPr>
                <w:rFonts w:eastAsia="Times New Roman"/>
                <w:color w:val="000000"/>
                <w:sz w:val="16"/>
                <w:szCs w:val="16"/>
                <w:lang w:val="es-ES"/>
              </w:rPr>
              <w:t>0.01</w:t>
            </w:r>
          </w:p>
        </w:tc>
        <w:tc>
          <w:tcPr>
            <w:tcW w:w="420" w:type="pct"/>
            <w:tcBorders>
              <w:top w:val="nil"/>
              <w:left w:val="nil"/>
              <w:bottom w:val="nil"/>
              <w:right w:val="single" w:sz="8" w:space="0" w:color="808080"/>
            </w:tcBorders>
            <w:shd w:val="clear" w:color="auto" w:fill="auto"/>
            <w:vAlign w:val="center"/>
            <w:hideMark/>
          </w:tcPr>
          <w:p w14:paraId="4B612305" w14:textId="77777777" w:rsidR="00CC659A" w:rsidRPr="00CC659A" w:rsidRDefault="00CC659A" w:rsidP="00CC659A">
            <w:pPr>
              <w:spacing w:after="0" w:line="240" w:lineRule="auto"/>
              <w:ind w:left="-108"/>
              <w:jc w:val="right"/>
              <w:rPr>
                <w:rFonts w:eastAsia="Times New Roman" w:cs="Arial"/>
                <w:color w:val="000000"/>
                <w:sz w:val="16"/>
                <w:szCs w:val="16"/>
                <w:lang w:val="es-ES"/>
              </w:rPr>
            </w:pPr>
            <w:r w:rsidRPr="00CC659A">
              <w:rPr>
                <w:rFonts w:eastAsia="Times New Roman" w:cs="Arial"/>
                <w:color w:val="000000"/>
                <w:sz w:val="16"/>
                <w:szCs w:val="16"/>
                <w:lang w:val="es-ES"/>
              </w:rPr>
              <w:t xml:space="preserve"> 0.023 </w:t>
            </w:r>
          </w:p>
        </w:tc>
        <w:tc>
          <w:tcPr>
            <w:tcW w:w="444" w:type="pct"/>
            <w:tcBorders>
              <w:top w:val="nil"/>
              <w:left w:val="nil"/>
              <w:bottom w:val="nil"/>
              <w:right w:val="single" w:sz="4" w:space="0" w:color="808080"/>
            </w:tcBorders>
            <w:shd w:val="clear" w:color="auto" w:fill="auto"/>
            <w:vAlign w:val="center"/>
            <w:hideMark/>
          </w:tcPr>
          <w:p w14:paraId="68895646"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2 014 </w:t>
            </w:r>
          </w:p>
        </w:tc>
        <w:tc>
          <w:tcPr>
            <w:tcW w:w="437" w:type="pct"/>
            <w:tcBorders>
              <w:top w:val="nil"/>
              <w:left w:val="nil"/>
              <w:bottom w:val="nil"/>
              <w:right w:val="single" w:sz="8" w:space="0" w:color="808080"/>
            </w:tcBorders>
            <w:shd w:val="clear" w:color="auto" w:fill="auto"/>
            <w:vAlign w:val="center"/>
            <w:hideMark/>
          </w:tcPr>
          <w:p w14:paraId="77BFA500"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671 </w:t>
            </w:r>
          </w:p>
        </w:tc>
        <w:tc>
          <w:tcPr>
            <w:tcW w:w="444" w:type="pct"/>
            <w:tcBorders>
              <w:top w:val="nil"/>
              <w:left w:val="nil"/>
              <w:bottom w:val="nil"/>
              <w:right w:val="single" w:sz="4" w:space="0" w:color="808080"/>
            </w:tcBorders>
            <w:shd w:val="clear" w:color="auto" w:fill="auto"/>
            <w:vAlign w:val="center"/>
            <w:hideMark/>
          </w:tcPr>
          <w:p w14:paraId="0E29EE95"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2 247 </w:t>
            </w:r>
          </w:p>
        </w:tc>
        <w:tc>
          <w:tcPr>
            <w:tcW w:w="437" w:type="pct"/>
            <w:tcBorders>
              <w:top w:val="nil"/>
              <w:left w:val="nil"/>
              <w:bottom w:val="nil"/>
              <w:right w:val="single" w:sz="8" w:space="0" w:color="808080"/>
            </w:tcBorders>
            <w:shd w:val="clear" w:color="auto" w:fill="auto"/>
            <w:vAlign w:val="center"/>
            <w:hideMark/>
          </w:tcPr>
          <w:p w14:paraId="79B28E16"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749 </w:t>
            </w:r>
          </w:p>
        </w:tc>
        <w:tc>
          <w:tcPr>
            <w:tcW w:w="444" w:type="pct"/>
            <w:tcBorders>
              <w:top w:val="nil"/>
              <w:left w:val="nil"/>
              <w:bottom w:val="nil"/>
              <w:right w:val="single" w:sz="4" w:space="0" w:color="808080"/>
            </w:tcBorders>
            <w:shd w:val="clear" w:color="auto" w:fill="auto"/>
            <w:vAlign w:val="center"/>
            <w:hideMark/>
          </w:tcPr>
          <w:p w14:paraId="5201D887"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2 631 </w:t>
            </w:r>
          </w:p>
        </w:tc>
        <w:tc>
          <w:tcPr>
            <w:tcW w:w="437" w:type="pct"/>
            <w:tcBorders>
              <w:top w:val="nil"/>
              <w:left w:val="nil"/>
              <w:bottom w:val="nil"/>
              <w:right w:val="single" w:sz="8" w:space="0" w:color="808080"/>
            </w:tcBorders>
            <w:shd w:val="clear" w:color="auto" w:fill="auto"/>
            <w:vAlign w:val="center"/>
            <w:hideMark/>
          </w:tcPr>
          <w:p w14:paraId="2BDC9AAC"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877 </w:t>
            </w:r>
          </w:p>
        </w:tc>
        <w:tc>
          <w:tcPr>
            <w:tcW w:w="444" w:type="pct"/>
            <w:tcBorders>
              <w:top w:val="nil"/>
              <w:left w:val="single" w:sz="4" w:space="0" w:color="808080"/>
              <w:bottom w:val="nil"/>
              <w:right w:val="single" w:sz="8" w:space="0" w:color="808080"/>
            </w:tcBorders>
            <w:shd w:val="clear" w:color="auto" w:fill="auto"/>
            <w:vAlign w:val="center"/>
            <w:hideMark/>
          </w:tcPr>
          <w:p w14:paraId="492673FA"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1 960 </w:t>
            </w:r>
          </w:p>
        </w:tc>
      </w:tr>
      <w:tr w:rsidR="006D34EE" w:rsidRPr="00CC659A" w14:paraId="664C9CF1" w14:textId="77777777" w:rsidTr="00477854">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14AC3154" w14:textId="77777777" w:rsidR="00CC659A" w:rsidRPr="00CC659A" w:rsidRDefault="00CC659A" w:rsidP="00CC659A">
            <w:pPr>
              <w:spacing w:after="0" w:line="240" w:lineRule="auto"/>
              <w:ind w:left="-108"/>
              <w:jc w:val="right"/>
              <w:rPr>
                <w:rFonts w:eastAsia="Times New Roman"/>
                <w:color w:val="000000"/>
                <w:sz w:val="16"/>
                <w:szCs w:val="16"/>
                <w:lang w:val="es-ES"/>
              </w:rPr>
            </w:pPr>
            <w:r w:rsidRPr="00CC659A">
              <w:rPr>
                <w:rFonts w:eastAsia="Times New Roman"/>
                <w:color w:val="000000"/>
                <w:sz w:val="16"/>
                <w:szCs w:val="16"/>
                <w:lang w:val="es-ES"/>
              </w:rPr>
              <w:t>11</w:t>
            </w:r>
          </w:p>
        </w:tc>
        <w:tc>
          <w:tcPr>
            <w:tcW w:w="920" w:type="pct"/>
            <w:tcBorders>
              <w:top w:val="nil"/>
              <w:left w:val="nil"/>
              <w:bottom w:val="nil"/>
              <w:right w:val="nil"/>
            </w:tcBorders>
            <w:shd w:val="clear" w:color="auto" w:fill="auto"/>
            <w:vAlign w:val="center"/>
            <w:hideMark/>
          </w:tcPr>
          <w:p w14:paraId="2CED0D1A" w14:textId="26E19199" w:rsidR="00CC659A" w:rsidRPr="00CC659A" w:rsidRDefault="00B77017"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Bahréin</w:t>
            </w:r>
          </w:p>
        </w:tc>
        <w:tc>
          <w:tcPr>
            <w:tcW w:w="404" w:type="pct"/>
            <w:tcBorders>
              <w:top w:val="nil"/>
              <w:left w:val="nil"/>
              <w:bottom w:val="nil"/>
              <w:right w:val="nil"/>
            </w:tcBorders>
            <w:shd w:val="clear" w:color="auto" w:fill="auto"/>
            <w:vAlign w:val="center"/>
            <w:hideMark/>
          </w:tcPr>
          <w:p w14:paraId="1D1C7105" w14:textId="77777777" w:rsidR="00CC659A" w:rsidRPr="00CC659A" w:rsidRDefault="00CC659A" w:rsidP="00CC659A">
            <w:pPr>
              <w:spacing w:after="0" w:line="240" w:lineRule="auto"/>
              <w:ind w:left="-108"/>
              <w:jc w:val="center"/>
              <w:rPr>
                <w:rFonts w:eastAsia="Times New Roman"/>
                <w:color w:val="000000"/>
                <w:sz w:val="16"/>
                <w:szCs w:val="16"/>
                <w:lang w:val="es-ES"/>
              </w:rPr>
            </w:pPr>
            <w:r w:rsidRPr="00CC659A">
              <w:rPr>
                <w:rFonts w:eastAsia="Times New Roman"/>
                <w:color w:val="000000"/>
                <w:sz w:val="16"/>
                <w:szCs w:val="16"/>
                <w:lang w:val="es-ES"/>
              </w:rPr>
              <w:t>0.054</w:t>
            </w:r>
          </w:p>
        </w:tc>
        <w:tc>
          <w:tcPr>
            <w:tcW w:w="420" w:type="pct"/>
            <w:tcBorders>
              <w:top w:val="nil"/>
              <w:left w:val="nil"/>
              <w:bottom w:val="nil"/>
              <w:right w:val="single" w:sz="8" w:space="0" w:color="808080"/>
            </w:tcBorders>
            <w:shd w:val="clear" w:color="auto" w:fill="auto"/>
            <w:vAlign w:val="center"/>
            <w:hideMark/>
          </w:tcPr>
          <w:p w14:paraId="672886BC" w14:textId="77777777" w:rsidR="00CC659A" w:rsidRPr="00CC659A" w:rsidRDefault="00CC659A" w:rsidP="00CC659A">
            <w:pPr>
              <w:spacing w:after="0" w:line="240" w:lineRule="auto"/>
              <w:ind w:left="-108"/>
              <w:jc w:val="right"/>
              <w:rPr>
                <w:rFonts w:eastAsia="Times New Roman" w:cs="Arial"/>
                <w:color w:val="000000"/>
                <w:sz w:val="16"/>
                <w:szCs w:val="16"/>
                <w:lang w:val="es-ES"/>
              </w:rPr>
            </w:pPr>
            <w:r w:rsidRPr="00CC659A">
              <w:rPr>
                <w:rFonts w:eastAsia="Times New Roman" w:cs="Arial"/>
                <w:color w:val="000000"/>
                <w:sz w:val="16"/>
                <w:szCs w:val="16"/>
                <w:lang w:val="es-ES"/>
              </w:rPr>
              <w:t xml:space="preserve">0.124 </w:t>
            </w:r>
          </w:p>
        </w:tc>
        <w:tc>
          <w:tcPr>
            <w:tcW w:w="444" w:type="pct"/>
            <w:tcBorders>
              <w:top w:val="nil"/>
              <w:left w:val="nil"/>
              <w:bottom w:val="nil"/>
              <w:right w:val="single" w:sz="4" w:space="0" w:color="808080"/>
            </w:tcBorders>
            <w:shd w:val="clear" w:color="auto" w:fill="auto"/>
            <w:vAlign w:val="center"/>
            <w:hideMark/>
          </w:tcPr>
          <w:p w14:paraId="18C5C3CC"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10 876 </w:t>
            </w:r>
          </w:p>
        </w:tc>
        <w:tc>
          <w:tcPr>
            <w:tcW w:w="437" w:type="pct"/>
            <w:tcBorders>
              <w:top w:val="nil"/>
              <w:left w:val="nil"/>
              <w:bottom w:val="nil"/>
              <w:right w:val="single" w:sz="8" w:space="0" w:color="808080"/>
            </w:tcBorders>
            <w:shd w:val="clear" w:color="auto" w:fill="auto"/>
            <w:vAlign w:val="center"/>
            <w:hideMark/>
          </w:tcPr>
          <w:p w14:paraId="75F5395B"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3 625 </w:t>
            </w:r>
          </w:p>
        </w:tc>
        <w:tc>
          <w:tcPr>
            <w:tcW w:w="444" w:type="pct"/>
            <w:tcBorders>
              <w:top w:val="nil"/>
              <w:left w:val="nil"/>
              <w:bottom w:val="nil"/>
              <w:right w:val="single" w:sz="4" w:space="0" w:color="808080"/>
            </w:tcBorders>
            <w:shd w:val="clear" w:color="auto" w:fill="auto"/>
            <w:vAlign w:val="center"/>
            <w:hideMark/>
          </w:tcPr>
          <w:p w14:paraId="5BA64680"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12 132 </w:t>
            </w:r>
          </w:p>
        </w:tc>
        <w:tc>
          <w:tcPr>
            <w:tcW w:w="437" w:type="pct"/>
            <w:tcBorders>
              <w:top w:val="nil"/>
              <w:left w:val="nil"/>
              <w:bottom w:val="nil"/>
              <w:right w:val="single" w:sz="8" w:space="0" w:color="808080"/>
            </w:tcBorders>
            <w:shd w:val="clear" w:color="auto" w:fill="auto"/>
            <w:vAlign w:val="center"/>
            <w:hideMark/>
          </w:tcPr>
          <w:p w14:paraId="14EB92D1"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4 044 </w:t>
            </w:r>
          </w:p>
        </w:tc>
        <w:tc>
          <w:tcPr>
            <w:tcW w:w="444" w:type="pct"/>
            <w:tcBorders>
              <w:top w:val="nil"/>
              <w:left w:val="nil"/>
              <w:bottom w:val="nil"/>
              <w:right w:val="single" w:sz="4" w:space="0" w:color="808080"/>
            </w:tcBorders>
            <w:shd w:val="clear" w:color="auto" w:fill="auto"/>
            <w:vAlign w:val="center"/>
            <w:hideMark/>
          </w:tcPr>
          <w:p w14:paraId="2C6C0823"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14 206 </w:t>
            </w:r>
          </w:p>
        </w:tc>
        <w:tc>
          <w:tcPr>
            <w:tcW w:w="437" w:type="pct"/>
            <w:tcBorders>
              <w:top w:val="nil"/>
              <w:left w:val="nil"/>
              <w:bottom w:val="nil"/>
              <w:right w:val="single" w:sz="8" w:space="0" w:color="808080"/>
            </w:tcBorders>
            <w:shd w:val="clear" w:color="auto" w:fill="auto"/>
            <w:vAlign w:val="center"/>
            <w:hideMark/>
          </w:tcPr>
          <w:p w14:paraId="4780E0A2"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4 735 </w:t>
            </w:r>
          </w:p>
        </w:tc>
        <w:tc>
          <w:tcPr>
            <w:tcW w:w="444" w:type="pct"/>
            <w:tcBorders>
              <w:top w:val="nil"/>
              <w:left w:val="single" w:sz="4" w:space="0" w:color="808080"/>
              <w:bottom w:val="nil"/>
              <w:right w:val="single" w:sz="8" w:space="0" w:color="808080"/>
            </w:tcBorders>
            <w:shd w:val="clear" w:color="auto" w:fill="auto"/>
            <w:vAlign w:val="center"/>
            <w:hideMark/>
          </w:tcPr>
          <w:p w14:paraId="3636905A"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   </w:t>
            </w:r>
          </w:p>
        </w:tc>
      </w:tr>
      <w:tr w:rsidR="006D34EE" w:rsidRPr="00CC659A" w14:paraId="7888B70D" w14:textId="77777777" w:rsidTr="00477854">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242DB7FF" w14:textId="77777777" w:rsidR="00CC659A" w:rsidRPr="00CC659A" w:rsidRDefault="00CC659A" w:rsidP="00CC659A">
            <w:pPr>
              <w:spacing w:after="0" w:line="240" w:lineRule="auto"/>
              <w:ind w:left="-108"/>
              <w:jc w:val="right"/>
              <w:rPr>
                <w:rFonts w:eastAsia="Times New Roman"/>
                <w:color w:val="000000"/>
                <w:sz w:val="16"/>
                <w:szCs w:val="16"/>
                <w:lang w:val="es-ES"/>
              </w:rPr>
            </w:pPr>
            <w:r w:rsidRPr="00CC659A">
              <w:rPr>
                <w:rFonts w:eastAsia="Times New Roman"/>
                <w:color w:val="000000"/>
                <w:sz w:val="16"/>
                <w:szCs w:val="16"/>
                <w:lang w:val="es-ES"/>
              </w:rPr>
              <w:t>12</w:t>
            </w:r>
          </w:p>
        </w:tc>
        <w:tc>
          <w:tcPr>
            <w:tcW w:w="920" w:type="pct"/>
            <w:tcBorders>
              <w:top w:val="nil"/>
              <w:left w:val="nil"/>
              <w:bottom w:val="nil"/>
              <w:right w:val="nil"/>
            </w:tcBorders>
            <w:shd w:val="clear" w:color="auto" w:fill="auto"/>
            <w:vAlign w:val="center"/>
            <w:hideMark/>
          </w:tcPr>
          <w:p w14:paraId="08F88170" w14:textId="53FB055A" w:rsidR="00CC659A" w:rsidRPr="00CC659A" w:rsidRDefault="00B77017"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Bielorussia</w:t>
            </w:r>
          </w:p>
        </w:tc>
        <w:tc>
          <w:tcPr>
            <w:tcW w:w="404" w:type="pct"/>
            <w:tcBorders>
              <w:top w:val="nil"/>
              <w:left w:val="nil"/>
              <w:bottom w:val="nil"/>
              <w:right w:val="nil"/>
            </w:tcBorders>
            <w:shd w:val="clear" w:color="auto" w:fill="auto"/>
            <w:vAlign w:val="center"/>
            <w:hideMark/>
          </w:tcPr>
          <w:p w14:paraId="408A6A52" w14:textId="77777777" w:rsidR="00CC659A" w:rsidRPr="00CC659A" w:rsidRDefault="00CC659A" w:rsidP="00CC659A">
            <w:pPr>
              <w:spacing w:after="0" w:line="240" w:lineRule="auto"/>
              <w:ind w:left="-108"/>
              <w:jc w:val="center"/>
              <w:rPr>
                <w:rFonts w:eastAsia="Times New Roman"/>
                <w:color w:val="000000"/>
                <w:sz w:val="16"/>
                <w:szCs w:val="16"/>
                <w:lang w:val="es-ES"/>
              </w:rPr>
            </w:pPr>
            <w:r w:rsidRPr="00CC659A">
              <w:rPr>
                <w:rFonts w:eastAsia="Times New Roman"/>
                <w:color w:val="000000"/>
                <w:sz w:val="16"/>
                <w:szCs w:val="16"/>
                <w:lang w:val="es-ES"/>
              </w:rPr>
              <w:t>0.041</w:t>
            </w:r>
          </w:p>
        </w:tc>
        <w:tc>
          <w:tcPr>
            <w:tcW w:w="420" w:type="pct"/>
            <w:tcBorders>
              <w:top w:val="nil"/>
              <w:left w:val="nil"/>
              <w:bottom w:val="nil"/>
              <w:right w:val="single" w:sz="8" w:space="0" w:color="808080"/>
            </w:tcBorders>
            <w:shd w:val="clear" w:color="auto" w:fill="auto"/>
            <w:vAlign w:val="center"/>
            <w:hideMark/>
          </w:tcPr>
          <w:p w14:paraId="191DB451" w14:textId="77777777" w:rsidR="00CC659A" w:rsidRPr="00CC659A" w:rsidRDefault="00CC659A" w:rsidP="00CC659A">
            <w:pPr>
              <w:spacing w:after="0" w:line="240" w:lineRule="auto"/>
              <w:ind w:left="-108"/>
              <w:jc w:val="right"/>
              <w:rPr>
                <w:rFonts w:eastAsia="Times New Roman" w:cs="Arial"/>
                <w:color w:val="000000"/>
                <w:sz w:val="16"/>
                <w:szCs w:val="16"/>
                <w:lang w:val="es-ES"/>
              </w:rPr>
            </w:pPr>
            <w:r w:rsidRPr="00CC659A">
              <w:rPr>
                <w:rFonts w:eastAsia="Times New Roman" w:cs="Arial"/>
                <w:color w:val="000000"/>
                <w:sz w:val="16"/>
                <w:szCs w:val="16"/>
                <w:lang w:val="es-ES"/>
              </w:rPr>
              <w:t xml:space="preserve"> 0.094 </w:t>
            </w:r>
          </w:p>
        </w:tc>
        <w:tc>
          <w:tcPr>
            <w:tcW w:w="444" w:type="pct"/>
            <w:tcBorders>
              <w:top w:val="nil"/>
              <w:left w:val="nil"/>
              <w:bottom w:val="nil"/>
              <w:right w:val="single" w:sz="4" w:space="0" w:color="808080"/>
            </w:tcBorders>
            <w:shd w:val="clear" w:color="auto" w:fill="auto"/>
            <w:vAlign w:val="center"/>
            <w:hideMark/>
          </w:tcPr>
          <w:p w14:paraId="239B49D0"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8 257 </w:t>
            </w:r>
          </w:p>
        </w:tc>
        <w:tc>
          <w:tcPr>
            <w:tcW w:w="437" w:type="pct"/>
            <w:tcBorders>
              <w:top w:val="nil"/>
              <w:left w:val="nil"/>
              <w:bottom w:val="nil"/>
              <w:right w:val="single" w:sz="8" w:space="0" w:color="808080"/>
            </w:tcBorders>
            <w:shd w:val="clear" w:color="auto" w:fill="auto"/>
            <w:vAlign w:val="center"/>
            <w:hideMark/>
          </w:tcPr>
          <w:p w14:paraId="176B87DB"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2 752 </w:t>
            </w:r>
          </w:p>
        </w:tc>
        <w:tc>
          <w:tcPr>
            <w:tcW w:w="444" w:type="pct"/>
            <w:tcBorders>
              <w:top w:val="nil"/>
              <w:left w:val="nil"/>
              <w:bottom w:val="nil"/>
              <w:right w:val="single" w:sz="4" w:space="0" w:color="808080"/>
            </w:tcBorders>
            <w:shd w:val="clear" w:color="auto" w:fill="auto"/>
            <w:vAlign w:val="center"/>
            <w:hideMark/>
          </w:tcPr>
          <w:p w14:paraId="1347A77D"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9 212 </w:t>
            </w:r>
          </w:p>
        </w:tc>
        <w:tc>
          <w:tcPr>
            <w:tcW w:w="437" w:type="pct"/>
            <w:tcBorders>
              <w:top w:val="nil"/>
              <w:left w:val="nil"/>
              <w:bottom w:val="nil"/>
              <w:right w:val="single" w:sz="8" w:space="0" w:color="808080"/>
            </w:tcBorders>
            <w:shd w:val="clear" w:color="auto" w:fill="auto"/>
            <w:vAlign w:val="center"/>
            <w:hideMark/>
          </w:tcPr>
          <w:p w14:paraId="3EF13276"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3 071 </w:t>
            </w:r>
          </w:p>
        </w:tc>
        <w:tc>
          <w:tcPr>
            <w:tcW w:w="444" w:type="pct"/>
            <w:tcBorders>
              <w:top w:val="nil"/>
              <w:left w:val="nil"/>
              <w:bottom w:val="nil"/>
              <w:right w:val="single" w:sz="4" w:space="0" w:color="808080"/>
            </w:tcBorders>
            <w:shd w:val="clear" w:color="auto" w:fill="auto"/>
            <w:vAlign w:val="center"/>
            <w:hideMark/>
          </w:tcPr>
          <w:p w14:paraId="4629C0B8"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10 786 </w:t>
            </w:r>
          </w:p>
        </w:tc>
        <w:tc>
          <w:tcPr>
            <w:tcW w:w="437" w:type="pct"/>
            <w:tcBorders>
              <w:top w:val="nil"/>
              <w:left w:val="nil"/>
              <w:bottom w:val="nil"/>
              <w:right w:val="single" w:sz="8" w:space="0" w:color="808080"/>
            </w:tcBorders>
            <w:shd w:val="clear" w:color="auto" w:fill="auto"/>
            <w:vAlign w:val="center"/>
            <w:hideMark/>
          </w:tcPr>
          <w:p w14:paraId="4AD3233E"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3 595 </w:t>
            </w:r>
          </w:p>
        </w:tc>
        <w:tc>
          <w:tcPr>
            <w:tcW w:w="444" w:type="pct"/>
            <w:tcBorders>
              <w:top w:val="nil"/>
              <w:left w:val="single" w:sz="4" w:space="0" w:color="808080"/>
              <w:bottom w:val="nil"/>
              <w:right w:val="single" w:sz="8" w:space="0" w:color="808080"/>
            </w:tcBorders>
            <w:shd w:val="clear" w:color="auto" w:fill="auto"/>
            <w:vAlign w:val="center"/>
            <w:hideMark/>
          </w:tcPr>
          <w:p w14:paraId="20FBD78B"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9 602 </w:t>
            </w:r>
          </w:p>
        </w:tc>
      </w:tr>
      <w:tr w:rsidR="006D34EE" w:rsidRPr="00CC659A" w14:paraId="11CF4BA7" w14:textId="77777777" w:rsidTr="00477854">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2FE35979" w14:textId="77777777" w:rsidR="00CC659A" w:rsidRPr="00CC659A" w:rsidRDefault="00CC659A" w:rsidP="00CC659A">
            <w:pPr>
              <w:spacing w:after="0" w:line="240" w:lineRule="auto"/>
              <w:ind w:left="-108"/>
              <w:jc w:val="right"/>
              <w:rPr>
                <w:rFonts w:eastAsia="Times New Roman"/>
                <w:color w:val="000000"/>
                <w:sz w:val="16"/>
                <w:szCs w:val="16"/>
                <w:lang w:val="es-ES"/>
              </w:rPr>
            </w:pPr>
            <w:r w:rsidRPr="00CC659A">
              <w:rPr>
                <w:rFonts w:eastAsia="Times New Roman"/>
                <w:color w:val="000000"/>
                <w:sz w:val="16"/>
                <w:szCs w:val="16"/>
                <w:lang w:val="es-ES"/>
              </w:rPr>
              <w:t>13</w:t>
            </w:r>
          </w:p>
        </w:tc>
        <w:tc>
          <w:tcPr>
            <w:tcW w:w="920" w:type="pct"/>
            <w:tcBorders>
              <w:top w:val="nil"/>
              <w:left w:val="nil"/>
              <w:bottom w:val="nil"/>
              <w:right w:val="nil"/>
            </w:tcBorders>
            <w:shd w:val="clear" w:color="auto" w:fill="auto"/>
            <w:vAlign w:val="center"/>
            <w:hideMark/>
          </w:tcPr>
          <w:p w14:paraId="3FEC323A" w14:textId="41B02FE3"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B</w:t>
            </w:r>
            <w:r w:rsidR="00B77017">
              <w:rPr>
                <w:rFonts w:eastAsia="Times New Roman"/>
                <w:color w:val="000000"/>
                <w:sz w:val="16"/>
                <w:szCs w:val="16"/>
                <w:lang w:val="es-ES"/>
              </w:rPr>
              <w:t>é</w:t>
            </w:r>
            <w:r w:rsidRPr="00CC659A">
              <w:rPr>
                <w:rFonts w:eastAsia="Times New Roman"/>
                <w:color w:val="000000"/>
                <w:sz w:val="16"/>
                <w:szCs w:val="16"/>
                <w:lang w:val="es-ES"/>
              </w:rPr>
              <w:t>lgi</w:t>
            </w:r>
            <w:r w:rsidR="00B77017">
              <w:rPr>
                <w:rFonts w:eastAsia="Times New Roman"/>
                <w:color w:val="000000"/>
                <w:sz w:val="16"/>
                <w:szCs w:val="16"/>
                <w:lang w:val="es-ES"/>
              </w:rPr>
              <w:t>ca</w:t>
            </w:r>
          </w:p>
        </w:tc>
        <w:tc>
          <w:tcPr>
            <w:tcW w:w="404" w:type="pct"/>
            <w:tcBorders>
              <w:top w:val="nil"/>
              <w:left w:val="nil"/>
              <w:bottom w:val="nil"/>
              <w:right w:val="nil"/>
            </w:tcBorders>
            <w:shd w:val="clear" w:color="auto" w:fill="auto"/>
            <w:vAlign w:val="center"/>
            <w:hideMark/>
          </w:tcPr>
          <w:p w14:paraId="634FA88B" w14:textId="77777777" w:rsidR="00CC659A" w:rsidRPr="00CC659A" w:rsidRDefault="00CC659A" w:rsidP="00CC659A">
            <w:pPr>
              <w:spacing w:after="0" w:line="240" w:lineRule="auto"/>
              <w:ind w:left="-108"/>
              <w:jc w:val="center"/>
              <w:rPr>
                <w:rFonts w:eastAsia="Times New Roman"/>
                <w:color w:val="000000"/>
                <w:sz w:val="16"/>
                <w:szCs w:val="16"/>
                <w:lang w:val="es-ES"/>
              </w:rPr>
            </w:pPr>
            <w:r w:rsidRPr="00CC659A">
              <w:rPr>
                <w:rFonts w:eastAsia="Times New Roman"/>
                <w:color w:val="000000"/>
                <w:sz w:val="16"/>
                <w:szCs w:val="16"/>
                <w:lang w:val="es-ES"/>
              </w:rPr>
              <w:t>0.828</w:t>
            </w:r>
          </w:p>
        </w:tc>
        <w:tc>
          <w:tcPr>
            <w:tcW w:w="420" w:type="pct"/>
            <w:tcBorders>
              <w:top w:val="nil"/>
              <w:left w:val="nil"/>
              <w:bottom w:val="nil"/>
              <w:right w:val="single" w:sz="8" w:space="0" w:color="808080"/>
            </w:tcBorders>
            <w:shd w:val="clear" w:color="auto" w:fill="auto"/>
            <w:vAlign w:val="center"/>
            <w:hideMark/>
          </w:tcPr>
          <w:p w14:paraId="0201D5A9" w14:textId="77777777" w:rsidR="00CC659A" w:rsidRPr="00CC659A" w:rsidRDefault="00CC659A" w:rsidP="00CC659A">
            <w:pPr>
              <w:spacing w:after="0" w:line="240" w:lineRule="auto"/>
              <w:ind w:left="-108"/>
              <w:jc w:val="right"/>
              <w:rPr>
                <w:rFonts w:eastAsia="Times New Roman" w:cs="Arial"/>
                <w:color w:val="000000"/>
                <w:sz w:val="16"/>
                <w:szCs w:val="16"/>
                <w:lang w:val="es-ES"/>
              </w:rPr>
            </w:pPr>
            <w:r w:rsidRPr="00CC659A">
              <w:rPr>
                <w:rFonts w:eastAsia="Times New Roman" w:cs="Arial"/>
                <w:color w:val="000000"/>
                <w:sz w:val="16"/>
                <w:szCs w:val="16"/>
                <w:lang w:val="es-ES"/>
              </w:rPr>
              <w:t xml:space="preserve">1.905 </w:t>
            </w:r>
          </w:p>
        </w:tc>
        <w:tc>
          <w:tcPr>
            <w:tcW w:w="444" w:type="pct"/>
            <w:tcBorders>
              <w:top w:val="nil"/>
              <w:left w:val="nil"/>
              <w:bottom w:val="nil"/>
              <w:right w:val="single" w:sz="4" w:space="0" w:color="808080"/>
            </w:tcBorders>
            <w:shd w:val="clear" w:color="auto" w:fill="auto"/>
            <w:vAlign w:val="center"/>
            <w:hideMark/>
          </w:tcPr>
          <w:p w14:paraId="1B6E5CDC"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166 760 </w:t>
            </w:r>
          </w:p>
        </w:tc>
        <w:tc>
          <w:tcPr>
            <w:tcW w:w="437" w:type="pct"/>
            <w:tcBorders>
              <w:top w:val="nil"/>
              <w:left w:val="nil"/>
              <w:bottom w:val="nil"/>
              <w:right w:val="single" w:sz="8" w:space="0" w:color="808080"/>
            </w:tcBorders>
            <w:shd w:val="clear" w:color="auto" w:fill="auto"/>
            <w:vAlign w:val="center"/>
            <w:hideMark/>
          </w:tcPr>
          <w:p w14:paraId="73ED1AB2"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55 587 </w:t>
            </w:r>
          </w:p>
        </w:tc>
        <w:tc>
          <w:tcPr>
            <w:tcW w:w="444" w:type="pct"/>
            <w:tcBorders>
              <w:top w:val="nil"/>
              <w:left w:val="nil"/>
              <w:bottom w:val="nil"/>
              <w:right w:val="single" w:sz="4" w:space="0" w:color="808080"/>
            </w:tcBorders>
            <w:shd w:val="clear" w:color="auto" w:fill="auto"/>
            <w:vAlign w:val="center"/>
            <w:hideMark/>
          </w:tcPr>
          <w:p w14:paraId="6A260709"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186 029 </w:t>
            </w:r>
          </w:p>
        </w:tc>
        <w:tc>
          <w:tcPr>
            <w:tcW w:w="437" w:type="pct"/>
            <w:tcBorders>
              <w:top w:val="nil"/>
              <w:left w:val="nil"/>
              <w:bottom w:val="nil"/>
              <w:right w:val="single" w:sz="8" w:space="0" w:color="808080"/>
            </w:tcBorders>
            <w:shd w:val="clear" w:color="auto" w:fill="auto"/>
            <w:vAlign w:val="center"/>
            <w:hideMark/>
          </w:tcPr>
          <w:p w14:paraId="4FE8E585"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62 010 </w:t>
            </w:r>
          </w:p>
        </w:tc>
        <w:tc>
          <w:tcPr>
            <w:tcW w:w="444" w:type="pct"/>
            <w:tcBorders>
              <w:top w:val="nil"/>
              <w:left w:val="nil"/>
              <w:bottom w:val="nil"/>
              <w:right w:val="single" w:sz="4" w:space="0" w:color="808080"/>
            </w:tcBorders>
            <w:shd w:val="clear" w:color="auto" w:fill="auto"/>
            <w:vAlign w:val="center"/>
            <w:hideMark/>
          </w:tcPr>
          <w:p w14:paraId="34BA05D2"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217 819 </w:t>
            </w:r>
          </w:p>
        </w:tc>
        <w:tc>
          <w:tcPr>
            <w:tcW w:w="437" w:type="pct"/>
            <w:tcBorders>
              <w:top w:val="nil"/>
              <w:left w:val="nil"/>
              <w:bottom w:val="nil"/>
              <w:right w:val="single" w:sz="8" w:space="0" w:color="808080"/>
            </w:tcBorders>
            <w:shd w:val="clear" w:color="auto" w:fill="auto"/>
            <w:vAlign w:val="center"/>
            <w:hideMark/>
          </w:tcPr>
          <w:p w14:paraId="5F7E0F58"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72 606 </w:t>
            </w:r>
          </w:p>
        </w:tc>
        <w:tc>
          <w:tcPr>
            <w:tcW w:w="444" w:type="pct"/>
            <w:tcBorders>
              <w:top w:val="nil"/>
              <w:left w:val="single" w:sz="4" w:space="0" w:color="808080"/>
              <w:bottom w:val="nil"/>
              <w:right w:val="single" w:sz="8" w:space="0" w:color="808080"/>
            </w:tcBorders>
            <w:shd w:val="clear" w:color="auto" w:fill="auto"/>
            <w:vAlign w:val="center"/>
            <w:hideMark/>
          </w:tcPr>
          <w:p w14:paraId="021F9CCE"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160 885 </w:t>
            </w:r>
          </w:p>
        </w:tc>
      </w:tr>
      <w:tr w:rsidR="006D34EE" w:rsidRPr="00CC659A" w14:paraId="3F922F02" w14:textId="77777777" w:rsidTr="00477854">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5895FDB7" w14:textId="77777777" w:rsidR="00CC659A" w:rsidRPr="00CC659A" w:rsidRDefault="00CC659A" w:rsidP="00CC659A">
            <w:pPr>
              <w:spacing w:after="0" w:line="240" w:lineRule="auto"/>
              <w:ind w:left="-108"/>
              <w:jc w:val="right"/>
              <w:rPr>
                <w:rFonts w:eastAsia="Times New Roman"/>
                <w:color w:val="000000"/>
                <w:sz w:val="16"/>
                <w:szCs w:val="16"/>
                <w:lang w:val="es-ES"/>
              </w:rPr>
            </w:pPr>
            <w:r w:rsidRPr="00CC659A">
              <w:rPr>
                <w:rFonts w:eastAsia="Times New Roman"/>
                <w:color w:val="000000"/>
                <w:sz w:val="16"/>
                <w:szCs w:val="16"/>
                <w:lang w:val="es-ES"/>
              </w:rPr>
              <w:t>14</w:t>
            </w:r>
          </w:p>
        </w:tc>
        <w:tc>
          <w:tcPr>
            <w:tcW w:w="920" w:type="pct"/>
            <w:tcBorders>
              <w:top w:val="nil"/>
              <w:left w:val="nil"/>
              <w:bottom w:val="nil"/>
              <w:right w:val="nil"/>
            </w:tcBorders>
            <w:shd w:val="clear" w:color="auto" w:fill="auto"/>
            <w:vAlign w:val="center"/>
            <w:hideMark/>
          </w:tcPr>
          <w:p w14:paraId="0D33413B" w14:textId="2D6C682A" w:rsidR="00CC659A" w:rsidRPr="00CC659A" w:rsidRDefault="00B77017"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Benín</w:t>
            </w:r>
          </w:p>
        </w:tc>
        <w:tc>
          <w:tcPr>
            <w:tcW w:w="404" w:type="pct"/>
            <w:tcBorders>
              <w:top w:val="nil"/>
              <w:left w:val="nil"/>
              <w:bottom w:val="nil"/>
              <w:right w:val="nil"/>
            </w:tcBorders>
            <w:shd w:val="clear" w:color="auto" w:fill="auto"/>
            <w:vAlign w:val="center"/>
            <w:hideMark/>
          </w:tcPr>
          <w:p w14:paraId="025A2F8E" w14:textId="77777777" w:rsidR="00CC659A" w:rsidRPr="00CC659A" w:rsidRDefault="00CC659A" w:rsidP="00CC659A">
            <w:pPr>
              <w:spacing w:after="0" w:line="240" w:lineRule="auto"/>
              <w:ind w:left="-108"/>
              <w:jc w:val="center"/>
              <w:rPr>
                <w:rFonts w:eastAsia="Times New Roman"/>
                <w:color w:val="000000"/>
                <w:sz w:val="16"/>
                <w:szCs w:val="16"/>
                <w:lang w:val="es-ES"/>
              </w:rPr>
            </w:pPr>
            <w:r w:rsidRPr="00CC659A">
              <w:rPr>
                <w:rFonts w:eastAsia="Times New Roman"/>
                <w:color w:val="000000"/>
                <w:sz w:val="16"/>
                <w:szCs w:val="16"/>
                <w:lang w:val="es-ES"/>
              </w:rPr>
              <w:t>0.005</w:t>
            </w:r>
          </w:p>
        </w:tc>
        <w:tc>
          <w:tcPr>
            <w:tcW w:w="420" w:type="pct"/>
            <w:tcBorders>
              <w:top w:val="nil"/>
              <w:left w:val="nil"/>
              <w:bottom w:val="nil"/>
              <w:right w:val="single" w:sz="8" w:space="0" w:color="808080"/>
            </w:tcBorders>
            <w:shd w:val="clear" w:color="auto" w:fill="auto"/>
            <w:vAlign w:val="center"/>
            <w:hideMark/>
          </w:tcPr>
          <w:p w14:paraId="58DF1A20" w14:textId="77777777" w:rsidR="00CC659A" w:rsidRPr="00CC659A" w:rsidRDefault="00CC659A" w:rsidP="00CC659A">
            <w:pPr>
              <w:spacing w:after="0" w:line="240" w:lineRule="auto"/>
              <w:ind w:left="-108"/>
              <w:jc w:val="right"/>
              <w:rPr>
                <w:rFonts w:eastAsia="Times New Roman" w:cs="Arial"/>
                <w:color w:val="000000"/>
                <w:sz w:val="16"/>
                <w:szCs w:val="16"/>
                <w:lang w:val="es-ES"/>
              </w:rPr>
            </w:pPr>
            <w:r w:rsidRPr="00CC659A">
              <w:rPr>
                <w:rFonts w:eastAsia="Times New Roman" w:cs="Arial"/>
                <w:color w:val="000000"/>
                <w:sz w:val="16"/>
                <w:szCs w:val="16"/>
                <w:lang w:val="es-ES"/>
              </w:rPr>
              <w:t xml:space="preserve">0.012 </w:t>
            </w:r>
          </w:p>
        </w:tc>
        <w:tc>
          <w:tcPr>
            <w:tcW w:w="444" w:type="pct"/>
            <w:tcBorders>
              <w:top w:val="nil"/>
              <w:left w:val="nil"/>
              <w:bottom w:val="nil"/>
              <w:right w:val="single" w:sz="4" w:space="0" w:color="808080"/>
            </w:tcBorders>
            <w:shd w:val="clear" w:color="auto" w:fill="auto"/>
            <w:vAlign w:val="center"/>
            <w:hideMark/>
          </w:tcPr>
          <w:p w14:paraId="01FA18AB"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1 007 </w:t>
            </w:r>
          </w:p>
        </w:tc>
        <w:tc>
          <w:tcPr>
            <w:tcW w:w="437" w:type="pct"/>
            <w:tcBorders>
              <w:top w:val="nil"/>
              <w:left w:val="nil"/>
              <w:bottom w:val="nil"/>
              <w:right w:val="single" w:sz="8" w:space="0" w:color="808080"/>
            </w:tcBorders>
            <w:shd w:val="clear" w:color="auto" w:fill="auto"/>
            <w:vAlign w:val="center"/>
            <w:hideMark/>
          </w:tcPr>
          <w:p w14:paraId="729116D5"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336 </w:t>
            </w:r>
          </w:p>
        </w:tc>
        <w:tc>
          <w:tcPr>
            <w:tcW w:w="444" w:type="pct"/>
            <w:tcBorders>
              <w:top w:val="nil"/>
              <w:left w:val="nil"/>
              <w:bottom w:val="nil"/>
              <w:right w:val="single" w:sz="4" w:space="0" w:color="808080"/>
            </w:tcBorders>
            <w:shd w:val="clear" w:color="auto" w:fill="auto"/>
            <w:vAlign w:val="center"/>
            <w:hideMark/>
          </w:tcPr>
          <w:p w14:paraId="4325EADC"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1 123 </w:t>
            </w:r>
          </w:p>
        </w:tc>
        <w:tc>
          <w:tcPr>
            <w:tcW w:w="437" w:type="pct"/>
            <w:tcBorders>
              <w:top w:val="nil"/>
              <w:left w:val="nil"/>
              <w:bottom w:val="nil"/>
              <w:right w:val="single" w:sz="8" w:space="0" w:color="808080"/>
            </w:tcBorders>
            <w:shd w:val="clear" w:color="auto" w:fill="auto"/>
            <w:vAlign w:val="center"/>
            <w:hideMark/>
          </w:tcPr>
          <w:p w14:paraId="20AFBFAF"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374 </w:t>
            </w:r>
          </w:p>
        </w:tc>
        <w:tc>
          <w:tcPr>
            <w:tcW w:w="444" w:type="pct"/>
            <w:tcBorders>
              <w:top w:val="nil"/>
              <w:left w:val="nil"/>
              <w:bottom w:val="nil"/>
              <w:right w:val="single" w:sz="4" w:space="0" w:color="808080"/>
            </w:tcBorders>
            <w:shd w:val="clear" w:color="auto" w:fill="auto"/>
            <w:vAlign w:val="center"/>
            <w:hideMark/>
          </w:tcPr>
          <w:p w14:paraId="1159542D"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1 315 </w:t>
            </w:r>
          </w:p>
        </w:tc>
        <w:tc>
          <w:tcPr>
            <w:tcW w:w="437" w:type="pct"/>
            <w:tcBorders>
              <w:top w:val="nil"/>
              <w:left w:val="nil"/>
              <w:bottom w:val="nil"/>
              <w:right w:val="single" w:sz="8" w:space="0" w:color="808080"/>
            </w:tcBorders>
            <w:shd w:val="clear" w:color="auto" w:fill="auto"/>
            <w:vAlign w:val="center"/>
            <w:hideMark/>
          </w:tcPr>
          <w:p w14:paraId="2AFEED48"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438 </w:t>
            </w:r>
          </w:p>
        </w:tc>
        <w:tc>
          <w:tcPr>
            <w:tcW w:w="444" w:type="pct"/>
            <w:tcBorders>
              <w:top w:val="nil"/>
              <w:left w:val="single" w:sz="4" w:space="0" w:color="808080"/>
              <w:bottom w:val="nil"/>
              <w:right w:val="single" w:sz="8" w:space="0" w:color="808080"/>
            </w:tcBorders>
            <w:shd w:val="clear" w:color="auto" w:fill="auto"/>
            <w:vAlign w:val="center"/>
            <w:hideMark/>
          </w:tcPr>
          <w:p w14:paraId="10E1C012"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588 </w:t>
            </w:r>
          </w:p>
        </w:tc>
      </w:tr>
      <w:tr w:rsidR="006D34EE" w:rsidRPr="00CC659A" w14:paraId="62747593" w14:textId="77777777" w:rsidTr="00477854">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6622299B" w14:textId="77777777" w:rsidR="00CC659A" w:rsidRPr="00CC659A" w:rsidRDefault="00CC659A" w:rsidP="00CC659A">
            <w:pPr>
              <w:spacing w:after="0" w:line="240" w:lineRule="auto"/>
              <w:ind w:left="-108"/>
              <w:jc w:val="right"/>
              <w:rPr>
                <w:rFonts w:eastAsia="Times New Roman"/>
                <w:color w:val="000000"/>
                <w:sz w:val="16"/>
                <w:szCs w:val="16"/>
                <w:lang w:val="es-ES"/>
              </w:rPr>
            </w:pPr>
            <w:r w:rsidRPr="00CC659A">
              <w:rPr>
                <w:rFonts w:eastAsia="Times New Roman"/>
                <w:color w:val="000000"/>
                <w:sz w:val="16"/>
                <w:szCs w:val="16"/>
                <w:lang w:val="es-ES"/>
              </w:rPr>
              <w:t>15</w:t>
            </w:r>
          </w:p>
        </w:tc>
        <w:tc>
          <w:tcPr>
            <w:tcW w:w="920" w:type="pct"/>
            <w:tcBorders>
              <w:top w:val="nil"/>
              <w:left w:val="nil"/>
              <w:bottom w:val="nil"/>
              <w:right w:val="nil"/>
            </w:tcBorders>
            <w:shd w:val="clear" w:color="auto" w:fill="auto"/>
            <w:vAlign w:val="center"/>
            <w:hideMark/>
          </w:tcPr>
          <w:p w14:paraId="47A2FCE5" w14:textId="50A4E890" w:rsidR="00CC659A" w:rsidRPr="00CC659A" w:rsidRDefault="00B77017"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Bolivia</w:t>
            </w:r>
            <w:r w:rsidR="00CC659A" w:rsidRPr="00CC659A">
              <w:rPr>
                <w:rFonts w:eastAsia="Times New Roman"/>
                <w:color w:val="000000"/>
                <w:sz w:val="16"/>
                <w:szCs w:val="16"/>
                <w:lang w:val="es-ES"/>
              </w:rPr>
              <w:t xml:space="preserve"> (</w:t>
            </w:r>
            <w:r w:rsidR="00D75212" w:rsidRPr="00CC659A">
              <w:rPr>
                <w:rFonts w:eastAsia="Times New Roman"/>
                <w:color w:val="000000"/>
                <w:sz w:val="16"/>
                <w:szCs w:val="16"/>
                <w:lang w:val="es-ES"/>
              </w:rPr>
              <w:t>E</w:t>
            </w:r>
            <w:r w:rsidR="00D75212">
              <w:rPr>
                <w:rFonts w:eastAsia="Times New Roman"/>
                <w:color w:val="000000"/>
                <w:sz w:val="16"/>
                <w:szCs w:val="16"/>
                <w:lang w:val="es-ES"/>
              </w:rPr>
              <w:t>stado</w:t>
            </w:r>
            <w:r>
              <w:rPr>
                <w:rFonts w:eastAsia="Times New Roman"/>
                <w:color w:val="000000"/>
                <w:sz w:val="16"/>
                <w:szCs w:val="16"/>
                <w:lang w:val="es-ES"/>
              </w:rPr>
              <w:t xml:space="preserve"> plurinacional de</w:t>
            </w:r>
            <w:r w:rsidR="00CC659A" w:rsidRPr="00CC659A">
              <w:rPr>
                <w:rFonts w:eastAsia="Times New Roman"/>
                <w:color w:val="000000"/>
                <w:sz w:val="16"/>
                <w:szCs w:val="16"/>
                <w:lang w:val="es-ES"/>
              </w:rPr>
              <w:t>)</w:t>
            </w:r>
          </w:p>
        </w:tc>
        <w:tc>
          <w:tcPr>
            <w:tcW w:w="404" w:type="pct"/>
            <w:tcBorders>
              <w:top w:val="nil"/>
              <w:left w:val="nil"/>
              <w:bottom w:val="nil"/>
              <w:right w:val="nil"/>
            </w:tcBorders>
            <w:shd w:val="clear" w:color="auto" w:fill="auto"/>
            <w:vAlign w:val="center"/>
            <w:hideMark/>
          </w:tcPr>
          <w:p w14:paraId="52CCB202" w14:textId="77777777" w:rsidR="00CC659A" w:rsidRPr="00CC659A" w:rsidRDefault="00CC659A" w:rsidP="00CC659A">
            <w:pPr>
              <w:spacing w:after="0" w:line="240" w:lineRule="auto"/>
              <w:ind w:left="-108"/>
              <w:jc w:val="center"/>
              <w:rPr>
                <w:rFonts w:eastAsia="Times New Roman"/>
                <w:color w:val="000000"/>
                <w:sz w:val="16"/>
                <w:szCs w:val="16"/>
                <w:lang w:val="es-ES"/>
              </w:rPr>
            </w:pPr>
            <w:r w:rsidRPr="00CC659A">
              <w:rPr>
                <w:rFonts w:eastAsia="Times New Roman"/>
                <w:color w:val="000000"/>
                <w:sz w:val="16"/>
                <w:szCs w:val="16"/>
                <w:lang w:val="es-ES"/>
              </w:rPr>
              <w:t>0.019</w:t>
            </w:r>
          </w:p>
        </w:tc>
        <w:tc>
          <w:tcPr>
            <w:tcW w:w="420" w:type="pct"/>
            <w:tcBorders>
              <w:top w:val="nil"/>
              <w:left w:val="nil"/>
              <w:bottom w:val="nil"/>
              <w:right w:val="single" w:sz="8" w:space="0" w:color="808080"/>
            </w:tcBorders>
            <w:shd w:val="clear" w:color="auto" w:fill="auto"/>
            <w:vAlign w:val="center"/>
            <w:hideMark/>
          </w:tcPr>
          <w:p w14:paraId="11D5E83F" w14:textId="77777777" w:rsidR="00CC659A" w:rsidRPr="00CC659A" w:rsidRDefault="00CC659A" w:rsidP="00CC659A">
            <w:pPr>
              <w:spacing w:after="0" w:line="240" w:lineRule="auto"/>
              <w:ind w:left="-108"/>
              <w:jc w:val="right"/>
              <w:rPr>
                <w:rFonts w:eastAsia="Times New Roman" w:cs="Arial"/>
                <w:color w:val="000000"/>
                <w:sz w:val="16"/>
                <w:szCs w:val="16"/>
                <w:lang w:val="es-ES"/>
              </w:rPr>
            </w:pPr>
            <w:r w:rsidRPr="00CC659A">
              <w:rPr>
                <w:rFonts w:eastAsia="Times New Roman" w:cs="Arial"/>
                <w:color w:val="000000"/>
                <w:sz w:val="16"/>
                <w:szCs w:val="16"/>
                <w:lang w:val="es-ES"/>
              </w:rPr>
              <w:t xml:space="preserve">0.044 </w:t>
            </w:r>
          </w:p>
        </w:tc>
        <w:tc>
          <w:tcPr>
            <w:tcW w:w="444" w:type="pct"/>
            <w:tcBorders>
              <w:top w:val="nil"/>
              <w:left w:val="nil"/>
              <w:bottom w:val="nil"/>
              <w:right w:val="single" w:sz="4" w:space="0" w:color="808080"/>
            </w:tcBorders>
            <w:shd w:val="clear" w:color="auto" w:fill="auto"/>
            <w:vAlign w:val="center"/>
            <w:hideMark/>
          </w:tcPr>
          <w:p w14:paraId="563B737B"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3 827 </w:t>
            </w:r>
          </w:p>
        </w:tc>
        <w:tc>
          <w:tcPr>
            <w:tcW w:w="437" w:type="pct"/>
            <w:tcBorders>
              <w:top w:val="nil"/>
              <w:left w:val="nil"/>
              <w:bottom w:val="nil"/>
              <w:right w:val="single" w:sz="8" w:space="0" w:color="808080"/>
            </w:tcBorders>
            <w:shd w:val="clear" w:color="auto" w:fill="auto"/>
            <w:vAlign w:val="center"/>
            <w:hideMark/>
          </w:tcPr>
          <w:p w14:paraId="41CA112C"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1 276 </w:t>
            </w:r>
          </w:p>
        </w:tc>
        <w:tc>
          <w:tcPr>
            <w:tcW w:w="444" w:type="pct"/>
            <w:tcBorders>
              <w:top w:val="nil"/>
              <w:left w:val="nil"/>
              <w:bottom w:val="nil"/>
              <w:right w:val="single" w:sz="4" w:space="0" w:color="808080"/>
            </w:tcBorders>
            <w:shd w:val="clear" w:color="auto" w:fill="auto"/>
            <w:vAlign w:val="center"/>
            <w:hideMark/>
          </w:tcPr>
          <w:p w14:paraId="00019683"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4 269 </w:t>
            </w:r>
          </w:p>
        </w:tc>
        <w:tc>
          <w:tcPr>
            <w:tcW w:w="437" w:type="pct"/>
            <w:tcBorders>
              <w:top w:val="nil"/>
              <w:left w:val="nil"/>
              <w:bottom w:val="nil"/>
              <w:right w:val="single" w:sz="8" w:space="0" w:color="808080"/>
            </w:tcBorders>
            <w:shd w:val="clear" w:color="auto" w:fill="auto"/>
            <w:vAlign w:val="center"/>
            <w:hideMark/>
          </w:tcPr>
          <w:p w14:paraId="57F7C4AE"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1 423 </w:t>
            </w:r>
          </w:p>
        </w:tc>
        <w:tc>
          <w:tcPr>
            <w:tcW w:w="444" w:type="pct"/>
            <w:tcBorders>
              <w:top w:val="nil"/>
              <w:left w:val="nil"/>
              <w:bottom w:val="nil"/>
              <w:right w:val="single" w:sz="4" w:space="0" w:color="808080"/>
            </w:tcBorders>
            <w:shd w:val="clear" w:color="auto" w:fill="auto"/>
            <w:vAlign w:val="center"/>
            <w:hideMark/>
          </w:tcPr>
          <w:p w14:paraId="57411DAE"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4 998 </w:t>
            </w:r>
          </w:p>
        </w:tc>
        <w:tc>
          <w:tcPr>
            <w:tcW w:w="437" w:type="pct"/>
            <w:tcBorders>
              <w:top w:val="nil"/>
              <w:left w:val="nil"/>
              <w:bottom w:val="nil"/>
              <w:right w:val="single" w:sz="8" w:space="0" w:color="808080"/>
            </w:tcBorders>
            <w:shd w:val="clear" w:color="auto" w:fill="auto"/>
            <w:vAlign w:val="center"/>
            <w:hideMark/>
          </w:tcPr>
          <w:p w14:paraId="781C7513"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1 666 </w:t>
            </w:r>
          </w:p>
        </w:tc>
        <w:tc>
          <w:tcPr>
            <w:tcW w:w="444" w:type="pct"/>
            <w:tcBorders>
              <w:top w:val="nil"/>
              <w:left w:val="single" w:sz="4" w:space="0" w:color="808080"/>
              <w:bottom w:val="nil"/>
              <w:right w:val="single" w:sz="8" w:space="0" w:color="808080"/>
            </w:tcBorders>
            <w:shd w:val="clear" w:color="auto" w:fill="auto"/>
            <w:vAlign w:val="center"/>
            <w:hideMark/>
          </w:tcPr>
          <w:p w14:paraId="76C44413"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3 136 </w:t>
            </w:r>
          </w:p>
        </w:tc>
      </w:tr>
      <w:tr w:rsidR="006D34EE" w:rsidRPr="00CC659A" w14:paraId="6B8699C0" w14:textId="77777777" w:rsidTr="00477854">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28CF7F2A" w14:textId="77777777" w:rsidR="00CC659A" w:rsidRPr="00CC659A" w:rsidRDefault="00CC659A" w:rsidP="00CC659A">
            <w:pPr>
              <w:spacing w:after="0" w:line="240" w:lineRule="auto"/>
              <w:ind w:left="-108"/>
              <w:jc w:val="right"/>
              <w:rPr>
                <w:rFonts w:eastAsia="Times New Roman"/>
                <w:color w:val="000000"/>
                <w:sz w:val="16"/>
                <w:szCs w:val="16"/>
                <w:lang w:val="es-ES"/>
              </w:rPr>
            </w:pPr>
            <w:r w:rsidRPr="00CC659A">
              <w:rPr>
                <w:rFonts w:eastAsia="Times New Roman"/>
                <w:color w:val="000000"/>
                <w:sz w:val="16"/>
                <w:szCs w:val="16"/>
                <w:lang w:val="es-ES"/>
              </w:rPr>
              <w:t>16</w:t>
            </w:r>
          </w:p>
        </w:tc>
        <w:tc>
          <w:tcPr>
            <w:tcW w:w="920" w:type="pct"/>
            <w:tcBorders>
              <w:top w:val="nil"/>
              <w:left w:val="nil"/>
              <w:bottom w:val="nil"/>
              <w:right w:val="nil"/>
            </w:tcBorders>
            <w:shd w:val="clear" w:color="auto" w:fill="auto"/>
            <w:vAlign w:val="center"/>
            <w:hideMark/>
          </w:tcPr>
          <w:p w14:paraId="3B4E4447" w14:textId="2BC225C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Bosni</w:t>
            </w:r>
            <w:r w:rsidR="00B77017">
              <w:rPr>
                <w:rFonts w:eastAsia="Times New Roman"/>
                <w:color w:val="000000"/>
                <w:sz w:val="16"/>
                <w:szCs w:val="16"/>
                <w:lang w:val="es-ES"/>
              </w:rPr>
              <w:t>a</w:t>
            </w:r>
            <w:r w:rsidRPr="00CC659A">
              <w:rPr>
                <w:rFonts w:eastAsia="Times New Roman"/>
                <w:color w:val="000000"/>
                <w:sz w:val="16"/>
                <w:szCs w:val="16"/>
                <w:lang w:val="es-ES"/>
              </w:rPr>
              <w:t xml:space="preserve">- </w:t>
            </w:r>
            <w:r w:rsidR="00B77017" w:rsidRPr="00CC659A">
              <w:rPr>
                <w:rFonts w:eastAsia="Times New Roman"/>
                <w:color w:val="000000"/>
                <w:sz w:val="16"/>
                <w:szCs w:val="16"/>
                <w:lang w:val="es-ES"/>
              </w:rPr>
              <w:t>Herzegovina</w:t>
            </w:r>
          </w:p>
        </w:tc>
        <w:tc>
          <w:tcPr>
            <w:tcW w:w="404" w:type="pct"/>
            <w:tcBorders>
              <w:top w:val="nil"/>
              <w:left w:val="nil"/>
              <w:bottom w:val="nil"/>
              <w:right w:val="nil"/>
            </w:tcBorders>
            <w:shd w:val="clear" w:color="auto" w:fill="auto"/>
            <w:vAlign w:val="center"/>
            <w:hideMark/>
          </w:tcPr>
          <w:p w14:paraId="449E1F59" w14:textId="77777777" w:rsidR="00CC659A" w:rsidRPr="00CC659A" w:rsidRDefault="00CC659A" w:rsidP="00CC659A">
            <w:pPr>
              <w:spacing w:after="0" w:line="240" w:lineRule="auto"/>
              <w:ind w:left="-108"/>
              <w:jc w:val="center"/>
              <w:rPr>
                <w:rFonts w:eastAsia="Times New Roman"/>
                <w:color w:val="000000"/>
                <w:sz w:val="16"/>
                <w:szCs w:val="16"/>
                <w:lang w:val="es-ES"/>
              </w:rPr>
            </w:pPr>
            <w:r w:rsidRPr="00CC659A">
              <w:rPr>
                <w:rFonts w:eastAsia="Times New Roman"/>
                <w:color w:val="000000"/>
                <w:sz w:val="16"/>
                <w:szCs w:val="16"/>
                <w:lang w:val="es-ES"/>
              </w:rPr>
              <w:t>0.012</w:t>
            </w:r>
          </w:p>
        </w:tc>
        <w:tc>
          <w:tcPr>
            <w:tcW w:w="420" w:type="pct"/>
            <w:tcBorders>
              <w:top w:val="nil"/>
              <w:left w:val="nil"/>
              <w:bottom w:val="nil"/>
              <w:right w:val="single" w:sz="8" w:space="0" w:color="808080"/>
            </w:tcBorders>
            <w:shd w:val="clear" w:color="auto" w:fill="auto"/>
            <w:vAlign w:val="center"/>
            <w:hideMark/>
          </w:tcPr>
          <w:p w14:paraId="01258515" w14:textId="77777777" w:rsidR="00CC659A" w:rsidRPr="00CC659A" w:rsidRDefault="00CC659A" w:rsidP="00CC659A">
            <w:pPr>
              <w:spacing w:after="0" w:line="240" w:lineRule="auto"/>
              <w:ind w:left="-108"/>
              <w:jc w:val="right"/>
              <w:rPr>
                <w:rFonts w:eastAsia="Times New Roman" w:cs="Arial"/>
                <w:color w:val="000000"/>
                <w:sz w:val="16"/>
                <w:szCs w:val="16"/>
                <w:lang w:val="es-ES"/>
              </w:rPr>
            </w:pPr>
            <w:r w:rsidRPr="00CC659A">
              <w:rPr>
                <w:rFonts w:eastAsia="Times New Roman" w:cs="Arial"/>
                <w:color w:val="000000"/>
                <w:sz w:val="16"/>
                <w:szCs w:val="16"/>
                <w:lang w:val="es-ES"/>
              </w:rPr>
              <w:t xml:space="preserve">0.028 </w:t>
            </w:r>
          </w:p>
        </w:tc>
        <w:tc>
          <w:tcPr>
            <w:tcW w:w="444" w:type="pct"/>
            <w:tcBorders>
              <w:top w:val="nil"/>
              <w:left w:val="nil"/>
              <w:bottom w:val="nil"/>
              <w:right w:val="single" w:sz="4" w:space="0" w:color="808080"/>
            </w:tcBorders>
            <w:shd w:val="clear" w:color="auto" w:fill="auto"/>
            <w:vAlign w:val="center"/>
            <w:hideMark/>
          </w:tcPr>
          <w:p w14:paraId="176F31C0"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2 417 </w:t>
            </w:r>
          </w:p>
        </w:tc>
        <w:tc>
          <w:tcPr>
            <w:tcW w:w="437" w:type="pct"/>
            <w:tcBorders>
              <w:top w:val="nil"/>
              <w:left w:val="nil"/>
              <w:bottom w:val="nil"/>
              <w:right w:val="single" w:sz="8" w:space="0" w:color="808080"/>
            </w:tcBorders>
            <w:shd w:val="clear" w:color="auto" w:fill="auto"/>
            <w:vAlign w:val="center"/>
            <w:hideMark/>
          </w:tcPr>
          <w:p w14:paraId="1FD4524B"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806 </w:t>
            </w:r>
          </w:p>
        </w:tc>
        <w:tc>
          <w:tcPr>
            <w:tcW w:w="444" w:type="pct"/>
            <w:tcBorders>
              <w:top w:val="nil"/>
              <w:left w:val="nil"/>
              <w:bottom w:val="nil"/>
              <w:right w:val="single" w:sz="4" w:space="0" w:color="808080"/>
            </w:tcBorders>
            <w:shd w:val="clear" w:color="auto" w:fill="auto"/>
            <w:vAlign w:val="center"/>
            <w:hideMark/>
          </w:tcPr>
          <w:p w14:paraId="2F65C76C"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2 696 </w:t>
            </w:r>
          </w:p>
        </w:tc>
        <w:tc>
          <w:tcPr>
            <w:tcW w:w="437" w:type="pct"/>
            <w:tcBorders>
              <w:top w:val="nil"/>
              <w:left w:val="nil"/>
              <w:bottom w:val="nil"/>
              <w:right w:val="single" w:sz="8" w:space="0" w:color="808080"/>
            </w:tcBorders>
            <w:shd w:val="clear" w:color="auto" w:fill="auto"/>
            <w:vAlign w:val="center"/>
            <w:hideMark/>
          </w:tcPr>
          <w:p w14:paraId="6EA056F5"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899 </w:t>
            </w:r>
          </w:p>
        </w:tc>
        <w:tc>
          <w:tcPr>
            <w:tcW w:w="444" w:type="pct"/>
            <w:tcBorders>
              <w:top w:val="nil"/>
              <w:left w:val="nil"/>
              <w:bottom w:val="nil"/>
              <w:right w:val="single" w:sz="4" w:space="0" w:color="808080"/>
            </w:tcBorders>
            <w:shd w:val="clear" w:color="auto" w:fill="auto"/>
            <w:vAlign w:val="center"/>
            <w:hideMark/>
          </w:tcPr>
          <w:p w14:paraId="1834D999"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3 157 </w:t>
            </w:r>
          </w:p>
        </w:tc>
        <w:tc>
          <w:tcPr>
            <w:tcW w:w="437" w:type="pct"/>
            <w:tcBorders>
              <w:top w:val="nil"/>
              <w:left w:val="nil"/>
              <w:bottom w:val="nil"/>
              <w:right w:val="single" w:sz="8" w:space="0" w:color="808080"/>
            </w:tcBorders>
            <w:shd w:val="clear" w:color="auto" w:fill="auto"/>
            <w:vAlign w:val="center"/>
            <w:hideMark/>
          </w:tcPr>
          <w:p w14:paraId="3E8C83B2"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1 052 </w:t>
            </w:r>
          </w:p>
        </w:tc>
        <w:tc>
          <w:tcPr>
            <w:tcW w:w="444" w:type="pct"/>
            <w:tcBorders>
              <w:top w:val="nil"/>
              <w:left w:val="single" w:sz="4" w:space="0" w:color="808080"/>
              <w:bottom w:val="nil"/>
              <w:right w:val="single" w:sz="8" w:space="0" w:color="808080"/>
            </w:tcBorders>
            <w:shd w:val="clear" w:color="auto" w:fill="auto"/>
            <w:vAlign w:val="center"/>
            <w:hideMark/>
          </w:tcPr>
          <w:p w14:paraId="2FA51796"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2 351 </w:t>
            </w:r>
          </w:p>
        </w:tc>
      </w:tr>
      <w:tr w:rsidR="006D34EE" w:rsidRPr="00CC659A" w14:paraId="42D0F981" w14:textId="77777777" w:rsidTr="00477854">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25C546CC" w14:textId="77777777" w:rsidR="00CC659A" w:rsidRPr="00CC659A" w:rsidRDefault="00CC659A" w:rsidP="00CC659A">
            <w:pPr>
              <w:spacing w:after="0" w:line="240" w:lineRule="auto"/>
              <w:ind w:left="-108"/>
              <w:jc w:val="right"/>
              <w:rPr>
                <w:rFonts w:eastAsia="Times New Roman"/>
                <w:color w:val="000000"/>
                <w:sz w:val="16"/>
                <w:szCs w:val="16"/>
                <w:lang w:val="es-ES"/>
              </w:rPr>
            </w:pPr>
            <w:r w:rsidRPr="00CC659A">
              <w:rPr>
                <w:rFonts w:eastAsia="Times New Roman"/>
                <w:color w:val="000000"/>
                <w:sz w:val="16"/>
                <w:szCs w:val="16"/>
                <w:lang w:val="es-ES"/>
              </w:rPr>
              <w:t>17</w:t>
            </w:r>
          </w:p>
        </w:tc>
        <w:tc>
          <w:tcPr>
            <w:tcW w:w="920" w:type="pct"/>
            <w:tcBorders>
              <w:top w:val="nil"/>
              <w:left w:val="nil"/>
              <w:bottom w:val="nil"/>
              <w:right w:val="nil"/>
            </w:tcBorders>
            <w:shd w:val="clear" w:color="auto" w:fill="auto"/>
            <w:vAlign w:val="center"/>
            <w:hideMark/>
          </w:tcPr>
          <w:p w14:paraId="1C39D741" w14:textId="10BF3655" w:rsidR="00CC659A" w:rsidRPr="00CC659A" w:rsidRDefault="00B77017"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Brasil</w:t>
            </w:r>
          </w:p>
        </w:tc>
        <w:tc>
          <w:tcPr>
            <w:tcW w:w="404" w:type="pct"/>
            <w:tcBorders>
              <w:top w:val="nil"/>
              <w:left w:val="nil"/>
              <w:bottom w:val="nil"/>
              <w:right w:val="nil"/>
            </w:tcBorders>
            <w:shd w:val="clear" w:color="auto" w:fill="auto"/>
            <w:vAlign w:val="center"/>
            <w:hideMark/>
          </w:tcPr>
          <w:p w14:paraId="7203959A" w14:textId="77777777" w:rsidR="00CC659A" w:rsidRPr="00CC659A" w:rsidRDefault="00CC659A" w:rsidP="00CC659A">
            <w:pPr>
              <w:spacing w:after="0" w:line="240" w:lineRule="auto"/>
              <w:ind w:left="-108"/>
              <w:jc w:val="center"/>
              <w:rPr>
                <w:rFonts w:eastAsia="Times New Roman"/>
                <w:color w:val="000000"/>
                <w:sz w:val="16"/>
                <w:szCs w:val="16"/>
                <w:lang w:val="es-ES"/>
              </w:rPr>
            </w:pPr>
            <w:r w:rsidRPr="00CC659A">
              <w:rPr>
                <w:rFonts w:eastAsia="Times New Roman"/>
                <w:color w:val="000000"/>
                <w:sz w:val="16"/>
                <w:szCs w:val="16"/>
                <w:lang w:val="es-ES"/>
              </w:rPr>
              <w:t>2.013</w:t>
            </w:r>
          </w:p>
        </w:tc>
        <w:tc>
          <w:tcPr>
            <w:tcW w:w="420" w:type="pct"/>
            <w:tcBorders>
              <w:top w:val="nil"/>
              <w:left w:val="nil"/>
              <w:bottom w:val="nil"/>
              <w:right w:val="single" w:sz="8" w:space="0" w:color="808080"/>
            </w:tcBorders>
            <w:shd w:val="clear" w:color="auto" w:fill="auto"/>
            <w:vAlign w:val="center"/>
            <w:hideMark/>
          </w:tcPr>
          <w:p w14:paraId="0E8F2F9B" w14:textId="77777777" w:rsidR="00CC659A" w:rsidRPr="00CC659A" w:rsidRDefault="00CC659A" w:rsidP="00CC659A">
            <w:pPr>
              <w:spacing w:after="0" w:line="240" w:lineRule="auto"/>
              <w:ind w:left="-108"/>
              <w:jc w:val="right"/>
              <w:rPr>
                <w:rFonts w:eastAsia="Times New Roman" w:cs="Arial"/>
                <w:color w:val="000000"/>
                <w:sz w:val="16"/>
                <w:szCs w:val="16"/>
                <w:lang w:val="es-ES"/>
              </w:rPr>
            </w:pPr>
            <w:r w:rsidRPr="00CC659A">
              <w:rPr>
                <w:rFonts w:eastAsia="Times New Roman" w:cs="Arial"/>
                <w:color w:val="000000"/>
                <w:sz w:val="16"/>
                <w:szCs w:val="16"/>
                <w:lang w:val="es-ES"/>
              </w:rPr>
              <w:t xml:space="preserve">4.632 </w:t>
            </w:r>
          </w:p>
        </w:tc>
        <w:tc>
          <w:tcPr>
            <w:tcW w:w="444" w:type="pct"/>
            <w:tcBorders>
              <w:top w:val="nil"/>
              <w:left w:val="nil"/>
              <w:bottom w:val="nil"/>
              <w:right w:val="single" w:sz="4" w:space="0" w:color="808080"/>
            </w:tcBorders>
            <w:shd w:val="clear" w:color="auto" w:fill="auto"/>
            <w:vAlign w:val="center"/>
            <w:hideMark/>
          </w:tcPr>
          <w:p w14:paraId="26220E20"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405 420 </w:t>
            </w:r>
          </w:p>
        </w:tc>
        <w:tc>
          <w:tcPr>
            <w:tcW w:w="437" w:type="pct"/>
            <w:tcBorders>
              <w:top w:val="nil"/>
              <w:left w:val="nil"/>
              <w:bottom w:val="nil"/>
              <w:right w:val="single" w:sz="8" w:space="0" w:color="808080"/>
            </w:tcBorders>
            <w:shd w:val="clear" w:color="auto" w:fill="auto"/>
            <w:vAlign w:val="center"/>
            <w:hideMark/>
          </w:tcPr>
          <w:p w14:paraId="038499AD"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135 140 </w:t>
            </w:r>
          </w:p>
        </w:tc>
        <w:tc>
          <w:tcPr>
            <w:tcW w:w="444" w:type="pct"/>
            <w:tcBorders>
              <w:top w:val="nil"/>
              <w:left w:val="nil"/>
              <w:bottom w:val="nil"/>
              <w:right w:val="single" w:sz="4" w:space="0" w:color="808080"/>
            </w:tcBorders>
            <w:shd w:val="clear" w:color="auto" w:fill="auto"/>
            <w:vAlign w:val="center"/>
            <w:hideMark/>
          </w:tcPr>
          <w:p w14:paraId="1108303B"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452 266 </w:t>
            </w:r>
          </w:p>
        </w:tc>
        <w:tc>
          <w:tcPr>
            <w:tcW w:w="437" w:type="pct"/>
            <w:tcBorders>
              <w:top w:val="nil"/>
              <w:left w:val="nil"/>
              <w:bottom w:val="nil"/>
              <w:right w:val="single" w:sz="8" w:space="0" w:color="808080"/>
            </w:tcBorders>
            <w:shd w:val="clear" w:color="auto" w:fill="auto"/>
            <w:vAlign w:val="center"/>
            <w:hideMark/>
          </w:tcPr>
          <w:p w14:paraId="022F0B9F"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150 755 </w:t>
            </w:r>
          </w:p>
        </w:tc>
        <w:tc>
          <w:tcPr>
            <w:tcW w:w="444" w:type="pct"/>
            <w:tcBorders>
              <w:top w:val="nil"/>
              <w:left w:val="nil"/>
              <w:bottom w:val="nil"/>
              <w:right w:val="single" w:sz="4" w:space="0" w:color="808080"/>
            </w:tcBorders>
            <w:shd w:val="clear" w:color="auto" w:fill="auto"/>
            <w:vAlign w:val="center"/>
            <w:hideMark/>
          </w:tcPr>
          <w:p w14:paraId="61DD917A"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529 552 </w:t>
            </w:r>
          </w:p>
        </w:tc>
        <w:tc>
          <w:tcPr>
            <w:tcW w:w="437" w:type="pct"/>
            <w:tcBorders>
              <w:top w:val="nil"/>
              <w:left w:val="nil"/>
              <w:bottom w:val="nil"/>
              <w:right w:val="single" w:sz="8" w:space="0" w:color="808080"/>
            </w:tcBorders>
            <w:shd w:val="clear" w:color="auto" w:fill="auto"/>
            <w:vAlign w:val="center"/>
            <w:hideMark/>
          </w:tcPr>
          <w:p w14:paraId="0C22D070"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176 517 </w:t>
            </w:r>
          </w:p>
        </w:tc>
        <w:tc>
          <w:tcPr>
            <w:tcW w:w="444" w:type="pct"/>
            <w:tcBorders>
              <w:top w:val="nil"/>
              <w:left w:val="single" w:sz="4" w:space="0" w:color="808080"/>
              <w:bottom w:val="nil"/>
              <w:right w:val="single" w:sz="8" w:space="0" w:color="808080"/>
            </w:tcBorders>
            <w:shd w:val="clear" w:color="auto" w:fill="auto"/>
            <w:vAlign w:val="center"/>
            <w:hideMark/>
          </w:tcPr>
          <w:p w14:paraId="2EA31E5F"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577 695 </w:t>
            </w:r>
          </w:p>
        </w:tc>
      </w:tr>
      <w:tr w:rsidR="006D34EE" w:rsidRPr="00CC659A" w14:paraId="63951ACC" w14:textId="77777777" w:rsidTr="00477854">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66009F48" w14:textId="77777777" w:rsidR="00CC659A" w:rsidRPr="00CC659A" w:rsidRDefault="00CC659A" w:rsidP="00CC659A">
            <w:pPr>
              <w:spacing w:after="0" w:line="240" w:lineRule="auto"/>
              <w:ind w:left="-108"/>
              <w:jc w:val="right"/>
              <w:rPr>
                <w:rFonts w:eastAsia="Times New Roman"/>
                <w:color w:val="000000"/>
                <w:sz w:val="16"/>
                <w:szCs w:val="16"/>
                <w:lang w:val="es-ES"/>
              </w:rPr>
            </w:pPr>
            <w:r w:rsidRPr="00CC659A">
              <w:rPr>
                <w:rFonts w:eastAsia="Times New Roman"/>
                <w:color w:val="000000"/>
                <w:sz w:val="16"/>
                <w:szCs w:val="16"/>
                <w:lang w:val="es-ES"/>
              </w:rPr>
              <w:t>18</w:t>
            </w:r>
          </w:p>
        </w:tc>
        <w:tc>
          <w:tcPr>
            <w:tcW w:w="920" w:type="pct"/>
            <w:tcBorders>
              <w:top w:val="nil"/>
              <w:left w:val="nil"/>
              <w:bottom w:val="nil"/>
              <w:right w:val="nil"/>
            </w:tcBorders>
            <w:shd w:val="clear" w:color="auto" w:fill="auto"/>
            <w:vAlign w:val="center"/>
            <w:hideMark/>
          </w:tcPr>
          <w:p w14:paraId="40EB69B1" w14:textId="70E9E319" w:rsidR="00CC659A" w:rsidRPr="00CC659A" w:rsidRDefault="00B77017"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Bulgaria</w:t>
            </w:r>
          </w:p>
        </w:tc>
        <w:tc>
          <w:tcPr>
            <w:tcW w:w="404" w:type="pct"/>
            <w:tcBorders>
              <w:top w:val="nil"/>
              <w:left w:val="nil"/>
              <w:bottom w:val="nil"/>
              <w:right w:val="nil"/>
            </w:tcBorders>
            <w:shd w:val="clear" w:color="auto" w:fill="auto"/>
            <w:vAlign w:val="center"/>
            <w:hideMark/>
          </w:tcPr>
          <w:p w14:paraId="224291A8" w14:textId="77777777" w:rsidR="00CC659A" w:rsidRPr="00CC659A" w:rsidRDefault="00CC659A" w:rsidP="00CC659A">
            <w:pPr>
              <w:spacing w:after="0" w:line="240" w:lineRule="auto"/>
              <w:ind w:left="-108"/>
              <w:jc w:val="center"/>
              <w:rPr>
                <w:rFonts w:eastAsia="Times New Roman"/>
                <w:color w:val="000000"/>
                <w:sz w:val="16"/>
                <w:szCs w:val="16"/>
                <w:lang w:val="es-ES"/>
              </w:rPr>
            </w:pPr>
            <w:r w:rsidRPr="00CC659A">
              <w:rPr>
                <w:rFonts w:eastAsia="Times New Roman"/>
                <w:color w:val="000000"/>
                <w:sz w:val="16"/>
                <w:szCs w:val="16"/>
                <w:lang w:val="es-ES"/>
              </w:rPr>
              <w:t>0.056</w:t>
            </w:r>
          </w:p>
        </w:tc>
        <w:tc>
          <w:tcPr>
            <w:tcW w:w="420" w:type="pct"/>
            <w:tcBorders>
              <w:top w:val="nil"/>
              <w:left w:val="nil"/>
              <w:bottom w:val="nil"/>
              <w:right w:val="single" w:sz="8" w:space="0" w:color="808080"/>
            </w:tcBorders>
            <w:shd w:val="clear" w:color="auto" w:fill="auto"/>
            <w:vAlign w:val="center"/>
            <w:hideMark/>
          </w:tcPr>
          <w:p w14:paraId="6EDA9226" w14:textId="77777777" w:rsidR="00CC659A" w:rsidRPr="00CC659A" w:rsidRDefault="00CC659A" w:rsidP="00CC659A">
            <w:pPr>
              <w:spacing w:after="0" w:line="240" w:lineRule="auto"/>
              <w:ind w:left="-108"/>
              <w:jc w:val="right"/>
              <w:rPr>
                <w:rFonts w:eastAsia="Times New Roman" w:cs="Arial"/>
                <w:color w:val="000000"/>
                <w:sz w:val="16"/>
                <w:szCs w:val="16"/>
                <w:lang w:val="es-ES"/>
              </w:rPr>
            </w:pPr>
            <w:r w:rsidRPr="00CC659A">
              <w:rPr>
                <w:rFonts w:eastAsia="Times New Roman" w:cs="Arial"/>
                <w:color w:val="000000"/>
                <w:sz w:val="16"/>
                <w:szCs w:val="16"/>
                <w:lang w:val="es-ES"/>
              </w:rPr>
              <w:t xml:space="preserve">0.129 </w:t>
            </w:r>
          </w:p>
        </w:tc>
        <w:tc>
          <w:tcPr>
            <w:tcW w:w="444" w:type="pct"/>
            <w:tcBorders>
              <w:top w:val="nil"/>
              <w:left w:val="nil"/>
              <w:bottom w:val="nil"/>
              <w:right w:val="single" w:sz="4" w:space="0" w:color="808080"/>
            </w:tcBorders>
            <w:shd w:val="clear" w:color="auto" w:fill="auto"/>
            <w:vAlign w:val="center"/>
            <w:hideMark/>
          </w:tcPr>
          <w:p w14:paraId="5225BDE1"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11 278 </w:t>
            </w:r>
          </w:p>
        </w:tc>
        <w:tc>
          <w:tcPr>
            <w:tcW w:w="437" w:type="pct"/>
            <w:tcBorders>
              <w:top w:val="nil"/>
              <w:left w:val="nil"/>
              <w:bottom w:val="nil"/>
              <w:right w:val="single" w:sz="8" w:space="0" w:color="808080"/>
            </w:tcBorders>
            <w:shd w:val="clear" w:color="auto" w:fill="auto"/>
            <w:vAlign w:val="center"/>
            <w:hideMark/>
          </w:tcPr>
          <w:p w14:paraId="0CF2472B"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3 759 </w:t>
            </w:r>
          </w:p>
        </w:tc>
        <w:tc>
          <w:tcPr>
            <w:tcW w:w="444" w:type="pct"/>
            <w:tcBorders>
              <w:top w:val="nil"/>
              <w:left w:val="nil"/>
              <w:bottom w:val="nil"/>
              <w:right w:val="single" w:sz="4" w:space="0" w:color="808080"/>
            </w:tcBorders>
            <w:shd w:val="clear" w:color="auto" w:fill="auto"/>
            <w:vAlign w:val="center"/>
            <w:hideMark/>
          </w:tcPr>
          <w:p w14:paraId="45A0FBB6"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12 582 </w:t>
            </w:r>
          </w:p>
        </w:tc>
        <w:tc>
          <w:tcPr>
            <w:tcW w:w="437" w:type="pct"/>
            <w:tcBorders>
              <w:top w:val="nil"/>
              <w:left w:val="nil"/>
              <w:bottom w:val="nil"/>
              <w:right w:val="single" w:sz="8" w:space="0" w:color="808080"/>
            </w:tcBorders>
            <w:shd w:val="clear" w:color="auto" w:fill="auto"/>
            <w:vAlign w:val="center"/>
            <w:hideMark/>
          </w:tcPr>
          <w:p w14:paraId="4BE54CB5"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4 194 </w:t>
            </w:r>
          </w:p>
        </w:tc>
        <w:tc>
          <w:tcPr>
            <w:tcW w:w="444" w:type="pct"/>
            <w:tcBorders>
              <w:top w:val="nil"/>
              <w:left w:val="nil"/>
              <w:bottom w:val="nil"/>
              <w:right w:val="single" w:sz="4" w:space="0" w:color="808080"/>
            </w:tcBorders>
            <w:shd w:val="clear" w:color="auto" w:fill="auto"/>
            <w:vAlign w:val="center"/>
            <w:hideMark/>
          </w:tcPr>
          <w:p w14:paraId="36BCA28E"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14 732 </w:t>
            </w:r>
          </w:p>
        </w:tc>
        <w:tc>
          <w:tcPr>
            <w:tcW w:w="437" w:type="pct"/>
            <w:tcBorders>
              <w:top w:val="nil"/>
              <w:left w:val="nil"/>
              <w:bottom w:val="nil"/>
              <w:right w:val="single" w:sz="8" w:space="0" w:color="808080"/>
            </w:tcBorders>
            <w:shd w:val="clear" w:color="auto" w:fill="auto"/>
            <w:vAlign w:val="center"/>
            <w:hideMark/>
          </w:tcPr>
          <w:p w14:paraId="7DB50384"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4 911 </w:t>
            </w:r>
          </w:p>
        </w:tc>
        <w:tc>
          <w:tcPr>
            <w:tcW w:w="444" w:type="pct"/>
            <w:tcBorders>
              <w:top w:val="nil"/>
              <w:left w:val="single" w:sz="4" w:space="0" w:color="808080"/>
              <w:bottom w:val="nil"/>
              <w:right w:val="single" w:sz="8" w:space="0" w:color="808080"/>
            </w:tcBorders>
            <w:shd w:val="clear" w:color="auto" w:fill="auto"/>
            <w:vAlign w:val="center"/>
            <w:hideMark/>
          </w:tcPr>
          <w:p w14:paraId="2454C84E"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9 014 </w:t>
            </w:r>
          </w:p>
        </w:tc>
      </w:tr>
      <w:tr w:rsidR="006D34EE" w:rsidRPr="00CC659A" w14:paraId="7232CCA8" w14:textId="77777777" w:rsidTr="00477854">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6A31E25E" w14:textId="77777777" w:rsidR="00CC659A" w:rsidRPr="00CC659A" w:rsidRDefault="00CC659A" w:rsidP="00CC659A">
            <w:pPr>
              <w:spacing w:after="0" w:line="240" w:lineRule="auto"/>
              <w:ind w:left="-108"/>
              <w:jc w:val="right"/>
              <w:rPr>
                <w:rFonts w:eastAsia="Times New Roman"/>
                <w:color w:val="000000"/>
                <w:sz w:val="16"/>
                <w:szCs w:val="16"/>
                <w:lang w:val="es-ES"/>
              </w:rPr>
            </w:pPr>
            <w:r w:rsidRPr="00CC659A">
              <w:rPr>
                <w:rFonts w:eastAsia="Times New Roman"/>
                <w:color w:val="000000"/>
                <w:sz w:val="16"/>
                <w:szCs w:val="16"/>
                <w:lang w:val="es-ES"/>
              </w:rPr>
              <w:t>19</w:t>
            </w:r>
          </w:p>
        </w:tc>
        <w:tc>
          <w:tcPr>
            <w:tcW w:w="920" w:type="pct"/>
            <w:tcBorders>
              <w:top w:val="nil"/>
              <w:left w:val="nil"/>
              <w:bottom w:val="nil"/>
              <w:right w:val="nil"/>
            </w:tcBorders>
            <w:shd w:val="clear" w:color="auto" w:fill="auto"/>
            <w:vAlign w:val="center"/>
            <w:hideMark/>
          </w:tcPr>
          <w:p w14:paraId="16C61D52"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Burkina Faso</w:t>
            </w:r>
          </w:p>
        </w:tc>
        <w:tc>
          <w:tcPr>
            <w:tcW w:w="404" w:type="pct"/>
            <w:tcBorders>
              <w:top w:val="nil"/>
              <w:left w:val="nil"/>
              <w:bottom w:val="nil"/>
              <w:right w:val="nil"/>
            </w:tcBorders>
            <w:shd w:val="clear" w:color="auto" w:fill="auto"/>
            <w:vAlign w:val="center"/>
            <w:hideMark/>
          </w:tcPr>
          <w:p w14:paraId="495F9F37" w14:textId="77777777" w:rsidR="00CC659A" w:rsidRPr="00CC659A" w:rsidRDefault="00CC659A" w:rsidP="00CC659A">
            <w:pPr>
              <w:spacing w:after="0" w:line="240" w:lineRule="auto"/>
              <w:ind w:left="-108"/>
              <w:jc w:val="center"/>
              <w:rPr>
                <w:rFonts w:eastAsia="Times New Roman"/>
                <w:color w:val="000000"/>
                <w:sz w:val="16"/>
                <w:szCs w:val="16"/>
                <w:lang w:val="es-ES"/>
              </w:rPr>
            </w:pPr>
            <w:r w:rsidRPr="00CC659A">
              <w:rPr>
                <w:rFonts w:eastAsia="Times New Roman"/>
                <w:color w:val="000000"/>
                <w:sz w:val="16"/>
                <w:szCs w:val="16"/>
                <w:lang w:val="es-ES"/>
              </w:rPr>
              <w:t>0.004</w:t>
            </w:r>
          </w:p>
        </w:tc>
        <w:tc>
          <w:tcPr>
            <w:tcW w:w="420" w:type="pct"/>
            <w:tcBorders>
              <w:top w:val="nil"/>
              <w:left w:val="nil"/>
              <w:bottom w:val="nil"/>
              <w:right w:val="single" w:sz="8" w:space="0" w:color="808080"/>
            </w:tcBorders>
            <w:shd w:val="clear" w:color="auto" w:fill="auto"/>
            <w:vAlign w:val="center"/>
            <w:hideMark/>
          </w:tcPr>
          <w:p w14:paraId="746BE54E" w14:textId="77777777" w:rsidR="00CC659A" w:rsidRPr="00CC659A" w:rsidRDefault="00CC659A" w:rsidP="00CC659A">
            <w:pPr>
              <w:spacing w:after="0" w:line="240" w:lineRule="auto"/>
              <w:ind w:left="-108"/>
              <w:jc w:val="right"/>
              <w:rPr>
                <w:rFonts w:eastAsia="Times New Roman" w:cs="Arial"/>
                <w:color w:val="000000"/>
                <w:sz w:val="16"/>
                <w:szCs w:val="16"/>
                <w:lang w:val="es-ES"/>
              </w:rPr>
            </w:pPr>
            <w:r w:rsidRPr="00CC659A">
              <w:rPr>
                <w:rFonts w:eastAsia="Times New Roman" w:cs="Arial"/>
                <w:color w:val="000000"/>
                <w:sz w:val="16"/>
                <w:szCs w:val="16"/>
                <w:lang w:val="es-ES"/>
              </w:rPr>
              <w:t xml:space="preserve">0.009 </w:t>
            </w:r>
          </w:p>
        </w:tc>
        <w:tc>
          <w:tcPr>
            <w:tcW w:w="444" w:type="pct"/>
            <w:tcBorders>
              <w:top w:val="nil"/>
              <w:left w:val="nil"/>
              <w:bottom w:val="nil"/>
              <w:right w:val="single" w:sz="4" w:space="0" w:color="808080"/>
            </w:tcBorders>
            <w:shd w:val="clear" w:color="auto" w:fill="auto"/>
            <w:vAlign w:val="center"/>
            <w:hideMark/>
          </w:tcPr>
          <w:p w14:paraId="6A48E9DA"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806 </w:t>
            </w:r>
          </w:p>
        </w:tc>
        <w:tc>
          <w:tcPr>
            <w:tcW w:w="437" w:type="pct"/>
            <w:tcBorders>
              <w:top w:val="nil"/>
              <w:left w:val="nil"/>
              <w:bottom w:val="nil"/>
              <w:right w:val="single" w:sz="8" w:space="0" w:color="808080"/>
            </w:tcBorders>
            <w:shd w:val="clear" w:color="auto" w:fill="auto"/>
            <w:vAlign w:val="center"/>
            <w:hideMark/>
          </w:tcPr>
          <w:p w14:paraId="0A404E9A"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269 </w:t>
            </w:r>
          </w:p>
        </w:tc>
        <w:tc>
          <w:tcPr>
            <w:tcW w:w="444" w:type="pct"/>
            <w:tcBorders>
              <w:top w:val="nil"/>
              <w:left w:val="nil"/>
              <w:bottom w:val="nil"/>
              <w:right w:val="single" w:sz="4" w:space="0" w:color="808080"/>
            </w:tcBorders>
            <w:shd w:val="clear" w:color="auto" w:fill="auto"/>
            <w:vAlign w:val="center"/>
            <w:hideMark/>
          </w:tcPr>
          <w:p w14:paraId="60142DD4"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899 </w:t>
            </w:r>
          </w:p>
        </w:tc>
        <w:tc>
          <w:tcPr>
            <w:tcW w:w="437" w:type="pct"/>
            <w:tcBorders>
              <w:top w:val="nil"/>
              <w:left w:val="nil"/>
              <w:bottom w:val="nil"/>
              <w:right w:val="single" w:sz="8" w:space="0" w:color="808080"/>
            </w:tcBorders>
            <w:shd w:val="clear" w:color="auto" w:fill="auto"/>
            <w:vAlign w:val="center"/>
            <w:hideMark/>
          </w:tcPr>
          <w:p w14:paraId="012F0D97"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300 </w:t>
            </w:r>
          </w:p>
        </w:tc>
        <w:tc>
          <w:tcPr>
            <w:tcW w:w="444" w:type="pct"/>
            <w:tcBorders>
              <w:top w:val="nil"/>
              <w:left w:val="nil"/>
              <w:bottom w:val="nil"/>
              <w:right w:val="single" w:sz="4" w:space="0" w:color="808080"/>
            </w:tcBorders>
            <w:shd w:val="clear" w:color="auto" w:fill="auto"/>
            <w:vAlign w:val="center"/>
            <w:hideMark/>
          </w:tcPr>
          <w:p w14:paraId="0528F8BB"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1 052 </w:t>
            </w:r>
          </w:p>
        </w:tc>
        <w:tc>
          <w:tcPr>
            <w:tcW w:w="437" w:type="pct"/>
            <w:tcBorders>
              <w:top w:val="nil"/>
              <w:left w:val="nil"/>
              <w:bottom w:val="nil"/>
              <w:right w:val="single" w:sz="8" w:space="0" w:color="808080"/>
            </w:tcBorders>
            <w:shd w:val="clear" w:color="auto" w:fill="auto"/>
            <w:vAlign w:val="center"/>
            <w:hideMark/>
          </w:tcPr>
          <w:p w14:paraId="0FDACB1F"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351 </w:t>
            </w:r>
          </w:p>
        </w:tc>
        <w:tc>
          <w:tcPr>
            <w:tcW w:w="444" w:type="pct"/>
            <w:tcBorders>
              <w:top w:val="nil"/>
              <w:left w:val="single" w:sz="4" w:space="0" w:color="808080"/>
              <w:bottom w:val="nil"/>
              <w:right w:val="single" w:sz="8" w:space="0" w:color="808080"/>
            </w:tcBorders>
            <w:shd w:val="clear" w:color="auto" w:fill="auto"/>
            <w:vAlign w:val="center"/>
            <w:hideMark/>
          </w:tcPr>
          <w:p w14:paraId="57AF112D"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588 </w:t>
            </w:r>
          </w:p>
        </w:tc>
      </w:tr>
      <w:tr w:rsidR="006D34EE" w:rsidRPr="00CC659A" w14:paraId="0E877742" w14:textId="77777777" w:rsidTr="00477854">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21E24F3B" w14:textId="77777777" w:rsidR="00CC659A" w:rsidRPr="00CC659A" w:rsidRDefault="00CC659A" w:rsidP="00CC659A">
            <w:pPr>
              <w:spacing w:after="0" w:line="240" w:lineRule="auto"/>
              <w:ind w:left="-108"/>
              <w:jc w:val="right"/>
              <w:rPr>
                <w:rFonts w:eastAsia="Times New Roman"/>
                <w:color w:val="000000"/>
                <w:sz w:val="16"/>
                <w:szCs w:val="16"/>
                <w:lang w:val="es-ES"/>
              </w:rPr>
            </w:pPr>
            <w:r w:rsidRPr="00CC659A">
              <w:rPr>
                <w:rFonts w:eastAsia="Times New Roman"/>
                <w:color w:val="000000"/>
                <w:sz w:val="16"/>
                <w:szCs w:val="16"/>
                <w:lang w:val="es-ES"/>
              </w:rPr>
              <w:t>20</w:t>
            </w:r>
          </w:p>
        </w:tc>
        <w:tc>
          <w:tcPr>
            <w:tcW w:w="920" w:type="pct"/>
            <w:tcBorders>
              <w:top w:val="nil"/>
              <w:left w:val="nil"/>
              <w:bottom w:val="nil"/>
              <w:right w:val="nil"/>
            </w:tcBorders>
            <w:shd w:val="clear" w:color="auto" w:fill="auto"/>
            <w:vAlign w:val="center"/>
            <w:hideMark/>
          </w:tcPr>
          <w:p w14:paraId="02064A34"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Burundi</w:t>
            </w:r>
          </w:p>
        </w:tc>
        <w:tc>
          <w:tcPr>
            <w:tcW w:w="404" w:type="pct"/>
            <w:tcBorders>
              <w:top w:val="nil"/>
              <w:left w:val="nil"/>
              <w:bottom w:val="nil"/>
              <w:right w:val="nil"/>
            </w:tcBorders>
            <w:shd w:val="clear" w:color="auto" w:fill="auto"/>
            <w:vAlign w:val="center"/>
            <w:hideMark/>
          </w:tcPr>
          <w:p w14:paraId="4659501B" w14:textId="77777777" w:rsidR="00CC659A" w:rsidRPr="00CC659A" w:rsidRDefault="00CC659A" w:rsidP="00CC659A">
            <w:pPr>
              <w:spacing w:after="0" w:line="240" w:lineRule="auto"/>
              <w:ind w:left="-108"/>
              <w:jc w:val="center"/>
              <w:rPr>
                <w:rFonts w:eastAsia="Times New Roman"/>
                <w:color w:val="000000"/>
                <w:sz w:val="16"/>
                <w:szCs w:val="16"/>
                <w:lang w:val="es-ES"/>
              </w:rPr>
            </w:pPr>
            <w:r w:rsidRPr="00CC659A">
              <w:rPr>
                <w:rFonts w:eastAsia="Times New Roman"/>
                <w:color w:val="000000"/>
                <w:sz w:val="16"/>
                <w:szCs w:val="16"/>
                <w:lang w:val="es-ES"/>
              </w:rPr>
              <w:t>0.001</w:t>
            </w:r>
          </w:p>
        </w:tc>
        <w:tc>
          <w:tcPr>
            <w:tcW w:w="420" w:type="pct"/>
            <w:tcBorders>
              <w:top w:val="nil"/>
              <w:left w:val="nil"/>
              <w:bottom w:val="nil"/>
              <w:right w:val="single" w:sz="8" w:space="0" w:color="808080"/>
            </w:tcBorders>
            <w:shd w:val="clear" w:color="auto" w:fill="auto"/>
            <w:vAlign w:val="center"/>
            <w:hideMark/>
          </w:tcPr>
          <w:p w14:paraId="6B6303E2" w14:textId="77777777" w:rsidR="00CC659A" w:rsidRPr="00CC659A" w:rsidRDefault="00CC659A" w:rsidP="00CC659A">
            <w:pPr>
              <w:spacing w:after="0" w:line="240" w:lineRule="auto"/>
              <w:ind w:left="-108"/>
              <w:jc w:val="right"/>
              <w:rPr>
                <w:rFonts w:eastAsia="Times New Roman" w:cs="Arial"/>
                <w:color w:val="000000"/>
                <w:sz w:val="16"/>
                <w:szCs w:val="16"/>
                <w:lang w:val="es-ES"/>
              </w:rPr>
            </w:pPr>
            <w:r w:rsidRPr="00CC659A">
              <w:rPr>
                <w:rFonts w:eastAsia="Times New Roman" w:cs="Arial"/>
                <w:color w:val="000000"/>
                <w:sz w:val="16"/>
                <w:szCs w:val="16"/>
                <w:lang w:val="es-ES"/>
              </w:rPr>
              <w:t xml:space="preserve">0.002 </w:t>
            </w:r>
          </w:p>
        </w:tc>
        <w:tc>
          <w:tcPr>
            <w:tcW w:w="444" w:type="pct"/>
            <w:tcBorders>
              <w:top w:val="nil"/>
              <w:left w:val="nil"/>
              <w:bottom w:val="nil"/>
              <w:right w:val="single" w:sz="4" w:space="0" w:color="808080"/>
            </w:tcBorders>
            <w:shd w:val="clear" w:color="auto" w:fill="auto"/>
            <w:vAlign w:val="center"/>
            <w:hideMark/>
          </w:tcPr>
          <w:p w14:paraId="5098F168"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201 </w:t>
            </w:r>
          </w:p>
        </w:tc>
        <w:tc>
          <w:tcPr>
            <w:tcW w:w="437" w:type="pct"/>
            <w:tcBorders>
              <w:top w:val="nil"/>
              <w:left w:val="nil"/>
              <w:bottom w:val="nil"/>
              <w:right w:val="single" w:sz="8" w:space="0" w:color="808080"/>
            </w:tcBorders>
            <w:shd w:val="clear" w:color="auto" w:fill="auto"/>
            <w:vAlign w:val="center"/>
            <w:hideMark/>
          </w:tcPr>
          <w:p w14:paraId="167209CF"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67 </w:t>
            </w:r>
          </w:p>
        </w:tc>
        <w:tc>
          <w:tcPr>
            <w:tcW w:w="444" w:type="pct"/>
            <w:tcBorders>
              <w:top w:val="nil"/>
              <w:left w:val="nil"/>
              <w:bottom w:val="nil"/>
              <w:right w:val="single" w:sz="4" w:space="0" w:color="808080"/>
            </w:tcBorders>
            <w:shd w:val="clear" w:color="auto" w:fill="auto"/>
            <w:vAlign w:val="center"/>
            <w:hideMark/>
          </w:tcPr>
          <w:p w14:paraId="2FEF1AAC"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225 </w:t>
            </w:r>
          </w:p>
        </w:tc>
        <w:tc>
          <w:tcPr>
            <w:tcW w:w="437" w:type="pct"/>
            <w:tcBorders>
              <w:top w:val="nil"/>
              <w:left w:val="nil"/>
              <w:bottom w:val="nil"/>
              <w:right w:val="single" w:sz="8" w:space="0" w:color="808080"/>
            </w:tcBorders>
            <w:shd w:val="clear" w:color="auto" w:fill="auto"/>
            <w:vAlign w:val="center"/>
            <w:hideMark/>
          </w:tcPr>
          <w:p w14:paraId="02DF1579"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75 </w:t>
            </w:r>
          </w:p>
        </w:tc>
        <w:tc>
          <w:tcPr>
            <w:tcW w:w="444" w:type="pct"/>
            <w:tcBorders>
              <w:top w:val="nil"/>
              <w:left w:val="nil"/>
              <w:bottom w:val="nil"/>
              <w:right w:val="single" w:sz="4" w:space="0" w:color="808080"/>
            </w:tcBorders>
            <w:shd w:val="clear" w:color="auto" w:fill="auto"/>
            <w:vAlign w:val="center"/>
            <w:hideMark/>
          </w:tcPr>
          <w:p w14:paraId="43478665"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263 </w:t>
            </w:r>
          </w:p>
        </w:tc>
        <w:tc>
          <w:tcPr>
            <w:tcW w:w="437" w:type="pct"/>
            <w:tcBorders>
              <w:top w:val="nil"/>
              <w:left w:val="nil"/>
              <w:bottom w:val="nil"/>
              <w:right w:val="single" w:sz="8" w:space="0" w:color="808080"/>
            </w:tcBorders>
            <w:shd w:val="clear" w:color="auto" w:fill="auto"/>
            <w:vAlign w:val="center"/>
            <w:hideMark/>
          </w:tcPr>
          <w:p w14:paraId="29FB9674"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88 </w:t>
            </w:r>
          </w:p>
        </w:tc>
        <w:tc>
          <w:tcPr>
            <w:tcW w:w="444" w:type="pct"/>
            <w:tcBorders>
              <w:top w:val="nil"/>
              <w:left w:val="single" w:sz="4" w:space="0" w:color="808080"/>
              <w:bottom w:val="nil"/>
              <w:right w:val="single" w:sz="8" w:space="0" w:color="808080"/>
            </w:tcBorders>
            <w:shd w:val="clear" w:color="auto" w:fill="auto"/>
            <w:vAlign w:val="center"/>
            <w:hideMark/>
          </w:tcPr>
          <w:p w14:paraId="33C7AEBE"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197 </w:t>
            </w:r>
          </w:p>
        </w:tc>
      </w:tr>
      <w:tr w:rsidR="006D34EE" w:rsidRPr="00CC659A" w14:paraId="6AFF1615" w14:textId="77777777" w:rsidTr="00477854">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7DF6D658" w14:textId="77777777" w:rsidR="00CC659A" w:rsidRPr="00CC659A" w:rsidRDefault="00CC659A" w:rsidP="00CC659A">
            <w:pPr>
              <w:spacing w:after="0" w:line="240" w:lineRule="auto"/>
              <w:ind w:left="-108"/>
              <w:jc w:val="right"/>
              <w:rPr>
                <w:rFonts w:eastAsia="Times New Roman"/>
                <w:color w:val="000000"/>
                <w:sz w:val="16"/>
                <w:szCs w:val="16"/>
                <w:lang w:val="es-ES"/>
              </w:rPr>
            </w:pPr>
            <w:r w:rsidRPr="00CC659A">
              <w:rPr>
                <w:rFonts w:eastAsia="Times New Roman"/>
                <w:color w:val="000000"/>
                <w:sz w:val="16"/>
                <w:szCs w:val="16"/>
                <w:lang w:val="es-ES"/>
              </w:rPr>
              <w:t>21</w:t>
            </w:r>
          </w:p>
        </w:tc>
        <w:tc>
          <w:tcPr>
            <w:tcW w:w="920" w:type="pct"/>
            <w:tcBorders>
              <w:top w:val="nil"/>
              <w:left w:val="nil"/>
              <w:bottom w:val="nil"/>
              <w:right w:val="nil"/>
            </w:tcBorders>
            <w:shd w:val="clear" w:color="auto" w:fill="auto"/>
            <w:vAlign w:val="center"/>
            <w:hideMark/>
          </w:tcPr>
          <w:p w14:paraId="0189F717"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Cabo Verde</w:t>
            </w:r>
          </w:p>
        </w:tc>
        <w:tc>
          <w:tcPr>
            <w:tcW w:w="404" w:type="pct"/>
            <w:tcBorders>
              <w:top w:val="nil"/>
              <w:left w:val="nil"/>
              <w:bottom w:val="nil"/>
              <w:right w:val="nil"/>
            </w:tcBorders>
            <w:shd w:val="clear" w:color="auto" w:fill="auto"/>
            <w:vAlign w:val="center"/>
            <w:hideMark/>
          </w:tcPr>
          <w:p w14:paraId="24D8F06B" w14:textId="77777777" w:rsidR="00CC659A" w:rsidRPr="00CC659A" w:rsidRDefault="00CC659A" w:rsidP="00CC659A">
            <w:pPr>
              <w:spacing w:after="0" w:line="240" w:lineRule="auto"/>
              <w:ind w:left="-108"/>
              <w:jc w:val="center"/>
              <w:rPr>
                <w:rFonts w:eastAsia="Times New Roman"/>
                <w:color w:val="000000"/>
                <w:sz w:val="16"/>
                <w:szCs w:val="16"/>
                <w:lang w:val="es-ES"/>
              </w:rPr>
            </w:pPr>
            <w:r w:rsidRPr="00CC659A">
              <w:rPr>
                <w:rFonts w:eastAsia="Times New Roman"/>
                <w:color w:val="000000"/>
                <w:sz w:val="16"/>
                <w:szCs w:val="16"/>
                <w:lang w:val="es-ES"/>
              </w:rPr>
              <w:t>0.001</w:t>
            </w:r>
          </w:p>
        </w:tc>
        <w:tc>
          <w:tcPr>
            <w:tcW w:w="420" w:type="pct"/>
            <w:tcBorders>
              <w:top w:val="nil"/>
              <w:left w:val="nil"/>
              <w:bottom w:val="nil"/>
              <w:right w:val="single" w:sz="8" w:space="0" w:color="808080"/>
            </w:tcBorders>
            <w:shd w:val="clear" w:color="auto" w:fill="auto"/>
            <w:vAlign w:val="center"/>
            <w:hideMark/>
          </w:tcPr>
          <w:p w14:paraId="318C0227" w14:textId="77777777" w:rsidR="00CC659A" w:rsidRPr="00CC659A" w:rsidRDefault="00CC659A" w:rsidP="00CC659A">
            <w:pPr>
              <w:spacing w:after="0" w:line="240" w:lineRule="auto"/>
              <w:ind w:left="-108"/>
              <w:jc w:val="right"/>
              <w:rPr>
                <w:rFonts w:eastAsia="Times New Roman" w:cs="Arial"/>
                <w:color w:val="000000"/>
                <w:sz w:val="16"/>
                <w:szCs w:val="16"/>
                <w:lang w:val="es-ES"/>
              </w:rPr>
            </w:pPr>
            <w:r w:rsidRPr="00CC659A">
              <w:rPr>
                <w:rFonts w:eastAsia="Times New Roman" w:cs="Arial"/>
                <w:color w:val="000000"/>
                <w:sz w:val="16"/>
                <w:szCs w:val="16"/>
                <w:lang w:val="es-ES"/>
              </w:rPr>
              <w:t xml:space="preserve">0.002 </w:t>
            </w:r>
          </w:p>
        </w:tc>
        <w:tc>
          <w:tcPr>
            <w:tcW w:w="444" w:type="pct"/>
            <w:tcBorders>
              <w:top w:val="nil"/>
              <w:left w:val="nil"/>
              <w:bottom w:val="nil"/>
              <w:right w:val="single" w:sz="4" w:space="0" w:color="808080"/>
            </w:tcBorders>
            <w:shd w:val="clear" w:color="auto" w:fill="auto"/>
            <w:vAlign w:val="center"/>
            <w:hideMark/>
          </w:tcPr>
          <w:p w14:paraId="633B69DF"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201 </w:t>
            </w:r>
          </w:p>
        </w:tc>
        <w:tc>
          <w:tcPr>
            <w:tcW w:w="437" w:type="pct"/>
            <w:tcBorders>
              <w:top w:val="nil"/>
              <w:left w:val="nil"/>
              <w:bottom w:val="nil"/>
              <w:right w:val="single" w:sz="8" w:space="0" w:color="808080"/>
            </w:tcBorders>
            <w:shd w:val="clear" w:color="auto" w:fill="auto"/>
            <w:vAlign w:val="center"/>
            <w:hideMark/>
          </w:tcPr>
          <w:p w14:paraId="79596E15"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67 </w:t>
            </w:r>
          </w:p>
        </w:tc>
        <w:tc>
          <w:tcPr>
            <w:tcW w:w="444" w:type="pct"/>
            <w:tcBorders>
              <w:top w:val="nil"/>
              <w:left w:val="nil"/>
              <w:bottom w:val="nil"/>
              <w:right w:val="single" w:sz="4" w:space="0" w:color="808080"/>
            </w:tcBorders>
            <w:shd w:val="clear" w:color="auto" w:fill="auto"/>
            <w:vAlign w:val="center"/>
            <w:hideMark/>
          </w:tcPr>
          <w:p w14:paraId="76E10A85"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225 </w:t>
            </w:r>
          </w:p>
        </w:tc>
        <w:tc>
          <w:tcPr>
            <w:tcW w:w="437" w:type="pct"/>
            <w:tcBorders>
              <w:top w:val="nil"/>
              <w:left w:val="nil"/>
              <w:bottom w:val="nil"/>
              <w:right w:val="single" w:sz="8" w:space="0" w:color="808080"/>
            </w:tcBorders>
            <w:shd w:val="clear" w:color="auto" w:fill="auto"/>
            <w:vAlign w:val="center"/>
            <w:hideMark/>
          </w:tcPr>
          <w:p w14:paraId="325D89ED"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75 </w:t>
            </w:r>
          </w:p>
        </w:tc>
        <w:tc>
          <w:tcPr>
            <w:tcW w:w="444" w:type="pct"/>
            <w:tcBorders>
              <w:top w:val="nil"/>
              <w:left w:val="nil"/>
              <w:bottom w:val="nil"/>
              <w:right w:val="single" w:sz="4" w:space="0" w:color="808080"/>
            </w:tcBorders>
            <w:shd w:val="clear" w:color="auto" w:fill="auto"/>
            <w:vAlign w:val="center"/>
            <w:hideMark/>
          </w:tcPr>
          <w:p w14:paraId="49811B72"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263 </w:t>
            </w:r>
          </w:p>
        </w:tc>
        <w:tc>
          <w:tcPr>
            <w:tcW w:w="437" w:type="pct"/>
            <w:tcBorders>
              <w:top w:val="nil"/>
              <w:left w:val="nil"/>
              <w:bottom w:val="nil"/>
              <w:right w:val="single" w:sz="8" w:space="0" w:color="808080"/>
            </w:tcBorders>
            <w:shd w:val="clear" w:color="auto" w:fill="auto"/>
            <w:vAlign w:val="center"/>
            <w:hideMark/>
          </w:tcPr>
          <w:p w14:paraId="7906AFCA"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88 </w:t>
            </w:r>
          </w:p>
        </w:tc>
        <w:tc>
          <w:tcPr>
            <w:tcW w:w="444" w:type="pct"/>
            <w:tcBorders>
              <w:top w:val="nil"/>
              <w:left w:val="single" w:sz="4" w:space="0" w:color="808080"/>
              <w:bottom w:val="nil"/>
              <w:right w:val="single" w:sz="8" w:space="0" w:color="808080"/>
            </w:tcBorders>
            <w:shd w:val="clear" w:color="auto" w:fill="auto"/>
            <w:vAlign w:val="center"/>
            <w:hideMark/>
          </w:tcPr>
          <w:p w14:paraId="1092CE40"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197 </w:t>
            </w:r>
          </w:p>
        </w:tc>
      </w:tr>
      <w:tr w:rsidR="006D34EE" w:rsidRPr="00CC659A" w14:paraId="4147CC2F" w14:textId="77777777" w:rsidTr="00477854">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56FF239B" w14:textId="77777777" w:rsidR="00CC659A" w:rsidRPr="00CC659A" w:rsidRDefault="00CC659A" w:rsidP="00CC659A">
            <w:pPr>
              <w:spacing w:after="0" w:line="240" w:lineRule="auto"/>
              <w:ind w:left="-108"/>
              <w:jc w:val="right"/>
              <w:rPr>
                <w:rFonts w:eastAsia="Times New Roman"/>
                <w:color w:val="000000"/>
                <w:sz w:val="16"/>
                <w:szCs w:val="16"/>
                <w:lang w:val="es-ES"/>
              </w:rPr>
            </w:pPr>
            <w:r w:rsidRPr="00CC659A">
              <w:rPr>
                <w:rFonts w:eastAsia="Times New Roman"/>
                <w:color w:val="000000"/>
                <w:sz w:val="16"/>
                <w:szCs w:val="16"/>
                <w:lang w:val="es-ES"/>
              </w:rPr>
              <w:t>22</w:t>
            </w:r>
          </w:p>
        </w:tc>
        <w:tc>
          <w:tcPr>
            <w:tcW w:w="920" w:type="pct"/>
            <w:tcBorders>
              <w:top w:val="nil"/>
              <w:left w:val="nil"/>
              <w:bottom w:val="nil"/>
              <w:right w:val="nil"/>
            </w:tcBorders>
            <w:shd w:val="clear" w:color="auto" w:fill="auto"/>
            <w:vAlign w:val="center"/>
            <w:hideMark/>
          </w:tcPr>
          <w:p w14:paraId="1505D471" w14:textId="2136E259" w:rsidR="00CC659A" w:rsidRPr="00CC659A" w:rsidRDefault="00E97687"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Camerún</w:t>
            </w:r>
          </w:p>
        </w:tc>
        <w:tc>
          <w:tcPr>
            <w:tcW w:w="404" w:type="pct"/>
            <w:tcBorders>
              <w:top w:val="nil"/>
              <w:left w:val="nil"/>
              <w:bottom w:val="nil"/>
              <w:right w:val="nil"/>
            </w:tcBorders>
            <w:shd w:val="clear" w:color="auto" w:fill="auto"/>
            <w:vAlign w:val="center"/>
            <w:hideMark/>
          </w:tcPr>
          <w:p w14:paraId="1BB3B271" w14:textId="77777777" w:rsidR="00CC659A" w:rsidRPr="00CC659A" w:rsidRDefault="00CC659A" w:rsidP="00CC659A">
            <w:pPr>
              <w:spacing w:after="0" w:line="240" w:lineRule="auto"/>
              <w:ind w:left="-108"/>
              <w:jc w:val="center"/>
              <w:rPr>
                <w:rFonts w:eastAsia="Times New Roman"/>
                <w:color w:val="000000"/>
                <w:sz w:val="16"/>
                <w:szCs w:val="16"/>
                <w:lang w:val="es-ES"/>
              </w:rPr>
            </w:pPr>
            <w:r w:rsidRPr="00CC659A">
              <w:rPr>
                <w:rFonts w:eastAsia="Times New Roman"/>
                <w:color w:val="000000"/>
                <w:sz w:val="16"/>
                <w:szCs w:val="16"/>
                <w:lang w:val="es-ES"/>
              </w:rPr>
              <w:t>0.013</w:t>
            </w:r>
          </w:p>
        </w:tc>
        <w:tc>
          <w:tcPr>
            <w:tcW w:w="420" w:type="pct"/>
            <w:tcBorders>
              <w:top w:val="nil"/>
              <w:left w:val="nil"/>
              <w:bottom w:val="nil"/>
              <w:right w:val="single" w:sz="8" w:space="0" w:color="808080"/>
            </w:tcBorders>
            <w:shd w:val="clear" w:color="auto" w:fill="auto"/>
            <w:vAlign w:val="center"/>
            <w:hideMark/>
          </w:tcPr>
          <w:p w14:paraId="57D16627" w14:textId="77777777" w:rsidR="00CC659A" w:rsidRPr="00CC659A" w:rsidRDefault="00CC659A" w:rsidP="00CC659A">
            <w:pPr>
              <w:spacing w:after="0" w:line="240" w:lineRule="auto"/>
              <w:ind w:left="-108"/>
              <w:jc w:val="right"/>
              <w:rPr>
                <w:rFonts w:eastAsia="Times New Roman" w:cs="Arial"/>
                <w:color w:val="000000"/>
                <w:sz w:val="16"/>
                <w:szCs w:val="16"/>
                <w:lang w:val="es-ES"/>
              </w:rPr>
            </w:pPr>
            <w:r w:rsidRPr="00CC659A">
              <w:rPr>
                <w:rFonts w:eastAsia="Times New Roman" w:cs="Arial"/>
                <w:color w:val="000000"/>
                <w:sz w:val="16"/>
                <w:szCs w:val="16"/>
                <w:lang w:val="es-ES"/>
              </w:rPr>
              <w:t xml:space="preserve">0.030 </w:t>
            </w:r>
          </w:p>
        </w:tc>
        <w:tc>
          <w:tcPr>
            <w:tcW w:w="444" w:type="pct"/>
            <w:tcBorders>
              <w:top w:val="nil"/>
              <w:left w:val="nil"/>
              <w:bottom w:val="nil"/>
              <w:right w:val="single" w:sz="4" w:space="0" w:color="808080"/>
            </w:tcBorders>
            <w:shd w:val="clear" w:color="auto" w:fill="auto"/>
            <w:vAlign w:val="center"/>
            <w:hideMark/>
          </w:tcPr>
          <w:p w14:paraId="1748BC7D"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2 618 </w:t>
            </w:r>
          </w:p>
        </w:tc>
        <w:tc>
          <w:tcPr>
            <w:tcW w:w="437" w:type="pct"/>
            <w:tcBorders>
              <w:top w:val="nil"/>
              <w:left w:val="nil"/>
              <w:bottom w:val="nil"/>
              <w:right w:val="single" w:sz="8" w:space="0" w:color="808080"/>
            </w:tcBorders>
            <w:shd w:val="clear" w:color="auto" w:fill="auto"/>
            <w:vAlign w:val="center"/>
            <w:hideMark/>
          </w:tcPr>
          <w:p w14:paraId="5C73C47A"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873 </w:t>
            </w:r>
          </w:p>
        </w:tc>
        <w:tc>
          <w:tcPr>
            <w:tcW w:w="444" w:type="pct"/>
            <w:tcBorders>
              <w:top w:val="nil"/>
              <w:left w:val="nil"/>
              <w:bottom w:val="nil"/>
              <w:right w:val="single" w:sz="4" w:space="0" w:color="808080"/>
            </w:tcBorders>
            <w:shd w:val="clear" w:color="auto" w:fill="auto"/>
            <w:vAlign w:val="center"/>
            <w:hideMark/>
          </w:tcPr>
          <w:p w14:paraId="60455795"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2 921 </w:t>
            </w:r>
          </w:p>
        </w:tc>
        <w:tc>
          <w:tcPr>
            <w:tcW w:w="437" w:type="pct"/>
            <w:tcBorders>
              <w:top w:val="nil"/>
              <w:left w:val="nil"/>
              <w:bottom w:val="nil"/>
              <w:right w:val="single" w:sz="8" w:space="0" w:color="808080"/>
            </w:tcBorders>
            <w:shd w:val="clear" w:color="auto" w:fill="auto"/>
            <w:vAlign w:val="center"/>
            <w:hideMark/>
          </w:tcPr>
          <w:p w14:paraId="5F3DD21C"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974 </w:t>
            </w:r>
          </w:p>
        </w:tc>
        <w:tc>
          <w:tcPr>
            <w:tcW w:w="444" w:type="pct"/>
            <w:tcBorders>
              <w:top w:val="nil"/>
              <w:left w:val="nil"/>
              <w:bottom w:val="nil"/>
              <w:right w:val="single" w:sz="4" w:space="0" w:color="808080"/>
            </w:tcBorders>
            <w:shd w:val="clear" w:color="auto" w:fill="auto"/>
            <w:vAlign w:val="center"/>
            <w:hideMark/>
          </w:tcPr>
          <w:p w14:paraId="61B253FC"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3 420 </w:t>
            </w:r>
          </w:p>
        </w:tc>
        <w:tc>
          <w:tcPr>
            <w:tcW w:w="437" w:type="pct"/>
            <w:tcBorders>
              <w:top w:val="nil"/>
              <w:left w:val="nil"/>
              <w:bottom w:val="nil"/>
              <w:right w:val="single" w:sz="8" w:space="0" w:color="808080"/>
            </w:tcBorders>
            <w:shd w:val="clear" w:color="auto" w:fill="auto"/>
            <w:vAlign w:val="center"/>
            <w:hideMark/>
          </w:tcPr>
          <w:p w14:paraId="114CE642"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1 140 </w:t>
            </w:r>
          </w:p>
        </w:tc>
        <w:tc>
          <w:tcPr>
            <w:tcW w:w="444" w:type="pct"/>
            <w:tcBorders>
              <w:top w:val="nil"/>
              <w:left w:val="single" w:sz="4" w:space="0" w:color="808080"/>
              <w:bottom w:val="nil"/>
              <w:right w:val="single" w:sz="8" w:space="0" w:color="808080"/>
            </w:tcBorders>
            <w:shd w:val="clear" w:color="auto" w:fill="auto"/>
            <w:vAlign w:val="center"/>
            <w:hideMark/>
          </w:tcPr>
          <w:p w14:paraId="4E2A212E"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2 548 </w:t>
            </w:r>
          </w:p>
        </w:tc>
      </w:tr>
      <w:tr w:rsidR="006D34EE" w:rsidRPr="00CC659A" w14:paraId="7832DDCA" w14:textId="77777777" w:rsidTr="00477854">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7A71052E" w14:textId="77777777" w:rsidR="00CC659A" w:rsidRPr="00CC659A" w:rsidRDefault="00CC659A" w:rsidP="00CC659A">
            <w:pPr>
              <w:spacing w:after="0" w:line="240" w:lineRule="auto"/>
              <w:ind w:left="-108"/>
              <w:jc w:val="right"/>
              <w:rPr>
                <w:rFonts w:eastAsia="Times New Roman"/>
                <w:color w:val="000000"/>
                <w:sz w:val="16"/>
                <w:szCs w:val="16"/>
                <w:lang w:val="es-ES"/>
              </w:rPr>
            </w:pPr>
            <w:r w:rsidRPr="00CC659A">
              <w:rPr>
                <w:rFonts w:eastAsia="Times New Roman"/>
                <w:color w:val="000000"/>
                <w:sz w:val="16"/>
                <w:szCs w:val="16"/>
                <w:lang w:val="es-ES"/>
              </w:rPr>
              <w:t>23</w:t>
            </w:r>
          </w:p>
        </w:tc>
        <w:tc>
          <w:tcPr>
            <w:tcW w:w="920" w:type="pct"/>
            <w:tcBorders>
              <w:top w:val="nil"/>
              <w:left w:val="nil"/>
              <w:bottom w:val="nil"/>
              <w:right w:val="nil"/>
            </w:tcBorders>
            <w:shd w:val="clear" w:color="auto" w:fill="auto"/>
            <w:vAlign w:val="center"/>
            <w:hideMark/>
          </w:tcPr>
          <w:p w14:paraId="5CE0BB4F" w14:textId="64D5936E"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R</w:t>
            </w:r>
            <w:r w:rsidR="00E97687">
              <w:rPr>
                <w:rFonts w:eastAsia="Times New Roman"/>
                <w:color w:val="000000"/>
                <w:sz w:val="16"/>
                <w:szCs w:val="16"/>
                <w:lang w:val="es-ES"/>
              </w:rPr>
              <w:t>epública de África Central</w:t>
            </w:r>
          </w:p>
        </w:tc>
        <w:tc>
          <w:tcPr>
            <w:tcW w:w="404" w:type="pct"/>
            <w:tcBorders>
              <w:top w:val="nil"/>
              <w:left w:val="nil"/>
              <w:bottom w:val="nil"/>
              <w:right w:val="nil"/>
            </w:tcBorders>
            <w:shd w:val="clear" w:color="auto" w:fill="auto"/>
            <w:vAlign w:val="center"/>
            <w:hideMark/>
          </w:tcPr>
          <w:p w14:paraId="347E9A72" w14:textId="77777777" w:rsidR="00CC659A" w:rsidRPr="00CC659A" w:rsidRDefault="00CC659A" w:rsidP="00CC659A">
            <w:pPr>
              <w:spacing w:after="0" w:line="240" w:lineRule="auto"/>
              <w:ind w:left="-108"/>
              <w:jc w:val="center"/>
              <w:rPr>
                <w:rFonts w:eastAsia="Times New Roman"/>
                <w:color w:val="000000"/>
                <w:sz w:val="16"/>
                <w:szCs w:val="16"/>
                <w:lang w:val="es-ES"/>
              </w:rPr>
            </w:pPr>
            <w:r w:rsidRPr="00CC659A">
              <w:rPr>
                <w:rFonts w:eastAsia="Times New Roman"/>
                <w:color w:val="000000"/>
                <w:sz w:val="16"/>
                <w:szCs w:val="16"/>
                <w:lang w:val="es-ES"/>
              </w:rPr>
              <w:t>0.001</w:t>
            </w:r>
          </w:p>
        </w:tc>
        <w:tc>
          <w:tcPr>
            <w:tcW w:w="420" w:type="pct"/>
            <w:tcBorders>
              <w:top w:val="nil"/>
              <w:left w:val="nil"/>
              <w:bottom w:val="nil"/>
              <w:right w:val="single" w:sz="8" w:space="0" w:color="808080"/>
            </w:tcBorders>
            <w:shd w:val="clear" w:color="auto" w:fill="auto"/>
            <w:vAlign w:val="center"/>
            <w:hideMark/>
          </w:tcPr>
          <w:p w14:paraId="77F7CB99" w14:textId="77777777" w:rsidR="00CC659A" w:rsidRPr="00CC659A" w:rsidRDefault="00CC659A" w:rsidP="00CC659A">
            <w:pPr>
              <w:spacing w:after="0" w:line="240" w:lineRule="auto"/>
              <w:ind w:left="-108"/>
              <w:jc w:val="right"/>
              <w:rPr>
                <w:rFonts w:eastAsia="Times New Roman" w:cs="Arial"/>
                <w:color w:val="000000"/>
                <w:sz w:val="16"/>
                <w:szCs w:val="16"/>
                <w:lang w:val="es-ES"/>
              </w:rPr>
            </w:pPr>
            <w:r w:rsidRPr="00CC659A">
              <w:rPr>
                <w:rFonts w:eastAsia="Times New Roman" w:cs="Arial"/>
                <w:color w:val="000000"/>
                <w:sz w:val="16"/>
                <w:szCs w:val="16"/>
                <w:lang w:val="es-ES"/>
              </w:rPr>
              <w:t xml:space="preserve">0.002 </w:t>
            </w:r>
          </w:p>
        </w:tc>
        <w:tc>
          <w:tcPr>
            <w:tcW w:w="444" w:type="pct"/>
            <w:tcBorders>
              <w:top w:val="nil"/>
              <w:left w:val="nil"/>
              <w:bottom w:val="nil"/>
              <w:right w:val="single" w:sz="4" w:space="0" w:color="808080"/>
            </w:tcBorders>
            <w:shd w:val="clear" w:color="auto" w:fill="auto"/>
            <w:vAlign w:val="center"/>
            <w:hideMark/>
          </w:tcPr>
          <w:p w14:paraId="784A91A8"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201 </w:t>
            </w:r>
          </w:p>
        </w:tc>
        <w:tc>
          <w:tcPr>
            <w:tcW w:w="437" w:type="pct"/>
            <w:tcBorders>
              <w:top w:val="nil"/>
              <w:left w:val="nil"/>
              <w:bottom w:val="nil"/>
              <w:right w:val="single" w:sz="8" w:space="0" w:color="808080"/>
            </w:tcBorders>
            <w:shd w:val="clear" w:color="auto" w:fill="auto"/>
            <w:vAlign w:val="center"/>
            <w:hideMark/>
          </w:tcPr>
          <w:p w14:paraId="5FC2DB95"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67 </w:t>
            </w:r>
          </w:p>
        </w:tc>
        <w:tc>
          <w:tcPr>
            <w:tcW w:w="444" w:type="pct"/>
            <w:tcBorders>
              <w:top w:val="nil"/>
              <w:left w:val="nil"/>
              <w:bottom w:val="nil"/>
              <w:right w:val="single" w:sz="4" w:space="0" w:color="808080"/>
            </w:tcBorders>
            <w:shd w:val="clear" w:color="auto" w:fill="auto"/>
            <w:vAlign w:val="center"/>
            <w:hideMark/>
          </w:tcPr>
          <w:p w14:paraId="516EBF37"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225 </w:t>
            </w:r>
          </w:p>
        </w:tc>
        <w:tc>
          <w:tcPr>
            <w:tcW w:w="437" w:type="pct"/>
            <w:tcBorders>
              <w:top w:val="nil"/>
              <w:left w:val="nil"/>
              <w:bottom w:val="nil"/>
              <w:right w:val="single" w:sz="8" w:space="0" w:color="808080"/>
            </w:tcBorders>
            <w:shd w:val="clear" w:color="auto" w:fill="auto"/>
            <w:vAlign w:val="center"/>
            <w:hideMark/>
          </w:tcPr>
          <w:p w14:paraId="20AA83E3"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75 </w:t>
            </w:r>
          </w:p>
        </w:tc>
        <w:tc>
          <w:tcPr>
            <w:tcW w:w="444" w:type="pct"/>
            <w:tcBorders>
              <w:top w:val="nil"/>
              <w:left w:val="nil"/>
              <w:bottom w:val="nil"/>
              <w:right w:val="single" w:sz="4" w:space="0" w:color="808080"/>
            </w:tcBorders>
            <w:shd w:val="clear" w:color="auto" w:fill="auto"/>
            <w:vAlign w:val="center"/>
            <w:hideMark/>
          </w:tcPr>
          <w:p w14:paraId="48926C50"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263 </w:t>
            </w:r>
          </w:p>
        </w:tc>
        <w:tc>
          <w:tcPr>
            <w:tcW w:w="437" w:type="pct"/>
            <w:tcBorders>
              <w:top w:val="nil"/>
              <w:left w:val="nil"/>
              <w:bottom w:val="nil"/>
              <w:right w:val="single" w:sz="8" w:space="0" w:color="808080"/>
            </w:tcBorders>
            <w:shd w:val="clear" w:color="auto" w:fill="auto"/>
            <w:vAlign w:val="center"/>
            <w:hideMark/>
          </w:tcPr>
          <w:p w14:paraId="34521287"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88 </w:t>
            </w:r>
          </w:p>
        </w:tc>
        <w:tc>
          <w:tcPr>
            <w:tcW w:w="444" w:type="pct"/>
            <w:tcBorders>
              <w:top w:val="nil"/>
              <w:left w:val="single" w:sz="4" w:space="0" w:color="808080"/>
              <w:bottom w:val="nil"/>
              <w:right w:val="single" w:sz="8" w:space="0" w:color="808080"/>
            </w:tcBorders>
            <w:shd w:val="clear" w:color="auto" w:fill="auto"/>
            <w:vAlign w:val="center"/>
            <w:hideMark/>
          </w:tcPr>
          <w:p w14:paraId="4B9D9A3C"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   </w:t>
            </w:r>
          </w:p>
        </w:tc>
      </w:tr>
      <w:tr w:rsidR="006D34EE" w:rsidRPr="00CC659A" w14:paraId="578E403D" w14:textId="77777777" w:rsidTr="00477854">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52738119" w14:textId="77777777" w:rsidR="00CC659A" w:rsidRPr="00CC659A" w:rsidRDefault="00CC659A" w:rsidP="00CC659A">
            <w:pPr>
              <w:spacing w:after="0" w:line="240" w:lineRule="auto"/>
              <w:ind w:left="-108"/>
              <w:jc w:val="right"/>
              <w:rPr>
                <w:rFonts w:eastAsia="Times New Roman"/>
                <w:color w:val="000000"/>
                <w:sz w:val="16"/>
                <w:szCs w:val="16"/>
                <w:lang w:val="es-ES"/>
              </w:rPr>
            </w:pPr>
            <w:r w:rsidRPr="00CC659A">
              <w:rPr>
                <w:rFonts w:eastAsia="Times New Roman"/>
                <w:color w:val="000000"/>
                <w:sz w:val="16"/>
                <w:szCs w:val="16"/>
                <w:lang w:val="es-ES"/>
              </w:rPr>
              <w:t>24</w:t>
            </w:r>
          </w:p>
        </w:tc>
        <w:tc>
          <w:tcPr>
            <w:tcW w:w="920" w:type="pct"/>
            <w:tcBorders>
              <w:top w:val="nil"/>
              <w:left w:val="nil"/>
              <w:bottom w:val="nil"/>
              <w:right w:val="nil"/>
            </w:tcBorders>
            <w:shd w:val="clear" w:color="auto" w:fill="auto"/>
            <w:vAlign w:val="center"/>
            <w:hideMark/>
          </w:tcPr>
          <w:p w14:paraId="342C7985" w14:textId="77CA6D5E" w:rsidR="00CC659A" w:rsidRPr="00CC659A" w:rsidRDefault="00E97687"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Chad</w:t>
            </w:r>
          </w:p>
        </w:tc>
        <w:tc>
          <w:tcPr>
            <w:tcW w:w="404" w:type="pct"/>
            <w:tcBorders>
              <w:top w:val="nil"/>
              <w:left w:val="nil"/>
              <w:bottom w:val="nil"/>
              <w:right w:val="nil"/>
            </w:tcBorders>
            <w:shd w:val="clear" w:color="auto" w:fill="auto"/>
            <w:vAlign w:val="center"/>
            <w:hideMark/>
          </w:tcPr>
          <w:p w14:paraId="293EAA33" w14:textId="77777777" w:rsidR="00CC659A" w:rsidRPr="00CC659A" w:rsidRDefault="00CC659A" w:rsidP="00CC659A">
            <w:pPr>
              <w:spacing w:after="0" w:line="240" w:lineRule="auto"/>
              <w:ind w:left="-108"/>
              <w:jc w:val="center"/>
              <w:rPr>
                <w:rFonts w:eastAsia="Times New Roman"/>
                <w:color w:val="000000"/>
                <w:sz w:val="16"/>
                <w:szCs w:val="16"/>
                <w:lang w:val="es-ES"/>
              </w:rPr>
            </w:pPr>
            <w:r w:rsidRPr="00CC659A">
              <w:rPr>
                <w:rFonts w:eastAsia="Times New Roman"/>
                <w:color w:val="000000"/>
                <w:sz w:val="16"/>
                <w:szCs w:val="16"/>
                <w:lang w:val="es-ES"/>
              </w:rPr>
              <w:t>0.003</w:t>
            </w:r>
          </w:p>
        </w:tc>
        <w:tc>
          <w:tcPr>
            <w:tcW w:w="420" w:type="pct"/>
            <w:tcBorders>
              <w:top w:val="nil"/>
              <w:left w:val="nil"/>
              <w:bottom w:val="nil"/>
              <w:right w:val="single" w:sz="8" w:space="0" w:color="808080"/>
            </w:tcBorders>
            <w:shd w:val="clear" w:color="auto" w:fill="auto"/>
            <w:vAlign w:val="center"/>
            <w:hideMark/>
          </w:tcPr>
          <w:p w14:paraId="641439EC" w14:textId="77777777" w:rsidR="00CC659A" w:rsidRPr="00CC659A" w:rsidRDefault="00CC659A" w:rsidP="00CC659A">
            <w:pPr>
              <w:spacing w:after="0" w:line="240" w:lineRule="auto"/>
              <w:ind w:left="-108"/>
              <w:jc w:val="right"/>
              <w:rPr>
                <w:rFonts w:eastAsia="Times New Roman" w:cs="Arial"/>
                <w:color w:val="000000"/>
                <w:sz w:val="16"/>
                <w:szCs w:val="16"/>
                <w:lang w:val="es-ES"/>
              </w:rPr>
            </w:pPr>
            <w:r w:rsidRPr="00CC659A">
              <w:rPr>
                <w:rFonts w:eastAsia="Times New Roman" w:cs="Arial"/>
                <w:color w:val="000000"/>
                <w:sz w:val="16"/>
                <w:szCs w:val="16"/>
                <w:lang w:val="es-ES"/>
              </w:rPr>
              <w:t xml:space="preserve">0.007 </w:t>
            </w:r>
          </w:p>
        </w:tc>
        <w:tc>
          <w:tcPr>
            <w:tcW w:w="444" w:type="pct"/>
            <w:tcBorders>
              <w:top w:val="nil"/>
              <w:left w:val="nil"/>
              <w:bottom w:val="nil"/>
              <w:right w:val="single" w:sz="4" w:space="0" w:color="808080"/>
            </w:tcBorders>
            <w:shd w:val="clear" w:color="auto" w:fill="auto"/>
            <w:vAlign w:val="center"/>
            <w:hideMark/>
          </w:tcPr>
          <w:p w14:paraId="76FEF2F0"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604 </w:t>
            </w:r>
          </w:p>
        </w:tc>
        <w:tc>
          <w:tcPr>
            <w:tcW w:w="437" w:type="pct"/>
            <w:tcBorders>
              <w:top w:val="nil"/>
              <w:left w:val="nil"/>
              <w:bottom w:val="nil"/>
              <w:right w:val="single" w:sz="8" w:space="0" w:color="808080"/>
            </w:tcBorders>
            <w:shd w:val="clear" w:color="auto" w:fill="auto"/>
            <w:vAlign w:val="center"/>
            <w:hideMark/>
          </w:tcPr>
          <w:p w14:paraId="2DBAEA15"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201 </w:t>
            </w:r>
          </w:p>
        </w:tc>
        <w:tc>
          <w:tcPr>
            <w:tcW w:w="444" w:type="pct"/>
            <w:tcBorders>
              <w:top w:val="nil"/>
              <w:left w:val="nil"/>
              <w:bottom w:val="nil"/>
              <w:right w:val="single" w:sz="4" w:space="0" w:color="808080"/>
            </w:tcBorders>
            <w:shd w:val="clear" w:color="auto" w:fill="auto"/>
            <w:vAlign w:val="center"/>
            <w:hideMark/>
          </w:tcPr>
          <w:p w14:paraId="76B2FC12"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674 </w:t>
            </w:r>
          </w:p>
        </w:tc>
        <w:tc>
          <w:tcPr>
            <w:tcW w:w="437" w:type="pct"/>
            <w:tcBorders>
              <w:top w:val="nil"/>
              <w:left w:val="nil"/>
              <w:bottom w:val="nil"/>
              <w:right w:val="single" w:sz="8" w:space="0" w:color="808080"/>
            </w:tcBorders>
            <w:shd w:val="clear" w:color="auto" w:fill="auto"/>
            <w:vAlign w:val="center"/>
            <w:hideMark/>
          </w:tcPr>
          <w:p w14:paraId="4B7D3394"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225 </w:t>
            </w:r>
          </w:p>
        </w:tc>
        <w:tc>
          <w:tcPr>
            <w:tcW w:w="444" w:type="pct"/>
            <w:tcBorders>
              <w:top w:val="nil"/>
              <w:left w:val="nil"/>
              <w:bottom w:val="nil"/>
              <w:right w:val="single" w:sz="4" w:space="0" w:color="808080"/>
            </w:tcBorders>
            <w:shd w:val="clear" w:color="auto" w:fill="auto"/>
            <w:vAlign w:val="center"/>
            <w:hideMark/>
          </w:tcPr>
          <w:p w14:paraId="1D30841E"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789 </w:t>
            </w:r>
          </w:p>
        </w:tc>
        <w:tc>
          <w:tcPr>
            <w:tcW w:w="437" w:type="pct"/>
            <w:tcBorders>
              <w:top w:val="nil"/>
              <w:left w:val="nil"/>
              <w:bottom w:val="nil"/>
              <w:right w:val="single" w:sz="8" w:space="0" w:color="808080"/>
            </w:tcBorders>
            <w:shd w:val="clear" w:color="auto" w:fill="auto"/>
            <w:vAlign w:val="center"/>
            <w:hideMark/>
          </w:tcPr>
          <w:p w14:paraId="69493415"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263 </w:t>
            </w:r>
          </w:p>
        </w:tc>
        <w:tc>
          <w:tcPr>
            <w:tcW w:w="444" w:type="pct"/>
            <w:tcBorders>
              <w:top w:val="nil"/>
              <w:left w:val="single" w:sz="4" w:space="0" w:color="808080"/>
              <w:bottom w:val="nil"/>
              <w:right w:val="single" w:sz="8" w:space="0" w:color="808080"/>
            </w:tcBorders>
            <w:shd w:val="clear" w:color="auto" w:fill="auto"/>
            <w:vAlign w:val="center"/>
            <w:hideMark/>
          </w:tcPr>
          <w:p w14:paraId="38600AE2"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784 </w:t>
            </w:r>
          </w:p>
        </w:tc>
      </w:tr>
      <w:tr w:rsidR="006D34EE" w:rsidRPr="00CC659A" w14:paraId="68919008" w14:textId="77777777" w:rsidTr="00477854">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07435096" w14:textId="77777777" w:rsidR="00CC659A" w:rsidRPr="00CC659A" w:rsidRDefault="00CC659A" w:rsidP="00CC659A">
            <w:pPr>
              <w:spacing w:after="0" w:line="240" w:lineRule="auto"/>
              <w:ind w:left="-108"/>
              <w:jc w:val="right"/>
              <w:rPr>
                <w:rFonts w:eastAsia="Times New Roman"/>
                <w:color w:val="000000"/>
                <w:sz w:val="16"/>
                <w:szCs w:val="16"/>
                <w:lang w:val="es-ES"/>
              </w:rPr>
            </w:pPr>
            <w:r w:rsidRPr="00CC659A">
              <w:rPr>
                <w:rFonts w:eastAsia="Times New Roman"/>
                <w:color w:val="000000"/>
                <w:sz w:val="16"/>
                <w:szCs w:val="16"/>
                <w:lang w:val="es-ES"/>
              </w:rPr>
              <w:t>25</w:t>
            </w:r>
          </w:p>
        </w:tc>
        <w:tc>
          <w:tcPr>
            <w:tcW w:w="920" w:type="pct"/>
            <w:tcBorders>
              <w:top w:val="nil"/>
              <w:left w:val="nil"/>
              <w:bottom w:val="nil"/>
              <w:right w:val="nil"/>
            </w:tcBorders>
            <w:shd w:val="clear" w:color="auto" w:fill="auto"/>
            <w:vAlign w:val="center"/>
            <w:hideMark/>
          </w:tcPr>
          <w:p w14:paraId="3C773799" w14:textId="494827ED"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Chil</w:t>
            </w:r>
            <w:r w:rsidR="00E97687">
              <w:rPr>
                <w:rFonts w:eastAsia="Times New Roman"/>
                <w:color w:val="000000"/>
                <w:sz w:val="16"/>
                <w:szCs w:val="16"/>
                <w:lang w:val="es-ES"/>
              </w:rPr>
              <w:t>e</w:t>
            </w:r>
          </w:p>
        </w:tc>
        <w:tc>
          <w:tcPr>
            <w:tcW w:w="404" w:type="pct"/>
            <w:tcBorders>
              <w:top w:val="nil"/>
              <w:left w:val="nil"/>
              <w:bottom w:val="nil"/>
              <w:right w:val="nil"/>
            </w:tcBorders>
            <w:shd w:val="clear" w:color="auto" w:fill="auto"/>
            <w:vAlign w:val="center"/>
            <w:hideMark/>
          </w:tcPr>
          <w:p w14:paraId="449CCFC2" w14:textId="77777777" w:rsidR="00CC659A" w:rsidRPr="00CC659A" w:rsidRDefault="00CC659A" w:rsidP="00CC659A">
            <w:pPr>
              <w:spacing w:after="0" w:line="240" w:lineRule="auto"/>
              <w:ind w:left="-108"/>
              <w:jc w:val="center"/>
              <w:rPr>
                <w:rFonts w:eastAsia="Times New Roman"/>
                <w:color w:val="000000"/>
                <w:sz w:val="16"/>
                <w:szCs w:val="16"/>
                <w:lang w:val="es-ES"/>
              </w:rPr>
            </w:pPr>
            <w:r w:rsidRPr="00CC659A">
              <w:rPr>
                <w:rFonts w:eastAsia="Times New Roman"/>
                <w:color w:val="000000"/>
                <w:sz w:val="16"/>
                <w:szCs w:val="16"/>
                <w:lang w:val="es-ES"/>
              </w:rPr>
              <w:t>0.42</w:t>
            </w:r>
          </w:p>
        </w:tc>
        <w:tc>
          <w:tcPr>
            <w:tcW w:w="420" w:type="pct"/>
            <w:tcBorders>
              <w:top w:val="nil"/>
              <w:left w:val="nil"/>
              <w:bottom w:val="nil"/>
              <w:right w:val="single" w:sz="8" w:space="0" w:color="808080"/>
            </w:tcBorders>
            <w:shd w:val="clear" w:color="auto" w:fill="auto"/>
            <w:vAlign w:val="center"/>
            <w:hideMark/>
          </w:tcPr>
          <w:p w14:paraId="4EDB23E3" w14:textId="77777777" w:rsidR="00CC659A" w:rsidRPr="00CC659A" w:rsidRDefault="00CC659A" w:rsidP="00CC659A">
            <w:pPr>
              <w:spacing w:after="0" w:line="240" w:lineRule="auto"/>
              <w:ind w:left="-108"/>
              <w:jc w:val="right"/>
              <w:rPr>
                <w:rFonts w:eastAsia="Times New Roman" w:cs="Arial"/>
                <w:color w:val="000000"/>
                <w:sz w:val="16"/>
                <w:szCs w:val="16"/>
                <w:lang w:val="es-ES"/>
              </w:rPr>
            </w:pPr>
            <w:r w:rsidRPr="00CC659A">
              <w:rPr>
                <w:rFonts w:eastAsia="Times New Roman" w:cs="Arial"/>
                <w:color w:val="000000"/>
                <w:sz w:val="16"/>
                <w:szCs w:val="16"/>
                <w:lang w:val="es-ES"/>
              </w:rPr>
              <w:t xml:space="preserve">0.967 </w:t>
            </w:r>
          </w:p>
        </w:tc>
        <w:tc>
          <w:tcPr>
            <w:tcW w:w="444" w:type="pct"/>
            <w:tcBorders>
              <w:top w:val="nil"/>
              <w:left w:val="nil"/>
              <w:bottom w:val="nil"/>
              <w:right w:val="single" w:sz="4" w:space="0" w:color="808080"/>
            </w:tcBorders>
            <w:shd w:val="clear" w:color="auto" w:fill="auto"/>
            <w:vAlign w:val="center"/>
            <w:hideMark/>
          </w:tcPr>
          <w:p w14:paraId="47FC9035"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84 588 </w:t>
            </w:r>
          </w:p>
        </w:tc>
        <w:tc>
          <w:tcPr>
            <w:tcW w:w="437" w:type="pct"/>
            <w:tcBorders>
              <w:top w:val="nil"/>
              <w:left w:val="nil"/>
              <w:bottom w:val="nil"/>
              <w:right w:val="single" w:sz="8" w:space="0" w:color="808080"/>
            </w:tcBorders>
            <w:shd w:val="clear" w:color="auto" w:fill="auto"/>
            <w:vAlign w:val="center"/>
            <w:hideMark/>
          </w:tcPr>
          <w:p w14:paraId="3F352BCD"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28 196 </w:t>
            </w:r>
          </w:p>
        </w:tc>
        <w:tc>
          <w:tcPr>
            <w:tcW w:w="444" w:type="pct"/>
            <w:tcBorders>
              <w:top w:val="nil"/>
              <w:left w:val="nil"/>
              <w:bottom w:val="nil"/>
              <w:right w:val="single" w:sz="4" w:space="0" w:color="808080"/>
            </w:tcBorders>
            <w:shd w:val="clear" w:color="auto" w:fill="auto"/>
            <w:vAlign w:val="center"/>
            <w:hideMark/>
          </w:tcPr>
          <w:p w14:paraId="75DE3C8C"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94 363 </w:t>
            </w:r>
          </w:p>
        </w:tc>
        <w:tc>
          <w:tcPr>
            <w:tcW w:w="437" w:type="pct"/>
            <w:tcBorders>
              <w:top w:val="nil"/>
              <w:left w:val="nil"/>
              <w:bottom w:val="nil"/>
              <w:right w:val="single" w:sz="8" w:space="0" w:color="808080"/>
            </w:tcBorders>
            <w:shd w:val="clear" w:color="auto" w:fill="auto"/>
            <w:vAlign w:val="center"/>
            <w:hideMark/>
          </w:tcPr>
          <w:p w14:paraId="69C5C855"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31 454 </w:t>
            </w:r>
          </w:p>
        </w:tc>
        <w:tc>
          <w:tcPr>
            <w:tcW w:w="444" w:type="pct"/>
            <w:tcBorders>
              <w:top w:val="nil"/>
              <w:left w:val="nil"/>
              <w:bottom w:val="nil"/>
              <w:right w:val="single" w:sz="4" w:space="0" w:color="808080"/>
            </w:tcBorders>
            <w:shd w:val="clear" w:color="auto" w:fill="auto"/>
            <w:vAlign w:val="center"/>
            <w:hideMark/>
          </w:tcPr>
          <w:p w14:paraId="63A36049"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110 488 </w:t>
            </w:r>
          </w:p>
        </w:tc>
        <w:tc>
          <w:tcPr>
            <w:tcW w:w="437" w:type="pct"/>
            <w:tcBorders>
              <w:top w:val="nil"/>
              <w:left w:val="nil"/>
              <w:bottom w:val="nil"/>
              <w:right w:val="single" w:sz="8" w:space="0" w:color="808080"/>
            </w:tcBorders>
            <w:shd w:val="clear" w:color="auto" w:fill="auto"/>
            <w:vAlign w:val="center"/>
            <w:hideMark/>
          </w:tcPr>
          <w:p w14:paraId="0DB1B095"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36 829 </w:t>
            </w:r>
          </w:p>
        </w:tc>
        <w:tc>
          <w:tcPr>
            <w:tcW w:w="444" w:type="pct"/>
            <w:tcBorders>
              <w:top w:val="nil"/>
              <w:left w:val="single" w:sz="4" w:space="0" w:color="808080"/>
              <w:bottom w:val="nil"/>
              <w:right w:val="single" w:sz="8" w:space="0" w:color="808080"/>
            </w:tcBorders>
            <w:shd w:val="clear" w:color="auto" w:fill="auto"/>
            <w:vAlign w:val="center"/>
            <w:hideMark/>
          </w:tcPr>
          <w:p w14:paraId="74CFF25B"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79 757 </w:t>
            </w:r>
          </w:p>
        </w:tc>
      </w:tr>
      <w:tr w:rsidR="006D34EE" w:rsidRPr="00CC659A" w14:paraId="3FDF0E72" w14:textId="77777777" w:rsidTr="00477854">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334F703A" w14:textId="77777777" w:rsidR="00CC659A" w:rsidRPr="00CC659A" w:rsidRDefault="00CC659A" w:rsidP="00CC659A">
            <w:pPr>
              <w:spacing w:after="0" w:line="240" w:lineRule="auto"/>
              <w:ind w:left="-108"/>
              <w:jc w:val="right"/>
              <w:rPr>
                <w:rFonts w:eastAsia="Times New Roman"/>
                <w:color w:val="000000"/>
                <w:sz w:val="16"/>
                <w:szCs w:val="16"/>
                <w:lang w:val="es-ES"/>
              </w:rPr>
            </w:pPr>
            <w:r w:rsidRPr="00CC659A">
              <w:rPr>
                <w:rFonts w:eastAsia="Times New Roman"/>
                <w:color w:val="000000"/>
                <w:sz w:val="16"/>
                <w:szCs w:val="16"/>
                <w:lang w:val="es-ES"/>
              </w:rPr>
              <w:t>26</w:t>
            </w:r>
          </w:p>
        </w:tc>
        <w:tc>
          <w:tcPr>
            <w:tcW w:w="920" w:type="pct"/>
            <w:tcBorders>
              <w:top w:val="nil"/>
              <w:left w:val="nil"/>
              <w:bottom w:val="nil"/>
              <w:right w:val="nil"/>
            </w:tcBorders>
            <w:shd w:val="clear" w:color="auto" w:fill="auto"/>
            <w:vAlign w:val="center"/>
            <w:hideMark/>
          </w:tcPr>
          <w:p w14:paraId="09913B70"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Congo</w:t>
            </w:r>
          </w:p>
        </w:tc>
        <w:tc>
          <w:tcPr>
            <w:tcW w:w="404" w:type="pct"/>
            <w:tcBorders>
              <w:top w:val="nil"/>
              <w:left w:val="nil"/>
              <w:bottom w:val="nil"/>
              <w:right w:val="nil"/>
            </w:tcBorders>
            <w:shd w:val="clear" w:color="auto" w:fill="auto"/>
            <w:vAlign w:val="center"/>
            <w:hideMark/>
          </w:tcPr>
          <w:p w14:paraId="23A1ED6A" w14:textId="77777777" w:rsidR="00CC659A" w:rsidRPr="00CC659A" w:rsidRDefault="00CC659A" w:rsidP="00CC659A">
            <w:pPr>
              <w:spacing w:after="0" w:line="240" w:lineRule="auto"/>
              <w:ind w:left="-108"/>
              <w:jc w:val="center"/>
              <w:rPr>
                <w:rFonts w:eastAsia="Times New Roman"/>
                <w:color w:val="000000"/>
                <w:sz w:val="16"/>
                <w:szCs w:val="16"/>
                <w:lang w:val="es-ES"/>
              </w:rPr>
            </w:pPr>
            <w:r w:rsidRPr="00CC659A">
              <w:rPr>
                <w:rFonts w:eastAsia="Times New Roman"/>
                <w:color w:val="000000"/>
                <w:sz w:val="16"/>
                <w:szCs w:val="16"/>
                <w:lang w:val="es-ES"/>
              </w:rPr>
              <w:t>0.005</w:t>
            </w:r>
          </w:p>
        </w:tc>
        <w:tc>
          <w:tcPr>
            <w:tcW w:w="420" w:type="pct"/>
            <w:tcBorders>
              <w:top w:val="nil"/>
              <w:left w:val="nil"/>
              <w:bottom w:val="nil"/>
              <w:right w:val="single" w:sz="8" w:space="0" w:color="808080"/>
            </w:tcBorders>
            <w:shd w:val="clear" w:color="auto" w:fill="auto"/>
            <w:vAlign w:val="center"/>
            <w:hideMark/>
          </w:tcPr>
          <w:p w14:paraId="161DB80E" w14:textId="77777777" w:rsidR="00CC659A" w:rsidRPr="00CC659A" w:rsidRDefault="00CC659A" w:rsidP="00CC659A">
            <w:pPr>
              <w:spacing w:after="0" w:line="240" w:lineRule="auto"/>
              <w:ind w:left="-108"/>
              <w:jc w:val="right"/>
              <w:rPr>
                <w:rFonts w:eastAsia="Times New Roman" w:cs="Arial"/>
                <w:color w:val="000000"/>
                <w:sz w:val="16"/>
                <w:szCs w:val="16"/>
                <w:lang w:val="es-ES"/>
              </w:rPr>
            </w:pPr>
            <w:r w:rsidRPr="00CC659A">
              <w:rPr>
                <w:rFonts w:eastAsia="Times New Roman" w:cs="Arial"/>
                <w:color w:val="000000"/>
                <w:sz w:val="16"/>
                <w:szCs w:val="16"/>
                <w:lang w:val="es-ES"/>
              </w:rPr>
              <w:t xml:space="preserve">0.012 </w:t>
            </w:r>
          </w:p>
        </w:tc>
        <w:tc>
          <w:tcPr>
            <w:tcW w:w="444" w:type="pct"/>
            <w:tcBorders>
              <w:top w:val="nil"/>
              <w:left w:val="nil"/>
              <w:bottom w:val="nil"/>
              <w:right w:val="single" w:sz="4" w:space="0" w:color="808080"/>
            </w:tcBorders>
            <w:shd w:val="clear" w:color="auto" w:fill="auto"/>
            <w:vAlign w:val="center"/>
            <w:hideMark/>
          </w:tcPr>
          <w:p w14:paraId="0D2A9B93"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1 007 </w:t>
            </w:r>
          </w:p>
        </w:tc>
        <w:tc>
          <w:tcPr>
            <w:tcW w:w="437" w:type="pct"/>
            <w:tcBorders>
              <w:top w:val="nil"/>
              <w:left w:val="nil"/>
              <w:bottom w:val="nil"/>
              <w:right w:val="single" w:sz="8" w:space="0" w:color="808080"/>
            </w:tcBorders>
            <w:shd w:val="clear" w:color="auto" w:fill="auto"/>
            <w:vAlign w:val="center"/>
            <w:hideMark/>
          </w:tcPr>
          <w:p w14:paraId="369F0981"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336 </w:t>
            </w:r>
          </w:p>
        </w:tc>
        <w:tc>
          <w:tcPr>
            <w:tcW w:w="444" w:type="pct"/>
            <w:tcBorders>
              <w:top w:val="nil"/>
              <w:left w:val="nil"/>
              <w:bottom w:val="nil"/>
              <w:right w:val="single" w:sz="4" w:space="0" w:color="808080"/>
            </w:tcBorders>
            <w:shd w:val="clear" w:color="auto" w:fill="auto"/>
            <w:vAlign w:val="center"/>
            <w:hideMark/>
          </w:tcPr>
          <w:p w14:paraId="0E3C6F0F"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1 123 </w:t>
            </w:r>
          </w:p>
        </w:tc>
        <w:tc>
          <w:tcPr>
            <w:tcW w:w="437" w:type="pct"/>
            <w:tcBorders>
              <w:top w:val="nil"/>
              <w:left w:val="nil"/>
              <w:bottom w:val="nil"/>
              <w:right w:val="single" w:sz="8" w:space="0" w:color="808080"/>
            </w:tcBorders>
            <w:shd w:val="clear" w:color="auto" w:fill="auto"/>
            <w:vAlign w:val="center"/>
            <w:hideMark/>
          </w:tcPr>
          <w:p w14:paraId="3F7D5A15"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374 </w:t>
            </w:r>
          </w:p>
        </w:tc>
        <w:tc>
          <w:tcPr>
            <w:tcW w:w="444" w:type="pct"/>
            <w:tcBorders>
              <w:top w:val="nil"/>
              <w:left w:val="nil"/>
              <w:bottom w:val="nil"/>
              <w:right w:val="single" w:sz="4" w:space="0" w:color="808080"/>
            </w:tcBorders>
            <w:shd w:val="clear" w:color="auto" w:fill="auto"/>
            <w:vAlign w:val="center"/>
            <w:hideMark/>
          </w:tcPr>
          <w:p w14:paraId="46F5A3FB"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1 315 </w:t>
            </w:r>
          </w:p>
        </w:tc>
        <w:tc>
          <w:tcPr>
            <w:tcW w:w="437" w:type="pct"/>
            <w:tcBorders>
              <w:top w:val="nil"/>
              <w:left w:val="nil"/>
              <w:bottom w:val="nil"/>
              <w:right w:val="single" w:sz="8" w:space="0" w:color="808080"/>
            </w:tcBorders>
            <w:shd w:val="clear" w:color="auto" w:fill="auto"/>
            <w:vAlign w:val="center"/>
            <w:hideMark/>
          </w:tcPr>
          <w:p w14:paraId="58A0B18B"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438 </w:t>
            </w:r>
          </w:p>
        </w:tc>
        <w:tc>
          <w:tcPr>
            <w:tcW w:w="444" w:type="pct"/>
            <w:tcBorders>
              <w:top w:val="nil"/>
              <w:left w:val="single" w:sz="4" w:space="0" w:color="808080"/>
              <w:bottom w:val="nil"/>
              <w:right w:val="single" w:sz="8" w:space="0" w:color="808080"/>
            </w:tcBorders>
            <w:shd w:val="clear" w:color="auto" w:fill="auto"/>
            <w:vAlign w:val="center"/>
            <w:hideMark/>
          </w:tcPr>
          <w:p w14:paraId="27C807C6"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1 176 </w:t>
            </w:r>
          </w:p>
        </w:tc>
      </w:tr>
      <w:tr w:rsidR="006D34EE" w:rsidRPr="00CC659A" w14:paraId="2E38793C" w14:textId="77777777" w:rsidTr="00477854">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6B3A0B3F" w14:textId="77777777" w:rsidR="00CC659A" w:rsidRPr="00CC659A" w:rsidRDefault="00CC659A" w:rsidP="00CC659A">
            <w:pPr>
              <w:spacing w:after="0" w:line="240" w:lineRule="auto"/>
              <w:ind w:left="-108"/>
              <w:jc w:val="right"/>
              <w:rPr>
                <w:rFonts w:eastAsia="Times New Roman"/>
                <w:color w:val="000000"/>
                <w:sz w:val="16"/>
                <w:szCs w:val="16"/>
                <w:lang w:val="es-ES"/>
              </w:rPr>
            </w:pPr>
            <w:r w:rsidRPr="00CC659A">
              <w:rPr>
                <w:rFonts w:eastAsia="Times New Roman"/>
                <w:color w:val="000000"/>
                <w:sz w:val="16"/>
                <w:szCs w:val="16"/>
                <w:lang w:val="es-ES"/>
              </w:rPr>
              <w:t>27</w:t>
            </w:r>
          </w:p>
        </w:tc>
        <w:tc>
          <w:tcPr>
            <w:tcW w:w="920" w:type="pct"/>
            <w:tcBorders>
              <w:top w:val="nil"/>
              <w:left w:val="nil"/>
              <w:bottom w:val="nil"/>
              <w:right w:val="nil"/>
            </w:tcBorders>
            <w:shd w:val="clear" w:color="auto" w:fill="auto"/>
            <w:vAlign w:val="center"/>
            <w:hideMark/>
          </w:tcPr>
          <w:p w14:paraId="2CCE55F1" w14:textId="76C29348"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I</w:t>
            </w:r>
            <w:r w:rsidR="00E97687">
              <w:rPr>
                <w:rFonts w:eastAsia="Times New Roman"/>
                <w:color w:val="000000"/>
                <w:sz w:val="16"/>
                <w:szCs w:val="16"/>
                <w:lang w:val="es-ES"/>
              </w:rPr>
              <w:t>sla</w:t>
            </w:r>
            <w:r w:rsidRPr="00CC659A">
              <w:rPr>
                <w:rFonts w:eastAsia="Times New Roman"/>
                <w:color w:val="000000"/>
                <w:sz w:val="16"/>
                <w:szCs w:val="16"/>
                <w:lang w:val="es-ES"/>
              </w:rPr>
              <w:t xml:space="preserve">s Cook </w:t>
            </w:r>
          </w:p>
        </w:tc>
        <w:tc>
          <w:tcPr>
            <w:tcW w:w="404" w:type="pct"/>
            <w:tcBorders>
              <w:top w:val="nil"/>
              <w:left w:val="nil"/>
              <w:bottom w:val="nil"/>
              <w:right w:val="nil"/>
            </w:tcBorders>
            <w:shd w:val="clear" w:color="auto" w:fill="auto"/>
            <w:vAlign w:val="center"/>
            <w:hideMark/>
          </w:tcPr>
          <w:p w14:paraId="02C3C151" w14:textId="77777777" w:rsidR="00CC659A" w:rsidRPr="00CC659A" w:rsidRDefault="00CC659A" w:rsidP="00CC659A">
            <w:pPr>
              <w:spacing w:after="0" w:line="240" w:lineRule="auto"/>
              <w:ind w:left="-108"/>
              <w:jc w:val="center"/>
              <w:rPr>
                <w:rFonts w:eastAsia="Times New Roman"/>
                <w:color w:val="000000"/>
                <w:sz w:val="16"/>
                <w:szCs w:val="16"/>
                <w:lang w:val="es-ES"/>
              </w:rPr>
            </w:pPr>
            <w:r w:rsidRPr="00CC659A">
              <w:rPr>
                <w:rFonts w:eastAsia="Times New Roman"/>
                <w:color w:val="000000"/>
                <w:sz w:val="16"/>
                <w:szCs w:val="16"/>
                <w:lang w:val="es-ES"/>
              </w:rPr>
              <w:t>0.001</w:t>
            </w:r>
          </w:p>
        </w:tc>
        <w:tc>
          <w:tcPr>
            <w:tcW w:w="420" w:type="pct"/>
            <w:tcBorders>
              <w:top w:val="nil"/>
              <w:left w:val="nil"/>
              <w:bottom w:val="nil"/>
              <w:right w:val="single" w:sz="8" w:space="0" w:color="808080"/>
            </w:tcBorders>
            <w:shd w:val="clear" w:color="auto" w:fill="auto"/>
            <w:vAlign w:val="center"/>
            <w:hideMark/>
          </w:tcPr>
          <w:p w14:paraId="2ADBEDD5" w14:textId="77777777" w:rsidR="00CC659A" w:rsidRPr="00CC659A" w:rsidRDefault="00CC659A" w:rsidP="00CC659A">
            <w:pPr>
              <w:spacing w:after="0" w:line="240" w:lineRule="auto"/>
              <w:ind w:left="-108"/>
              <w:jc w:val="right"/>
              <w:rPr>
                <w:rFonts w:eastAsia="Times New Roman" w:cs="Arial"/>
                <w:color w:val="000000"/>
                <w:sz w:val="16"/>
                <w:szCs w:val="16"/>
                <w:lang w:val="es-ES"/>
              </w:rPr>
            </w:pPr>
            <w:r w:rsidRPr="00CC659A">
              <w:rPr>
                <w:rFonts w:eastAsia="Times New Roman" w:cs="Arial"/>
                <w:color w:val="000000"/>
                <w:sz w:val="16"/>
                <w:szCs w:val="16"/>
                <w:lang w:val="es-ES"/>
              </w:rPr>
              <w:t xml:space="preserve">0.002 </w:t>
            </w:r>
          </w:p>
        </w:tc>
        <w:tc>
          <w:tcPr>
            <w:tcW w:w="444" w:type="pct"/>
            <w:tcBorders>
              <w:top w:val="nil"/>
              <w:left w:val="nil"/>
              <w:bottom w:val="nil"/>
              <w:right w:val="single" w:sz="4" w:space="0" w:color="808080"/>
            </w:tcBorders>
            <w:shd w:val="clear" w:color="auto" w:fill="auto"/>
            <w:vAlign w:val="center"/>
            <w:hideMark/>
          </w:tcPr>
          <w:p w14:paraId="523FE111"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201 </w:t>
            </w:r>
          </w:p>
        </w:tc>
        <w:tc>
          <w:tcPr>
            <w:tcW w:w="437" w:type="pct"/>
            <w:tcBorders>
              <w:top w:val="nil"/>
              <w:left w:val="nil"/>
              <w:bottom w:val="nil"/>
              <w:right w:val="single" w:sz="8" w:space="0" w:color="808080"/>
            </w:tcBorders>
            <w:shd w:val="clear" w:color="auto" w:fill="auto"/>
            <w:vAlign w:val="center"/>
            <w:hideMark/>
          </w:tcPr>
          <w:p w14:paraId="77AA2E1A"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67 </w:t>
            </w:r>
          </w:p>
        </w:tc>
        <w:tc>
          <w:tcPr>
            <w:tcW w:w="444" w:type="pct"/>
            <w:tcBorders>
              <w:top w:val="nil"/>
              <w:left w:val="nil"/>
              <w:bottom w:val="nil"/>
              <w:right w:val="single" w:sz="4" w:space="0" w:color="808080"/>
            </w:tcBorders>
            <w:shd w:val="clear" w:color="auto" w:fill="auto"/>
            <w:vAlign w:val="center"/>
            <w:hideMark/>
          </w:tcPr>
          <w:p w14:paraId="56B78EFC"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225 </w:t>
            </w:r>
          </w:p>
        </w:tc>
        <w:tc>
          <w:tcPr>
            <w:tcW w:w="437" w:type="pct"/>
            <w:tcBorders>
              <w:top w:val="nil"/>
              <w:left w:val="nil"/>
              <w:bottom w:val="nil"/>
              <w:right w:val="single" w:sz="8" w:space="0" w:color="808080"/>
            </w:tcBorders>
            <w:shd w:val="clear" w:color="auto" w:fill="auto"/>
            <w:vAlign w:val="center"/>
            <w:hideMark/>
          </w:tcPr>
          <w:p w14:paraId="5AF536FB"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75 </w:t>
            </w:r>
          </w:p>
        </w:tc>
        <w:tc>
          <w:tcPr>
            <w:tcW w:w="444" w:type="pct"/>
            <w:tcBorders>
              <w:top w:val="nil"/>
              <w:left w:val="nil"/>
              <w:bottom w:val="nil"/>
              <w:right w:val="single" w:sz="4" w:space="0" w:color="808080"/>
            </w:tcBorders>
            <w:shd w:val="clear" w:color="auto" w:fill="auto"/>
            <w:vAlign w:val="center"/>
            <w:hideMark/>
          </w:tcPr>
          <w:p w14:paraId="0C4B286F"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263 </w:t>
            </w:r>
          </w:p>
        </w:tc>
        <w:tc>
          <w:tcPr>
            <w:tcW w:w="437" w:type="pct"/>
            <w:tcBorders>
              <w:top w:val="nil"/>
              <w:left w:val="nil"/>
              <w:bottom w:val="nil"/>
              <w:right w:val="single" w:sz="8" w:space="0" w:color="808080"/>
            </w:tcBorders>
            <w:shd w:val="clear" w:color="auto" w:fill="auto"/>
            <w:vAlign w:val="center"/>
            <w:hideMark/>
          </w:tcPr>
          <w:p w14:paraId="3A5AD75B"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88 </w:t>
            </w:r>
          </w:p>
        </w:tc>
        <w:tc>
          <w:tcPr>
            <w:tcW w:w="444" w:type="pct"/>
            <w:tcBorders>
              <w:top w:val="nil"/>
              <w:left w:val="single" w:sz="4" w:space="0" w:color="808080"/>
              <w:bottom w:val="nil"/>
              <w:right w:val="single" w:sz="8" w:space="0" w:color="808080"/>
            </w:tcBorders>
            <w:shd w:val="clear" w:color="auto" w:fill="auto"/>
            <w:vAlign w:val="center"/>
            <w:hideMark/>
          </w:tcPr>
          <w:p w14:paraId="4A049E44"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197 </w:t>
            </w:r>
          </w:p>
        </w:tc>
      </w:tr>
      <w:tr w:rsidR="006D34EE" w:rsidRPr="00CC659A" w14:paraId="3CFA600F" w14:textId="77777777" w:rsidTr="00477854">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478FC72A" w14:textId="77777777" w:rsidR="00CC659A" w:rsidRPr="00CC659A" w:rsidRDefault="00CC659A" w:rsidP="00CC659A">
            <w:pPr>
              <w:spacing w:after="0" w:line="240" w:lineRule="auto"/>
              <w:ind w:left="-108"/>
              <w:jc w:val="right"/>
              <w:rPr>
                <w:rFonts w:eastAsia="Times New Roman"/>
                <w:color w:val="000000"/>
                <w:sz w:val="16"/>
                <w:szCs w:val="16"/>
                <w:lang w:val="es-ES"/>
              </w:rPr>
            </w:pPr>
            <w:r w:rsidRPr="00CC659A">
              <w:rPr>
                <w:rFonts w:eastAsia="Times New Roman"/>
                <w:color w:val="000000"/>
                <w:sz w:val="16"/>
                <w:szCs w:val="16"/>
                <w:lang w:val="es-ES"/>
              </w:rPr>
              <w:t>28</w:t>
            </w:r>
          </w:p>
        </w:tc>
        <w:tc>
          <w:tcPr>
            <w:tcW w:w="920" w:type="pct"/>
            <w:tcBorders>
              <w:top w:val="nil"/>
              <w:left w:val="nil"/>
              <w:bottom w:val="nil"/>
              <w:right w:val="nil"/>
            </w:tcBorders>
            <w:shd w:val="clear" w:color="auto" w:fill="auto"/>
            <w:vAlign w:val="center"/>
            <w:hideMark/>
          </w:tcPr>
          <w:p w14:paraId="71D88453"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Costa Rica</w:t>
            </w:r>
          </w:p>
        </w:tc>
        <w:tc>
          <w:tcPr>
            <w:tcW w:w="404" w:type="pct"/>
            <w:tcBorders>
              <w:top w:val="nil"/>
              <w:left w:val="nil"/>
              <w:bottom w:val="nil"/>
              <w:right w:val="nil"/>
            </w:tcBorders>
            <w:shd w:val="clear" w:color="auto" w:fill="auto"/>
            <w:vAlign w:val="center"/>
            <w:hideMark/>
          </w:tcPr>
          <w:p w14:paraId="1A595DD7" w14:textId="77777777" w:rsidR="00CC659A" w:rsidRPr="00CC659A" w:rsidRDefault="00CC659A" w:rsidP="00CC659A">
            <w:pPr>
              <w:spacing w:after="0" w:line="240" w:lineRule="auto"/>
              <w:ind w:left="-108"/>
              <w:jc w:val="center"/>
              <w:rPr>
                <w:rFonts w:eastAsia="Times New Roman"/>
                <w:color w:val="000000"/>
                <w:sz w:val="16"/>
                <w:szCs w:val="16"/>
                <w:lang w:val="es-ES"/>
              </w:rPr>
            </w:pPr>
            <w:r w:rsidRPr="00CC659A">
              <w:rPr>
                <w:rFonts w:eastAsia="Times New Roman"/>
                <w:color w:val="000000"/>
                <w:sz w:val="16"/>
                <w:szCs w:val="16"/>
                <w:lang w:val="es-ES"/>
              </w:rPr>
              <w:t>0.069</w:t>
            </w:r>
          </w:p>
        </w:tc>
        <w:tc>
          <w:tcPr>
            <w:tcW w:w="420" w:type="pct"/>
            <w:tcBorders>
              <w:top w:val="nil"/>
              <w:left w:val="nil"/>
              <w:bottom w:val="nil"/>
              <w:right w:val="single" w:sz="8" w:space="0" w:color="808080"/>
            </w:tcBorders>
            <w:shd w:val="clear" w:color="auto" w:fill="auto"/>
            <w:vAlign w:val="center"/>
            <w:hideMark/>
          </w:tcPr>
          <w:p w14:paraId="7171B3FB" w14:textId="77777777" w:rsidR="00CC659A" w:rsidRPr="00CC659A" w:rsidRDefault="00CC659A" w:rsidP="00CC659A">
            <w:pPr>
              <w:spacing w:after="0" w:line="240" w:lineRule="auto"/>
              <w:ind w:left="-108"/>
              <w:jc w:val="right"/>
              <w:rPr>
                <w:rFonts w:eastAsia="Times New Roman" w:cs="Arial"/>
                <w:color w:val="000000"/>
                <w:sz w:val="16"/>
                <w:szCs w:val="16"/>
                <w:lang w:val="es-ES"/>
              </w:rPr>
            </w:pPr>
            <w:r w:rsidRPr="00CC659A">
              <w:rPr>
                <w:rFonts w:eastAsia="Times New Roman" w:cs="Arial"/>
                <w:color w:val="000000"/>
                <w:sz w:val="16"/>
                <w:szCs w:val="16"/>
                <w:lang w:val="es-ES"/>
              </w:rPr>
              <w:t xml:space="preserve">0.159 </w:t>
            </w:r>
          </w:p>
        </w:tc>
        <w:tc>
          <w:tcPr>
            <w:tcW w:w="444" w:type="pct"/>
            <w:tcBorders>
              <w:top w:val="nil"/>
              <w:left w:val="nil"/>
              <w:bottom w:val="nil"/>
              <w:right w:val="single" w:sz="4" w:space="0" w:color="808080"/>
            </w:tcBorders>
            <w:shd w:val="clear" w:color="auto" w:fill="auto"/>
            <w:vAlign w:val="center"/>
            <w:hideMark/>
          </w:tcPr>
          <w:p w14:paraId="32128AD6"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13 897 </w:t>
            </w:r>
          </w:p>
        </w:tc>
        <w:tc>
          <w:tcPr>
            <w:tcW w:w="437" w:type="pct"/>
            <w:tcBorders>
              <w:top w:val="nil"/>
              <w:left w:val="nil"/>
              <w:bottom w:val="nil"/>
              <w:right w:val="single" w:sz="8" w:space="0" w:color="808080"/>
            </w:tcBorders>
            <w:shd w:val="clear" w:color="auto" w:fill="auto"/>
            <w:vAlign w:val="center"/>
            <w:hideMark/>
          </w:tcPr>
          <w:p w14:paraId="0C6507E4"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4 632 </w:t>
            </w:r>
          </w:p>
        </w:tc>
        <w:tc>
          <w:tcPr>
            <w:tcW w:w="444" w:type="pct"/>
            <w:tcBorders>
              <w:top w:val="nil"/>
              <w:left w:val="nil"/>
              <w:bottom w:val="nil"/>
              <w:right w:val="single" w:sz="4" w:space="0" w:color="808080"/>
            </w:tcBorders>
            <w:shd w:val="clear" w:color="auto" w:fill="auto"/>
            <w:vAlign w:val="center"/>
            <w:hideMark/>
          </w:tcPr>
          <w:p w14:paraId="1AEC68A2"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15 502 </w:t>
            </w:r>
          </w:p>
        </w:tc>
        <w:tc>
          <w:tcPr>
            <w:tcW w:w="437" w:type="pct"/>
            <w:tcBorders>
              <w:top w:val="nil"/>
              <w:left w:val="nil"/>
              <w:bottom w:val="nil"/>
              <w:right w:val="single" w:sz="8" w:space="0" w:color="808080"/>
            </w:tcBorders>
            <w:shd w:val="clear" w:color="auto" w:fill="auto"/>
            <w:vAlign w:val="center"/>
            <w:hideMark/>
          </w:tcPr>
          <w:p w14:paraId="7A76C82B"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5 167 </w:t>
            </w:r>
          </w:p>
        </w:tc>
        <w:tc>
          <w:tcPr>
            <w:tcW w:w="444" w:type="pct"/>
            <w:tcBorders>
              <w:top w:val="nil"/>
              <w:left w:val="nil"/>
              <w:bottom w:val="nil"/>
              <w:right w:val="single" w:sz="4" w:space="0" w:color="808080"/>
            </w:tcBorders>
            <w:shd w:val="clear" w:color="auto" w:fill="auto"/>
            <w:vAlign w:val="center"/>
            <w:hideMark/>
          </w:tcPr>
          <w:p w14:paraId="39EA181A"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18 152 </w:t>
            </w:r>
          </w:p>
        </w:tc>
        <w:tc>
          <w:tcPr>
            <w:tcW w:w="437" w:type="pct"/>
            <w:tcBorders>
              <w:top w:val="nil"/>
              <w:left w:val="nil"/>
              <w:bottom w:val="nil"/>
              <w:right w:val="single" w:sz="8" w:space="0" w:color="808080"/>
            </w:tcBorders>
            <w:shd w:val="clear" w:color="auto" w:fill="auto"/>
            <w:vAlign w:val="center"/>
            <w:hideMark/>
          </w:tcPr>
          <w:p w14:paraId="64AB684C"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6 051 </w:t>
            </w:r>
          </w:p>
        </w:tc>
        <w:tc>
          <w:tcPr>
            <w:tcW w:w="444" w:type="pct"/>
            <w:tcBorders>
              <w:top w:val="nil"/>
              <w:left w:val="single" w:sz="4" w:space="0" w:color="808080"/>
              <w:bottom w:val="nil"/>
              <w:right w:val="single" w:sz="8" w:space="0" w:color="808080"/>
            </w:tcBorders>
            <w:shd w:val="clear" w:color="auto" w:fill="auto"/>
            <w:vAlign w:val="center"/>
            <w:hideMark/>
          </w:tcPr>
          <w:p w14:paraId="1ECD170F"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12 149 </w:t>
            </w:r>
          </w:p>
        </w:tc>
      </w:tr>
      <w:tr w:rsidR="006D34EE" w:rsidRPr="00CC659A" w14:paraId="67C0C95D" w14:textId="77777777" w:rsidTr="00477854">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6C43EF78" w14:textId="77777777" w:rsidR="00CC659A" w:rsidRPr="00CC659A" w:rsidRDefault="00CC659A" w:rsidP="00CC659A">
            <w:pPr>
              <w:spacing w:after="0" w:line="240" w:lineRule="auto"/>
              <w:ind w:left="-108"/>
              <w:jc w:val="right"/>
              <w:rPr>
                <w:rFonts w:eastAsia="Times New Roman"/>
                <w:color w:val="000000"/>
                <w:sz w:val="16"/>
                <w:szCs w:val="16"/>
                <w:lang w:val="es-ES"/>
              </w:rPr>
            </w:pPr>
            <w:r w:rsidRPr="00CC659A">
              <w:rPr>
                <w:rFonts w:eastAsia="Times New Roman"/>
                <w:color w:val="000000"/>
                <w:sz w:val="16"/>
                <w:szCs w:val="16"/>
                <w:lang w:val="es-ES"/>
              </w:rPr>
              <w:t>29</w:t>
            </w:r>
          </w:p>
        </w:tc>
        <w:tc>
          <w:tcPr>
            <w:tcW w:w="920" w:type="pct"/>
            <w:tcBorders>
              <w:top w:val="nil"/>
              <w:left w:val="nil"/>
              <w:bottom w:val="nil"/>
              <w:right w:val="nil"/>
            </w:tcBorders>
            <w:shd w:val="clear" w:color="auto" w:fill="auto"/>
            <w:vAlign w:val="center"/>
            <w:hideMark/>
          </w:tcPr>
          <w:p w14:paraId="0546CE80"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Côte d’Ivoire</w:t>
            </w:r>
          </w:p>
        </w:tc>
        <w:tc>
          <w:tcPr>
            <w:tcW w:w="404" w:type="pct"/>
            <w:tcBorders>
              <w:top w:val="nil"/>
              <w:left w:val="nil"/>
              <w:bottom w:val="nil"/>
              <w:right w:val="nil"/>
            </w:tcBorders>
            <w:shd w:val="clear" w:color="auto" w:fill="auto"/>
            <w:vAlign w:val="center"/>
            <w:hideMark/>
          </w:tcPr>
          <w:p w14:paraId="086CBA61" w14:textId="77777777" w:rsidR="00CC659A" w:rsidRPr="00CC659A" w:rsidRDefault="00CC659A" w:rsidP="00CC659A">
            <w:pPr>
              <w:spacing w:after="0" w:line="240" w:lineRule="auto"/>
              <w:ind w:left="-108"/>
              <w:jc w:val="center"/>
              <w:rPr>
                <w:rFonts w:eastAsia="Times New Roman"/>
                <w:color w:val="000000"/>
                <w:sz w:val="16"/>
                <w:szCs w:val="16"/>
                <w:lang w:val="es-ES"/>
              </w:rPr>
            </w:pPr>
            <w:r w:rsidRPr="00CC659A">
              <w:rPr>
                <w:rFonts w:eastAsia="Times New Roman"/>
                <w:color w:val="000000"/>
                <w:sz w:val="16"/>
                <w:szCs w:val="16"/>
                <w:lang w:val="es-ES"/>
              </w:rPr>
              <w:t>0.022</w:t>
            </w:r>
          </w:p>
        </w:tc>
        <w:tc>
          <w:tcPr>
            <w:tcW w:w="420" w:type="pct"/>
            <w:tcBorders>
              <w:top w:val="nil"/>
              <w:left w:val="nil"/>
              <w:bottom w:val="nil"/>
              <w:right w:val="single" w:sz="8" w:space="0" w:color="808080"/>
            </w:tcBorders>
            <w:shd w:val="clear" w:color="auto" w:fill="auto"/>
            <w:vAlign w:val="center"/>
            <w:hideMark/>
          </w:tcPr>
          <w:p w14:paraId="4E36BF5A" w14:textId="77777777" w:rsidR="00CC659A" w:rsidRPr="00CC659A" w:rsidRDefault="00CC659A" w:rsidP="00CC659A">
            <w:pPr>
              <w:spacing w:after="0" w:line="240" w:lineRule="auto"/>
              <w:ind w:left="-108"/>
              <w:jc w:val="right"/>
              <w:rPr>
                <w:rFonts w:eastAsia="Times New Roman" w:cs="Arial"/>
                <w:color w:val="000000"/>
                <w:sz w:val="16"/>
                <w:szCs w:val="16"/>
                <w:lang w:val="es-ES"/>
              </w:rPr>
            </w:pPr>
            <w:r w:rsidRPr="00CC659A">
              <w:rPr>
                <w:rFonts w:eastAsia="Times New Roman" w:cs="Arial"/>
                <w:color w:val="000000"/>
                <w:sz w:val="16"/>
                <w:szCs w:val="16"/>
                <w:lang w:val="es-ES"/>
              </w:rPr>
              <w:t xml:space="preserve">0.051 </w:t>
            </w:r>
          </w:p>
        </w:tc>
        <w:tc>
          <w:tcPr>
            <w:tcW w:w="444" w:type="pct"/>
            <w:tcBorders>
              <w:top w:val="nil"/>
              <w:left w:val="nil"/>
              <w:bottom w:val="nil"/>
              <w:right w:val="single" w:sz="4" w:space="0" w:color="808080"/>
            </w:tcBorders>
            <w:shd w:val="clear" w:color="auto" w:fill="auto"/>
            <w:vAlign w:val="center"/>
            <w:hideMark/>
          </w:tcPr>
          <w:p w14:paraId="2557CEAB"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4 431 </w:t>
            </w:r>
          </w:p>
        </w:tc>
        <w:tc>
          <w:tcPr>
            <w:tcW w:w="437" w:type="pct"/>
            <w:tcBorders>
              <w:top w:val="nil"/>
              <w:left w:val="nil"/>
              <w:bottom w:val="nil"/>
              <w:right w:val="single" w:sz="8" w:space="0" w:color="808080"/>
            </w:tcBorders>
            <w:shd w:val="clear" w:color="auto" w:fill="auto"/>
            <w:vAlign w:val="center"/>
            <w:hideMark/>
          </w:tcPr>
          <w:p w14:paraId="34A029F9"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1 477 </w:t>
            </w:r>
          </w:p>
        </w:tc>
        <w:tc>
          <w:tcPr>
            <w:tcW w:w="444" w:type="pct"/>
            <w:tcBorders>
              <w:top w:val="nil"/>
              <w:left w:val="nil"/>
              <w:bottom w:val="nil"/>
              <w:right w:val="single" w:sz="4" w:space="0" w:color="808080"/>
            </w:tcBorders>
            <w:shd w:val="clear" w:color="auto" w:fill="auto"/>
            <w:vAlign w:val="center"/>
            <w:hideMark/>
          </w:tcPr>
          <w:p w14:paraId="7F77039B"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4 943 </w:t>
            </w:r>
          </w:p>
        </w:tc>
        <w:tc>
          <w:tcPr>
            <w:tcW w:w="437" w:type="pct"/>
            <w:tcBorders>
              <w:top w:val="nil"/>
              <w:left w:val="nil"/>
              <w:bottom w:val="nil"/>
              <w:right w:val="single" w:sz="8" w:space="0" w:color="808080"/>
            </w:tcBorders>
            <w:shd w:val="clear" w:color="auto" w:fill="auto"/>
            <w:vAlign w:val="center"/>
            <w:hideMark/>
          </w:tcPr>
          <w:p w14:paraId="13D23C76"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1 648 </w:t>
            </w:r>
          </w:p>
        </w:tc>
        <w:tc>
          <w:tcPr>
            <w:tcW w:w="444" w:type="pct"/>
            <w:tcBorders>
              <w:top w:val="nil"/>
              <w:left w:val="nil"/>
              <w:bottom w:val="nil"/>
              <w:right w:val="single" w:sz="4" w:space="0" w:color="808080"/>
            </w:tcBorders>
            <w:shd w:val="clear" w:color="auto" w:fill="auto"/>
            <w:vAlign w:val="center"/>
            <w:hideMark/>
          </w:tcPr>
          <w:p w14:paraId="036624C2"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5 787 </w:t>
            </w:r>
          </w:p>
        </w:tc>
        <w:tc>
          <w:tcPr>
            <w:tcW w:w="437" w:type="pct"/>
            <w:tcBorders>
              <w:top w:val="nil"/>
              <w:left w:val="nil"/>
              <w:bottom w:val="nil"/>
              <w:right w:val="single" w:sz="8" w:space="0" w:color="808080"/>
            </w:tcBorders>
            <w:shd w:val="clear" w:color="auto" w:fill="auto"/>
            <w:vAlign w:val="center"/>
            <w:hideMark/>
          </w:tcPr>
          <w:p w14:paraId="009CC833"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1 929 </w:t>
            </w:r>
          </w:p>
        </w:tc>
        <w:tc>
          <w:tcPr>
            <w:tcW w:w="444" w:type="pct"/>
            <w:tcBorders>
              <w:top w:val="nil"/>
              <w:left w:val="single" w:sz="4" w:space="0" w:color="808080"/>
              <w:bottom w:val="nil"/>
              <w:right w:val="single" w:sz="8" w:space="0" w:color="808080"/>
            </w:tcBorders>
            <w:shd w:val="clear" w:color="auto" w:fill="auto"/>
            <w:vAlign w:val="center"/>
            <w:hideMark/>
          </w:tcPr>
          <w:p w14:paraId="19B8F5F7"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2 548 </w:t>
            </w:r>
          </w:p>
        </w:tc>
      </w:tr>
      <w:tr w:rsidR="006D34EE" w:rsidRPr="00CC659A" w14:paraId="76003C9B" w14:textId="77777777" w:rsidTr="00477854">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69F9E8CF" w14:textId="77777777" w:rsidR="00CC659A" w:rsidRPr="00CC659A" w:rsidRDefault="00CC659A" w:rsidP="00CC659A">
            <w:pPr>
              <w:spacing w:after="0" w:line="240" w:lineRule="auto"/>
              <w:ind w:left="-108"/>
              <w:jc w:val="right"/>
              <w:rPr>
                <w:rFonts w:eastAsia="Times New Roman"/>
                <w:color w:val="000000"/>
                <w:sz w:val="16"/>
                <w:szCs w:val="16"/>
                <w:lang w:val="es-ES"/>
              </w:rPr>
            </w:pPr>
            <w:r w:rsidRPr="00CC659A">
              <w:rPr>
                <w:rFonts w:eastAsia="Times New Roman"/>
                <w:color w:val="000000"/>
                <w:sz w:val="16"/>
                <w:szCs w:val="16"/>
                <w:lang w:val="es-ES"/>
              </w:rPr>
              <w:t>30</w:t>
            </w:r>
          </w:p>
        </w:tc>
        <w:tc>
          <w:tcPr>
            <w:tcW w:w="920" w:type="pct"/>
            <w:tcBorders>
              <w:top w:val="nil"/>
              <w:left w:val="nil"/>
              <w:bottom w:val="nil"/>
              <w:right w:val="nil"/>
            </w:tcBorders>
            <w:shd w:val="clear" w:color="auto" w:fill="auto"/>
            <w:vAlign w:val="center"/>
            <w:hideMark/>
          </w:tcPr>
          <w:p w14:paraId="336544A3" w14:textId="4055B701"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Croa</w:t>
            </w:r>
            <w:r w:rsidR="00E97687">
              <w:rPr>
                <w:rFonts w:eastAsia="Times New Roman"/>
                <w:color w:val="000000"/>
                <w:sz w:val="16"/>
                <w:szCs w:val="16"/>
                <w:lang w:val="es-ES"/>
              </w:rPr>
              <w:t>cia</w:t>
            </w:r>
          </w:p>
        </w:tc>
        <w:tc>
          <w:tcPr>
            <w:tcW w:w="404" w:type="pct"/>
            <w:tcBorders>
              <w:top w:val="nil"/>
              <w:left w:val="nil"/>
              <w:bottom w:val="nil"/>
              <w:right w:val="nil"/>
            </w:tcBorders>
            <w:shd w:val="clear" w:color="auto" w:fill="auto"/>
            <w:vAlign w:val="center"/>
            <w:hideMark/>
          </w:tcPr>
          <w:p w14:paraId="4F06E938" w14:textId="77777777" w:rsidR="00CC659A" w:rsidRPr="00CC659A" w:rsidRDefault="00CC659A" w:rsidP="00CC659A">
            <w:pPr>
              <w:spacing w:after="0" w:line="240" w:lineRule="auto"/>
              <w:ind w:left="-108"/>
              <w:jc w:val="center"/>
              <w:rPr>
                <w:rFonts w:eastAsia="Times New Roman"/>
                <w:color w:val="000000"/>
                <w:sz w:val="16"/>
                <w:szCs w:val="16"/>
                <w:lang w:val="es-ES"/>
              </w:rPr>
            </w:pPr>
            <w:r w:rsidRPr="00CC659A">
              <w:rPr>
                <w:rFonts w:eastAsia="Times New Roman"/>
                <w:color w:val="000000"/>
                <w:sz w:val="16"/>
                <w:szCs w:val="16"/>
                <w:lang w:val="es-ES"/>
              </w:rPr>
              <w:t>0.091</w:t>
            </w:r>
          </w:p>
        </w:tc>
        <w:tc>
          <w:tcPr>
            <w:tcW w:w="420" w:type="pct"/>
            <w:tcBorders>
              <w:top w:val="nil"/>
              <w:left w:val="nil"/>
              <w:bottom w:val="nil"/>
              <w:right w:val="single" w:sz="8" w:space="0" w:color="808080"/>
            </w:tcBorders>
            <w:shd w:val="clear" w:color="auto" w:fill="auto"/>
            <w:vAlign w:val="center"/>
            <w:hideMark/>
          </w:tcPr>
          <w:p w14:paraId="572DF889" w14:textId="77777777" w:rsidR="00CC659A" w:rsidRPr="00CC659A" w:rsidRDefault="00CC659A" w:rsidP="00CC659A">
            <w:pPr>
              <w:spacing w:after="0" w:line="240" w:lineRule="auto"/>
              <w:ind w:left="-108"/>
              <w:jc w:val="right"/>
              <w:rPr>
                <w:rFonts w:eastAsia="Times New Roman" w:cs="Arial"/>
                <w:color w:val="000000"/>
                <w:sz w:val="16"/>
                <w:szCs w:val="16"/>
                <w:lang w:val="es-ES"/>
              </w:rPr>
            </w:pPr>
            <w:r w:rsidRPr="00CC659A">
              <w:rPr>
                <w:rFonts w:eastAsia="Times New Roman" w:cs="Arial"/>
                <w:color w:val="000000"/>
                <w:sz w:val="16"/>
                <w:szCs w:val="16"/>
                <w:lang w:val="es-ES"/>
              </w:rPr>
              <w:t xml:space="preserve">0.209 </w:t>
            </w:r>
          </w:p>
        </w:tc>
        <w:tc>
          <w:tcPr>
            <w:tcW w:w="444" w:type="pct"/>
            <w:tcBorders>
              <w:top w:val="nil"/>
              <w:left w:val="nil"/>
              <w:bottom w:val="nil"/>
              <w:right w:val="single" w:sz="4" w:space="0" w:color="808080"/>
            </w:tcBorders>
            <w:shd w:val="clear" w:color="auto" w:fill="auto"/>
            <w:vAlign w:val="center"/>
            <w:hideMark/>
          </w:tcPr>
          <w:p w14:paraId="19A48EE4"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18 327 </w:t>
            </w:r>
          </w:p>
        </w:tc>
        <w:tc>
          <w:tcPr>
            <w:tcW w:w="437" w:type="pct"/>
            <w:tcBorders>
              <w:top w:val="nil"/>
              <w:left w:val="nil"/>
              <w:bottom w:val="nil"/>
              <w:right w:val="single" w:sz="8" w:space="0" w:color="808080"/>
            </w:tcBorders>
            <w:shd w:val="clear" w:color="auto" w:fill="auto"/>
            <w:vAlign w:val="center"/>
            <w:hideMark/>
          </w:tcPr>
          <w:p w14:paraId="590A829D"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6 109 </w:t>
            </w:r>
          </w:p>
        </w:tc>
        <w:tc>
          <w:tcPr>
            <w:tcW w:w="444" w:type="pct"/>
            <w:tcBorders>
              <w:top w:val="nil"/>
              <w:left w:val="nil"/>
              <w:bottom w:val="nil"/>
              <w:right w:val="single" w:sz="4" w:space="0" w:color="808080"/>
            </w:tcBorders>
            <w:shd w:val="clear" w:color="auto" w:fill="auto"/>
            <w:vAlign w:val="center"/>
            <w:hideMark/>
          </w:tcPr>
          <w:p w14:paraId="0341AD50"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20 445 </w:t>
            </w:r>
          </w:p>
        </w:tc>
        <w:tc>
          <w:tcPr>
            <w:tcW w:w="437" w:type="pct"/>
            <w:tcBorders>
              <w:top w:val="nil"/>
              <w:left w:val="nil"/>
              <w:bottom w:val="nil"/>
              <w:right w:val="single" w:sz="8" w:space="0" w:color="808080"/>
            </w:tcBorders>
            <w:shd w:val="clear" w:color="auto" w:fill="auto"/>
            <w:vAlign w:val="center"/>
            <w:hideMark/>
          </w:tcPr>
          <w:p w14:paraId="09A2753C"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6 815 </w:t>
            </w:r>
          </w:p>
        </w:tc>
        <w:tc>
          <w:tcPr>
            <w:tcW w:w="444" w:type="pct"/>
            <w:tcBorders>
              <w:top w:val="nil"/>
              <w:left w:val="nil"/>
              <w:bottom w:val="nil"/>
              <w:right w:val="single" w:sz="4" w:space="0" w:color="808080"/>
            </w:tcBorders>
            <w:shd w:val="clear" w:color="auto" w:fill="auto"/>
            <w:vAlign w:val="center"/>
            <w:hideMark/>
          </w:tcPr>
          <w:p w14:paraId="387847DB"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23 939 </w:t>
            </w:r>
          </w:p>
        </w:tc>
        <w:tc>
          <w:tcPr>
            <w:tcW w:w="437" w:type="pct"/>
            <w:tcBorders>
              <w:top w:val="nil"/>
              <w:left w:val="nil"/>
              <w:bottom w:val="nil"/>
              <w:right w:val="single" w:sz="8" w:space="0" w:color="808080"/>
            </w:tcBorders>
            <w:shd w:val="clear" w:color="auto" w:fill="auto"/>
            <w:vAlign w:val="center"/>
            <w:hideMark/>
          </w:tcPr>
          <w:p w14:paraId="79696AD9"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7 980 </w:t>
            </w:r>
          </w:p>
        </w:tc>
        <w:tc>
          <w:tcPr>
            <w:tcW w:w="444" w:type="pct"/>
            <w:tcBorders>
              <w:top w:val="nil"/>
              <w:left w:val="single" w:sz="4" w:space="0" w:color="808080"/>
              <w:bottom w:val="nil"/>
              <w:right w:val="single" w:sz="8" w:space="0" w:color="808080"/>
            </w:tcBorders>
            <w:shd w:val="clear" w:color="auto" w:fill="auto"/>
            <w:vAlign w:val="center"/>
            <w:hideMark/>
          </w:tcPr>
          <w:p w14:paraId="5C34F0A1"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15 089 </w:t>
            </w:r>
          </w:p>
        </w:tc>
      </w:tr>
      <w:tr w:rsidR="006D34EE" w:rsidRPr="00CC659A" w14:paraId="7F54B179" w14:textId="77777777" w:rsidTr="00477854">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02220AA3" w14:textId="77777777" w:rsidR="00CC659A" w:rsidRPr="00CC659A" w:rsidRDefault="00CC659A" w:rsidP="00CC659A">
            <w:pPr>
              <w:spacing w:after="0" w:line="240" w:lineRule="auto"/>
              <w:ind w:left="-108"/>
              <w:jc w:val="right"/>
              <w:rPr>
                <w:rFonts w:eastAsia="Times New Roman"/>
                <w:color w:val="000000"/>
                <w:sz w:val="16"/>
                <w:szCs w:val="16"/>
                <w:lang w:val="es-ES"/>
              </w:rPr>
            </w:pPr>
            <w:r w:rsidRPr="00CC659A">
              <w:rPr>
                <w:rFonts w:eastAsia="Times New Roman"/>
                <w:color w:val="000000"/>
                <w:sz w:val="16"/>
                <w:szCs w:val="16"/>
                <w:lang w:val="es-ES"/>
              </w:rPr>
              <w:t>31</w:t>
            </w:r>
          </w:p>
        </w:tc>
        <w:tc>
          <w:tcPr>
            <w:tcW w:w="920" w:type="pct"/>
            <w:tcBorders>
              <w:top w:val="nil"/>
              <w:left w:val="nil"/>
              <w:bottom w:val="nil"/>
              <w:right w:val="nil"/>
            </w:tcBorders>
            <w:shd w:val="clear" w:color="auto" w:fill="auto"/>
            <w:vAlign w:val="center"/>
            <w:hideMark/>
          </w:tcPr>
          <w:p w14:paraId="6EFEBA4C"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Cuba</w:t>
            </w:r>
          </w:p>
        </w:tc>
        <w:tc>
          <w:tcPr>
            <w:tcW w:w="404" w:type="pct"/>
            <w:tcBorders>
              <w:top w:val="nil"/>
              <w:left w:val="nil"/>
              <w:bottom w:val="nil"/>
              <w:right w:val="nil"/>
            </w:tcBorders>
            <w:shd w:val="clear" w:color="auto" w:fill="auto"/>
            <w:vAlign w:val="center"/>
            <w:hideMark/>
          </w:tcPr>
          <w:p w14:paraId="3D3DE076" w14:textId="77777777" w:rsidR="00CC659A" w:rsidRPr="00CC659A" w:rsidRDefault="00CC659A" w:rsidP="00CC659A">
            <w:pPr>
              <w:spacing w:after="0" w:line="240" w:lineRule="auto"/>
              <w:ind w:left="-108"/>
              <w:jc w:val="center"/>
              <w:rPr>
                <w:rFonts w:eastAsia="Times New Roman"/>
                <w:color w:val="000000"/>
                <w:sz w:val="16"/>
                <w:szCs w:val="16"/>
                <w:lang w:val="es-ES"/>
              </w:rPr>
            </w:pPr>
            <w:r w:rsidRPr="00CC659A">
              <w:rPr>
                <w:rFonts w:eastAsia="Times New Roman"/>
                <w:color w:val="000000"/>
                <w:sz w:val="16"/>
                <w:szCs w:val="16"/>
                <w:lang w:val="es-ES"/>
              </w:rPr>
              <w:t>0.095</w:t>
            </w:r>
          </w:p>
        </w:tc>
        <w:tc>
          <w:tcPr>
            <w:tcW w:w="420" w:type="pct"/>
            <w:tcBorders>
              <w:top w:val="nil"/>
              <w:left w:val="nil"/>
              <w:bottom w:val="nil"/>
              <w:right w:val="single" w:sz="8" w:space="0" w:color="808080"/>
            </w:tcBorders>
            <w:shd w:val="clear" w:color="auto" w:fill="auto"/>
            <w:vAlign w:val="center"/>
            <w:hideMark/>
          </w:tcPr>
          <w:p w14:paraId="09D8DA2C" w14:textId="77777777" w:rsidR="00CC659A" w:rsidRPr="00CC659A" w:rsidRDefault="00CC659A" w:rsidP="00CC659A">
            <w:pPr>
              <w:spacing w:after="0" w:line="240" w:lineRule="auto"/>
              <w:ind w:left="-108"/>
              <w:jc w:val="right"/>
              <w:rPr>
                <w:rFonts w:eastAsia="Times New Roman" w:cs="Arial"/>
                <w:color w:val="000000"/>
                <w:sz w:val="16"/>
                <w:szCs w:val="16"/>
                <w:lang w:val="es-ES"/>
              </w:rPr>
            </w:pPr>
            <w:r w:rsidRPr="00CC659A">
              <w:rPr>
                <w:rFonts w:eastAsia="Times New Roman" w:cs="Arial"/>
                <w:color w:val="000000"/>
                <w:sz w:val="16"/>
                <w:szCs w:val="16"/>
                <w:lang w:val="es-ES"/>
              </w:rPr>
              <w:t xml:space="preserve">0.219 </w:t>
            </w:r>
          </w:p>
        </w:tc>
        <w:tc>
          <w:tcPr>
            <w:tcW w:w="444" w:type="pct"/>
            <w:tcBorders>
              <w:top w:val="nil"/>
              <w:left w:val="nil"/>
              <w:bottom w:val="nil"/>
              <w:right w:val="single" w:sz="4" w:space="0" w:color="808080"/>
            </w:tcBorders>
            <w:shd w:val="clear" w:color="auto" w:fill="auto"/>
            <w:vAlign w:val="center"/>
            <w:hideMark/>
          </w:tcPr>
          <w:p w14:paraId="5F369283"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19 133 </w:t>
            </w:r>
          </w:p>
        </w:tc>
        <w:tc>
          <w:tcPr>
            <w:tcW w:w="437" w:type="pct"/>
            <w:tcBorders>
              <w:top w:val="nil"/>
              <w:left w:val="nil"/>
              <w:bottom w:val="nil"/>
              <w:right w:val="single" w:sz="8" w:space="0" w:color="808080"/>
            </w:tcBorders>
            <w:shd w:val="clear" w:color="auto" w:fill="auto"/>
            <w:vAlign w:val="center"/>
            <w:hideMark/>
          </w:tcPr>
          <w:p w14:paraId="4B9FA533"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6 378 </w:t>
            </w:r>
          </w:p>
        </w:tc>
        <w:tc>
          <w:tcPr>
            <w:tcW w:w="444" w:type="pct"/>
            <w:tcBorders>
              <w:top w:val="nil"/>
              <w:left w:val="nil"/>
              <w:bottom w:val="nil"/>
              <w:right w:val="single" w:sz="4" w:space="0" w:color="808080"/>
            </w:tcBorders>
            <w:shd w:val="clear" w:color="auto" w:fill="auto"/>
            <w:vAlign w:val="center"/>
            <w:hideMark/>
          </w:tcPr>
          <w:p w14:paraId="469167CC"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21 344 </w:t>
            </w:r>
          </w:p>
        </w:tc>
        <w:tc>
          <w:tcPr>
            <w:tcW w:w="437" w:type="pct"/>
            <w:tcBorders>
              <w:top w:val="nil"/>
              <w:left w:val="nil"/>
              <w:bottom w:val="nil"/>
              <w:right w:val="single" w:sz="8" w:space="0" w:color="808080"/>
            </w:tcBorders>
            <w:shd w:val="clear" w:color="auto" w:fill="auto"/>
            <w:vAlign w:val="center"/>
            <w:hideMark/>
          </w:tcPr>
          <w:p w14:paraId="5347E7E2"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7 115 </w:t>
            </w:r>
          </w:p>
        </w:tc>
        <w:tc>
          <w:tcPr>
            <w:tcW w:w="444" w:type="pct"/>
            <w:tcBorders>
              <w:top w:val="nil"/>
              <w:left w:val="nil"/>
              <w:bottom w:val="nil"/>
              <w:right w:val="single" w:sz="4" w:space="0" w:color="808080"/>
            </w:tcBorders>
            <w:shd w:val="clear" w:color="auto" w:fill="auto"/>
            <w:vAlign w:val="center"/>
            <w:hideMark/>
          </w:tcPr>
          <w:p w14:paraId="08979CBA"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24 991 </w:t>
            </w:r>
          </w:p>
        </w:tc>
        <w:tc>
          <w:tcPr>
            <w:tcW w:w="437" w:type="pct"/>
            <w:tcBorders>
              <w:top w:val="nil"/>
              <w:left w:val="nil"/>
              <w:bottom w:val="nil"/>
              <w:right w:val="single" w:sz="8" w:space="0" w:color="808080"/>
            </w:tcBorders>
            <w:shd w:val="clear" w:color="auto" w:fill="auto"/>
            <w:vAlign w:val="center"/>
            <w:hideMark/>
          </w:tcPr>
          <w:p w14:paraId="3B6433F5"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8 330 </w:t>
            </w:r>
          </w:p>
        </w:tc>
        <w:tc>
          <w:tcPr>
            <w:tcW w:w="444" w:type="pct"/>
            <w:tcBorders>
              <w:top w:val="nil"/>
              <w:left w:val="single" w:sz="4" w:space="0" w:color="808080"/>
              <w:bottom w:val="nil"/>
              <w:right w:val="single" w:sz="8" w:space="0" w:color="808080"/>
            </w:tcBorders>
            <w:shd w:val="clear" w:color="auto" w:fill="auto"/>
            <w:vAlign w:val="center"/>
            <w:hideMark/>
          </w:tcPr>
          <w:p w14:paraId="0E2A142D"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15 677 </w:t>
            </w:r>
          </w:p>
        </w:tc>
      </w:tr>
      <w:tr w:rsidR="006D34EE" w:rsidRPr="00CC659A" w14:paraId="36ABD519" w14:textId="77777777" w:rsidTr="00477854">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6F2978D3" w14:textId="77777777" w:rsidR="00CC659A" w:rsidRPr="00CC659A" w:rsidRDefault="00CC659A" w:rsidP="00CC659A">
            <w:pPr>
              <w:spacing w:after="0" w:line="240" w:lineRule="auto"/>
              <w:ind w:left="-108"/>
              <w:jc w:val="right"/>
              <w:rPr>
                <w:rFonts w:eastAsia="Times New Roman"/>
                <w:color w:val="000000"/>
                <w:sz w:val="16"/>
                <w:szCs w:val="16"/>
                <w:lang w:val="es-ES"/>
              </w:rPr>
            </w:pPr>
            <w:r w:rsidRPr="00CC659A">
              <w:rPr>
                <w:rFonts w:eastAsia="Times New Roman"/>
                <w:color w:val="000000"/>
                <w:sz w:val="16"/>
                <w:szCs w:val="16"/>
                <w:lang w:val="es-ES"/>
              </w:rPr>
              <w:t>32</w:t>
            </w:r>
          </w:p>
        </w:tc>
        <w:tc>
          <w:tcPr>
            <w:tcW w:w="920" w:type="pct"/>
            <w:tcBorders>
              <w:top w:val="nil"/>
              <w:left w:val="nil"/>
              <w:bottom w:val="nil"/>
              <w:right w:val="nil"/>
            </w:tcBorders>
            <w:shd w:val="clear" w:color="auto" w:fill="auto"/>
            <w:vAlign w:val="center"/>
            <w:hideMark/>
          </w:tcPr>
          <w:p w14:paraId="250D18E3" w14:textId="1E17AB96" w:rsidR="00CC659A" w:rsidRPr="00CC659A" w:rsidRDefault="00E97687"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Chipre</w:t>
            </w:r>
          </w:p>
        </w:tc>
        <w:tc>
          <w:tcPr>
            <w:tcW w:w="404" w:type="pct"/>
            <w:tcBorders>
              <w:top w:val="nil"/>
              <w:left w:val="nil"/>
              <w:bottom w:val="nil"/>
              <w:right w:val="nil"/>
            </w:tcBorders>
            <w:shd w:val="clear" w:color="auto" w:fill="auto"/>
            <w:vAlign w:val="center"/>
            <w:hideMark/>
          </w:tcPr>
          <w:p w14:paraId="0280750A" w14:textId="77777777" w:rsidR="00CC659A" w:rsidRPr="00CC659A" w:rsidRDefault="00CC659A" w:rsidP="00CC659A">
            <w:pPr>
              <w:spacing w:after="0" w:line="240" w:lineRule="auto"/>
              <w:ind w:left="-108"/>
              <w:jc w:val="center"/>
              <w:rPr>
                <w:rFonts w:eastAsia="Times New Roman"/>
                <w:color w:val="000000"/>
                <w:sz w:val="16"/>
                <w:szCs w:val="16"/>
                <w:lang w:val="es-ES"/>
              </w:rPr>
            </w:pPr>
            <w:r w:rsidRPr="00CC659A">
              <w:rPr>
                <w:rFonts w:eastAsia="Times New Roman"/>
                <w:color w:val="000000"/>
                <w:sz w:val="16"/>
                <w:szCs w:val="16"/>
                <w:lang w:val="es-ES"/>
              </w:rPr>
              <w:t>0.036</w:t>
            </w:r>
          </w:p>
        </w:tc>
        <w:tc>
          <w:tcPr>
            <w:tcW w:w="420" w:type="pct"/>
            <w:tcBorders>
              <w:top w:val="nil"/>
              <w:left w:val="nil"/>
              <w:bottom w:val="nil"/>
              <w:right w:val="single" w:sz="8" w:space="0" w:color="808080"/>
            </w:tcBorders>
            <w:shd w:val="clear" w:color="auto" w:fill="auto"/>
            <w:vAlign w:val="center"/>
            <w:hideMark/>
          </w:tcPr>
          <w:p w14:paraId="1516B96E" w14:textId="77777777" w:rsidR="00CC659A" w:rsidRPr="00CC659A" w:rsidRDefault="00CC659A" w:rsidP="00CC659A">
            <w:pPr>
              <w:spacing w:after="0" w:line="240" w:lineRule="auto"/>
              <w:ind w:left="-108"/>
              <w:jc w:val="right"/>
              <w:rPr>
                <w:rFonts w:eastAsia="Times New Roman" w:cs="Arial"/>
                <w:color w:val="000000"/>
                <w:sz w:val="16"/>
                <w:szCs w:val="16"/>
                <w:lang w:val="es-ES"/>
              </w:rPr>
            </w:pPr>
            <w:r w:rsidRPr="00CC659A">
              <w:rPr>
                <w:rFonts w:eastAsia="Times New Roman" w:cs="Arial"/>
                <w:color w:val="000000"/>
                <w:sz w:val="16"/>
                <w:szCs w:val="16"/>
                <w:lang w:val="es-ES"/>
              </w:rPr>
              <w:t xml:space="preserve">0.083 </w:t>
            </w:r>
          </w:p>
        </w:tc>
        <w:tc>
          <w:tcPr>
            <w:tcW w:w="444" w:type="pct"/>
            <w:tcBorders>
              <w:top w:val="nil"/>
              <w:left w:val="nil"/>
              <w:bottom w:val="nil"/>
              <w:right w:val="single" w:sz="4" w:space="0" w:color="808080"/>
            </w:tcBorders>
            <w:shd w:val="clear" w:color="auto" w:fill="auto"/>
            <w:vAlign w:val="center"/>
            <w:hideMark/>
          </w:tcPr>
          <w:p w14:paraId="23D47EAA"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7 250 </w:t>
            </w:r>
          </w:p>
        </w:tc>
        <w:tc>
          <w:tcPr>
            <w:tcW w:w="437" w:type="pct"/>
            <w:tcBorders>
              <w:top w:val="nil"/>
              <w:left w:val="nil"/>
              <w:bottom w:val="nil"/>
              <w:right w:val="single" w:sz="8" w:space="0" w:color="808080"/>
            </w:tcBorders>
            <w:shd w:val="clear" w:color="auto" w:fill="auto"/>
            <w:vAlign w:val="center"/>
            <w:hideMark/>
          </w:tcPr>
          <w:p w14:paraId="2A0C181A"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2 417 </w:t>
            </w:r>
          </w:p>
        </w:tc>
        <w:tc>
          <w:tcPr>
            <w:tcW w:w="444" w:type="pct"/>
            <w:tcBorders>
              <w:top w:val="nil"/>
              <w:left w:val="nil"/>
              <w:bottom w:val="nil"/>
              <w:right w:val="single" w:sz="4" w:space="0" w:color="808080"/>
            </w:tcBorders>
            <w:shd w:val="clear" w:color="auto" w:fill="auto"/>
            <w:vAlign w:val="center"/>
            <w:hideMark/>
          </w:tcPr>
          <w:p w14:paraId="2D0556D8"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8 088 </w:t>
            </w:r>
          </w:p>
        </w:tc>
        <w:tc>
          <w:tcPr>
            <w:tcW w:w="437" w:type="pct"/>
            <w:tcBorders>
              <w:top w:val="nil"/>
              <w:left w:val="nil"/>
              <w:bottom w:val="nil"/>
              <w:right w:val="single" w:sz="8" w:space="0" w:color="808080"/>
            </w:tcBorders>
            <w:shd w:val="clear" w:color="auto" w:fill="auto"/>
            <w:vAlign w:val="center"/>
            <w:hideMark/>
          </w:tcPr>
          <w:p w14:paraId="40E15531"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2 696 </w:t>
            </w:r>
          </w:p>
        </w:tc>
        <w:tc>
          <w:tcPr>
            <w:tcW w:w="444" w:type="pct"/>
            <w:tcBorders>
              <w:top w:val="nil"/>
              <w:left w:val="nil"/>
              <w:bottom w:val="nil"/>
              <w:right w:val="single" w:sz="4" w:space="0" w:color="808080"/>
            </w:tcBorders>
            <w:shd w:val="clear" w:color="auto" w:fill="auto"/>
            <w:vAlign w:val="center"/>
            <w:hideMark/>
          </w:tcPr>
          <w:p w14:paraId="1F8DFF89"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9 470 </w:t>
            </w:r>
          </w:p>
        </w:tc>
        <w:tc>
          <w:tcPr>
            <w:tcW w:w="437" w:type="pct"/>
            <w:tcBorders>
              <w:top w:val="nil"/>
              <w:left w:val="nil"/>
              <w:bottom w:val="nil"/>
              <w:right w:val="single" w:sz="8" w:space="0" w:color="808080"/>
            </w:tcBorders>
            <w:shd w:val="clear" w:color="auto" w:fill="auto"/>
            <w:vAlign w:val="center"/>
            <w:hideMark/>
          </w:tcPr>
          <w:p w14:paraId="2590F03B"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3 157 </w:t>
            </w:r>
          </w:p>
        </w:tc>
        <w:tc>
          <w:tcPr>
            <w:tcW w:w="444" w:type="pct"/>
            <w:tcBorders>
              <w:top w:val="nil"/>
              <w:left w:val="single" w:sz="4" w:space="0" w:color="808080"/>
              <w:bottom w:val="nil"/>
              <w:right w:val="single" w:sz="8" w:space="0" w:color="808080"/>
            </w:tcBorders>
            <w:shd w:val="clear" w:color="auto" w:fill="auto"/>
            <w:vAlign w:val="center"/>
            <w:hideMark/>
          </w:tcPr>
          <w:p w14:paraId="445CC985"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7 054 </w:t>
            </w:r>
          </w:p>
        </w:tc>
      </w:tr>
      <w:tr w:rsidR="006D34EE" w:rsidRPr="00CC659A" w14:paraId="778EC871" w14:textId="77777777" w:rsidTr="00477854">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791AFB7E" w14:textId="77777777" w:rsidR="00CC659A" w:rsidRPr="00CC659A" w:rsidRDefault="00CC659A" w:rsidP="00CC659A">
            <w:pPr>
              <w:spacing w:after="0" w:line="240" w:lineRule="auto"/>
              <w:ind w:left="-108"/>
              <w:jc w:val="right"/>
              <w:rPr>
                <w:rFonts w:eastAsia="Times New Roman"/>
                <w:color w:val="000000"/>
                <w:sz w:val="16"/>
                <w:szCs w:val="16"/>
                <w:lang w:val="es-ES"/>
              </w:rPr>
            </w:pPr>
            <w:r w:rsidRPr="00CC659A">
              <w:rPr>
                <w:rFonts w:eastAsia="Times New Roman"/>
                <w:color w:val="000000"/>
                <w:sz w:val="16"/>
                <w:szCs w:val="16"/>
                <w:lang w:val="es-ES"/>
              </w:rPr>
              <w:t>33</w:t>
            </w:r>
          </w:p>
        </w:tc>
        <w:tc>
          <w:tcPr>
            <w:tcW w:w="920" w:type="pct"/>
            <w:tcBorders>
              <w:top w:val="nil"/>
              <w:left w:val="nil"/>
              <w:bottom w:val="nil"/>
              <w:right w:val="nil"/>
            </w:tcBorders>
            <w:shd w:val="clear" w:color="auto" w:fill="auto"/>
            <w:vAlign w:val="center"/>
            <w:hideMark/>
          </w:tcPr>
          <w:p w14:paraId="1B2F01B1" w14:textId="6340D126" w:rsidR="00CC659A" w:rsidRPr="00CC659A" w:rsidRDefault="00152AEC" w:rsidP="00CC659A">
            <w:pPr>
              <w:spacing w:after="0" w:line="240" w:lineRule="auto"/>
              <w:ind w:left="-108"/>
              <w:rPr>
                <w:rFonts w:eastAsia="Times New Roman"/>
                <w:color w:val="000000"/>
                <w:sz w:val="16"/>
                <w:szCs w:val="16"/>
                <w:lang w:val="es-ES"/>
              </w:rPr>
            </w:pPr>
            <w:r>
              <w:rPr>
                <w:rFonts w:eastAsia="Times New Roman"/>
                <w:color w:val="000000"/>
                <w:sz w:val="16"/>
                <w:szCs w:val="16"/>
                <w:lang w:val="es-ES"/>
              </w:rPr>
              <w:t>Ch</w:t>
            </w:r>
            <w:r w:rsidR="00D75212">
              <w:rPr>
                <w:rFonts w:eastAsia="Times New Roman"/>
                <w:color w:val="000000"/>
                <w:sz w:val="16"/>
                <w:szCs w:val="16"/>
                <w:lang w:val="es-ES"/>
              </w:rPr>
              <w:t>equia</w:t>
            </w:r>
          </w:p>
        </w:tc>
        <w:tc>
          <w:tcPr>
            <w:tcW w:w="404" w:type="pct"/>
            <w:tcBorders>
              <w:top w:val="nil"/>
              <w:left w:val="nil"/>
              <w:bottom w:val="nil"/>
              <w:right w:val="nil"/>
            </w:tcBorders>
            <w:shd w:val="clear" w:color="auto" w:fill="auto"/>
            <w:vAlign w:val="center"/>
            <w:hideMark/>
          </w:tcPr>
          <w:p w14:paraId="7560B2F2" w14:textId="77777777" w:rsidR="00CC659A" w:rsidRPr="00CC659A" w:rsidRDefault="00CC659A" w:rsidP="00CC659A">
            <w:pPr>
              <w:spacing w:after="0" w:line="240" w:lineRule="auto"/>
              <w:ind w:left="-108"/>
              <w:jc w:val="center"/>
              <w:rPr>
                <w:rFonts w:eastAsia="Times New Roman"/>
                <w:color w:val="000000"/>
                <w:sz w:val="16"/>
                <w:szCs w:val="16"/>
                <w:lang w:val="es-ES"/>
              </w:rPr>
            </w:pPr>
            <w:r w:rsidRPr="00CC659A">
              <w:rPr>
                <w:rFonts w:eastAsia="Times New Roman"/>
                <w:color w:val="000000"/>
                <w:sz w:val="16"/>
                <w:szCs w:val="16"/>
                <w:lang w:val="es-ES"/>
              </w:rPr>
              <w:t>0.34</w:t>
            </w:r>
          </w:p>
        </w:tc>
        <w:tc>
          <w:tcPr>
            <w:tcW w:w="420" w:type="pct"/>
            <w:tcBorders>
              <w:top w:val="nil"/>
              <w:left w:val="nil"/>
              <w:bottom w:val="nil"/>
              <w:right w:val="single" w:sz="8" w:space="0" w:color="808080"/>
            </w:tcBorders>
            <w:shd w:val="clear" w:color="auto" w:fill="auto"/>
            <w:vAlign w:val="center"/>
            <w:hideMark/>
          </w:tcPr>
          <w:p w14:paraId="19BDF157" w14:textId="77777777" w:rsidR="00CC659A" w:rsidRPr="00CC659A" w:rsidRDefault="00CC659A" w:rsidP="00CC659A">
            <w:pPr>
              <w:spacing w:after="0" w:line="240" w:lineRule="auto"/>
              <w:ind w:left="-108"/>
              <w:jc w:val="right"/>
              <w:rPr>
                <w:rFonts w:eastAsia="Times New Roman" w:cs="Arial"/>
                <w:color w:val="000000"/>
                <w:sz w:val="16"/>
                <w:szCs w:val="16"/>
                <w:lang w:val="es-ES"/>
              </w:rPr>
            </w:pPr>
            <w:r w:rsidRPr="00CC659A">
              <w:rPr>
                <w:rFonts w:eastAsia="Times New Roman" w:cs="Arial"/>
                <w:color w:val="000000"/>
                <w:sz w:val="16"/>
                <w:szCs w:val="16"/>
                <w:lang w:val="es-ES"/>
              </w:rPr>
              <w:t xml:space="preserve">0.782 </w:t>
            </w:r>
          </w:p>
        </w:tc>
        <w:tc>
          <w:tcPr>
            <w:tcW w:w="444" w:type="pct"/>
            <w:tcBorders>
              <w:top w:val="nil"/>
              <w:left w:val="nil"/>
              <w:bottom w:val="nil"/>
              <w:right w:val="single" w:sz="4" w:space="0" w:color="808080"/>
            </w:tcBorders>
            <w:shd w:val="clear" w:color="auto" w:fill="auto"/>
            <w:vAlign w:val="center"/>
            <w:hideMark/>
          </w:tcPr>
          <w:p w14:paraId="26E06129"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68 476 </w:t>
            </w:r>
          </w:p>
        </w:tc>
        <w:tc>
          <w:tcPr>
            <w:tcW w:w="437" w:type="pct"/>
            <w:tcBorders>
              <w:top w:val="nil"/>
              <w:left w:val="nil"/>
              <w:bottom w:val="nil"/>
              <w:right w:val="single" w:sz="8" w:space="0" w:color="808080"/>
            </w:tcBorders>
            <w:shd w:val="clear" w:color="auto" w:fill="auto"/>
            <w:vAlign w:val="center"/>
            <w:hideMark/>
          </w:tcPr>
          <w:p w14:paraId="08FC3179"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22 825 </w:t>
            </w:r>
          </w:p>
        </w:tc>
        <w:tc>
          <w:tcPr>
            <w:tcW w:w="444" w:type="pct"/>
            <w:tcBorders>
              <w:top w:val="nil"/>
              <w:left w:val="nil"/>
              <w:bottom w:val="nil"/>
              <w:right w:val="single" w:sz="4" w:space="0" w:color="808080"/>
            </w:tcBorders>
            <w:shd w:val="clear" w:color="auto" w:fill="auto"/>
            <w:vAlign w:val="center"/>
            <w:hideMark/>
          </w:tcPr>
          <w:p w14:paraId="4E029EB0"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76 389 </w:t>
            </w:r>
          </w:p>
        </w:tc>
        <w:tc>
          <w:tcPr>
            <w:tcW w:w="437" w:type="pct"/>
            <w:tcBorders>
              <w:top w:val="nil"/>
              <w:left w:val="nil"/>
              <w:bottom w:val="nil"/>
              <w:right w:val="single" w:sz="8" w:space="0" w:color="808080"/>
            </w:tcBorders>
            <w:shd w:val="clear" w:color="auto" w:fill="auto"/>
            <w:vAlign w:val="center"/>
            <w:hideMark/>
          </w:tcPr>
          <w:p w14:paraId="558E9476"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25 463 </w:t>
            </w:r>
          </w:p>
        </w:tc>
        <w:tc>
          <w:tcPr>
            <w:tcW w:w="444" w:type="pct"/>
            <w:tcBorders>
              <w:top w:val="nil"/>
              <w:left w:val="nil"/>
              <w:bottom w:val="nil"/>
              <w:right w:val="single" w:sz="4" w:space="0" w:color="808080"/>
            </w:tcBorders>
            <w:shd w:val="clear" w:color="auto" w:fill="auto"/>
            <w:vAlign w:val="center"/>
            <w:hideMark/>
          </w:tcPr>
          <w:p w14:paraId="59E25A7E"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89 442 </w:t>
            </w:r>
          </w:p>
        </w:tc>
        <w:tc>
          <w:tcPr>
            <w:tcW w:w="437" w:type="pct"/>
            <w:tcBorders>
              <w:top w:val="nil"/>
              <w:left w:val="nil"/>
              <w:bottom w:val="nil"/>
              <w:right w:val="single" w:sz="8" w:space="0" w:color="808080"/>
            </w:tcBorders>
            <w:shd w:val="clear" w:color="auto" w:fill="auto"/>
            <w:vAlign w:val="center"/>
            <w:hideMark/>
          </w:tcPr>
          <w:p w14:paraId="5BB675A1"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29 814 </w:t>
            </w:r>
          </w:p>
        </w:tc>
        <w:tc>
          <w:tcPr>
            <w:tcW w:w="444" w:type="pct"/>
            <w:tcBorders>
              <w:top w:val="nil"/>
              <w:left w:val="single" w:sz="4" w:space="0" w:color="808080"/>
              <w:bottom w:val="nil"/>
              <w:right w:val="single" w:sz="8" w:space="0" w:color="808080"/>
            </w:tcBorders>
            <w:shd w:val="clear" w:color="auto" w:fill="auto"/>
            <w:vAlign w:val="center"/>
            <w:hideMark/>
          </w:tcPr>
          <w:p w14:paraId="01CB83E0"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60 943 </w:t>
            </w:r>
          </w:p>
        </w:tc>
      </w:tr>
      <w:tr w:rsidR="006D34EE" w:rsidRPr="00CC659A" w14:paraId="0D68CE7F" w14:textId="77777777" w:rsidTr="00477854">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3BAC8D5E" w14:textId="77777777" w:rsidR="00CC659A" w:rsidRPr="00CC659A" w:rsidRDefault="00CC659A" w:rsidP="00CC659A">
            <w:pPr>
              <w:spacing w:after="0" w:line="240" w:lineRule="auto"/>
              <w:ind w:left="-108"/>
              <w:jc w:val="right"/>
              <w:rPr>
                <w:rFonts w:eastAsia="Times New Roman"/>
                <w:color w:val="000000"/>
                <w:sz w:val="16"/>
                <w:szCs w:val="16"/>
                <w:lang w:val="es-ES"/>
              </w:rPr>
            </w:pPr>
            <w:r w:rsidRPr="00CC659A">
              <w:rPr>
                <w:rFonts w:eastAsia="Times New Roman"/>
                <w:color w:val="000000"/>
                <w:sz w:val="16"/>
                <w:szCs w:val="16"/>
                <w:lang w:val="es-ES"/>
              </w:rPr>
              <w:t>34</w:t>
            </w:r>
          </w:p>
        </w:tc>
        <w:tc>
          <w:tcPr>
            <w:tcW w:w="920" w:type="pct"/>
            <w:tcBorders>
              <w:top w:val="nil"/>
              <w:left w:val="nil"/>
              <w:bottom w:val="nil"/>
              <w:right w:val="nil"/>
            </w:tcBorders>
            <w:shd w:val="clear" w:color="auto" w:fill="auto"/>
            <w:vAlign w:val="center"/>
            <w:hideMark/>
          </w:tcPr>
          <w:p w14:paraId="65B8125B" w14:textId="3A641DE9"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Rep</w:t>
            </w:r>
            <w:r w:rsidR="00434468">
              <w:rPr>
                <w:rFonts w:eastAsia="Times New Roman"/>
                <w:color w:val="000000"/>
                <w:sz w:val="16"/>
                <w:szCs w:val="16"/>
                <w:lang w:val="es-ES"/>
              </w:rPr>
              <w:t>úb</w:t>
            </w:r>
            <w:r w:rsidR="004130A9">
              <w:rPr>
                <w:rFonts w:eastAsia="Times New Roman"/>
                <w:color w:val="000000"/>
                <w:sz w:val="16"/>
                <w:szCs w:val="16"/>
                <w:lang w:val="es-ES"/>
              </w:rPr>
              <w:t>lica</w:t>
            </w:r>
            <w:r w:rsidR="00002B5E">
              <w:rPr>
                <w:rFonts w:eastAsia="Times New Roman"/>
                <w:color w:val="000000"/>
                <w:sz w:val="16"/>
                <w:szCs w:val="16"/>
                <w:lang w:val="es-ES"/>
              </w:rPr>
              <w:t xml:space="preserve"> </w:t>
            </w:r>
            <w:r w:rsidR="00434468">
              <w:rPr>
                <w:rFonts w:eastAsia="Times New Roman"/>
                <w:color w:val="000000"/>
                <w:sz w:val="16"/>
                <w:szCs w:val="16"/>
                <w:lang w:val="es-ES"/>
              </w:rPr>
              <w:t>De</w:t>
            </w:r>
            <w:r w:rsidR="00D75212">
              <w:rPr>
                <w:rFonts w:eastAsia="Times New Roman"/>
                <w:color w:val="000000"/>
                <w:sz w:val="16"/>
                <w:szCs w:val="16"/>
                <w:lang w:val="es-ES"/>
              </w:rPr>
              <w:t xml:space="preserve">mocrática del </w:t>
            </w:r>
            <w:r w:rsidRPr="00CC659A">
              <w:rPr>
                <w:rFonts w:eastAsia="Times New Roman"/>
                <w:color w:val="000000"/>
                <w:sz w:val="16"/>
                <w:szCs w:val="16"/>
                <w:lang w:val="es-ES"/>
              </w:rPr>
              <w:t>Congo</w:t>
            </w:r>
          </w:p>
        </w:tc>
        <w:tc>
          <w:tcPr>
            <w:tcW w:w="404" w:type="pct"/>
            <w:tcBorders>
              <w:top w:val="nil"/>
              <w:left w:val="nil"/>
              <w:bottom w:val="nil"/>
              <w:right w:val="nil"/>
            </w:tcBorders>
            <w:shd w:val="clear" w:color="auto" w:fill="auto"/>
            <w:vAlign w:val="center"/>
            <w:hideMark/>
          </w:tcPr>
          <w:p w14:paraId="61A52AA3" w14:textId="77777777" w:rsidR="00CC659A" w:rsidRPr="00CC659A" w:rsidRDefault="00CC659A" w:rsidP="00CC659A">
            <w:pPr>
              <w:spacing w:after="0" w:line="240" w:lineRule="auto"/>
              <w:ind w:left="-108"/>
              <w:jc w:val="center"/>
              <w:rPr>
                <w:rFonts w:eastAsia="Times New Roman"/>
                <w:color w:val="000000"/>
                <w:sz w:val="16"/>
                <w:szCs w:val="16"/>
                <w:lang w:val="es-ES"/>
              </w:rPr>
            </w:pPr>
            <w:r w:rsidRPr="00CC659A">
              <w:rPr>
                <w:rFonts w:eastAsia="Times New Roman"/>
                <w:color w:val="000000"/>
                <w:sz w:val="16"/>
                <w:szCs w:val="16"/>
                <w:lang w:val="es-ES"/>
              </w:rPr>
              <w:t>0.01</w:t>
            </w:r>
          </w:p>
        </w:tc>
        <w:tc>
          <w:tcPr>
            <w:tcW w:w="420" w:type="pct"/>
            <w:tcBorders>
              <w:top w:val="nil"/>
              <w:left w:val="nil"/>
              <w:bottom w:val="nil"/>
              <w:right w:val="single" w:sz="8" w:space="0" w:color="808080"/>
            </w:tcBorders>
            <w:shd w:val="clear" w:color="auto" w:fill="auto"/>
            <w:vAlign w:val="center"/>
            <w:hideMark/>
          </w:tcPr>
          <w:p w14:paraId="1861998A" w14:textId="77777777" w:rsidR="00CC659A" w:rsidRPr="00CC659A" w:rsidRDefault="00CC659A" w:rsidP="00CC659A">
            <w:pPr>
              <w:spacing w:after="0" w:line="240" w:lineRule="auto"/>
              <w:ind w:left="-108"/>
              <w:jc w:val="right"/>
              <w:rPr>
                <w:rFonts w:eastAsia="Times New Roman" w:cs="Arial"/>
                <w:color w:val="000000"/>
                <w:sz w:val="16"/>
                <w:szCs w:val="16"/>
                <w:lang w:val="es-ES"/>
              </w:rPr>
            </w:pPr>
            <w:r w:rsidRPr="00CC659A">
              <w:rPr>
                <w:rFonts w:eastAsia="Times New Roman" w:cs="Arial"/>
                <w:color w:val="000000"/>
                <w:sz w:val="16"/>
                <w:szCs w:val="16"/>
                <w:lang w:val="es-ES"/>
              </w:rPr>
              <w:t xml:space="preserve">0.023 </w:t>
            </w:r>
          </w:p>
        </w:tc>
        <w:tc>
          <w:tcPr>
            <w:tcW w:w="444" w:type="pct"/>
            <w:tcBorders>
              <w:top w:val="nil"/>
              <w:left w:val="nil"/>
              <w:bottom w:val="nil"/>
              <w:right w:val="single" w:sz="4" w:space="0" w:color="808080"/>
            </w:tcBorders>
            <w:shd w:val="clear" w:color="auto" w:fill="auto"/>
            <w:vAlign w:val="center"/>
            <w:hideMark/>
          </w:tcPr>
          <w:p w14:paraId="734C134E"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2 014 </w:t>
            </w:r>
          </w:p>
        </w:tc>
        <w:tc>
          <w:tcPr>
            <w:tcW w:w="437" w:type="pct"/>
            <w:tcBorders>
              <w:top w:val="nil"/>
              <w:left w:val="nil"/>
              <w:bottom w:val="nil"/>
              <w:right w:val="single" w:sz="8" w:space="0" w:color="808080"/>
            </w:tcBorders>
            <w:shd w:val="clear" w:color="auto" w:fill="auto"/>
            <w:vAlign w:val="center"/>
            <w:hideMark/>
          </w:tcPr>
          <w:p w14:paraId="488D7ED0"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671 </w:t>
            </w:r>
          </w:p>
        </w:tc>
        <w:tc>
          <w:tcPr>
            <w:tcW w:w="444" w:type="pct"/>
            <w:tcBorders>
              <w:top w:val="nil"/>
              <w:left w:val="nil"/>
              <w:bottom w:val="nil"/>
              <w:right w:val="single" w:sz="4" w:space="0" w:color="808080"/>
            </w:tcBorders>
            <w:shd w:val="clear" w:color="auto" w:fill="auto"/>
            <w:vAlign w:val="center"/>
            <w:hideMark/>
          </w:tcPr>
          <w:p w14:paraId="7746C58E"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2 247 </w:t>
            </w:r>
          </w:p>
        </w:tc>
        <w:tc>
          <w:tcPr>
            <w:tcW w:w="437" w:type="pct"/>
            <w:tcBorders>
              <w:top w:val="nil"/>
              <w:left w:val="nil"/>
              <w:bottom w:val="nil"/>
              <w:right w:val="single" w:sz="8" w:space="0" w:color="808080"/>
            </w:tcBorders>
            <w:shd w:val="clear" w:color="auto" w:fill="auto"/>
            <w:vAlign w:val="center"/>
            <w:hideMark/>
          </w:tcPr>
          <w:p w14:paraId="7115CA2D"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749 </w:t>
            </w:r>
          </w:p>
        </w:tc>
        <w:tc>
          <w:tcPr>
            <w:tcW w:w="444" w:type="pct"/>
            <w:tcBorders>
              <w:top w:val="nil"/>
              <w:left w:val="nil"/>
              <w:bottom w:val="nil"/>
              <w:right w:val="single" w:sz="4" w:space="0" w:color="808080"/>
            </w:tcBorders>
            <w:shd w:val="clear" w:color="auto" w:fill="auto"/>
            <w:vAlign w:val="center"/>
            <w:hideMark/>
          </w:tcPr>
          <w:p w14:paraId="6BFA0845"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2 631 </w:t>
            </w:r>
          </w:p>
        </w:tc>
        <w:tc>
          <w:tcPr>
            <w:tcW w:w="437" w:type="pct"/>
            <w:tcBorders>
              <w:top w:val="nil"/>
              <w:left w:val="nil"/>
              <w:bottom w:val="nil"/>
              <w:right w:val="single" w:sz="8" w:space="0" w:color="808080"/>
            </w:tcBorders>
            <w:shd w:val="clear" w:color="auto" w:fill="auto"/>
            <w:vAlign w:val="center"/>
            <w:hideMark/>
          </w:tcPr>
          <w:p w14:paraId="721C3CDE"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877 </w:t>
            </w:r>
          </w:p>
        </w:tc>
        <w:tc>
          <w:tcPr>
            <w:tcW w:w="444" w:type="pct"/>
            <w:tcBorders>
              <w:top w:val="nil"/>
              <w:left w:val="single" w:sz="4" w:space="0" w:color="808080"/>
              <w:bottom w:val="nil"/>
              <w:right w:val="single" w:sz="8" w:space="0" w:color="808080"/>
            </w:tcBorders>
            <w:shd w:val="clear" w:color="auto" w:fill="auto"/>
            <w:vAlign w:val="center"/>
            <w:hideMark/>
          </w:tcPr>
          <w:p w14:paraId="40580FF4"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1 960 </w:t>
            </w:r>
          </w:p>
        </w:tc>
      </w:tr>
      <w:tr w:rsidR="006D34EE" w:rsidRPr="00CC659A" w14:paraId="6CDD1E3F" w14:textId="77777777" w:rsidTr="00477854">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08C6A339" w14:textId="77777777" w:rsidR="00CC659A" w:rsidRPr="00CC659A" w:rsidRDefault="00CC659A" w:rsidP="00CC659A">
            <w:pPr>
              <w:spacing w:after="0" w:line="240" w:lineRule="auto"/>
              <w:ind w:left="-108"/>
              <w:jc w:val="right"/>
              <w:rPr>
                <w:rFonts w:eastAsia="Times New Roman"/>
                <w:color w:val="000000"/>
                <w:sz w:val="16"/>
                <w:szCs w:val="16"/>
                <w:lang w:val="es-ES"/>
              </w:rPr>
            </w:pPr>
            <w:r w:rsidRPr="00CC659A">
              <w:rPr>
                <w:rFonts w:eastAsia="Times New Roman"/>
                <w:color w:val="000000"/>
                <w:sz w:val="16"/>
                <w:szCs w:val="16"/>
                <w:lang w:val="es-ES"/>
              </w:rPr>
              <w:t>35</w:t>
            </w:r>
          </w:p>
        </w:tc>
        <w:tc>
          <w:tcPr>
            <w:tcW w:w="920" w:type="pct"/>
            <w:tcBorders>
              <w:top w:val="nil"/>
              <w:left w:val="nil"/>
              <w:bottom w:val="nil"/>
              <w:right w:val="nil"/>
            </w:tcBorders>
            <w:shd w:val="clear" w:color="auto" w:fill="auto"/>
            <w:vAlign w:val="center"/>
            <w:hideMark/>
          </w:tcPr>
          <w:p w14:paraId="47708751" w14:textId="24D33EF2"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D</w:t>
            </w:r>
            <w:r w:rsidR="00D75212">
              <w:rPr>
                <w:rFonts w:eastAsia="Times New Roman"/>
                <w:color w:val="000000"/>
                <w:sz w:val="16"/>
                <w:szCs w:val="16"/>
                <w:lang w:val="es-ES"/>
              </w:rPr>
              <w:t>inamarca</w:t>
            </w:r>
          </w:p>
        </w:tc>
        <w:tc>
          <w:tcPr>
            <w:tcW w:w="404" w:type="pct"/>
            <w:tcBorders>
              <w:top w:val="nil"/>
              <w:left w:val="nil"/>
              <w:bottom w:val="nil"/>
              <w:right w:val="nil"/>
            </w:tcBorders>
            <w:shd w:val="clear" w:color="auto" w:fill="auto"/>
            <w:vAlign w:val="center"/>
            <w:hideMark/>
          </w:tcPr>
          <w:p w14:paraId="4303FE73" w14:textId="77777777" w:rsidR="00CC659A" w:rsidRPr="00CC659A" w:rsidRDefault="00CC659A" w:rsidP="00CC659A">
            <w:pPr>
              <w:spacing w:after="0" w:line="240" w:lineRule="auto"/>
              <w:ind w:left="-108"/>
              <w:jc w:val="center"/>
              <w:rPr>
                <w:rFonts w:eastAsia="Times New Roman"/>
                <w:color w:val="000000"/>
                <w:sz w:val="16"/>
                <w:szCs w:val="16"/>
                <w:lang w:val="es-ES"/>
              </w:rPr>
            </w:pPr>
            <w:r w:rsidRPr="00CC659A">
              <w:rPr>
                <w:rFonts w:eastAsia="Times New Roman"/>
                <w:color w:val="000000"/>
                <w:sz w:val="16"/>
                <w:szCs w:val="16"/>
                <w:lang w:val="es-ES"/>
              </w:rPr>
              <w:t>0.553</w:t>
            </w:r>
          </w:p>
        </w:tc>
        <w:tc>
          <w:tcPr>
            <w:tcW w:w="420" w:type="pct"/>
            <w:tcBorders>
              <w:top w:val="nil"/>
              <w:left w:val="nil"/>
              <w:bottom w:val="nil"/>
              <w:right w:val="single" w:sz="8" w:space="0" w:color="808080"/>
            </w:tcBorders>
            <w:shd w:val="clear" w:color="auto" w:fill="auto"/>
            <w:vAlign w:val="center"/>
            <w:hideMark/>
          </w:tcPr>
          <w:p w14:paraId="0B455B52" w14:textId="77777777" w:rsidR="00CC659A" w:rsidRPr="00CC659A" w:rsidRDefault="00CC659A" w:rsidP="00CC659A">
            <w:pPr>
              <w:spacing w:after="0" w:line="240" w:lineRule="auto"/>
              <w:ind w:left="-108"/>
              <w:jc w:val="right"/>
              <w:rPr>
                <w:rFonts w:eastAsia="Times New Roman" w:cs="Arial"/>
                <w:color w:val="000000"/>
                <w:sz w:val="16"/>
                <w:szCs w:val="16"/>
                <w:lang w:val="es-ES"/>
              </w:rPr>
            </w:pPr>
            <w:r w:rsidRPr="00CC659A">
              <w:rPr>
                <w:rFonts w:eastAsia="Times New Roman" w:cs="Arial"/>
                <w:color w:val="000000"/>
                <w:sz w:val="16"/>
                <w:szCs w:val="16"/>
                <w:lang w:val="es-ES"/>
              </w:rPr>
              <w:t xml:space="preserve">1.273 </w:t>
            </w:r>
          </w:p>
        </w:tc>
        <w:tc>
          <w:tcPr>
            <w:tcW w:w="444" w:type="pct"/>
            <w:tcBorders>
              <w:top w:val="nil"/>
              <w:left w:val="nil"/>
              <w:bottom w:val="nil"/>
              <w:right w:val="single" w:sz="4" w:space="0" w:color="808080"/>
            </w:tcBorders>
            <w:shd w:val="clear" w:color="auto" w:fill="auto"/>
            <w:vAlign w:val="center"/>
            <w:hideMark/>
          </w:tcPr>
          <w:p w14:paraId="7ECD0E96"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111 375 </w:t>
            </w:r>
          </w:p>
        </w:tc>
        <w:tc>
          <w:tcPr>
            <w:tcW w:w="437" w:type="pct"/>
            <w:tcBorders>
              <w:top w:val="nil"/>
              <w:left w:val="nil"/>
              <w:bottom w:val="nil"/>
              <w:right w:val="single" w:sz="8" w:space="0" w:color="808080"/>
            </w:tcBorders>
            <w:shd w:val="clear" w:color="auto" w:fill="auto"/>
            <w:vAlign w:val="center"/>
            <w:hideMark/>
          </w:tcPr>
          <w:p w14:paraId="1BB57A5E"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37 125 </w:t>
            </w:r>
          </w:p>
        </w:tc>
        <w:tc>
          <w:tcPr>
            <w:tcW w:w="444" w:type="pct"/>
            <w:tcBorders>
              <w:top w:val="nil"/>
              <w:left w:val="nil"/>
              <w:bottom w:val="nil"/>
              <w:right w:val="single" w:sz="4" w:space="0" w:color="808080"/>
            </w:tcBorders>
            <w:shd w:val="clear" w:color="auto" w:fill="auto"/>
            <w:vAlign w:val="center"/>
            <w:hideMark/>
          </w:tcPr>
          <w:p w14:paraId="1C2434F4"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124 244 </w:t>
            </w:r>
          </w:p>
        </w:tc>
        <w:tc>
          <w:tcPr>
            <w:tcW w:w="437" w:type="pct"/>
            <w:tcBorders>
              <w:top w:val="nil"/>
              <w:left w:val="nil"/>
              <w:bottom w:val="nil"/>
              <w:right w:val="single" w:sz="8" w:space="0" w:color="808080"/>
            </w:tcBorders>
            <w:shd w:val="clear" w:color="auto" w:fill="auto"/>
            <w:vAlign w:val="center"/>
            <w:hideMark/>
          </w:tcPr>
          <w:p w14:paraId="34102F16"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41 415 </w:t>
            </w:r>
          </w:p>
        </w:tc>
        <w:tc>
          <w:tcPr>
            <w:tcW w:w="444" w:type="pct"/>
            <w:tcBorders>
              <w:top w:val="nil"/>
              <w:left w:val="nil"/>
              <w:bottom w:val="nil"/>
              <w:right w:val="single" w:sz="4" w:space="0" w:color="808080"/>
            </w:tcBorders>
            <w:shd w:val="clear" w:color="auto" w:fill="auto"/>
            <w:vAlign w:val="center"/>
            <w:hideMark/>
          </w:tcPr>
          <w:p w14:paraId="6BEB2C8A"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145 475 </w:t>
            </w:r>
          </w:p>
        </w:tc>
        <w:tc>
          <w:tcPr>
            <w:tcW w:w="437" w:type="pct"/>
            <w:tcBorders>
              <w:top w:val="nil"/>
              <w:left w:val="nil"/>
              <w:bottom w:val="nil"/>
              <w:right w:val="single" w:sz="8" w:space="0" w:color="808080"/>
            </w:tcBorders>
            <w:shd w:val="clear" w:color="auto" w:fill="auto"/>
            <w:vAlign w:val="center"/>
            <w:hideMark/>
          </w:tcPr>
          <w:p w14:paraId="3818AA43"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48 492 </w:t>
            </w:r>
          </w:p>
        </w:tc>
        <w:tc>
          <w:tcPr>
            <w:tcW w:w="444" w:type="pct"/>
            <w:tcBorders>
              <w:top w:val="nil"/>
              <w:left w:val="single" w:sz="4" w:space="0" w:color="808080"/>
              <w:bottom w:val="nil"/>
              <w:right w:val="single" w:sz="8" w:space="0" w:color="808080"/>
            </w:tcBorders>
            <w:shd w:val="clear" w:color="auto" w:fill="auto"/>
            <w:vAlign w:val="center"/>
            <w:hideMark/>
          </w:tcPr>
          <w:p w14:paraId="25489732"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108 563 </w:t>
            </w:r>
          </w:p>
        </w:tc>
      </w:tr>
      <w:tr w:rsidR="006D34EE" w:rsidRPr="00CC659A" w14:paraId="49009092" w14:textId="77777777" w:rsidTr="00477854">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79DE42DB" w14:textId="77777777" w:rsidR="00CC659A" w:rsidRPr="00CC659A" w:rsidRDefault="00CC659A" w:rsidP="00CC659A">
            <w:pPr>
              <w:spacing w:after="0" w:line="240" w:lineRule="auto"/>
              <w:ind w:left="-108"/>
              <w:jc w:val="right"/>
              <w:rPr>
                <w:rFonts w:eastAsia="Times New Roman"/>
                <w:color w:val="000000"/>
                <w:sz w:val="16"/>
                <w:szCs w:val="16"/>
                <w:lang w:val="es-ES"/>
              </w:rPr>
            </w:pPr>
            <w:r w:rsidRPr="00CC659A">
              <w:rPr>
                <w:rFonts w:eastAsia="Times New Roman"/>
                <w:color w:val="000000"/>
                <w:sz w:val="16"/>
                <w:szCs w:val="16"/>
                <w:lang w:val="es-ES"/>
              </w:rPr>
              <w:t>36</w:t>
            </w:r>
          </w:p>
        </w:tc>
        <w:tc>
          <w:tcPr>
            <w:tcW w:w="920" w:type="pct"/>
            <w:tcBorders>
              <w:top w:val="nil"/>
              <w:left w:val="nil"/>
              <w:bottom w:val="nil"/>
              <w:right w:val="nil"/>
            </w:tcBorders>
            <w:shd w:val="clear" w:color="auto" w:fill="auto"/>
            <w:vAlign w:val="center"/>
            <w:hideMark/>
          </w:tcPr>
          <w:p w14:paraId="5EB7C205"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Djibouti</w:t>
            </w:r>
          </w:p>
        </w:tc>
        <w:tc>
          <w:tcPr>
            <w:tcW w:w="404" w:type="pct"/>
            <w:tcBorders>
              <w:top w:val="nil"/>
              <w:left w:val="nil"/>
              <w:bottom w:val="nil"/>
              <w:right w:val="nil"/>
            </w:tcBorders>
            <w:shd w:val="clear" w:color="auto" w:fill="auto"/>
            <w:vAlign w:val="center"/>
            <w:hideMark/>
          </w:tcPr>
          <w:p w14:paraId="4A9B1A66" w14:textId="77777777" w:rsidR="00CC659A" w:rsidRPr="00CC659A" w:rsidRDefault="00CC659A" w:rsidP="00CC659A">
            <w:pPr>
              <w:spacing w:after="0" w:line="240" w:lineRule="auto"/>
              <w:ind w:left="-108"/>
              <w:jc w:val="center"/>
              <w:rPr>
                <w:rFonts w:eastAsia="Times New Roman"/>
                <w:color w:val="000000"/>
                <w:sz w:val="16"/>
                <w:szCs w:val="16"/>
                <w:lang w:val="es-ES"/>
              </w:rPr>
            </w:pPr>
            <w:r w:rsidRPr="00CC659A">
              <w:rPr>
                <w:rFonts w:eastAsia="Times New Roman"/>
                <w:color w:val="000000"/>
                <w:sz w:val="16"/>
                <w:szCs w:val="16"/>
                <w:lang w:val="es-ES"/>
              </w:rPr>
              <w:t>0.001</w:t>
            </w:r>
          </w:p>
        </w:tc>
        <w:tc>
          <w:tcPr>
            <w:tcW w:w="420" w:type="pct"/>
            <w:tcBorders>
              <w:top w:val="nil"/>
              <w:left w:val="nil"/>
              <w:bottom w:val="nil"/>
              <w:right w:val="single" w:sz="8" w:space="0" w:color="808080"/>
            </w:tcBorders>
            <w:shd w:val="clear" w:color="auto" w:fill="auto"/>
            <w:vAlign w:val="center"/>
            <w:hideMark/>
          </w:tcPr>
          <w:p w14:paraId="3B509A10" w14:textId="77777777" w:rsidR="00CC659A" w:rsidRPr="00CC659A" w:rsidRDefault="00CC659A" w:rsidP="00CC659A">
            <w:pPr>
              <w:spacing w:after="0" w:line="240" w:lineRule="auto"/>
              <w:ind w:left="-108"/>
              <w:jc w:val="right"/>
              <w:rPr>
                <w:rFonts w:eastAsia="Times New Roman" w:cs="Arial"/>
                <w:color w:val="000000"/>
                <w:sz w:val="16"/>
                <w:szCs w:val="16"/>
                <w:lang w:val="es-ES"/>
              </w:rPr>
            </w:pPr>
            <w:r w:rsidRPr="00CC659A">
              <w:rPr>
                <w:rFonts w:eastAsia="Times New Roman" w:cs="Arial"/>
                <w:color w:val="000000"/>
                <w:sz w:val="16"/>
                <w:szCs w:val="16"/>
                <w:lang w:val="es-ES"/>
              </w:rPr>
              <w:t xml:space="preserve">0.002 </w:t>
            </w:r>
          </w:p>
        </w:tc>
        <w:tc>
          <w:tcPr>
            <w:tcW w:w="444" w:type="pct"/>
            <w:tcBorders>
              <w:top w:val="nil"/>
              <w:left w:val="nil"/>
              <w:bottom w:val="nil"/>
              <w:right w:val="single" w:sz="4" w:space="0" w:color="808080"/>
            </w:tcBorders>
            <w:shd w:val="clear" w:color="auto" w:fill="auto"/>
            <w:vAlign w:val="center"/>
            <w:hideMark/>
          </w:tcPr>
          <w:p w14:paraId="1E333DF1"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201 </w:t>
            </w:r>
          </w:p>
        </w:tc>
        <w:tc>
          <w:tcPr>
            <w:tcW w:w="437" w:type="pct"/>
            <w:tcBorders>
              <w:top w:val="nil"/>
              <w:left w:val="nil"/>
              <w:bottom w:val="nil"/>
              <w:right w:val="single" w:sz="8" w:space="0" w:color="808080"/>
            </w:tcBorders>
            <w:shd w:val="clear" w:color="auto" w:fill="auto"/>
            <w:vAlign w:val="center"/>
            <w:hideMark/>
          </w:tcPr>
          <w:p w14:paraId="2EDC1022"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67 </w:t>
            </w:r>
          </w:p>
        </w:tc>
        <w:tc>
          <w:tcPr>
            <w:tcW w:w="444" w:type="pct"/>
            <w:tcBorders>
              <w:top w:val="nil"/>
              <w:left w:val="nil"/>
              <w:bottom w:val="nil"/>
              <w:right w:val="single" w:sz="4" w:space="0" w:color="808080"/>
            </w:tcBorders>
            <w:shd w:val="clear" w:color="auto" w:fill="auto"/>
            <w:vAlign w:val="center"/>
            <w:hideMark/>
          </w:tcPr>
          <w:p w14:paraId="4B63AA10"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225 </w:t>
            </w:r>
          </w:p>
        </w:tc>
        <w:tc>
          <w:tcPr>
            <w:tcW w:w="437" w:type="pct"/>
            <w:tcBorders>
              <w:top w:val="nil"/>
              <w:left w:val="nil"/>
              <w:bottom w:val="nil"/>
              <w:right w:val="single" w:sz="8" w:space="0" w:color="808080"/>
            </w:tcBorders>
            <w:shd w:val="clear" w:color="auto" w:fill="auto"/>
            <w:vAlign w:val="center"/>
            <w:hideMark/>
          </w:tcPr>
          <w:p w14:paraId="49800D1E"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75 </w:t>
            </w:r>
          </w:p>
        </w:tc>
        <w:tc>
          <w:tcPr>
            <w:tcW w:w="444" w:type="pct"/>
            <w:tcBorders>
              <w:top w:val="nil"/>
              <w:left w:val="nil"/>
              <w:bottom w:val="nil"/>
              <w:right w:val="single" w:sz="4" w:space="0" w:color="808080"/>
            </w:tcBorders>
            <w:shd w:val="clear" w:color="auto" w:fill="auto"/>
            <w:vAlign w:val="center"/>
            <w:hideMark/>
          </w:tcPr>
          <w:p w14:paraId="5084018D"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263 </w:t>
            </w:r>
          </w:p>
        </w:tc>
        <w:tc>
          <w:tcPr>
            <w:tcW w:w="437" w:type="pct"/>
            <w:tcBorders>
              <w:top w:val="nil"/>
              <w:left w:val="nil"/>
              <w:bottom w:val="nil"/>
              <w:right w:val="single" w:sz="8" w:space="0" w:color="808080"/>
            </w:tcBorders>
            <w:shd w:val="clear" w:color="auto" w:fill="auto"/>
            <w:vAlign w:val="center"/>
            <w:hideMark/>
          </w:tcPr>
          <w:p w14:paraId="733C6D43"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88 </w:t>
            </w:r>
          </w:p>
        </w:tc>
        <w:tc>
          <w:tcPr>
            <w:tcW w:w="444" w:type="pct"/>
            <w:tcBorders>
              <w:top w:val="nil"/>
              <w:left w:val="single" w:sz="4" w:space="0" w:color="808080"/>
              <w:bottom w:val="nil"/>
              <w:right w:val="single" w:sz="8" w:space="0" w:color="808080"/>
            </w:tcBorders>
            <w:shd w:val="clear" w:color="auto" w:fill="auto"/>
            <w:vAlign w:val="center"/>
            <w:hideMark/>
          </w:tcPr>
          <w:p w14:paraId="7038AAE2"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197 </w:t>
            </w:r>
          </w:p>
        </w:tc>
      </w:tr>
      <w:tr w:rsidR="006D34EE" w:rsidRPr="00CC659A" w14:paraId="18FCB921" w14:textId="77777777" w:rsidTr="00477854">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35B6FD3E" w14:textId="77777777" w:rsidR="00CC659A" w:rsidRPr="00CC659A" w:rsidRDefault="00CC659A" w:rsidP="00CC659A">
            <w:pPr>
              <w:spacing w:after="0" w:line="240" w:lineRule="auto"/>
              <w:ind w:left="-108"/>
              <w:jc w:val="right"/>
              <w:rPr>
                <w:rFonts w:eastAsia="Times New Roman"/>
                <w:color w:val="000000"/>
                <w:sz w:val="16"/>
                <w:szCs w:val="16"/>
                <w:lang w:val="es-ES"/>
              </w:rPr>
            </w:pPr>
            <w:r w:rsidRPr="00CC659A">
              <w:rPr>
                <w:rFonts w:eastAsia="Times New Roman"/>
                <w:color w:val="000000"/>
                <w:sz w:val="16"/>
                <w:szCs w:val="16"/>
                <w:lang w:val="es-ES"/>
              </w:rPr>
              <w:t>37</w:t>
            </w:r>
          </w:p>
        </w:tc>
        <w:tc>
          <w:tcPr>
            <w:tcW w:w="920" w:type="pct"/>
            <w:tcBorders>
              <w:top w:val="nil"/>
              <w:left w:val="nil"/>
              <w:bottom w:val="nil"/>
              <w:right w:val="nil"/>
            </w:tcBorders>
            <w:shd w:val="clear" w:color="auto" w:fill="auto"/>
            <w:vAlign w:val="center"/>
            <w:hideMark/>
          </w:tcPr>
          <w:p w14:paraId="481E02F2" w14:textId="2793A0CA" w:rsidR="00CC659A" w:rsidRPr="00CC659A" w:rsidRDefault="00D75212" w:rsidP="00CC659A">
            <w:pPr>
              <w:spacing w:after="0" w:line="240" w:lineRule="auto"/>
              <w:ind w:left="-108"/>
              <w:rPr>
                <w:rFonts w:eastAsia="Times New Roman"/>
                <w:color w:val="000000"/>
                <w:sz w:val="16"/>
                <w:szCs w:val="16"/>
                <w:lang w:val="es-ES"/>
              </w:rPr>
            </w:pPr>
            <w:r>
              <w:rPr>
                <w:rFonts w:eastAsia="Times New Roman"/>
                <w:color w:val="000000"/>
                <w:sz w:val="16"/>
                <w:szCs w:val="16"/>
                <w:lang w:val="es-ES"/>
              </w:rPr>
              <w:t>República Dominicana</w:t>
            </w:r>
          </w:p>
        </w:tc>
        <w:tc>
          <w:tcPr>
            <w:tcW w:w="404" w:type="pct"/>
            <w:tcBorders>
              <w:top w:val="nil"/>
              <w:left w:val="nil"/>
              <w:bottom w:val="nil"/>
              <w:right w:val="nil"/>
            </w:tcBorders>
            <w:shd w:val="clear" w:color="auto" w:fill="auto"/>
            <w:vAlign w:val="center"/>
            <w:hideMark/>
          </w:tcPr>
          <w:p w14:paraId="4263EC6F" w14:textId="77777777" w:rsidR="00CC659A" w:rsidRPr="00CC659A" w:rsidRDefault="00CC659A" w:rsidP="00CC659A">
            <w:pPr>
              <w:spacing w:after="0" w:line="240" w:lineRule="auto"/>
              <w:ind w:left="-108"/>
              <w:jc w:val="center"/>
              <w:rPr>
                <w:rFonts w:eastAsia="Times New Roman"/>
                <w:color w:val="000000"/>
                <w:sz w:val="16"/>
                <w:szCs w:val="16"/>
                <w:lang w:val="es-ES"/>
              </w:rPr>
            </w:pPr>
            <w:r w:rsidRPr="00CC659A">
              <w:rPr>
                <w:rFonts w:eastAsia="Times New Roman"/>
                <w:color w:val="000000"/>
                <w:sz w:val="16"/>
                <w:szCs w:val="16"/>
                <w:lang w:val="es-ES"/>
              </w:rPr>
              <w:t>0.067</w:t>
            </w:r>
          </w:p>
        </w:tc>
        <w:tc>
          <w:tcPr>
            <w:tcW w:w="420" w:type="pct"/>
            <w:tcBorders>
              <w:top w:val="nil"/>
              <w:left w:val="nil"/>
              <w:bottom w:val="nil"/>
              <w:right w:val="single" w:sz="8" w:space="0" w:color="808080"/>
            </w:tcBorders>
            <w:shd w:val="clear" w:color="auto" w:fill="auto"/>
            <w:vAlign w:val="center"/>
            <w:hideMark/>
          </w:tcPr>
          <w:p w14:paraId="0E723518" w14:textId="77777777" w:rsidR="00CC659A" w:rsidRPr="00CC659A" w:rsidRDefault="00CC659A" w:rsidP="00CC659A">
            <w:pPr>
              <w:spacing w:after="0" w:line="240" w:lineRule="auto"/>
              <w:ind w:left="-108"/>
              <w:jc w:val="right"/>
              <w:rPr>
                <w:rFonts w:eastAsia="Times New Roman" w:cs="Arial"/>
                <w:color w:val="000000"/>
                <w:sz w:val="16"/>
                <w:szCs w:val="16"/>
                <w:lang w:val="es-ES"/>
              </w:rPr>
            </w:pPr>
            <w:r w:rsidRPr="00CC659A">
              <w:rPr>
                <w:rFonts w:eastAsia="Times New Roman" w:cs="Arial"/>
                <w:color w:val="000000"/>
                <w:sz w:val="16"/>
                <w:szCs w:val="16"/>
                <w:lang w:val="es-ES"/>
              </w:rPr>
              <w:t xml:space="preserve">0.154 </w:t>
            </w:r>
          </w:p>
        </w:tc>
        <w:tc>
          <w:tcPr>
            <w:tcW w:w="444" w:type="pct"/>
            <w:tcBorders>
              <w:top w:val="nil"/>
              <w:left w:val="nil"/>
              <w:bottom w:val="nil"/>
              <w:right w:val="single" w:sz="4" w:space="0" w:color="808080"/>
            </w:tcBorders>
            <w:shd w:val="clear" w:color="auto" w:fill="auto"/>
            <w:vAlign w:val="center"/>
            <w:hideMark/>
          </w:tcPr>
          <w:p w14:paraId="4E6B9A3B"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13 494 </w:t>
            </w:r>
          </w:p>
        </w:tc>
        <w:tc>
          <w:tcPr>
            <w:tcW w:w="437" w:type="pct"/>
            <w:tcBorders>
              <w:top w:val="nil"/>
              <w:left w:val="nil"/>
              <w:bottom w:val="nil"/>
              <w:right w:val="single" w:sz="8" w:space="0" w:color="808080"/>
            </w:tcBorders>
            <w:shd w:val="clear" w:color="auto" w:fill="auto"/>
            <w:vAlign w:val="center"/>
            <w:hideMark/>
          </w:tcPr>
          <w:p w14:paraId="1108B256"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4 498 </w:t>
            </w:r>
          </w:p>
        </w:tc>
        <w:tc>
          <w:tcPr>
            <w:tcW w:w="444" w:type="pct"/>
            <w:tcBorders>
              <w:top w:val="nil"/>
              <w:left w:val="nil"/>
              <w:bottom w:val="nil"/>
              <w:right w:val="single" w:sz="4" w:space="0" w:color="808080"/>
            </w:tcBorders>
            <w:shd w:val="clear" w:color="auto" w:fill="auto"/>
            <w:vAlign w:val="center"/>
            <w:hideMark/>
          </w:tcPr>
          <w:p w14:paraId="15AE4C1C"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15 053 </w:t>
            </w:r>
          </w:p>
        </w:tc>
        <w:tc>
          <w:tcPr>
            <w:tcW w:w="437" w:type="pct"/>
            <w:tcBorders>
              <w:top w:val="nil"/>
              <w:left w:val="nil"/>
              <w:bottom w:val="nil"/>
              <w:right w:val="single" w:sz="8" w:space="0" w:color="808080"/>
            </w:tcBorders>
            <w:shd w:val="clear" w:color="auto" w:fill="auto"/>
            <w:vAlign w:val="center"/>
            <w:hideMark/>
          </w:tcPr>
          <w:p w14:paraId="5AAA90DB"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5 018 </w:t>
            </w:r>
          </w:p>
        </w:tc>
        <w:tc>
          <w:tcPr>
            <w:tcW w:w="444" w:type="pct"/>
            <w:tcBorders>
              <w:top w:val="nil"/>
              <w:left w:val="nil"/>
              <w:bottom w:val="nil"/>
              <w:right w:val="single" w:sz="4" w:space="0" w:color="808080"/>
            </w:tcBorders>
            <w:shd w:val="clear" w:color="auto" w:fill="auto"/>
            <w:vAlign w:val="center"/>
            <w:hideMark/>
          </w:tcPr>
          <w:p w14:paraId="5C8414B9"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17 625 </w:t>
            </w:r>
          </w:p>
        </w:tc>
        <w:tc>
          <w:tcPr>
            <w:tcW w:w="437" w:type="pct"/>
            <w:tcBorders>
              <w:top w:val="nil"/>
              <w:left w:val="nil"/>
              <w:bottom w:val="nil"/>
              <w:right w:val="single" w:sz="8" w:space="0" w:color="808080"/>
            </w:tcBorders>
            <w:shd w:val="clear" w:color="auto" w:fill="auto"/>
            <w:vAlign w:val="center"/>
            <w:hideMark/>
          </w:tcPr>
          <w:p w14:paraId="521BDE03"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5 875 </w:t>
            </w:r>
          </w:p>
        </w:tc>
        <w:tc>
          <w:tcPr>
            <w:tcW w:w="444" w:type="pct"/>
            <w:tcBorders>
              <w:top w:val="nil"/>
              <w:left w:val="single" w:sz="4" w:space="0" w:color="808080"/>
              <w:bottom w:val="nil"/>
              <w:right w:val="single" w:sz="8" w:space="0" w:color="808080"/>
            </w:tcBorders>
            <w:shd w:val="clear" w:color="auto" w:fill="auto"/>
            <w:vAlign w:val="center"/>
            <w:hideMark/>
          </w:tcPr>
          <w:p w14:paraId="12210D02"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10 385 </w:t>
            </w:r>
          </w:p>
        </w:tc>
      </w:tr>
      <w:tr w:rsidR="006D34EE" w:rsidRPr="00CC659A" w14:paraId="7DEA2DCA" w14:textId="77777777" w:rsidTr="00477854">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3256F1B1" w14:textId="77777777" w:rsidR="00CC659A" w:rsidRPr="00CC659A" w:rsidRDefault="00CC659A" w:rsidP="00CC659A">
            <w:pPr>
              <w:spacing w:after="0" w:line="240" w:lineRule="auto"/>
              <w:ind w:left="-108"/>
              <w:jc w:val="right"/>
              <w:rPr>
                <w:rFonts w:eastAsia="Times New Roman"/>
                <w:color w:val="000000"/>
                <w:sz w:val="16"/>
                <w:szCs w:val="16"/>
                <w:lang w:val="es-ES"/>
              </w:rPr>
            </w:pPr>
            <w:r w:rsidRPr="00CC659A">
              <w:rPr>
                <w:rFonts w:eastAsia="Times New Roman"/>
                <w:color w:val="000000"/>
                <w:sz w:val="16"/>
                <w:szCs w:val="16"/>
                <w:lang w:val="es-ES"/>
              </w:rPr>
              <w:lastRenderedPageBreak/>
              <w:t>38</w:t>
            </w:r>
          </w:p>
        </w:tc>
        <w:tc>
          <w:tcPr>
            <w:tcW w:w="920" w:type="pct"/>
            <w:tcBorders>
              <w:top w:val="nil"/>
              <w:left w:val="nil"/>
              <w:bottom w:val="nil"/>
              <w:right w:val="nil"/>
            </w:tcBorders>
            <w:shd w:val="clear" w:color="auto" w:fill="auto"/>
            <w:vAlign w:val="center"/>
            <w:hideMark/>
          </w:tcPr>
          <w:p w14:paraId="4C82F0D0" w14:textId="71EDDA5C" w:rsidR="00CC659A" w:rsidRPr="00CC659A" w:rsidRDefault="00F44430" w:rsidP="00CC659A">
            <w:pPr>
              <w:spacing w:after="0" w:line="240" w:lineRule="auto"/>
              <w:ind w:left="-108"/>
              <w:rPr>
                <w:rFonts w:eastAsia="Times New Roman"/>
                <w:color w:val="000000"/>
                <w:sz w:val="16"/>
                <w:szCs w:val="16"/>
                <w:lang w:val="es-ES"/>
              </w:rPr>
            </w:pPr>
            <w:r>
              <w:rPr>
                <w:rFonts w:eastAsia="Times New Roman"/>
                <w:color w:val="000000"/>
                <w:sz w:val="16"/>
                <w:szCs w:val="16"/>
                <w:lang w:val="es-ES"/>
              </w:rPr>
              <w:t>E</w:t>
            </w:r>
            <w:r w:rsidR="00D75212">
              <w:rPr>
                <w:rFonts w:eastAsia="Times New Roman"/>
                <w:color w:val="000000"/>
                <w:sz w:val="16"/>
                <w:szCs w:val="16"/>
                <w:lang w:val="es-ES"/>
              </w:rPr>
              <w:t>cuador</w:t>
            </w:r>
          </w:p>
        </w:tc>
        <w:tc>
          <w:tcPr>
            <w:tcW w:w="404" w:type="pct"/>
            <w:tcBorders>
              <w:top w:val="nil"/>
              <w:left w:val="nil"/>
              <w:bottom w:val="nil"/>
              <w:right w:val="nil"/>
            </w:tcBorders>
            <w:shd w:val="clear" w:color="auto" w:fill="auto"/>
            <w:vAlign w:val="center"/>
            <w:hideMark/>
          </w:tcPr>
          <w:p w14:paraId="565D2969" w14:textId="77777777" w:rsidR="00CC659A" w:rsidRPr="00CC659A" w:rsidRDefault="00CC659A" w:rsidP="00CC659A">
            <w:pPr>
              <w:spacing w:after="0" w:line="240" w:lineRule="auto"/>
              <w:ind w:left="-108"/>
              <w:jc w:val="center"/>
              <w:rPr>
                <w:rFonts w:eastAsia="Times New Roman"/>
                <w:color w:val="000000"/>
                <w:sz w:val="16"/>
                <w:szCs w:val="16"/>
                <w:lang w:val="es-ES"/>
              </w:rPr>
            </w:pPr>
            <w:r w:rsidRPr="00CC659A">
              <w:rPr>
                <w:rFonts w:eastAsia="Times New Roman"/>
                <w:color w:val="000000"/>
                <w:sz w:val="16"/>
                <w:szCs w:val="16"/>
                <w:lang w:val="es-ES"/>
              </w:rPr>
              <w:t>0.077</w:t>
            </w:r>
          </w:p>
        </w:tc>
        <w:tc>
          <w:tcPr>
            <w:tcW w:w="420" w:type="pct"/>
            <w:tcBorders>
              <w:top w:val="nil"/>
              <w:left w:val="nil"/>
              <w:bottom w:val="nil"/>
              <w:right w:val="single" w:sz="8" w:space="0" w:color="808080"/>
            </w:tcBorders>
            <w:shd w:val="clear" w:color="auto" w:fill="auto"/>
            <w:vAlign w:val="center"/>
            <w:hideMark/>
          </w:tcPr>
          <w:p w14:paraId="4F0A96C8" w14:textId="77777777" w:rsidR="00CC659A" w:rsidRPr="00CC659A" w:rsidRDefault="00CC659A" w:rsidP="00CC659A">
            <w:pPr>
              <w:spacing w:after="0" w:line="240" w:lineRule="auto"/>
              <w:ind w:left="-108"/>
              <w:jc w:val="right"/>
              <w:rPr>
                <w:rFonts w:eastAsia="Times New Roman" w:cs="Arial"/>
                <w:color w:val="000000"/>
                <w:sz w:val="16"/>
                <w:szCs w:val="16"/>
                <w:lang w:val="es-ES"/>
              </w:rPr>
            </w:pPr>
            <w:r w:rsidRPr="00CC659A">
              <w:rPr>
                <w:rFonts w:eastAsia="Times New Roman" w:cs="Arial"/>
                <w:color w:val="000000"/>
                <w:sz w:val="16"/>
                <w:szCs w:val="16"/>
                <w:lang w:val="es-ES"/>
              </w:rPr>
              <w:t xml:space="preserve">0.177 </w:t>
            </w:r>
          </w:p>
        </w:tc>
        <w:tc>
          <w:tcPr>
            <w:tcW w:w="444" w:type="pct"/>
            <w:tcBorders>
              <w:top w:val="nil"/>
              <w:left w:val="nil"/>
              <w:bottom w:val="nil"/>
              <w:right w:val="single" w:sz="4" w:space="0" w:color="808080"/>
            </w:tcBorders>
            <w:shd w:val="clear" w:color="auto" w:fill="auto"/>
            <w:vAlign w:val="center"/>
            <w:hideMark/>
          </w:tcPr>
          <w:p w14:paraId="6447573D"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15 508 </w:t>
            </w:r>
          </w:p>
        </w:tc>
        <w:tc>
          <w:tcPr>
            <w:tcW w:w="437" w:type="pct"/>
            <w:tcBorders>
              <w:top w:val="nil"/>
              <w:left w:val="nil"/>
              <w:bottom w:val="nil"/>
              <w:right w:val="single" w:sz="8" w:space="0" w:color="808080"/>
            </w:tcBorders>
            <w:shd w:val="clear" w:color="auto" w:fill="auto"/>
            <w:vAlign w:val="center"/>
            <w:hideMark/>
          </w:tcPr>
          <w:p w14:paraId="1FEA9E2C"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5 169 </w:t>
            </w:r>
          </w:p>
        </w:tc>
        <w:tc>
          <w:tcPr>
            <w:tcW w:w="444" w:type="pct"/>
            <w:tcBorders>
              <w:top w:val="nil"/>
              <w:left w:val="nil"/>
              <w:bottom w:val="nil"/>
              <w:right w:val="single" w:sz="4" w:space="0" w:color="808080"/>
            </w:tcBorders>
            <w:shd w:val="clear" w:color="auto" w:fill="auto"/>
            <w:vAlign w:val="center"/>
            <w:hideMark/>
          </w:tcPr>
          <w:p w14:paraId="06C2BDC1"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17 300 </w:t>
            </w:r>
          </w:p>
        </w:tc>
        <w:tc>
          <w:tcPr>
            <w:tcW w:w="437" w:type="pct"/>
            <w:tcBorders>
              <w:top w:val="nil"/>
              <w:left w:val="nil"/>
              <w:bottom w:val="nil"/>
              <w:right w:val="single" w:sz="8" w:space="0" w:color="808080"/>
            </w:tcBorders>
            <w:shd w:val="clear" w:color="auto" w:fill="auto"/>
            <w:vAlign w:val="center"/>
            <w:hideMark/>
          </w:tcPr>
          <w:p w14:paraId="77F63854"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5 767 </w:t>
            </w:r>
          </w:p>
        </w:tc>
        <w:tc>
          <w:tcPr>
            <w:tcW w:w="444" w:type="pct"/>
            <w:tcBorders>
              <w:top w:val="nil"/>
              <w:left w:val="nil"/>
              <w:bottom w:val="nil"/>
              <w:right w:val="single" w:sz="4" w:space="0" w:color="808080"/>
            </w:tcBorders>
            <w:shd w:val="clear" w:color="auto" w:fill="auto"/>
            <w:vAlign w:val="center"/>
            <w:hideMark/>
          </w:tcPr>
          <w:p w14:paraId="3BDBD697"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20 256 </w:t>
            </w:r>
          </w:p>
        </w:tc>
        <w:tc>
          <w:tcPr>
            <w:tcW w:w="437" w:type="pct"/>
            <w:tcBorders>
              <w:top w:val="nil"/>
              <w:left w:val="nil"/>
              <w:bottom w:val="nil"/>
              <w:right w:val="single" w:sz="8" w:space="0" w:color="808080"/>
            </w:tcBorders>
            <w:shd w:val="clear" w:color="auto" w:fill="auto"/>
            <w:vAlign w:val="center"/>
            <w:hideMark/>
          </w:tcPr>
          <w:p w14:paraId="7BC4443B"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6 752 </w:t>
            </w:r>
          </w:p>
        </w:tc>
        <w:tc>
          <w:tcPr>
            <w:tcW w:w="444" w:type="pct"/>
            <w:tcBorders>
              <w:top w:val="nil"/>
              <w:left w:val="single" w:sz="4" w:space="0" w:color="808080"/>
              <w:bottom w:val="nil"/>
              <w:right w:val="single" w:sz="8" w:space="0" w:color="808080"/>
            </w:tcBorders>
            <w:shd w:val="clear" w:color="auto" w:fill="auto"/>
            <w:vAlign w:val="center"/>
            <w:hideMark/>
          </w:tcPr>
          <w:p w14:paraId="337A826C"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15 677 </w:t>
            </w:r>
          </w:p>
        </w:tc>
      </w:tr>
      <w:tr w:rsidR="006D34EE" w:rsidRPr="00CC659A" w14:paraId="7F3F8AAA" w14:textId="77777777" w:rsidTr="00477854">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1BEBA64E" w14:textId="77777777" w:rsidR="00CC659A" w:rsidRPr="00CC659A" w:rsidRDefault="00CC659A" w:rsidP="00CC659A">
            <w:pPr>
              <w:spacing w:after="0" w:line="240" w:lineRule="auto"/>
              <w:ind w:left="-108"/>
              <w:jc w:val="right"/>
              <w:rPr>
                <w:rFonts w:eastAsia="Times New Roman"/>
                <w:color w:val="000000"/>
                <w:sz w:val="16"/>
                <w:szCs w:val="16"/>
                <w:lang w:val="es-ES"/>
              </w:rPr>
            </w:pPr>
            <w:r w:rsidRPr="00CC659A">
              <w:rPr>
                <w:rFonts w:eastAsia="Times New Roman"/>
                <w:color w:val="000000"/>
                <w:sz w:val="16"/>
                <w:szCs w:val="16"/>
                <w:lang w:val="es-ES"/>
              </w:rPr>
              <w:t>39</w:t>
            </w:r>
          </w:p>
        </w:tc>
        <w:tc>
          <w:tcPr>
            <w:tcW w:w="920" w:type="pct"/>
            <w:tcBorders>
              <w:top w:val="nil"/>
              <w:left w:val="nil"/>
              <w:bottom w:val="nil"/>
              <w:right w:val="nil"/>
            </w:tcBorders>
            <w:shd w:val="clear" w:color="auto" w:fill="auto"/>
            <w:vAlign w:val="center"/>
            <w:hideMark/>
          </w:tcPr>
          <w:p w14:paraId="3A57C4FE" w14:textId="017D68B2" w:rsidR="00CC659A" w:rsidRPr="00CC659A" w:rsidRDefault="00D75212"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Egipto</w:t>
            </w:r>
          </w:p>
        </w:tc>
        <w:tc>
          <w:tcPr>
            <w:tcW w:w="404" w:type="pct"/>
            <w:tcBorders>
              <w:top w:val="nil"/>
              <w:left w:val="nil"/>
              <w:bottom w:val="nil"/>
              <w:right w:val="nil"/>
            </w:tcBorders>
            <w:shd w:val="clear" w:color="auto" w:fill="auto"/>
            <w:vAlign w:val="center"/>
            <w:hideMark/>
          </w:tcPr>
          <w:p w14:paraId="542D2920" w14:textId="77777777" w:rsidR="00CC659A" w:rsidRPr="00CC659A" w:rsidRDefault="00CC659A" w:rsidP="00CC659A">
            <w:pPr>
              <w:spacing w:after="0" w:line="240" w:lineRule="auto"/>
              <w:ind w:left="-108"/>
              <w:jc w:val="center"/>
              <w:rPr>
                <w:rFonts w:eastAsia="Times New Roman"/>
                <w:color w:val="000000"/>
                <w:sz w:val="16"/>
                <w:szCs w:val="16"/>
                <w:lang w:val="es-ES"/>
              </w:rPr>
            </w:pPr>
            <w:r w:rsidRPr="00CC659A">
              <w:rPr>
                <w:rFonts w:eastAsia="Times New Roman"/>
                <w:color w:val="000000"/>
                <w:sz w:val="16"/>
                <w:szCs w:val="16"/>
                <w:lang w:val="es-ES"/>
              </w:rPr>
              <w:t>0.139</w:t>
            </w:r>
          </w:p>
        </w:tc>
        <w:tc>
          <w:tcPr>
            <w:tcW w:w="420" w:type="pct"/>
            <w:tcBorders>
              <w:top w:val="nil"/>
              <w:left w:val="nil"/>
              <w:bottom w:val="nil"/>
              <w:right w:val="single" w:sz="8" w:space="0" w:color="808080"/>
            </w:tcBorders>
            <w:shd w:val="clear" w:color="auto" w:fill="auto"/>
            <w:vAlign w:val="center"/>
            <w:hideMark/>
          </w:tcPr>
          <w:p w14:paraId="638F9D32" w14:textId="77777777" w:rsidR="00CC659A" w:rsidRPr="00CC659A" w:rsidRDefault="00CC659A" w:rsidP="00CC659A">
            <w:pPr>
              <w:spacing w:after="0" w:line="240" w:lineRule="auto"/>
              <w:ind w:left="-108"/>
              <w:jc w:val="right"/>
              <w:rPr>
                <w:rFonts w:eastAsia="Times New Roman" w:cs="Arial"/>
                <w:color w:val="000000"/>
                <w:sz w:val="16"/>
                <w:szCs w:val="16"/>
                <w:lang w:val="es-ES"/>
              </w:rPr>
            </w:pPr>
            <w:r w:rsidRPr="00CC659A">
              <w:rPr>
                <w:rFonts w:eastAsia="Times New Roman" w:cs="Arial"/>
                <w:color w:val="000000"/>
                <w:sz w:val="16"/>
                <w:szCs w:val="16"/>
                <w:lang w:val="es-ES"/>
              </w:rPr>
              <w:t xml:space="preserve">0.320 </w:t>
            </w:r>
          </w:p>
        </w:tc>
        <w:tc>
          <w:tcPr>
            <w:tcW w:w="444" w:type="pct"/>
            <w:tcBorders>
              <w:top w:val="nil"/>
              <w:left w:val="nil"/>
              <w:bottom w:val="nil"/>
              <w:right w:val="single" w:sz="4" w:space="0" w:color="808080"/>
            </w:tcBorders>
            <w:shd w:val="clear" w:color="auto" w:fill="auto"/>
            <w:vAlign w:val="center"/>
            <w:hideMark/>
          </w:tcPr>
          <w:p w14:paraId="178E6893"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27 995 </w:t>
            </w:r>
          </w:p>
        </w:tc>
        <w:tc>
          <w:tcPr>
            <w:tcW w:w="437" w:type="pct"/>
            <w:tcBorders>
              <w:top w:val="nil"/>
              <w:left w:val="nil"/>
              <w:bottom w:val="nil"/>
              <w:right w:val="single" w:sz="8" w:space="0" w:color="808080"/>
            </w:tcBorders>
            <w:shd w:val="clear" w:color="auto" w:fill="auto"/>
            <w:vAlign w:val="center"/>
            <w:hideMark/>
          </w:tcPr>
          <w:p w14:paraId="4D4E87F9"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9 332 </w:t>
            </w:r>
          </w:p>
        </w:tc>
        <w:tc>
          <w:tcPr>
            <w:tcW w:w="444" w:type="pct"/>
            <w:tcBorders>
              <w:top w:val="nil"/>
              <w:left w:val="nil"/>
              <w:bottom w:val="nil"/>
              <w:right w:val="single" w:sz="4" w:space="0" w:color="808080"/>
            </w:tcBorders>
            <w:shd w:val="clear" w:color="auto" w:fill="auto"/>
            <w:vAlign w:val="center"/>
            <w:hideMark/>
          </w:tcPr>
          <w:p w14:paraId="58C33A9D"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31 230 </w:t>
            </w:r>
          </w:p>
        </w:tc>
        <w:tc>
          <w:tcPr>
            <w:tcW w:w="437" w:type="pct"/>
            <w:tcBorders>
              <w:top w:val="nil"/>
              <w:left w:val="nil"/>
              <w:bottom w:val="nil"/>
              <w:right w:val="single" w:sz="8" w:space="0" w:color="808080"/>
            </w:tcBorders>
            <w:shd w:val="clear" w:color="auto" w:fill="auto"/>
            <w:vAlign w:val="center"/>
            <w:hideMark/>
          </w:tcPr>
          <w:p w14:paraId="54AC8D19"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10 410 </w:t>
            </w:r>
          </w:p>
        </w:tc>
        <w:tc>
          <w:tcPr>
            <w:tcW w:w="444" w:type="pct"/>
            <w:tcBorders>
              <w:top w:val="nil"/>
              <w:left w:val="nil"/>
              <w:bottom w:val="nil"/>
              <w:right w:val="single" w:sz="4" w:space="0" w:color="808080"/>
            </w:tcBorders>
            <w:shd w:val="clear" w:color="auto" w:fill="auto"/>
            <w:vAlign w:val="center"/>
            <w:hideMark/>
          </w:tcPr>
          <w:p w14:paraId="7AADDFC8"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36 566 </w:t>
            </w:r>
          </w:p>
        </w:tc>
        <w:tc>
          <w:tcPr>
            <w:tcW w:w="437" w:type="pct"/>
            <w:tcBorders>
              <w:top w:val="nil"/>
              <w:left w:val="nil"/>
              <w:bottom w:val="nil"/>
              <w:right w:val="single" w:sz="8" w:space="0" w:color="808080"/>
            </w:tcBorders>
            <w:shd w:val="clear" w:color="auto" w:fill="auto"/>
            <w:vAlign w:val="center"/>
            <w:hideMark/>
          </w:tcPr>
          <w:p w14:paraId="7B6EE47A"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12 189 </w:t>
            </w:r>
          </w:p>
        </w:tc>
        <w:tc>
          <w:tcPr>
            <w:tcW w:w="444" w:type="pct"/>
            <w:tcBorders>
              <w:top w:val="nil"/>
              <w:left w:val="single" w:sz="4" w:space="0" w:color="808080"/>
              <w:bottom w:val="nil"/>
              <w:right w:val="single" w:sz="8" w:space="0" w:color="808080"/>
            </w:tcBorders>
            <w:shd w:val="clear" w:color="auto" w:fill="auto"/>
            <w:vAlign w:val="center"/>
            <w:hideMark/>
          </w:tcPr>
          <w:p w14:paraId="68402104"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36 449 </w:t>
            </w:r>
          </w:p>
        </w:tc>
      </w:tr>
      <w:tr w:rsidR="006D34EE" w:rsidRPr="00CC659A" w14:paraId="090B60B5" w14:textId="77777777" w:rsidTr="00477854">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43B79165" w14:textId="77777777" w:rsidR="00CC659A" w:rsidRPr="00CC659A" w:rsidRDefault="00CC659A" w:rsidP="00CC659A">
            <w:pPr>
              <w:spacing w:after="0" w:line="240" w:lineRule="auto"/>
              <w:ind w:left="-108"/>
              <w:jc w:val="right"/>
              <w:rPr>
                <w:rFonts w:eastAsia="Times New Roman"/>
                <w:color w:val="000000"/>
                <w:sz w:val="16"/>
                <w:szCs w:val="16"/>
                <w:lang w:val="es-ES"/>
              </w:rPr>
            </w:pPr>
            <w:r w:rsidRPr="00CC659A">
              <w:rPr>
                <w:rFonts w:eastAsia="Times New Roman"/>
                <w:color w:val="000000"/>
                <w:sz w:val="16"/>
                <w:szCs w:val="16"/>
                <w:lang w:val="es-ES"/>
              </w:rPr>
              <w:t>40</w:t>
            </w:r>
          </w:p>
        </w:tc>
        <w:tc>
          <w:tcPr>
            <w:tcW w:w="920" w:type="pct"/>
            <w:tcBorders>
              <w:top w:val="nil"/>
              <w:left w:val="nil"/>
              <w:bottom w:val="nil"/>
              <w:right w:val="nil"/>
            </w:tcBorders>
            <w:shd w:val="clear" w:color="auto" w:fill="auto"/>
            <w:vAlign w:val="center"/>
            <w:hideMark/>
          </w:tcPr>
          <w:p w14:paraId="7451B06C" w14:textId="72423581"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Guin</w:t>
            </w:r>
            <w:r w:rsidR="00D75212">
              <w:rPr>
                <w:rFonts w:eastAsia="Times New Roman"/>
                <w:color w:val="000000"/>
                <w:sz w:val="16"/>
                <w:szCs w:val="16"/>
                <w:lang w:val="es-ES"/>
              </w:rPr>
              <w:t>ea Ecuatorial</w:t>
            </w:r>
          </w:p>
        </w:tc>
        <w:tc>
          <w:tcPr>
            <w:tcW w:w="404" w:type="pct"/>
            <w:tcBorders>
              <w:top w:val="nil"/>
              <w:left w:val="nil"/>
              <w:bottom w:val="nil"/>
              <w:right w:val="nil"/>
            </w:tcBorders>
            <w:shd w:val="clear" w:color="auto" w:fill="auto"/>
            <w:vAlign w:val="center"/>
            <w:hideMark/>
          </w:tcPr>
          <w:p w14:paraId="7CEA0C2D" w14:textId="77777777" w:rsidR="00CC659A" w:rsidRPr="00CC659A" w:rsidRDefault="00CC659A" w:rsidP="00CC659A">
            <w:pPr>
              <w:spacing w:after="0" w:line="240" w:lineRule="auto"/>
              <w:ind w:left="-108"/>
              <w:jc w:val="center"/>
              <w:rPr>
                <w:rFonts w:eastAsia="Times New Roman"/>
                <w:color w:val="000000"/>
                <w:sz w:val="16"/>
                <w:szCs w:val="16"/>
                <w:lang w:val="es-ES"/>
              </w:rPr>
            </w:pPr>
            <w:r w:rsidRPr="00CC659A">
              <w:rPr>
                <w:rFonts w:eastAsia="Times New Roman"/>
                <w:color w:val="000000"/>
                <w:sz w:val="16"/>
                <w:szCs w:val="16"/>
                <w:lang w:val="es-ES"/>
              </w:rPr>
              <w:t>0.012</w:t>
            </w:r>
          </w:p>
        </w:tc>
        <w:tc>
          <w:tcPr>
            <w:tcW w:w="420" w:type="pct"/>
            <w:tcBorders>
              <w:top w:val="nil"/>
              <w:left w:val="nil"/>
              <w:bottom w:val="nil"/>
              <w:right w:val="single" w:sz="8" w:space="0" w:color="808080"/>
            </w:tcBorders>
            <w:shd w:val="clear" w:color="auto" w:fill="auto"/>
            <w:vAlign w:val="center"/>
            <w:hideMark/>
          </w:tcPr>
          <w:p w14:paraId="39E21EBF" w14:textId="77777777" w:rsidR="00CC659A" w:rsidRPr="00CC659A" w:rsidRDefault="00CC659A" w:rsidP="00CC659A">
            <w:pPr>
              <w:spacing w:after="0" w:line="240" w:lineRule="auto"/>
              <w:ind w:left="-108"/>
              <w:jc w:val="right"/>
              <w:rPr>
                <w:rFonts w:eastAsia="Times New Roman" w:cs="Arial"/>
                <w:color w:val="000000"/>
                <w:sz w:val="16"/>
                <w:szCs w:val="16"/>
                <w:lang w:val="es-ES"/>
              </w:rPr>
            </w:pPr>
            <w:r w:rsidRPr="00CC659A">
              <w:rPr>
                <w:rFonts w:eastAsia="Times New Roman" w:cs="Arial"/>
                <w:color w:val="000000"/>
                <w:sz w:val="16"/>
                <w:szCs w:val="16"/>
                <w:lang w:val="es-ES"/>
              </w:rPr>
              <w:t xml:space="preserve">0.028 </w:t>
            </w:r>
          </w:p>
        </w:tc>
        <w:tc>
          <w:tcPr>
            <w:tcW w:w="444" w:type="pct"/>
            <w:tcBorders>
              <w:top w:val="nil"/>
              <w:left w:val="nil"/>
              <w:bottom w:val="nil"/>
              <w:right w:val="single" w:sz="4" w:space="0" w:color="808080"/>
            </w:tcBorders>
            <w:shd w:val="clear" w:color="auto" w:fill="auto"/>
            <w:vAlign w:val="center"/>
            <w:hideMark/>
          </w:tcPr>
          <w:p w14:paraId="32C25DBA"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2 417 </w:t>
            </w:r>
          </w:p>
        </w:tc>
        <w:tc>
          <w:tcPr>
            <w:tcW w:w="437" w:type="pct"/>
            <w:tcBorders>
              <w:top w:val="nil"/>
              <w:left w:val="nil"/>
              <w:bottom w:val="nil"/>
              <w:right w:val="single" w:sz="8" w:space="0" w:color="808080"/>
            </w:tcBorders>
            <w:shd w:val="clear" w:color="auto" w:fill="auto"/>
            <w:vAlign w:val="center"/>
            <w:hideMark/>
          </w:tcPr>
          <w:p w14:paraId="65928854"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806 </w:t>
            </w:r>
          </w:p>
        </w:tc>
        <w:tc>
          <w:tcPr>
            <w:tcW w:w="444" w:type="pct"/>
            <w:tcBorders>
              <w:top w:val="nil"/>
              <w:left w:val="nil"/>
              <w:bottom w:val="nil"/>
              <w:right w:val="single" w:sz="4" w:space="0" w:color="808080"/>
            </w:tcBorders>
            <w:shd w:val="clear" w:color="auto" w:fill="auto"/>
            <w:vAlign w:val="center"/>
            <w:hideMark/>
          </w:tcPr>
          <w:p w14:paraId="4184DD9A"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2 696 </w:t>
            </w:r>
          </w:p>
        </w:tc>
        <w:tc>
          <w:tcPr>
            <w:tcW w:w="437" w:type="pct"/>
            <w:tcBorders>
              <w:top w:val="nil"/>
              <w:left w:val="nil"/>
              <w:bottom w:val="nil"/>
              <w:right w:val="single" w:sz="8" w:space="0" w:color="808080"/>
            </w:tcBorders>
            <w:shd w:val="clear" w:color="auto" w:fill="auto"/>
            <w:vAlign w:val="center"/>
            <w:hideMark/>
          </w:tcPr>
          <w:p w14:paraId="213623AE"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899 </w:t>
            </w:r>
          </w:p>
        </w:tc>
        <w:tc>
          <w:tcPr>
            <w:tcW w:w="444" w:type="pct"/>
            <w:tcBorders>
              <w:top w:val="nil"/>
              <w:left w:val="nil"/>
              <w:bottom w:val="nil"/>
              <w:right w:val="single" w:sz="4" w:space="0" w:color="808080"/>
            </w:tcBorders>
            <w:shd w:val="clear" w:color="auto" w:fill="auto"/>
            <w:vAlign w:val="center"/>
            <w:hideMark/>
          </w:tcPr>
          <w:p w14:paraId="35038FAC"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3 157 </w:t>
            </w:r>
          </w:p>
        </w:tc>
        <w:tc>
          <w:tcPr>
            <w:tcW w:w="437" w:type="pct"/>
            <w:tcBorders>
              <w:top w:val="nil"/>
              <w:left w:val="nil"/>
              <w:bottom w:val="nil"/>
              <w:right w:val="single" w:sz="8" w:space="0" w:color="808080"/>
            </w:tcBorders>
            <w:shd w:val="clear" w:color="auto" w:fill="auto"/>
            <w:vAlign w:val="center"/>
            <w:hideMark/>
          </w:tcPr>
          <w:p w14:paraId="64AB7B92"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1 052 </w:t>
            </w:r>
          </w:p>
        </w:tc>
        <w:tc>
          <w:tcPr>
            <w:tcW w:w="444" w:type="pct"/>
            <w:tcBorders>
              <w:top w:val="nil"/>
              <w:left w:val="single" w:sz="4" w:space="0" w:color="808080"/>
              <w:bottom w:val="nil"/>
              <w:right w:val="single" w:sz="8" w:space="0" w:color="808080"/>
            </w:tcBorders>
            <w:shd w:val="clear" w:color="auto" w:fill="auto"/>
            <w:vAlign w:val="center"/>
            <w:hideMark/>
          </w:tcPr>
          <w:p w14:paraId="21B071D3"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3 136 </w:t>
            </w:r>
          </w:p>
        </w:tc>
      </w:tr>
      <w:tr w:rsidR="006D34EE" w:rsidRPr="00CC659A" w14:paraId="4D4E84F4" w14:textId="77777777" w:rsidTr="00477854">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1489A3F2" w14:textId="77777777" w:rsidR="00CC659A" w:rsidRPr="00CC659A" w:rsidRDefault="00CC659A" w:rsidP="00CC659A">
            <w:pPr>
              <w:spacing w:after="0" w:line="240" w:lineRule="auto"/>
              <w:ind w:left="-108"/>
              <w:jc w:val="right"/>
              <w:rPr>
                <w:rFonts w:eastAsia="Times New Roman"/>
                <w:color w:val="000000"/>
                <w:sz w:val="16"/>
                <w:szCs w:val="16"/>
                <w:lang w:val="es-ES"/>
              </w:rPr>
            </w:pPr>
            <w:r w:rsidRPr="00CC659A">
              <w:rPr>
                <w:rFonts w:eastAsia="Times New Roman"/>
                <w:color w:val="000000"/>
                <w:sz w:val="16"/>
                <w:szCs w:val="16"/>
                <w:lang w:val="es-ES"/>
              </w:rPr>
              <w:t>41</w:t>
            </w:r>
          </w:p>
        </w:tc>
        <w:tc>
          <w:tcPr>
            <w:tcW w:w="920" w:type="pct"/>
            <w:tcBorders>
              <w:top w:val="nil"/>
              <w:left w:val="nil"/>
              <w:bottom w:val="nil"/>
              <w:right w:val="nil"/>
            </w:tcBorders>
            <w:shd w:val="clear" w:color="auto" w:fill="auto"/>
            <w:vAlign w:val="center"/>
            <w:hideMark/>
          </w:tcPr>
          <w:p w14:paraId="7F634A7C" w14:textId="05CCD54E" w:rsidR="00CC659A" w:rsidRPr="00CC659A" w:rsidRDefault="00D75212" w:rsidP="00CC659A">
            <w:pPr>
              <w:spacing w:after="0" w:line="240" w:lineRule="auto"/>
              <w:ind w:left="-108"/>
              <w:rPr>
                <w:rFonts w:eastAsia="Times New Roman"/>
                <w:color w:val="000000"/>
                <w:sz w:val="16"/>
                <w:szCs w:val="16"/>
                <w:lang w:val="es-ES"/>
              </w:rPr>
            </w:pPr>
            <w:r>
              <w:rPr>
                <w:rFonts w:eastAsia="Times New Roman"/>
                <w:color w:val="000000"/>
                <w:sz w:val="16"/>
                <w:szCs w:val="16"/>
                <w:lang w:val="es-ES"/>
              </w:rPr>
              <w:t>Eritrea</w:t>
            </w:r>
          </w:p>
        </w:tc>
        <w:tc>
          <w:tcPr>
            <w:tcW w:w="404" w:type="pct"/>
            <w:tcBorders>
              <w:top w:val="nil"/>
              <w:left w:val="nil"/>
              <w:bottom w:val="nil"/>
              <w:right w:val="nil"/>
            </w:tcBorders>
            <w:shd w:val="clear" w:color="auto" w:fill="auto"/>
            <w:vAlign w:val="center"/>
            <w:hideMark/>
          </w:tcPr>
          <w:p w14:paraId="1F2D7381" w14:textId="77777777" w:rsidR="00CC659A" w:rsidRPr="00CC659A" w:rsidRDefault="00CC659A" w:rsidP="00CC659A">
            <w:pPr>
              <w:spacing w:after="0" w:line="240" w:lineRule="auto"/>
              <w:ind w:left="-108"/>
              <w:jc w:val="center"/>
              <w:rPr>
                <w:rFonts w:eastAsia="Times New Roman"/>
                <w:color w:val="000000"/>
                <w:sz w:val="16"/>
                <w:szCs w:val="16"/>
                <w:lang w:val="es-ES"/>
              </w:rPr>
            </w:pPr>
            <w:r w:rsidRPr="00CC659A">
              <w:rPr>
                <w:rFonts w:eastAsia="Times New Roman"/>
                <w:color w:val="000000"/>
                <w:sz w:val="16"/>
                <w:szCs w:val="16"/>
                <w:lang w:val="es-ES"/>
              </w:rPr>
              <w:t>0.001</w:t>
            </w:r>
          </w:p>
        </w:tc>
        <w:tc>
          <w:tcPr>
            <w:tcW w:w="420" w:type="pct"/>
            <w:tcBorders>
              <w:top w:val="nil"/>
              <w:left w:val="nil"/>
              <w:bottom w:val="nil"/>
              <w:right w:val="single" w:sz="8" w:space="0" w:color="808080"/>
            </w:tcBorders>
            <w:shd w:val="clear" w:color="auto" w:fill="auto"/>
            <w:vAlign w:val="center"/>
            <w:hideMark/>
          </w:tcPr>
          <w:p w14:paraId="2DB4EA77" w14:textId="77777777" w:rsidR="00CC659A" w:rsidRPr="00CC659A" w:rsidRDefault="00CC659A" w:rsidP="00CC659A">
            <w:pPr>
              <w:spacing w:after="0" w:line="240" w:lineRule="auto"/>
              <w:ind w:left="-108"/>
              <w:jc w:val="right"/>
              <w:rPr>
                <w:rFonts w:eastAsia="Times New Roman" w:cs="Arial"/>
                <w:color w:val="000000"/>
                <w:sz w:val="16"/>
                <w:szCs w:val="16"/>
                <w:lang w:val="es-ES"/>
              </w:rPr>
            </w:pPr>
            <w:r w:rsidRPr="00CC659A">
              <w:rPr>
                <w:rFonts w:eastAsia="Times New Roman" w:cs="Arial"/>
                <w:color w:val="000000"/>
                <w:sz w:val="16"/>
                <w:szCs w:val="16"/>
                <w:lang w:val="es-ES"/>
              </w:rPr>
              <w:t xml:space="preserve">0.002 </w:t>
            </w:r>
          </w:p>
        </w:tc>
        <w:tc>
          <w:tcPr>
            <w:tcW w:w="444" w:type="pct"/>
            <w:tcBorders>
              <w:top w:val="nil"/>
              <w:left w:val="nil"/>
              <w:bottom w:val="nil"/>
              <w:right w:val="single" w:sz="4" w:space="0" w:color="808080"/>
            </w:tcBorders>
            <w:shd w:val="clear" w:color="auto" w:fill="auto"/>
            <w:vAlign w:val="center"/>
            <w:hideMark/>
          </w:tcPr>
          <w:p w14:paraId="10939F77"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201 </w:t>
            </w:r>
          </w:p>
        </w:tc>
        <w:tc>
          <w:tcPr>
            <w:tcW w:w="437" w:type="pct"/>
            <w:tcBorders>
              <w:top w:val="nil"/>
              <w:left w:val="nil"/>
              <w:bottom w:val="nil"/>
              <w:right w:val="single" w:sz="8" w:space="0" w:color="808080"/>
            </w:tcBorders>
            <w:shd w:val="clear" w:color="auto" w:fill="auto"/>
            <w:vAlign w:val="center"/>
            <w:hideMark/>
          </w:tcPr>
          <w:p w14:paraId="0A594F9B"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67 </w:t>
            </w:r>
          </w:p>
        </w:tc>
        <w:tc>
          <w:tcPr>
            <w:tcW w:w="444" w:type="pct"/>
            <w:tcBorders>
              <w:top w:val="nil"/>
              <w:left w:val="nil"/>
              <w:bottom w:val="nil"/>
              <w:right w:val="single" w:sz="4" w:space="0" w:color="808080"/>
            </w:tcBorders>
            <w:shd w:val="clear" w:color="auto" w:fill="auto"/>
            <w:vAlign w:val="center"/>
            <w:hideMark/>
          </w:tcPr>
          <w:p w14:paraId="1F4FA9B4"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225 </w:t>
            </w:r>
          </w:p>
        </w:tc>
        <w:tc>
          <w:tcPr>
            <w:tcW w:w="437" w:type="pct"/>
            <w:tcBorders>
              <w:top w:val="nil"/>
              <w:left w:val="nil"/>
              <w:bottom w:val="nil"/>
              <w:right w:val="single" w:sz="8" w:space="0" w:color="808080"/>
            </w:tcBorders>
            <w:shd w:val="clear" w:color="auto" w:fill="auto"/>
            <w:vAlign w:val="center"/>
            <w:hideMark/>
          </w:tcPr>
          <w:p w14:paraId="4E2E214D"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75 </w:t>
            </w:r>
          </w:p>
        </w:tc>
        <w:tc>
          <w:tcPr>
            <w:tcW w:w="444" w:type="pct"/>
            <w:tcBorders>
              <w:top w:val="nil"/>
              <w:left w:val="nil"/>
              <w:bottom w:val="nil"/>
              <w:right w:val="single" w:sz="4" w:space="0" w:color="808080"/>
            </w:tcBorders>
            <w:shd w:val="clear" w:color="auto" w:fill="auto"/>
            <w:vAlign w:val="center"/>
            <w:hideMark/>
          </w:tcPr>
          <w:p w14:paraId="5AC068AE"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263 </w:t>
            </w:r>
          </w:p>
        </w:tc>
        <w:tc>
          <w:tcPr>
            <w:tcW w:w="437" w:type="pct"/>
            <w:tcBorders>
              <w:top w:val="nil"/>
              <w:left w:val="nil"/>
              <w:bottom w:val="nil"/>
              <w:right w:val="single" w:sz="8" w:space="0" w:color="808080"/>
            </w:tcBorders>
            <w:shd w:val="clear" w:color="auto" w:fill="auto"/>
            <w:vAlign w:val="center"/>
            <w:hideMark/>
          </w:tcPr>
          <w:p w14:paraId="227CAFA8"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88 </w:t>
            </w:r>
          </w:p>
        </w:tc>
        <w:tc>
          <w:tcPr>
            <w:tcW w:w="444" w:type="pct"/>
            <w:tcBorders>
              <w:top w:val="nil"/>
              <w:left w:val="single" w:sz="4" w:space="0" w:color="808080"/>
              <w:bottom w:val="nil"/>
              <w:right w:val="single" w:sz="8" w:space="0" w:color="808080"/>
            </w:tcBorders>
            <w:shd w:val="clear" w:color="auto" w:fill="auto"/>
            <w:vAlign w:val="center"/>
            <w:hideMark/>
          </w:tcPr>
          <w:p w14:paraId="246B8EB5"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197 </w:t>
            </w:r>
          </w:p>
        </w:tc>
      </w:tr>
      <w:tr w:rsidR="006D34EE" w:rsidRPr="00CC659A" w14:paraId="020813B8" w14:textId="77777777" w:rsidTr="00477854">
        <w:trPr>
          <w:trHeight w:val="60"/>
        </w:trPr>
        <w:tc>
          <w:tcPr>
            <w:tcW w:w="168" w:type="pct"/>
            <w:tcBorders>
              <w:top w:val="nil"/>
              <w:left w:val="single" w:sz="8" w:space="0" w:color="808080"/>
              <w:bottom w:val="nil"/>
              <w:right w:val="single" w:sz="8" w:space="0" w:color="808080"/>
            </w:tcBorders>
            <w:shd w:val="clear" w:color="auto" w:fill="auto"/>
            <w:vAlign w:val="center"/>
            <w:hideMark/>
          </w:tcPr>
          <w:p w14:paraId="584F5E41" w14:textId="77777777" w:rsidR="00CC659A" w:rsidRPr="00CC659A" w:rsidRDefault="00CC659A" w:rsidP="00CC659A">
            <w:pPr>
              <w:spacing w:after="0" w:line="240" w:lineRule="auto"/>
              <w:ind w:left="-108"/>
              <w:jc w:val="right"/>
              <w:rPr>
                <w:rFonts w:eastAsia="Times New Roman"/>
                <w:color w:val="000000"/>
                <w:sz w:val="16"/>
                <w:szCs w:val="16"/>
                <w:lang w:val="es-ES"/>
              </w:rPr>
            </w:pPr>
            <w:r w:rsidRPr="00CC659A">
              <w:rPr>
                <w:rFonts w:eastAsia="Times New Roman"/>
                <w:color w:val="000000"/>
                <w:sz w:val="16"/>
                <w:szCs w:val="16"/>
                <w:lang w:val="es-ES"/>
              </w:rPr>
              <w:t>42</w:t>
            </w:r>
          </w:p>
        </w:tc>
        <w:tc>
          <w:tcPr>
            <w:tcW w:w="920" w:type="pct"/>
            <w:tcBorders>
              <w:top w:val="nil"/>
              <w:left w:val="nil"/>
              <w:bottom w:val="nil"/>
              <w:right w:val="nil"/>
            </w:tcBorders>
            <w:shd w:val="clear" w:color="auto" w:fill="auto"/>
            <w:vAlign w:val="center"/>
            <w:hideMark/>
          </w:tcPr>
          <w:p w14:paraId="77DFC6BE" w14:textId="1CFAE400"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Estoni</w:t>
            </w:r>
            <w:r w:rsidR="00F44430">
              <w:rPr>
                <w:rFonts w:eastAsia="Times New Roman"/>
                <w:color w:val="000000"/>
                <w:sz w:val="16"/>
                <w:szCs w:val="16"/>
                <w:lang w:val="es-ES"/>
              </w:rPr>
              <w:t>a</w:t>
            </w:r>
          </w:p>
        </w:tc>
        <w:tc>
          <w:tcPr>
            <w:tcW w:w="404" w:type="pct"/>
            <w:tcBorders>
              <w:top w:val="nil"/>
              <w:left w:val="nil"/>
              <w:bottom w:val="nil"/>
              <w:right w:val="nil"/>
            </w:tcBorders>
            <w:shd w:val="clear" w:color="auto" w:fill="auto"/>
            <w:vAlign w:val="center"/>
            <w:hideMark/>
          </w:tcPr>
          <w:p w14:paraId="5ED84CC6" w14:textId="77777777" w:rsidR="00CC659A" w:rsidRPr="00CC659A" w:rsidRDefault="00CC659A" w:rsidP="00CC659A">
            <w:pPr>
              <w:spacing w:after="0" w:line="240" w:lineRule="auto"/>
              <w:ind w:left="-108"/>
              <w:jc w:val="center"/>
              <w:rPr>
                <w:rFonts w:eastAsia="Times New Roman"/>
                <w:color w:val="000000"/>
                <w:sz w:val="16"/>
                <w:szCs w:val="16"/>
                <w:lang w:val="es-ES"/>
              </w:rPr>
            </w:pPr>
            <w:r w:rsidRPr="00CC659A">
              <w:rPr>
                <w:rFonts w:eastAsia="Times New Roman"/>
                <w:color w:val="000000"/>
                <w:sz w:val="16"/>
                <w:szCs w:val="16"/>
                <w:lang w:val="es-ES"/>
              </w:rPr>
              <w:t>0.044</w:t>
            </w:r>
          </w:p>
        </w:tc>
        <w:tc>
          <w:tcPr>
            <w:tcW w:w="420" w:type="pct"/>
            <w:tcBorders>
              <w:top w:val="nil"/>
              <w:left w:val="nil"/>
              <w:bottom w:val="nil"/>
              <w:right w:val="single" w:sz="8" w:space="0" w:color="808080"/>
            </w:tcBorders>
            <w:shd w:val="clear" w:color="auto" w:fill="auto"/>
            <w:vAlign w:val="center"/>
            <w:hideMark/>
          </w:tcPr>
          <w:p w14:paraId="2B063B8C" w14:textId="77777777" w:rsidR="00CC659A" w:rsidRPr="00CC659A" w:rsidRDefault="00CC659A" w:rsidP="00CC659A">
            <w:pPr>
              <w:spacing w:after="0" w:line="240" w:lineRule="auto"/>
              <w:ind w:left="-108"/>
              <w:jc w:val="right"/>
              <w:rPr>
                <w:rFonts w:eastAsia="Times New Roman" w:cs="Arial"/>
                <w:color w:val="000000"/>
                <w:sz w:val="16"/>
                <w:szCs w:val="16"/>
                <w:lang w:val="es-ES"/>
              </w:rPr>
            </w:pPr>
            <w:r w:rsidRPr="00CC659A">
              <w:rPr>
                <w:rFonts w:eastAsia="Times New Roman" w:cs="Arial"/>
                <w:color w:val="000000"/>
                <w:sz w:val="16"/>
                <w:szCs w:val="16"/>
                <w:lang w:val="es-ES"/>
              </w:rPr>
              <w:t xml:space="preserve">0.101 </w:t>
            </w:r>
          </w:p>
        </w:tc>
        <w:tc>
          <w:tcPr>
            <w:tcW w:w="444" w:type="pct"/>
            <w:tcBorders>
              <w:top w:val="nil"/>
              <w:left w:val="nil"/>
              <w:bottom w:val="nil"/>
              <w:right w:val="single" w:sz="4" w:space="0" w:color="808080"/>
            </w:tcBorders>
            <w:shd w:val="clear" w:color="auto" w:fill="auto"/>
            <w:vAlign w:val="center"/>
            <w:hideMark/>
          </w:tcPr>
          <w:p w14:paraId="292727C0"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8 862 </w:t>
            </w:r>
          </w:p>
        </w:tc>
        <w:tc>
          <w:tcPr>
            <w:tcW w:w="437" w:type="pct"/>
            <w:tcBorders>
              <w:top w:val="nil"/>
              <w:left w:val="nil"/>
              <w:bottom w:val="nil"/>
              <w:right w:val="single" w:sz="8" w:space="0" w:color="808080"/>
            </w:tcBorders>
            <w:shd w:val="clear" w:color="auto" w:fill="auto"/>
            <w:vAlign w:val="center"/>
            <w:hideMark/>
          </w:tcPr>
          <w:p w14:paraId="5E2CCBF0"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2 954 </w:t>
            </w:r>
          </w:p>
        </w:tc>
        <w:tc>
          <w:tcPr>
            <w:tcW w:w="444" w:type="pct"/>
            <w:tcBorders>
              <w:top w:val="nil"/>
              <w:left w:val="nil"/>
              <w:bottom w:val="nil"/>
              <w:right w:val="single" w:sz="4" w:space="0" w:color="808080"/>
            </w:tcBorders>
            <w:shd w:val="clear" w:color="auto" w:fill="auto"/>
            <w:vAlign w:val="center"/>
            <w:hideMark/>
          </w:tcPr>
          <w:p w14:paraId="77989232"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9 886 </w:t>
            </w:r>
          </w:p>
        </w:tc>
        <w:tc>
          <w:tcPr>
            <w:tcW w:w="437" w:type="pct"/>
            <w:tcBorders>
              <w:top w:val="nil"/>
              <w:left w:val="nil"/>
              <w:bottom w:val="nil"/>
              <w:right w:val="single" w:sz="8" w:space="0" w:color="808080"/>
            </w:tcBorders>
            <w:shd w:val="clear" w:color="auto" w:fill="auto"/>
            <w:vAlign w:val="center"/>
            <w:hideMark/>
          </w:tcPr>
          <w:p w14:paraId="332D8A77"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3 295 </w:t>
            </w:r>
          </w:p>
        </w:tc>
        <w:tc>
          <w:tcPr>
            <w:tcW w:w="444" w:type="pct"/>
            <w:tcBorders>
              <w:top w:val="nil"/>
              <w:left w:val="nil"/>
              <w:bottom w:val="nil"/>
              <w:right w:val="single" w:sz="4" w:space="0" w:color="808080"/>
            </w:tcBorders>
            <w:shd w:val="clear" w:color="auto" w:fill="auto"/>
            <w:vAlign w:val="center"/>
            <w:hideMark/>
          </w:tcPr>
          <w:p w14:paraId="7525CC45"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11 575 </w:t>
            </w:r>
          </w:p>
        </w:tc>
        <w:tc>
          <w:tcPr>
            <w:tcW w:w="437" w:type="pct"/>
            <w:tcBorders>
              <w:top w:val="nil"/>
              <w:left w:val="nil"/>
              <w:bottom w:val="nil"/>
              <w:right w:val="single" w:sz="8" w:space="0" w:color="808080"/>
            </w:tcBorders>
            <w:shd w:val="clear" w:color="auto" w:fill="auto"/>
            <w:vAlign w:val="center"/>
            <w:hideMark/>
          </w:tcPr>
          <w:p w14:paraId="461A797D"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3 858 </w:t>
            </w:r>
          </w:p>
        </w:tc>
        <w:tc>
          <w:tcPr>
            <w:tcW w:w="444" w:type="pct"/>
            <w:tcBorders>
              <w:top w:val="nil"/>
              <w:left w:val="single" w:sz="4" w:space="0" w:color="808080"/>
              <w:bottom w:val="nil"/>
              <w:right w:val="single" w:sz="8" w:space="0" w:color="808080"/>
            </w:tcBorders>
            <w:shd w:val="clear" w:color="auto" w:fill="auto"/>
            <w:vAlign w:val="center"/>
            <w:hideMark/>
          </w:tcPr>
          <w:p w14:paraId="00B38529"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7 643 </w:t>
            </w:r>
          </w:p>
        </w:tc>
      </w:tr>
      <w:tr w:rsidR="006D34EE" w:rsidRPr="00CC659A" w14:paraId="34C5C16D" w14:textId="77777777" w:rsidTr="00477854">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0AE93890" w14:textId="77777777" w:rsidR="00CC659A" w:rsidRPr="00CC659A" w:rsidRDefault="00CC659A" w:rsidP="00CC659A">
            <w:pPr>
              <w:spacing w:after="0" w:line="240" w:lineRule="auto"/>
              <w:ind w:left="-108"/>
              <w:jc w:val="right"/>
              <w:rPr>
                <w:rFonts w:eastAsia="Times New Roman"/>
                <w:color w:val="000000"/>
                <w:sz w:val="16"/>
                <w:szCs w:val="16"/>
                <w:lang w:val="es-ES"/>
              </w:rPr>
            </w:pPr>
            <w:r w:rsidRPr="00CC659A">
              <w:rPr>
                <w:rFonts w:eastAsia="Times New Roman"/>
                <w:color w:val="000000"/>
                <w:sz w:val="16"/>
                <w:szCs w:val="16"/>
                <w:lang w:val="es-ES"/>
              </w:rPr>
              <w:t>43</w:t>
            </w:r>
          </w:p>
        </w:tc>
        <w:tc>
          <w:tcPr>
            <w:tcW w:w="920" w:type="pct"/>
            <w:tcBorders>
              <w:top w:val="nil"/>
              <w:left w:val="nil"/>
              <w:bottom w:val="nil"/>
              <w:right w:val="nil"/>
            </w:tcBorders>
            <w:shd w:val="clear" w:color="auto" w:fill="auto"/>
            <w:vAlign w:val="center"/>
            <w:hideMark/>
          </w:tcPr>
          <w:p w14:paraId="302BAC90"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Eswatini</w:t>
            </w:r>
          </w:p>
        </w:tc>
        <w:tc>
          <w:tcPr>
            <w:tcW w:w="404" w:type="pct"/>
            <w:tcBorders>
              <w:top w:val="nil"/>
              <w:left w:val="nil"/>
              <w:bottom w:val="nil"/>
              <w:right w:val="nil"/>
            </w:tcBorders>
            <w:shd w:val="clear" w:color="auto" w:fill="auto"/>
            <w:vAlign w:val="center"/>
            <w:hideMark/>
          </w:tcPr>
          <w:p w14:paraId="1687DD04" w14:textId="77777777" w:rsidR="00CC659A" w:rsidRPr="00CC659A" w:rsidRDefault="00CC659A" w:rsidP="00CC659A">
            <w:pPr>
              <w:spacing w:after="0" w:line="240" w:lineRule="auto"/>
              <w:ind w:left="-108"/>
              <w:jc w:val="center"/>
              <w:rPr>
                <w:rFonts w:eastAsia="Times New Roman"/>
                <w:color w:val="000000"/>
                <w:sz w:val="16"/>
                <w:szCs w:val="16"/>
                <w:lang w:val="es-ES"/>
              </w:rPr>
            </w:pPr>
            <w:r w:rsidRPr="00CC659A">
              <w:rPr>
                <w:rFonts w:eastAsia="Times New Roman"/>
                <w:color w:val="000000"/>
                <w:sz w:val="16"/>
                <w:szCs w:val="16"/>
                <w:lang w:val="es-ES"/>
              </w:rPr>
              <w:t>0.002</w:t>
            </w:r>
          </w:p>
        </w:tc>
        <w:tc>
          <w:tcPr>
            <w:tcW w:w="420" w:type="pct"/>
            <w:tcBorders>
              <w:top w:val="nil"/>
              <w:left w:val="nil"/>
              <w:bottom w:val="nil"/>
              <w:right w:val="single" w:sz="8" w:space="0" w:color="808080"/>
            </w:tcBorders>
            <w:shd w:val="clear" w:color="auto" w:fill="auto"/>
            <w:vAlign w:val="center"/>
            <w:hideMark/>
          </w:tcPr>
          <w:p w14:paraId="75368E82" w14:textId="77777777" w:rsidR="00CC659A" w:rsidRPr="00CC659A" w:rsidRDefault="00CC659A" w:rsidP="00CC659A">
            <w:pPr>
              <w:spacing w:after="0" w:line="240" w:lineRule="auto"/>
              <w:ind w:left="-108"/>
              <w:jc w:val="right"/>
              <w:rPr>
                <w:rFonts w:eastAsia="Times New Roman" w:cs="Arial"/>
                <w:color w:val="000000"/>
                <w:sz w:val="16"/>
                <w:szCs w:val="16"/>
                <w:lang w:val="es-ES"/>
              </w:rPr>
            </w:pPr>
            <w:r w:rsidRPr="00CC659A">
              <w:rPr>
                <w:rFonts w:eastAsia="Times New Roman" w:cs="Arial"/>
                <w:color w:val="000000"/>
                <w:sz w:val="16"/>
                <w:szCs w:val="16"/>
                <w:lang w:val="es-ES"/>
              </w:rPr>
              <w:t xml:space="preserve">0.005 </w:t>
            </w:r>
          </w:p>
        </w:tc>
        <w:tc>
          <w:tcPr>
            <w:tcW w:w="444" w:type="pct"/>
            <w:tcBorders>
              <w:top w:val="nil"/>
              <w:left w:val="nil"/>
              <w:bottom w:val="nil"/>
              <w:right w:val="single" w:sz="4" w:space="0" w:color="808080"/>
            </w:tcBorders>
            <w:shd w:val="clear" w:color="auto" w:fill="auto"/>
            <w:vAlign w:val="center"/>
            <w:hideMark/>
          </w:tcPr>
          <w:p w14:paraId="490609F0"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403 </w:t>
            </w:r>
          </w:p>
        </w:tc>
        <w:tc>
          <w:tcPr>
            <w:tcW w:w="437" w:type="pct"/>
            <w:tcBorders>
              <w:top w:val="nil"/>
              <w:left w:val="nil"/>
              <w:bottom w:val="nil"/>
              <w:right w:val="single" w:sz="8" w:space="0" w:color="808080"/>
            </w:tcBorders>
            <w:shd w:val="clear" w:color="auto" w:fill="auto"/>
            <w:vAlign w:val="center"/>
            <w:hideMark/>
          </w:tcPr>
          <w:p w14:paraId="07B807A5"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134 </w:t>
            </w:r>
          </w:p>
        </w:tc>
        <w:tc>
          <w:tcPr>
            <w:tcW w:w="444" w:type="pct"/>
            <w:tcBorders>
              <w:top w:val="nil"/>
              <w:left w:val="nil"/>
              <w:bottom w:val="nil"/>
              <w:right w:val="single" w:sz="4" w:space="0" w:color="808080"/>
            </w:tcBorders>
            <w:shd w:val="clear" w:color="auto" w:fill="auto"/>
            <w:vAlign w:val="center"/>
            <w:hideMark/>
          </w:tcPr>
          <w:p w14:paraId="3A09F50C"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449 </w:t>
            </w:r>
          </w:p>
        </w:tc>
        <w:tc>
          <w:tcPr>
            <w:tcW w:w="437" w:type="pct"/>
            <w:tcBorders>
              <w:top w:val="nil"/>
              <w:left w:val="nil"/>
              <w:bottom w:val="nil"/>
              <w:right w:val="single" w:sz="8" w:space="0" w:color="808080"/>
            </w:tcBorders>
            <w:shd w:val="clear" w:color="auto" w:fill="auto"/>
            <w:vAlign w:val="center"/>
            <w:hideMark/>
          </w:tcPr>
          <w:p w14:paraId="2B0A985D"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150 </w:t>
            </w:r>
          </w:p>
        </w:tc>
        <w:tc>
          <w:tcPr>
            <w:tcW w:w="444" w:type="pct"/>
            <w:tcBorders>
              <w:top w:val="nil"/>
              <w:left w:val="nil"/>
              <w:bottom w:val="nil"/>
              <w:right w:val="single" w:sz="4" w:space="0" w:color="808080"/>
            </w:tcBorders>
            <w:shd w:val="clear" w:color="auto" w:fill="auto"/>
            <w:vAlign w:val="center"/>
            <w:hideMark/>
          </w:tcPr>
          <w:p w14:paraId="5083FACE"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526 </w:t>
            </w:r>
          </w:p>
        </w:tc>
        <w:tc>
          <w:tcPr>
            <w:tcW w:w="437" w:type="pct"/>
            <w:tcBorders>
              <w:top w:val="nil"/>
              <w:left w:val="nil"/>
              <w:bottom w:val="nil"/>
              <w:right w:val="single" w:sz="8" w:space="0" w:color="808080"/>
            </w:tcBorders>
            <w:shd w:val="clear" w:color="auto" w:fill="auto"/>
            <w:vAlign w:val="center"/>
            <w:hideMark/>
          </w:tcPr>
          <w:p w14:paraId="72399490"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175 </w:t>
            </w:r>
          </w:p>
        </w:tc>
        <w:tc>
          <w:tcPr>
            <w:tcW w:w="444" w:type="pct"/>
            <w:tcBorders>
              <w:top w:val="nil"/>
              <w:left w:val="single" w:sz="4" w:space="0" w:color="808080"/>
              <w:bottom w:val="nil"/>
              <w:right w:val="single" w:sz="8" w:space="0" w:color="808080"/>
            </w:tcBorders>
            <w:shd w:val="clear" w:color="auto" w:fill="auto"/>
            <w:vAlign w:val="center"/>
            <w:hideMark/>
          </w:tcPr>
          <w:p w14:paraId="26054F73"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391 </w:t>
            </w:r>
          </w:p>
        </w:tc>
      </w:tr>
      <w:tr w:rsidR="006D34EE" w:rsidRPr="00CC659A" w14:paraId="53C43041" w14:textId="77777777" w:rsidTr="00477854">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219A337D" w14:textId="77777777" w:rsidR="00CC659A" w:rsidRPr="00CC659A" w:rsidRDefault="00CC659A" w:rsidP="00CC659A">
            <w:pPr>
              <w:spacing w:after="0" w:line="240" w:lineRule="auto"/>
              <w:ind w:left="-108"/>
              <w:jc w:val="right"/>
              <w:rPr>
                <w:rFonts w:eastAsia="Times New Roman"/>
                <w:color w:val="000000"/>
                <w:sz w:val="16"/>
                <w:szCs w:val="16"/>
                <w:lang w:val="es-ES"/>
              </w:rPr>
            </w:pPr>
            <w:r w:rsidRPr="00CC659A">
              <w:rPr>
                <w:rFonts w:eastAsia="Times New Roman"/>
                <w:color w:val="000000"/>
                <w:sz w:val="16"/>
                <w:szCs w:val="16"/>
                <w:lang w:val="es-ES"/>
              </w:rPr>
              <w:t>44</w:t>
            </w:r>
          </w:p>
        </w:tc>
        <w:tc>
          <w:tcPr>
            <w:tcW w:w="920" w:type="pct"/>
            <w:tcBorders>
              <w:top w:val="nil"/>
              <w:left w:val="nil"/>
              <w:bottom w:val="nil"/>
              <w:right w:val="nil"/>
            </w:tcBorders>
            <w:shd w:val="clear" w:color="auto" w:fill="auto"/>
            <w:vAlign w:val="center"/>
            <w:hideMark/>
          </w:tcPr>
          <w:p w14:paraId="33B6016D" w14:textId="706DE030" w:rsidR="00CC659A" w:rsidRPr="00CC659A" w:rsidRDefault="00F44430" w:rsidP="00CC659A">
            <w:pPr>
              <w:spacing w:after="0" w:line="240" w:lineRule="auto"/>
              <w:ind w:left="-108"/>
              <w:rPr>
                <w:rFonts w:eastAsia="Times New Roman"/>
                <w:color w:val="000000"/>
                <w:sz w:val="16"/>
                <w:szCs w:val="16"/>
                <w:lang w:val="es-ES"/>
              </w:rPr>
            </w:pPr>
            <w:r>
              <w:rPr>
                <w:rFonts w:eastAsia="Times New Roman"/>
                <w:color w:val="000000"/>
                <w:sz w:val="16"/>
                <w:szCs w:val="16"/>
                <w:lang w:val="es-ES"/>
              </w:rPr>
              <w:t>Etiopía</w:t>
            </w:r>
          </w:p>
        </w:tc>
        <w:tc>
          <w:tcPr>
            <w:tcW w:w="404" w:type="pct"/>
            <w:tcBorders>
              <w:top w:val="nil"/>
              <w:left w:val="nil"/>
              <w:bottom w:val="nil"/>
              <w:right w:val="nil"/>
            </w:tcBorders>
            <w:shd w:val="clear" w:color="auto" w:fill="auto"/>
            <w:vAlign w:val="center"/>
            <w:hideMark/>
          </w:tcPr>
          <w:p w14:paraId="68618338" w14:textId="77777777" w:rsidR="00CC659A" w:rsidRPr="00CC659A" w:rsidRDefault="00CC659A" w:rsidP="00CC659A">
            <w:pPr>
              <w:spacing w:after="0" w:line="240" w:lineRule="auto"/>
              <w:ind w:left="-108"/>
              <w:jc w:val="center"/>
              <w:rPr>
                <w:rFonts w:eastAsia="Times New Roman"/>
                <w:color w:val="000000"/>
                <w:sz w:val="16"/>
                <w:szCs w:val="16"/>
                <w:lang w:val="es-ES"/>
              </w:rPr>
            </w:pPr>
            <w:r w:rsidRPr="00CC659A">
              <w:rPr>
                <w:rFonts w:eastAsia="Times New Roman"/>
                <w:color w:val="000000"/>
                <w:sz w:val="16"/>
                <w:szCs w:val="16"/>
                <w:lang w:val="es-ES"/>
              </w:rPr>
              <w:t>0.01</w:t>
            </w:r>
          </w:p>
        </w:tc>
        <w:tc>
          <w:tcPr>
            <w:tcW w:w="420" w:type="pct"/>
            <w:tcBorders>
              <w:top w:val="nil"/>
              <w:left w:val="nil"/>
              <w:bottom w:val="nil"/>
              <w:right w:val="single" w:sz="8" w:space="0" w:color="808080"/>
            </w:tcBorders>
            <w:shd w:val="clear" w:color="auto" w:fill="auto"/>
            <w:vAlign w:val="center"/>
            <w:hideMark/>
          </w:tcPr>
          <w:p w14:paraId="7FF3E643" w14:textId="77777777" w:rsidR="00CC659A" w:rsidRPr="00CC659A" w:rsidRDefault="00CC659A" w:rsidP="00CC659A">
            <w:pPr>
              <w:spacing w:after="0" w:line="240" w:lineRule="auto"/>
              <w:ind w:left="-108"/>
              <w:jc w:val="right"/>
              <w:rPr>
                <w:rFonts w:eastAsia="Times New Roman" w:cs="Arial"/>
                <w:color w:val="000000"/>
                <w:sz w:val="16"/>
                <w:szCs w:val="16"/>
                <w:lang w:val="es-ES"/>
              </w:rPr>
            </w:pPr>
            <w:r w:rsidRPr="00CC659A">
              <w:rPr>
                <w:rFonts w:eastAsia="Times New Roman" w:cs="Arial"/>
                <w:color w:val="000000"/>
                <w:sz w:val="16"/>
                <w:szCs w:val="16"/>
                <w:lang w:val="es-ES"/>
              </w:rPr>
              <w:t xml:space="preserve">0.023 </w:t>
            </w:r>
          </w:p>
        </w:tc>
        <w:tc>
          <w:tcPr>
            <w:tcW w:w="444" w:type="pct"/>
            <w:tcBorders>
              <w:top w:val="nil"/>
              <w:left w:val="nil"/>
              <w:bottom w:val="nil"/>
              <w:right w:val="single" w:sz="4" w:space="0" w:color="808080"/>
            </w:tcBorders>
            <w:shd w:val="clear" w:color="auto" w:fill="auto"/>
            <w:vAlign w:val="center"/>
            <w:hideMark/>
          </w:tcPr>
          <w:p w14:paraId="4AD5A042"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2 014 </w:t>
            </w:r>
          </w:p>
        </w:tc>
        <w:tc>
          <w:tcPr>
            <w:tcW w:w="437" w:type="pct"/>
            <w:tcBorders>
              <w:top w:val="nil"/>
              <w:left w:val="nil"/>
              <w:bottom w:val="nil"/>
              <w:right w:val="single" w:sz="8" w:space="0" w:color="808080"/>
            </w:tcBorders>
            <w:shd w:val="clear" w:color="auto" w:fill="auto"/>
            <w:vAlign w:val="center"/>
            <w:hideMark/>
          </w:tcPr>
          <w:p w14:paraId="0071F100"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671 </w:t>
            </w:r>
          </w:p>
        </w:tc>
        <w:tc>
          <w:tcPr>
            <w:tcW w:w="444" w:type="pct"/>
            <w:tcBorders>
              <w:top w:val="nil"/>
              <w:left w:val="nil"/>
              <w:bottom w:val="nil"/>
              <w:right w:val="single" w:sz="4" w:space="0" w:color="808080"/>
            </w:tcBorders>
            <w:shd w:val="clear" w:color="auto" w:fill="auto"/>
            <w:vAlign w:val="center"/>
            <w:hideMark/>
          </w:tcPr>
          <w:p w14:paraId="2E374B7E"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2 247 </w:t>
            </w:r>
          </w:p>
        </w:tc>
        <w:tc>
          <w:tcPr>
            <w:tcW w:w="437" w:type="pct"/>
            <w:tcBorders>
              <w:top w:val="nil"/>
              <w:left w:val="nil"/>
              <w:bottom w:val="nil"/>
              <w:right w:val="single" w:sz="8" w:space="0" w:color="808080"/>
            </w:tcBorders>
            <w:shd w:val="clear" w:color="auto" w:fill="auto"/>
            <w:vAlign w:val="center"/>
            <w:hideMark/>
          </w:tcPr>
          <w:p w14:paraId="1A57E6FC"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749 </w:t>
            </w:r>
          </w:p>
        </w:tc>
        <w:tc>
          <w:tcPr>
            <w:tcW w:w="444" w:type="pct"/>
            <w:tcBorders>
              <w:top w:val="nil"/>
              <w:left w:val="nil"/>
              <w:bottom w:val="nil"/>
              <w:right w:val="single" w:sz="4" w:space="0" w:color="808080"/>
            </w:tcBorders>
            <w:shd w:val="clear" w:color="auto" w:fill="auto"/>
            <w:vAlign w:val="center"/>
            <w:hideMark/>
          </w:tcPr>
          <w:p w14:paraId="39451818"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2 631 </w:t>
            </w:r>
          </w:p>
        </w:tc>
        <w:tc>
          <w:tcPr>
            <w:tcW w:w="437" w:type="pct"/>
            <w:tcBorders>
              <w:top w:val="nil"/>
              <w:left w:val="nil"/>
              <w:bottom w:val="nil"/>
              <w:right w:val="single" w:sz="8" w:space="0" w:color="808080"/>
            </w:tcBorders>
            <w:shd w:val="clear" w:color="auto" w:fill="auto"/>
            <w:vAlign w:val="center"/>
            <w:hideMark/>
          </w:tcPr>
          <w:p w14:paraId="2ABA17F1"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877 </w:t>
            </w:r>
          </w:p>
        </w:tc>
        <w:tc>
          <w:tcPr>
            <w:tcW w:w="444" w:type="pct"/>
            <w:tcBorders>
              <w:top w:val="nil"/>
              <w:left w:val="single" w:sz="4" w:space="0" w:color="808080"/>
              <w:bottom w:val="nil"/>
              <w:right w:val="single" w:sz="8" w:space="0" w:color="808080"/>
            </w:tcBorders>
            <w:shd w:val="clear" w:color="auto" w:fill="auto"/>
            <w:vAlign w:val="center"/>
            <w:hideMark/>
          </w:tcPr>
          <w:p w14:paraId="403531CC"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1 960 </w:t>
            </w:r>
          </w:p>
        </w:tc>
      </w:tr>
      <w:tr w:rsidR="006D34EE" w:rsidRPr="00CC659A" w14:paraId="55C9968E" w14:textId="77777777" w:rsidTr="00477854">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287C22F4" w14:textId="77777777" w:rsidR="00CC659A" w:rsidRPr="00CC659A" w:rsidRDefault="00CC659A" w:rsidP="00CC659A">
            <w:pPr>
              <w:spacing w:after="0" w:line="240" w:lineRule="auto"/>
              <w:ind w:left="-108"/>
              <w:jc w:val="right"/>
              <w:rPr>
                <w:rFonts w:eastAsia="Times New Roman"/>
                <w:color w:val="000000"/>
                <w:sz w:val="16"/>
                <w:szCs w:val="16"/>
                <w:lang w:val="es-ES"/>
              </w:rPr>
            </w:pPr>
            <w:r w:rsidRPr="00CC659A">
              <w:rPr>
                <w:rFonts w:eastAsia="Times New Roman"/>
                <w:color w:val="000000"/>
                <w:sz w:val="16"/>
                <w:szCs w:val="16"/>
                <w:lang w:val="es-ES"/>
              </w:rPr>
              <w:t>45</w:t>
            </w:r>
          </w:p>
        </w:tc>
        <w:tc>
          <w:tcPr>
            <w:tcW w:w="920" w:type="pct"/>
            <w:tcBorders>
              <w:top w:val="nil"/>
              <w:left w:val="nil"/>
              <w:bottom w:val="nil"/>
              <w:right w:val="nil"/>
            </w:tcBorders>
            <w:shd w:val="clear" w:color="000000" w:fill="EDEDED"/>
            <w:vAlign w:val="center"/>
            <w:hideMark/>
          </w:tcPr>
          <w:p w14:paraId="3D55AF5A" w14:textId="2FD76466"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Uni</w:t>
            </w:r>
            <w:r w:rsidR="00F44430">
              <w:rPr>
                <w:rFonts w:eastAsia="Times New Roman"/>
                <w:color w:val="000000"/>
                <w:sz w:val="16"/>
                <w:szCs w:val="16"/>
                <w:lang w:val="es-ES"/>
              </w:rPr>
              <w:t>ó</w:t>
            </w:r>
            <w:r w:rsidRPr="00CC659A">
              <w:rPr>
                <w:rFonts w:eastAsia="Times New Roman"/>
                <w:color w:val="000000"/>
                <w:sz w:val="16"/>
                <w:szCs w:val="16"/>
                <w:lang w:val="es-ES"/>
              </w:rPr>
              <w:t xml:space="preserve">n </w:t>
            </w:r>
            <w:r w:rsidR="00F44430">
              <w:rPr>
                <w:rFonts w:eastAsia="Times New Roman"/>
                <w:color w:val="000000"/>
                <w:sz w:val="16"/>
                <w:szCs w:val="16"/>
                <w:lang w:val="es-ES"/>
              </w:rPr>
              <w:t>Europea</w:t>
            </w:r>
          </w:p>
        </w:tc>
        <w:tc>
          <w:tcPr>
            <w:tcW w:w="404" w:type="pct"/>
            <w:tcBorders>
              <w:top w:val="nil"/>
              <w:left w:val="nil"/>
              <w:bottom w:val="nil"/>
              <w:right w:val="nil"/>
            </w:tcBorders>
            <w:shd w:val="clear" w:color="000000" w:fill="EDEDED"/>
            <w:vAlign w:val="center"/>
            <w:hideMark/>
          </w:tcPr>
          <w:p w14:paraId="1B34D8D4"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w:t>
            </w:r>
          </w:p>
        </w:tc>
        <w:tc>
          <w:tcPr>
            <w:tcW w:w="420" w:type="pct"/>
            <w:tcBorders>
              <w:top w:val="nil"/>
              <w:left w:val="nil"/>
              <w:bottom w:val="nil"/>
              <w:right w:val="single" w:sz="8" w:space="0" w:color="808080"/>
            </w:tcBorders>
            <w:shd w:val="clear" w:color="000000" w:fill="EDEDED"/>
            <w:vAlign w:val="center"/>
            <w:hideMark/>
          </w:tcPr>
          <w:p w14:paraId="556EFB48" w14:textId="77777777" w:rsidR="00CC659A" w:rsidRPr="00CC659A" w:rsidRDefault="00CC659A" w:rsidP="00CC659A">
            <w:pPr>
              <w:spacing w:after="0" w:line="240" w:lineRule="auto"/>
              <w:ind w:left="-108"/>
              <w:jc w:val="right"/>
              <w:rPr>
                <w:rFonts w:eastAsia="Times New Roman" w:cs="Arial"/>
                <w:color w:val="000000"/>
                <w:sz w:val="16"/>
                <w:szCs w:val="16"/>
                <w:lang w:val="es-ES"/>
              </w:rPr>
            </w:pPr>
            <w:r w:rsidRPr="00CC659A">
              <w:rPr>
                <w:rFonts w:eastAsia="Times New Roman" w:cs="Arial"/>
                <w:color w:val="000000"/>
                <w:sz w:val="16"/>
                <w:szCs w:val="16"/>
                <w:lang w:val="es-ES"/>
              </w:rPr>
              <w:t xml:space="preserve">2.500 </w:t>
            </w:r>
          </w:p>
        </w:tc>
        <w:tc>
          <w:tcPr>
            <w:tcW w:w="444" w:type="pct"/>
            <w:tcBorders>
              <w:top w:val="nil"/>
              <w:left w:val="nil"/>
              <w:bottom w:val="nil"/>
              <w:right w:val="single" w:sz="4" w:space="0" w:color="808080"/>
            </w:tcBorders>
            <w:shd w:val="clear" w:color="auto" w:fill="auto"/>
            <w:vAlign w:val="center"/>
            <w:hideMark/>
          </w:tcPr>
          <w:p w14:paraId="1DAAD0D3"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218 794 </w:t>
            </w:r>
          </w:p>
        </w:tc>
        <w:tc>
          <w:tcPr>
            <w:tcW w:w="437" w:type="pct"/>
            <w:tcBorders>
              <w:top w:val="nil"/>
              <w:left w:val="nil"/>
              <w:bottom w:val="nil"/>
              <w:right w:val="single" w:sz="8" w:space="0" w:color="808080"/>
            </w:tcBorders>
            <w:shd w:val="clear" w:color="auto" w:fill="auto"/>
            <w:vAlign w:val="center"/>
            <w:hideMark/>
          </w:tcPr>
          <w:p w14:paraId="3D19F60F"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72 931 </w:t>
            </w:r>
          </w:p>
        </w:tc>
        <w:tc>
          <w:tcPr>
            <w:tcW w:w="444" w:type="pct"/>
            <w:tcBorders>
              <w:top w:val="nil"/>
              <w:left w:val="nil"/>
              <w:bottom w:val="nil"/>
              <w:right w:val="single" w:sz="4" w:space="0" w:color="808080"/>
            </w:tcBorders>
            <w:shd w:val="clear" w:color="000000" w:fill="EDEDED"/>
            <w:vAlign w:val="center"/>
            <w:hideMark/>
          </w:tcPr>
          <w:p w14:paraId="28017B43"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244 075 </w:t>
            </w:r>
          </w:p>
        </w:tc>
        <w:tc>
          <w:tcPr>
            <w:tcW w:w="437" w:type="pct"/>
            <w:tcBorders>
              <w:top w:val="nil"/>
              <w:left w:val="nil"/>
              <w:bottom w:val="nil"/>
              <w:right w:val="single" w:sz="8" w:space="0" w:color="808080"/>
            </w:tcBorders>
            <w:shd w:val="clear" w:color="000000" w:fill="EDEDED"/>
            <w:vAlign w:val="center"/>
            <w:hideMark/>
          </w:tcPr>
          <w:p w14:paraId="5BE27CB3"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81 358 </w:t>
            </w:r>
          </w:p>
        </w:tc>
        <w:tc>
          <w:tcPr>
            <w:tcW w:w="444" w:type="pct"/>
            <w:tcBorders>
              <w:top w:val="nil"/>
              <w:left w:val="nil"/>
              <w:bottom w:val="nil"/>
              <w:right w:val="single" w:sz="4" w:space="0" w:color="808080"/>
            </w:tcBorders>
            <w:shd w:val="clear" w:color="000000" w:fill="EDEDED"/>
            <w:vAlign w:val="center"/>
            <w:hideMark/>
          </w:tcPr>
          <w:p w14:paraId="1AD6C42F"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285 784 </w:t>
            </w:r>
          </w:p>
        </w:tc>
        <w:tc>
          <w:tcPr>
            <w:tcW w:w="437" w:type="pct"/>
            <w:tcBorders>
              <w:top w:val="nil"/>
              <w:left w:val="nil"/>
              <w:bottom w:val="nil"/>
              <w:right w:val="single" w:sz="8" w:space="0" w:color="808080"/>
            </w:tcBorders>
            <w:shd w:val="clear" w:color="000000" w:fill="EDEDED"/>
            <w:vAlign w:val="center"/>
            <w:hideMark/>
          </w:tcPr>
          <w:p w14:paraId="3C30FACB"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95 261 </w:t>
            </w:r>
          </w:p>
        </w:tc>
        <w:tc>
          <w:tcPr>
            <w:tcW w:w="444" w:type="pct"/>
            <w:tcBorders>
              <w:top w:val="nil"/>
              <w:left w:val="single" w:sz="4" w:space="0" w:color="808080"/>
              <w:bottom w:val="nil"/>
              <w:right w:val="single" w:sz="8" w:space="0" w:color="808080"/>
            </w:tcBorders>
            <w:shd w:val="clear" w:color="auto" w:fill="auto"/>
            <w:vAlign w:val="center"/>
            <w:hideMark/>
          </w:tcPr>
          <w:p w14:paraId="3E120EAB"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218 793 </w:t>
            </w:r>
          </w:p>
        </w:tc>
      </w:tr>
      <w:tr w:rsidR="006D34EE" w:rsidRPr="00CC659A" w14:paraId="63FD60CD" w14:textId="77777777" w:rsidTr="00477854">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31A196A9" w14:textId="77777777" w:rsidR="00CC659A" w:rsidRPr="00CC659A" w:rsidRDefault="00CC659A" w:rsidP="00CC659A">
            <w:pPr>
              <w:spacing w:after="0" w:line="240" w:lineRule="auto"/>
              <w:ind w:left="-108"/>
              <w:jc w:val="right"/>
              <w:rPr>
                <w:rFonts w:eastAsia="Times New Roman"/>
                <w:color w:val="000000"/>
                <w:sz w:val="16"/>
                <w:szCs w:val="16"/>
                <w:lang w:val="es-ES"/>
              </w:rPr>
            </w:pPr>
            <w:r w:rsidRPr="00CC659A">
              <w:rPr>
                <w:rFonts w:eastAsia="Times New Roman"/>
                <w:color w:val="000000"/>
                <w:sz w:val="16"/>
                <w:szCs w:val="16"/>
                <w:lang w:val="es-ES"/>
              </w:rPr>
              <w:t>46</w:t>
            </w:r>
          </w:p>
        </w:tc>
        <w:tc>
          <w:tcPr>
            <w:tcW w:w="920" w:type="pct"/>
            <w:tcBorders>
              <w:top w:val="nil"/>
              <w:left w:val="nil"/>
              <w:bottom w:val="nil"/>
              <w:right w:val="nil"/>
            </w:tcBorders>
            <w:shd w:val="clear" w:color="auto" w:fill="auto"/>
            <w:vAlign w:val="center"/>
            <w:hideMark/>
          </w:tcPr>
          <w:p w14:paraId="1F1D9967"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Fiji</w:t>
            </w:r>
          </w:p>
        </w:tc>
        <w:tc>
          <w:tcPr>
            <w:tcW w:w="404" w:type="pct"/>
            <w:tcBorders>
              <w:top w:val="nil"/>
              <w:left w:val="nil"/>
              <w:bottom w:val="nil"/>
              <w:right w:val="nil"/>
            </w:tcBorders>
            <w:shd w:val="clear" w:color="auto" w:fill="auto"/>
            <w:vAlign w:val="center"/>
            <w:hideMark/>
          </w:tcPr>
          <w:p w14:paraId="4D92CD3F" w14:textId="77777777" w:rsidR="00CC659A" w:rsidRPr="00CC659A" w:rsidRDefault="00CC659A" w:rsidP="00CC659A">
            <w:pPr>
              <w:spacing w:after="0" w:line="240" w:lineRule="auto"/>
              <w:ind w:left="-108"/>
              <w:jc w:val="center"/>
              <w:rPr>
                <w:rFonts w:eastAsia="Times New Roman"/>
                <w:color w:val="000000"/>
                <w:sz w:val="16"/>
                <w:szCs w:val="16"/>
                <w:lang w:val="es-ES"/>
              </w:rPr>
            </w:pPr>
            <w:r w:rsidRPr="00CC659A">
              <w:rPr>
                <w:rFonts w:eastAsia="Times New Roman"/>
                <w:color w:val="000000"/>
                <w:sz w:val="16"/>
                <w:szCs w:val="16"/>
                <w:lang w:val="es-ES"/>
              </w:rPr>
              <w:t>0.004</w:t>
            </w:r>
          </w:p>
        </w:tc>
        <w:tc>
          <w:tcPr>
            <w:tcW w:w="420" w:type="pct"/>
            <w:tcBorders>
              <w:top w:val="nil"/>
              <w:left w:val="nil"/>
              <w:bottom w:val="nil"/>
              <w:right w:val="single" w:sz="8" w:space="0" w:color="808080"/>
            </w:tcBorders>
            <w:shd w:val="clear" w:color="auto" w:fill="auto"/>
            <w:vAlign w:val="center"/>
            <w:hideMark/>
          </w:tcPr>
          <w:p w14:paraId="13D8D902" w14:textId="77777777" w:rsidR="00CC659A" w:rsidRPr="00CC659A" w:rsidRDefault="00CC659A" w:rsidP="00CC659A">
            <w:pPr>
              <w:spacing w:after="0" w:line="240" w:lineRule="auto"/>
              <w:ind w:left="-108"/>
              <w:jc w:val="right"/>
              <w:rPr>
                <w:rFonts w:eastAsia="Times New Roman" w:cs="Arial"/>
                <w:color w:val="000000"/>
                <w:sz w:val="16"/>
                <w:szCs w:val="16"/>
                <w:lang w:val="es-ES"/>
              </w:rPr>
            </w:pPr>
            <w:r w:rsidRPr="00CC659A">
              <w:rPr>
                <w:rFonts w:eastAsia="Times New Roman" w:cs="Arial"/>
                <w:color w:val="000000"/>
                <w:sz w:val="16"/>
                <w:szCs w:val="16"/>
                <w:lang w:val="es-ES"/>
              </w:rPr>
              <w:t xml:space="preserve">0.009 </w:t>
            </w:r>
          </w:p>
        </w:tc>
        <w:tc>
          <w:tcPr>
            <w:tcW w:w="444" w:type="pct"/>
            <w:tcBorders>
              <w:top w:val="nil"/>
              <w:left w:val="nil"/>
              <w:bottom w:val="nil"/>
              <w:right w:val="single" w:sz="4" w:space="0" w:color="808080"/>
            </w:tcBorders>
            <w:shd w:val="clear" w:color="auto" w:fill="auto"/>
            <w:vAlign w:val="center"/>
            <w:hideMark/>
          </w:tcPr>
          <w:p w14:paraId="0109E385"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806 </w:t>
            </w:r>
          </w:p>
        </w:tc>
        <w:tc>
          <w:tcPr>
            <w:tcW w:w="437" w:type="pct"/>
            <w:tcBorders>
              <w:top w:val="nil"/>
              <w:left w:val="nil"/>
              <w:bottom w:val="nil"/>
              <w:right w:val="single" w:sz="8" w:space="0" w:color="808080"/>
            </w:tcBorders>
            <w:shd w:val="clear" w:color="auto" w:fill="auto"/>
            <w:vAlign w:val="center"/>
            <w:hideMark/>
          </w:tcPr>
          <w:p w14:paraId="736A04DC"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269 </w:t>
            </w:r>
          </w:p>
        </w:tc>
        <w:tc>
          <w:tcPr>
            <w:tcW w:w="444" w:type="pct"/>
            <w:tcBorders>
              <w:top w:val="nil"/>
              <w:left w:val="nil"/>
              <w:bottom w:val="nil"/>
              <w:right w:val="single" w:sz="4" w:space="0" w:color="808080"/>
            </w:tcBorders>
            <w:shd w:val="clear" w:color="auto" w:fill="auto"/>
            <w:vAlign w:val="center"/>
            <w:hideMark/>
          </w:tcPr>
          <w:p w14:paraId="454957D2"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899 </w:t>
            </w:r>
          </w:p>
        </w:tc>
        <w:tc>
          <w:tcPr>
            <w:tcW w:w="437" w:type="pct"/>
            <w:tcBorders>
              <w:top w:val="nil"/>
              <w:left w:val="nil"/>
              <w:bottom w:val="nil"/>
              <w:right w:val="single" w:sz="8" w:space="0" w:color="808080"/>
            </w:tcBorders>
            <w:shd w:val="clear" w:color="auto" w:fill="auto"/>
            <w:vAlign w:val="center"/>
            <w:hideMark/>
          </w:tcPr>
          <w:p w14:paraId="29BAE7E3"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300 </w:t>
            </w:r>
          </w:p>
        </w:tc>
        <w:tc>
          <w:tcPr>
            <w:tcW w:w="444" w:type="pct"/>
            <w:tcBorders>
              <w:top w:val="nil"/>
              <w:left w:val="nil"/>
              <w:bottom w:val="nil"/>
              <w:right w:val="single" w:sz="4" w:space="0" w:color="808080"/>
            </w:tcBorders>
            <w:shd w:val="clear" w:color="auto" w:fill="auto"/>
            <w:vAlign w:val="center"/>
            <w:hideMark/>
          </w:tcPr>
          <w:p w14:paraId="025EA5B8"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1 052 </w:t>
            </w:r>
          </w:p>
        </w:tc>
        <w:tc>
          <w:tcPr>
            <w:tcW w:w="437" w:type="pct"/>
            <w:tcBorders>
              <w:top w:val="nil"/>
              <w:left w:val="nil"/>
              <w:bottom w:val="nil"/>
              <w:right w:val="single" w:sz="8" w:space="0" w:color="808080"/>
            </w:tcBorders>
            <w:shd w:val="clear" w:color="auto" w:fill="auto"/>
            <w:vAlign w:val="center"/>
            <w:hideMark/>
          </w:tcPr>
          <w:p w14:paraId="04082471"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351 </w:t>
            </w:r>
          </w:p>
        </w:tc>
        <w:tc>
          <w:tcPr>
            <w:tcW w:w="444" w:type="pct"/>
            <w:tcBorders>
              <w:top w:val="nil"/>
              <w:left w:val="single" w:sz="4" w:space="0" w:color="808080"/>
              <w:bottom w:val="nil"/>
              <w:right w:val="single" w:sz="8" w:space="0" w:color="808080"/>
            </w:tcBorders>
            <w:shd w:val="clear" w:color="auto" w:fill="auto"/>
            <w:vAlign w:val="center"/>
            <w:hideMark/>
          </w:tcPr>
          <w:p w14:paraId="476AB70E"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588 </w:t>
            </w:r>
          </w:p>
        </w:tc>
      </w:tr>
      <w:tr w:rsidR="006D34EE" w:rsidRPr="00CC659A" w14:paraId="7F481EA1" w14:textId="77777777" w:rsidTr="00477854">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0A778965" w14:textId="77777777" w:rsidR="00CC659A" w:rsidRPr="00CC659A" w:rsidRDefault="00CC659A" w:rsidP="00CC659A">
            <w:pPr>
              <w:spacing w:after="0" w:line="240" w:lineRule="auto"/>
              <w:ind w:left="-108"/>
              <w:jc w:val="right"/>
              <w:rPr>
                <w:rFonts w:eastAsia="Times New Roman"/>
                <w:color w:val="000000"/>
                <w:sz w:val="16"/>
                <w:szCs w:val="16"/>
                <w:lang w:val="es-ES"/>
              </w:rPr>
            </w:pPr>
            <w:r w:rsidRPr="00CC659A">
              <w:rPr>
                <w:rFonts w:eastAsia="Times New Roman"/>
                <w:color w:val="000000"/>
                <w:sz w:val="16"/>
                <w:szCs w:val="16"/>
                <w:lang w:val="es-ES"/>
              </w:rPr>
              <w:t>47</w:t>
            </w:r>
          </w:p>
        </w:tc>
        <w:tc>
          <w:tcPr>
            <w:tcW w:w="920" w:type="pct"/>
            <w:tcBorders>
              <w:top w:val="nil"/>
              <w:left w:val="nil"/>
              <w:bottom w:val="nil"/>
              <w:right w:val="nil"/>
            </w:tcBorders>
            <w:shd w:val="clear" w:color="auto" w:fill="auto"/>
            <w:vAlign w:val="center"/>
            <w:hideMark/>
          </w:tcPr>
          <w:p w14:paraId="26DE90E7" w14:textId="48323F7E"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Finland</w:t>
            </w:r>
            <w:r w:rsidR="009B3FD9">
              <w:rPr>
                <w:rFonts w:eastAsia="Times New Roman"/>
                <w:color w:val="000000"/>
                <w:sz w:val="16"/>
                <w:szCs w:val="16"/>
                <w:lang w:val="es-ES"/>
              </w:rPr>
              <w:t>ia</w:t>
            </w:r>
          </w:p>
        </w:tc>
        <w:tc>
          <w:tcPr>
            <w:tcW w:w="404" w:type="pct"/>
            <w:tcBorders>
              <w:top w:val="nil"/>
              <w:left w:val="nil"/>
              <w:bottom w:val="nil"/>
              <w:right w:val="nil"/>
            </w:tcBorders>
            <w:shd w:val="clear" w:color="auto" w:fill="auto"/>
            <w:vAlign w:val="center"/>
            <w:hideMark/>
          </w:tcPr>
          <w:p w14:paraId="4369C403" w14:textId="77777777" w:rsidR="00CC659A" w:rsidRPr="00CC659A" w:rsidRDefault="00CC659A" w:rsidP="00CC659A">
            <w:pPr>
              <w:spacing w:after="0" w:line="240" w:lineRule="auto"/>
              <w:ind w:left="-108"/>
              <w:jc w:val="center"/>
              <w:rPr>
                <w:rFonts w:eastAsia="Times New Roman"/>
                <w:color w:val="000000"/>
                <w:sz w:val="16"/>
                <w:szCs w:val="16"/>
                <w:lang w:val="es-ES"/>
              </w:rPr>
            </w:pPr>
            <w:r w:rsidRPr="00CC659A">
              <w:rPr>
                <w:rFonts w:eastAsia="Times New Roman"/>
                <w:color w:val="000000"/>
                <w:sz w:val="16"/>
                <w:szCs w:val="16"/>
                <w:lang w:val="es-ES"/>
              </w:rPr>
              <w:t>0.417</w:t>
            </w:r>
          </w:p>
        </w:tc>
        <w:tc>
          <w:tcPr>
            <w:tcW w:w="420" w:type="pct"/>
            <w:tcBorders>
              <w:top w:val="nil"/>
              <w:left w:val="nil"/>
              <w:bottom w:val="nil"/>
              <w:right w:val="single" w:sz="8" w:space="0" w:color="808080"/>
            </w:tcBorders>
            <w:shd w:val="clear" w:color="auto" w:fill="auto"/>
            <w:vAlign w:val="center"/>
            <w:hideMark/>
          </w:tcPr>
          <w:p w14:paraId="4B91759D" w14:textId="77777777" w:rsidR="00CC659A" w:rsidRPr="00CC659A" w:rsidRDefault="00CC659A" w:rsidP="00CC659A">
            <w:pPr>
              <w:spacing w:after="0" w:line="240" w:lineRule="auto"/>
              <w:ind w:left="-108"/>
              <w:jc w:val="right"/>
              <w:rPr>
                <w:rFonts w:eastAsia="Times New Roman" w:cs="Arial"/>
                <w:color w:val="000000"/>
                <w:sz w:val="16"/>
                <w:szCs w:val="16"/>
                <w:lang w:val="es-ES"/>
              </w:rPr>
            </w:pPr>
            <w:r w:rsidRPr="00CC659A">
              <w:rPr>
                <w:rFonts w:eastAsia="Times New Roman" w:cs="Arial"/>
                <w:color w:val="000000"/>
                <w:sz w:val="16"/>
                <w:szCs w:val="16"/>
                <w:lang w:val="es-ES"/>
              </w:rPr>
              <w:t xml:space="preserve">0.960 </w:t>
            </w:r>
          </w:p>
        </w:tc>
        <w:tc>
          <w:tcPr>
            <w:tcW w:w="444" w:type="pct"/>
            <w:tcBorders>
              <w:top w:val="nil"/>
              <w:left w:val="nil"/>
              <w:bottom w:val="nil"/>
              <w:right w:val="single" w:sz="4" w:space="0" w:color="808080"/>
            </w:tcBorders>
            <w:shd w:val="clear" w:color="auto" w:fill="auto"/>
            <w:vAlign w:val="center"/>
            <w:hideMark/>
          </w:tcPr>
          <w:p w14:paraId="2659EFAA"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83 984 </w:t>
            </w:r>
          </w:p>
        </w:tc>
        <w:tc>
          <w:tcPr>
            <w:tcW w:w="437" w:type="pct"/>
            <w:tcBorders>
              <w:top w:val="nil"/>
              <w:left w:val="nil"/>
              <w:bottom w:val="nil"/>
              <w:right w:val="single" w:sz="8" w:space="0" w:color="808080"/>
            </w:tcBorders>
            <w:shd w:val="clear" w:color="auto" w:fill="auto"/>
            <w:vAlign w:val="center"/>
            <w:hideMark/>
          </w:tcPr>
          <w:p w14:paraId="634C0840"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27 995 </w:t>
            </w:r>
          </w:p>
        </w:tc>
        <w:tc>
          <w:tcPr>
            <w:tcW w:w="444" w:type="pct"/>
            <w:tcBorders>
              <w:top w:val="nil"/>
              <w:left w:val="nil"/>
              <w:bottom w:val="nil"/>
              <w:right w:val="single" w:sz="4" w:space="0" w:color="808080"/>
            </w:tcBorders>
            <w:shd w:val="clear" w:color="auto" w:fill="auto"/>
            <w:vAlign w:val="center"/>
            <w:hideMark/>
          </w:tcPr>
          <w:p w14:paraId="76E561A1"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93 689 </w:t>
            </w:r>
          </w:p>
        </w:tc>
        <w:tc>
          <w:tcPr>
            <w:tcW w:w="437" w:type="pct"/>
            <w:tcBorders>
              <w:top w:val="nil"/>
              <w:left w:val="nil"/>
              <w:bottom w:val="nil"/>
              <w:right w:val="single" w:sz="8" w:space="0" w:color="808080"/>
            </w:tcBorders>
            <w:shd w:val="clear" w:color="auto" w:fill="auto"/>
            <w:vAlign w:val="center"/>
            <w:hideMark/>
          </w:tcPr>
          <w:p w14:paraId="58DF4A48"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31 230 </w:t>
            </w:r>
          </w:p>
        </w:tc>
        <w:tc>
          <w:tcPr>
            <w:tcW w:w="444" w:type="pct"/>
            <w:tcBorders>
              <w:top w:val="nil"/>
              <w:left w:val="nil"/>
              <w:bottom w:val="nil"/>
              <w:right w:val="single" w:sz="4" w:space="0" w:color="808080"/>
            </w:tcBorders>
            <w:shd w:val="clear" w:color="auto" w:fill="auto"/>
            <w:vAlign w:val="center"/>
            <w:hideMark/>
          </w:tcPr>
          <w:p w14:paraId="0931A279"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109 698 </w:t>
            </w:r>
          </w:p>
        </w:tc>
        <w:tc>
          <w:tcPr>
            <w:tcW w:w="437" w:type="pct"/>
            <w:tcBorders>
              <w:top w:val="nil"/>
              <w:left w:val="nil"/>
              <w:bottom w:val="nil"/>
              <w:right w:val="single" w:sz="8" w:space="0" w:color="808080"/>
            </w:tcBorders>
            <w:shd w:val="clear" w:color="auto" w:fill="auto"/>
            <w:vAlign w:val="center"/>
            <w:hideMark/>
          </w:tcPr>
          <w:p w14:paraId="5032A82A"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36 566 </w:t>
            </w:r>
          </w:p>
        </w:tc>
        <w:tc>
          <w:tcPr>
            <w:tcW w:w="444" w:type="pct"/>
            <w:tcBorders>
              <w:top w:val="nil"/>
              <w:left w:val="single" w:sz="4" w:space="0" w:color="808080"/>
              <w:bottom w:val="nil"/>
              <w:right w:val="single" w:sz="8" w:space="0" w:color="808080"/>
            </w:tcBorders>
            <w:shd w:val="clear" w:color="auto" w:fill="auto"/>
            <w:vAlign w:val="center"/>
            <w:hideMark/>
          </w:tcPr>
          <w:p w14:paraId="426A338A"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82 500 </w:t>
            </w:r>
          </w:p>
        </w:tc>
      </w:tr>
      <w:tr w:rsidR="006D34EE" w:rsidRPr="00CC659A" w14:paraId="278F8AB1" w14:textId="77777777" w:rsidTr="00477854">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0CCBFD1A" w14:textId="77777777" w:rsidR="00CC659A" w:rsidRPr="00CC659A" w:rsidRDefault="00CC659A" w:rsidP="00CC659A">
            <w:pPr>
              <w:spacing w:after="0" w:line="240" w:lineRule="auto"/>
              <w:ind w:left="-108"/>
              <w:jc w:val="right"/>
              <w:rPr>
                <w:rFonts w:eastAsia="Times New Roman"/>
                <w:color w:val="000000"/>
                <w:sz w:val="16"/>
                <w:szCs w:val="16"/>
                <w:lang w:val="es-ES"/>
              </w:rPr>
            </w:pPr>
            <w:r w:rsidRPr="00CC659A">
              <w:rPr>
                <w:rFonts w:eastAsia="Times New Roman"/>
                <w:color w:val="000000"/>
                <w:sz w:val="16"/>
                <w:szCs w:val="16"/>
                <w:lang w:val="es-ES"/>
              </w:rPr>
              <w:t>48</w:t>
            </w:r>
          </w:p>
        </w:tc>
        <w:tc>
          <w:tcPr>
            <w:tcW w:w="920" w:type="pct"/>
            <w:tcBorders>
              <w:top w:val="nil"/>
              <w:left w:val="nil"/>
              <w:bottom w:val="nil"/>
              <w:right w:val="nil"/>
            </w:tcBorders>
            <w:shd w:val="clear" w:color="auto" w:fill="auto"/>
            <w:vAlign w:val="center"/>
            <w:hideMark/>
          </w:tcPr>
          <w:p w14:paraId="08B9969B" w14:textId="56D2F251"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Franc</w:t>
            </w:r>
            <w:r w:rsidR="009B3FD9">
              <w:rPr>
                <w:rFonts w:eastAsia="Times New Roman"/>
                <w:color w:val="000000"/>
                <w:sz w:val="16"/>
                <w:szCs w:val="16"/>
                <w:lang w:val="es-ES"/>
              </w:rPr>
              <w:t>ia</w:t>
            </w:r>
          </w:p>
        </w:tc>
        <w:tc>
          <w:tcPr>
            <w:tcW w:w="404" w:type="pct"/>
            <w:tcBorders>
              <w:top w:val="nil"/>
              <w:left w:val="nil"/>
              <w:bottom w:val="nil"/>
              <w:right w:val="nil"/>
            </w:tcBorders>
            <w:shd w:val="clear" w:color="auto" w:fill="auto"/>
            <w:vAlign w:val="center"/>
            <w:hideMark/>
          </w:tcPr>
          <w:p w14:paraId="52D368B6" w14:textId="77777777" w:rsidR="00CC659A" w:rsidRPr="00CC659A" w:rsidRDefault="00CC659A" w:rsidP="00CC659A">
            <w:pPr>
              <w:spacing w:after="0" w:line="240" w:lineRule="auto"/>
              <w:ind w:left="-108"/>
              <w:jc w:val="center"/>
              <w:rPr>
                <w:rFonts w:eastAsia="Times New Roman"/>
                <w:color w:val="000000"/>
                <w:sz w:val="16"/>
                <w:szCs w:val="16"/>
                <w:lang w:val="es-ES"/>
              </w:rPr>
            </w:pPr>
            <w:r w:rsidRPr="00CC659A">
              <w:rPr>
                <w:rFonts w:eastAsia="Times New Roman"/>
                <w:color w:val="000000"/>
                <w:sz w:val="16"/>
                <w:szCs w:val="16"/>
                <w:lang w:val="es-ES"/>
              </w:rPr>
              <w:t>4.318</w:t>
            </w:r>
          </w:p>
        </w:tc>
        <w:tc>
          <w:tcPr>
            <w:tcW w:w="420" w:type="pct"/>
            <w:tcBorders>
              <w:top w:val="nil"/>
              <w:left w:val="nil"/>
              <w:bottom w:val="nil"/>
              <w:right w:val="single" w:sz="8" w:space="0" w:color="808080"/>
            </w:tcBorders>
            <w:shd w:val="clear" w:color="auto" w:fill="auto"/>
            <w:vAlign w:val="center"/>
            <w:hideMark/>
          </w:tcPr>
          <w:p w14:paraId="1364F4FF" w14:textId="77777777" w:rsidR="00CC659A" w:rsidRPr="00CC659A" w:rsidRDefault="00CC659A" w:rsidP="00CC659A">
            <w:pPr>
              <w:spacing w:after="0" w:line="240" w:lineRule="auto"/>
              <w:ind w:left="-108"/>
              <w:jc w:val="right"/>
              <w:rPr>
                <w:rFonts w:eastAsia="Times New Roman" w:cs="Arial"/>
                <w:color w:val="000000"/>
                <w:sz w:val="16"/>
                <w:szCs w:val="16"/>
                <w:lang w:val="es-ES"/>
              </w:rPr>
            </w:pPr>
            <w:r w:rsidRPr="00CC659A">
              <w:rPr>
                <w:rFonts w:eastAsia="Times New Roman" w:cs="Arial"/>
                <w:color w:val="000000"/>
                <w:sz w:val="16"/>
                <w:szCs w:val="16"/>
                <w:lang w:val="es-ES"/>
              </w:rPr>
              <w:t xml:space="preserve">9.937 </w:t>
            </w:r>
          </w:p>
        </w:tc>
        <w:tc>
          <w:tcPr>
            <w:tcW w:w="444" w:type="pct"/>
            <w:tcBorders>
              <w:top w:val="nil"/>
              <w:left w:val="nil"/>
              <w:bottom w:val="nil"/>
              <w:right w:val="single" w:sz="4" w:space="0" w:color="808080"/>
            </w:tcBorders>
            <w:shd w:val="clear" w:color="auto" w:fill="auto"/>
            <w:vAlign w:val="center"/>
            <w:hideMark/>
          </w:tcPr>
          <w:p w14:paraId="23179D2D"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869 649 </w:t>
            </w:r>
          </w:p>
        </w:tc>
        <w:tc>
          <w:tcPr>
            <w:tcW w:w="437" w:type="pct"/>
            <w:tcBorders>
              <w:top w:val="nil"/>
              <w:left w:val="nil"/>
              <w:bottom w:val="nil"/>
              <w:right w:val="single" w:sz="8" w:space="0" w:color="808080"/>
            </w:tcBorders>
            <w:shd w:val="clear" w:color="auto" w:fill="auto"/>
            <w:vAlign w:val="center"/>
            <w:hideMark/>
          </w:tcPr>
          <w:p w14:paraId="5BF58636"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289 883 </w:t>
            </w:r>
          </w:p>
        </w:tc>
        <w:tc>
          <w:tcPr>
            <w:tcW w:w="444" w:type="pct"/>
            <w:tcBorders>
              <w:top w:val="nil"/>
              <w:left w:val="nil"/>
              <w:bottom w:val="nil"/>
              <w:right w:val="single" w:sz="4" w:space="0" w:color="808080"/>
            </w:tcBorders>
            <w:shd w:val="clear" w:color="auto" w:fill="auto"/>
            <w:vAlign w:val="center"/>
            <w:hideMark/>
          </w:tcPr>
          <w:p w14:paraId="752AAEAA"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970 137 </w:t>
            </w:r>
          </w:p>
        </w:tc>
        <w:tc>
          <w:tcPr>
            <w:tcW w:w="437" w:type="pct"/>
            <w:tcBorders>
              <w:top w:val="nil"/>
              <w:left w:val="nil"/>
              <w:bottom w:val="nil"/>
              <w:right w:val="single" w:sz="8" w:space="0" w:color="808080"/>
            </w:tcBorders>
            <w:shd w:val="clear" w:color="auto" w:fill="auto"/>
            <w:vAlign w:val="center"/>
            <w:hideMark/>
          </w:tcPr>
          <w:p w14:paraId="017BA2ED"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323 379 </w:t>
            </w:r>
          </w:p>
        </w:tc>
        <w:tc>
          <w:tcPr>
            <w:tcW w:w="444" w:type="pct"/>
            <w:tcBorders>
              <w:top w:val="nil"/>
              <w:left w:val="nil"/>
              <w:bottom w:val="nil"/>
              <w:right w:val="single" w:sz="4" w:space="0" w:color="808080"/>
            </w:tcBorders>
            <w:shd w:val="clear" w:color="auto" w:fill="auto"/>
            <w:vAlign w:val="center"/>
            <w:hideMark/>
          </w:tcPr>
          <w:p w14:paraId="7F26189D"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1 135 919 </w:t>
            </w:r>
          </w:p>
        </w:tc>
        <w:tc>
          <w:tcPr>
            <w:tcW w:w="437" w:type="pct"/>
            <w:tcBorders>
              <w:top w:val="nil"/>
              <w:left w:val="nil"/>
              <w:bottom w:val="nil"/>
              <w:right w:val="single" w:sz="8" w:space="0" w:color="808080"/>
            </w:tcBorders>
            <w:shd w:val="clear" w:color="auto" w:fill="auto"/>
            <w:vAlign w:val="center"/>
            <w:hideMark/>
          </w:tcPr>
          <w:p w14:paraId="738B39EA"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378 640 </w:t>
            </w:r>
          </w:p>
        </w:tc>
        <w:tc>
          <w:tcPr>
            <w:tcW w:w="444" w:type="pct"/>
            <w:tcBorders>
              <w:top w:val="nil"/>
              <w:left w:val="single" w:sz="4" w:space="0" w:color="808080"/>
              <w:bottom w:val="nil"/>
              <w:right w:val="single" w:sz="8" w:space="0" w:color="808080"/>
            </w:tcBorders>
            <w:shd w:val="clear" w:color="auto" w:fill="auto"/>
            <w:vAlign w:val="center"/>
            <w:hideMark/>
          </w:tcPr>
          <w:p w14:paraId="3F39CD8E"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867 522 </w:t>
            </w:r>
          </w:p>
        </w:tc>
      </w:tr>
      <w:tr w:rsidR="006D34EE" w:rsidRPr="00CC659A" w14:paraId="1A11EAC7" w14:textId="77777777" w:rsidTr="00477854">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48C8746D" w14:textId="77777777" w:rsidR="00CC659A" w:rsidRPr="00CC659A" w:rsidRDefault="00CC659A" w:rsidP="00CC659A">
            <w:pPr>
              <w:spacing w:after="0" w:line="240" w:lineRule="auto"/>
              <w:ind w:left="-108"/>
              <w:jc w:val="right"/>
              <w:rPr>
                <w:rFonts w:eastAsia="Times New Roman"/>
                <w:color w:val="000000"/>
                <w:sz w:val="16"/>
                <w:szCs w:val="16"/>
                <w:lang w:val="es-ES"/>
              </w:rPr>
            </w:pPr>
            <w:r w:rsidRPr="00CC659A">
              <w:rPr>
                <w:rFonts w:eastAsia="Times New Roman"/>
                <w:color w:val="000000"/>
                <w:sz w:val="16"/>
                <w:szCs w:val="16"/>
                <w:lang w:val="es-ES"/>
              </w:rPr>
              <w:t>49</w:t>
            </w:r>
          </w:p>
        </w:tc>
        <w:tc>
          <w:tcPr>
            <w:tcW w:w="920" w:type="pct"/>
            <w:tcBorders>
              <w:top w:val="nil"/>
              <w:left w:val="nil"/>
              <w:bottom w:val="nil"/>
              <w:right w:val="nil"/>
            </w:tcBorders>
            <w:shd w:val="clear" w:color="auto" w:fill="auto"/>
            <w:vAlign w:val="center"/>
            <w:hideMark/>
          </w:tcPr>
          <w:p w14:paraId="4D27686B" w14:textId="22D44168" w:rsidR="00CC659A" w:rsidRPr="00CC659A" w:rsidRDefault="009B3FD9"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Gabón</w:t>
            </w:r>
          </w:p>
        </w:tc>
        <w:tc>
          <w:tcPr>
            <w:tcW w:w="404" w:type="pct"/>
            <w:tcBorders>
              <w:top w:val="nil"/>
              <w:left w:val="nil"/>
              <w:bottom w:val="nil"/>
              <w:right w:val="nil"/>
            </w:tcBorders>
            <w:shd w:val="clear" w:color="auto" w:fill="auto"/>
            <w:vAlign w:val="center"/>
            <w:hideMark/>
          </w:tcPr>
          <w:p w14:paraId="7BDD9D25" w14:textId="77777777" w:rsidR="00CC659A" w:rsidRPr="00CC659A" w:rsidRDefault="00CC659A" w:rsidP="00CC659A">
            <w:pPr>
              <w:spacing w:after="0" w:line="240" w:lineRule="auto"/>
              <w:ind w:left="-108"/>
              <w:jc w:val="center"/>
              <w:rPr>
                <w:rFonts w:eastAsia="Times New Roman"/>
                <w:color w:val="000000"/>
                <w:sz w:val="16"/>
                <w:szCs w:val="16"/>
                <w:lang w:val="es-ES"/>
              </w:rPr>
            </w:pPr>
            <w:r w:rsidRPr="00CC659A">
              <w:rPr>
                <w:rFonts w:eastAsia="Times New Roman"/>
                <w:color w:val="000000"/>
                <w:sz w:val="16"/>
                <w:szCs w:val="16"/>
                <w:lang w:val="es-ES"/>
              </w:rPr>
              <w:t>0.013</w:t>
            </w:r>
          </w:p>
        </w:tc>
        <w:tc>
          <w:tcPr>
            <w:tcW w:w="420" w:type="pct"/>
            <w:tcBorders>
              <w:top w:val="nil"/>
              <w:left w:val="nil"/>
              <w:bottom w:val="nil"/>
              <w:right w:val="single" w:sz="8" w:space="0" w:color="808080"/>
            </w:tcBorders>
            <w:shd w:val="clear" w:color="auto" w:fill="auto"/>
            <w:vAlign w:val="center"/>
            <w:hideMark/>
          </w:tcPr>
          <w:p w14:paraId="7FE29132" w14:textId="77777777" w:rsidR="00CC659A" w:rsidRPr="00CC659A" w:rsidRDefault="00CC659A" w:rsidP="00CC659A">
            <w:pPr>
              <w:spacing w:after="0" w:line="240" w:lineRule="auto"/>
              <w:ind w:left="-108"/>
              <w:jc w:val="right"/>
              <w:rPr>
                <w:rFonts w:eastAsia="Times New Roman" w:cs="Arial"/>
                <w:color w:val="000000"/>
                <w:sz w:val="16"/>
                <w:szCs w:val="16"/>
                <w:lang w:val="es-ES"/>
              </w:rPr>
            </w:pPr>
            <w:r w:rsidRPr="00CC659A">
              <w:rPr>
                <w:rFonts w:eastAsia="Times New Roman" w:cs="Arial"/>
                <w:color w:val="000000"/>
                <w:sz w:val="16"/>
                <w:szCs w:val="16"/>
                <w:lang w:val="es-ES"/>
              </w:rPr>
              <w:t xml:space="preserve">0.030 </w:t>
            </w:r>
          </w:p>
        </w:tc>
        <w:tc>
          <w:tcPr>
            <w:tcW w:w="444" w:type="pct"/>
            <w:tcBorders>
              <w:top w:val="nil"/>
              <w:left w:val="nil"/>
              <w:bottom w:val="nil"/>
              <w:right w:val="single" w:sz="4" w:space="0" w:color="808080"/>
            </w:tcBorders>
            <w:shd w:val="clear" w:color="auto" w:fill="auto"/>
            <w:vAlign w:val="center"/>
            <w:hideMark/>
          </w:tcPr>
          <w:p w14:paraId="31E915A3"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2 618 </w:t>
            </w:r>
          </w:p>
        </w:tc>
        <w:tc>
          <w:tcPr>
            <w:tcW w:w="437" w:type="pct"/>
            <w:tcBorders>
              <w:top w:val="nil"/>
              <w:left w:val="nil"/>
              <w:bottom w:val="nil"/>
              <w:right w:val="single" w:sz="8" w:space="0" w:color="808080"/>
            </w:tcBorders>
            <w:shd w:val="clear" w:color="auto" w:fill="auto"/>
            <w:vAlign w:val="center"/>
            <w:hideMark/>
          </w:tcPr>
          <w:p w14:paraId="55EFEC66"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873 </w:t>
            </w:r>
          </w:p>
        </w:tc>
        <w:tc>
          <w:tcPr>
            <w:tcW w:w="444" w:type="pct"/>
            <w:tcBorders>
              <w:top w:val="nil"/>
              <w:left w:val="nil"/>
              <w:bottom w:val="nil"/>
              <w:right w:val="single" w:sz="4" w:space="0" w:color="808080"/>
            </w:tcBorders>
            <w:shd w:val="clear" w:color="auto" w:fill="auto"/>
            <w:vAlign w:val="center"/>
            <w:hideMark/>
          </w:tcPr>
          <w:p w14:paraId="704CEB41"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2 921 </w:t>
            </w:r>
          </w:p>
        </w:tc>
        <w:tc>
          <w:tcPr>
            <w:tcW w:w="437" w:type="pct"/>
            <w:tcBorders>
              <w:top w:val="nil"/>
              <w:left w:val="nil"/>
              <w:bottom w:val="nil"/>
              <w:right w:val="single" w:sz="8" w:space="0" w:color="808080"/>
            </w:tcBorders>
            <w:shd w:val="clear" w:color="auto" w:fill="auto"/>
            <w:vAlign w:val="center"/>
            <w:hideMark/>
          </w:tcPr>
          <w:p w14:paraId="51EA1386"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974 </w:t>
            </w:r>
          </w:p>
        </w:tc>
        <w:tc>
          <w:tcPr>
            <w:tcW w:w="444" w:type="pct"/>
            <w:tcBorders>
              <w:top w:val="nil"/>
              <w:left w:val="nil"/>
              <w:bottom w:val="nil"/>
              <w:right w:val="single" w:sz="4" w:space="0" w:color="808080"/>
            </w:tcBorders>
            <w:shd w:val="clear" w:color="auto" w:fill="auto"/>
            <w:vAlign w:val="center"/>
            <w:hideMark/>
          </w:tcPr>
          <w:p w14:paraId="1BFBDFB6"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3 420 </w:t>
            </w:r>
          </w:p>
        </w:tc>
        <w:tc>
          <w:tcPr>
            <w:tcW w:w="437" w:type="pct"/>
            <w:tcBorders>
              <w:top w:val="nil"/>
              <w:left w:val="nil"/>
              <w:bottom w:val="nil"/>
              <w:right w:val="single" w:sz="8" w:space="0" w:color="808080"/>
            </w:tcBorders>
            <w:shd w:val="clear" w:color="auto" w:fill="auto"/>
            <w:vAlign w:val="center"/>
            <w:hideMark/>
          </w:tcPr>
          <w:p w14:paraId="28C20F67"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1 140 </w:t>
            </w:r>
          </w:p>
        </w:tc>
        <w:tc>
          <w:tcPr>
            <w:tcW w:w="444" w:type="pct"/>
            <w:tcBorders>
              <w:top w:val="nil"/>
              <w:left w:val="single" w:sz="4" w:space="0" w:color="808080"/>
              <w:bottom w:val="nil"/>
              <w:right w:val="single" w:sz="8" w:space="0" w:color="808080"/>
            </w:tcBorders>
            <w:shd w:val="clear" w:color="auto" w:fill="auto"/>
            <w:vAlign w:val="center"/>
            <w:hideMark/>
          </w:tcPr>
          <w:p w14:paraId="37D5A46E"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2 939 </w:t>
            </w:r>
          </w:p>
        </w:tc>
      </w:tr>
      <w:tr w:rsidR="006D34EE" w:rsidRPr="00CC659A" w14:paraId="6AEEE5EF" w14:textId="77777777" w:rsidTr="00477854">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3C688D77" w14:textId="77777777" w:rsidR="00CC659A" w:rsidRPr="00CC659A" w:rsidRDefault="00CC659A" w:rsidP="00CC659A">
            <w:pPr>
              <w:spacing w:after="0" w:line="240" w:lineRule="auto"/>
              <w:ind w:left="-108"/>
              <w:jc w:val="right"/>
              <w:rPr>
                <w:rFonts w:eastAsia="Times New Roman"/>
                <w:color w:val="000000"/>
                <w:sz w:val="16"/>
                <w:szCs w:val="16"/>
                <w:lang w:val="es-ES"/>
              </w:rPr>
            </w:pPr>
            <w:r w:rsidRPr="00CC659A">
              <w:rPr>
                <w:rFonts w:eastAsia="Times New Roman"/>
                <w:color w:val="000000"/>
                <w:sz w:val="16"/>
                <w:szCs w:val="16"/>
                <w:lang w:val="es-ES"/>
              </w:rPr>
              <w:t>50</w:t>
            </w:r>
          </w:p>
        </w:tc>
        <w:tc>
          <w:tcPr>
            <w:tcW w:w="920" w:type="pct"/>
            <w:tcBorders>
              <w:top w:val="nil"/>
              <w:left w:val="nil"/>
              <w:bottom w:val="nil"/>
              <w:right w:val="nil"/>
            </w:tcBorders>
            <w:shd w:val="clear" w:color="auto" w:fill="auto"/>
            <w:vAlign w:val="center"/>
            <w:hideMark/>
          </w:tcPr>
          <w:p w14:paraId="1207D86A" w14:textId="694E5673" w:rsidR="00CC659A" w:rsidRPr="00CC659A" w:rsidRDefault="009B3FD9"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Gambia</w:t>
            </w:r>
          </w:p>
        </w:tc>
        <w:tc>
          <w:tcPr>
            <w:tcW w:w="404" w:type="pct"/>
            <w:tcBorders>
              <w:top w:val="nil"/>
              <w:left w:val="nil"/>
              <w:bottom w:val="nil"/>
              <w:right w:val="nil"/>
            </w:tcBorders>
            <w:shd w:val="clear" w:color="auto" w:fill="auto"/>
            <w:vAlign w:val="center"/>
            <w:hideMark/>
          </w:tcPr>
          <w:p w14:paraId="5206073D" w14:textId="77777777" w:rsidR="00CC659A" w:rsidRPr="00CC659A" w:rsidRDefault="00CC659A" w:rsidP="00CC659A">
            <w:pPr>
              <w:spacing w:after="0" w:line="240" w:lineRule="auto"/>
              <w:ind w:left="-108"/>
              <w:jc w:val="center"/>
              <w:rPr>
                <w:rFonts w:eastAsia="Times New Roman"/>
                <w:color w:val="000000"/>
                <w:sz w:val="16"/>
                <w:szCs w:val="16"/>
                <w:lang w:val="es-ES"/>
              </w:rPr>
            </w:pPr>
            <w:r w:rsidRPr="00CC659A">
              <w:rPr>
                <w:rFonts w:eastAsia="Times New Roman"/>
                <w:color w:val="000000"/>
                <w:sz w:val="16"/>
                <w:szCs w:val="16"/>
                <w:lang w:val="es-ES"/>
              </w:rPr>
              <w:t>0.001</w:t>
            </w:r>
          </w:p>
        </w:tc>
        <w:tc>
          <w:tcPr>
            <w:tcW w:w="420" w:type="pct"/>
            <w:tcBorders>
              <w:top w:val="nil"/>
              <w:left w:val="nil"/>
              <w:bottom w:val="nil"/>
              <w:right w:val="single" w:sz="8" w:space="0" w:color="808080"/>
            </w:tcBorders>
            <w:shd w:val="clear" w:color="auto" w:fill="auto"/>
            <w:vAlign w:val="center"/>
            <w:hideMark/>
          </w:tcPr>
          <w:p w14:paraId="4C5099DC" w14:textId="77777777" w:rsidR="00CC659A" w:rsidRPr="00CC659A" w:rsidRDefault="00CC659A" w:rsidP="00CC659A">
            <w:pPr>
              <w:spacing w:after="0" w:line="240" w:lineRule="auto"/>
              <w:ind w:left="-108"/>
              <w:jc w:val="right"/>
              <w:rPr>
                <w:rFonts w:eastAsia="Times New Roman" w:cs="Arial"/>
                <w:color w:val="000000"/>
                <w:sz w:val="16"/>
                <w:szCs w:val="16"/>
                <w:lang w:val="es-ES"/>
              </w:rPr>
            </w:pPr>
            <w:r w:rsidRPr="00CC659A">
              <w:rPr>
                <w:rFonts w:eastAsia="Times New Roman" w:cs="Arial"/>
                <w:color w:val="000000"/>
                <w:sz w:val="16"/>
                <w:szCs w:val="16"/>
                <w:lang w:val="es-ES"/>
              </w:rPr>
              <w:t xml:space="preserve">0.002 </w:t>
            </w:r>
          </w:p>
        </w:tc>
        <w:tc>
          <w:tcPr>
            <w:tcW w:w="444" w:type="pct"/>
            <w:tcBorders>
              <w:top w:val="nil"/>
              <w:left w:val="nil"/>
              <w:bottom w:val="nil"/>
              <w:right w:val="single" w:sz="4" w:space="0" w:color="808080"/>
            </w:tcBorders>
            <w:shd w:val="clear" w:color="auto" w:fill="auto"/>
            <w:vAlign w:val="center"/>
            <w:hideMark/>
          </w:tcPr>
          <w:p w14:paraId="4B2B5993"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201 </w:t>
            </w:r>
          </w:p>
        </w:tc>
        <w:tc>
          <w:tcPr>
            <w:tcW w:w="437" w:type="pct"/>
            <w:tcBorders>
              <w:top w:val="nil"/>
              <w:left w:val="nil"/>
              <w:bottom w:val="nil"/>
              <w:right w:val="single" w:sz="8" w:space="0" w:color="808080"/>
            </w:tcBorders>
            <w:shd w:val="clear" w:color="auto" w:fill="auto"/>
            <w:vAlign w:val="center"/>
            <w:hideMark/>
          </w:tcPr>
          <w:p w14:paraId="59182F46"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67 </w:t>
            </w:r>
          </w:p>
        </w:tc>
        <w:tc>
          <w:tcPr>
            <w:tcW w:w="444" w:type="pct"/>
            <w:tcBorders>
              <w:top w:val="nil"/>
              <w:left w:val="nil"/>
              <w:bottom w:val="nil"/>
              <w:right w:val="single" w:sz="4" w:space="0" w:color="808080"/>
            </w:tcBorders>
            <w:shd w:val="clear" w:color="auto" w:fill="auto"/>
            <w:vAlign w:val="center"/>
            <w:hideMark/>
          </w:tcPr>
          <w:p w14:paraId="0FDA663A"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225 </w:t>
            </w:r>
          </w:p>
        </w:tc>
        <w:tc>
          <w:tcPr>
            <w:tcW w:w="437" w:type="pct"/>
            <w:tcBorders>
              <w:top w:val="nil"/>
              <w:left w:val="nil"/>
              <w:bottom w:val="nil"/>
              <w:right w:val="single" w:sz="8" w:space="0" w:color="808080"/>
            </w:tcBorders>
            <w:shd w:val="clear" w:color="auto" w:fill="auto"/>
            <w:vAlign w:val="center"/>
            <w:hideMark/>
          </w:tcPr>
          <w:p w14:paraId="489071B9"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75 </w:t>
            </w:r>
          </w:p>
        </w:tc>
        <w:tc>
          <w:tcPr>
            <w:tcW w:w="444" w:type="pct"/>
            <w:tcBorders>
              <w:top w:val="nil"/>
              <w:left w:val="nil"/>
              <w:bottom w:val="nil"/>
              <w:right w:val="single" w:sz="4" w:space="0" w:color="808080"/>
            </w:tcBorders>
            <w:shd w:val="clear" w:color="auto" w:fill="auto"/>
            <w:vAlign w:val="center"/>
            <w:hideMark/>
          </w:tcPr>
          <w:p w14:paraId="686797F4"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263 </w:t>
            </w:r>
          </w:p>
        </w:tc>
        <w:tc>
          <w:tcPr>
            <w:tcW w:w="437" w:type="pct"/>
            <w:tcBorders>
              <w:top w:val="nil"/>
              <w:left w:val="nil"/>
              <w:bottom w:val="nil"/>
              <w:right w:val="single" w:sz="8" w:space="0" w:color="808080"/>
            </w:tcBorders>
            <w:shd w:val="clear" w:color="auto" w:fill="auto"/>
            <w:vAlign w:val="center"/>
            <w:hideMark/>
          </w:tcPr>
          <w:p w14:paraId="693D4BFF"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88 </w:t>
            </w:r>
          </w:p>
        </w:tc>
        <w:tc>
          <w:tcPr>
            <w:tcW w:w="444" w:type="pct"/>
            <w:tcBorders>
              <w:top w:val="nil"/>
              <w:left w:val="single" w:sz="4" w:space="0" w:color="808080"/>
              <w:bottom w:val="nil"/>
              <w:right w:val="single" w:sz="8" w:space="0" w:color="808080"/>
            </w:tcBorders>
            <w:shd w:val="clear" w:color="auto" w:fill="auto"/>
            <w:vAlign w:val="center"/>
            <w:hideMark/>
          </w:tcPr>
          <w:p w14:paraId="6F99661A"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197 </w:t>
            </w:r>
          </w:p>
        </w:tc>
      </w:tr>
      <w:tr w:rsidR="006D34EE" w:rsidRPr="00CC659A" w14:paraId="699EDAE9" w14:textId="77777777" w:rsidTr="00477854">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69F7F0A4" w14:textId="77777777" w:rsidR="00CC659A" w:rsidRPr="00CC659A" w:rsidRDefault="00CC659A" w:rsidP="00CC659A">
            <w:pPr>
              <w:spacing w:after="0" w:line="240" w:lineRule="auto"/>
              <w:ind w:left="-108"/>
              <w:jc w:val="right"/>
              <w:rPr>
                <w:rFonts w:eastAsia="Times New Roman"/>
                <w:color w:val="000000"/>
                <w:sz w:val="16"/>
                <w:szCs w:val="16"/>
                <w:lang w:val="es-ES"/>
              </w:rPr>
            </w:pPr>
            <w:r w:rsidRPr="00CC659A">
              <w:rPr>
                <w:rFonts w:eastAsia="Times New Roman"/>
                <w:color w:val="000000"/>
                <w:sz w:val="16"/>
                <w:szCs w:val="16"/>
                <w:lang w:val="es-ES"/>
              </w:rPr>
              <w:t>51</w:t>
            </w:r>
          </w:p>
        </w:tc>
        <w:tc>
          <w:tcPr>
            <w:tcW w:w="920" w:type="pct"/>
            <w:tcBorders>
              <w:top w:val="nil"/>
              <w:left w:val="nil"/>
              <w:bottom w:val="nil"/>
              <w:right w:val="nil"/>
            </w:tcBorders>
            <w:shd w:val="clear" w:color="auto" w:fill="auto"/>
            <w:vAlign w:val="center"/>
            <w:hideMark/>
          </w:tcPr>
          <w:p w14:paraId="67D7B64B" w14:textId="652AF641" w:rsidR="00CC659A" w:rsidRPr="00CC659A" w:rsidRDefault="009B3FD9"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Georgia</w:t>
            </w:r>
          </w:p>
        </w:tc>
        <w:tc>
          <w:tcPr>
            <w:tcW w:w="404" w:type="pct"/>
            <w:tcBorders>
              <w:top w:val="nil"/>
              <w:left w:val="nil"/>
              <w:bottom w:val="nil"/>
              <w:right w:val="nil"/>
            </w:tcBorders>
            <w:shd w:val="clear" w:color="auto" w:fill="auto"/>
            <w:vAlign w:val="center"/>
            <w:hideMark/>
          </w:tcPr>
          <w:p w14:paraId="5979389B" w14:textId="77777777" w:rsidR="00CC659A" w:rsidRPr="00CC659A" w:rsidRDefault="00CC659A" w:rsidP="00CC659A">
            <w:pPr>
              <w:spacing w:after="0" w:line="240" w:lineRule="auto"/>
              <w:ind w:left="-108"/>
              <w:jc w:val="center"/>
              <w:rPr>
                <w:rFonts w:eastAsia="Times New Roman"/>
                <w:color w:val="000000"/>
                <w:sz w:val="16"/>
                <w:szCs w:val="16"/>
                <w:lang w:val="es-ES"/>
              </w:rPr>
            </w:pPr>
            <w:r w:rsidRPr="00CC659A">
              <w:rPr>
                <w:rFonts w:eastAsia="Times New Roman"/>
                <w:color w:val="000000"/>
                <w:sz w:val="16"/>
                <w:szCs w:val="16"/>
                <w:lang w:val="es-ES"/>
              </w:rPr>
              <w:t>0.008</w:t>
            </w:r>
          </w:p>
        </w:tc>
        <w:tc>
          <w:tcPr>
            <w:tcW w:w="420" w:type="pct"/>
            <w:tcBorders>
              <w:top w:val="nil"/>
              <w:left w:val="nil"/>
              <w:bottom w:val="nil"/>
              <w:right w:val="single" w:sz="8" w:space="0" w:color="808080"/>
            </w:tcBorders>
            <w:shd w:val="clear" w:color="auto" w:fill="auto"/>
            <w:vAlign w:val="center"/>
            <w:hideMark/>
          </w:tcPr>
          <w:p w14:paraId="1A7D7897" w14:textId="77777777" w:rsidR="00CC659A" w:rsidRPr="00CC659A" w:rsidRDefault="00CC659A" w:rsidP="00CC659A">
            <w:pPr>
              <w:spacing w:after="0" w:line="240" w:lineRule="auto"/>
              <w:ind w:left="-108"/>
              <w:jc w:val="right"/>
              <w:rPr>
                <w:rFonts w:eastAsia="Times New Roman" w:cs="Arial"/>
                <w:color w:val="000000"/>
                <w:sz w:val="16"/>
                <w:szCs w:val="16"/>
                <w:lang w:val="es-ES"/>
              </w:rPr>
            </w:pPr>
            <w:r w:rsidRPr="00CC659A">
              <w:rPr>
                <w:rFonts w:eastAsia="Times New Roman" w:cs="Arial"/>
                <w:color w:val="000000"/>
                <w:sz w:val="16"/>
                <w:szCs w:val="16"/>
                <w:lang w:val="es-ES"/>
              </w:rPr>
              <w:t xml:space="preserve">0.018 </w:t>
            </w:r>
          </w:p>
        </w:tc>
        <w:tc>
          <w:tcPr>
            <w:tcW w:w="444" w:type="pct"/>
            <w:tcBorders>
              <w:top w:val="nil"/>
              <w:left w:val="nil"/>
              <w:bottom w:val="nil"/>
              <w:right w:val="single" w:sz="4" w:space="0" w:color="808080"/>
            </w:tcBorders>
            <w:shd w:val="clear" w:color="auto" w:fill="auto"/>
            <w:vAlign w:val="center"/>
            <w:hideMark/>
          </w:tcPr>
          <w:p w14:paraId="5A87EA02"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1 611 </w:t>
            </w:r>
          </w:p>
        </w:tc>
        <w:tc>
          <w:tcPr>
            <w:tcW w:w="437" w:type="pct"/>
            <w:tcBorders>
              <w:top w:val="nil"/>
              <w:left w:val="nil"/>
              <w:bottom w:val="nil"/>
              <w:right w:val="single" w:sz="8" w:space="0" w:color="808080"/>
            </w:tcBorders>
            <w:shd w:val="clear" w:color="auto" w:fill="auto"/>
            <w:vAlign w:val="center"/>
            <w:hideMark/>
          </w:tcPr>
          <w:p w14:paraId="2B292E90"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537 </w:t>
            </w:r>
          </w:p>
        </w:tc>
        <w:tc>
          <w:tcPr>
            <w:tcW w:w="444" w:type="pct"/>
            <w:tcBorders>
              <w:top w:val="nil"/>
              <w:left w:val="nil"/>
              <w:bottom w:val="nil"/>
              <w:right w:val="single" w:sz="4" w:space="0" w:color="808080"/>
            </w:tcBorders>
            <w:shd w:val="clear" w:color="auto" w:fill="auto"/>
            <w:vAlign w:val="center"/>
            <w:hideMark/>
          </w:tcPr>
          <w:p w14:paraId="65EC0A00"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1 797 </w:t>
            </w:r>
          </w:p>
        </w:tc>
        <w:tc>
          <w:tcPr>
            <w:tcW w:w="437" w:type="pct"/>
            <w:tcBorders>
              <w:top w:val="nil"/>
              <w:left w:val="nil"/>
              <w:bottom w:val="nil"/>
              <w:right w:val="single" w:sz="8" w:space="0" w:color="808080"/>
            </w:tcBorders>
            <w:shd w:val="clear" w:color="auto" w:fill="auto"/>
            <w:vAlign w:val="center"/>
            <w:hideMark/>
          </w:tcPr>
          <w:p w14:paraId="2B488AFA"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599 </w:t>
            </w:r>
          </w:p>
        </w:tc>
        <w:tc>
          <w:tcPr>
            <w:tcW w:w="444" w:type="pct"/>
            <w:tcBorders>
              <w:top w:val="nil"/>
              <w:left w:val="nil"/>
              <w:bottom w:val="nil"/>
              <w:right w:val="single" w:sz="4" w:space="0" w:color="808080"/>
            </w:tcBorders>
            <w:shd w:val="clear" w:color="auto" w:fill="auto"/>
            <w:vAlign w:val="center"/>
            <w:hideMark/>
          </w:tcPr>
          <w:p w14:paraId="19085EA8"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2 105 </w:t>
            </w:r>
          </w:p>
        </w:tc>
        <w:tc>
          <w:tcPr>
            <w:tcW w:w="437" w:type="pct"/>
            <w:tcBorders>
              <w:top w:val="nil"/>
              <w:left w:val="nil"/>
              <w:bottom w:val="nil"/>
              <w:right w:val="single" w:sz="8" w:space="0" w:color="808080"/>
            </w:tcBorders>
            <w:shd w:val="clear" w:color="auto" w:fill="auto"/>
            <w:vAlign w:val="center"/>
            <w:hideMark/>
          </w:tcPr>
          <w:p w14:paraId="71241198"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702 </w:t>
            </w:r>
          </w:p>
        </w:tc>
        <w:tc>
          <w:tcPr>
            <w:tcW w:w="444" w:type="pct"/>
            <w:tcBorders>
              <w:top w:val="nil"/>
              <w:left w:val="single" w:sz="4" w:space="0" w:color="808080"/>
              <w:bottom w:val="nil"/>
              <w:right w:val="single" w:sz="8" w:space="0" w:color="808080"/>
            </w:tcBorders>
            <w:shd w:val="clear" w:color="auto" w:fill="auto"/>
            <w:vAlign w:val="center"/>
            <w:hideMark/>
          </w:tcPr>
          <w:p w14:paraId="0FC3E7C3"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1 565 </w:t>
            </w:r>
          </w:p>
        </w:tc>
      </w:tr>
      <w:tr w:rsidR="006D34EE" w:rsidRPr="00CC659A" w14:paraId="1023EC73" w14:textId="77777777" w:rsidTr="00477854">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0E4109E5" w14:textId="77777777" w:rsidR="00CC659A" w:rsidRPr="00CC659A" w:rsidRDefault="00CC659A" w:rsidP="00CC659A">
            <w:pPr>
              <w:spacing w:after="0" w:line="240" w:lineRule="auto"/>
              <w:ind w:left="-108"/>
              <w:jc w:val="right"/>
              <w:rPr>
                <w:rFonts w:eastAsia="Times New Roman"/>
                <w:color w:val="000000"/>
                <w:sz w:val="16"/>
                <w:szCs w:val="16"/>
                <w:lang w:val="es-ES"/>
              </w:rPr>
            </w:pPr>
            <w:r w:rsidRPr="00CC659A">
              <w:rPr>
                <w:rFonts w:eastAsia="Times New Roman"/>
                <w:color w:val="000000"/>
                <w:sz w:val="16"/>
                <w:szCs w:val="16"/>
                <w:lang w:val="es-ES"/>
              </w:rPr>
              <w:t>52</w:t>
            </w:r>
          </w:p>
        </w:tc>
        <w:tc>
          <w:tcPr>
            <w:tcW w:w="920" w:type="pct"/>
            <w:tcBorders>
              <w:top w:val="nil"/>
              <w:left w:val="nil"/>
              <w:bottom w:val="nil"/>
              <w:right w:val="nil"/>
            </w:tcBorders>
            <w:shd w:val="clear" w:color="auto" w:fill="auto"/>
            <w:vAlign w:val="center"/>
            <w:hideMark/>
          </w:tcPr>
          <w:p w14:paraId="70254338" w14:textId="41F1164A" w:rsidR="00CC659A" w:rsidRPr="00CC659A" w:rsidRDefault="009B3FD9"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Aleman</w:t>
            </w:r>
            <w:r>
              <w:rPr>
                <w:rFonts w:eastAsia="Times New Roman"/>
                <w:color w:val="000000"/>
                <w:sz w:val="16"/>
                <w:szCs w:val="16"/>
                <w:lang w:val="es-ES"/>
              </w:rPr>
              <w:t>i</w:t>
            </w:r>
            <w:r w:rsidRPr="00CC659A">
              <w:rPr>
                <w:rFonts w:eastAsia="Times New Roman"/>
                <w:color w:val="000000"/>
                <w:sz w:val="16"/>
                <w:szCs w:val="16"/>
                <w:lang w:val="es-ES"/>
              </w:rPr>
              <w:t>a</w:t>
            </w:r>
          </w:p>
        </w:tc>
        <w:tc>
          <w:tcPr>
            <w:tcW w:w="404" w:type="pct"/>
            <w:tcBorders>
              <w:top w:val="nil"/>
              <w:left w:val="nil"/>
              <w:bottom w:val="nil"/>
              <w:right w:val="nil"/>
            </w:tcBorders>
            <w:shd w:val="clear" w:color="auto" w:fill="auto"/>
            <w:vAlign w:val="center"/>
            <w:hideMark/>
          </w:tcPr>
          <w:p w14:paraId="6090C1EA" w14:textId="77777777" w:rsidR="00CC659A" w:rsidRPr="00CC659A" w:rsidRDefault="00CC659A" w:rsidP="00CC659A">
            <w:pPr>
              <w:spacing w:after="0" w:line="240" w:lineRule="auto"/>
              <w:ind w:left="-108"/>
              <w:jc w:val="center"/>
              <w:rPr>
                <w:rFonts w:eastAsia="Times New Roman"/>
                <w:color w:val="000000"/>
                <w:sz w:val="16"/>
                <w:szCs w:val="16"/>
                <w:lang w:val="es-ES"/>
              </w:rPr>
            </w:pPr>
            <w:r w:rsidRPr="00CC659A">
              <w:rPr>
                <w:rFonts w:eastAsia="Times New Roman"/>
                <w:color w:val="000000"/>
                <w:sz w:val="16"/>
                <w:szCs w:val="16"/>
                <w:lang w:val="es-ES"/>
              </w:rPr>
              <w:t>6.111</w:t>
            </w:r>
          </w:p>
        </w:tc>
        <w:tc>
          <w:tcPr>
            <w:tcW w:w="420" w:type="pct"/>
            <w:tcBorders>
              <w:top w:val="nil"/>
              <w:left w:val="nil"/>
              <w:bottom w:val="nil"/>
              <w:right w:val="single" w:sz="8" w:space="0" w:color="808080"/>
            </w:tcBorders>
            <w:shd w:val="clear" w:color="auto" w:fill="auto"/>
            <w:vAlign w:val="center"/>
            <w:hideMark/>
          </w:tcPr>
          <w:p w14:paraId="2C6C108A" w14:textId="77777777" w:rsidR="00CC659A" w:rsidRPr="00CC659A" w:rsidRDefault="00CC659A" w:rsidP="00CC659A">
            <w:pPr>
              <w:spacing w:after="0" w:line="240" w:lineRule="auto"/>
              <w:ind w:left="-108"/>
              <w:jc w:val="right"/>
              <w:rPr>
                <w:rFonts w:eastAsia="Times New Roman" w:cs="Arial"/>
                <w:color w:val="000000"/>
                <w:sz w:val="16"/>
                <w:szCs w:val="16"/>
                <w:lang w:val="es-ES"/>
              </w:rPr>
            </w:pPr>
            <w:r w:rsidRPr="00CC659A">
              <w:rPr>
                <w:rFonts w:eastAsia="Times New Roman" w:cs="Arial"/>
                <w:color w:val="000000"/>
                <w:sz w:val="16"/>
                <w:szCs w:val="16"/>
                <w:lang w:val="es-ES"/>
              </w:rPr>
              <w:t xml:space="preserve">14.063 </w:t>
            </w:r>
          </w:p>
        </w:tc>
        <w:tc>
          <w:tcPr>
            <w:tcW w:w="444" w:type="pct"/>
            <w:tcBorders>
              <w:top w:val="nil"/>
              <w:left w:val="nil"/>
              <w:bottom w:val="nil"/>
              <w:right w:val="single" w:sz="4" w:space="0" w:color="808080"/>
            </w:tcBorders>
            <w:shd w:val="clear" w:color="auto" w:fill="auto"/>
            <w:vAlign w:val="center"/>
            <w:hideMark/>
          </w:tcPr>
          <w:p w14:paraId="48C35280"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1 230 761 </w:t>
            </w:r>
          </w:p>
        </w:tc>
        <w:tc>
          <w:tcPr>
            <w:tcW w:w="437" w:type="pct"/>
            <w:tcBorders>
              <w:top w:val="nil"/>
              <w:left w:val="nil"/>
              <w:bottom w:val="nil"/>
              <w:right w:val="single" w:sz="8" w:space="0" w:color="808080"/>
            </w:tcBorders>
            <w:shd w:val="clear" w:color="auto" w:fill="auto"/>
            <w:vAlign w:val="center"/>
            <w:hideMark/>
          </w:tcPr>
          <w:p w14:paraId="0840E693"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410 254 </w:t>
            </w:r>
          </w:p>
        </w:tc>
        <w:tc>
          <w:tcPr>
            <w:tcW w:w="444" w:type="pct"/>
            <w:tcBorders>
              <w:top w:val="nil"/>
              <w:left w:val="nil"/>
              <w:bottom w:val="nil"/>
              <w:right w:val="single" w:sz="4" w:space="0" w:color="808080"/>
            </w:tcBorders>
            <w:shd w:val="clear" w:color="auto" w:fill="auto"/>
            <w:vAlign w:val="center"/>
            <w:hideMark/>
          </w:tcPr>
          <w:p w14:paraId="3CDA425C"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1 372 976 </w:t>
            </w:r>
          </w:p>
        </w:tc>
        <w:tc>
          <w:tcPr>
            <w:tcW w:w="437" w:type="pct"/>
            <w:tcBorders>
              <w:top w:val="nil"/>
              <w:left w:val="nil"/>
              <w:bottom w:val="nil"/>
              <w:right w:val="single" w:sz="8" w:space="0" w:color="808080"/>
            </w:tcBorders>
            <w:shd w:val="clear" w:color="auto" w:fill="auto"/>
            <w:vAlign w:val="center"/>
            <w:hideMark/>
          </w:tcPr>
          <w:p w14:paraId="1C309CAA"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457 659 </w:t>
            </w:r>
          </w:p>
        </w:tc>
        <w:tc>
          <w:tcPr>
            <w:tcW w:w="444" w:type="pct"/>
            <w:tcBorders>
              <w:top w:val="nil"/>
              <w:left w:val="nil"/>
              <w:bottom w:val="nil"/>
              <w:right w:val="single" w:sz="4" w:space="0" w:color="808080"/>
            </w:tcBorders>
            <w:shd w:val="clear" w:color="auto" w:fill="auto"/>
            <w:vAlign w:val="center"/>
            <w:hideMark/>
          </w:tcPr>
          <w:p w14:paraId="0FF6E60D"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1 607 596 </w:t>
            </w:r>
          </w:p>
        </w:tc>
        <w:tc>
          <w:tcPr>
            <w:tcW w:w="437" w:type="pct"/>
            <w:tcBorders>
              <w:top w:val="nil"/>
              <w:left w:val="nil"/>
              <w:bottom w:val="nil"/>
              <w:right w:val="single" w:sz="8" w:space="0" w:color="808080"/>
            </w:tcBorders>
            <w:shd w:val="clear" w:color="auto" w:fill="auto"/>
            <w:vAlign w:val="center"/>
            <w:hideMark/>
          </w:tcPr>
          <w:p w14:paraId="0DE42E5B"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535 865 </w:t>
            </w:r>
          </w:p>
        </w:tc>
        <w:tc>
          <w:tcPr>
            <w:tcW w:w="444" w:type="pct"/>
            <w:tcBorders>
              <w:top w:val="nil"/>
              <w:left w:val="single" w:sz="4" w:space="0" w:color="808080"/>
              <w:bottom w:val="nil"/>
              <w:right w:val="single" w:sz="8" w:space="0" w:color="808080"/>
            </w:tcBorders>
            <w:shd w:val="clear" w:color="auto" w:fill="auto"/>
            <w:vAlign w:val="center"/>
            <w:hideMark/>
          </w:tcPr>
          <w:p w14:paraId="05D3244A"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1 193 407 </w:t>
            </w:r>
          </w:p>
        </w:tc>
      </w:tr>
      <w:tr w:rsidR="006D34EE" w:rsidRPr="00CC659A" w14:paraId="4071A8EA" w14:textId="77777777" w:rsidTr="00477854">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4D32A8C8" w14:textId="77777777" w:rsidR="00CC659A" w:rsidRPr="00CC659A" w:rsidRDefault="00CC659A" w:rsidP="00CC659A">
            <w:pPr>
              <w:spacing w:after="0" w:line="240" w:lineRule="auto"/>
              <w:ind w:left="-108"/>
              <w:jc w:val="right"/>
              <w:rPr>
                <w:rFonts w:eastAsia="Times New Roman"/>
                <w:color w:val="000000"/>
                <w:sz w:val="16"/>
                <w:szCs w:val="16"/>
                <w:lang w:val="es-ES"/>
              </w:rPr>
            </w:pPr>
            <w:r w:rsidRPr="00CC659A">
              <w:rPr>
                <w:rFonts w:eastAsia="Times New Roman"/>
                <w:color w:val="000000"/>
                <w:sz w:val="16"/>
                <w:szCs w:val="16"/>
                <w:lang w:val="es-ES"/>
              </w:rPr>
              <w:t>53</w:t>
            </w:r>
          </w:p>
        </w:tc>
        <w:tc>
          <w:tcPr>
            <w:tcW w:w="920" w:type="pct"/>
            <w:tcBorders>
              <w:top w:val="nil"/>
              <w:left w:val="nil"/>
              <w:bottom w:val="nil"/>
              <w:right w:val="nil"/>
            </w:tcBorders>
            <w:shd w:val="clear" w:color="auto" w:fill="auto"/>
            <w:vAlign w:val="center"/>
            <w:hideMark/>
          </w:tcPr>
          <w:p w14:paraId="2B81D28E"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Ghana</w:t>
            </w:r>
          </w:p>
        </w:tc>
        <w:tc>
          <w:tcPr>
            <w:tcW w:w="404" w:type="pct"/>
            <w:tcBorders>
              <w:top w:val="nil"/>
              <w:left w:val="nil"/>
              <w:bottom w:val="nil"/>
              <w:right w:val="nil"/>
            </w:tcBorders>
            <w:shd w:val="clear" w:color="auto" w:fill="auto"/>
            <w:vAlign w:val="center"/>
            <w:hideMark/>
          </w:tcPr>
          <w:p w14:paraId="2E775985" w14:textId="77777777" w:rsidR="00CC659A" w:rsidRPr="00CC659A" w:rsidRDefault="00CC659A" w:rsidP="00CC659A">
            <w:pPr>
              <w:spacing w:after="0" w:line="240" w:lineRule="auto"/>
              <w:ind w:left="-108"/>
              <w:jc w:val="center"/>
              <w:rPr>
                <w:rFonts w:eastAsia="Times New Roman"/>
                <w:color w:val="000000"/>
                <w:sz w:val="16"/>
                <w:szCs w:val="16"/>
                <w:lang w:val="es-ES"/>
              </w:rPr>
            </w:pPr>
            <w:r w:rsidRPr="00CC659A">
              <w:rPr>
                <w:rFonts w:eastAsia="Times New Roman"/>
                <w:color w:val="000000"/>
                <w:sz w:val="16"/>
                <w:szCs w:val="16"/>
                <w:lang w:val="es-ES"/>
              </w:rPr>
              <w:t>0.024</w:t>
            </w:r>
          </w:p>
        </w:tc>
        <w:tc>
          <w:tcPr>
            <w:tcW w:w="420" w:type="pct"/>
            <w:tcBorders>
              <w:top w:val="nil"/>
              <w:left w:val="nil"/>
              <w:bottom w:val="nil"/>
              <w:right w:val="single" w:sz="8" w:space="0" w:color="808080"/>
            </w:tcBorders>
            <w:shd w:val="clear" w:color="auto" w:fill="auto"/>
            <w:vAlign w:val="center"/>
            <w:hideMark/>
          </w:tcPr>
          <w:p w14:paraId="33B2052E" w14:textId="77777777" w:rsidR="00CC659A" w:rsidRPr="00CC659A" w:rsidRDefault="00CC659A" w:rsidP="00CC659A">
            <w:pPr>
              <w:spacing w:after="0" w:line="240" w:lineRule="auto"/>
              <w:ind w:left="-108"/>
              <w:jc w:val="right"/>
              <w:rPr>
                <w:rFonts w:eastAsia="Times New Roman" w:cs="Arial"/>
                <w:color w:val="000000"/>
                <w:sz w:val="16"/>
                <w:szCs w:val="16"/>
                <w:lang w:val="es-ES"/>
              </w:rPr>
            </w:pPr>
            <w:r w:rsidRPr="00CC659A">
              <w:rPr>
                <w:rFonts w:eastAsia="Times New Roman" w:cs="Arial"/>
                <w:color w:val="000000"/>
                <w:sz w:val="16"/>
                <w:szCs w:val="16"/>
                <w:lang w:val="es-ES"/>
              </w:rPr>
              <w:t xml:space="preserve">0.055 </w:t>
            </w:r>
          </w:p>
        </w:tc>
        <w:tc>
          <w:tcPr>
            <w:tcW w:w="444" w:type="pct"/>
            <w:tcBorders>
              <w:top w:val="nil"/>
              <w:left w:val="nil"/>
              <w:bottom w:val="nil"/>
              <w:right w:val="single" w:sz="4" w:space="0" w:color="808080"/>
            </w:tcBorders>
            <w:shd w:val="clear" w:color="auto" w:fill="auto"/>
            <w:vAlign w:val="center"/>
            <w:hideMark/>
          </w:tcPr>
          <w:p w14:paraId="4F7D8296"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4 834 </w:t>
            </w:r>
          </w:p>
        </w:tc>
        <w:tc>
          <w:tcPr>
            <w:tcW w:w="437" w:type="pct"/>
            <w:tcBorders>
              <w:top w:val="nil"/>
              <w:left w:val="nil"/>
              <w:bottom w:val="nil"/>
              <w:right w:val="single" w:sz="8" w:space="0" w:color="808080"/>
            </w:tcBorders>
            <w:shd w:val="clear" w:color="auto" w:fill="auto"/>
            <w:vAlign w:val="center"/>
            <w:hideMark/>
          </w:tcPr>
          <w:p w14:paraId="1D079C45"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1 611 </w:t>
            </w:r>
          </w:p>
        </w:tc>
        <w:tc>
          <w:tcPr>
            <w:tcW w:w="444" w:type="pct"/>
            <w:tcBorders>
              <w:top w:val="nil"/>
              <w:left w:val="nil"/>
              <w:bottom w:val="nil"/>
              <w:right w:val="single" w:sz="4" w:space="0" w:color="808080"/>
            </w:tcBorders>
            <w:shd w:val="clear" w:color="auto" w:fill="auto"/>
            <w:vAlign w:val="center"/>
            <w:hideMark/>
          </w:tcPr>
          <w:p w14:paraId="4802CC7F"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5 392 </w:t>
            </w:r>
          </w:p>
        </w:tc>
        <w:tc>
          <w:tcPr>
            <w:tcW w:w="437" w:type="pct"/>
            <w:tcBorders>
              <w:top w:val="nil"/>
              <w:left w:val="nil"/>
              <w:bottom w:val="nil"/>
              <w:right w:val="single" w:sz="8" w:space="0" w:color="808080"/>
            </w:tcBorders>
            <w:shd w:val="clear" w:color="auto" w:fill="auto"/>
            <w:vAlign w:val="center"/>
            <w:hideMark/>
          </w:tcPr>
          <w:p w14:paraId="2E6BFE47"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1 797 </w:t>
            </w:r>
          </w:p>
        </w:tc>
        <w:tc>
          <w:tcPr>
            <w:tcW w:w="444" w:type="pct"/>
            <w:tcBorders>
              <w:top w:val="nil"/>
              <w:left w:val="nil"/>
              <w:bottom w:val="nil"/>
              <w:right w:val="single" w:sz="4" w:space="0" w:color="808080"/>
            </w:tcBorders>
            <w:shd w:val="clear" w:color="auto" w:fill="auto"/>
            <w:vAlign w:val="center"/>
            <w:hideMark/>
          </w:tcPr>
          <w:p w14:paraId="0006B0FB"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6 314 </w:t>
            </w:r>
          </w:p>
        </w:tc>
        <w:tc>
          <w:tcPr>
            <w:tcW w:w="437" w:type="pct"/>
            <w:tcBorders>
              <w:top w:val="nil"/>
              <w:left w:val="nil"/>
              <w:bottom w:val="nil"/>
              <w:right w:val="single" w:sz="8" w:space="0" w:color="808080"/>
            </w:tcBorders>
            <w:shd w:val="clear" w:color="auto" w:fill="auto"/>
            <w:vAlign w:val="center"/>
            <w:hideMark/>
          </w:tcPr>
          <w:p w14:paraId="1BC02FBA"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2 105 </w:t>
            </w:r>
          </w:p>
        </w:tc>
        <w:tc>
          <w:tcPr>
            <w:tcW w:w="444" w:type="pct"/>
            <w:tcBorders>
              <w:top w:val="nil"/>
              <w:left w:val="single" w:sz="4" w:space="0" w:color="808080"/>
              <w:bottom w:val="nil"/>
              <w:right w:val="single" w:sz="8" w:space="0" w:color="808080"/>
            </w:tcBorders>
            <w:shd w:val="clear" w:color="auto" w:fill="auto"/>
            <w:vAlign w:val="center"/>
            <w:hideMark/>
          </w:tcPr>
          <w:p w14:paraId="36F3C24C"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2 939 </w:t>
            </w:r>
          </w:p>
        </w:tc>
      </w:tr>
      <w:tr w:rsidR="006D34EE" w:rsidRPr="00CC659A" w14:paraId="51512305" w14:textId="77777777" w:rsidTr="00477854">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6369E189" w14:textId="77777777" w:rsidR="00CC659A" w:rsidRPr="00CC659A" w:rsidRDefault="00CC659A" w:rsidP="00CC659A">
            <w:pPr>
              <w:spacing w:after="0" w:line="240" w:lineRule="auto"/>
              <w:ind w:left="-108"/>
              <w:jc w:val="right"/>
              <w:rPr>
                <w:rFonts w:eastAsia="Times New Roman"/>
                <w:color w:val="000000"/>
                <w:sz w:val="16"/>
                <w:szCs w:val="16"/>
                <w:lang w:val="es-ES"/>
              </w:rPr>
            </w:pPr>
            <w:r w:rsidRPr="00CC659A">
              <w:rPr>
                <w:rFonts w:eastAsia="Times New Roman"/>
                <w:color w:val="000000"/>
                <w:sz w:val="16"/>
                <w:szCs w:val="16"/>
                <w:lang w:val="es-ES"/>
              </w:rPr>
              <w:t>54</w:t>
            </w:r>
          </w:p>
        </w:tc>
        <w:tc>
          <w:tcPr>
            <w:tcW w:w="920" w:type="pct"/>
            <w:tcBorders>
              <w:top w:val="nil"/>
              <w:left w:val="nil"/>
              <w:bottom w:val="nil"/>
              <w:right w:val="nil"/>
            </w:tcBorders>
            <w:shd w:val="clear" w:color="auto" w:fill="auto"/>
            <w:vAlign w:val="center"/>
            <w:hideMark/>
          </w:tcPr>
          <w:p w14:paraId="6FFE3E60" w14:textId="049F847B"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Gr</w:t>
            </w:r>
            <w:r w:rsidR="009B3FD9">
              <w:rPr>
                <w:rFonts w:eastAsia="Times New Roman"/>
                <w:color w:val="000000"/>
                <w:sz w:val="16"/>
                <w:szCs w:val="16"/>
                <w:lang w:val="es-ES"/>
              </w:rPr>
              <w:t>ecia</w:t>
            </w:r>
          </w:p>
        </w:tc>
        <w:tc>
          <w:tcPr>
            <w:tcW w:w="404" w:type="pct"/>
            <w:tcBorders>
              <w:top w:val="nil"/>
              <w:left w:val="nil"/>
              <w:bottom w:val="nil"/>
              <w:right w:val="nil"/>
            </w:tcBorders>
            <w:shd w:val="clear" w:color="auto" w:fill="auto"/>
            <w:vAlign w:val="center"/>
            <w:hideMark/>
          </w:tcPr>
          <w:p w14:paraId="07ABE183" w14:textId="77777777" w:rsidR="00CC659A" w:rsidRPr="00CC659A" w:rsidRDefault="00CC659A" w:rsidP="00CC659A">
            <w:pPr>
              <w:spacing w:after="0" w:line="240" w:lineRule="auto"/>
              <w:ind w:left="-108"/>
              <w:jc w:val="center"/>
              <w:rPr>
                <w:rFonts w:eastAsia="Times New Roman"/>
                <w:color w:val="000000"/>
                <w:sz w:val="16"/>
                <w:szCs w:val="16"/>
                <w:lang w:val="es-ES"/>
              </w:rPr>
            </w:pPr>
            <w:r w:rsidRPr="00CC659A">
              <w:rPr>
                <w:rFonts w:eastAsia="Times New Roman"/>
                <w:color w:val="000000"/>
                <w:sz w:val="16"/>
                <w:szCs w:val="16"/>
                <w:lang w:val="es-ES"/>
              </w:rPr>
              <w:t>0.325</w:t>
            </w:r>
          </w:p>
        </w:tc>
        <w:tc>
          <w:tcPr>
            <w:tcW w:w="420" w:type="pct"/>
            <w:tcBorders>
              <w:top w:val="nil"/>
              <w:left w:val="nil"/>
              <w:bottom w:val="nil"/>
              <w:right w:val="single" w:sz="8" w:space="0" w:color="808080"/>
            </w:tcBorders>
            <w:shd w:val="clear" w:color="auto" w:fill="auto"/>
            <w:vAlign w:val="center"/>
            <w:hideMark/>
          </w:tcPr>
          <w:p w14:paraId="67F72326" w14:textId="77777777" w:rsidR="00CC659A" w:rsidRPr="00CC659A" w:rsidRDefault="00CC659A" w:rsidP="00CC659A">
            <w:pPr>
              <w:spacing w:after="0" w:line="240" w:lineRule="auto"/>
              <w:ind w:left="-108"/>
              <w:jc w:val="right"/>
              <w:rPr>
                <w:rFonts w:eastAsia="Times New Roman" w:cs="Arial"/>
                <w:color w:val="000000"/>
                <w:sz w:val="16"/>
                <w:szCs w:val="16"/>
                <w:lang w:val="es-ES"/>
              </w:rPr>
            </w:pPr>
            <w:r w:rsidRPr="00CC659A">
              <w:rPr>
                <w:rFonts w:eastAsia="Times New Roman" w:cs="Arial"/>
                <w:color w:val="000000"/>
                <w:sz w:val="16"/>
                <w:szCs w:val="16"/>
                <w:lang w:val="es-ES"/>
              </w:rPr>
              <w:t xml:space="preserve">0.748 </w:t>
            </w:r>
          </w:p>
        </w:tc>
        <w:tc>
          <w:tcPr>
            <w:tcW w:w="444" w:type="pct"/>
            <w:tcBorders>
              <w:top w:val="nil"/>
              <w:left w:val="nil"/>
              <w:bottom w:val="nil"/>
              <w:right w:val="single" w:sz="4" w:space="0" w:color="808080"/>
            </w:tcBorders>
            <w:shd w:val="clear" w:color="auto" w:fill="auto"/>
            <w:vAlign w:val="center"/>
            <w:hideMark/>
          </w:tcPr>
          <w:p w14:paraId="0F0C4A5D"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65 455 </w:t>
            </w:r>
          </w:p>
        </w:tc>
        <w:tc>
          <w:tcPr>
            <w:tcW w:w="437" w:type="pct"/>
            <w:tcBorders>
              <w:top w:val="nil"/>
              <w:left w:val="nil"/>
              <w:bottom w:val="nil"/>
              <w:right w:val="single" w:sz="8" w:space="0" w:color="808080"/>
            </w:tcBorders>
            <w:shd w:val="clear" w:color="auto" w:fill="auto"/>
            <w:vAlign w:val="center"/>
            <w:hideMark/>
          </w:tcPr>
          <w:p w14:paraId="658D984A"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21 818 </w:t>
            </w:r>
          </w:p>
        </w:tc>
        <w:tc>
          <w:tcPr>
            <w:tcW w:w="444" w:type="pct"/>
            <w:tcBorders>
              <w:top w:val="nil"/>
              <w:left w:val="nil"/>
              <w:bottom w:val="nil"/>
              <w:right w:val="single" w:sz="4" w:space="0" w:color="808080"/>
            </w:tcBorders>
            <w:shd w:val="clear" w:color="auto" w:fill="auto"/>
            <w:vAlign w:val="center"/>
            <w:hideMark/>
          </w:tcPr>
          <w:p w14:paraId="04184C2B"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73 019 </w:t>
            </w:r>
          </w:p>
        </w:tc>
        <w:tc>
          <w:tcPr>
            <w:tcW w:w="437" w:type="pct"/>
            <w:tcBorders>
              <w:top w:val="nil"/>
              <w:left w:val="nil"/>
              <w:bottom w:val="nil"/>
              <w:right w:val="single" w:sz="8" w:space="0" w:color="808080"/>
            </w:tcBorders>
            <w:shd w:val="clear" w:color="auto" w:fill="auto"/>
            <w:vAlign w:val="center"/>
            <w:hideMark/>
          </w:tcPr>
          <w:p w14:paraId="332EB5B5"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24 340 </w:t>
            </w:r>
          </w:p>
        </w:tc>
        <w:tc>
          <w:tcPr>
            <w:tcW w:w="444" w:type="pct"/>
            <w:tcBorders>
              <w:top w:val="nil"/>
              <w:left w:val="nil"/>
              <w:bottom w:val="nil"/>
              <w:right w:val="single" w:sz="4" w:space="0" w:color="808080"/>
            </w:tcBorders>
            <w:shd w:val="clear" w:color="auto" w:fill="auto"/>
            <w:vAlign w:val="center"/>
            <w:hideMark/>
          </w:tcPr>
          <w:p w14:paraId="21FDC16A"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85 496 </w:t>
            </w:r>
          </w:p>
        </w:tc>
        <w:tc>
          <w:tcPr>
            <w:tcW w:w="437" w:type="pct"/>
            <w:tcBorders>
              <w:top w:val="nil"/>
              <w:left w:val="nil"/>
              <w:bottom w:val="nil"/>
              <w:right w:val="single" w:sz="8" w:space="0" w:color="808080"/>
            </w:tcBorders>
            <w:shd w:val="clear" w:color="auto" w:fill="auto"/>
            <w:vAlign w:val="center"/>
            <w:hideMark/>
          </w:tcPr>
          <w:p w14:paraId="1EF1BF20"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28 499 </w:t>
            </w:r>
          </w:p>
        </w:tc>
        <w:tc>
          <w:tcPr>
            <w:tcW w:w="444" w:type="pct"/>
            <w:tcBorders>
              <w:top w:val="nil"/>
              <w:left w:val="single" w:sz="4" w:space="0" w:color="808080"/>
              <w:bottom w:val="nil"/>
              <w:right w:val="single" w:sz="8" w:space="0" w:color="808080"/>
            </w:tcBorders>
            <w:shd w:val="clear" w:color="auto" w:fill="auto"/>
            <w:vAlign w:val="center"/>
            <w:hideMark/>
          </w:tcPr>
          <w:p w14:paraId="3B3DEA45"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71 722 </w:t>
            </w:r>
          </w:p>
        </w:tc>
      </w:tr>
      <w:tr w:rsidR="006D34EE" w:rsidRPr="00CC659A" w14:paraId="6FC6747E" w14:textId="77777777" w:rsidTr="00477854">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30B95B5F" w14:textId="77777777" w:rsidR="00CC659A" w:rsidRPr="00CC659A" w:rsidRDefault="00CC659A" w:rsidP="00CC659A">
            <w:pPr>
              <w:spacing w:after="0" w:line="240" w:lineRule="auto"/>
              <w:ind w:left="-108"/>
              <w:jc w:val="right"/>
              <w:rPr>
                <w:rFonts w:eastAsia="Times New Roman"/>
                <w:color w:val="000000"/>
                <w:sz w:val="16"/>
                <w:szCs w:val="16"/>
                <w:lang w:val="es-ES"/>
              </w:rPr>
            </w:pPr>
            <w:r w:rsidRPr="00CC659A">
              <w:rPr>
                <w:rFonts w:eastAsia="Times New Roman"/>
                <w:color w:val="000000"/>
                <w:sz w:val="16"/>
                <w:szCs w:val="16"/>
                <w:lang w:val="es-ES"/>
              </w:rPr>
              <w:t>55</w:t>
            </w:r>
          </w:p>
        </w:tc>
        <w:tc>
          <w:tcPr>
            <w:tcW w:w="920" w:type="pct"/>
            <w:tcBorders>
              <w:top w:val="nil"/>
              <w:left w:val="nil"/>
              <w:bottom w:val="nil"/>
              <w:right w:val="nil"/>
            </w:tcBorders>
            <w:shd w:val="clear" w:color="auto" w:fill="auto"/>
            <w:vAlign w:val="center"/>
            <w:hideMark/>
          </w:tcPr>
          <w:p w14:paraId="51F31C35" w14:textId="04F9BA4A" w:rsidR="00CC659A" w:rsidRPr="00CC659A" w:rsidRDefault="00847CA2"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Guine</w:t>
            </w:r>
            <w:r>
              <w:rPr>
                <w:rFonts w:eastAsia="Times New Roman"/>
                <w:color w:val="000000"/>
                <w:sz w:val="16"/>
                <w:szCs w:val="16"/>
                <w:lang w:val="es-ES"/>
              </w:rPr>
              <w:t>a</w:t>
            </w:r>
          </w:p>
        </w:tc>
        <w:tc>
          <w:tcPr>
            <w:tcW w:w="404" w:type="pct"/>
            <w:tcBorders>
              <w:top w:val="nil"/>
              <w:left w:val="nil"/>
              <w:bottom w:val="nil"/>
              <w:right w:val="nil"/>
            </w:tcBorders>
            <w:shd w:val="clear" w:color="auto" w:fill="auto"/>
            <w:vAlign w:val="center"/>
            <w:hideMark/>
          </w:tcPr>
          <w:p w14:paraId="768E0F24" w14:textId="77777777" w:rsidR="00CC659A" w:rsidRPr="00CC659A" w:rsidRDefault="00CC659A" w:rsidP="00CC659A">
            <w:pPr>
              <w:spacing w:after="0" w:line="240" w:lineRule="auto"/>
              <w:ind w:left="-108"/>
              <w:jc w:val="center"/>
              <w:rPr>
                <w:rFonts w:eastAsia="Times New Roman"/>
                <w:color w:val="000000"/>
                <w:sz w:val="16"/>
                <w:szCs w:val="16"/>
                <w:lang w:val="es-ES"/>
              </w:rPr>
            </w:pPr>
            <w:r w:rsidRPr="00CC659A">
              <w:rPr>
                <w:rFonts w:eastAsia="Times New Roman"/>
                <w:color w:val="000000"/>
                <w:sz w:val="16"/>
                <w:szCs w:val="16"/>
                <w:lang w:val="es-ES"/>
              </w:rPr>
              <w:t>0.003</w:t>
            </w:r>
          </w:p>
        </w:tc>
        <w:tc>
          <w:tcPr>
            <w:tcW w:w="420" w:type="pct"/>
            <w:tcBorders>
              <w:top w:val="nil"/>
              <w:left w:val="nil"/>
              <w:bottom w:val="nil"/>
              <w:right w:val="single" w:sz="8" w:space="0" w:color="808080"/>
            </w:tcBorders>
            <w:shd w:val="clear" w:color="auto" w:fill="auto"/>
            <w:vAlign w:val="center"/>
            <w:hideMark/>
          </w:tcPr>
          <w:p w14:paraId="42E7DBE1" w14:textId="77777777" w:rsidR="00CC659A" w:rsidRPr="00CC659A" w:rsidRDefault="00CC659A" w:rsidP="00CC659A">
            <w:pPr>
              <w:spacing w:after="0" w:line="240" w:lineRule="auto"/>
              <w:ind w:left="-108"/>
              <w:jc w:val="right"/>
              <w:rPr>
                <w:rFonts w:eastAsia="Times New Roman" w:cs="Arial"/>
                <w:color w:val="000000"/>
                <w:sz w:val="16"/>
                <w:szCs w:val="16"/>
                <w:lang w:val="es-ES"/>
              </w:rPr>
            </w:pPr>
            <w:r w:rsidRPr="00CC659A">
              <w:rPr>
                <w:rFonts w:eastAsia="Times New Roman" w:cs="Arial"/>
                <w:color w:val="000000"/>
                <w:sz w:val="16"/>
                <w:szCs w:val="16"/>
                <w:lang w:val="es-ES"/>
              </w:rPr>
              <w:t xml:space="preserve">0.007 </w:t>
            </w:r>
          </w:p>
        </w:tc>
        <w:tc>
          <w:tcPr>
            <w:tcW w:w="444" w:type="pct"/>
            <w:tcBorders>
              <w:top w:val="nil"/>
              <w:left w:val="nil"/>
              <w:bottom w:val="nil"/>
              <w:right w:val="single" w:sz="4" w:space="0" w:color="808080"/>
            </w:tcBorders>
            <w:shd w:val="clear" w:color="auto" w:fill="auto"/>
            <w:vAlign w:val="center"/>
            <w:hideMark/>
          </w:tcPr>
          <w:p w14:paraId="53EB0DB2"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604 </w:t>
            </w:r>
          </w:p>
        </w:tc>
        <w:tc>
          <w:tcPr>
            <w:tcW w:w="437" w:type="pct"/>
            <w:tcBorders>
              <w:top w:val="nil"/>
              <w:left w:val="nil"/>
              <w:bottom w:val="nil"/>
              <w:right w:val="single" w:sz="8" w:space="0" w:color="808080"/>
            </w:tcBorders>
            <w:shd w:val="clear" w:color="auto" w:fill="auto"/>
            <w:vAlign w:val="center"/>
            <w:hideMark/>
          </w:tcPr>
          <w:p w14:paraId="7B794006"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201 </w:t>
            </w:r>
          </w:p>
        </w:tc>
        <w:tc>
          <w:tcPr>
            <w:tcW w:w="444" w:type="pct"/>
            <w:tcBorders>
              <w:top w:val="nil"/>
              <w:left w:val="nil"/>
              <w:bottom w:val="nil"/>
              <w:right w:val="single" w:sz="4" w:space="0" w:color="808080"/>
            </w:tcBorders>
            <w:shd w:val="clear" w:color="auto" w:fill="auto"/>
            <w:vAlign w:val="center"/>
            <w:hideMark/>
          </w:tcPr>
          <w:p w14:paraId="759A28A0"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674 </w:t>
            </w:r>
          </w:p>
        </w:tc>
        <w:tc>
          <w:tcPr>
            <w:tcW w:w="437" w:type="pct"/>
            <w:tcBorders>
              <w:top w:val="nil"/>
              <w:left w:val="nil"/>
              <w:bottom w:val="nil"/>
              <w:right w:val="single" w:sz="8" w:space="0" w:color="808080"/>
            </w:tcBorders>
            <w:shd w:val="clear" w:color="auto" w:fill="auto"/>
            <w:vAlign w:val="center"/>
            <w:hideMark/>
          </w:tcPr>
          <w:p w14:paraId="36158B78"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225 </w:t>
            </w:r>
          </w:p>
        </w:tc>
        <w:tc>
          <w:tcPr>
            <w:tcW w:w="444" w:type="pct"/>
            <w:tcBorders>
              <w:top w:val="nil"/>
              <w:left w:val="nil"/>
              <w:bottom w:val="nil"/>
              <w:right w:val="single" w:sz="4" w:space="0" w:color="808080"/>
            </w:tcBorders>
            <w:shd w:val="clear" w:color="auto" w:fill="auto"/>
            <w:vAlign w:val="center"/>
            <w:hideMark/>
          </w:tcPr>
          <w:p w14:paraId="7394527B"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789 </w:t>
            </w:r>
          </w:p>
        </w:tc>
        <w:tc>
          <w:tcPr>
            <w:tcW w:w="437" w:type="pct"/>
            <w:tcBorders>
              <w:top w:val="nil"/>
              <w:left w:val="nil"/>
              <w:bottom w:val="nil"/>
              <w:right w:val="single" w:sz="8" w:space="0" w:color="808080"/>
            </w:tcBorders>
            <w:shd w:val="clear" w:color="auto" w:fill="auto"/>
            <w:vAlign w:val="center"/>
            <w:hideMark/>
          </w:tcPr>
          <w:p w14:paraId="1C2D3B5C"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263 </w:t>
            </w:r>
          </w:p>
        </w:tc>
        <w:tc>
          <w:tcPr>
            <w:tcW w:w="444" w:type="pct"/>
            <w:tcBorders>
              <w:top w:val="nil"/>
              <w:left w:val="single" w:sz="4" w:space="0" w:color="808080"/>
              <w:bottom w:val="nil"/>
              <w:right w:val="single" w:sz="8" w:space="0" w:color="808080"/>
            </w:tcBorders>
            <w:shd w:val="clear" w:color="auto" w:fill="auto"/>
            <w:vAlign w:val="center"/>
            <w:hideMark/>
          </w:tcPr>
          <w:p w14:paraId="0E4B09DF"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588 </w:t>
            </w:r>
          </w:p>
        </w:tc>
      </w:tr>
      <w:tr w:rsidR="006D34EE" w:rsidRPr="00CC659A" w14:paraId="7EF97871" w14:textId="77777777" w:rsidTr="00477854">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2B7006BA" w14:textId="77777777" w:rsidR="00CC659A" w:rsidRPr="00CC659A" w:rsidRDefault="00CC659A" w:rsidP="00CC659A">
            <w:pPr>
              <w:spacing w:after="0" w:line="240" w:lineRule="auto"/>
              <w:ind w:left="-108"/>
              <w:jc w:val="right"/>
              <w:rPr>
                <w:rFonts w:eastAsia="Times New Roman"/>
                <w:color w:val="000000"/>
                <w:sz w:val="16"/>
                <w:szCs w:val="16"/>
                <w:lang w:val="es-ES"/>
              </w:rPr>
            </w:pPr>
            <w:r w:rsidRPr="00CC659A">
              <w:rPr>
                <w:rFonts w:eastAsia="Times New Roman"/>
                <w:color w:val="000000"/>
                <w:sz w:val="16"/>
                <w:szCs w:val="16"/>
                <w:lang w:val="es-ES"/>
              </w:rPr>
              <w:t>56</w:t>
            </w:r>
          </w:p>
        </w:tc>
        <w:tc>
          <w:tcPr>
            <w:tcW w:w="920" w:type="pct"/>
            <w:tcBorders>
              <w:top w:val="nil"/>
              <w:left w:val="nil"/>
              <w:bottom w:val="nil"/>
              <w:right w:val="nil"/>
            </w:tcBorders>
            <w:shd w:val="clear" w:color="auto" w:fill="auto"/>
            <w:vAlign w:val="center"/>
            <w:hideMark/>
          </w:tcPr>
          <w:p w14:paraId="03BED847" w14:textId="6F83D338" w:rsidR="00CC659A" w:rsidRPr="00CC659A" w:rsidRDefault="00847CA2"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Guine</w:t>
            </w:r>
            <w:r>
              <w:rPr>
                <w:rFonts w:eastAsia="Times New Roman"/>
                <w:color w:val="000000"/>
                <w:sz w:val="16"/>
                <w:szCs w:val="16"/>
                <w:lang w:val="es-ES"/>
              </w:rPr>
              <w:t>a</w:t>
            </w:r>
            <w:r w:rsidR="00CC659A" w:rsidRPr="00CC659A">
              <w:rPr>
                <w:rFonts w:eastAsia="Times New Roman"/>
                <w:color w:val="000000"/>
                <w:sz w:val="16"/>
                <w:szCs w:val="16"/>
                <w:lang w:val="es-ES"/>
              </w:rPr>
              <w:t>-Bissau</w:t>
            </w:r>
          </w:p>
        </w:tc>
        <w:tc>
          <w:tcPr>
            <w:tcW w:w="404" w:type="pct"/>
            <w:tcBorders>
              <w:top w:val="nil"/>
              <w:left w:val="nil"/>
              <w:bottom w:val="nil"/>
              <w:right w:val="nil"/>
            </w:tcBorders>
            <w:shd w:val="clear" w:color="auto" w:fill="auto"/>
            <w:vAlign w:val="center"/>
            <w:hideMark/>
          </w:tcPr>
          <w:p w14:paraId="4B7BD2F1" w14:textId="77777777" w:rsidR="00CC659A" w:rsidRPr="00CC659A" w:rsidRDefault="00CC659A" w:rsidP="00CC659A">
            <w:pPr>
              <w:spacing w:after="0" w:line="240" w:lineRule="auto"/>
              <w:ind w:left="-108"/>
              <w:jc w:val="center"/>
              <w:rPr>
                <w:rFonts w:eastAsia="Times New Roman"/>
                <w:color w:val="000000"/>
                <w:sz w:val="16"/>
                <w:szCs w:val="16"/>
                <w:lang w:val="es-ES"/>
              </w:rPr>
            </w:pPr>
            <w:r w:rsidRPr="00CC659A">
              <w:rPr>
                <w:rFonts w:eastAsia="Times New Roman"/>
                <w:color w:val="000000"/>
                <w:sz w:val="16"/>
                <w:szCs w:val="16"/>
                <w:lang w:val="es-ES"/>
              </w:rPr>
              <w:t>0.001</w:t>
            </w:r>
          </w:p>
        </w:tc>
        <w:tc>
          <w:tcPr>
            <w:tcW w:w="420" w:type="pct"/>
            <w:tcBorders>
              <w:top w:val="nil"/>
              <w:left w:val="nil"/>
              <w:bottom w:val="nil"/>
              <w:right w:val="single" w:sz="8" w:space="0" w:color="808080"/>
            </w:tcBorders>
            <w:shd w:val="clear" w:color="auto" w:fill="auto"/>
            <w:vAlign w:val="center"/>
            <w:hideMark/>
          </w:tcPr>
          <w:p w14:paraId="68583566" w14:textId="77777777" w:rsidR="00CC659A" w:rsidRPr="00CC659A" w:rsidRDefault="00CC659A" w:rsidP="00CC659A">
            <w:pPr>
              <w:spacing w:after="0" w:line="240" w:lineRule="auto"/>
              <w:ind w:left="-108"/>
              <w:jc w:val="right"/>
              <w:rPr>
                <w:rFonts w:eastAsia="Times New Roman" w:cs="Arial"/>
                <w:color w:val="000000"/>
                <w:sz w:val="16"/>
                <w:szCs w:val="16"/>
                <w:lang w:val="es-ES"/>
              </w:rPr>
            </w:pPr>
            <w:r w:rsidRPr="00CC659A">
              <w:rPr>
                <w:rFonts w:eastAsia="Times New Roman" w:cs="Arial"/>
                <w:color w:val="000000"/>
                <w:sz w:val="16"/>
                <w:szCs w:val="16"/>
                <w:lang w:val="es-ES"/>
              </w:rPr>
              <w:t xml:space="preserve">0.002 </w:t>
            </w:r>
          </w:p>
        </w:tc>
        <w:tc>
          <w:tcPr>
            <w:tcW w:w="444" w:type="pct"/>
            <w:tcBorders>
              <w:top w:val="nil"/>
              <w:left w:val="nil"/>
              <w:bottom w:val="nil"/>
              <w:right w:val="single" w:sz="4" w:space="0" w:color="808080"/>
            </w:tcBorders>
            <w:shd w:val="clear" w:color="auto" w:fill="auto"/>
            <w:vAlign w:val="center"/>
            <w:hideMark/>
          </w:tcPr>
          <w:p w14:paraId="1B057FB2"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201 </w:t>
            </w:r>
          </w:p>
        </w:tc>
        <w:tc>
          <w:tcPr>
            <w:tcW w:w="437" w:type="pct"/>
            <w:tcBorders>
              <w:top w:val="nil"/>
              <w:left w:val="nil"/>
              <w:bottom w:val="nil"/>
              <w:right w:val="single" w:sz="8" w:space="0" w:color="808080"/>
            </w:tcBorders>
            <w:shd w:val="clear" w:color="auto" w:fill="auto"/>
            <w:vAlign w:val="center"/>
            <w:hideMark/>
          </w:tcPr>
          <w:p w14:paraId="3D0089E2"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67 </w:t>
            </w:r>
          </w:p>
        </w:tc>
        <w:tc>
          <w:tcPr>
            <w:tcW w:w="444" w:type="pct"/>
            <w:tcBorders>
              <w:top w:val="nil"/>
              <w:left w:val="nil"/>
              <w:bottom w:val="nil"/>
              <w:right w:val="single" w:sz="4" w:space="0" w:color="808080"/>
            </w:tcBorders>
            <w:shd w:val="clear" w:color="auto" w:fill="auto"/>
            <w:vAlign w:val="center"/>
            <w:hideMark/>
          </w:tcPr>
          <w:p w14:paraId="58B6821C"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225 </w:t>
            </w:r>
          </w:p>
        </w:tc>
        <w:tc>
          <w:tcPr>
            <w:tcW w:w="437" w:type="pct"/>
            <w:tcBorders>
              <w:top w:val="nil"/>
              <w:left w:val="nil"/>
              <w:bottom w:val="nil"/>
              <w:right w:val="single" w:sz="8" w:space="0" w:color="808080"/>
            </w:tcBorders>
            <w:shd w:val="clear" w:color="auto" w:fill="auto"/>
            <w:vAlign w:val="center"/>
            <w:hideMark/>
          </w:tcPr>
          <w:p w14:paraId="6CAA524C"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75 </w:t>
            </w:r>
          </w:p>
        </w:tc>
        <w:tc>
          <w:tcPr>
            <w:tcW w:w="444" w:type="pct"/>
            <w:tcBorders>
              <w:top w:val="nil"/>
              <w:left w:val="nil"/>
              <w:bottom w:val="nil"/>
              <w:right w:val="single" w:sz="4" w:space="0" w:color="808080"/>
            </w:tcBorders>
            <w:shd w:val="clear" w:color="auto" w:fill="auto"/>
            <w:vAlign w:val="center"/>
            <w:hideMark/>
          </w:tcPr>
          <w:p w14:paraId="5D241D8D"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263 </w:t>
            </w:r>
          </w:p>
        </w:tc>
        <w:tc>
          <w:tcPr>
            <w:tcW w:w="437" w:type="pct"/>
            <w:tcBorders>
              <w:top w:val="nil"/>
              <w:left w:val="nil"/>
              <w:bottom w:val="nil"/>
              <w:right w:val="single" w:sz="8" w:space="0" w:color="808080"/>
            </w:tcBorders>
            <w:shd w:val="clear" w:color="auto" w:fill="auto"/>
            <w:vAlign w:val="center"/>
            <w:hideMark/>
          </w:tcPr>
          <w:p w14:paraId="4D8E9273"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88 </w:t>
            </w:r>
          </w:p>
        </w:tc>
        <w:tc>
          <w:tcPr>
            <w:tcW w:w="444" w:type="pct"/>
            <w:tcBorders>
              <w:top w:val="nil"/>
              <w:left w:val="single" w:sz="4" w:space="0" w:color="808080"/>
              <w:bottom w:val="nil"/>
              <w:right w:val="single" w:sz="8" w:space="0" w:color="808080"/>
            </w:tcBorders>
            <w:shd w:val="clear" w:color="auto" w:fill="auto"/>
            <w:vAlign w:val="center"/>
            <w:hideMark/>
          </w:tcPr>
          <w:p w14:paraId="719512A7"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197 </w:t>
            </w:r>
          </w:p>
        </w:tc>
      </w:tr>
      <w:tr w:rsidR="006D34EE" w:rsidRPr="00CC659A" w14:paraId="4EEE905E" w14:textId="77777777" w:rsidTr="00477854">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438E76EB" w14:textId="77777777" w:rsidR="00CC659A" w:rsidRPr="00CC659A" w:rsidRDefault="00CC659A" w:rsidP="00CC659A">
            <w:pPr>
              <w:spacing w:after="0" w:line="240" w:lineRule="auto"/>
              <w:ind w:left="-108"/>
              <w:jc w:val="right"/>
              <w:rPr>
                <w:rFonts w:eastAsia="Times New Roman"/>
                <w:color w:val="000000"/>
                <w:sz w:val="16"/>
                <w:szCs w:val="16"/>
                <w:lang w:val="es-ES"/>
              </w:rPr>
            </w:pPr>
            <w:r w:rsidRPr="00CC659A">
              <w:rPr>
                <w:rFonts w:eastAsia="Times New Roman"/>
                <w:color w:val="000000"/>
                <w:sz w:val="16"/>
                <w:szCs w:val="16"/>
                <w:lang w:val="es-ES"/>
              </w:rPr>
              <w:t>57</w:t>
            </w:r>
          </w:p>
        </w:tc>
        <w:tc>
          <w:tcPr>
            <w:tcW w:w="920" w:type="pct"/>
            <w:tcBorders>
              <w:top w:val="nil"/>
              <w:left w:val="nil"/>
              <w:bottom w:val="nil"/>
              <w:right w:val="nil"/>
            </w:tcBorders>
            <w:shd w:val="clear" w:color="auto" w:fill="auto"/>
            <w:vAlign w:val="center"/>
            <w:hideMark/>
          </w:tcPr>
          <w:p w14:paraId="4B74F68D"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Honduras</w:t>
            </w:r>
          </w:p>
        </w:tc>
        <w:tc>
          <w:tcPr>
            <w:tcW w:w="404" w:type="pct"/>
            <w:tcBorders>
              <w:top w:val="nil"/>
              <w:left w:val="nil"/>
              <w:bottom w:val="nil"/>
              <w:right w:val="nil"/>
            </w:tcBorders>
            <w:shd w:val="clear" w:color="auto" w:fill="auto"/>
            <w:vAlign w:val="center"/>
            <w:hideMark/>
          </w:tcPr>
          <w:p w14:paraId="61236F9D" w14:textId="77777777" w:rsidR="00CC659A" w:rsidRPr="00CC659A" w:rsidRDefault="00CC659A" w:rsidP="00CC659A">
            <w:pPr>
              <w:spacing w:after="0" w:line="240" w:lineRule="auto"/>
              <w:ind w:left="-108"/>
              <w:jc w:val="center"/>
              <w:rPr>
                <w:rFonts w:eastAsia="Times New Roman"/>
                <w:color w:val="000000"/>
                <w:sz w:val="16"/>
                <w:szCs w:val="16"/>
                <w:lang w:val="es-ES"/>
              </w:rPr>
            </w:pPr>
            <w:r w:rsidRPr="00CC659A">
              <w:rPr>
                <w:rFonts w:eastAsia="Times New Roman"/>
                <w:color w:val="000000"/>
                <w:sz w:val="16"/>
                <w:szCs w:val="16"/>
                <w:lang w:val="es-ES"/>
              </w:rPr>
              <w:t>0.009</w:t>
            </w:r>
          </w:p>
        </w:tc>
        <w:tc>
          <w:tcPr>
            <w:tcW w:w="420" w:type="pct"/>
            <w:tcBorders>
              <w:top w:val="nil"/>
              <w:left w:val="nil"/>
              <w:bottom w:val="nil"/>
              <w:right w:val="single" w:sz="8" w:space="0" w:color="808080"/>
            </w:tcBorders>
            <w:shd w:val="clear" w:color="auto" w:fill="auto"/>
            <w:vAlign w:val="center"/>
            <w:hideMark/>
          </w:tcPr>
          <w:p w14:paraId="277DC58F" w14:textId="77777777" w:rsidR="00CC659A" w:rsidRPr="00CC659A" w:rsidRDefault="00CC659A" w:rsidP="00CC659A">
            <w:pPr>
              <w:spacing w:after="0" w:line="240" w:lineRule="auto"/>
              <w:ind w:left="-108"/>
              <w:jc w:val="right"/>
              <w:rPr>
                <w:rFonts w:eastAsia="Times New Roman" w:cs="Arial"/>
                <w:color w:val="000000"/>
                <w:sz w:val="16"/>
                <w:szCs w:val="16"/>
                <w:lang w:val="es-ES"/>
              </w:rPr>
            </w:pPr>
            <w:r w:rsidRPr="00CC659A">
              <w:rPr>
                <w:rFonts w:eastAsia="Times New Roman" w:cs="Arial"/>
                <w:color w:val="000000"/>
                <w:sz w:val="16"/>
                <w:szCs w:val="16"/>
                <w:lang w:val="es-ES"/>
              </w:rPr>
              <w:t xml:space="preserve">0.021 </w:t>
            </w:r>
          </w:p>
        </w:tc>
        <w:tc>
          <w:tcPr>
            <w:tcW w:w="444" w:type="pct"/>
            <w:tcBorders>
              <w:top w:val="nil"/>
              <w:left w:val="nil"/>
              <w:bottom w:val="nil"/>
              <w:right w:val="single" w:sz="4" w:space="0" w:color="808080"/>
            </w:tcBorders>
            <w:shd w:val="clear" w:color="auto" w:fill="auto"/>
            <w:vAlign w:val="center"/>
            <w:hideMark/>
          </w:tcPr>
          <w:p w14:paraId="1F10CB87"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1 813 </w:t>
            </w:r>
          </w:p>
        </w:tc>
        <w:tc>
          <w:tcPr>
            <w:tcW w:w="437" w:type="pct"/>
            <w:tcBorders>
              <w:top w:val="nil"/>
              <w:left w:val="nil"/>
              <w:bottom w:val="nil"/>
              <w:right w:val="single" w:sz="8" w:space="0" w:color="808080"/>
            </w:tcBorders>
            <w:shd w:val="clear" w:color="auto" w:fill="auto"/>
            <w:vAlign w:val="center"/>
            <w:hideMark/>
          </w:tcPr>
          <w:p w14:paraId="625CC5F2"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604 </w:t>
            </w:r>
          </w:p>
        </w:tc>
        <w:tc>
          <w:tcPr>
            <w:tcW w:w="444" w:type="pct"/>
            <w:tcBorders>
              <w:top w:val="nil"/>
              <w:left w:val="nil"/>
              <w:bottom w:val="nil"/>
              <w:right w:val="single" w:sz="4" w:space="0" w:color="808080"/>
            </w:tcBorders>
            <w:shd w:val="clear" w:color="auto" w:fill="auto"/>
            <w:vAlign w:val="center"/>
            <w:hideMark/>
          </w:tcPr>
          <w:p w14:paraId="1C22AED5"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2 022 </w:t>
            </w:r>
          </w:p>
        </w:tc>
        <w:tc>
          <w:tcPr>
            <w:tcW w:w="437" w:type="pct"/>
            <w:tcBorders>
              <w:top w:val="nil"/>
              <w:left w:val="nil"/>
              <w:bottom w:val="nil"/>
              <w:right w:val="single" w:sz="8" w:space="0" w:color="808080"/>
            </w:tcBorders>
            <w:shd w:val="clear" w:color="auto" w:fill="auto"/>
            <w:vAlign w:val="center"/>
            <w:hideMark/>
          </w:tcPr>
          <w:p w14:paraId="7999D3A7"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674 </w:t>
            </w:r>
          </w:p>
        </w:tc>
        <w:tc>
          <w:tcPr>
            <w:tcW w:w="444" w:type="pct"/>
            <w:tcBorders>
              <w:top w:val="nil"/>
              <w:left w:val="nil"/>
              <w:bottom w:val="nil"/>
              <w:right w:val="single" w:sz="4" w:space="0" w:color="808080"/>
            </w:tcBorders>
            <w:shd w:val="clear" w:color="auto" w:fill="auto"/>
            <w:vAlign w:val="center"/>
            <w:hideMark/>
          </w:tcPr>
          <w:p w14:paraId="1D59A94D"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2 368 </w:t>
            </w:r>
          </w:p>
        </w:tc>
        <w:tc>
          <w:tcPr>
            <w:tcW w:w="437" w:type="pct"/>
            <w:tcBorders>
              <w:top w:val="nil"/>
              <w:left w:val="nil"/>
              <w:bottom w:val="nil"/>
              <w:right w:val="single" w:sz="8" w:space="0" w:color="808080"/>
            </w:tcBorders>
            <w:shd w:val="clear" w:color="auto" w:fill="auto"/>
            <w:vAlign w:val="center"/>
            <w:hideMark/>
          </w:tcPr>
          <w:p w14:paraId="13C0BDBA"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789 </w:t>
            </w:r>
          </w:p>
        </w:tc>
        <w:tc>
          <w:tcPr>
            <w:tcW w:w="444" w:type="pct"/>
            <w:tcBorders>
              <w:top w:val="nil"/>
              <w:left w:val="single" w:sz="4" w:space="0" w:color="808080"/>
              <w:bottom w:val="nil"/>
              <w:right w:val="single" w:sz="8" w:space="0" w:color="808080"/>
            </w:tcBorders>
            <w:shd w:val="clear" w:color="auto" w:fill="auto"/>
            <w:vAlign w:val="center"/>
            <w:hideMark/>
          </w:tcPr>
          <w:p w14:paraId="643B385F"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1 764 </w:t>
            </w:r>
          </w:p>
        </w:tc>
      </w:tr>
      <w:tr w:rsidR="006D34EE" w:rsidRPr="00CC659A" w14:paraId="51E9EF4F" w14:textId="77777777" w:rsidTr="00477854">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312549A8" w14:textId="77777777" w:rsidR="00CC659A" w:rsidRPr="00CC659A" w:rsidRDefault="00CC659A" w:rsidP="00CC659A">
            <w:pPr>
              <w:spacing w:after="0" w:line="240" w:lineRule="auto"/>
              <w:ind w:left="-108"/>
              <w:jc w:val="right"/>
              <w:rPr>
                <w:rFonts w:eastAsia="Times New Roman"/>
                <w:color w:val="000000"/>
                <w:sz w:val="16"/>
                <w:szCs w:val="16"/>
                <w:lang w:val="es-ES"/>
              </w:rPr>
            </w:pPr>
            <w:r w:rsidRPr="00CC659A">
              <w:rPr>
                <w:rFonts w:eastAsia="Times New Roman"/>
                <w:color w:val="000000"/>
                <w:sz w:val="16"/>
                <w:szCs w:val="16"/>
                <w:lang w:val="es-ES"/>
              </w:rPr>
              <w:t>58</w:t>
            </w:r>
          </w:p>
        </w:tc>
        <w:tc>
          <w:tcPr>
            <w:tcW w:w="920" w:type="pct"/>
            <w:tcBorders>
              <w:top w:val="nil"/>
              <w:left w:val="nil"/>
              <w:bottom w:val="nil"/>
              <w:right w:val="nil"/>
            </w:tcBorders>
            <w:shd w:val="clear" w:color="auto" w:fill="auto"/>
            <w:vAlign w:val="center"/>
            <w:hideMark/>
          </w:tcPr>
          <w:p w14:paraId="7E876DE5" w14:textId="5A2F7300" w:rsidR="00CC659A" w:rsidRPr="00CC659A" w:rsidRDefault="009B3FD9"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Hungrí</w:t>
            </w:r>
            <w:r>
              <w:rPr>
                <w:rFonts w:eastAsia="Times New Roman"/>
                <w:color w:val="000000"/>
                <w:sz w:val="16"/>
                <w:szCs w:val="16"/>
                <w:lang w:val="es-ES"/>
              </w:rPr>
              <w:t>a</w:t>
            </w:r>
          </w:p>
        </w:tc>
        <w:tc>
          <w:tcPr>
            <w:tcW w:w="404" w:type="pct"/>
            <w:tcBorders>
              <w:top w:val="nil"/>
              <w:left w:val="nil"/>
              <w:bottom w:val="nil"/>
              <w:right w:val="nil"/>
            </w:tcBorders>
            <w:shd w:val="clear" w:color="auto" w:fill="auto"/>
            <w:vAlign w:val="center"/>
            <w:hideMark/>
          </w:tcPr>
          <w:p w14:paraId="2C8FEF6A" w14:textId="77777777" w:rsidR="00CC659A" w:rsidRPr="00CC659A" w:rsidRDefault="00CC659A" w:rsidP="00CC659A">
            <w:pPr>
              <w:spacing w:after="0" w:line="240" w:lineRule="auto"/>
              <w:ind w:left="-108"/>
              <w:jc w:val="center"/>
              <w:rPr>
                <w:rFonts w:eastAsia="Times New Roman"/>
                <w:color w:val="000000"/>
                <w:sz w:val="16"/>
                <w:szCs w:val="16"/>
                <w:lang w:val="es-ES"/>
              </w:rPr>
            </w:pPr>
            <w:r w:rsidRPr="00CC659A">
              <w:rPr>
                <w:rFonts w:eastAsia="Times New Roman"/>
                <w:color w:val="000000"/>
                <w:sz w:val="16"/>
                <w:szCs w:val="16"/>
                <w:lang w:val="es-ES"/>
              </w:rPr>
              <w:t>0.228</w:t>
            </w:r>
          </w:p>
        </w:tc>
        <w:tc>
          <w:tcPr>
            <w:tcW w:w="420" w:type="pct"/>
            <w:tcBorders>
              <w:top w:val="nil"/>
              <w:left w:val="nil"/>
              <w:bottom w:val="nil"/>
              <w:right w:val="single" w:sz="8" w:space="0" w:color="808080"/>
            </w:tcBorders>
            <w:shd w:val="clear" w:color="auto" w:fill="auto"/>
            <w:vAlign w:val="center"/>
            <w:hideMark/>
          </w:tcPr>
          <w:p w14:paraId="28E08DDA" w14:textId="77777777" w:rsidR="00CC659A" w:rsidRPr="00CC659A" w:rsidRDefault="00CC659A" w:rsidP="00CC659A">
            <w:pPr>
              <w:spacing w:after="0" w:line="240" w:lineRule="auto"/>
              <w:ind w:left="-108"/>
              <w:jc w:val="right"/>
              <w:rPr>
                <w:rFonts w:eastAsia="Times New Roman" w:cs="Arial"/>
                <w:color w:val="000000"/>
                <w:sz w:val="16"/>
                <w:szCs w:val="16"/>
                <w:lang w:val="es-ES"/>
              </w:rPr>
            </w:pPr>
            <w:r w:rsidRPr="00CC659A">
              <w:rPr>
                <w:rFonts w:eastAsia="Times New Roman" w:cs="Arial"/>
                <w:color w:val="000000"/>
                <w:sz w:val="16"/>
                <w:szCs w:val="16"/>
                <w:lang w:val="es-ES"/>
              </w:rPr>
              <w:t xml:space="preserve">0.525 </w:t>
            </w:r>
          </w:p>
        </w:tc>
        <w:tc>
          <w:tcPr>
            <w:tcW w:w="444" w:type="pct"/>
            <w:tcBorders>
              <w:top w:val="nil"/>
              <w:left w:val="nil"/>
              <w:bottom w:val="nil"/>
              <w:right w:val="single" w:sz="4" w:space="0" w:color="808080"/>
            </w:tcBorders>
            <w:shd w:val="clear" w:color="auto" w:fill="auto"/>
            <w:vAlign w:val="center"/>
            <w:hideMark/>
          </w:tcPr>
          <w:p w14:paraId="49AE9D97"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45 919 </w:t>
            </w:r>
          </w:p>
        </w:tc>
        <w:tc>
          <w:tcPr>
            <w:tcW w:w="437" w:type="pct"/>
            <w:tcBorders>
              <w:top w:val="nil"/>
              <w:left w:val="nil"/>
              <w:bottom w:val="nil"/>
              <w:right w:val="single" w:sz="8" w:space="0" w:color="808080"/>
            </w:tcBorders>
            <w:shd w:val="clear" w:color="auto" w:fill="auto"/>
            <w:vAlign w:val="center"/>
            <w:hideMark/>
          </w:tcPr>
          <w:p w14:paraId="4AE088F0"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15 306 </w:t>
            </w:r>
          </w:p>
        </w:tc>
        <w:tc>
          <w:tcPr>
            <w:tcW w:w="444" w:type="pct"/>
            <w:tcBorders>
              <w:top w:val="nil"/>
              <w:left w:val="nil"/>
              <w:bottom w:val="nil"/>
              <w:right w:val="single" w:sz="4" w:space="0" w:color="808080"/>
            </w:tcBorders>
            <w:shd w:val="clear" w:color="auto" w:fill="auto"/>
            <w:vAlign w:val="center"/>
            <w:hideMark/>
          </w:tcPr>
          <w:p w14:paraId="22F24C49"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51 225 </w:t>
            </w:r>
          </w:p>
        </w:tc>
        <w:tc>
          <w:tcPr>
            <w:tcW w:w="437" w:type="pct"/>
            <w:tcBorders>
              <w:top w:val="nil"/>
              <w:left w:val="nil"/>
              <w:bottom w:val="nil"/>
              <w:right w:val="single" w:sz="8" w:space="0" w:color="808080"/>
            </w:tcBorders>
            <w:shd w:val="clear" w:color="auto" w:fill="auto"/>
            <w:vAlign w:val="center"/>
            <w:hideMark/>
          </w:tcPr>
          <w:p w14:paraId="446551FA"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17 075 </w:t>
            </w:r>
          </w:p>
        </w:tc>
        <w:tc>
          <w:tcPr>
            <w:tcW w:w="444" w:type="pct"/>
            <w:tcBorders>
              <w:top w:val="nil"/>
              <w:left w:val="nil"/>
              <w:bottom w:val="nil"/>
              <w:right w:val="single" w:sz="4" w:space="0" w:color="808080"/>
            </w:tcBorders>
            <w:shd w:val="clear" w:color="auto" w:fill="auto"/>
            <w:vAlign w:val="center"/>
            <w:hideMark/>
          </w:tcPr>
          <w:p w14:paraId="7E06CC44"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59 979 </w:t>
            </w:r>
          </w:p>
        </w:tc>
        <w:tc>
          <w:tcPr>
            <w:tcW w:w="437" w:type="pct"/>
            <w:tcBorders>
              <w:top w:val="nil"/>
              <w:left w:val="nil"/>
              <w:bottom w:val="nil"/>
              <w:right w:val="single" w:sz="8" w:space="0" w:color="808080"/>
            </w:tcBorders>
            <w:shd w:val="clear" w:color="auto" w:fill="auto"/>
            <w:vAlign w:val="center"/>
            <w:hideMark/>
          </w:tcPr>
          <w:p w14:paraId="65D754D9"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19 993 </w:t>
            </w:r>
          </w:p>
        </w:tc>
        <w:tc>
          <w:tcPr>
            <w:tcW w:w="444" w:type="pct"/>
            <w:tcBorders>
              <w:top w:val="nil"/>
              <w:left w:val="single" w:sz="4" w:space="0" w:color="808080"/>
              <w:bottom w:val="nil"/>
              <w:right w:val="single" w:sz="8" w:space="0" w:color="808080"/>
            </w:tcBorders>
            <w:shd w:val="clear" w:color="auto" w:fill="auto"/>
            <w:vAlign w:val="center"/>
            <w:hideMark/>
          </w:tcPr>
          <w:p w14:paraId="10DEE453"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40 368 </w:t>
            </w:r>
          </w:p>
        </w:tc>
      </w:tr>
      <w:tr w:rsidR="006D34EE" w:rsidRPr="00CC659A" w14:paraId="57F4AC9E" w14:textId="77777777" w:rsidTr="00477854">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168E9B85" w14:textId="77777777" w:rsidR="00CC659A" w:rsidRPr="00CC659A" w:rsidRDefault="00CC659A" w:rsidP="00CC659A">
            <w:pPr>
              <w:spacing w:after="0" w:line="240" w:lineRule="auto"/>
              <w:ind w:left="-108"/>
              <w:jc w:val="right"/>
              <w:rPr>
                <w:rFonts w:eastAsia="Times New Roman"/>
                <w:color w:val="000000"/>
                <w:sz w:val="16"/>
                <w:szCs w:val="16"/>
                <w:lang w:val="es-ES"/>
              </w:rPr>
            </w:pPr>
            <w:r w:rsidRPr="00CC659A">
              <w:rPr>
                <w:rFonts w:eastAsia="Times New Roman"/>
                <w:color w:val="000000"/>
                <w:sz w:val="16"/>
                <w:szCs w:val="16"/>
                <w:lang w:val="es-ES"/>
              </w:rPr>
              <w:t>59</w:t>
            </w:r>
          </w:p>
        </w:tc>
        <w:tc>
          <w:tcPr>
            <w:tcW w:w="920" w:type="pct"/>
            <w:tcBorders>
              <w:top w:val="nil"/>
              <w:left w:val="nil"/>
              <w:bottom w:val="nil"/>
              <w:right w:val="nil"/>
            </w:tcBorders>
            <w:shd w:val="clear" w:color="auto" w:fill="auto"/>
            <w:vAlign w:val="center"/>
            <w:hideMark/>
          </w:tcPr>
          <w:p w14:paraId="77F0ED6B" w14:textId="59C3887C"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Ind</w:t>
            </w:r>
            <w:r w:rsidR="009B3FD9">
              <w:rPr>
                <w:rFonts w:eastAsia="Times New Roman"/>
                <w:color w:val="000000"/>
                <w:sz w:val="16"/>
                <w:szCs w:val="16"/>
                <w:lang w:val="es-ES"/>
              </w:rPr>
              <w:t>ia</w:t>
            </w:r>
          </w:p>
        </w:tc>
        <w:tc>
          <w:tcPr>
            <w:tcW w:w="404" w:type="pct"/>
            <w:tcBorders>
              <w:top w:val="nil"/>
              <w:left w:val="nil"/>
              <w:bottom w:val="nil"/>
              <w:right w:val="nil"/>
            </w:tcBorders>
            <w:shd w:val="clear" w:color="auto" w:fill="auto"/>
            <w:vAlign w:val="center"/>
            <w:hideMark/>
          </w:tcPr>
          <w:p w14:paraId="70D1133C" w14:textId="77777777" w:rsidR="00CC659A" w:rsidRPr="00CC659A" w:rsidRDefault="00CC659A" w:rsidP="00CC659A">
            <w:pPr>
              <w:spacing w:after="0" w:line="240" w:lineRule="auto"/>
              <w:ind w:left="-108"/>
              <w:jc w:val="center"/>
              <w:rPr>
                <w:rFonts w:eastAsia="Times New Roman"/>
                <w:color w:val="000000"/>
                <w:sz w:val="16"/>
                <w:szCs w:val="16"/>
                <w:lang w:val="es-ES"/>
              </w:rPr>
            </w:pPr>
            <w:r w:rsidRPr="00CC659A">
              <w:rPr>
                <w:rFonts w:eastAsia="Times New Roman"/>
                <w:color w:val="000000"/>
                <w:sz w:val="16"/>
                <w:szCs w:val="16"/>
                <w:lang w:val="es-ES"/>
              </w:rPr>
              <w:t>1.044</w:t>
            </w:r>
          </w:p>
        </w:tc>
        <w:tc>
          <w:tcPr>
            <w:tcW w:w="420" w:type="pct"/>
            <w:tcBorders>
              <w:top w:val="nil"/>
              <w:left w:val="nil"/>
              <w:bottom w:val="nil"/>
              <w:right w:val="single" w:sz="8" w:space="0" w:color="808080"/>
            </w:tcBorders>
            <w:shd w:val="clear" w:color="auto" w:fill="auto"/>
            <w:vAlign w:val="center"/>
            <w:hideMark/>
          </w:tcPr>
          <w:p w14:paraId="1FDBDE42" w14:textId="77777777" w:rsidR="00CC659A" w:rsidRPr="00CC659A" w:rsidRDefault="00CC659A" w:rsidP="00CC659A">
            <w:pPr>
              <w:spacing w:after="0" w:line="240" w:lineRule="auto"/>
              <w:ind w:left="-108"/>
              <w:jc w:val="right"/>
              <w:rPr>
                <w:rFonts w:eastAsia="Times New Roman" w:cs="Arial"/>
                <w:color w:val="000000"/>
                <w:sz w:val="16"/>
                <w:szCs w:val="16"/>
                <w:lang w:val="es-ES"/>
              </w:rPr>
            </w:pPr>
            <w:r w:rsidRPr="00CC659A">
              <w:rPr>
                <w:rFonts w:eastAsia="Times New Roman" w:cs="Arial"/>
                <w:color w:val="000000"/>
                <w:sz w:val="16"/>
                <w:szCs w:val="16"/>
                <w:lang w:val="es-ES"/>
              </w:rPr>
              <w:t xml:space="preserve">2.403 </w:t>
            </w:r>
          </w:p>
        </w:tc>
        <w:tc>
          <w:tcPr>
            <w:tcW w:w="444" w:type="pct"/>
            <w:tcBorders>
              <w:top w:val="nil"/>
              <w:left w:val="nil"/>
              <w:bottom w:val="nil"/>
              <w:right w:val="single" w:sz="4" w:space="0" w:color="808080"/>
            </w:tcBorders>
            <w:shd w:val="clear" w:color="auto" w:fill="auto"/>
            <w:vAlign w:val="center"/>
            <w:hideMark/>
          </w:tcPr>
          <w:p w14:paraId="50EA4E63"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210 263 </w:t>
            </w:r>
          </w:p>
        </w:tc>
        <w:tc>
          <w:tcPr>
            <w:tcW w:w="437" w:type="pct"/>
            <w:tcBorders>
              <w:top w:val="nil"/>
              <w:left w:val="nil"/>
              <w:bottom w:val="nil"/>
              <w:right w:val="single" w:sz="8" w:space="0" w:color="808080"/>
            </w:tcBorders>
            <w:shd w:val="clear" w:color="auto" w:fill="auto"/>
            <w:vAlign w:val="center"/>
            <w:hideMark/>
          </w:tcPr>
          <w:p w14:paraId="47CDFF96"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70 088 </w:t>
            </w:r>
          </w:p>
        </w:tc>
        <w:tc>
          <w:tcPr>
            <w:tcW w:w="444" w:type="pct"/>
            <w:tcBorders>
              <w:top w:val="nil"/>
              <w:left w:val="nil"/>
              <w:bottom w:val="nil"/>
              <w:right w:val="single" w:sz="4" w:space="0" w:color="808080"/>
            </w:tcBorders>
            <w:shd w:val="clear" w:color="auto" w:fill="auto"/>
            <w:vAlign w:val="center"/>
            <w:hideMark/>
          </w:tcPr>
          <w:p w14:paraId="44D2EC3E"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234 558 </w:t>
            </w:r>
          </w:p>
        </w:tc>
        <w:tc>
          <w:tcPr>
            <w:tcW w:w="437" w:type="pct"/>
            <w:tcBorders>
              <w:top w:val="nil"/>
              <w:left w:val="nil"/>
              <w:bottom w:val="nil"/>
              <w:right w:val="single" w:sz="8" w:space="0" w:color="808080"/>
            </w:tcBorders>
            <w:shd w:val="clear" w:color="auto" w:fill="auto"/>
            <w:vAlign w:val="center"/>
            <w:hideMark/>
          </w:tcPr>
          <w:p w14:paraId="6ABDDCB0"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78 186 </w:t>
            </w:r>
          </w:p>
        </w:tc>
        <w:tc>
          <w:tcPr>
            <w:tcW w:w="444" w:type="pct"/>
            <w:tcBorders>
              <w:top w:val="nil"/>
              <w:left w:val="nil"/>
              <w:bottom w:val="nil"/>
              <w:right w:val="single" w:sz="4" w:space="0" w:color="808080"/>
            </w:tcBorders>
            <w:shd w:val="clear" w:color="auto" w:fill="auto"/>
            <w:vAlign w:val="center"/>
            <w:hideMark/>
          </w:tcPr>
          <w:p w14:paraId="10C847CC"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274 641 </w:t>
            </w:r>
          </w:p>
        </w:tc>
        <w:tc>
          <w:tcPr>
            <w:tcW w:w="437" w:type="pct"/>
            <w:tcBorders>
              <w:top w:val="nil"/>
              <w:left w:val="nil"/>
              <w:bottom w:val="nil"/>
              <w:right w:val="single" w:sz="8" w:space="0" w:color="808080"/>
            </w:tcBorders>
            <w:shd w:val="clear" w:color="auto" w:fill="auto"/>
            <w:vAlign w:val="center"/>
            <w:hideMark/>
          </w:tcPr>
          <w:p w14:paraId="6E771A40"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91 547 </w:t>
            </w:r>
          </w:p>
        </w:tc>
        <w:tc>
          <w:tcPr>
            <w:tcW w:w="444" w:type="pct"/>
            <w:tcBorders>
              <w:top w:val="nil"/>
              <w:left w:val="single" w:sz="4" w:space="0" w:color="808080"/>
              <w:bottom w:val="nil"/>
              <w:right w:val="single" w:sz="8" w:space="0" w:color="808080"/>
            </w:tcBorders>
            <w:shd w:val="clear" w:color="auto" w:fill="auto"/>
            <w:vAlign w:val="center"/>
            <w:hideMark/>
          </w:tcPr>
          <w:p w14:paraId="6A36EB7B"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163 432 </w:t>
            </w:r>
          </w:p>
        </w:tc>
      </w:tr>
      <w:tr w:rsidR="006D34EE" w:rsidRPr="00CC659A" w14:paraId="3C1CFC9E" w14:textId="77777777" w:rsidTr="00477854">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608F088E" w14:textId="77777777" w:rsidR="00CC659A" w:rsidRPr="00CC659A" w:rsidRDefault="00CC659A" w:rsidP="00CC659A">
            <w:pPr>
              <w:spacing w:after="0" w:line="240" w:lineRule="auto"/>
              <w:ind w:left="-108"/>
              <w:jc w:val="right"/>
              <w:rPr>
                <w:rFonts w:eastAsia="Times New Roman"/>
                <w:color w:val="000000"/>
                <w:sz w:val="16"/>
                <w:szCs w:val="16"/>
                <w:lang w:val="es-ES"/>
              </w:rPr>
            </w:pPr>
            <w:r w:rsidRPr="00CC659A">
              <w:rPr>
                <w:rFonts w:eastAsia="Times New Roman"/>
                <w:color w:val="000000"/>
                <w:sz w:val="16"/>
                <w:szCs w:val="16"/>
                <w:lang w:val="es-ES"/>
              </w:rPr>
              <w:t>60</w:t>
            </w:r>
          </w:p>
        </w:tc>
        <w:tc>
          <w:tcPr>
            <w:tcW w:w="920" w:type="pct"/>
            <w:tcBorders>
              <w:top w:val="nil"/>
              <w:left w:val="nil"/>
              <w:bottom w:val="nil"/>
              <w:right w:val="nil"/>
            </w:tcBorders>
            <w:shd w:val="clear" w:color="auto" w:fill="auto"/>
            <w:vAlign w:val="center"/>
            <w:hideMark/>
          </w:tcPr>
          <w:p w14:paraId="6A4823A6" w14:textId="5C1083ED"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Ir</w:t>
            </w:r>
            <w:r w:rsidR="009B3FD9">
              <w:rPr>
                <w:rFonts w:eastAsia="Times New Roman"/>
                <w:color w:val="000000"/>
                <w:sz w:val="16"/>
                <w:szCs w:val="16"/>
                <w:lang w:val="es-ES"/>
              </w:rPr>
              <w:t>á</w:t>
            </w:r>
            <w:r w:rsidRPr="00CC659A">
              <w:rPr>
                <w:rFonts w:eastAsia="Times New Roman"/>
                <w:color w:val="000000"/>
                <w:sz w:val="16"/>
                <w:szCs w:val="16"/>
                <w:lang w:val="es-ES"/>
              </w:rPr>
              <w:t>n (R</w:t>
            </w:r>
            <w:r w:rsidR="009B3FD9">
              <w:rPr>
                <w:rFonts w:eastAsia="Times New Roman"/>
                <w:color w:val="000000"/>
                <w:sz w:val="16"/>
                <w:szCs w:val="16"/>
                <w:lang w:val="es-ES"/>
              </w:rPr>
              <w:t>e</w:t>
            </w:r>
            <w:r w:rsidRPr="00CC659A">
              <w:rPr>
                <w:rFonts w:eastAsia="Times New Roman"/>
                <w:color w:val="000000"/>
                <w:sz w:val="16"/>
                <w:szCs w:val="16"/>
                <w:lang w:val="es-ES"/>
              </w:rPr>
              <w:t xml:space="preserve">p. </w:t>
            </w:r>
            <w:r w:rsidR="006C0821">
              <w:rPr>
                <w:rFonts w:eastAsia="Times New Roman"/>
                <w:color w:val="000000"/>
                <w:sz w:val="16"/>
                <w:szCs w:val="16"/>
                <w:lang w:val="es-ES"/>
              </w:rPr>
              <w:t>I</w:t>
            </w:r>
            <w:r w:rsidR="009B3FD9" w:rsidRPr="00CC659A">
              <w:rPr>
                <w:rFonts w:eastAsia="Times New Roman"/>
                <w:color w:val="000000"/>
                <w:sz w:val="16"/>
                <w:szCs w:val="16"/>
                <w:lang w:val="es-ES"/>
              </w:rPr>
              <w:t>slámi</w:t>
            </w:r>
            <w:r w:rsidR="009B3FD9">
              <w:rPr>
                <w:rFonts w:eastAsia="Times New Roman"/>
                <w:color w:val="000000"/>
                <w:sz w:val="16"/>
                <w:szCs w:val="16"/>
                <w:lang w:val="es-ES"/>
              </w:rPr>
              <w:t>ca de</w:t>
            </w:r>
            <w:r w:rsidRPr="00CC659A">
              <w:rPr>
                <w:rFonts w:eastAsia="Times New Roman"/>
                <w:color w:val="000000"/>
                <w:sz w:val="16"/>
                <w:szCs w:val="16"/>
                <w:lang w:val="es-ES"/>
              </w:rPr>
              <w:t>)</w:t>
            </w:r>
          </w:p>
        </w:tc>
        <w:tc>
          <w:tcPr>
            <w:tcW w:w="404" w:type="pct"/>
            <w:tcBorders>
              <w:top w:val="nil"/>
              <w:left w:val="nil"/>
              <w:bottom w:val="nil"/>
              <w:right w:val="nil"/>
            </w:tcBorders>
            <w:shd w:val="clear" w:color="auto" w:fill="auto"/>
            <w:vAlign w:val="center"/>
            <w:hideMark/>
          </w:tcPr>
          <w:p w14:paraId="6C8C7F01" w14:textId="77777777" w:rsidR="00CC659A" w:rsidRPr="00CC659A" w:rsidRDefault="00CC659A" w:rsidP="00CC659A">
            <w:pPr>
              <w:spacing w:after="0" w:line="240" w:lineRule="auto"/>
              <w:ind w:left="-108"/>
              <w:jc w:val="center"/>
              <w:rPr>
                <w:rFonts w:eastAsia="Times New Roman"/>
                <w:color w:val="000000"/>
                <w:sz w:val="16"/>
                <w:szCs w:val="16"/>
                <w:lang w:val="es-ES"/>
              </w:rPr>
            </w:pPr>
            <w:r w:rsidRPr="00CC659A">
              <w:rPr>
                <w:rFonts w:eastAsia="Times New Roman"/>
                <w:color w:val="000000"/>
                <w:sz w:val="16"/>
                <w:szCs w:val="16"/>
                <w:lang w:val="es-ES"/>
              </w:rPr>
              <w:t>0.371</w:t>
            </w:r>
          </w:p>
        </w:tc>
        <w:tc>
          <w:tcPr>
            <w:tcW w:w="420" w:type="pct"/>
            <w:tcBorders>
              <w:top w:val="nil"/>
              <w:left w:val="nil"/>
              <w:bottom w:val="nil"/>
              <w:right w:val="single" w:sz="8" w:space="0" w:color="808080"/>
            </w:tcBorders>
            <w:shd w:val="clear" w:color="auto" w:fill="auto"/>
            <w:vAlign w:val="center"/>
            <w:hideMark/>
          </w:tcPr>
          <w:p w14:paraId="64F13230" w14:textId="77777777" w:rsidR="00CC659A" w:rsidRPr="00CC659A" w:rsidRDefault="00CC659A" w:rsidP="00CC659A">
            <w:pPr>
              <w:spacing w:after="0" w:line="240" w:lineRule="auto"/>
              <w:ind w:left="-108"/>
              <w:jc w:val="right"/>
              <w:rPr>
                <w:rFonts w:eastAsia="Times New Roman" w:cs="Arial"/>
                <w:color w:val="000000"/>
                <w:sz w:val="16"/>
                <w:szCs w:val="16"/>
                <w:lang w:val="es-ES"/>
              </w:rPr>
            </w:pPr>
            <w:r w:rsidRPr="00CC659A">
              <w:rPr>
                <w:rFonts w:eastAsia="Times New Roman" w:cs="Arial"/>
                <w:color w:val="000000"/>
                <w:sz w:val="16"/>
                <w:szCs w:val="16"/>
                <w:lang w:val="es-ES"/>
              </w:rPr>
              <w:t xml:space="preserve">0.854 </w:t>
            </w:r>
          </w:p>
        </w:tc>
        <w:tc>
          <w:tcPr>
            <w:tcW w:w="444" w:type="pct"/>
            <w:tcBorders>
              <w:top w:val="nil"/>
              <w:left w:val="nil"/>
              <w:bottom w:val="nil"/>
              <w:right w:val="single" w:sz="4" w:space="0" w:color="808080"/>
            </w:tcBorders>
            <w:shd w:val="clear" w:color="auto" w:fill="auto"/>
            <w:vAlign w:val="center"/>
            <w:hideMark/>
          </w:tcPr>
          <w:p w14:paraId="141F39C6"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74 720 </w:t>
            </w:r>
          </w:p>
        </w:tc>
        <w:tc>
          <w:tcPr>
            <w:tcW w:w="437" w:type="pct"/>
            <w:tcBorders>
              <w:top w:val="nil"/>
              <w:left w:val="nil"/>
              <w:bottom w:val="nil"/>
              <w:right w:val="single" w:sz="8" w:space="0" w:color="808080"/>
            </w:tcBorders>
            <w:shd w:val="clear" w:color="auto" w:fill="auto"/>
            <w:vAlign w:val="center"/>
            <w:hideMark/>
          </w:tcPr>
          <w:p w14:paraId="0CF82EB5"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24 907 </w:t>
            </w:r>
          </w:p>
        </w:tc>
        <w:tc>
          <w:tcPr>
            <w:tcW w:w="444" w:type="pct"/>
            <w:tcBorders>
              <w:top w:val="nil"/>
              <w:left w:val="nil"/>
              <w:bottom w:val="nil"/>
              <w:right w:val="single" w:sz="4" w:space="0" w:color="808080"/>
            </w:tcBorders>
            <w:shd w:val="clear" w:color="auto" w:fill="auto"/>
            <w:vAlign w:val="center"/>
            <w:hideMark/>
          </w:tcPr>
          <w:p w14:paraId="28249E10"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83 354 </w:t>
            </w:r>
          </w:p>
        </w:tc>
        <w:tc>
          <w:tcPr>
            <w:tcW w:w="437" w:type="pct"/>
            <w:tcBorders>
              <w:top w:val="nil"/>
              <w:left w:val="nil"/>
              <w:bottom w:val="nil"/>
              <w:right w:val="single" w:sz="8" w:space="0" w:color="808080"/>
            </w:tcBorders>
            <w:shd w:val="clear" w:color="auto" w:fill="auto"/>
            <w:vAlign w:val="center"/>
            <w:hideMark/>
          </w:tcPr>
          <w:p w14:paraId="1FD08A28"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27 785 </w:t>
            </w:r>
          </w:p>
        </w:tc>
        <w:tc>
          <w:tcPr>
            <w:tcW w:w="444" w:type="pct"/>
            <w:tcBorders>
              <w:top w:val="nil"/>
              <w:left w:val="nil"/>
              <w:bottom w:val="nil"/>
              <w:right w:val="single" w:sz="4" w:space="0" w:color="808080"/>
            </w:tcBorders>
            <w:shd w:val="clear" w:color="auto" w:fill="auto"/>
            <w:vAlign w:val="center"/>
            <w:hideMark/>
          </w:tcPr>
          <w:p w14:paraId="1E50D8CE"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97 597 </w:t>
            </w:r>
          </w:p>
        </w:tc>
        <w:tc>
          <w:tcPr>
            <w:tcW w:w="437" w:type="pct"/>
            <w:tcBorders>
              <w:top w:val="nil"/>
              <w:left w:val="nil"/>
              <w:bottom w:val="nil"/>
              <w:right w:val="single" w:sz="8" w:space="0" w:color="808080"/>
            </w:tcBorders>
            <w:shd w:val="clear" w:color="auto" w:fill="auto"/>
            <w:vAlign w:val="center"/>
            <w:hideMark/>
          </w:tcPr>
          <w:p w14:paraId="1E9A1A20"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32 532 </w:t>
            </w:r>
          </w:p>
        </w:tc>
        <w:tc>
          <w:tcPr>
            <w:tcW w:w="444" w:type="pct"/>
            <w:tcBorders>
              <w:top w:val="nil"/>
              <w:left w:val="single" w:sz="4" w:space="0" w:color="808080"/>
              <w:bottom w:val="nil"/>
              <w:right w:val="single" w:sz="8" w:space="0" w:color="808080"/>
            </w:tcBorders>
            <w:shd w:val="clear" w:color="auto" w:fill="auto"/>
            <w:vAlign w:val="center"/>
            <w:hideMark/>
          </w:tcPr>
          <w:p w14:paraId="18E8F573"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77 994 </w:t>
            </w:r>
          </w:p>
        </w:tc>
      </w:tr>
      <w:tr w:rsidR="006D34EE" w:rsidRPr="00CC659A" w14:paraId="3251835D" w14:textId="77777777" w:rsidTr="00477854">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3F1409F2" w14:textId="77777777" w:rsidR="00CC659A" w:rsidRPr="00CC659A" w:rsidRDefault="00CC659A" w:rsidP="00CC659A">
            <w:pPr>
              <w:spacing w:after="0" w:line="240" w:lineRule="auto"/>
              <w:ind w:left="-108"/>
              <w:jc w:val="right"/>
              <w:rPr>
                <w:rFonts w:eastAsia="Times New Roman"/>
                <w:color w:val="000000"/>
                <w:sz w:val="16"/>
                <w:szCs w:val="16"/>
                <w:lang w:val="es-ES"/>
              </w:rPr>
            </w:pPr>
            <w:r w:rsidRPr="00CC659A">
              <w:rPr>
                <w:rFonts w:eastAsia="Times New Roman"/>
                <w:color w:val="000000"/>
                <w:sz w:val="16"/>
                <w:szCs w:val="16"/>
                <w:lang w:val="es-ES"/>
              </w:rPr>
              <w:t>61</w:t>
            </w:r>
          </w:p>
        </w:tc>
        <w:tc>
          <w:tcPr>
            <w:tcW w:w="920" w:type="pct"/>
            <w:tcBorders>
              <w:top w:val="nil"/>
              <w:left w:val="nil"/>
              <w:bottom w:val="nil"/>
              <w:right w:val="nil"/>
            </w:tcBorders>
            <w:shd w:val="clear" w:color="auto" w:fill="auto"/>
            <w:vAlign w:val="center"/>
            <w:hideMark/>
          </w:tcPr>
          <w:p w14:paraId="7ECE6CDD"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Iraq</w:t>
            </w:r>
          </w:p>
        </w:tc>
        <w:tc>
          <w:tcPr>
            <w:tcW w:w="404" w:type="pct"/>
            <w:tcBorders>
              <w:top w:val="nil"/>
              <w:left w:val="nil"/>
              <w:bottom w:val="nil"/>
              <w:right w:val="nil"/>
            </w:tcBorders>
            <w:shd w:val="clear" w:color="auto" w:fill="auto"/>
            <w:vAlign w:val="center"/>
            <w:hideMark/>
          </w:tcPr>
          <w:p w14:paraId="50336653" w14:textId="77777777" w:rsidR="00CC659A" w:rsidRPr="00CC659A" w:rsidRDefault="00CC659A" w:rsidP="00CC659A">
            <w:pPr>
              <w:spacing w:after="0" w:line="240" w:lineRule="auto"/>
              <w:ind w:left="-108"/>
              <w:jc w:val="center"/>
              <w:rPr>
                <w:rFonts w:eastAsia="Times New Roman"/>
                <w:color w:val="000000"/>
                <w:sz w:val="16"/>
                <w:szCs w:val="16"/>
                <w:lang w:val="es-ES"/>
              </w:rPr>
            </w:pPr>
            <w:r w:rsidRPr="00CC659A">
              <w:rPr>
                <w:rFonts w:eastAsia="Times New Roman"/>
                <w:color w:val="000000"/>
                <w:sz w:val="16"/>
                <w:szCs w:val="16"/>
                <w:lang w:val="es-ES"/>
              </w:rPr>
              <w:t>0.128</w:t>
            </w:r>
          </w:p>
        </w:tc>
        <w:tc>
          <w:tcPr>
            <w:tcW w:w="420" w:type="pct"/>
            <w:tcBorders>
              <w:top w:val="nil"/>
              <w:left w:val="nil"/>
              <w:bottom w:val="nil"/>
              <w:right w:val="single" w:sz="8" w:space="0" w:color="808080"/>
            </w:tcBorders>
            <w:shd w:val="clear" w:color="auto" w:fill="auto"/>
            <w:vAlign w:val="center"/>
            <w:hideMark/>
          </w:tcPr>
          <w:p w14:paraId="5EE96AB9" w14:textId="77777777" w:rsidR="00CC659A" w:rsidRPr="00CC659A" w:rsidRDefault="00CC659A" w:rsidP="00CC659A">
            <w:pPr>
              <w:spacing w:after="0" w:line="240" w:lineRule="auto"/>
              <w:ind w:left="-108"/>
              <w:jc w:val="right"/>
              <w:rPr>
                <w:rFonts w:eastAsia="Times New Roman" w:cs="Arial"/>
                <w:color w:val="000000"/>
                <w:sz w:val="16"/>
                <w:szCs w:val="16"/>
                <w:lang w:val="es-ES"/>
              </w:rPr>
            </w:pPr>
            <w:r w:rsidRPr="00CC659A">
              <w:rPr>
                <w:rFonts w:eastAsia="Times New Roman" w:cs="Arial"/>
                <w:color w:val="000000"/>
                <w:sz w:val="16"/>
                <w:szCs w:val="16"/>
                <w:lang w:val="es-ES"/>
              </w:rPr>
              <w:t xml:space="preserve">0.295 </w:t>
            </w:r>
          </w:p>
        </w:tc>
        <w:tc>
          <w:tcPr>
            <w:tcW w:w="444" w:type="pct"/>
            <w:tcBorders>
              <w:top w:val="nil"/>
              <w:left w:val="nil"/>
              <w:bottom w:val="nil"/>
              <w:right w:val="single" w:sz="4" w:space="0" w:color="808080"/>
            </w:tcBorders>
            <w:shd w:val="clear" w:color="auto" w:fill="auto"/>
            <w:vAlign w:val="center"/>
            <w:hideMark/>
          </w:tcPr>
          <w:p w14:paraId="3BB01C9D"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25 779 </w:t>
            </w:r>
          </w:p>
        </w:tc>
        <w:tc>
          <w:tcPr>
            <w:tcW w:w="437" w:type="pct"/>
            <w:tcBorders>
              <w:top w:val="nil"/>
              <w:left w:val="nil"/>
              <w:bottom w:val="nil"/>
              <w:right w:val="single" w:sz="8" w:space="0" w:color="808080"/>
            </w:tcBorders>
            <w:shd w:val="clear" w:color="auto" w:fill="auto"/>
            <w:vAlign w:val="center"/>
            <w:hideMark/>
          </w:tcPr>
          <w:p w14:paraId="6E4691F8"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8 593 </w:t>
            </w:r>
          </w:p>
        </w:tc>
        <w:tc>
          <w:tcPr>
            <w:tcW w:w="444" w:type="pct"/>
            <w:tcBorders>
              <w:top w:val="nil"/>
              <w:left w:val="nil"/>
              <w:bottom w:val="nil"/>
              <w:right w:val="single" w:sz="4" w:space="0" w:color="808080"/>
            </w:tcBorders>
            <w:shd w:val="clear" w:color="auto" w:fill="auto"/>
            <w:vAlign w:val="center"/>
            <w:hideMark/>
          </w:tcPr>
          <w:p w14:paraId="245AB641"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28 758 </w:t>
            </w:r>
          </w:p>
        </w:tc>
        <w:tc>
          <w:tcPr>
            <w:tcW w:w="437" w:type="pct"/>
            <w:tcBorders>
              <w:top w:val="nil"/>
              <w:left w:val="nil"/>
              <w:bottom w:val="nil"/>
              <w:right w:val="single" w:sz="8" w:space="0" w:color="808080"/>
            </w:tcBorders>
            <w:shd w:val="clear" w:color="auto" w:fill="auto"/>
            <w:vAlign w:val="center"/>
            <w:hideMark/>
          </w:tcPr>
          <w:p w14:paraId="470EA977"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9 586 </w:t>
            </w:r>
          </w:p>
        </w:tc>
        <w:tc>
          <w:tcPr>
            <w:tcW w:w="444" w:type="pct"/>
            <w:tcBorders>
              <w:top w:val="nil"/>
              <w:left w:val="nil"/>
              <w:bottom w:val="nil"/>
              <w:right w:val="single" w:sz="4" w:space="0" w:color="808080"/>
            </w:tcBorders>
            <w:shd w:val="clear" w:color="auto" w:fill="auto"/>
            <w:vAlign w:val="center"/>
            <w:hideMark/>
          </w:tcPr>
          <w:p w14:paraId="18880982"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33 672 </w:t>
            </w:r>
          </w:p>
        </w:tc>
        <w:tc>
          <w:tcPr>
            <w:tcW w:w="437" w:type="pct"/>
            <w:tcBorders>
              <w:top w:val="nil"/>
              <w:left w:val="nil"/>
              <w:bottom w:val="nil"/>
              <w:right w:val="single" w:sz="8" w:space="0" w:color="808080"/>
            </w:tcBorders>
            <w:shd w:val="clear" w:color="auto" w:fill="auto"/>
            <w:vAlign w:val="center"/>
            <w:hideMark/>
          </w:tcPr>
          <w:p w14:paraId="35E17A72"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11 224 </w:t>
            </w:r>
          </w:p>
        </w:tc>
        <w:tc>
          <w:tcPr>
            <w:tcW w:w="444" w:type="pct"/>
            <w:tcBorders>
              <w:top w:val="nil"/>
              <w:left w:val="single" w:sz="4" w:space="0" w:color="808080"/>
              <w:bottom w:val="nil"/>
              <w:right w:val="single" w:sz="8" w:space="0" w:color="808080"/>
            </w:tcBorders>
            <w:shd w:val="clear" w:color="auto" w:fill="auto"/>
            <w:vAlign w:val="center"/>
            <w:hideMark/>
          </w:tcPr>
          <w:p w14:paraId="2623466D"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25 279 </w:t>
            </w:r>
          </w:p>
        </w:tc>
      </w:tr>
      <w:tr w:rsidR="006D34EE" w:rsidRPr="00CC659A" w14:paraId="43F80942" w14:textId="77777777" w:rsidTr="00477854">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7C29505D" w14:textId="77777777" w:rsidR="00CC659A" w:rsidRPr="00CC659A" w:rsidRDefault="00CC659A" w:rsidP="00CC659A">
            <w:pPr>
              <w:spacing w:after="0" w:line="240" w:lineRule="auto"/>
              <w:ind w:left="-108"/>
              <w:jc w:val="right"/>
              <w:rPr>
                <w:rFonts w:eastAsia="Times New Roman"/>
                <w:color w:val="000000"/>
                <w:sz w:val="16"/>
                <w:szCs w:val="16"/>
                <w:lang w:val="es-ES"/>
              </w:rPr>
            </w:pPr>
            <w:r w:rsidRPr="00CC659A">
              <w:rPr>
                <w:rFonts w:eastAsia="Times New Roman"/>
                <w:color w:val="000000"/>
                <w:sz w:val="16"/>
                <w:szCs w:val="16"/>
                <w:lang w:val="es-ES"/>
              </w:rPr>
              <w:t>62</w:t>
            </w:r>
          </w:p>
        </w:tc>
        <w:tc>
          <w:tcPr>
            <w:tcW w:w="920" w:type="pct"/>
            <w:tcBorders>
              <w:top w:val="nil"/>
              <w:left w:val="nil"/>
              <w:bottom w:val="nil"/>
              <w:right w:val="nil"/>
            </w:tcBorders>
            <w:shd w:val="clear" w:color="auto" w:fill="auto"/>
            <w:vAlign w:val="center"/>
            <w:hideMark/>
          </w:tcPr>
          <w:p w14:paraId="57FCE7DC" w14:textId="1B771EC1"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Irland</w:t>
            </w:r>
            <w:r w:rsidR="009B3FD9">
              <w:rPr>
                <w:rFonts w:eastAsia="Times New Roman"/>
                <w:color w:val="000000"/>
                <w:sz w:val="16"/>
                <w:szCs w:val="16"/>
                <w:lang w:val="es-ES"/>
              </w:rPr>
              <w:t>a</w:t>
            </w:r>
          </w:p>
        </w:tc>
        <w:tc>
          <w:tcPr>
            <w:tcW w:w="404" w:type="pct"/>
            <w:tcBorders>
              <w:top w:val="nil"/>
              <w:left w:val="nil"/>
              <w:bottom w:val="nil"/>
              <w:right w:val="nil"/>
            </w:tcBorders>
            <w:shd w:val="clear" w:color="auto" w:fill="auto"/>
            <w:vAlign w:val="center"/>
            <w:hideMark/>
          </w:tcPr>
          <w:p w14:paraId="1C57C84D" w14:textId="77777777" w:rsidR="00CC659A" w:rsidRPr="00CC659A" w:rsidRDefault="00CC659A" w:rsidP="00CC659A">
            <w:pPr>
              <w:spacing w:after="0" w:line="240" w:lineRule="auto"/>
              <w:ind w:left="-108"/>
              <w:jc w:val="center"/>
              <w:rPr>
                <w:rFonts w:eastAsia="Times New Roman"/>
                <w:color w:val="000000"/>
                <w:sz w:val="16"/>
                <w:szCs w:val="16"/>
                <w:lang w:val="es-ES"/>
              </w:rPr>
            </w:pPr>
            <w:r w:rsidRPr="00CC659A">
              <w:rPr>
                <w:rFonts w:eastAsia="Times New Roman"/>
                <w:color w:val="000000"/>
                <w:sz w:val="16"/>
                <w:szCs w:val="16"/>
                <w:lang w:val="es-ES"/>
              </w:rPr>
              <w:t>0.439</w:t>
            </w:r>
          </w:p>
        </w:tc>
        <w:tc>
          <w:tcPr>
            <w:tcW w:w="420" w:type="pct"/>
            <w:tcBorders>
              <w:top w:val="nil"/>
              <w:left w:val="nil"/>
              <w:bottom w:val="nil"/>
              <w:right w:val="single" w:sz="8" w:space="0" w:color="808080"/>
            </w:tcBorders>
            <w:shd w:val="clear" w:color="auto" w:fill="auto"/>
            <w:vAlign w:val="center"/>
            <w:hideMark/>
          </w:tcPr>
          <w:p w14:paraId="6EAC0298" w14:textId="77777777" w:rsidR="00CC659A" w:rsidRPr="00CC659A" w:rsidRDefault="00CC659A" w:rsidP="00CC659A">
            <w:pPr>
              <w:spacing w:after="0" w:line="240" w:lineRule="auto"/>
              <w:ind w:left="-108"/>
              <w:jc w:val="right"/>
              <w:rPr>
                <w:rFonts w:eastAsia="Times New Roman" w:cs="Arial"/>
                <w:color w:val="000000"/>
                <w:sz w:val="16"/>
                <w:szCs w:val="16"/>
                <w:lang w:val="es-ES"/>
              </w:rPr>
            </w:pPr>
            <w:r w:rsidRPr="00CC659A">
              <w:rPr>
                <w:rFonts w:eastAsia="Times New Roman" w:cs="Arial"/>
                <w:color w:val="000000"/>
                <w:sz w:val="16"/>
                <w:szCs w:val="16"/>
                <w:lang w:val="es-ES"/>
              </w:rPr>
              <w:t xml:space="preserve">1.010 </w:t>
            </w:r>
          </w:p>
        </w:tc>
        <w:tc>
          <w:tcPr>
            <w:tcW w:w="444" w:type="pct"/>
            <w:tcBorders>
              <w:top w:val="nil"/>
              <w:left w:val="nil"/>
              <w:bottom w:val="nil"/>
              <w:right w:val="single" w:sz="4" w:space="0" w:color="808080"/>
            </w:tcBorders>
            <w:shd w:val="clear" w:color="auto" w:fill="auto"/>
            <w:vAlign w:val="center"/>
            <w:hideMark/>
          </w:tcPr>
          <w:p w14:paraId="57EC6C24"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88 415 </w:t>
            </w:r>
          </w:p>
        </w:tc>
        <w:tc>
          <w:tcPr>
            <w:tcW w:w="437" w:type="pct"/>
            <w:tcBorders>
              <w:top w:val="nil"/>
              <w:left w:val="nil"/>
              <w:bottom w:val="nil"/>
              <w:right w:val="single" w:sz="8" w:space="0" w:color="808080"/>
            </w:tcBorders>
            <w:shd w:val="clear" w:color="auto" w:fill="auto"/>
            <w:vAlign w:val="center"/>
            <w:hideMark/>
          </w:tcPr>
          <w:p w14:paraId="23FD82B6"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29 472 </w:t>
            </w:r>
          </w:p>
        </w:tc>
        <w:tc>
          <w:tcPr>
            <w:tcW w:w="444" w:type="pct"/>
            <w:tcBorders>
              <w:top w:val="nil"/>
              <w:left w:val="nil"/>
              <w:bottom w:val="nil"/>
              <w:right w:val="single" w:sz="4" w:space="0" w:color="808080"/>
            </w:tcBorders>
            <w:shd w:val="clear" w:color="auto" w:fill="auto"/>
            <w:vAlign w:val="center"/>
            <w:hideMark/>
          </w:tcPr>
          <w:p w14:paraId="4F8C4D98"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98 631 </w:t>
            </w:r>
          </w:p>
        </w:tc>
        <w:tc>
          <w:tcPr>
            <w:tcW w:w="437" w:type="pct"/>
            <w:tcBorders>
              <w:top w:val="nil"/>
              <w:left w:val="nil"/>
              <w:bottom w:val="nil"/>
              <w:right w:val="single" w:sz="8" w:space="0" w:color="808080"/>
            </w:tcBorders>
            <w:shd w:val="clear" w:color="auto" w:fill="auto"/>
            <w:vAlign w:val="center"/>
            <w:hideMark/>
          </w:tcPr>
          <w:p w14:paraId="54899303"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32 877 </w:t>
            </w:r>
          </w:p>
        </w:tc>
        <w:tc>
          <w:tcPr>
            <w:tcW w:w="444" w:type="pct"/>
            <w:tcBorders>
              <w:top w:val="nil"/>
              <w:left w:val="nil"/>
              <w:bottom w:val="nil"/>
              <w:right w:val="single" w:sz="4" w:space="0" w:color="808080"/>
            </w:tcBorders>
            <w:shd w:val="clear" w:color="auto" w:fill="auto"/>
            <w:vAlign w:val="center"/>
            <w:hideMark/>
          </w:tcPr>
          <w:p w14:paraId="3CD9CF47"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115 486 </w:t>
            </w:r>
          </w:p>
        </w:tc>
        <w:tc>
          <w:tcPr>
            <w:tcW w:w="437" w:type="pct"/>
            <w:tcBorders>
              <w:top w:val="nil"/>
              <w:left w:val="nil"/>
              <w:bottom w:val="nil"/>
              <w:right w:val="single" w:sz="8" w:space="0" w:color="808080"/>
            </w:tcBorders>
            <w:shd w:val="clear" w:color="auto" w:fill="auto"/>
            <w:vAlign w:val="center"/>
            <w:hideMark/>
          </w:tcPr>
          <w:p w14:paraId="0AF1B3EF"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38 495 </w:t>
            </w:r>
          </w:p>
        </w:tc>
        <w:tc>
          <w:tcPr>
            <w:tcW w:w="444" w:type="pct"/>
            <w:tcBorders>
              <w:top w:val="nil"/>
              <w:left w:val="single" w:sz="4" w:space="0" w:color="808080"/>
              <w:bottom w:val="nil"/>
              <w:right w:val="single" w:sz="8" w:space="0" w:color="808080"/>
            </w:tcBorders>
            <w:shd w:val="clear" w:color="auto" w:fill="auto"/>
            <w:vAlign w:val="center"/>
            <w:hideMark/>
          </w:tcPr>
          <w:p w14:paraId="759082D5"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72 702 </w:t>
            </w:r>
          </w:p>
        </w:tc>
      </w:tr>
      <w:tr w:rsidR="006D34EE" w:rsidRPr="00CC659A" w14:paraId="76E38F63" w14:textId="77777777" w:rsidTr="00477854">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1D8807C3" w14:textId="77777777" w:rsidR="00CC659A" w:rsidRPr="00CC659A" w:rsidRDefault="00CC659A" w:rsidP="00CC659A">
            <w:pPr>
              <w:spacing w:after="0" w:line="240" w:lineRule="auto"/>
              <w:ind w:left="-108"/>
              <w:jc w:val="right"/>
              <w:rPr>
                <w:rFonts w:eastAsia="Times New Roman"/>
                <w:color w:val="000000"/>
                <w:sz w:val="16"/>
                <w:szCs w:val="16"/>
                <w:lang w:val="es-ES"/>
              </w:rPr>
            </w:pPr>
            <w:r w:rsidRPr="00CC659A">
              <w:rPr>
                <w:rFonts w:eastAsia="Times New Roman"/>
                <w:color w:val="000000"/>
                <w:sz w:val="16"/>
                <w:szCs w:val="16"/>
                <w:lang w:val="es-ES"/>
              </w:rPr>
              <w:t>63</w:t>
            </w:r>
          </w:p>
        </w:tc>
        <w:tc>
          <w:tcPr>
            <w:tcW w:w="920" w:type="pct"/>
            <w:tcBorders>
              <w:top w:val="nil"/>
              <w:left w:val="nil"/>
              <w:bottom w:val="nil"/>
              <w:right w:val="nil"/>
            </w:tcBorders>
            <w:shd w:val="clear" w:color="auto" w:fill="auto"/>
            <w:vAlign w:val="center"/>
            <w:hideMark/>
          </w:tcPr>
          <w:p w14:paraId="069E9511"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Israel</w:t>
            </w:r>
          </w:p>
        </w:tc>
        <w:tc>
          <w:tcPr>
            <w:tcW w:w="404" w:type="pct"/>
            <w:tcBorders>
              <w:top w:val="nil"/>
              <w:left w:val="nil"/>
              <w:bottom w:val="nil"/>
              <w:right w:val="nil"/>
            </w:tcBorders>
            <w:shd w:val="clear" w:color="auto" w:fill="auto"/>
            <w:vAlign w:val="center"/>
            <w:hideMark/>
          </w:tcPr>
          <w:p w14:paraId="0CC95CC2" w14:textId="77777777" w:rsidR="00CC659A" w:rsidRPr="00CC659A" w:rsidRDefault="00CC659A" w:rsidP="00CC659A">
            <w:pPr>
              <w:spacing w:after="0" w:line="240" w:lineRule="auto"/>
              <w:ind w:left="-108"/>
              <w:jc w:val="center"/>
              <w:rPr>
                <w:rFonts w:eastAsia="Times New Roman"/>
                <w:color w:val="000000"/>
                <w:sz w:val="16"/>
                <w:szCs w:val="16"/>
                <w:lang w:val="es-ES"/>
              </w:rPr>
            </w:pPr>
            <w:r w:rsidRPr="00CC659A">
              <w:rPr>
                <w:rFonts w:eastAsia="Times New Roman"/>
                <w:color w:val="000000"/>
                <w:sz w:val="16"/>
                <w:szCs w:val="16"/>
                <w:lang w:val="es-ES"/>
              </w:rPr>
              <w:t>0.561</w:t>
            </w:r>
          </w:p>
        </w:tc>
        <w:tc>
          <w:tcPr>
            <w:tcW w:w="420" w:type="pct"/>
            <w:tcBorders>
              <w:top w:val="nil"/>
              <w:left w:val="nil"/>
              <w:bottom w:val="nil"/>
              <w:right w:val="single" w:sz="8" w:space="0" w:color="808080"/>
            </w:tcBorders>
            <w:shd w:val="clear" w:color="auto" w:fill="auto"/>
            <w:vAlign w:val="center"/>
            <w:hideMark/>
          </w:tcPr>
          <w:p w14:paraId="23F83F11" w14:textId="77777777" w:rsidR="00CC659A" w:rsidRPr="00CC659A" w:rsidRDefault="00CC659A" w:rsidP="00CC659A">
            <w:pPr>
              <w:spacing w:after="0" w:line="240" w:lineRule="auto"/>
              <w:ind w:left="-108"/>
              <w:jc w:val="right"/>
              <w:rPr>
                <w:rFonts w:eastAsia="Times New Roman" w:cs="Arial"/>
                <w:color w:val="000000"/>
                <w:sz w:val="16"/>
                <w:szCs w:val="16"/>
                <w:lang w:val="es-ES"/>
              </w:rPr>
            </w:pPr>
            <w:r w:rsidRPr="00CC659A">
              <w:rPr>
                <w:rFonts w:eastAsia="Times New Roman" w:cs="Arial"/>
                <w:color w:val="000000"/>
                <w:sz w:val="16"/>
                <w:szCs w:val="16"/>
                <w:lang w:val="es-ES"/>
              </w:rPr>
              <w:t xml:space="preserve">1.291 </w:t>
            </w:r>
          </w:p>
        </w:tc>
        <w:tc>
          <w:tcPr>
            <w:tcW w:w="444" w:type="pct"/>
            <w:tcBorders>
              <w:top w:val="nil"/>
              <w:left w:val="nil"/>
              <w:bottom w:val="nil"/>
              <w:right w:val="single" w:sz="4" w:space="0" w:color="808080"/>
            </w:tcBorders>
            <w:shd w:val="clear" w:color="auto" w:fill="auto"/>
            <w:vAlign w:val="center"/>
            <w:hideMark/>
          </w:tcPr>
          <w:p w14:paraId="059838AF"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112 986 </w:t>
            </w:r>
          </w:p>
        </w:tc>
        <w:tc>
          <w:tcPr>
            <w:tcW w:w="437" w:type="pct"/>
            <w:tcBorders>
              <w:top w:val="nil"/>
              <w:left w:val="nil"/>
              <w:bottom w:val="nil"/>
              <w:right w:val="single" w:sz="8" w:space="0" w:color="808080"/>
            </w:tcBorders>
            <w:shd w:val="clear" w:color="auto" w:fill="auto"/>
            <w:vAlign w:val="center"/>
            <w:hideMark/>
          </w:tcPr>
          <w:p w14:paraId="3BC34C52"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37 662 </w:t>
            </w:r>
          </w:p>
        </w:tc>
        <w:tc>
          <w:tcPr>
            <w:tcW w:w="444" w:type="pct"/>
            <w:tcBorders>
              <w:top w:val="nil"/>
              <w:left w:val="nil"/>
              <w:bottom w:val="nil"/>
              <w:right w:val="single" w:sz="4" w:space="0" w:color="808080"/>
            </w:tcBorders>
            <w:shd w:val="clear" w:color="auto" w:fill="auto"/>
            <w:vAlign w:val="center"/>
            <w:hideMark/>
          </w:tcPr>
          <w:p w14:paraId="4E53A8D9"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126 041 </w:t>
            </w:r>
          </w:p>
        </w:tc>
        <w:tc>
          <w:tcPr>
            <w:tcW w:w="437" w:type="pct"/>
            <w:tcBorders>
              <w:top w:val="nil"/>
              <w:left w:val="nil"/>
              <w:bottom w:val="nil"/>
              <w:right w:val="single" w:sz="8" w:space="0" w:color="808080"/>
            </w:tcBorders>
            <w:shd w:val="clear" w:color="auto" w:fill="auto"/>
            <w:vAlign w:val="center"/>
            <w:hideMark/>
          </w:tcPr>
          <w:p w14:paraId="7A817C79"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42 014 </w:t>
            </w:r>
          </w:p>
        </w:tc>
        <w:tc>
          <w:tcPr>
            <w:tcW w:w="444" w:type="pct"/>
            <w:tcBorders>
              <w:top w:val="nil"/>
              <w:left w:val="nil"/>
              <w:bottom w:val="nil"/>
              <w:right w:val="single" w:sz="4" w:space="0" w:color="808080"/>
            </w:tcBorders>
            <w:shd w:val="clear" w:color="auto" w:fill="auto"/>
            <w:vAlign w:val="center"/>
            <w:hideMark/>
          </w:tcPr>
          <w:p w14:paraId="54912085"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147 580 </w:t>
            </w:r>
          </w:p>
        </w:tc>
        <w:tc>
          <w:tcPr>
            <w:tcW w:w="437" w:type="pct"/>
            <w:tcBorders>
              <w:top w:val="nil"/>
              <w:left w:val="nil"/>
              <w:bottom w:val="nil"/>
              <w:right w:val="single" w:sz="8" w:space="0" w:color="808080"/>
            </w:tcBorders>
            <w:shd w:val="clear" w:color="auto" w:fill="auto"/>
            <w:vAlign w:val="center"/>
            <w:hideMark/>
          </w:tcPr>
          <w:p w14:paraId="5E99842D"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49 193 </w:t>
            </w:r>
          </w:p>
        </w:tc>
        <w:tc>
          <w:tcPr>
            <w:tcW w:w="444" w:type="pct"/>
            <w:tcBorders>
              <w:top w:val="nil"/>
              <w:left w:val="single" w:sz="4" w:space="0" w:color="808080"/>
              <w:bottom w:val="nil"/>
              <w:right w:val="single" w:sz="8" w:space="0" w:color="808080"/>
            </w:tcBorders>
            <w:shd w:val="clear" w:color="auto" w:fill="auto"/>
            <w:vAlign w:val="center"/>
            <w:hideMark/>
          </w:tcPr>
          <w:p w14:paraId="4270A7D6"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96 022 </w:t>
            </w:r>
          </w:p>
        </w:tc>
      </w:tr>
      <w:tr w:rsidR="006D34EE" w:rsidRPr="00CC659A" w14:paraId="450A12ED" w14:textId="77777777" w:rsidTr="00477854">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1300B038" w14:textId="77777777" w:rsidR="00CC659A" w:rsidRPr="00CC659A" w:rsidRDefault="00CC659A" w:rsidP="00CC659A">
            <w:pPr>
              <w:spacing w:after="0" w:line="240" w:lineRule="auto"/>
              <w:ind w:left="-108"/>
              <w:jc w:val="right"/>
              <w:rPr>
                <w:rFonts w:eastAsia="Times New Roman"/>
                <w:color w:val="000000"/>
                <w:sz w:val="16"/>
                <w:szCs w:val="16"/>
                <w:lang w:val="es-ES"/>
              </w:rPr>
            </w:pPr>
            <w:r w:rsidRPr="00CC659A">
              <w:rPr>
                <w:rFonts w:eastAsia="Times New Roman"/>
                <w:color w:val="000000"/>
                <w:sz w:val="16"/>
                <w:szCs w:val="16"/>
                <w:lang w:val="es-ES"/>
              </w:rPr>
              <w:t>64</w:t>
            </w:r>
          </w:p>
        </w:tc>
        <w:tc>
          <w:tcPr>
            <w:tcW w:w="920" w:type="pct"/>
            <w:tcBorders>
              <w:top w:val="nil"/>
              <w:left w:val="nil"/>
              <w:bottom w:val="nil"/>
              <w:right w:val="nil"/>
            </w:tcBorders>
            <w:shd w:val="clear" w:color="auto" w:fill="auto"/>
            <w:vAlign w:val="center"/>
            <w:hideMark/>
          </w:tcPr>
          <w:p w14:paraId="1C751383" w14:textId="0EEF90D6"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Itali</w:t>
            </w:r>
            <w:r w:rsidR="009B3FD9">
              <w:rPr>
                <w:rFonts w:eastAsia="Times New Roman"/>
                <w:color w:val="000000"/>
                <w:sz w:val="16"/>
                <w:szCs w:val="16"/>
                <w:lang w:val="es-ES"/>
              </w:rPr>
              <w:t>a</w:t>
            </w:r>
          </w:p>
        </w:tc>
        <w:tc>
          <w:tcPr>
            <w:tcW w:w="404" w:type="pct"/>
            <w:tcBorders>
              <w:top w:val="nil"/>
              <w:left w:val="nil"/>
              <w:bottom w:val="nil"/>
              <w:right w:val="nil"/>
            </w:tcBorders>
            <w:shd w:val="clear" w:color="auto" w:fill="auto"/>
            <w:vAlign w:val="center"/>
            <w:hideMark/>
          </w:tcPr>
          <w:p w14:paraId="527A40C9" w14:textId="77777777" w:rsidR="00CC659A" w:rsidRPr="00CC659A" w:rsidRDefault="00CC659A" w:rsidP="00CC659A">
            <w:pPr>
              <w:spacing w:after="0" w:line="240" w:lineRule="auto"/>
              <w:ind w:left="-108"/>
              <w:jc w:val="center"/>
              <w:rPr>
                <w:rFonts w:eastAsia="Times New Roman"/>
                <w:color w:val="000000"/>
                <w:sz w:val="16"/>
                <w:szCs w:val="16"/>
                <w:lang w:val="es-ES"/>
              </w:rPr>
            </w:pPr>
            <w:r w:rsidRPr="00CC659A">
              <w:rPr>
                <w:rFonts w:eastAsia="Times New Roman"/>
                <w:color w:val="000000"/>
                <w:sz w:val="16"/>
                <w:szCs w:val="16"/>
                <w:lang w:val="es-ES"/>
              </w:rPr>
              <w:t>3.189</w:t>
            </w:r>
          </w:p>
        </w:tc>
        <w:tc>
          <w:tcPr>
            <w:tcW w:w="420" w:type="pct"/>
            <w:tcBorders>
              <w:top w:val="nil"/>
              <w:left w:val="nil"/>
              <w:bottom w:val="nil"/>
              <w:right w:val="single" w:sz="8" w:space="0" w:color="808080"/>
            </w:tcBorders>
            <w:shd w:val="clear" w:color="auto" w:fill="auto"/>
            <w:vAlign w:val="center"/>
            <w:hideMark/>
          </w:tcPr>
          <w:p w14:paraId="371441B3" w14:textId="77777777" w:rsidR="00CC659A" w:rsidRPr="00CC659A" w:rsidRDefault="00CC659A" w:rsidP="00CC659A">
            <w:pPr>
              <w:spacing w:after="0" w:line="240" w:lineRule="auto"/>
              <w:ind w:left="-108"/>
              <w:jc w:val="right"/>
              <w:rPr>
                <w:rFonts w:eastAsia="Times New Roman" w:cs="Arial"/>
                <w:color w:val="000000"/>
                <w:sz w:val="16"/>
                <w:szCs w:val="16"/>
                <w:lang w:val="es-ES"/>
              </w:rPr>
            </w:pPr>
            <w:r w:rsidRPr="00CC659A">
              <w:rPr>
                <w:rFonts w:eastAsia="Times New Roman" w:cs="Arial"/>
                <w:color w:val="000000"/>
                <w:sz w:val="16"/>
                <w:szCs w:val="16"/>
                <w:lang w:val="es-ES"/>
              </w:rPr>
              <w:t xml:space="preserve">7.339 </w:t>
            </w:r>
          </w:p>
        </w:tc>
        <w:tc>
          <w:tcPr>
            <w:tcW w:w="444" w:type="pct"/>
            <w:tcBorders>
              <w:top w:val="nil"/>
              <w:left w:val="nil"/>
              <w:bottom w:val="nil"/>
              <w:right w:val="single" w:sz="4" w:space="0" w:color="808080"/>
            </w:tcBorders>
            <w:shd w:val="clear" w:color="auto" w:fill="auto"/>
            <w:vAlign w:val="center"/>
            <w:hideMark/>
          </w:tcPr>
          <w:p w14:paraId="1F295256"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642 268 </w:t>
            </w:r>
          </w:p>
        </w:tc>
        <w:tc>
          <w:tcPr>
            <w:tcW w:w="437" w:type="pct"/>
            <w:tcBorders>
              <w:top w:val="nil"/>
              <w:left w:val="nil"/>
              <w:bottom w:val="nil"/>
              <w:right w:val="single" w:sz="8" w:space="0" w:color="808080"/>
            </w:tcBorders>
            <w:shd w:val="clear" w:color="auto" w:fill="auto"/>
            <w:vAlign w:val="center"/>
            <w:hideMark/>
          </w:tcPr>
          <w:p w14:paraId="0F486CB6"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214 089 </w:t>
            </w:r>
          </w:p>
        </w:tc>
        <w:tc>
          <w:tcPr>
            <w:tcW w:w="444" w:type="pct"/>
            <w:tcBorders>
              <w:top w:val="nil"/>
              <w:left w:val="nil"/>
              <w:bottom w:val="nil"/>
              <w:right w:val="single" w:sz="4" w:space="0" w:color="808080"/>
            </w:tcBorders>
            <w:shd w:val="clear" w:color="auto" w:fill="auto"/>
            <w:vAlign w:val="center"/>
            <w:hideMark/>
          </w:tcPr>
          <w:p w14:paraId="687F2FD2"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716 482 </w:t>
            </w:r>
          </w:p>
        </w:tc>
        <w:tc>
          <w:tcPr>
            <w:tcW w:w="437" w:type="pct"/>
            <w:tcBorders>
              <w:top w:val="nil"/>
              <w:left w:val="nil"/>
              <w:bottom w:val="nil"/>
              <w:right w:val="single" w:sz="8" w:space="0" w:color="808080"/>
            </w:tcBorders>
            <w:shd w:val="clear" w:color="auto" w:fill="auto"/>
            <w:vAlign w:val="center"/>
            <w:hideMark/>
          </w:tcPr>
          <w:p w14:paraId="725A83D9"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238 827 </w:t>
            </w:r>
          </w:p>
        </w:tc>
        <w:tc>
          <w:tcPr>
            <w:tcW w:w="444" w:type="pct"/>
            <w:tcBorders>
              <w:top w:val="nil"/>
              <w:left w:val="nil"/>
              <w:bottom w:val="nil"/>
              <w:right w:val="single" w:sz="4" w:space="0" w:color="808080"/>
            </w:tcBorders>
            <w:shd w:val="clear" w:color="auto" w:fill="auto"/>
            <w:vAlign w:val="center"/>
            <w:hideMark/>
          </w:tcPr>
          <w:p w14:paraId="1580FFA4"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838 917 </w:t>
            </w:r>
          </w:p>
        </w:tc>
        <w:tc>
          <w:tcPr>
            <w:tcW w:w="437" w:type="pct"/>
            <w:tcBorders>
              <w:top w:val="nil"/>
              <w:left w:val="nil"/>
              <w:bottom w:val="nil"/>
              <w:right w:val="single" w:sz="8" w:space="0" w:color="808080"/>
            </w:tcBorders>
            <w:shd w:val="clear" w:color="auto" w:fill="auto"/>
            <w:vAlign w:val="center"/>
            <w:hideMark/>
          </w:tcPr>
          <w:p w14:paraId="10DBE7F6"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279 639 </w:t>
            </w:r>
          </w:p>
        </w:tc>
        <w:tc>
          <w:tcPr>
            <w:tcW w:w="444" w:type="pct"/>
            <w:tcBorders>
              <w:top w:val="nil"/>
              <w:left w:val="single" w:sz="4" w:space="0" w:color="808080"/>
              <w:bottom w:val="nil"/>
              <w:right w:val="single" w:sz="8" w:space="0" w:color="808080"/>
            </w:tcBorders>
            <w:shd w:val="clear" w:color="auto" w:fill="auto"/>
            <w:vAlign w:val="center"/>
            <w:hideMark/>
          </w:tcPr>
          <w:p w14:paraId="5F5E7061"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648 045 </w:t>
            </w:r>
          </w:p>
        </w:tc>
      </w:tr>
      <w:tr w:rsidR="006D34EE" w:rsidRPr="00CC659A" w14:paraId="715A059F" w14:textId="77777777" w:rsidTr="00477854">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2E84F833" w14:textId="77777777" w:rsidR="00CC659A" w:rsidRPr="00CC659A" w:rsidRDefault="00CC659A" w:rsidP="00CC659A">
            <w:pPr>
              <w:spacing w:after="0" w:line="240" w:lineRule="auto"/>
              <w:ind w:left="-108"/>
              <w:jc w:val="right"/>
              <w:rPr>
                <w:rFonts w:eastAsia="Times New Roman"/>
                <w:color w:val="000000"/>
                <w:sz w:val="16"/>
                <w:szCs w:val="16"/>
                <w:lang w:val="es-ES"/>
              </w:rPr>
            </w:pPr>
            <w:r w:rsidRPr="00CC659A">
              <w:rPr>
                <w:rFonts w:eastAsia="Times New Roman"/>
                <w:color w:val="000000"/>
                <w:sz w:val="16"/>
                <w:szCs w:val="16"/>
                <w:lang w:val="es-ES"/>
              </w:rPr>
              <w:t>65</w:t>
            </w:r>
          </w:p>
        </w:tc>
        <w:tc>
          <w:tcPr>
            <w:tcW w:w="920" w:type="pct"/>
            <w:tcBorders>
              <w:top w:val="nil"/>
              <w:left w:val="nil"/>
              <w:bottom w:val="nil"/>
              <w:right w:val="nil"/>
            </w:tcBorders>
            <w:shd w:val="clear" w:color="auto" w:fill="auto"/>
            <w:vAlign w:val="center"/>
            <w:hideMark/>
          </w:tcPr>
          <w:p w14:paraId="3E3277CC" w14:textId="264C9F09"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Jordani</w:t>
            </w:r>
            <w:r w:rsidR="009B3FD9">
              <w:rPr>
                <w:rFonts w:eastAsia="Times New Roman"/>
                <w:color w:val="000000"/>
                <w:sz w:val="16"/>
                <w:szCs w:val="16"/>
                <w:lang w:val="es-ES"/>
              </w:rPr>
              <w:t>a</w:t>
            </w:r>
          </w:p>
        </w:tc>
        <w:tc>
          <w:tcPr>
            <w:tcW w:w="404" w:type="pct"/>
            <w:tcBorders>
              <w:top w:val="nil"/>
              <w:left w:val="nil"/>
              <w:bottom w:val="nil"/>
              <w:right w:val="nil"/>
            </w:tcBorders>
            <w:shd w:val="clear" w:color="auto" w:fill="auto"/>
            <w:vAlign w:val="center"/>
            <w:hideMark/>
          </w:tcPr>
          <w:p w14:paraId="312A9A96" w14:textId="77777777" w:rsidR="00CC659A" w:rsidRPr="00CC659A" w:rsidRDefault="00CC659A" w:rsidP="00CC659A">
            <w:pPr>
              <w:spacing w:after="0" w:line="240" w:lineRule="auto"/>
              <w:ind w:left="-108"/>
              <w:jc w:val="center"/>
              <w:rPr>
                <w:rFonts w:eastAsia="Times New Roman"/>
                <w:color w:val="000000"/>
                <w:sz w:val="16"/>
                <w:szCs w:val="16"/>
                <w:lang w:val="es-ES"/>
              </w:rPr>
            </w:pPr>
            <w:r w:rsidRPr="00CC659A">
              <w:rPr>
                <w:rFonts w:eastAsia="Times New Roman"/>
                <w:color w:val="000000"/>
                <w:sz w:val="16"/>
                <w:szCs w:val="16"/>
                <w:lang w:val="es-ES"/>
              </w:rPr>
              <w:t>0.022</w:t>
            </w:r>
          </w:p>
        </w:tc>
        <w:tc>
          <w:tcPr>
            <w:tcW w:w="420" w:type="pct"/>
            <w:tcBorders>
              <w:top w:val="nil"/>
              <w:left w:val="nil"/>
              <w:bottom w:val="nil"/>
              <w:right w:val="single" w:sz="8" w:space="0" w:color="808080"/>
            </w:tcBorders>
            <w:shd w:val="clear" w:color="auto" w:fill="auto"/>
            <w:vAlign w:val="center"/>
            <w:hideMark/>
          </w:tcPr>
          <w:p w14:paraId="4A793F4A" w14:textId="77777777" w:rsidR="00CC659A" w:rsidRPr="00CC659A" w:rsidRDefault="00CC659A" w:rsidP="00CC659A">
            <w:pPr>
              <w:spacing w:after="0" w:line="240" w:lineRule="auto"/>
              <w:ind w:left="-108"/>
              <w:jc w:val="right"/>
              <w:rPr>
                <w:rFonts w:eastAsia="Times New Roman" w:cs="Arial"/>
                <w:color w:val="000000"/>
                <w:sz w:val="16"/>
                <w:szCs w:val="16"/>
                <w:lang w:val="es-ES"/>
              </w:rPr>
            </w:pPr>
            <w:r w:rsidRPr="00CC659A">
              <w:rPr>
                <w:rFonts w:eastAsia="Times New Roman" w:cs="Arial"/>
                <w:color w:val="000000"/>
                <w:sz w:val="16"/>
                <w:szCs w:val="16"/>
                <w:lang w:val="es-ES"/>
              </w:rPr>
              <w:t xml:space="preserve">0.051 </w:t>
            </w:r>
          </w:p>
        </w:tc>
        <w:tc>
          <w:tcPr>
            <w:tcW w:w="444" w:type="pct"/>
            <w:tcBorders>
              <w:top w:val="nil"/>
              <w:left w:val="nil"/>
              <w:bottom w:val="nil"/>
              <w:right w:val="single" w:sz="4" w:space="0" w:color="808080"/>
            </w:tcBorders>
            <w:shd w:val="clear" w:color="auto" w:fill="auto"/>
            <w:vAlign w:val="center"/>
            <w:hideMark/>
          </w:tcPr>
          <w:p w14:paraId="287DC8B6"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4 431 </w:t>
            </w:r>
          </w:p>
        </w:tc>
        <w:tc>
          <w:tcPr>
            <w:tcW w:w="437" w:type="pct"/>
            <w:tcBorders>
              <w:top w:val="nil"/>
              <w:left w:val="nil"/>
              <w:bottom w:val="nil"/>
              <w:right w:val="single" w:sz="8" w:space="0" w:color="808080"/>
            </w:tcBorders>
            <w:shd w:val="clear" w:color="auto" w:fill="auto"/>
            <w:vAlign w:val="center"/>
            <w:hideMark/>
          </w:tcPr>
          <w:p w14:paraId="7C89A4E3"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1 477 </w:t>
            </w:r>
          </w:p>
        </w:tc>
        <w:tc>
          <w:tcPr>
            <w:tcW w:w="444" w:type="pct"/>
            <w:tcBorders>
              <w:top w:val="nil"/>
              <w:left w:val="nil"/>
              <w:bottom w:val="nil"/>
              <w:right w:val="single" w:sz="4" w:space="0" w:color="808080"/>
            </w:tcBorders>
            <w:shd w:val="clear" w:color="auto" w:fill="auto"/>
            <w:vAlign w:val="center"/>
            <w:hideMark/>
          </w:tcPr>
          <w:p w14:paraId="47879033"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4 943 </w:t>
            </w:r>
          </w:p>
        </w:tc>
        <w:tc>
          <w:tcPr>
            <w:tcW w:w="437" w:type="pct"/>
            <w:tcBorders>
              <w:top w:val="nil"/>
              <w:left w:val="nil"/>
              <w:bottom w:val="nil"/>
              <w:right w:val="single" w:sz="8" w:space="0" w:color="808080"/>
            </w:tcBorders>
            <w:shd w:val="clear" w:color="auto" w:fill="auto"/>
            <w:vAlign w:val="center"/>
            <w:hideMark/>
          </w:tcPr>
          <w:p w14:paraId="36B3D88F"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1 648 </w:t>
            </w:r>
          </w:p>
        </w:tc>
        <w:tc>
          <w:tcPr>
            <w:tcW w:w="444" w:type="pct"/>
            <w:tcBorders>
              <w:top w:val="nil"/>
              <w:left w:val="nil"/>
              <w:bottom w:val="nil"/>
              <w:right w:val="single" w:sz="4" w:space="0" w:color="808080"/>
            </w:tcBorders>
            <w:shd w:val="clear" w:color="auto" w:fill="auto"/>
            <w:vAlign w:val="center"/>
            <w:hideMark/>
          </w:tcPr>
          <w:p w14:paraId="2C87AC3C"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5 787 </w:t>
            </w:r>
          </w:p>
        </w:tc>
        <w:tc>
          <w:tcPr>
            <w:tcW w:w="437" w:type="pct"/>
            <w:tcBorders>
              <w:top w:val="nil"/>
              <w:left w:val="nil"/>
              <w:bottom w:val="nil"/>
              <w:right w:val="single" w:sz="8" w:space="0" w:color="808080"/>
            </w:tcBorders>
            <w:shd w:val="clear" w:color="auto" w:fill="auto"/>
            <w:vAlign w:val="center"/>
            <w:hideMark/>
          </w:tcPr>
          <w:p w14:paraId="6BE73BCE"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1 929 </w:t>
            </w:r>
          </w:p>
        </w:tc>
        <w:tc>
          <w:tcPr>
            <w:tcW w:w="444" w:type="pct"/>
            <w:tcBorders>
              <w:top w:val="nil"/>
              <w:left w:val="single" w:sz="4" w:space="0" w:color="808080"/>
              <w:bottom w:val="nil"/>
              <w:right w:val="single" w:sz="8" w:space="0" w:color="808080"/>
            </w:tcBorders>
            <w:shd w:val="clear" w:color="auto" w:fill="auto"/>
            <w:vAlign w:val="center"/>
            <w:hideMark/>
          </w:tcPr>
          <w:p w14:paraId="20EE4F04"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4 115 </w:t>
            </w:r>
          </w:p>
        </w:tc>
      </w:tr>
      <w:tr w:rsidR="006D34EE" w:rsidRPr="00CC659A" w14:paraId="13950BD6" w14:textId="77777777" w:rsidTr="00477854">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2596954E" w14:textId="77777777" w:rsidR="00CC659A" w:rsidRPr="00CC659A" w:rsidRDefault="00CC659A" w:rsidP="00CC659A">
            <w:pPr>
              <w:spacing w:after="0" w:line="240" w:lineRule="auto"/>
              <w:ind w:left="-108"/>
              <w:jc w:val="right"/>
              <w:rPr>
                <w:rFonts w:eastAsia="Times New Roman"/>
                <w:color w:val="000000"/>
                <w:sz w:val="16"/>
                <w:szCs w:val="16"/>
                <w:lang w:val="es-ES"/>
              </w:rPr>
            </w:pPr>
            <w:r w:rsidRPr="00CC659A">
              <w:rPr>
                <w:rFonts w:eastAsia="Times New Roman"/>
                <w:color w:val="000000"/>
                <w:sz w:val="16"/>
                <w:szCs w:val="16"/>
                <w:lang w:val="es-ES"/>
              </w:rPr>
              <w:t>66</w:t>
            </w:r>
          </w:p>
        </w:tc>
        <w:tc>
          <w:tcPr>
            <w:tcW w:w="920" w:type="pct"/>
            <w:tcBorders>
              <w:top w:val="nil"/>
              <w:left w:val="nil"/>
              <w:bottom w:val="nil"/>
              <w:right w:val="nil"/>
            </w:tcBorders>
            <w:shd w:val="clear" w:color="auto" w:fill="auto"/>
            <w:vAlign w:val="center"/>
            <w:hideMark/>
          </w:tcPr>
          <w:p w14:paraId="1CEAA495" w14:textId="7C5978E4" w:rsidR="00CC659A" w:rsidRPr="00CC659A" w:rsidRDefault="00847CA2"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Kazakstán</w:t>
            </w:r>
          </w:p>
        </w:tc>
        <w:tc>
          <w:tcPr>
            <w:tcW w:w="404" w:type="pct"/>
            <w:tcBorders>
              <w:top w:val="nil"/>
              <w:left w:val="nil"/>
              <w:bottom w:val="nil"/>
              <w:right w:val="nil"/>
            </w:tcBorders>
            <w:shd w:val="clear" w:color="auto" w:fill="auto"/>
            <w:vAlign w:val="center"/>
            <w:hideMark/>
          </w:tcPr>
          <w:p w14:paraId="70B8BA66" w14:textId="77777777" w:rsidR="00CC659A" w:rsidRPr="00CC659A" w:rsidRDefault="00CC659A" w:rsidP="00CC659A">
            <w:pPr>
              <w:spacing w:after="0" w:line="240" w:lineRule="auto"/>
              <w:ind w:left="-108"/>
              <w:jc w:val="center"/>
              <w:rPr>
                <w:rFonts w:eastAsia="Times New Roman"/>
                <w:color w:val="000000"/>
                <w:sz w:val="16"/>
                <w:szCs w:val="16"/>
                <w:lang w:val="es-ES"/>
              </w:rPr>
            </w:pPr>
            <w:r w:rsidRPr="00CC659A">
              <w:rPr>
                <w:rFonts w:eastAsia="Times New Roman"/>
                <w:color w:val="000000"/>
                <w:sz w:val="16"/>
                <w:szCs w:val="16"/>
                <w:lang w:val="es-ES"/>
              </w:rPr>
              <w:t>0.133</w:t>
            </w:r>
          </w:p>
        </w:tc>
        <w:tc>
          <w:tcPr>
            <w:tcW w:w="420" w:type="pct"/>
            <w:tcBorders>
              <w:top w:val="nil"/>
              <w:left w:val="nil"/>
              <w:bottom w:val="nil"/>
              <w:right w:val="single" w:sz="8" w:space="0" w:color="808080"/>
            </w:tcBorders>
            <w:shd w:val="clear" w:color="auto" w:fill="auto"/>
            <w:vAlign w:val="center"/>
            <w:hideMark/>
          </w:tcPr>
          <w:p w14:paraId="79D3C5D3" w14:textId="77777777" w:rsidR="00CC659A" w:rsidRPr="00CC659A" w:rsidRDefault="00CC659A" w:rsidP="00CC659A">
            <w:pPr>
              <w:spacing w:after="0" w:line="240" w:lineRule="auto"/>
              <w:ind w:left="-108"/>
              <w:jc w:val="right"/>
              <w:rPr>
                <w:rFonts w:eastAsia="Times New Roman" w:cs="Arial"/>
                <w:color w:val="000000"/>
                <w:sz w:val="16"/>
                <w:szCs w:val="16"/>
                <w:lang w:val="es-ES"/>
              </w:rPr>
            </w:pPr>
            <w:r w:rsidRPr="00CC659A">
              <w:rPr>
                <w:rFonts w:eastAsia="Times New Roman" w:cs="Arial"/>
                <w:color w:val="000000"/>
                <w:sz w:val="16"/>
                <w:szCs w:val="16"/>
                <w:lang w:val="es-ES"/>
              </w:rPr>
              <w:t xml:space="preserve">0.306 </w:t>
            </w:r>
          </w:p>
        </w:tc>
        <w:tc>
          <w:tcPr>
            <w:tcW w:w="444" w:type="pct"/>
            <w:tcBorders>
              <w:top w:val="nil"/>
              <w:left w:val="nil"/>
              <w:bottom w:val="nil"/>
              <w:right w:val="single" w:sz="4" w:space="0" w:color="808080"/>
            </w:tcBorders>
            <w:shd w:val="clear" w:color="auto" w:fill="auto"/>
            <w:vAlign w:val="center"/>
            <w:hideMark/>
          </w:tcPr>
          <w:p w14:paraId="4C5929B6"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26 786 </w:t>
            </w:r>
          </w:p>
        </w:tc>
        <w:tc>
          <w:tcPr>
            <w:tcW w:w="437" w:type="pct"/>
            <w:tcBorders>
              <w:top w:val="nil"/>
              <w:left w:val="nil"/>
              <w:bottom w:val="nil"/>
              <w:right w:val="single" w:sz="8" w:space="0" w:color="808080"/>
            </w:tcBorders>
            <w:shd w:val="clear" w:color="auto" w:fill="auto"/>
            <w:vAlign w:val="center"/>
            <w:hideMark/>
          </w:tcPr>
          <w:p w14:paraId="13A200EA"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8 929 </w:t>
            </w:r>
          </w:p>
        </w:tc>
        <w:tc>
          <w:tcPr>
            <w:tcW w:w="444" w:type="pct"/>
            <w:tcBorders>
              <w:top w:val="nil"/>
              <w:left w:val="nil"/>
              <w:bottom w:val="nil"/>
              <w:right w:val="single" w:sz="4" w:space="0" w:color="808080"/>
            </w:tcBorders>
            <w:shd w:val="clear" w:color="auto" w:fill="auto"/>
            <w:vAlign w:val="center"/>
            <w:hideMark/>
          </w:tcPr>
          <w:p w14:paraId="4909C3A9"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29 881 </w:t>
            </w:r>
          </w:p>
        </w:tc>
        <w:tc>
          <w:tcPr>
            <w:tcW w:w="437" w:type="pct"/>
            <w:tcBorders>
              <w:top w:val="nil"/>
              <w:left w:val="nil"/>
              <w:bottom w:val="nil"/>
              <w:right w:val="single" w:sz="8" w:space="0" w:color="808080"/>
            </w:tcBorders>
            <w:shd w:val="clear" w:color="auto" w:fill="auto"/>
            <w:vAlign w:val="center"/>
            <w:hideMark/>
          </w:tcPr>
          <w:p w14:paraId="16A3FC25"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9 960 </w:t>
            </w:r>
          </w:p>
        </w:tc>
        <w:tc>
          <w:tcPr>
            <w:tcW w:w="444" w:type="pct"/>
            <w:tcBorders>
              <w:top w:val="nil"/>
              <w:left w:val="nil"/>
              <w:bottom w:val="nil"/>
              <w:right w:val="single" w:sz="4" w:space="0" w:color="808080"/>
            </w:tcBorders>
            <w:shd w:val="clear" w:color="auto" w:fill="auto"/>
            <w:vAlign w:val="center"/>
            <w:hideMark/>
          </w:tcPr>
          <w:p w14:paraId="2C0CD170"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34 988 </w:t>
            </w:r>
          </w:p>
        </w:tc>
        <w:tc>
          <w:tcPr>
            <w:tcW w:w="437" w:type="pct"/>
            <w:tcBorders>
              <w:top w:val="nil"/>
              <w:left w:val="nil"/>
              <w:bottom w:val="nil"/>
              <w:right w:val="single" w:sz="8" w:space="0" w:color="808080"/>
            </w:tcBorders>
            <w:shd w:val="clear" w:color="auto" w:fill="auto"/>
            <w:vAlign w:val="center"/>
            <w:hideMark/>
          </w:tcPr>
          <w:p w14:paraId="02CB7FCC"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11 663 </w:t>
            </w:r>
          </w:p>
        </w:tc>
        <w:tc>
          <w:tcPr>
            <w:tcW w:w="444" w:type="pct"/>
            <w:tcBorders>
              <w:top w:val="nil"/>
              <w:left w:val="single" w:sz="4" w:space="0" w:color="808080"/>
              <w:bottom w:val="nil"/>
              <w:right w:val="single" w:sz="8" w:space="0" w:color="808080"/>
            </w:tcBorders>
            <w:shd w:val="clear" w:color="auto" w:fill="auto"/>
            <w:vAlign w:val="center"/>
            <w:hideMark/>
          </w:tcPr>
          <w:p w14:paraId="53F25ADF"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34 882 </w:t>
            </w:r>
          </w:p>
        </w:tc>
      </w:tr>
      <w:tr w:rsidR="006D34EE" w:rsidRPr="00CC659A" w14:paraId="03672D86" w14:textId="77777777" w:rsidTr="00477854">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57F3CDA8" w14:textId="77777777" w:rsidR="00CC659A" w:rsidRPr="00CC659A" w:rsidRDefault="00CC659A" w:rsidP="00CC659A">
            <w:pPr>
              <w:spacing w:after="0" w:line="240" w:lineRule="auto"/>
              <w:ind w:left="-108"/>
              <w:jc w:val="right"/>
              <w:rPr>
                <w:rFonts w:eastAsia="Times New Roman"/>
                <w:color w:val="000000"/>
                <w:sz w:val="16"/>
                <w:szCs w:val="16"/>
                <w:lang w:val="es-ES"/>
              </w:rPr>
            </w:pPr>
            <w:r w:rsidRPr="00CC659A">
              <w:rPr>
                <w:rFonts w:eastAsia="Times New Roman"/>
                <w:color w:val="000000"/>
                <w:sz w:val="16"/>
                <w:szCs w:val="16"/>
                <w:lang w:val="es-ES"/>
              </w:rPr>
              <w:t>67</w:t>
            </w:r>
          </w:p>
        </w:tc>
        <w:tc>
          <w:tcPr>
            <w:tcW w:w="920" w:type="pct"/>
            <w:tcBorders>
              <w:top w:val="nil"/>
              <w:left w:val="nil"/>
              <w:bottom w:val="nil"/>
              <w:right w:val="nil"/>
            </w:tcBorders>
            <w:shd w:val="clear" w:color="auto" w:fill="auto"/>
            <w:vAlign w:val="center"/>
            <w:hideMark/>
          </w:tcPr>
          <w:p w14:paraId="3F2599B9" w14:textId="633B0A75"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Ken</w:t>
            </w:r>
            <w:r w:rsidR="006C0821">
              <w:rPr>
                <w:rFonts w:eastAsia="Times New Roman"/>
                <w:color w:val="000000"/>
                <w:sz w:val="16"/>
                <w:szCs w:val="16"/>
                <w:lang w:val="es-ES"/>
              </w:rPr>
              <w:t>i</w:t>
            </w:r>
            <w:r w:rsidRPr="00CC659A">
              <w:rPr>
                <w:rFonts w:eastAsia="Times New Roman"/>
                <w:color w:val="000000"/>
                <w:sz w:val="16"/>
                <w:szCs w:val="16"/>
                <w:lang w:val="es-ES"/>
              </w:rPr>
              <w:t>a</w:t>
            </w:r>
          </w:p>
        </w:tc>
        <w:tc>
          <w:tcPr>
            <w:tcW w:w="404" w:type="pct"/>
            <w:tcBorders>
              <w:top w:val="nil"/>
              <w:left w:val="nil"/>
              <w:bottom w:val="nil"/>
              <w:right w:val="nil"/>
            </w:tcBorders>
            <w:shd w:val="clear" w:color="auto" w:fill="auto"/>
            <w:vAlign w:val="center"/>
            <w:hideMark/>
          </w:tcPr>
          <w:p w14:paraId="20871312" w14:textId="77777777" w:rsidR="00CC659A" w:rsidRPr="00CC659A" w:rsidRDefault="00CC659A" w:rsidP="00CC659A">
            <w:pPr>
              <w:spacing w:after="0" w:line="240" w:lineRule="auto"/>
              <w:ind w:left="-108"/>
              <w:jc w:val="center"/>
              <w:rPr>
                <w:rFonts w:eastAsia="Times New Roman"/>
                <w:color w:val="000000"/>
                <w:sz w:val="16"/>
                <w:szCs w:val="16"/>
                <w:lang w:val="es-ES"/>
              </w:rPr>
            </w:pPr>
            <w:r w:rsidRPr="00CC659A">
              <w:rPr>
                <w:rFonts w:eastAsia="Times New Roman"/>
                <w:color w:val="000000"/>
                <w:sz w:val="16"/>
                <w:szCs w:val="16"/>
                <w:lang w:val="es-ES"/>
              </w:rPr>
              <w:t>0.03</w:t>
            </w:r>
          </w:p>
        </w:tc>
        <w:tc>
          <w:tcPr>
            <w:tcW w:w="420" w:type="pct"/>
            <w:tcBorders>
              <w:top w:val="nil"/>
              <w:left w:val="nil"/>
              <w:bottom w:val="nil"/>
              <w:right w:val="single" w:sz="8" w:space="0" w:color="808080"/>
            </w:tcBorders>
            <w:shd w:val="clear" w:color="auto" w:fill="auto"/>
            <w:vAlign w:val="center"/>
            <w:hideMark/>
          </w:tcPr>
          <w:p w14:paraId="78F34A3D" w14:textId="77777777" w:rsidR="00CC659A" w:rsidRPr="00CC659A" w:rsidRDefault="00CC659A" w:rsidP="00CC659A">
            <w:pPr>
              <w:spacing w:after="0" w:line="240" w:lineRule="auto"/>
              <w:ind w:left="-108"/>
              <w:jc w:val="right"/>
              <w:rPr>
                <w:rFonts w:eastAsia="Times New Roman" w:cs="Arial"/>
                <w:color w:val="000000"/>
                <w:sz w:val="16"/>
                <w:szCs w:val="16"/>
                <w:lang w:val="es-ES"/>
              </w:rPr>
            </w:pPr>
            <w:r w:rsidRPr="00CC659A">
              <w:rPr>
                <w:rFonts w:eastAsia="Times New Roman" w:cs="Arial"/>
                <w:color w:val="000000"/>
                <w:sz w:val="16"/>
                <w:szCs w:val="16"/>
                <w:lang w:val="es-ES"/>
              </w:rPr>
              <w:t xml:space="preserve">0.069 </w:t>
            </w:r>
          </w:p>
        </w:tc>
        <w:tc>
          <w:tcPr>
            <w:tcW w:w="444" w:type="pct"/>
            <w:tcBorders>
              <w:top w:val="nil"/>
              <w:left w:val="nil"/>
              <w:bottom w:val="nil"/>
              <w:right w:val="single" w:sz="4" w:space="0" w:color="808080"/>
            </w:tcBorders>
            <w:shd w:val="clear" w:color="auto" w:fill="auto"/>
            <w:vAlign w:val="center"/>
            <w:hideMark/>
          </w:tcPr>
          <w:p w14:paraId="287408E9"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6 042 </w:t>
            </w:r>
          </w:p>
        </w:tc>
        <w:tc>
          <w:tcPr>
            <w:tcW w:w="437" w:type="pct"/>
            <w:tcBorders>
              <w:top w:val="nil"/>
              <w:left w:val="nil"/>
              <w:bottom w:val="nil"/>
              <w:right w:val="single" w:sz="8" w:space="0" w:color="808080"/>
            </w:tcBorders>
            <w:shd w:val="clear" w:color="auto" w:fill="auto"/>
            <w:vAlign w:val="center"/>
            <w:hideMark/>
          </w:tcPr>
          <w:p w14:paraId="0686AB24"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2 014 </w:t>
            </w:r>
          </w:p>
        </w:tc>
        <w:tc>
          <w:tcPr>
            <w:tcW w:w="444" w:type="pct"/>
            <w:tcBorders>
              <w:top w:val="nil"/>
              <w:left w:val="nil"/>
              <w:bottom w:val="nil"/>
              <w:right w:val="single" w:sz="4" w:space="0" w:color="808080"/>
            </w:tcBorders>
            <w:shd w:val="clear" w:color="auto" w:fill="auto"/>
            <w:vAlign w:val="center"/>
            <w:hideMark/>
          </w:tcPr>
          <w:p w14:paraId="7760250B"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6 740 </w:t>
            </w:r>
          </w:p>
        </w:tc>
        <w:tc>
          <w:tcPr>
            <w:tcW w:w="437" w:type="pct"/>
            <w:tcBorders>
              <w:top w:val="nil"/>
              <w:left w:val="nil"/>
              <w:bottom w:val="nil"/>
              <w:right w:val="single" w:sz="8" w:space="0" w:color="808080"/>
            </w:tcBorders>
            <w:shd w:val="clear" w:color="auto" w:fill="auto"/>
            <w:vAlign w:val="center"/>
            <w:hideMark/>
          </w:tcPr>
          <w:p w14:paraId="3E7A1434"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2 247 </w:t>
            </w:r>
          </w:p>
        </w:tc>
        <w:tc>
          <w:tcPr>
            <w:tcW w:w="444" w:type="pct"/>
            <w:tcBorders>
              <w:top w:val="nil"/>
              <w:left w:val="nil"/>
              <w:bottom w:val="nil"/>
              <w:right w:val="single" w:sz="4" w:space="0" w:color="808080"/>
            </w:tcBorders>
            <w:shd w:val="clear" w:color="auto" w:fill="auto"/>
            <w:vAlign w:val="center"/>
            <w:hideMark/>
          </w:tcPr>
          <w:p w14:paraId="6C65D672"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7 892 </w:t>
            </w:r>
          </w:p>
        </w:tc>
        <w:tc>
          <w:tcPr>
            <w:tcW w:w="437" w:type="pct"/>
            <w:tcBorders>
              <w:top w:val="nil"/>
              <w:left w:val="nil"/>
              <w:bottom w:val="nil"/>
              <w:right w:val="single" w:sz="8" w:space="0" w:color="808080"/>
            </w:tcBorders>
            <w:shd w:val="clear" w:color="auto" w:fill="auto"/>
            <w:vAlign w:val="center"/>
            <w:hideMark/>
          </w:tcPr>
          <w:p w14:paraId="19E0BF2A"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2 631 </w:t>
            </w:r>
          </w:p>
        </w:tc>
        <w:tc>
          <w:tcPr>
            <w:tcW w:w="444" w:type="pct"/>
            <w:tcBorders>
              <w:top w:val="nil"/>
              <w:left w:val="single" w:sz="4" w:space="0" w:color="808080"/>
              <w:bottom w:val="nil"/>
              <w:right w:val="single" w:sz="8" w:space="0" w:color="808080"/>
            </w:tcBorders>
            <w:shd w:val="clear" w:color="auto" w:fill="auto"/>
            <w:vAlign w:val="center"/>
            <w:hideMark/>
          </w:tcPr>
          <w:p w14:paraId="5E126986"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4 703 </w:t>
            </w:r>
          </w:p>
        </w:tc>
      </w:tr>
      <w:tr w:rsidR="006D34EE" w:rsidRPr="00CC659A" w14:paraId="03502434" w14:textId="77777777" w:rsidTr="00477854">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284A1A1D" w14:textId="77777777" w:rsidR="00CC659A" w:rsidRPr="00CC659A" w:rsidRDefault="00CC659A" w:rsidP="00CC659A">
            <w:pPr>
              <w:spacing w:after="0" w:line="240" w:lineRule="auto"/>
              <w:ind w:left="-108"/>
              <w:jc w:val="right"/>
              <w:rPr>
                <w:rFonts w:eastAsia="Times New Roman"/>
                <w:color w:val="000000"/>
                <w:sz w:val="16"/>
                <w:szCs w:val="16"/>
                <w:lang w:val="es-ES"/>
              </w:rPr>
            </w:pPr>
            <w:r w:rsidRPr="00CC659A">
              <w:rPr>
                <w:rFonts w:eastAsia="Times New Roman"/>
                <w:color w:val="000000"/>
                <w:sz w:val="16"/>
                <w:szCs w:val="16"/>
                <w:lang w:val="es-ES"/>
              </w:rPr>
              <w:t>68</w:t>
            </w:r>
          </w:p>
        </w:tc>
        <w:tc>
          <w:tcPr>
            <w:tcW w:w="920" w:type="pct"/>
            <w:tcBorders>
              <w:top w:val="nil"/>
              <w:left w:val="nil"/>
              <w:bottom w:val="nil"/>
              <w:right w:val="nil"/>
            </w:tcBorders>
            <w:shd w:val="clear" w:color="auto" w:fill="auto"/>
            <w:vAlign w:val="center"/>
            <w:hideMark/>
          </w:tcPr>
          <w:p w14:paraId="3DD8995C" w14:textId="3D845CE9" w:rsidR="00CC659A" w:rsidRPr="00CC659A" w:rsidRDefault="00847CA2"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Kirguistán</w:t>
            </w:r>
          </w:p>
        </w:tc>
        <w:tc>
          <w:tcPr>
            <w:tcW w:w="404" w:type="pct"/>
            <w:tcBorders>
              <w:top w:val="nil"/>
              <w:left w:val="nil"/>
              <w:bottom w:val="nil"/>
              <w:right w:val="nil"/>
            </w:tcBorders>
            <w:shd w:val="clear" w:color="auto" w:fill="auto"/>
            <w:vAlign w:val="center"/>
            <w:hideMark/>
          </w:tcPr>
          <w:p w14:paraId="39803B8F" w14:textId="77777777" w:rsidR="00CC659A" w:rsidRPr="00CC659A" w:rsidRDefault="00CC659A" w:rsidP="00CC659A">
            <w:pPr>
              <w:spacing w:after="0" w:line="240" w:lineRule="auto"/>
              <w:ind w:left="-108"/>
              <w:jc w:val="center"/>
              <w:rPr>
                <w:rFonts w:eastAsia="Times New Roman"/>
                <w:color w:val="000000"/>
                <w:sz w:val="16"/>
                <w:szCs w:val="16"/>
                <w:lang w:val="es-ES"/>
              </w:rPr>
            </w:pPr>
            <w:r w:rsidRPr="00CC659A">
              <w:rPr>
                <w:rFonts w:eastAsia="Times New Roman"/>
                <w:color w:val="000000"/>
                <w:sz w:val="16"/>
                <w:szCs w:val="16"/>
                <w:lang w:val="es-ES"/>
              </w:rPr>
              <w:t>0.002</w:t>
            </w:r>
          </w:p>
        </w:tc>
        <w:tc>
          <w:tcPr>
            <w:tcW w:w="420" w:type="pct"/>
            <w:tcBorders>
              <w:top w:val="nil"/>
              <w:left w:val="nil"/>
              <w:bottom w:val="nil"/>
              <w:right w:val="single" w:sz="8" w:space="0" w:color="808080"/>
            </w:tcBorders>
            <w:shd w:val="clear" w:color="auto" w:fill="auto"/>
            <w:vAlign w:val="center"/>
            <w:hideMark/>
          </w:tcPr>
          <w:p w14:paraId="0779AE53" w14:textId="77777777" w:rsidR="00CC659A" w:rsidRPr="00CC659A" w:rsidRDefault="00CC659A" w:rsidP="00CC659A">
            <w:pPr>
              <w:spacing w:after="0" w:line="240" w:lineRule="auto"/>
              <w:ind w:left="-108"/>
              <w:jc w:val="right"/>
              <w:rPr>
                <w:rFonts w:eastAsia="Times New Roman" w:cs="Arial"/>
                <w:color w:val="000000"/>
                <w:sz w:val="16"/>
                <w:szCs w:val="16"/>
                <w:lang w:val="es-ES"/>
              </w:rPr>
            </w:pPr>
            <w:r w:rsidRPr="00CC659A">
              <w:rPr>
                <w:rFonts w:eastAsia="Times New Roman" w:cs="Arial"/>
                <w:color w:val="000000"/>
                <w:sz w:val="16"/>
                <w:szCs w:val="16"/>
                <w:lang w:val="es-ES"/>
              </w:rPr>
              <w:t xml:space="preserve">0.005 </w:t>
            </w:r>
          </w:p>
        </w:tc>
        <w:tc>
          <w:tcPr>
            <w:tcW w:w="444" w:type="pct"/>
            <w:tcBorders>
              <w:top w:val="nil"/>
              <w:left w:val="nil"/>
              <w:bottom w:val="nil"/>
              <w:right w:val="single" w:sz="4" w:space="0" w:color="808080"/>
            </w:tcBorders>
            <w:shd w:val="clear" w:color="auto" w:fill="auto"/>
            <w:vAlign w:val="center"/>
            <w:hideMark/>
          </w:tcPr>
          <w:p w14:paraId="622163AB"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403 </w:t>
            </w:r>
          </w:p>
        </w:tc>
        <w:tc>
          <w:tcPr>
            <w:tcW w:w="437" w:type="pct"/>
            <w:tcBorders>
              <w:top w:val="nil"/>
              <w:left w:val="nil"/>
              <w:bottom w:val="nil"/>
              <w:right w:val="single" w:sz="8" w:space="0" w:color="808080"/>
            </w:tcBorders>
            <w:shd w:val="clear" w:color="auto" w:fill="auto"/>
            <w:vAlign w:val="center"/>
            <w:hideMark/>
          </w:tcPr>
          <w:p w14:paraId="35F975D5"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134 </w:t>
            </w:r>
          </w:p>
        </w:tc>
        <w:tc>
          <w:tcPr>
            <w:tcW w:w="444" w:type="pct"/>
            <w:tcBorders>
              <w:top w:val="nil"/>
              <w:left w:val="nil"/>
              <w:bottom w:val="nil"/>
              <w:right w:val="single" w:sz="4" w:space="0" w:color="808080"/>
            </w:tcBorders>
            <w:shd w:val="clear" w:color="auto" w:fill="auto"/>
            <w:vAlign w:val="center"/>
            <w:hideMark/>
          </w:tcPr>
          <w:p w14:paraId="3E2A36A2"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449 </w:t>
            </w:r>
          </w:p>
        </w:tc>
        <w:tc>
          <w:tcPr>
            <w:tcW w:w="437" w:type="pct"/>
            <w:tcBorders>
              <w:top w:val="nil"/>
              <w:left w:val="nil"/>
              <w:bottom w:val="nil"/>
              <w:right w:val="single" w:sz="8" w:space="0" w:color="808080"/>
            </w:tcBorders>
            <w:shd w:val="clear" w:color="auto" w:fill="auto"/>
            <w:vAlign w:val="center"/>
            <w:hideMark/>
          </w:tcPr>
          <w:p w14:paraId="747EBEEA"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150 </w:t>
            </w:r>
          </w:p>
        </w:tc>
        <w:tc>
          <w:tcPr>
            <w:tcW w:w="444" w:type="pct"/>
            <w:tcBorders>
              <w:top w:val="nil"/>
              <w:left w:val="nil"/>
              <w:bottom w:val="nil"/>
              <w:right w:val="single" w:sz="4" w:space="0" w:color="808080"/>
            </w:tcBorders>
            <w:shd w:val="clear" w:color="auto" w:fill="auto"/>
            <w:vAlign w:val="center"/>
            <w:hideMark/>
          </w:tcPr>
          <w:p w14:paraId="3D6EFD96"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526 </w:t>
            </w:r>
          </w:p>
        </w:tc>
        <w:tc>
          <w:tcPr>
            <w:tcW w:w="437" w:type="pct"/>
            <w:tcBorders>
              <w:top w:val="nil"/>
              <w:left w:val="nil"/>
              <w:bottom w:val="nil"/>
              <w:right w:val="single" w:sz="8" w:space="0" w:color="808080"/>
            </w:tcBorders>
            <w:shd w:val="clear" w:color="auto" w:fill="auto"/>
            <w:vAlign w:val="center"/>
            <w:hideMark/>
          </w:tcPr>
          <w:p w14:paraId="66033097"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175 </w:t>
            </w:r>
          </w:p>
        </w:tc>
        <w:tc>
          <w:tcPr>
            <w:tcW w:w="444" w:type="pct"/>
            <w:tcBorders>
              <w:top w:val="nil"/>
              <w:left w:val="single" w:sz="4" w:space="0" w:color="808080"/>
              <w:bottom w:val="nil"/>
              <w:right w:val="single" w:sz="8" w:space="0" w:color="808080"/>
            </w:tcBorders>
            <w:shd w:val="clear" w:color="auto" w:fill="auto"/>
            <w:vAlign w:val="center"/>
            <w:hideMark/>
          </w:tcPr>
          <w:p w14:paraId="236C0D8A"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391 </w:t>
            </w:r>
          </w:p>
        </w:tc>
      </w:tr>
      <w:tr w:rsidR="006D34EE" w:rsidRPr="00CC659A" w14:paraId="527813EA" w14:textId="77777777" w:rsidTr="00477854">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348993CB" w14:textId="77777777" w:rsidR="00CC659A" w:rsidRPr="00CC659A" w:rsidRDefault="00CC659A" w:rsidP="00CC659A">
            <w:pPr>
              <w:spacing w:after="0" w:line="240" w:lineRule="auto"/>
              <w:ind w:left="-108"/>
              <w:jc w:val="right"/>
              <w:rPr>
                <w:rFonts w:eastAsia="Times New Roman"/>
                <w:color w:val="000000"/>
                <w:sz w:val="16"/>
                <w:szCs w:val="16"/>
                <w:lang w:val="es-ES"/>
              </w:rPr>
            </w:pPr>
            <w:r w:rsidRPr="00CC659A">
              <w:rPr>
                <w:rFonts w:eastAsia="Times New Roman"/>
                <w:color w:val="000000"/>
                <w:sz w:val="16"/>
                <w:szCs w:val="16"/>
                <w:lang w:val="es-ES"/>
              </w:rPr>
              <w:t>69</w:t>
            </w:r>
          </w:p>
        </w:tc>
        <w:tc>
          <w:tcPr>
            <w:tcW w:w="920" w:type="pct"/>
            <w:tcBorders>
              <w:top w:val="nil"/>
              <w:left w:val="nil"/>
              <w:bottom w:val="nil"/>
              <w:right w:val="nil"/>
            </w:tcBorders>
            <w:shd w:val="clear" w:color="auto" w:fill="auto"/>
            <w:vAlign w:val="center"/>
            <w:hideMark/>
          </w:tcPr>
          <w:p w14:paraId="1CF78F5E" w14:textId="353E6A3F" w:rsidR="00CC659A" w:rsidRPr="00CC659A" w:rsidRDefault="00847CA2"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Letonia</w:t>
            </w:r>
          </w:p>
        </w:tc>
        <w:tc>
          <w:tcPr>
            <w:tcW w:w="404" w:type="pct"/>
            <w:tcBorders>
              <w:top w:val="nil"/>
              <w:left w:val="nil"/>
              <w:bottom w:val="nil"/>
              <w:right w:val="nil"/>
            </w:tcBorders>
            <w:shd w:val="clear" w:color="auto" w:fill="auto"/>
            <w:vAlign w:val="center"/>
            <w:hideMark/>
          </w:tcPr>
          <w:p w14:paraId="6043D19A" w14:textId="77777777" w:rsidR="00CC659A" w:rsidRPr="00CC659A" w:rsidRDefault="00CC659A" w:rsidP="00CC659A">
            <w:pPr>
              <w:spacing w:after="0" w:line="240" w:lineRule="auto"/>
              <w:ind w:left="-108"/>
              <w:jc w:val="center"/>
              <w:rPr>
                <w:rFonts w:eastAsia="Times New Roman"/>
                <w:color w:val="000000"/>
                <w:sz w:val="16"/>
                <w:szCs w:val="16"/>
                <w:lang w:val="es-ES"/>
              </w:rPr>
            </w:pPr>
            <w:r w:rsidRPr="00CC659A">
              <w:rPr>
                <w:rFonts w:eastAsia="Times New Roman"/>
                <w:color w:val="000000"/>
                <w:sz w:val="16"/>
                <w:szCs w:val="16"/>
                <w:lang w:val="es-ES"/>
              </w:rPr>
              <w:t>0.05</w:t>
            </w:r>
          </w:p>
        </w:tc>
        <w:tc>
          <w:tcPr>
            <w:tcW w:w="420" w:type="pct"/>
            <w:tcBorders>
              <w:top w:val="nil"/>
              <w:left w:val="nil"/>
              <w:bottom w:val="nil"/>
              <w:right w:val="single" w:sz="8" w:space="0" w:color="808080"/>
            </w:tcBorders>
            <w:shd w:val="clear" w:color="auto" w:fill="auto"/>
            <w:vAlign w:val="center"/>
            <w:hideMark/>
          </w:tcPr>
          <w:p w14:paraId="24CCF396" w14:textId="77777777" w:rsidR="00CC659A" w:rsidRPr="00CC659A" w:rsidRDefault="00CC659A" w:rsidP="00CC659A">
            <w:pPr>
              <w:spacing w:after="0" w:line="240" w:lineRule="auto"/>
              <w:ind w:left="-108"/>
              <w:jc w:val="right"/>
              <w:rPr>
                <w:rFonts w:eastAsia="Times New Roman" w:cs="Arial"/>
                <w:color w:val="000000"/>
                <w:sz w:val="16"/>
                <w:szCs w:val="16"/>
                <w:lang w:val="es-ES"/>
              </w:rPr>
            </w:pPr>
            <w:r w:rsidRPr="00CC659A">
              <w:rPr>
                <w:rFonts w:eastAsia="Times New Roman" w:cs="Arial"/>
                <w:color w:val="000000"/>
                <w:sz w:val="16"/>
                <w:szCs w:val="16"/>
                <w:lang w:val="es-ES"/>
              </w:rPr>
              <w:t xml:space="preserve">0.115 </w:t>
            </w:r>
          </w:p>
        </w:tc>
        <w:tc>
          <w:tcPr>
            <w:tcW w:w="444" w:type="pct"/>
            <w:tcBorders>
              <w:top w:val="nil"/>
              <w:left w:val="nil"/>
              <w:bottom w:val="nil"/>
              <w:right w:val="single" w:sz="4" w:space="0" w:color="808080"/>
            </w:tcBorders>
            <w:shd w:val="clear" w:color="auto" w:fill="auto"/>
            <w:vAlign w:val="center"/>
            <w:hideMark/>
          </w:tcPr>
          <w:p w14:paraId="65A997E2"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10 070 </w:t>
            </w:r>
          </w:p>
        </w:tc>
        <w:tc>
          <w:tcPr>
            <w:tcW w:w="437" w:type="pct"/>
            <w:tcBorders>
              <w:top w:val="nil"/>
              <w:left w:val="nil"/>
              <w:bottom w:val="nil"/>
              <w:right w:val="single" w:sz="8" w:space="0" w:color="808080"/>
            </w:tcBorders>
            <w:shd w:val="clear" w:color="auto" w:fill="auto"/>
            <w:vAlign w:val="center"/>
            <w:hideMark/>
          </w:tcPr>
          <w:p w14:paraId="3634A380"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3 357 </w:t>
            </w:r>
          </w:p>
        </w:tc>
        <w:tc>
          <w:tcPr>
            <w:tcW w:w="444" w:type="pct"/>
            <w:tcBorders>
              <w:top w:val="nil"/>
              <w:left w:val="nil"/>
              <w:bottom w:val="nil"/>
              <w:right w:val="single" w:sz="4" w:space="0" w:color="808080"/>
            </w:tcBorders>
            <w:shd w:val="clear" w:color="auto" w:fill="auto"/>
            <w:vAlign w:val="center"/>
            <w:hideMark/>
          </w:tcPr>
          <w:p w14:paraId="1C713CA5"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11 234 </w:t>
            </w:r>
          </w:p>
        </w:tc>
        <w:tc>
          <w:tcPr>
            <w:tcW w:w="437" w:type="pct"/>
            <w:tcBorders>
              <w:top w:val="nil"/>
              <w:left w:val="nil"/>
              <w:bottom w:val="nil"/>
              <w:right w:val="single" w:sz="8" w:space="0" w:color="808080"/>
            </w:tcBorders>
            <w:shd w:val="clear" w:color="auto" w:fill="auto"/>
            <w:vAlign w:val="center"/>
            <w:hideMark/>
          </w:tcPr>
          <w:p w14:paraId="3F3042EF"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3 745 </w:t>
            </w:r>
          </w:p>
        </w:tc>
        <w:tc>
          <w:tcPr>
            <w:tcW w:w="444" w:type="pct"/>
            <w:tcBorders>
              <w:top w:val="nil"/>
              <w:left w:val="nil"/>
              <w:bottom w:val="nil"/>
              <w:right w:val="single" w:sz="4" w:space="0" w:color="808080"/>
            </w:tcBorders>
            <w:shd w:val="clear" w:color="auto" w:fill="auto"/>
            <w:vAlign w:val="center"/>
            <w:hideMark/>
          </w:tcPr>
          <w:p w14:paraId="39849F1F"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13 153 </w:t>
            </w:r>
          </w:p>
        </w:tc>
        <w:tc>
          <w:tcPr>
            <w:tcW w:w="437" w:type="pct"/>
            <w:tcBorders>
              <w:top w:val="nil"/>
              <w:left w:val="nil"/>
              <w:bottom w:val="nil"/>
              <w:right w:val="single" w:sz="8" w:space="0" w:color="808080"/>
            </w:tcBorders>
            <w:shd w:val="clear" w:color="auto" w:fill="auto"/>
            <w:vAlign w:val="center"/>
            <w:hideMark/>
          </w:tcPr>
          <w:p w14:paraId="2FD92900"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4 384 </w:t>
            </w:r>
          </w:p>
        </w:tc>
        <w:tc>
          <w:tcPr>
            <w:tcW w:w="444" w:type="pct"/>
            <w:tcBorders>
              <w:top w:val="nil"/>
              <w:left w:val="single" w:sz="4" w:space="0" w:color="808080"/>
              <w:bottom w:val="nil"/>
              <w:right w:val="single" w:sz="8" w:space="0" w:color="808080"/>
            </w:tcBorders>
            <w:shd w:val="clear" w:color="auto" w:fill="auto"/>
            <w:vAlign w:val="center"/>
            <w:hideMark/>
          </w:tcPr>
          <w:p w14:paraId="3906BC71"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9 210 </w:t>
            </w:r>
          </w:p>
        </w:tc>
      </w:tr>
      <w:tr w:rsidR="006D34EE" w:rsidRPr="00CC659A" w14:paraId="51DDCBB9" w14:textId="77777777" w:rsidTr="00477854">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63A0E22E" w14:textId="77777777" w:rsidR="00CC659A" w:rsidRPr="00CC659A" w:rsidRDefault="00CC659A" w:rsidP="00CC659A">
            <w:pPr>
              <w:spacing w:after="0" w:line="240" w:lineRule="auto"/>
              <w:ind w:left="-108"/>
              <w:jc w:val="right"/>
              <w:rPr>
                <w:rFonts w:eastAsia="Times New Roman"/>
                <w:color w:val="000000"/>
                <w:sz w:val="16"/>
                <w:szCs w:val="16"/>
                <w:lang w:val="es-ES"/>
              </w:rPr>
            </w:pPr>
            <w:r w:rsidRPr="00CC659A">
              <w:rPr>
                <w:rFonts w:eastAsia="Times New Roman"/>
                <w:color w:val="000000"/>
                <w:sz w:val="16"/>
                <w:szCs w:val="16"/>
                <w:lang w:val="es-ES"/>
              </w:rPr>
              <w:t>70</w:t>
            </w:r>
          </w:p>
        </w:tc>
        <w:tc>
          <w:tcPr>
            <w:tcW w:w="920" w:type="pct"/>
            <w:tcBorders>
              <w:top w:val="nil"/>
              <w:left w:val="nil"/>
              <w:bottom w:val="nil"/>
              <w:right w:val="nil"/>
            </w:tcBorders>
            <w:shd w:val="clear" w:color="auto" w:fill="auto"/>
            <w:vAlign w:val="center"/>
            <w:hideMark/>
          </w:tcPr>
          <w:p w14:paraId="2E11E750"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Liban</w:t>
            </w:r>
          </w:p>
        </w:tc>
        <w:tc>
          <w:tcPr>
            <w:tcW w:w="404" w:type="pct"/>
            <w:tcBorders>
              <w:top w:val="nil"/>
              <w:left w:val="nil"/>
              <w:bottom w:val="nil"/>
              <w:right w:val="nil"/>
            </w:tcBorders>
            <w:shd w:val="clear" w:color="auto" w:fill="auto"/>
            <w:vAlign w:val="center"/>
            <w:hideMark/>
          </w:tcPr>
          <w:p w14:paraId="7FE3B16A" w14:textId="77777777" w:rsidR="00CC659A" w:rsidRPr="00CC659A" w:rsidRDefault="00CC659A" w:rsidP="00CC659A">
            <w:pPr>
              <w:spacing w:after="0" w:line="240" w:lineRule="auto"/>
              <w:ind w:left="-108"/>
              <w:jc w:val="center"/>
              <w:rPr>
                <w:rFonts w:eastAsia="Times New Roman"/>
                <w:color w:val="000000"/>
                <w:sz w:val="16"/>
                <w:szCs w:val="16"/>
                <w:lang w:val="es-ES"/>
              </w:rPr>
            </w:pPr>
            <w:r w:rsidRPr="00CC659A">
              <w:rPr>
                <w:rFonts w:eastAsia="Times New Roman"/>
                <w:color w:val="000000"/>
                <w:sz w:val="16"/>
                <w:szCs w:val="16"/>
                <w:lang w:val="es-ES"/>
              </w:rPr>
              <w:t>0.036</w:t>
            </w:r>
          </w:p>
        </w:tc>
        <w:tc>
          <w:tcPr>
            <w:tcW w:w="420" w:type="pct"/>
            <w:tcBorders>
              <w:top w:val="nil"/>
              <w:left w:val="nil"/>
              <w:bottom w:val="nil"/>
              <w:right w:val="single" w:sz="8" w:space="0" w:color="808080"/>
            </w:tcBorders>
            <w:shd w:val="clear" w:color="auto" w:fill="auto"/>
            <w:vAlign w:val="center"/>
            <w:hideMark/>
          </w:tcPr>
          <w:p w14:paraId="5D1A290A" w14:textId="77777777" w:rsidR="00CC659A" w:rsidRPr="00CC659A" w:rsidRDefault="00CC659A" w:rsidP="00CC659A">
            <w:pPr>
              <w:spacing w:after="0" w:line="240" w:lineRule="auto"/>
              <w:ind w:left="-108"/>
              <w:jc w:val="right"/>
              <w:rPr>
                <w:rFonts w:eastAsia="Times New Roman" w:cs="Arial"/>
                <w:color w:val="000000"/>
                <w:sz w:val="16"/>
                <w:szCs w:val="16"/>
                <w:lang w:val="es-ES"/>
              </w:rPr>
            </w:pPr>
            <w:r w:rsidRPr="00CC659A">
              <w:rPr>
                <w:rFonts w:eastAsia="Times New Roman" w:cs="Arial"/>
                <w:color w:val="000000"/>
                <w:sz w:val="16"/>
                <w:szCs w:val="16"/>
                <w:lang w:val="es-ES"/>
              </w:rPr>
              <w:t xml:space="preserve">0.083 </w:t>
            </w:r>
          </w:p>
        </w:tc>
        <w:tc>
          <w:tcPr>
            <w:tcW w:w="444" w:type="pct"/>
            <w:tcBorders>
              <w:top w:val="nil"/>
              <w:left w:val="nil"/>
              <w:bottom w:val="nil"/>
              <w:right w:val="single" w:sz="4" w:space="0" w:color="808080"/>
            </w:tcBorders>
            <w:shd w:val="clear" w:color="auto" w:fill="auto"/>
            <w:vAlign w:val="center"/>
            <w:hideMark/>
          </w:tcPr>
          <w:p w14:paraId="4FA55673"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7 250 </w:t>
            </w:r>
          </w:p>
        </w:tc>
        <w:tc>
          <w:tcPr>
            <w:tcW w:w="437" w:type="pct"/>
            <w:tcBorders>
              <w:top w:val="nil"/>
              <w:left w:val="nil"/>
              <w:bottom w:val="nil"/>
              <w:right w:val="single" w:sz="8" w:space="0" w:color="808080"/>
            </w:tcBorders>
            <w:shd w:val="clear" w:color="auto" w:fill="auto"/>
            <w:vAlign w:val="center"/>
            <w:hideMark/>
          </w:tcPr>
          <w:p w14:paraId="14F2503F"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2 417 </w:t>
            </w:r>
          </w:p>
        </w:tc>
        <w:tc>
          <w:tcPr>
            <w:tcW w:w="444" w:type="pct"/>
            <w:tcBorders>
              <w:top w:val="nil"/>
              <w:left w:val="nil"/>
              <w:bottom w:val="nil"/>
              <w:right w:val="single" w:sz="4" w:space="0" w:color="808080"/>
            </w:tcBorders>
            <w:shd w:val="clear" w:color="auto" w:fill="auto"/>
            <w:vAlign w:val="center"/>
            <w:hideMark/>
          </w:tcPr>
          <w:p w14:paraId="2EFD4BE4"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8 088 </w:t>
            </w:r>
          </w:p>
        </w:tc>
        <w:tc>
          <w:tcPr>
            <w:tcW w:w="437" w:type="pct"/>
            <w:tcBorders>
              <w:top w:val="nil"/>
              <w:left w:val="nil"/>
              <w:bottom w:val="nil"/>
              <w:right w:val="single" w:sz="8" w:space="0" w:color="808080"/>
            </w:tcBorders>
            <w:shd w:val="clear" w:color="auto" w:fill="auto"/>
            <w:vAlign w:val="center"/>
            <w:hideMark/>
          </w:tcPr>
          <w:p w14:paraId="46553CD9"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2 696 </w:t>
            </w:r>
          </w:p>
        </w:tc>
        <w:tc>
          <w:tcPr>
            <w:tcW w:w="444" w:type="pct"/>
            <w:tcBorders>
              <w:top w:val="nil"/>
              <w:left w:val="nil"/>
              <w:bottom w:val="nil"/>
              <w:right w:val="single" w:sz="4" w:space="0" w:color="808080"/>
            </w:tcBorders>
            <w:shd w:val="clear" w:color="auto" w:fill="auto"/>
            <w:vAlign w:val="center"/>
            <w:hideMark/>
          </w:tcPr>
          <w:p w14:paraId="4F0C3490"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9 470 </w:t>
            </w:r>
          </w:p>
        </w:tc>
        <w:tc>
          <w:tcPr>
            <w:tcW w:w="437" w:type="pct"/>
            <w:tcBorders>
              <w:top w:val="nil"/>
              <w:left w:val="nil"/>
              <w:bottom w:val="nil"/>
              <w:right w:val="single" w:sz="8" w:space="0" w:color="808080"/>
            </w:tcBorders>
            <w:shd w:val="clear" w:color="auto" w:fill="auto"/>
            <w:vAlign w:val="center"/>
            <w:hideMark/>
          </w:tcPr>
          <w:p w14:paraId="22494916"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3 157 </w:t>
            </w:r>
          </w:p>
        </w:tc>
        <w:tc>
          <w:tcPr>
            <w:tcW w:w="444" w:type="pct"/>
            <w:tcBorders>
              <w:top w:val="nil"/>
              <w:left w:val="single" w:sz="4" w:space="0" w:color="808080"/>
              <w:bottom w:val="nil"/>
              <w:right w:val="single" w:sz="8" w:space="0" w:color="808080"/>
            </w:tcBorders>
            <w:shd w:val="clear" w:color="auto" w:fill="auto"/>
            <w:vAlign w:val="center"/>
            <w:hideMark/>
          </w:tcPr>
          <w:p w14:paraId="7085A37C"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9 210 </w:t>
            </w:r>
          </w:p>
        </w:tc>
      </w:tr>
      <w:tr w:rsidR="006D34EE" w:rsidRPr="00CC659A" w14:paraId="07B04192" w14:textId="77777777" w:rsidTr="00477854">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44DD65D4" w14:textId="77777777" w:rsidR="00CC659A" w:rsidRPr="00CC659A" w:rsidRDefault="00CC659A" w:rsidP="00CC659A">
            <w:pPr>
              <w:spacing w:after="0" w:line="240" w:lineRule="auto"/>
              <w:ind w:left="-108"/>
              <w:jc w:val="right"/>
              <w:rPr>
                <w:rFonts w:eastAsia="Times New Roman"/>
                <w:color w:val="000000"/>
                <w:sz w:val="16"/>
                <w:szCs w:val="16"/>
                <w:lang w:val="es-ES"/>
              </w:rPr>
            </w:pPr>
            <w:r w:rsidRPr="00CC659A">
              <w:rPr>
                <w:rFonts w:eastAsia="Times New Roman"/>
                <w:color w:val="000000"/>
                <w:sz w:val="16"/>
                <w:szCs w:val="16"/>
                <w:lang w:val="es-ES"/>
              </w:rPr>
              <w:t>71</w:t>
            </w:r>
          </w:p>
        </w:tc>
        <w:tc>
          <w:tcPr>
            <w:tcW w:w="920" w:type="pct"/>
            <w:tcBorders>
              <w:top w:val="nil"/>
              <w:left w:val="nil"/>
              <w:bottom w:val="nil"/>
              <w:right w:val="nil"/>
            </w:tcBorders>
            <w:shd w:val="clear" w:color="auto" w:fill="auto"/>
            <w:vAlign w:val="center"/>
            <w:hideMark/>
          </w:tcPr>
          <w:p w14:paraId="7C9845E3" w14:textId="3A6C82A3"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Lib</w:t>
            </w:r>
            <w:r w:rsidR="00847CA2">
              <w:rPr>
                <w:rFonts w:eastAsia="Times New Roman"/>
                <w:color w:val="000000"/>
                <w:sz w:val="16"/>
                <w:szCs w:val="16"/>
                <w:lang w:val="es-ES"/>
              </w:rPr>
              <w:t>e</w:t>
            </w:r>
            <w:r w:rsidRPr="00CC659A">
              <w:rPr>
                <w:rFonts w:eastAsia="Times New Roman"/>
                <w:color w:val="000000"/>
                <w:sz w:val="16"/>
                <w:szCs w:val="16"/>
                <w:lang w:val="es-ES"/>
              </w:rPr>
              <w:t>ria</w:t>
            </w:r>
          </w:p>
        </w:tc>
        <w:tc>
          <w:tcPr>
            <w:tcW w:w="404" w:type="pct"/>
            <w:tcBorders>
              <w:top w:val="nil"/>
              <w:left w:val="nil"/>
              <w:bottom w:val="nil"/>
              <w:right w:val="nil"/>
            </w:tcBorders>
            <w:shd w:val="clear" w:color="auto" w:fill="auto"/>
            <w:vAlign w:val="center"/>
            <w:hideMark/>
          </w:tcPr>
          <w:p w14:paraId="78BE076D" w14:textId="77777777" w:rsidR="00CC659A" w:rsidRPr="00CC659A" w:rsidRDefault="00CC659A" w:rsidP="00CC659A">
            <w:pPr>
              <w:spacing w:after="0" w:line="240" w:lineRule="auto"/>
              <w:ind w:left="-108"/>
              <w:jc w:val="center"/>
              <w:rPr>
                <w:rFonts w:eastAsia="Times New Roman"/>
                <w:color w:val="000000"/>
                <w:sz w:val="16"/>
                <w:szCs w:val="16"/>
                <w:lang w:val="es-ES"/>
              </w:rPr>
            </w:pPr>
            <w:r w:rsidRPr="00CC659A">
              <w:rPr>
                <w:rFonts w:eastAsia="Times New Roman"/>
                <w:color w:val="000000"/>
                <w:sz w:val="16"/>
                <w:szCs w:val="16"/>
                <w:lang w:val="es-ES"/>
              </w:rPr>
              <w:t>0.001</w:t>
            </w:r>
          </w:p>
        </w:tc>
        <w:tc>
          <w:tcPr>
            <w:tcW w:w="420" w:type="pct"/>
            <w:tcBorders>
              <w:top w:val="nil"/>
              <w:left w:val="nil"/>
              <w:bottom w:val="nil"/>
              <w:right w:val="single" w:sz="8" w:space="0" w:color="808080"/>
            </w:tcBorders>
            <w:shd w:val="clear" w:color="auto" w:fill="auto"/>
            <w:vAlign w:val="center"/>
            <w:hideMark/>
          </w:tcPr>
          <w:p w14:paraId="2D2FEB71" w14:textId="77777777" w:rsidR="00CC659A" w:rsidRPr="00CC659A" w:rsidRDefault="00CC659A" w:rsidP="00CC659A">
            <w:pPr>
              <w:spacing w:after="0" w:line="240" w:lineRule="auto"/>
              <w:ind w:left="-108"/>
              <w:jc w:val="right"/>
              <w:rPr>
                <w:rFonts w:eastAsia="Times New Roman" w:cs="Arial"/>
                <w:color w:val="000000"/>
                <w:sz w:val="16"/>
                <w:szCs w:val="16"/>
                <w:lang w:val="es-ES"/>
              </w:rPr>
            </w:pPr>
            <w:r w:rsidRPr="00CC659A">
              <w:rPr>
                <w:rFonts w:eastAsia="Times New Roman" w:cs="Arial"/>
                <w:color w:val="000000"/>
                <w:sz w:val="16"/>
                <w:szCs w:val="16"/>
                <w:lang w:val="es-ES"/>
              </w:rPr>
              <w:t xml:space="preserve">0.002 </w:t>
            </w:r>
          </w:p>
        </w:tc>
        <w:tc>
          <w:tcPr>
            <w:tcW w:w="444" w:type="pct"/>
            <w:tcBorders>
              <w:top w:val="nil"/>
              <w:left w:val="nil"/>
              <w:bottom w:val="nil"/>
              <w:right w:val="single" w:sz="4" w:space="0" w:color="808080"/>
            </w:tcBorders>
            <w:shd w:val="clear" w:color="auto" w:fill="auto"/>
            <w:vAlign w:val="center"/>
            <w:hideMark/>
          </w:tcPr>
          <w:p w14:paraId="226817DB"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201 </w:t>
            </w:r>
          </w:p>
        </w:tc>
        <w:tc>
          <w:tcPr>
            <w:tcW w:w="437" w:type="pct"/>
            <w:tcBorders>
              <w:top w:val="nil"/>
              <w:left w:val="nil"/>
              <w:bottom w:val="nil"/>
              <w:right w:val="single" w:sz="8" w:space="0" w:color="808080"/>
            </w:tcBorders>
            <w:shd w:val="clear" w:color="auto" w:fill="auto"/>
            <w:vAlign w:val="center"/>
            <w:hideMark/>
          </w:tcPr>
          <w:p w14:paraId="0E68032E"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67 </w:t>
            </w:r>
          </w:p>
        </w:tc>
        <w:tc>
          <w:tcPr>
            <w:tcW w:w="444" w:type="pct"/>
            <w:tcBorders>
              <w:top w:val="nil"/>
              <w:left w:val="nil"/>
              <w:bottom w:val="nil"/>
              <w:right w:val="single" w:sz="4" w:space="0" w:color="808080"/>
            </w:tcBorders>
            <w:shd w:val="clear" w:color="auto" w:fill="auto"/>
            <w:vAlign w:val="center"/>
            <w:hideMark/>
          </w:tcPr>
          <w:p w14:paraId="474EAE4A"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225 </w:t>
            </w:r>
          </w:p>
        </w:tc>
        <w:tc>
          <w:tcPr>
            <w:tcW w:w="437" w:type="pct"/>
            <w:tcBorders>
              <w:top w:val="nil"/>
              <w:left w:val="nil"/>
              <w:bottom w:val="nil"/>
              <w:right w:val="single" w:sz="8" w:space="0" w:color="808080"/>
            </w:tcBorders>
            <w:shd w:val="clear" w:color="auto" w:fill="auto"/>
            <w:vAlign w:val="center"/>
            <w:hideMark/>
          </w:tcPr>
          <w:p w14:paraId="308117AA"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75 </w:t>
            </w:r>
          </w:p>
        </w:tc>
        <w:tc>
          <w:tcPr>
            <w:tcW w:w="444" w:type="pct"/>
            <w:tcBorders>
              <w:top w:val="nil"/>
              <w:left w:val="nil"/>
              <w:bottom w:val="nil"/>
              <w:right w:val="single" w:sz="4" w:space="0" w:color="808080"/>
            </w:tcBorders>
            <w:shd w:val="clear" w:color="auto" w:fill="auto"/>
            <w:vAlign w:val="center"/>
            <w:hideMark/>
          </w:tcPr>
          <w:p w14:paraId="637592DF"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263 </w:t>
            </w:r>
          </w:p>
        </w:tc>
        <w:tc>
          <w:tcPr>
            <w:tcW w:w="437" w:type="pct"/>
            <w:tcBorders>
              <w:top w:val="nil"/>
              <w:left w:val="nil"/>
              <w:bottom w:val="nil"/>
              <w:right w:val="single" w:sz="8" w:space="0" w:color="808080"/>
            </w:tcBorders>
            <w:shd w:val="clear" w:color="auto" w:fill="auto"/>
            <w:vAlign w:val="center"/>
            <w:hideMark/>
          </w:tcPr>
          <w:p w14:paraId="3090651B"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88 </w:t>
            </w:r>
          </w:p>
        </w:tc>
        <w:tc>
          <w:tcPr>
            <w:tcW w:w="444" w:type="pct"/>
            <w:tcBorders>
              <w:top w:val="nil"/>
              <w:left w:val="single" w:sz="4" w:space="0" w:color="808080"/>
              <w:bottom w:val="nil"/>
              <w:right w:val="single" w:sz="8" w:space="0" w:color="808080"/>
            </w:tcBorders>
            <w:shd w:val="clear" w:color="auto" w:fill="auto"/>
            <w:vAlign w:val="center"/>
            <w:hideMark/>
          </w:tcPr>
          <w:p w14:paraId="2E838C75"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197 </w:t>
            </w:r>
          </w:p>
        </w:tc>
      </w:tr>
      <w:tr w:rsidR="006D34EE" w:rsidRPr="00CC659A" w14:paraId="04A39813" w14:textId="77777777" w:rsidTr="00477854">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0FD02215" w14:textId="77777777" w:rsidR="00CC659A" w:rsidRPr="00CC659A" w:rsidRDefault="00CC659A" w:rsidP="00CC659A">
            <w:pPr>
              <w:spacing w:after="0" w:line="240" w:lineRule="auto"/>
              <w:ind w:left="-108"/>
              <w:jc w:val="right"/>
              <w:rPr>
                <w:rFonts w:eastAsia="Times New Roman"/>
                <w:color w:val="000000"/>
                <w:sz w:val="16"/>
                <w:szCs w:val="16"/>
                <w:lang w:val="es-ES"/>
              </w:rPr>
            </w:pPr>
            <w:r w:rsidRPr="00CC659A">
              <w:rPr>
                <w:rFonts w:eastAsia="Times New Roman"/>
                <w:color w:val="000000"/>
                <w:sz w:val="16"/>
                <w:szCs w:val="16"/>
                <w:lang w:val="es-ES"/>
              </w:rPr>
              <w:t>72</w:t>
            </w:r>
          </w:p>
        </w:tc>
        <w:tc>
          <w:tcPr>
            <w:tcW w:w="920" w:type="pct"/>
            <w:tcBorders>
              <w:top w:val="nil"/>
              <w:left w:val="nil"/>
              <w:bottom w:val="nil"/>
              <w:right w:val="nil"/>
            </w:tcBorders>
            <w:shd w:val="clear" w:color="auto" w:fill="auto"/>
            <w:vAlign w:val="center"/>
            <w:hideMark/>
          </w:tcPr>
          <w:p w14:paraId="3EB84144" w14:textId="25FD44F5" w:rsidR="00CC659A" w:rsidRPr="00CC659A" w:rsidRDefault="00847CA2"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Libia</w:t>
            </w:r>
          </w:p>
        </w:tc>
        <w:tc>
          <w:tcPr>
            <w:tcW w:w="404" w:type="pct"/>
            <w:tcBorders>
              <w:top w:val="nil"/>
              <w:left w:val="nil"/>
              <w:bottom w:val="nil"/>
              <w:right w:val="nil"/>
            </w:tcBorders>
            <w:shd w:val="clear" w:color="auto" w:fill="auto"/>
            <w:vAlign w:val="center"/>
            <w:hideMark/>
          </w:tcPr>
          <w:p w14:paraId="3DACAC0A" w14:textId="77777777" w:rsidR="00CC659A" w:rsidRPr="00CC659A" w:rsidRDefault="00CC659A" w:rsidP="00CC659A">
            <w:pPr>
              <w:spacing w:after="0" w:line="240" w:lineRule="auto"/>
              <w:ind w:left="-108"/>
              <w:jc w:val="center"/>
              <w:rPr>
                <w:rFonts w:eastAsia="Times New Roman"/>
                <w:color w:val="000000"/>
                <w:sz w:val="16"/>
                <w:szCs w:val="16"/>
                <w:lang w:val="es-ES"/>
              </w:rPr>
            </w:pPr>
            <w:r w:rsidRPr="00CC659A">
              <w:rPr>
                <w:rFonts w:eastAsia="Times New Roman"/>
                <w:color w:val="000000"/>
                <w:sz w:val="16"/>
                <w:szCs w:val="16"/>
                <w:lang w:val="es-ES"/>
              </w:rPr>
              <w:t>0.018</w:t>
            </w:r>
          </w:p>
        </w:tc>
        <w:tc>
          <w:tcPr>
            <w:tcW w:w="420" w:type="pct"/>
            <w:tcBorders>
              <w:top w:val="nil"/>
              <w:left w:val="nil"/>
              <w:bottom w:val="nil"/>
              <w:right w:val="single" w:sz="8" w:space="0" w:color="808080"/>
            </w:tcBorders>
            <w:shd w:val="clear" w:color="auto" w:fill="auto"/>
            <w:vAlign w:val="center"/>
            <w:hideMark/>
          </w:tcPr>
          <w:p w14:paraId="2450C969" w14:textId="77777777" w:rsidR="00CC659A" w:rsidRPr="00CC659A" w:rsidRDefault="00CC659A" w:rsidP="00CC659A">
            <w:pPr>
              <w:spacing w:after="0" w:line="240" w:lineRule="auto"/>
              <w:ind w:left="-108"/>
              <w:jc w:val="right"/>
              <w:rPr>
                <w:rFonts w:eastAsia="Times New Roman" w:cs="Arial"/>
                <w:color w:val="000000"/>
                <w:sz w:val="16"/>
                <w:szCs w:val="16"/>
                <w:lang w:val="es-ES"/>
              </w:rPr>
            </w:pPr>
            <w:r w:rsidRPr="00CC659A">
              <w:rPr>
                <w:rFonts w:eastAsia="Times New Roman" w:cs="Arial"/>
                <w:color w:val="000000"/>
                <w:sz w:val="16"/>
                <w:szCs w:val="16"/>
                <w:lang w:val="es-ES"/>
              </w:rPr>
              <w:t xml:space="preserve">0.041 </w:t>
            </w:r>
          </w:p>
        </w:tc>
        <w:tc>
          <w:tcPr>
            <w:tcW w:w="444" w:type="pct"/>
            <w:tcBorders>
              <w:top w:val="nil"/>
              <w:left w:val="nil"/>
              <w:bottom w:val="nil"/>
              <w:right w:val="single" w:sz="4" w:space="0" w:color="808080"/>
            </w:tcBorders>
            <w:shd w:val="clear" w:color="auto" w:fill="auto"/>
            <w:vAlign w:val="center"/>
            <w:hideMark/>
          </w:tcPr>
          <w:p w14:paraId="4A4B8973"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3 625 </w:t>
            </w:r>
          </w:p>
        </w:tc>
        <w:tc>
          <w:tcPr>
            <w:tcW w:w="437" w:type="pct"/>
            <w:tcBorders>
              <w:top w:val="nil"/>
              <w:left w:val="nil"/>
              <w:bottom w:val="nil"/>
              <w:right w:val="single" w:sz="8" w:space="0" w:color="808080"/>
            </w:tcBorders>
            <w:shd w:val="clear" w:color="auto" w:fill="auto"/>
            <w:vAlign w:val="center"/>
            <w:hideMark/>
          </w:tcPr>
          <w:p w14:paraId="4EE4E57B"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1 208 </w:t>
            </w:r>
          </w:p>
        </w:tc>
        <w:tc>
          <w:tcPr>
            <w:tcW w:w="444" w:type="pct"/>
            <w:tcBorders>
              <w:top w:val="nil"/>
              <w:left w:val="nil"/>
              <w:bottom w:val="nil"/>
              <w:right w:val="single" w:sz="4" w:space="0" w:color="808080"/>
            </w:tcBorders>
            <w:shd w:val="clear" w:color="auto" w:fill="auto"/>
            <w:vAlign w:val="center"/>
            <w:hideMark/>
          </w:tcPr>
          <w:p w14:paraId="3E447E52"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4 044 </w:t>
            </w:r>
          </w:p>
        </w:tc>
        <w:tc>
          <w:tcPr>
            <w:tcW w:w="437" w:type="pct"/>
            <w:tcBorders>
              <w:top w:val="nil"/>
              <w:left w:val="nil"/>
              <w:bottom w:val="nil"/>
              <w:right w:val="single" w:sz="8" w:space="0" w:color="808080"/>
            </w:tcBorders>
            <w:shd w:val="clear" w:color="auto" w:fill="auto"/>
            <w:vAlign w:val="center"/>
            <w:hideMark/>
          </w:tcPr>
          <w:p w14:paraId="64AED313"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1 348 </w:t>
            </w:r>
          </w:p>
        </w:tc>
        <w:tc>
          <w:tcPr>
            <w:tcW w:w="444" w:type="pct"/>
            <w:tcBorders>
              <w:top w:val="nil"/>
              <w:left w:val="nil"/>
              <w:bottom w:val="nil"/>
              <w:right w:val="single" w:sz="4" w:space="0" w:color="808080"/>
            </w:tcBorders>
            <w:shd w:val="clear" w:color="auto" w:fill="auto"/>
            <w:vAlign w:val="center"/>
            <w:hideMark/>
          </w:tcPr>
          <w:p w14:paraId="21E45E17"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4 735 </w:t>
            </w:r>
          </w:p>
        </w:tc>
        <w:tc>
          <w:tcPr>
            <w:tcW w:w="437" w:type="pct"/>
            <w:tcBorders>
              <w:top w:val="nil"/>
              <w:left w:val="nil"/>
              <w:bottom w:val="nil"/>
              <w:right w:val="single" w:sz="8" w:space="0" w:color="808080"/>
            </w:tcBorders>
            <w:shd w:val="clear" w:color="auto" w:fill="auto"/>
            <w:vAlign w:val="center"/>
            <w:hideMark/>
          </w:tcPr>
          <w:p w14:paraId="50FA5832"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1 578 </w:t>
            </w:r>
          </w:p>
        </w:tc>
        <w:tc>
          <w:tcPr>
            <w:tcW w:w="444" w:type="pct"/>
            <w:tcBorders>
              <w:top w:val="nil"/>
              <w:left w:val="single" w:sz="4" w:space="0" w:color="808080"/>
              <w:bottom w:val="nil"/>
              <w:right w:val="single" w:sz="8" w:space="0" w:color="808080"/>
            </w:tcBorders>
            <w:shd w:val="clear" w:color="auto" w:fill="auto"/>
            <w:vAlign w:val="center"/>
            <w:hideMark/>
          </w:tcPr>
          <w:p w14:paraId="2F1646B7"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5 879 </w:t>
            </w:r>
          </w:p>
        </w:tc>
      </w:tr>
      <w:tr w:rsidR="006D34EE" w:rsidRPr="00CC659A" w14:paraId="02166259" w14:textId="77777777" w:rsidTr="00477854">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130DD038" w14:textId="77777777" w:rsidR="00CC659A" w:rsidRPr="00CC659A" w:rsidRDefault="00CC659A" w:rsidP="00CC659A">
            <w:pPr>
              <w:spacing w:after="0" w:line="240" w:lineRule="auto"/>
              <w:ind w:left="-108"/>
              <w:jc w:val="right"/>
              <w:rPr>
                <w:rFonts w:eastAsia="Times New Roman"/>
                <w:color w:val="000000"/>
                <w:sz w:val="16"/>
                <w:szCs w:val="16"/>
                <w:lang w:val="es-ES"/>
              </w:rPr>
            </w:pPr>
            <w:r w:rsidRPr="00CC659A">
              <w:rPr>
                <w:rFonts w:eastAsia="Times New Roman"/>
                <w:color w:val="000000"/>
                <w:sz w:val="16"/>
                <w:szCs w:val="16"/>
                <w:lang w:val="es-ES"/>
              </w:rPr>
              <w:t>73</w:t>
            </w:r>
          </w:p>
        </w:tc>
        <w:tc>
          <w:tcPr>
            <w:tcW w:w="920" w:type="pct"/>
            <w:tcBorders>
              <w:top w:val="nil"/>
              <w:left w:val="nil"/>
              <w:bottom w:val="nil"/>
              <w:right w:val="nil"/>
            </w:tcBorders>
            <w:shd w:val="clear" w:color="auto" w:fill="auto"/>
            <w:vAlign w:val="center"/>
            <w:hideMark/>
          </w:tcPr>
          <w:p w14:paraId="13F9BA7B"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Liechtenstein</w:t>
            </w:r>
          </w:p>
        </w:tc>
        <w:tc>
          <w:tcPr>
            <w:tcW w:w="404" w:type="pct"/>
            <w:tcBorders>
              <w:top w:val="nil"/>
              <w:left w:val="nil"/>
              <w:bottom w:val="nil"/>
              <w:right w:val="nil"/>
            </w:tcBorders>
            <w:shd w:val="clear" w:color="auto" w:fill="auto"/>
            <w:vAlign w:val="center"/>
            <w:hideMark/>
          </w:tcPr>
          <w:p w14:paraId="6E73B4C2" w14:textId="77777777" w:rsidR="00CC659A" w:rsidRPr="00CC659A" w:rsidRDefault="00CC659A" w:rsidP="00CC659A">
            <w:pPr>
              <w:spacing w:after="0" w:line="240" w:lineRule="auto"/>
              <w:ind w:left="-108"/>
              <w:jc w:val="center"/>
              <w:rPr>
                <w:rFonts w:eastAsia="Times New Roman"/>
                <w:color w:val="000000"/>
                <w:sz w:val="16"/>
                <w:szCs w:val="16"/>
                <w:lang w:val="es-ES"/>
              </w:rPr>
            </w:pPr>
            <w:r w:rsidRPr="00CC659A">
              <w:rPr>
                <w:rFonts w:eastAsia="Times New Roman"/>
                <w:color w:val="000000"/>
                <w:sz w:val="16"/>
                <w:szCs w:val="16"/>
                <w:lang w:val="es-ES"/>
              </w:rPr>
              <w:t>0.01</w:t>
            </w:r>
          </w:p>
        </w:tc>
        <w:tc>
          <w:tcPr>
            <w:tcW w:w="420" w:type="pct"/>
            <w:tcBorders>
              <w:top w:val="nil"/>
              <w:left w:val="nil"/>
              <w:bottom w:val="nil"/>
              <w:right w:val="single" w:sz="8" w:space="0" w:color="808080"/>
            </w:tcBorders>
            <w:shd w:val="clear" w:color="auto" w:fill="auto"/>
            <w:vAlign w:val="center"/>
            <w:hideMark/>
          </w:tcPr>
          <w:p w14:paraId="67EA5988" w14:textId="77777777" w:rsidR="00CC659A" w:rsidRPr="00CC659A" w:rsidRDefault="00CC659A" w:rsidP="00CC659A">
            <w:pPr>
              <w:spacing w:after="0" w:line="240" w:lineRule="auto"/>
              <w:ind w:left="-108"/>
              <w:jc w:val="right"/>
              <w:rPr>
                <w:rFonts w:eastAsia="Times New Roman" w:cs="Arial"/>
                <w:color w:val="000000"/>
                <w:sz w:val="16"/>
                <w:szCs w:val="16"/>
                <w:lang w:val="es-ES"/>
              </w:rPr>
            </w:pPr>
            <w:r w:rsidRPr="00CC659A">
              <w:rPr>
                <w:rFonts w:eastAsia="Times New Roman" w:cs="Arial"/>
                <w:color w:val="000000"/>
                <w:sz w:val="16"/>
                <w:szCs w:val="16"/>
                <w:lang w:val="es-ES"/>
              </w:rPr>
              <w:t xml:space="preserve">0.023 </w:t>
            </w:r>
          </w:p>
        </w:tc>
        <w:tc>
          <w:tcPr>
            <w:tcW w:w="444" w:type="pct"/>
            <w:tcBorders>
              <w:top w:val="nil"/>
              <w:left w:val="nil"/>
              <w:bottom w:val="nil"/>
              <w:right w:val="single" w:sz="4" w:space="0" w:color="808080"/>
            </w:tcBorders>
            <w:shd w:val="clear" w:color="auto" w:fill="auto"/>
            <w:vAlign w:val="center"/>
            <w:hideMark/>
          </w:tcPr>
          <w:p w14:paraId="24799558"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2 014 </w:t>
            </w:r>
          </w:p>
        </w:tc>
        <w:tc>
          <w:tcPr>
            <w:tcW w:w="437" w:type="pct"/>
            <w:tcBorders>
              <w:top w:val="nil"/>
              <w:left w:val="nil"/>
              <w:bottom w:val="nil"/>
              <w:right w:val="single" w:sz="8" w:space="0" w:color="808080"/>
            </w:tcBorders>
            <w:shd w:val="clear" w:color="auto" w:fill="auto"/>
            <w:vAlign w:val="center"/>
            <w:hideMark/>
          </w:tcPr>
          <w:p w14:paraId="676309C3"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671 </w:t>
            </w:r>
          </w:p>
        </w:tc>
        <w:tc>
          <w:tcPr>
            <w:tcW w:w="444" w:type="pct"/>
            <w:tcBorders>
              <w:top w:val="nil"/>
              <w:left w:val="nil"/>
              <w:bottom w:val="nil"/>
              <w:right w:val="single" w:sz="4" w:space="0" w:color="808080"/>
            </w:tcBorders>
            <w:shd w:val="clear" w:color="auto" w:fill="auto"/>
            <w:vAlign w:val="center"/>
            <w:hideMark/>
          </w:tcPr>
          <w:p w14:paraId="5D7A71E7"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2 247 </w:t>
            </w:r>
          </w:p>
        </w:tc>
        <w:tc>
          <w:tcPr>
            <w:tcW w:w="437" w:type="pct"/>
            <w:tcBorders>
              <w:top w:val="nil"/>
              <w:left w:val="nil"/>
              <w:bottom w:val="nil"/>
              <w:right w:val="single" w:sz="8" w:space="0" w:color="808080"/>
            </w:tcBorders>
            <w:shd w:val="clear" w:color="auto" w:fill="auto"/>
            <w:vAlign w:val="center"/>
            <w:hideMark/>
          </w:tcPr>
          <w:p w14:paraId="3D70929F"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749 </w:t>
            </w:r>
          </w:p>
        </w:tc>
        <w:tc>
          <w:tcPr>
            <w:tcW w:w="444" w:type="pct"/>
            <w:tcBorders>
              <w:top w:val="nil"/>
              <w:left w:val="nil"/>
              <w:bottom w:val="nil"/>
              <w:right w:val="single" w:sz="4" w:space="0" w:color="808080"/>
            </w:tcBorders>
            <w:shd w:val="clear" w:color="auto" w:fill="auto"/>
            <w:vAlign w:val="center"/>
            <w:hideMark/>
          </w:tcPr>
          <w:p w14:paraId="22B5A03A"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2 631 </w:t>
            </w:r>
          </w:p>
        </w:tc>
        <w:tc>
          <w:tcPr>
            <w:tcW w:w="437" w:type="pct"/>
            <w:tcBorders>
              <w:top w:val="nil"/>
              <w:left w:val="nil"/>
              <w:bottom w:val="nil"/>
              <w:right w:val="single" w:sz="8" w:space="0" w:color="808080"/>
            </w:tcBorders>
            <w:shd w:val="clear" w:color="auto" w:fill="auto"/>
            <w:vAlign w:val="center"/>
            <w:hideMark/>
          </w:tcPr>
          <w:p w14:paraId="2CD088F8"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877 </w:t>
            </w:r>
          </w:p>
        </w:tc>
        <w:tc>
          <w:tcPr>
            <w:tcW w:w="444" w:type="pct"/>
            <w:tcBorders>
              <w:top w:val="nil"/>
              <w:left w:val="single" w:sz="4" w:space="0" w:color="808080"/>
              <w:bottom w:val="nil"/>
              <w:right w:val="single" w:sz="8" w:space="0" w:color="808080"/>
            </w:tcBorders>
            <w:shd w:val="clear" w:color="auto" w:fill="auto"/>
            <w:vAlign w:val="center"/>
            <w:hideMark/>
          </w:tcPr>
          <w:p w14:paraId="572358E6"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1 764 </w:t>
            </w:r>
          </w:p>
        </w:tc>
      </w:tr>
      <w:tr w:rsidR="006D34EE" w:rsidRPr="00CC659A" w14:paraId="67F09BA3" w14:textId="77777777" w:rsidTr="00477854">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2FC7AE4D" w14:textId="77777777" w:rsidR="00CC659A" w:rsidRPr="00CC659A" w:rsidRDefault="00CC659A" w:rsidP="00CC659A">
            <w:pPr>
              <w:spacing w:after="0" w:line="240" w:lineRule="auto"/>
              <w:ind w:left="-108"/>
              <w:jc w:val="right"/>
              <w:rPr>
                <w:rFonts w:eastAsia="Times New Roman"/>
                <w:color w:val="000000"/>
                <w:sz w:val="16"/>
                <w:szCs w:val="16"/>
                <w:lang w:val="es-ES"/>
              </w:rPr>
            </w:pPr>
            <w:r w:rsidRPr="00CC659A">
              <w:rPr>
                <w:rFonts w:eastAsia="Times New Roman"/>
                <w:color w:val="000000"/>
                <w:sz w:val="16"/>
                <w:szCs w:val="16"/>
                <w:lang w:val="es-ES"/>
              </w:rPr>
              <w:t>74</w:t>
            </w:r>
          </w:p>
        </w:tc>
        <w:tc>
          <w:tcPr>
            <w:tcW w:w="920" w:type="pct"/>
            <w:tcBorders>
              <w:top w:val="nil"/>
              <w:left w:val="nil"/>
              <w:bottom w:val="nil"/>
              <w:right w:val="nil"/>
            </w:tcBorders>
            <w:shd w:val="clear" w:color="auto" w:fill="auto"/>
            <w:vAlign w:val="center"/>
            <w:hideMark/>
          </w:tcPr>
          <w:p w14:paraId="1A767BC5" w14:textId="626366BA"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Lituani</w:t>
            </w:r>
            <w:r w:rsidR="00847CA2">
              <w:rPr>
                <w:rFonts w:eastAsia="Times New Roman"/>
                <w:color w:val="000000"/>
                <w:sz w:val="16"/>
                <w:szCs w:val="16"/>
                <w:lang w:val="es-ES"/>
              </w:rPr>
              <w:t>a</w:t>
            </w:r>
          </w:p>
        </w:tc>
        <w:tc>
          <w:tcPr>
            <w:tcW w:w="404" w:type="pct"/>
            <w:tcBorders>
              <w:top w:val="nil"/>
              <w:left w:val="nil"/>
              <w:bottom w:val="nil"/>
              <w:right w:val="nil"/>
            </w:tcBorders>
            <w:shd w:val="clear" w:color="auto" w:fill="auto"/>
            <w:vAlign w:val="center"/>
            <w:hideMark/>
          </w:tcPr>
          <w:p w14:paraId="4E76FD19" w14:textId="77777777" w:rsidR="00CC659A" w:rsidRPr="00CC659A" w:rsidRDefault="00CC659A" w:rsidP="00CC659A">
            <w:pPr>
              <w:spacing w:after="0" w:line="240" w:lineRule="auto"/>
              <w:ind w:left="-108"/>
              <w:jc w:val="center"/>
              <w:rPr>
                <w:rFonts w:eastAsia="Times New Roman"/>
                <w:color w:val="000000"/>
                <w:sz w:val="16"/>
                <w:szCs w:val="16"/>
                <w:lang w:val="es-ES"/>
              </w:rPr>
            </w:pPr>
            <w:r w:rsidRPr="00CC659A">
              <w:rPr>
                <w:rFonts w:eastAsia="Times New Roman"/>
                <w:color w:val="000000"/>
                <w:sz w:val="16"/>
                <w:szCs w:val="16"/>
                <w:lang w:val="es-ES"/>
              </w:rPr>
              <w:t>0.077</w:t>
            </w:r>
          </w:p>
        </w:tc>
        <w:tc>
          <w:tcPr>
            <w:tcW w:w="420" w:type="pct"/>
            <w:tcBorders>
              <w:top w:val="nil"/>
              <w:left w:val="nil"/>
              <w:bottom w:val="nil"/>
              <w:right w:val="single" w:sz="8" w:space="0" w:color="808080"/>
            </w:tcBorders>
            <w:shd w:val="clear" w:color="auto" w:fill="auto"/>
            <w:vAlign w:val="center"/>
            <w:hideMark/>
          </w:tcPr>
          <w:p w14:paraId="45D87B54" w14:textId="77777777" w:rsidR="00CC659A" w:rsidRPr="00CC659A" w:rsidRDefault="00CC659A" w:rsidP="00CC659A">
            <w:pPr>
              <w:spacing w:after="0" w:line="240" w:lineRule="auto"/>
              <w:ind w:left="-108"/>
              <w:jc w:val="right"/>
              <w:rPr>
                <w:rFonts w:eastAsia="Times New Roman" w:cs="Arial"/>
                <w:color w:val="000000"/>
                <w:sz w:val="16"/>
                <w:szCs w:val="16"/>
                <w:lang w:val="es-ES"/>
              </w:rPr>
            </w:pPr>
            <w:r w:rsidRPr="00CC659A">
              <w:rPr>
                <w:rFonts w:eastAsia="Times New Roman" w:cs="Arial"/>
                <w:color w:val="000000"/>
                <w:sz w:val="16"/>
                <w:szCs w:val="16"/>
                <w:lang w:val="es-ES"/>
              </w:rPr>
              <w:t xml:space="preserve">0.177 </w:t>
            </w:r>
          </w:p>
        </w:tc>
        <w:tc>
          <w:tcPr>
            <w:tcW w:w="444" w:type="pct"/>
            <w:tcBorders>
              <w:top w:val="nil"/>
              <w:left w:val="nil"/>
              <w:bottom w:val="nil"/>
              <w:right w:val="single" w:sz="4" w:space="0" w:color="808080"/>
            </w:tcBorders>
            <w:shd w:val="clear" w:color="auto" w:fill="auto"/>
            <w:vAlign w:val="center"/>
            <w:hideMark/>
          </w:tcPr>
          <w:p w14:paraId="1D0017CA"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15 508 </w:t>
            </w:r>
          </w:p>
        </w:tc>
        <w:tc>
          <w:tcPr>
            <w:tcW w:w="437" w:type="pct"/>
            <w:tcBorders>
              <w:top w:val="nil"/>
              <w:left w:val="nil"/>
              <w:bottom w:val="nil"/>
              <w:right w:val="single" w:sz="8" w:space="0" w:color="808080"/>
            </w:tcBorders>
            <w:shd w:val="clear" w:color="auto" w:fill="auto"/>
            <w:vAlign w:val="center"/>
            <w:hideMark/>
          </w:tcPr>
          <w:p w14:paraId="279D64CB"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5 169 </w:t>
            </w:r>
          </w:p>
        </w:tc>
        <w:tc>
          <w:tcPr>
            <w:tcW w:w="444" w:type="pct"/>
            <w:tcBorders>
              <w:top w:val="nil"/>
              <w:left w:val="nil"/>
              <w:bottom w:val="nil"/>
              <w:right w:val="single" w:sz="4" w:space="0" w:color="808080"/>
            </w:tcBorders>
            <w:shd w:val="clear" w:color="auto" w:fill="auto"/>
            <w:vAlign w:val="center"/>
            <w:hideMark/>
          </w:tcPr>
          <w:p w14:paraId="5C30935D"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17 300 </w:t>
            </w:r>
          </w:p>
        </w:tc>
        <w:tc>
          <w:tcPr>
            <w:tcW w:w="437" w:type="pct"/>
            <w:tcBorders>
              <w:top w:val="nil"/>
              <w:left w:val="nil"/>
              <w:bottom w:val="nil"/>
              <w:right w:val="single" w:sz="8" w:space="0" w:color="808080"/>
            </w:tcBorders>
            <w:shd w:val="clear" w:color="auto" w:fill="auto"/>
            <w:vAlign w:val="center"/>
            <w:hideMark/>
          </w:tcPr>
          <w:p w14:paraId="4E924BE6"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5 767 </w:t>
            </w:r>
          </w:p>
        </w:tc>
        <w:tc>
          <w:tcPr>
            <w:tcW w:w="444" w:type="pct"/>
            <w:tcBorders>
              <w:top w:val="nil"/>
              <w:left w:val="nil"/>
              <w:bottom w:val="nil"/>
              <w:right w:val="single" w:sz="4" w:space="0" w:color="808080"/>
            </w:tcBorders>
            <w:shd w:val="clear" w:color="auto" w:fill="auto"/>
            <w:vAlign w:val="center"/>
            <w:hideMark/>
          </w:tcPr>
          <w:p w14:paraId="5D768CB9"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20 256 </w:t>
            </w:r>
          </w:p>
        </w:tc>
        <w:tc>
          <w:tcPr>
            <w:tcW w:w="437" w:type="pct"/>
            <w:tcBorders>
              <w:top w:val="nil"/>
              <w:left w:val="nil"/>
              <w:bottom w:val="nil"/>
              <w:right w:val="single" w:sz="8" w:space="0" w:color="808080"/>
            </w:tcBorders>
            <w:shd w:val="clear" w:color="auto" w:fill="auto"/>
            <w:vAlign w:val="center"/>
            <w:hideMark/>
          </w:tcPr>
          <w:p w14:paraId="28016AB4"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6 752 </w:t>
            </w:r>
          </w:p>
        </w:tc>
        <w:tc>
          <w:tcPr>
            <w:tcW w:w="444" w:type="pct"/>
            <w:tcBorders>
              <w:top w:val="nil"/>
              <w:left w:val="single" w:sz="4" w:space="0" w:color="808080"/>
              <w:bottom w:val="nil"/>
              <w:right w:val="single" w:sz="8" w:space="0" w:color="808080"/>
            </w:tcBorders>
            <w:shd w:val="clear" w:color="auto" w:fill="auto"/>
            <w:vAlign w:val="center"/>
            <w:hideMark/>
          </w:tcPr>
          <w:p w14:paraId="59673888"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13 913 </w:t>
            </w:r>
          </w:p>
        </w:tc>
      </w:tr>
      <w:tr w:rsidR="006D34EE" w:rsidRPr="00CC659A" w14:paraId="5EB6B5A1" w14:textId="77777777" w:rsidTr="00477854">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148F9B14" w14:textId="77777777" w:rsidR="00CC659A" w:rsidRPr="00CC659A" w:rsidRDefault="00CC659A" w:rsidP="00CC659A">
            <w:pPr>
              <w:spacing w:after="0" w:line="240" w:lineRule="auto"/>
              <w:ind w:left="-108"/>
              <w:jc w:val="right"/>
              <w:rPr>
                <w:rFonts w:eastAsia="Times New Roman"/>
                <w:color w:val="000000"/>
                <w:sz w:val="16"/>
                <w:szCs w:val="16"/>
                <w:lang w:val="es-ES"/>
              </w:rPr>
            </w:pPr>
            <w:r w:rsidRPr="00CC659A">
              <w:rPr>
                <w:rFonts w:eastAsia="Times New Roman"/>
                <w:color w:val="000000"/>
                <w:sz w:val="16"/>
                <w:szCs w:val="16"/>
                <w:lang w:val="es-ES"/>
              </w:rPr>
              <w:t>75</w:t>
            </w:r>
          </w:p>
        </w:tc>
        <w:tc>
          <w:tcPr>
            <w:tcW w:w="920" w:type="pct"/>
            <w:tcBorders>
              <w:top w:val="nil"/>
              <w:left w:val="nil"/>
              <w:bottom w:val="nil"/>
              <w:right w:val="nil"/>
            </w:tcBorders>
            <w:shd w:val="clear" w:color="auto" w:fill="auto"/>
            <w:vAlign w:val="center"/>
            <w:hideMark/>
          </w:tcPr>
          <w:p w14:paraId="643D0017" w14:textId="41801E26"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Luxemburg</w:t>
            </w:r>
            <w:r w:rsidR="00847CA2">
              <w:rPr>
                <w:rFonts w:eastAsia="Times New Roman"/>
                <w:color w:val="000000"/>
                <w:sz w:val="16"/>
                <w:szCs w:val="16"/>
                <w:lang w:val="es-ES"/>
              </w:rPr>
              <w:t>o</w:t>
            </w:r>
          </w:p>
        </w:tc>
        <w:tc>
          <w:tcPr>
            <w:tcW w:w="404" w:type="pct"/>
            <w:tcBorders>
              <w:top w:val="nil"/>
              <w:left w:val="nil"/>
              <w:bottom w:val="nil"/>
              <w:right w:val="nil"/>
            </w:tcBorders>
            <w:shd w:val="clear" w:color="auto" w:fill="auto"/>
            <w:vAlign w:val="center"/>
            <w:hideMark/>
          </w:tcPr>
          <w:p w14:paraId="13396A8B" w14:textId="77777777" w:rsidR="00CC659A" w:rsidRPr="00CC659A" w:rsidRDefault="00CC659A" w:rsidP="00CC659A">
            <w:pPr>
              <w:spacing w:after="0" w:line="240" w:lineRule="auto"/>
              <w:ind w:left="-108"/>
              <w:jc w:val="center"/>
              <w:rPr>
                <w:rFonts w:eastAsia="Times New Roman"/>
                <w:color w:val="000000"/>
                <w:sz w:val="16"/>
                <w:szCs w:val="16"/>
                <w:lang w:val="es-ES"/>
              </w:rPr>
            </w:pPr>
            <w:r w:rsidRPr="00CC659A">
              <w:rPr>
                <w:rFonts w:eastAsia="Times New Roman"/>
                <w:color w:val="000000"/>
                <w:sz w:val="16"/>
                <w:szCs w:val="16"/>
                <w:lang w:val="es-ES"/>
              </w:rPr>
              <w:t>0.068</w:t>
            </w:r>
          </w:p>
        </w:tc>
        <w:tc>
          <w:tcPr>
            <w:tcW w:w="420" w:type="pct"/>
            <w:tcBorders>
              <w:top w:val="nil"/>
              <w:left w:val="nil"/>
              <w:bottom w:val="nil"/>
              <w:right w:val="single" w:sz="8" w:space="0" w:color="808080"/>
            </w:tcBorders>
            <w:shd w:val="clear" w:color="auto" w:fill="auto"/>
            <w:vAlign w:val="center"/>
            <w:hideMark/>
          </w:tcPr>
          <w:p w14:paraId="1CB91776" w14:textId="77777777" w:rsidR="00CC659A" w:rsidRPr="00CC659A" w:rsidRDefault="00CC659A" w:rsidP="00CC659A">
            <w:pPr>
              <w:spacing w:after="0" w:line="240" w:lineRule="auto"/>
              <w:ind w:left="-108"/>
              <w:jc w:val="right"/>
              <w:rPr>
                <w:rFonts w:eastAsia="Times New Roman" w:cs="Arial"/>
                <w:color w:val="000000"/>
                <w:sz w:val="16"/>
                <w:szCs w:val="16"/>
                <w:lang w:val="es-ES"/>
              </w:rPr>
            </w:pPr>
            <w:r w:rsidRPr="00CC659A">
              <w:rPr>
                <w:rFonts w:eastAsia="Times New Roman" w:cs="Arial"/>
                <w:color w:val="000000"/>
                <w:sz w:val="16"/>
                <w:szCs w:val="16"/>
                <w:lang w:val="es-ES"/>
              </w:rPr>
              <w:t xml:space="preserve">0.156 </w:t>
            </w:r>
          </w:p>
        </w:tc>
        <w:tc>
          <w:tcPr>
            <w:tcW w:w="444" w:type="pct"/>
            <w:tcBorders>
              <w:top w:val="nil"/>
              <w:left w:val="nil"/>
              <w:bottom w:val="nil"/>
              <w:right w:val="single" w:sz="4" w:space="0" w:color="808080"/>
            </w:tcBorders>
            <w:shd w:val="clear" w:color="auto" w:fill="auto"/>
            <w:vAlign w:val="center"/>
            <w:hideMark/>
          </w:tcPr>
          <w:p w14:paraId="03C5CFDB"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13 695 </w:t>
            </w:r>
          </w:p>
        </w:tc>
        <w:tc>
          <w:tcPr>
            <w:tcW w:w="437" w:type="pct"/>
            <w:tcBorders>
              <w:top w:val="nil"/>
              <w:left w:val="nil"/>
              <w:bottom w:val="nil"/>
              <w:right w:val="single" w:sz="8" w:space="0" w:color="808080"/>
            </w:tcBorders>
            <w:shd w:val="clear" w:color="auto" w:fill="auto"/>
            <w:vAlign w:val="center"/>
            <w:hideMark/>
          </w:tcPr>
          <w:p w14:paraId="56C3AAB2"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4 565 </w:t>
            </w:r>
          </w:p>
        </w:tc>
        <w:tc>
          <w:tcPr>
            <w:tcW w:w="444" w:type="pct"/>
            <w:tcBorders>
              <w:top w:val="nil"/>
              <w:left w:val="nil"/>
              <w:bottom w:val="nil"/>
              <w:right w:val="single" w:sz="4" w:space="0" w:color="808080"/>
            </w:tcBorders>
            <w:shd w:val="clear" w:color="auto" w:fill="auto"/>
            <w:vAlign w:val="center"/>
            <w:hideMark/>
          </w:tcPr>
          <w:p w14:paraId="2B7859F7"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15 278 </w:t>
            </w:r>
          </w:p>
        </w:tc>
        <w:tc>
          <w:tcPr>
            <w:tcW w:w="437" w:type="pct"/>
            <w:tcBorders>
              <w:top w:val="nil"/>
              <w:left w:val="nil"/>
              <w:bottom w:val="nil"/>
              <w:right w:val="single" w:sz="8" w:space="0" w:color="808080"/>
            </w:tcBorders>
            <w:shd w:val="clear" w:color="auto" w:fill="auto"/>
            <w:vAlign w:val="center"/>
            <w:hideMark/>
          </w:tcPr>
          <w:p w14:paraId="43201067"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5 093 </w:t>
            </w:r>
          </w:p>
        </w:tc>
        <w:tc>
          <w:tcPr>
            <w:tcW w:w="444" w:type="pct"/>
            <w:tcBorders>
              <w:top w:val="nil"/>
              <w:left w:val="nil"/>
              <w:bottom w:val="nil"/>
              <w:right w:val="single" w:sz="4" w:space="0" w:color="808080"/>
            </w:tcBorders>
            <w:shd w:val="clear" w:color="auto" w:fill="auto"/>
            <w:vAlign w:val="center"/>
            <w:hideMark/>
          </w:tcPr>
          <w:p w14:paraId="402217AF"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17 888 </w:t>
            </w:r>
          </w:p>
        </w:tc>
        <w:tc>
          <w:tcPr>
            <w:tcW w:w="437" w:type="pct"/>
            <w:tcBorders>
              <w:top w:val="nil"/>
              <w:left w:val="nil"/>
              <w:bottom w:val="nil"/>
              <w:right w:val="single" w:sz="8" w:space="0" w:color="808080"/>
            </w:tcBorders>
            <w:shd w:val="clear" w:color="auto" w:fill="auto"/>
            <w:vAlign w:val="center"/>
            <w:hideMark/>
          </w:tcPr>
          <w:p w14:paraId="76F36D5C"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5 963 </w:t>
            </w:r>
          </w:p>
        </w:tc>
        <w:tc>
          <w:tcPr>
            <w:tcW w:w="444" w:type="pct"/>
            <w:tcBorders>
              <w:top w:val="nil"/>
              <w:left w:val="single" w:sz="4" w:space="0" w:color="808080"/>
              <w:bottom w:val="nil"/>
              <w:right w:val="single" w:sz="8" w:space="0" w:color="808080"/>
            </w:tcBorders>
            <w:shd w:val="clear" w:color="auto" w:fill="auto"/>
            <w:vAlign w:val="center"/>
            <w:hideMark/>
          </w:tcPr>
          <w:p w14:paraId="73B76BFD"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13 130 </w:t>
            </w:r>
          </w:p>
        </w:tc>
      </w:tr>
      <w:tr w:rsidR="006D34EE" w:rsidRPr="00CC659A" w14:paraId="519D5DDD" w14:textId="77777777" w:rsidTr="00477854">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2262D0E9" w14:textId="77777777" w:rsidR="00CC659A" w:rsidRPr="00CC659A" w:rsidRDefault="00CC659A" w:rsidP="00CC659A">
            <w:pPr>
              <w:spacing w:after="0" w:line="240" w:lineRule="auto"/>
              <w:ind w:left="-108"/>
              <w:jc w:val="right"/>
              <w:rPr>
                <w:rFonts w:eastAsia="Times New Roman"/>
                <w:color w:val="000000"/>
                <w:sz w:val="16"/>
                <w:szCs w:val="16"/>
                <w:lang w:val="es-ES"/>
              </w:rPr>
            </w:pPr>
            <w:r w:rsidRPr="00CC659A">
              <w:rPr>
                <w:rFonts w:eastAsia="Times New Roman"/>
                <w:color w:val="000000"/>
                <w:sz w:val="16"/>
                <w:szCs w:val="16"/>
                <w:lang w:val="es-ES"/>
              </w:rPr>
              <w:t>76</w:t>
            </w:r>
          </w:p>
        </w:tc>
        <w:tc>
          <w:tcPr>
            <w:tcW w:w="920" w:type="pct"/>
            <w:tcBorders>
              <w:top w:val="nil"/>
              <w:left w:val="nil"/>
              <w:bottom w:val="nil"/>
              <w:right w:val="nil"/>
            </w:tcBorders>
            <w:shd w:val="clear" w:color="auto" w:fill="auto"/>
            <w:vAlign w:val="center"/>
            <w:hideMark/>
          </w:tcPr>
          <w:p w14:paraId="43F531F1"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Madagascar</w:t>
            </w:r>
          </w:p>
        </w:tc>
        <w:tc>
          <w:tcPr>
            <w:tcW w:w="404" w:type="pct"/>
            <w:tcBorders>
              <w:top w:val="nil"/>
              <w:left w:val="nil"/>
              <w:bottom w:val="nil"/>
              <w:right w:val="nil"/>
            </w:tcBorders>
            <w:shd w:val="clear" w:color="auto" w:fill="auto"/>
            <w:vAlign w:val="center"/>
            <w:hideMark/>
          </w:tcPr>
          <w:p w14:paraId="3089C657" w14:textId="77777777" w:rsidR="00CC659A" w:rsidRPr="00CC659A" w:rsidRDefault="00CC659A" w:rsidP="00CC659A">
            <w:pPr>
              <w:spacing w:after="0" w:line="240" w:lineRule="auto"/>
              <w:ind w:left="-108"/>
              <w:jc w:val="center"/>
              <w:rPr>
                <w:rFonts w:eastAsia="Times New Roman"/>
                <w:color w:val="000000"/>
                <w:sz w:val="16"/>
                <w:szCs w:val="16"/>
                <w:lang w:val="es-ES"/>
              </w:rPr>
            </w:pPr>
            <w:r w:rsidRPr="00CC659A">
              <w:rPr>
                <w:rFonts w:eastAsia="Times New Roman"/>
                <w:color w:val="000000"/>
                <w:sz w:val="16"/>
                <w:szCs w:val="16"/>
                <w:lang w:val="es-ES"/>
              </w:rPr>
              <w:t>0.004</w:t>
            </w:r>
          </w:p>
        </w:tc>
        <w:tc>
          <w:tcPr>
            <w:tcW w:w="420" w:type="pct"/>
            <w:tcBorders>
              <w:top w:val="nil"/>
              <w:left w:val="nil"/>
              <w:bottom w:val="nil"/>
              <w:right w:val="single" w:sz="8" w:space="0" w:color="808080"/>
            </w:tcBorders>
            <w:shd w:val="clear" w:color="auto" w:fill="auto"/>
            <w:vAlign w:val="center"/>
            <w:hideMark/>
          </w:tcPr>
          <w:p w14:paraId="308ABEA4" w14:textId="77777777" w:rsidR="00CC659A" w:rsidRPr="00CC659A" w:rsidRDefault="00CC659A" w:rsidP="00CC659A">
            <w:pPr>
              <w:spacing w:after="0" w:line="240" w:lineRule="auto"/>
              <w:ind w:left="-108"/>
              <w:jc w:val="right"/>
              <w:rPr>
                <w:rFonts w:eastAsia="Times New Roman" w:cs="Arial"/>
                <w:color w:val="000000"/>
                <w:sz w:val="16"/>
                <w:szCs w:val="16"/>
                <w:lang w:val="es-ES"/>
              </w:rPr>
            </w:pPr>
            <w:r w:rsidRPr="00CC659A">
              <w:rPr>
                <w:rFonts w:eastAsia="Times New Roman" w:cs="Arial"/>
                <w:color w:val="000000"/>
                <w:sz w:val="16"/>
                <w:szCs w:val="16"/>
                <w:lang w:val="es-ES"/>
              </w:rPr>
              <w:t xml:space="preserve">0.009 </w:t>
            </w:r>
          </w:p>
        </w:tc>
        <w:tc>
          <w:tcPr>
            <w:tcW w:w="444" w:type="pct"/>
            <w:tcBorders>
              <w:top w:val="nil"/>
              <w:left w:val="nil"/>
              <w:bottom w:val="nil"/>
              <w:right w:val="single" w:sz="4" w:space="0" w:color="808080"/>
            </w:tcBorders>
            <w:shd w:val="clear" w:color="auto" w:fill="auto"/>
            <w:vAlign w:val="center"/>
            <w:hideMark/>
          </w:tcPr>
          <w:p w14:paraId="55C0548C"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806 </w:t>
            </w:r>
          </w:p>
        </w:tc>
        <w:tc>
          <w:tcPr>
            <w:tcW w:w="437" w:type="pct"/>
            <w:tcBorders>
              <w:top w:val="nil"/>
              <w:left w:val="nil"/>
              <w:bottom w:val="nil"/>
              <w:right w:val="single" w:sz="8" w:space="0" w:color="808080"/>
            </w:tcBorders>
            <w:shd w:val="clear" w:color="auto" w:fill="auto"/>
            <w:vAlign w:val="center"/>
            <w:hideMark/>
          </w:tcPr>
          <w:p w14:paraId="4E7856D3"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269 </w:t>
            </w:r>
          </w:p>
        </w:tc>
        <w:tc>
          <w:tcPr>
            <w:tcW w:w="444" w:type="pct"/>
            <w:tcBorders>
              <w:top w:val="nil"/>
              <w:left w:val="nil"/>
              <w:bottom w:val="nil"/>
              <w:right w:val="single" w:sz="4" w:space="0" w:color="808080"/>
            </w:tcBorders>
            <w:shd w:val="clear" w:color="auto" w:fill="auto"/>
            <w:vAlign w:val="center"/>
            <w:hideMark/>
          </w:tcPr>
          <w:p w14:paraId="79A7BFEE"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899 </w:t>
            </w:r>
          </w:p>
        </w:tc>
        <w:tc>
          <w:tcPr>
            <w:tcW w:w="437" w:type="pct"/>
            <w:tcBorders>
              <w:top w:val="nil"/>
              <w:left w:val="nil"/>
              <w:bottom w:val="nil"/>
              <w:right w:val="single" w:sz="8" w:space="0" w:color="808080"/>
            </w:tcBorders>
            <w:shd w:val="clear" w:color="auto" w:fill="auto"/>
            <w:vAlign w:val="center"/>
            <w:hideMark/>
          </w:tcPr>
          <w:p w14:paraId="337B0127"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300 </w:t>
            </w:r>
          </w:p>
        </w:tc>
        <w:tc>
          <w:tcPr>
            <w:tcW w:w="444" w:type="pct"/>
            <w:tcBorders>
              <w:top w:val="nil"/>
              <w:left w:val="nil"/>
              <w:bottom w:val="nil"/>
              <w:right w:val="single" w:sz="4" w:space="0" w:color="808080"/>
            </w:tcBorders>
            <w:shd w:val="clear" w:color="auto" w:fill="auto"/>
            <w:vAlign w:val="center"/>
            <w:hideMark/>
          </w:tcPr>
          <w:p w14:paraId="10E7FA08"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1 052 </w:t>
            </w:r>
          </w:p>
        </w:tc>
        <w:tc>
          <w:tcPr>
            <w:tcW w:w="437" w:type="pct"/>
            <w:tcBorders>
              <w:top w:val="nil"/>
              <w:left w:val="nil"/>
              <w:bottom w:val="nil"/>
              <w:right w:val="single" w:sz="8" w:space="0" w:color="808080"/>
            </w:tcBorders>
            <w:shd w:val="clear" w:color="auto" w:fill="auto"/>
            <w:vAlign w:val="center"/>
            <w:hideMark/>
          </w:tcPr>
          <w:p w14:paraId="2E6FB59C"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351 </w:t>
            </w:r>
          </w:p>
        </w:tc>
        <w:tc>
          <w:tcPr>
            <w:tcW w:w="444" w:type="pct"/>
            <w:tcBorders>
              <w:top w:val="nil"/>
              <w:left w:val="single" w:sz="4" w:space="0" w:color="808080"/>
              <w:bottom w:val="nil"/>
              <w:right w:val="single" w:sz="8" w:space="0" w:color="808080"/>
            </w:tcBorders>
            <w:shd w:val="clear" w:color="auto" w:fill="auto"/>
            <w:vAlign w:val="center"/>
            <w:hideMark/>
          </w:tcPr>
          <w:p w14:paraId="0E96FE10"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784 </w:t>
            </w:r>
          </w:p>
        </w:tc>
      </w:tr>
      <w:tr w:rsidR="006D34EE" w:rsidRPr="00CC659A" w14:paraId="2FD2A558" w14:textId="77777777" w:rsidTr="00477854">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1D26CE04" w14:textId="77777777" w:rsidR="00CC659A" w:rsidRPr="00CC659A" w:rsidRDefault="00CC659A" w:rsidP="00CC659A">
            <w:pPr>
              <w:spacing w:after="0" w:line="240" w:lineRule="auto"/>
              <w:ind w:left="-108"/>
              <w:jc w:val="right"/>
              <w:rPr>
                <w:rFonts w:eastAsia="Times New Roman"/>
                <w:color w:val="000000"/>
                <w:sz w:val="16"/>
                <w:szCs w:val="16"/>
                <w:lang w:val="es-ES"/>
              </w:rPr>
            </w:pPr>
            <w:r w:rsidRPr="00CC659A">
              <w:rPr>
                <w:rFonts w:eastAsia="Times New Roman"/>
                <w:color w:val="000000"/>
                <w:sz w:val="16"/>
                <w:szCs w:val="16"/>
                <w:lang w:val="es-ES"/>
              </w:rPr>
              <w:t>77</w:t>
            </w:r>
          </w:p>
        </w:tc>
        <w:tc>
          <w:tcPr>
            <w:tcW w:w="920" w:type="pct"/>
            <w:tcBorders>
              <w:top w:val="nil"/>
              <w:left w:val="nil"/>
              <w:bottom w:val="nil"/>
              <w:right w:val="nil"/>
            </w:tcBorders>
            <w:shd w:val="clear" w:color="auto" w:fill="auto"/>
            <w:vAlign w:val="center"/>
            <w:hideMark/>
          </w:tcPr>
          <w:p w14:paraId="74BA240D"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Malawi</w:t>
            </w:r>
          </w:p>
        </w:tc>
        <w:tc>
          <w:tcPr>
            <w:tcW w:w="404" w:type="pct"/>
            <w:tcBorders>
              <w:top w:val="nil"/>
              <w:left w:val="nil"/>
              <w:bottom w:val="nil"/>
              <w:right w:val="nil"/>
            </w:tcBorders>
            <w:shd w:val="clear" w:color="auto" w:fill="auto"/>
            <w:vAlign w:val="center"/>
            <w:hideMark/>
          </w:tcPr>
          <w:p w14:paraId="2405F432" w14:textId="77777777" w:rsidR="00CC659A" w:rsidRPr="00CC659A" w:rsidRDefault="00CC659A" w:rsidP="00CC659A">
            <w:pPr>
              <w:spacing w:after="0" w:line="240" w:lineRule="auto"/>
              <w:ind w:left="-108"/>
              <w:jc w:val="center"/>
              <w:rPr>
                <w:rFonts w:eastAsia="Times New Roman"/>
                <w:color w:val="000000"/>
                <w:sz w:val="16"/>
                <w:szCs w:val="16"/>
                <w:lang w:val="es-ES"/>
              </w:rPr>
            </w:pPr>
            <w:r w:rsidRPr="00CC659A">
              <w:rPr>
                <w:rFonts w:eastAsia="Times New Roman"/>
                <w:color w:val="000000"/>
                <w:sz w:val="16"/>
                <w:szCs w:val="16"/>
                <w:lang w:val="es-ES"/>
              </w:rPr>
              <w:t>0.002</w:t>
            </w:r>
          </w:p>
        </w:tc>
        <w:tc>
          <w:tcPr>
            <w:tcW w:w="420" w:type="pct"/>
            <w:tcBorders>
              <w:top w:val="nil"/>
              <w:left w:val="nil"/>
              <w:bottom w:val="nil"/>
              <w:right w:val="single" w:sz="8" w:space="0" w:color="808080"/>
            </w:tcBorders>
            <w:shd w:val="clear" w:color="auto" w:fill="auto"/>
            <w:vAlign w:val="center"/>
            <w:hideMark/>
          </w:tcPr>
          <w:p w14:paraId="1375E42E" w14:textId="77777777" w:rsidR="00CC659A" w:rsidRPr="00CC659A" w:rsidRDefault="00CC659A" w:rsidP="00CC659A">
            <w:pPr>
              <w:spacing w:after="0" w:line="240" w:lineRule="auto"/>
              <w:ind w:left="-108"/>
              <w:jc w:val="right"/>
              <w:rPr>
                <w:rFonts w:eastAsia="Times New Roman" w:cs="Arial"/>
                <w:color w:val="000000"/>
                <w:sz w:val="16"/>
                <w:szCs w:val="16"/>
                <w:lang w:val="es-ES"/>
              </w:rPr>
            </w:pPr>
            <w:r w:rsidRPr="00CC659A">
              <w:rPr>
                <w:rFonts w:eastAsia="Times New Roman" w:cs="Arial"/>
                <w:color w:val="000000"/>
                <w:sz w:val="16"/>
                <w:szCs w:val="16"/>
                <w:lang w:val="es-ES"/>
              </w:rPr>
              <w:t xml:space="preserve">0.005 </w:t>
            </w:r>
          </w:p>
        </w:tc>
        <w:tc>
          <w:tcPr>
            <w:tcW w:w="444" w:type="pct"/>
            <w:tcBorders>
              <w:top w:val="nil"/>
              <w:left w:val="nil"/>
              <w:bottom w:val="nil"/>
              <w:right w:val="single" w:sz="4" w:space="0" w:color="808080"/>
            </w:tcBorders>
            <w:shd w:val="clear" w:color="auto" w:fill="auto"/>
            <w:vAlign w:val="center"/>
            <w:hideMark/>
          </w:tcPr>
          <w:p w14:paraId="2CBF6D2A"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403 </w:t>
            </w:r>
          </w:p>
        </w:tc>
        <w:tc>
          <w:tcPr>
            <w:tcW w:w="437" w:type="pct"/>
            <w:tcBorders>
              <w:top w:val="nil"/>
              <w:left w:val="nil"/>
              <w:bottom w:val="nil"/>
              <w:right w:val="single" w:sz="8" w:space="0" w:color="808080"/>
            </w:tcBorders>
            <w:shd w:val="clear" w:color="auto" w:fill="auto"/>
            <w:vAlign w:val="center"/>
            <w:hideMark/>
          </w:tcPr>
          <w:p w14:paraId="46CB9D6E"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134 </w:t>
            </w:r>
          </w:p>
        </w:tc>
        <w:tc>
          <w:tcPr>
            <w:tcW w:w="444" w:type="pct"/>
            <w:tcBorders>
              <w:top w:val="nil"/>
              <w:left w:val="nil"/>
              <w:bottom w:val="nil"/>
              <w:right w:val="single" w:sz="4" w:space="0" w:color="808080"/>
            </w:tcBorders>
            <w:shd w:val="clear" w:color="auto" w:fill="auto"/>
            <w:vAlign w:val="center"/>
            <w:hideMark/>
          </w:tcPr>
          <w:p w14:paraId="0C634F25"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449 </w:t>
            </w:r>
          </w:p>
        </w:tc>
        <w:tc>
          <w:tcPr>
            <w:tcW w:w="437" w:type="pct"/>
            <w:tcBorders>
              <w:top w:val="nil"/>
              <w:left w:val="nil"/>
              <w:bottom w:val="nil"/>
              <w:right w:val="single" w:sz="8" w:space="0" w:color="808080"/>
            </w:tcBorders>
            <w:shd w:val="clear" w:color="auto" w:fill="auto"/>
            <w:vAlign w:val="center"/>
            <w:hideMark/>
          </w:tcPr>
          <w:p w14:paraId="58DFEB2C"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150 </w:t>
            </w:r>
          </w:p>
        </w:tc>
        <w:tc>
          <w:tcPr>
            <w:tcW w:w="444" w:type="pct"/>
            <w:tcBorders>
              <w:top w:val="nil"/>
              <w:left w:val="nil"/>
              <w:bottom w:val="nil"/>
              <w:right w:val="single" w:sz="4" w:space="0" w:color="808080"/>
            </w:tcBorders>
            <w:shd w:val="clear" w:color="auto" w:fill="auto"/>
            <w:vAlign w:val="center"/>
            <w:hideMark/>
          </w:tcPr>
          <w:p w14:paraId="214DE1AF"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526 </w:t>
            </w:r>
          </w:p>
        </w:tc>
        <w:tc>
          <w:tcPr>
            <w:tcW w:w="437" w:type="pct"/>
            <w:tcBorders>
              <w:top w:val="nil"/>
              <w:left w:val="nil"/>
              <w:bottom w:val="nil"/>
              <w:right w:val="single" w:sz="8" w:space="0" w:color="808080"/>
            </w:tcBorders>
            <w:shd w:val="clear" w:color="auto" w:fill="auto"/>
            <w:vAlign w:val="center"/>
            <w:hideMark/>
          </w:tcPr>
          <w:p w14:paraId="43D7C33A"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175 </w:t>
            </w:r>
          </w:p>
        </w:tc>
        <w:tc>
          <w:tcPr>
            <w:tcW w:w="444" w:type="pct"/>
            <w:tcBorders>
              <w:top w:val="nil"/>
              <w:left w:val="single" w:sz="4" w:space="0" w:color="808080"/>
              <w:bottom w:val="nil"/>
              <w:right w:val="single" w:sz="8" w:space="0" w:color="808080"/>
            </w:tcBorders>
            <w:shd w:val="clear" w:color="auto" w:fill="auto"/>
            <w:vAlign w:val="center"/>
            <w:hideMark/>
          </w:tcPr>
          <w:p w14:paraId="47695AF1"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391 </w:t>
            </w:r>
          </w:p>
        </w:tc>
      </w:tr>
      <w:tr w:rsidR="006D34EE" w:rsidRPr="00CC659A" w14:paraId="54F2BA5F" w14:textId="77777777" w:rsidTr="00477854">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3F1DF9FC" w14:textId="77777777" w:rsidR="00CC659A" w:rsidRPr="00CC659A" w:rsidRDefault="00CC659A" w:rsidP="00CC659A">
            <w:pPr>
              <w:spacing w:after="0" w:line="240" w:lineRule="auto"/>
              <w:ind w:left="-108"/>
              <w:jc w:val="right"/>
              <w:rPr>
                <w:rFonts w:eastAsia="Times New Roman"/>
                <w:color w:val="000000"/>
                <w:sz w:val="16"/>
                <w:szCs w:val="16"/>
                <w:lang w:val="es-ES"/>
              </w:rPr>
            </w:pPr>
            <w:r w:rsidRPr="00CC659A">
              <w:rPr>
                <w:rFonts w:eastAsia="Times New Roman"/>
                <w:color w:val="000000"/>
                <w:sz w:val="16"/>
                <w:szCs w:val="16"/>
                <w:lang w:val="es-ES"/>
              </w:rPr>
              <w:t>78</w:t>
            </w:r>
          </w:p>
        </w:tc>
        <w:tc>
          <w:tcPr>
            <w:tcW w:w="920" w:type="pct"/>
            <w:tcBorders>
              <w:top w:val="nil"/>
              <w:left w:val="nil"/>
              <w:bottom w:val="nil"/>
              <w:right w:val="nil"/>
            </w:tcBorders>
            <w:shd w:val="clear" w:color="auto" w:fill="auto"/>
            <w:vAlign w:val="center"/>
            <w:hideMark/>
          </w:tcPr>
          <w:p w14:paraId="7C0C0A4A" w14:textId="193B81DB"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Maldiv</w:t>
            </w:r>
            <w:r w:rsidR="00847CA2">
              <w:rPr>
                <w:rFonts w:eastAsia="Times New Roman"/>
                <w:color w:val="000000"/>
                <w:sz w:val="16"/>
                <w:szCs w:val="16"/>
                <w:lang w:val="es-ES"/>
              </w:rPr>
              <w:t>a</w:t>
            </w:r>
            <w:r w:rsidRPr="00CC659A">
              <w:rPr>
                <w:rFonts w:eastAsia="Times New Roman"/>
                <w:color w:val="000000"/>
                <w:sz w:val="16"/>
                <w:szCs w:val="16"/>
                <w:lang w:val="es-ES"/>
              </w:rPr>
              <w:t>s</w:t>
            </w:r>
          </w:p>
        </w:tc>
        <w:tc>
          <w:tcPr>
            <w:tcW w:w="404" w:type="pct"/>
            <w:tcBorders>
              <w:top w:val="nil"/>
              <w:left w:val="nil"/>
              <w:bottom w:val="nil"/>
              <w:right w:val="nil"/>
            </w:tcBorders>
            <w:shd w:val="clear" w:color="auto" w:fill="auto"/>
            <w:vAlign w:val="center"/>
            <w:hideMark/>
          </w:tcPr>
          <w:p w14:paraId="74F3BF9A" w14:textId="77777777" w:rsidR="00CC659A" w:rsidRPr="00CC659A" w:rsidRDefault="00CC659A" w:rsidP="00CC659A">
            <w:pPr>
              <w:spacing w:after="0" w:line="240" w:lineRule="auto"/>
              <w:ind w:left="-108"/>
              <w:jc w:val="center"/>
              <w:rPr>
                <w:rFonts w:eastAsia="Times New Roman"/>
                <w:color w:val="000000"/>
                <w:sz w:val="16"/>
                <w:szCs w:val="16"/>
                <w:lang w:val="es-ES"/>
              </w:rPr>
            </w:pPr>
            <w:r w:rsidRPr="00CC659A">
              <w:rPr>
                <w:rFonts w:eastAsia="Times New Roman"/>
                <w:color w:val="000000"/>
                <w:sz w:val="16"/>
                <w:szCs w:val="16"/>
                <w:lang w:val="es-ES"/>
              </w:rPr>
              <w:t>0.004</w:t>
            </w:r>
          </w:p>
        </w:tc>
        <w:tc>
          <w:tcPr>
            <w:tcW w:w="420" w:type="pct"/>
            <w:tcBorders>
              <w:top w:val="nil"/>
              <w:left w:val="nil"/>
              <w:bottom w:val="nil"/>
              <w:right w:val="single" w:sz="8" w:space="0" w:color="808080"/>
            </w:tcBorders>
            <w:shd w:val="clear" w:color="auto" w:fill="auto"/>
            <w:vAlign w:val="center"/>
            <w:hideMark/>
          </w:tcPr>
          <w:p w14:paraId="460A6790" w14:textId="77777777" w:rsidR="00CC659A" w:rsidRPr="00CC659A" w:rsidRDefault="00CC659A" w:rsidP="00CC659A">
            <w:pPr>
              <w:spacing w:after="0" w:line="240" w:lineRule="auto"/>
              <w:ind w:left="-108"/>
              <w:jc w:val="right"/>
              <w:rPr>
                <w:rFonts w:eastAsia="Times New Roman" w:cs="Arial"/>
                <w:color w:val="000000"/>
                <w:sz w:val="16"/>
                <w:szCs w:val="16"/>
                <w:lang w:val="es-ES"/>
              </w:rPr>
            </w:pPr>
            <w:r w:rsidRPr="00CC659A">
              <w:rPr>
                <w:rFonts w:eastAsia="Times New Roman" w:cs="Arial"/>
                <w:color w:val="000000"/>
                <w:sz w:val="16"/>
                <w:szCs w:val="16"/>
                <w:lang w:val="es-ES"/>
              </w:rPr>
              <w:t xml:space="preserve">0.009 </w:t>
            </w:r>
          </w:p>
        </w:tc>
        <w:tc>
          <w:tcPr>
            <w:tcW w:w="444" w:type="pct"/>
            <w:tcBorders>
              <w:top w:val="nil"/>
              <w:left w:val="nil"/>
              <w:bottom w:val="nil"/>
              <w:right w:val="single" w:sz="4" w:space="0" w:color="808080"/>
            </w:tcBorders>
            <w:shd w:val="clear" w:color="auto" w:fill="auto"/>
            <w:vAlign w:val="center"/>
            <w:hideMark/>
          </w:tcPr>
          <w:p w14:paraId="1833D974"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806 </w:t>
            </w:r>
          </w:p>
        </w:tc>
        <w:tc>
          <w:tcPr>
            <w:tcW w:w="437" w:type="pct"/>
            <w:tcBorders>
              <w:top w:val="nil"/>
              <w:left w:val="nil"/>
              <w:bottom w:val="nil"/>
              <w:right w:val="single" w:sz="8" w:space="0" w:color="808080"/>
            </w:tcBorders>
            <w:shd w:val="clear" w:color="auto" w:fill="auto"/>
            <w:vAlign w:val="center"/>
            <w:hideMark/>
          </w:tcPr>
          <w:p w14:paraId="1829FE53"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269 </w:t>
            </w:r>
          </w:p>
        </w:tc>
        <w:tc>
          <w:tcPr>
            <w:tcW w:w="444" w:type="pct"/>
            <w:tcBorders>
              <w:top w:val="nil"/>
              <w:left w:val="nil"/>
              <w:bottom w:val="nil"/>
              <w:right w:val="single" w:sz="4" w:space="0" w:color="808080"/>
            </w:tcBorders>
            <w:shd w:val="clear" w:color="auto" w:fill="auto"/>
            <w:vAlign w:val="center"/>
            <w:hideMark/>
          </w:tcPr>
          <w:p w14:paraId="1E0E7F0F"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899 </w:t>
            </w:r>
          </w:p>
        </w:tc>
        <w:tc>
          <w:tcPr>
            <w:tcW w:w="437" w:type="pct"/>
            <w:tcBorders>
              <w:top w:val="nil"/>
              <w:left w:val="nil"/>
              <w:bottom w:val="nil"/>
              <w:right w:val="single" w:sz="8" w:space="0" w:color="808080"/>
            </w:tcBorders>
            <w:shd w:val="clear" w:color="auto" w:fill="auto"/>
            <w:vAlign w:val="center"/>
            <w:hideMark/>
          </w:tcPr>
          <w:p w14:paraId="2D2D322D"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300 </w:t>
            </w:r>
          </w:p>
        </w:tc>
        <w:tc>
          <w:tcPr>
            <w:tcW w:w="444" w:type="pct"/>
            <w:tcBorders>
              <w:top w:val="nil"/>
              <w:left w:val="nil"/>
              <w:bottom w:val="nil"/>
              <w:right w:val="single" w:sz="4" w:space="0" w:color="808080"/>
            </w:tcBorders>
            <w:shd w:val="clear" w:color="auto" w:fill="auto"/>
            <w:vAlign w:val="center"/>
            <w:hideMark/>
          </w:tcPr>
          <w:p w14:paraId="39EAA604"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1 052 </w:t>
            </w:r>
          </w:p>
        </w:tc>
        <w:tc>
          <w:tcPr>
            <w:tcW w:w="437" w:type="pct"/>
            <w:tcBorders>
              <w:top w:val="nil"/>
              <w:left w:val="nil"/>
              <w:bottom w:val="nil"/>
              <w:right w:val="single" w:sz="8" w:space="0" w:color="808080"/>
            </w:tcBorders>
            <w:shd w:val="clear" w:color="auto" w:fill="auto"/>
            <w:vAlign w:val="center"/>
            <w:hideMark/>
          </w:tcPr>
          <w:p w14:paraId="79EFADBC"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351 </w:t>
            </w:r>
          </w:p>
        </w:tc>
        <w:tc>
          <w:tcPr>
            <w:tcW w:w="444" w:type="pct"/>
            <w:tcBorders>
              <w:top w:val="nil"/>
              <w:left w:val="single" w:sz="4" w:space="0" w:color="808080"/>
              <w:bottom w:val="nil"/>
              <w:right w:val="single" w:sz="8" w:space="0" w:color="808080"/>
            </w:tcBorders>
            <w:shd w:val="clear" w:color="auto" w:fill="auto"/>
            <w:vAlign w:val="center"/>
            <w:hideMark/>
          </w:tcPr>
          <w:p w14:paraId="7AE8EDAB"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784 </w:t>
            </w:r>
          </w:p>
        </w:tc>
      </w:tr>
      <w:tr w:rsidR="006D34EE" w:rsidRPr="00CC659A" w14:paraId="1A36B64C" w14:textId="77777777" w:rsidTr="00477854">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7EE4B516" w14:textId="77777777" w:rsidR="00CC659A" w:rsidRPr="00CC659A" w:rsidRDefault="00CC659A" w:rsidP="00CC659A">
            <w:pPr>
              <w:spacing w:after="0" w:line="240" w:lineRule="auto"/>
              <w:ind w:left="-108"/>
              <w:jc w:val="right"/>
              <w:rPr>
                <w:rFonts w:eastAsia="Times New Roman"/>
                <w:color w:val="000000"/>
                <w:sz w:val="16"/>
                <w:szCs w:val="16"/>
                <w:lang w:val="es-ES"/>
              </w:rPr>
            </w:pPr>
            <w:r w:rsidRPr="00CC659A">
              <w:rPr>
                <w:rFonts w:eastAsia="Times New Roman"/>
                <w:color w:val="000000"/>
                <w:sz w:val="16"/>
                <w:szCs w:val="16"/>
                <w:lang w:val="es-ES"/>
              </w:rPr>
              <w:t>79</w:t>
            </w:r>
          </w:p>
        </w:tc>
        <w:tc>
          <w:tcPr>
            <w:tcW w:w="920" w:type="pct"/>
            <w:tcBorders>
              <w:top w:val="nil"/>
              <w:left w:val="nil"/>
              <w:bottom w:val="nil"/>
              <w:right w:val="nil"/>
            </w:tcBorders>
            <w:shd w:val="clear" w:color="auto" w:fill="auto"/>
            <w:vAlign w:val="center"/>
            <w:hideMark/>
          </w:tcPr>
          <w:p w14:paraId="27040062"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Mali</w:t>
            </w:r>
          </w:p>
        </w:tc>
        <w:tc>
          <w:tcPr>
            <w:tcW w:w="404" w:type="pct"/>
            <w:tcBorders>
              <w:top w:val="nil"/>
              <w:left w:val="nil"/>
              <w:bottom w:val="nil"/>
              <w:right w:val="nil"/>
            </w:tcBorders>
            <w:shd w:val="clear" w:color="auto" w:fill="auto"/>
            <w:vAlign w:val="center"/>
            <w:hideMark/>
          </w:tcPr>
          <w:p w14:paraId="5F8F7EF3" w14:textId="77777777" w:rsidR="00CC659A" w:rsidRPr="00CC659A" w:rsidRDefault="00CC659A" w:rsidP="00CC659A">
            <w:pPr>
              <w:spacing w:after="0" w:line="240" w:lineRule="auto"/>
              <w:ind w:left="-108"/>
              <w:jc w:val="center"/>
              <w:rPr>
                <w:rFonts w:eastAsia="Times New Roman"/>
                <w:color w:val="000000"/>
                <w:sz w:val="16"/>
                <w:szCs w:val="16"/>
                <w:lang w:val="es-ES"/>
              </w:rPr>
            </w:pPr>
            <w:r w:rsidRPr="00CC659A">
              <w:rPr>
                <w:rFonts w:eastAsia="Times New Roman"/>
                <w:color w:val="000000"/>
                <w:sz w:val="16"/>
                <w:szCs w:val="16"/>
                <w:lang w:val="es-ES"/>
              </w:rPr>
              <w:t>0.005</w:t>
            </w:r>
          </w:p>
        </w:tc>
        <w:tc>
          <w:tcPr>
            <w:tcW w:w="420" w:type="pct"/>
            <w:tcBorders>
              <w:top w:val="nil"/>
              <w:left w:val="nil"/>
              <w:bottom w:val="nil"/>
              <w:right w:val="single" w:sz="8" w:space="0" w:color="808080"/>
            </w:tcBorders>
            <w:shd w:val="clear" w:color="auto" w:fill="auto"/>
            <w:vAlign w:val="center"/>
            <w:hideMark/>
          </w:tcPr>
          <w:p w14:paraId="1F0617D5" w14:textId="77777777" w:rsidR="00CC659A" w:rsidRPr="00CC659A" w:rsidRDefault="00CC659A" w:rsidP="00CC659A">
            <w:pPr>
              <w:spacing w:after="0" w:line="240" w:lineRule="auto"/>
              <w:ind w:left="-108"/>
              <w:jc w:val="right"/>
              <w:rPr>
                <w:rFonts w:eastAsia="Times New Roman" w:cs="Arial"/>
                <w:color w:val="000000"/>
                <w:sz w:val="16"/>
                <w:szCs w:val="16"/>
                <w:lang w:val="es-ES"/>
              </w:rPr>
            </w:pPr>
            <w:r w:rsidRPr="00CC659A">
              <w:rPr>
                <w:rFonts w:eastAsia="Times New Roman" w:cs="Arial"/>
                <w:color w:val="000000"/>
                <w:sz w:val="16"/>
                <w:szCs w:val="16"/>
                <w:lang w:val="es-ES"/>
              </w:rPr>
              <w:t xml:space="preserve">0.012 </w:t>
            </w:r>
          </w:p>
        </w:tc>
        <w:tc>
          <w:tcPr>
            <w:tcW w:w="444" w:type="pct"/>
            <w:tcBorders>
              <w:top w:val="nil"/>
              <w:left w:val="nil"/>
              <w:bottom w:val="nil"/>
              <w:right w:val="single" w:sz="4" w:space="0" w:color="808080"/>
            </w:tcBorders>
            <w:shd w:val="clear" w:color="auto" w:fill="auto"/>
            <w:vAlign w:val="center"/>
            <w:hideMark/>
          </w:tcPr>
          <w:p w14:paraId="47CCFAE7"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1 007 </w:t>
            </w:r>
          </w:p>
        </w:tc>
        <w:tc>
          <w:tcPr>
            <w:tcW w:w="437" w:type="pct"/>
            <w:tcBorders>
              <w:top w:val="nil"/>
              <w:left w:val="nil"/>
              <w:bottom w:val="nil"/>
              <w:right w:val="single" w:sz="8" w:space="0" w:color="808080"/>
            </w:tcBorders>
            <w:shd w:val="clear" w:color="auto" w:fill="auto"/>
            <w:vAlign w:val="center"/>
            <w:hideMark/>
          </w:tcPr>
          <w:p w14:paraId="1DC2566C"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336 </w:t>
            </w:r>
          </w:p>
        </w:tc>
        <w:tc>
          <w:tcPr>
            <w:tcW w:w="444" w:type="pct"/>
            <w:tcBorders>
              <w:top w:val="nil"/>
              <w:left w:val="nil"/>
              <w:bottom w:val="nil"/>
              <w:right w:val="single" w:sz="4" w:space="0" w:color="808080"/>
            </w:tcBorders>
            <w:shd w:val="clear" w:color="auto" w:fill="auto"/>
            <w:vAlign w:val="center"/>
            <w:hideMark/>
          </w:tcPr>
          <w:p w14:paraId="437A334B"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1 123 </w:t>
            </w:r>
          </w:p>
        </w:tc>
        <w:tc>
          <w:tcPr>
            <w:tcW w:w="437" w:type="pct"/>
            <w:tcBorders>
              <w:top w:val="nil"/>
              <w:left w:val="nil"/>
              <w:bottom w:val="nil"/>
              <w:right w:val="single" w:sz="8" w:space="0" w:color="808080"/>
            </w:tcBorders>
            <w:shd w:val="clear" w:color="auto" w:fill="auto"/>
            <w:vAlign w:val="center"/>
            <w:hideMark/>
          </w:tcPr>
          <w:p w14:paraId="420E97B7"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374 </w:t>
            </w:r>
          </w:p>
        </w:tc>
        <w:tc>
          <w:tcPr>
            <w:tcW w:w="444" w:type="pct"/>
            <w:tcBorders>
              <w:top w:val="nil"/>
              <w:left w:val="nil"/>
              <w:bottom w:val="nil"/>
              <w:right w:val="single" w:sz="4" w:space="0" w:color="808080"/>
            </w:tcBorders>
            <w:shd w:val="clear" w:color="auto" w:fill="auto"/>
            <w:vAlign w:val="center"/>
            <w:hideMark/>
          </w:tcPr>
          <w:p w14:paraId="44DF2EA8"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1 315 </w:t>
            </w:r>
          </w:p>
        </w:tc>
        <w:tc>
          <w:tcPr>
            <w:tcW w:w="437" w:type="pct"/>
            <w:tcBorders>
              <w:top w:val="nil"/>
              <w:left w:val="nil"/>
              <w:bottom w:val="nil"/>
              <w:right w:val="single" w:sz="8" w:space="0" w:color="808080"/>
            </w:tcBorders>
            <w:shd w:val="clear" w:color="auto" w:fill="auto"/>
            <w:vAlign w:val="center"/>
            <w:hideMark/>
          </w:tcPr>
          <w:p w14:paraId="410DC171"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438 </w:t>
            </w:r>
          </w:p>
        </w:tc>
        <w:tc>
          <w:tcPr>
            <w:tcW w:w="444" w:type="pct"/>
            <w:tcBorders>
              <w:top w:val="nil"/>
              <w:left w:val="single" w:sz="4" w:space="0" w:color="808080"/>
              <w:bottom w:val="nil"/>
              <w:right w:val="single" w:sz="8" w:space="0" w:color="808080"/>
            </w:tcBorders>
            <w:shd w:val="clear" w:color="auto" w:fill="auto"/>
            <w:vAlign w:val="center"/>
            <w:hideMark/>
          </w:tcPr>
          <w:p w14:paraId="47C2E0CB"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784 </w:t>
            </w:r>
          </w:p>
        </w:tc>
      </w:tr>
      <w:tr w:rsidR="006D34EE" w:rsidRPr="00CC659A" w14:paraId="79E93365" w14:textId="77777777" w:rsidTr="00477854">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3FFC4053" w14:textId="77777777" w:rsidR="00CC659A" w:rsidRPr="00CC659A" w:rsidRDefault="00CC659A" w:rsidP="00CC659A">
            <w:pPr>
              <w:spacing w:after="0" w:line="240" w:lineRule="auto"/>
              <w:ind w:left="-108"/>
              <w:jc w:val="right"/>
              <w:rPr>
                <w:rFonts w:eastAsia="Times New Roman"/>
                <w:color w:val="000000"/>
                <w:sz w:val="16"/>
                <w:szCs w:val="16"/>
                <w:lang w:val="es-ES"/>
              </w:rPr>
            </w:pPr>
            <w:r w:rsidRPr="00CC659A">
              <w:rPr>
                <w:rFonts w:eastAsia="Times New Roman"/>
                <w:color w:val="000000"/>
                <w:sz w:val="16"/>
                <w:szCs w:val="16"/>
                <w:lang w:val="es-ES"/>
              </w:rPr>
              <w:t>80</w:t>
            </w:r>
          </w:p>
        </w:tc>
        <w:tc>
          <w:tcPr>
            <w:tcW w:w="920" w:type="pct"/>
            <w:tcBorders>
              <w:top w:val="nil"/>
              <w:left w:val="nil"/>
              <w:bottom w:val="nil"/>
              <w:right w:val="nil"/>
            </w:tcBorders>
            <w:shd w:val="clear" w:color="auto" w:fill="auto"/>
            <w:vAlign w:val="center"/>
            <w:hideMark/>
          </w:tcPr>
          <w:p w14:paraId="4B3C8B44"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Malta</w:t>
            </w:r>
          </w:p>
        </w:tc>
        <w:tc>
          <w:tcPr>
            <w:tcW w:w="404" w:type="pct"/>
            <w:tcBorders>
              <w:top w:val="nil"/>
              <w:left w:val="nil"/>
              <w:bottom w:val="nil"/>
              <w:right w:val="nil"/>
            </w:tcBorders>
            <w:shd w:val="clear" w:color="auto" w:fill="auto"/>
            <w:vAlign w:val="center"/>
            <w:hideMark/>
          </w:tcPr>
          <w:p w14:paraId="6CB784BF" w14:textId="77777777" w:rsidR="00CC659A" w:rsidRPr="00CC659A" w:rsidRDefault="00CC659A" w:rsidP="00CC659A">
            <w:pPr>
              <w:spacing w:after="0" w:line="240" w:lineRule="auto"/>
              <w:ind w:left="-108"/>
              <w:jc w:val="center"/>
              <w:rPr>
                <w:rFonts w:eastAsia="Times New Roman"/>
                <w:color w:val="000000"/>
                <w:sz w:val="16"/>
                <w:szCs w:val="16"/>
                <w:lang w:val="es-ES"/>
              </w:rPr>
            </w:pPr>
            <w:r w:rsidRPr="00CC659A">
              <w:rPr>
                <w:rFonts w:eastAsia="Times New Roman"/>
                <w:color w:val="000000"/>
                <w:sz w:val="16"/>
                <w:szCs w:val="16"/>
                <w:lang w:val="es-ES"/>
              </w:rPr>
              <w:t>0.019</w:t>
            </w:r>
          </w:p>
        </w:tc>
        <w:tc>
          <w:tcPr>
            <w:tcW w:w="420" w:type="pct"/>
            <w:tcBorders>
              <w:top w:val="nil"/>
              <w:left w:val="nil"/>
              <w:bottom w:val="nil"/>
              <w:right w:val="single" w:sz="8" w:space="0" w:color="808080"/>
            </w:tcBorders>
            <w:shd w:val="clear" w:color="auto" w:fill="auto"/>
            <w:vAlign w:val="center"/>
            <w:hideMark/>
          </w:tcPr>
          <w:p w14:paraId="576C7372" w14:textId="77777777" w:rsidR="00CC659A" w:rsidRPr="00CC659A" w:rsidRDefault="00CC659A" w:rsidP="00CC659A">
            <w:pPr>
              <w:spacing w:after="0" w:line="240" w:lineRule="auto"/>
              <w:ind w:left="-108"/>
              <w:jc w:val="right"/>
              <w:rPr>
                <w:rFonts w:eastAsia="Times New Roman" w:cs="Arial"/>
                <w:color w:val="000000"/>
                <w:sz w:val="16"/>
                <w:szCs w:val="16"/>
                <w:lang w:val="es-ES"/>
              </w:rPr>
            </w:pPr>
            <w:r w:rsidRPr="00CC659A">
              <w:rPr>
                <w:rFonts w:eastAsia="Times New Roman" w:cs="Arial"/>
                <w:color w:val="000000"/>
                <w:sz w:val="16"/>
                <w:szCs w:val="16"/>
                <w:lang w:val="es-ES"/>
              </w:rPr>
              <w:t xml:space="preserve">0.044 </w:t>
            </w:r>
          </w:p>
        </w:tc>
        <w:tc>
          <w:tcPr>
            <w:tcW w:w="444" w:type="pct"/>
            <w:tcBorders>
              <w:top w:val="nil"/>
              <w:left w:val="nil"/>
              <w:bottom w:val="nil"/>
              <w:right w:val="single" w:sz="4" w:space="0" w:color="808080"/>
            </w:tcBorders>
            <w:shd w:val="clear" w:color="auto" w:fill="auto"/>
            <w:vAlign w:val="center"/>
            <w:hideMark/>
          </w:tcPr>
          <w:p w14:paraId="7695B128"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3 827 </w:t>
            </w:r>
          </w:p>
        </w:tc>
        <w:tc>
          <w:tcPr>
            <w:tcW w:w="437" w:type="pct"/>
            <w:tcBorders>
              <w:top w:val="nil"/>
              <w:left w:val="nil"/>
              <w:bottom w:val="nil"/>
              <w:right w:val="single" w:sz="8" w:space="0" w:color="808080"/>
            </w:tcBorders>
            <w:shd w:val="clear" w:color="auto" w:fill="auto"/>
            <w:vAlign w:val="center"/>
            <w:hideMark/>
          </w:tcPr>
          <w:p w14:paraId="67BA3614"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1 276 </w:t>
            </w:r>
          </w:p>
        </w:tc>
        <w:tc>
          <w:tcPr>
            <w:tcW w:w="444" w:type="pct"/>
            <w:tcBorders>
              <w:top w:val="nil"/>
              <w:left w:val="nil"/>
              <w:bottom w:val="nil"/>
              <w:right w:val="single" w:sz="4" w:space="0" w:color="808080"/>
            </w:tcBorders>
            <w:shd w:val="clear" w:color="auto" w:fill="auto"/>
            <w:vAlign w:val="center"/>
            <w:hideMark/>
          </w:tcPr>
          <w:p w14:paraId="6DB9827E"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4 269 </w:t>
            </w:r>
          </w:p>
        </w:tc>
        <w:tc>
          <w:tcPr>
            <w:tcW w:w="437" w:type="pct"/>
            <w:tcBorders>
              <w:top w:val="nil"/>
              <w:left w:val="nil"/>
              <w:bottom w:val="nil"/>
              <w:right w:val="single" w:sz="8" w:space="0" w:color="808080"/>
            </w:tcBorders>
            <w:shd w:val="clear" w:color="auto" w:fill="auto"/>
            <w:vAlign w:val="center"/>
            <w:hideMark/>
          </w:tcPr>
          <w:p w14:paraId="00D004D4"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1 423 </w:t>
            </w:r>
          </w:p>
        </w:tc>
        <w:tc>
          <w:tcPr>
            <w:tcW w:w="444" w:type="pct"/>
            <w:tcBorders>
              <w:top w:val="nil"/>
              <w:left w:val="nil"/>
              <w:bottom w:val="nil"/>
              <w:right w:val="single" w:sz="4" w:space="0" w:color="808080"/>
            </w:tcBorders>
            <w:shd w:val="clear" w:color="auto" w:fill="auto"/>
            <w:vAlign w:val="center"/>
            <w:hideMark/>
          </w:tcPr>
          <w:p w14:paraId="4755DF9B"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4 998 </w:t>
            </w:r>
          </w:p>
        </w:tc>
        <w:tc>
          <w:tcPr>
            <w:tcW w:w="437" w:type="pct"/>
            <w:tcBorders>
              <w:top w:val="nil"/>
              <w:left w:val="nil"/>
              <w:bottom w:val="nil"/>
              <w:right w:val="single" w:sz="8" w:space="0" w:color="808080"/>
            </w:tcBorders>
            <w:shd w:val="clear" w:color="auto" w:fill="auto"/>
            <w:vAlign w:val="center"/>
            <w:hideMark/>
          </w:tcPr>
          <w:p w14:paraId="447005B1"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1 666 </w:t>
            </w:r>
          </w:p>
        </w:tc>
        <w:tc>
          <w:tcPr>
            <w:tcW w:w="444" w:type="pct"/>
            <w:tcBorders>
              <w:top w:val="nil"/>
              <w:left w:val="single" w:sz="4" w:space="0" w:color="808080"/>
              <w:bottom w:val="nil"/>
              <w:right w:val="single" w:sz="8" w:space="0" w:color="808080"/>
            </w:tcBorders>
            <w:shd w:val="clear" w:color="auto" w:fill="auto"/>
            <w:vAlign w:val="center"/>
            <w:hideMark/>
          </w:tcPr>
          <w:p w14:paraId="18972814"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3 331 </w:t>
            </w:r>
          </w:p>
        </w:tc>
      </w:tr>
      <w:tr w:rsidR="006D34EE" w:rsidRPr="00CC659A" w14:paraId="5937AE38" w14:textId="77777777" w:rsidTr="00477854">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0265A960" w14:textId="77777777" w:rsidR="00CC659A" w:rsidRPr="00CC659A" w:rsidRDefault="00CC659A" w:rsidP="00CC659A">
            <w:pPr>
              <w:spacing w:after="0" w:line="240" w:lineRule="auto"/>
              <w:ind w:left="-108"/>
              <w:jc w:val="right"/>
              <w:rPr>
                <w:rFonts w:eastAsia="Times New Roman"/>
                <w:color w:val="000000"/>
                <w:sz w:val="16"/>
                <w:szCs w:val="16"/>
                <w:lang w:val="es-ES"/>
              </w:rPr>
            </w:pPr>
            <w:r w:rsidRPr="00CC659A">
              <w:rPr>
                <w:rFonts w:eastAsia="Times New Roman"/>
                <w:color w:val="000000"/>
                <w:sz w:val="16"/>
                <w:szCs w:val="16"/>
                <w:lang w:val="es-ES"/>
              </w:rPr>
              <w:t>81</w:t>
            </w:r>
          </w:p>
        </w:tc>
        <w:tc>
          <w:tcPr>
            <w:tcW w:w="920" w:type="pct"/>
            <w:tcBorders>
              <w:top w:val="nil"/>
              <w:left w:val="nil"/>
              <w:bottom w:val="nil"/>
              <w:right w:val="nil"/>
            </w:tcBorders>
            <w:shd w:val="clear" w:color="auto" w:fill="auto"/>
            <w:vAlign w:val="center"/>
            <w:hideMark/>
          </w:tcPr>
          <w:p w14:paraId="111F68C6" w14:textId="39C93F40"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Mauritani</w:t>
            </w:r>
            <w:r w:rsidR="00847CA2">
              <w:rPr>
                <w:rFonts w:eastAsia="Times New Roman"/>
                <w:color w:val="000000"/>
                <w:sz w:val="16"/>
                <w:szCs w:val="16"/>
                <w:lang w:val="es-ES"/>
              </w:rPr>
              <w:t>a</w:t>
            </w:r>
          </w:p>
        </w:tc>
        <w:tc>
          <w:tcPr>
            <w:tcW w:w="404" w:type="pct"/>
            <w:tcBorders>
              <w:top w:val="nil"/>
              <w:left w:val="nil"/>
              <w:bottom w:val="nil"/>
              <w:right w:val="nil"/>
            </w:tcBorders>
            <w:shd w:val="clear" w:color="auto" w:fill="auto"/>
            <w:vAlign w:val="center"/>
            <w:hideMark/>
          </w:tcPr>
          <w:p w14:paraId="7D031D70" w14:textId="77777777" w:rsidR="00CC659A" w:rsidRPr="00CC659A" w:rsidRDefault="00CC659A" w:rsidP="00CC659A">
            <w:pPr>
              <w:spacing w:after="0" w:line="240" w:lineRule="auto"/>
              <w:ind w:left="-108"/>
              <w:jc w:val="center"/>
              <w:rPr>
                <w:rFonts w:eastAsia="Times New Roman"/>
                <w:color w:val="000000"/>
                <w:sz w:val="16"/>
                <w:szCs w:val="16"/>
                <w:lang w:val="es-ES"/>
              </w:rPr>
            </w:pPr>
            <w:r w:rsidRPr="00CC659A">
              <w:rPr>
                <w:rFonts w:eastAsia="Times New Roman"/>
                <w:color w:val="000000"/>
                <w:sz w:val="16"/>
                <w:szCs w:val="16"/>
                <w:lang w:val="es-ES"/>
              </w:rPr>
              <w:t>0.002</w:t>
            </w:r>
          </w:p>
        </w:tc>
        <w:tc>
          <w:tcPr>
            <w:tcW w:w="420" w:type="pct"/>
            <w:tcBorders>
              <w:top w:val="nil"/>
              <w:left w:val="nil"/>
              <w:bottom w:val="nil"/>
              <w:right w:val="single" w:sz="8" w:space="0" w:color="808080"/>
            </w:tcBorders>
            <w:shd w:val="clear" w:color="auto" w:fill="auto"/>
            <w:vAlign w:val="center"/>
            <w:hideMark/>
          </w:tcPr>
          <w:p w14:paraId="7B8D5AA7" w14:textId="77777777" w:rsidR="00CC659A" w:rsidRPr="00CC659A" w:rsidRDefault="00CC659A" w:rsidP="00CC659A">
            <w:pPr>
              <w:spacing w:after="0" w:line="240" w:lineRule="auto"/>
              <w:ind w:left="-108"/>
              <w:jc w:val="right"/>
              <w:rPr>
                <w:rFonts w:eastAsia="Times New Roman" w:cs="Arial"/>
                <w:color w:val="000000"/>
                <w:sz w:val="16"/>
                <w:szCs w:val="16"/>
                <w:lang w:val="es-ES"/>
              </w:rPr>
            </w:pPr>
            <w:r w:rsidRPr="00CC659A">
              <w:rPr>
                <w:rFonts w:eastAsia="Times New Roman" w:cs="Arial"/>
                <w:color w:val="000000"/>
                <w:sz w:val="16"/>
                <w:szCs w:val="16"/>
                <w:lang w:val="es-ES"/>
              </w:rPr>
              <w:t xml:space="preserve">0.005 </w:t>
            </w:r>
          </w:p>
        </w:tc>
        <w:tc>
          <w:tcPr>
            <w:tcW w:w="444" w:type="pct"/>
            <w:tcBorders>
              <w:top w:val="nil"/>
              <w:left w:val="nil"/>
              <w:bottom w:val="nil"/>
              <w:right w:val="single" w:sz="4" w:space="0" w:color="808080"/>
            </w:tcBorders>
            <w:shd w:val="clear" w:color="auto" w:fill="auto"/>
            <w:vAlign w:val="center"/>
            <w:hideMark/>
          </w:tcPr>
          <w:p w14:paraId="78DBBA5E"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403 </w:t>
            </w:r>
          </w:p>
        </w:tc>
        <w:tc>
          <w:tcPr>
            <w:tcW w:w="437" w:type="pct"/>
            <w:tcBorders>
              <w:top w:val="nil"/>
              <w:left w:val="nil"/>
              <w:bottom w:val="nil"/>
              <w:right w:val="single" w:sz="8" w:space="0" w:color="808080"/>
            </w:tcBorders>
            <w:shd w:val="clear" w:color="auto" w:fill="auto"/>
            <w:vAlign w:val="center"/>
            <w:hideMark/>
          </w:tcPr>
          <w:p w14:paraId="2089922D"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134 </w:t>
            </w:r>
          </w:p>
        </w:tc>
        <w:tc>
          <w:tcPr>
            <w:tcW w:w="444" w:type="pct"/>
            <w:tcBorders>
              <w:top w:val="nil"/>
              <w:left w:val="nil"/>
              <w:bottom w:val="nil"/>
              <w:right w:val="single" w:sz="4" w:space="0" w:color="808080"/>
            </w:tcBorders>
            <w:shd w:val="clear" w:color="auto" w:fill="auto"/>
            <w:vAlign w:val="center"/>
            <w:hideMark/>
          </w:tcPr>
          <w:p w14:paraId="58B97CB9"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449 </w:t>
            </w:r>
          </w:p>
        </w:tc>
        <w:tc>
          <w:tcPr>
            <w:tcW w:w="437" w:type="pct"/>
            <w:tcBorders>
              <w:top w:val="nil"/>
              <w:left w:val="nil"/>
              <w:bottom w:val="nil"/>
              <w:right w:val="single" w:sz="8" w:space="0" w:color="808080"/>
            </w:tcBorders>
            <w:shd w:val="clear" w:color="auto" w:fill="auto"/>
            <w:vAlign w:val="center"/>
            <w:hideMark/>
          </w:tcPr>
          <w:p w14:paraId="5EF29DC5"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150 </w:t>
            </w:r>
          </w:p>
        </w:tc>
        <w:tc>
          <w:tcPr>
            <w:tcW w:w="444" w:type="pct"/>
            <w:tcBorders>
              <w:top w:val="nil"/>
              <w:left w:val="nil"/>
              <w:bottom w:val="nil"/>
              <w:right w:val="single" w:sz="4" w:space="0" w:color="808080"/>
            </w:tcBorders>
            <w:shd w:val="clear" w:color="auto" w:fill="auto"/>
            <w:vAlign w:val="center"/>
            <w:hideMark/>
          </w:tcPr>
          <w:p w14:paraId="1C9B833B"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526 </w:t>
            </w:r>
          </w:p>
        </w:tc>
        <w:tc>
          <w:tcPr>
            <w:tcW w:w="437" w:type="pct"/>
            <w:tcBorders>
              <w:top w:val="nil"/>
              <w:left w:val="nil"/>
              <w:bottom w:val="nil"/>
              <w:right w:val="single" w:sz="8" w:space="0" w:color="808080"/>
            </w:tcBorders>
            <w:shd w:val="clear" w:color="auto" w:fill="auto"/>
            <w:vAlign w:val="center"/>
            <w:hideMark/>
          </w:tcPr>
          <w:p w14:paraId="15064128"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175 </w:t>
            </w:r>
          </w:p>
        </w:tc>
        <w:tc>
          <w:tcPr>
            <w:tcW w:w="444" w:type="pct"/>
            <w:tcBorders>
              <w:top w:val="nil"/>
              <w:left w:val="single" w:sz="4" w:space="0" w:color="808080"/>
              <w:bottom w:val="nil"/>
              <w:right w:val="single" w:sz="8" w:space="0" w:color="808080"/>
            </w:tcBorders>
            <w:shd w:val="clear" w:color="auto" w:fill="auto"/>
            <w:vAlign w:val="center"/>
            <w:hideMark/>
          </w:tcPr>
          <w:p w14:paraId="2BFE6364"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391 </w:t>
            </w:r>
          </w:p>
        </w:tc>
      </w:tr>
      <w:tr w:rsidR="006D34EE" w:rsidRPr="00CC659A" w14:paraId="032F6C98" w14:textId="77777777" w:rsidTr="00477854">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482391B4" w14:textId="77777777" w:rsidR="00CC659A" w:rsidRPr="00CC659A" w:rsidRDefault="00CC659A" w:rsidP="00CC659A">
            <w:pPr>
              <w:spacing w:after="0" w:line="240" w:lineRule="auto"/>
              <w:ind w:left="-108"/>
              <w:jc w:val="right"/>
              <w:rPr>
                <w:rFonts w:eastAsia="Times New Roman"/>
                <w:color w:val="000000"/>
                <w:sz w:val="16"/>
                <w:szCs w:val="16"/>
                <w:lang w:val="es-ES"/>
              </w:rPr>
            </w:pPr>
            <w:r w:rsidRPr="00CC659A">
              <w:rPr>
                <w:rFonts w:eastAsia="Times New Roman"/>
                <w:color w:val="000000"/>
                <w:sz w:val="16"/>
                <w:szCs w:val="16"/>
                <w:lang w:val="es-ES"/>
              </w:rPr>
              <w:lastRenderedPageBreak/>
              <w:t>82</w:t>
            </w:r>
          </w:p>
        </w:tc>
        <w:tc>
          <w:tcPr>
            <w:tcW w:w="920" w:type="pct"/>
            <w:tcBorders>
              <w:top w:val="nil"/>
              <w:left w:val="nil"/>
              <w:bottom w:val="nil"/>
              <w:right w:val="nil"/>
            </w:tcBorders>
            <w:shd w:val="clear" w:color="auto" w:fill="auto"/>
            <w:vAlign w:val="center"/>
            <w:hideMark/>
          </w:tcPr>
          <w:p w14:paraId="17998DCB" w14:textId="5FEE4A0F"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Mauric</w:t>
            </w:r>
            <w:r w:rsidR="00847CA2">
              <w:rPr>
                <w:rFonts w:eastAsia="Times New Roman"/>
                <w:color w:val="000000"/>
                <w:sz w:val="16"/>
                <w:szCs w:val="16"/>
                <w:lang w:val="es-ES"/>
              </w:rPr>
              <w:t>ios</w:t>
            </w:r>
          </w:p>
        </w:tc>
        <w:tc>
          <w:tcPr>
            <w:tcW w:w="404" w:type="pct"/>
            <w:tcBorders>
              <w:top w:val="nil"/>
              <w:left w:val="nil"/>
              <w:bottom w:val="nil"/>
              <w:right w:val="nil"/>
            </w:tcBorders>
            <w:shd w:val="clear" w:color="auto" w:fill="auto"/>
            <w:vAlign w:val="center"/>
            <w:hideMark/>
          </w:tcPr>
          <w:p w14:paraId="78E171B2" w14:textId="77777777" w:rsidR="00CC659A" w:rsidRPr="00CC659A" w:rsidRDefault="00CC659A" w:rsidP="00CC659A">
            <w:pPr>
              <w:spacing w:after="0" w:line="240" w:lineRule="auto"/>
              <w:ind w:left="-108"/>
              <w:jc w:val="center"/>
              <w:rPr>
                <w:rFonts w:eastAsia="Times New Roman"/>
                <w:color w:val="000000"/>
                <w:sz w:val="16"/>
                <w:szCs w:val="16"/>
                <w:lang w:val="es-ES"/>
              </w:rPr>
            </w:pPr>
            <w:r w:rsidRPr="00CC659A">
              <w:rPr>
                <w:rFonts w:eastAsia="Times New Roman"/>
                <w:color w:val="000000"/>
                <w:sz w:val="16"/>
                <w:szCs w:val="16"/>
                <w:lang w:val="es-ES"/>
              </w:rPr>
              <w:t>0.019</w:t>
            </w:r>
          </w:p>
        </w:tc>
        <w:tc>
          <w:tcPr>
            <w:tcW w:w="420" w:type="pct"/>
            <w:tcBorders>
              <w:top w:val="nil"/>
              <w:left w:val="nil"/>
              <w:bottom w:val="nil"/>
              <w:right w:val="single" w:sz="8" w:space="0" w:color="808080"/>
            </w:tcBorders>
            <w:shd w:val="clear" w:color="auto" w:fill="auto"/>
            <w:vAlign w:val="center"/>
            <w:hideMark/>
          </w:tcPr>
          <w:p w14:paraId="7BD3A868" w14:textId="77777777" w:rsidR="00CC659A" w:rsidRPr="00CC659A" w:rsidRDefault="00CC659A" w:rsidP="00CC659A">
            <w:pPr>
              <w:spacing w:after="0" w:line="240" w:lineRule="auto"/>
              <w:ind w:left="-108"/>
              <w:jc w:val="right"/>
              <w:rPr>
                <w:rFonts w:eastAsia="Times New Roman" w:cs="Arial"/>
                <w:color w:val="000000"/>
                <w:sz w:val="16"/>
                <w:szCs w:val="16"/>
                <w:lang w:val="es-ES"/>
              </w:rPr>
            </w:pPr>
            <w:r w:rsidRPr="00CC659A">
              <w:rPr>
                <w:rFonts w:eastAsia="Times New Roman" w:cs="Arial"/>
                <w:color w:val="000000"/>
                <w:sz w:val="16"/>
                <w:szCs w:val="16"/>
                <w:lang w:val="es-ES"/>
              </w:rPr>
              <w:t xml:space="preserve">0.044 </w:t>
            </w:r>
          </w:p>
        </w:tc>
        <w:tc>
          <w:tcPr>
            <w:tcW w:w="444" w:type="pct"/>
            <w:tcBorders>
              <w:top w:val="nil"/>
              <w:left w:val="nil"/>
              <w:bottom w:val="nil"/>
              <w:right w:val="single" w:sz="4" w:space="0" w:color="808080"/>
            </w:tcBorders>
            <w:shd w:val="clear" w:color="auto" w:fill="auto"/>
            <w:vAlign w:val="center"/>
            <w:hideMark/>
          </w:tcPr>
          <w:p w14:paraId="01F0899B"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3 827 </w:t>
            </w:r>
          </w:p>
        </w:tc>
        <w:tc>
          <w:tcPr>
            <w:tcW w:w="437" w:type="pct"/>
            <w:tcBorders>
              <w:top w:val="nil"/>
              <w:left w:val="nil"/>
              <w:bottom w:val="nil"/>
              <w:right w:val="single" w:sz="8" w:space="0" w:color="808080"/>
            </w:tcBorders>
            <w:shd w:val="clear" w:color="auto" w:fill="auto"/>
            <w:vAlign w:val="center"/>
            <w:hideMark/>
          </w:tcPr>
          <w:p w14:paraId="03DBC179"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1 276 </w:t>
            </w:r>
          </w:p>
        </w:tc>
        <w:tc>
          <w:tcPr>
            <w:tcW w:w="444" w:type="pct"/>
            <w:tcBorders>
              <w:top w:val="nil"/>
              <w:left w:val="nil"/>
              <w:bottom w:val="nil"/>
              <w:right w:val="single" w:sz="4" w:space="0" w:color="808080"/>
            </w:tcBorders>
            <w:shd w:val="clear" w:color="auto" w:fill="auto"/>
            <w:vAlign w:val="center"/>
            <w:hideMark/>
          </w:tcPr>
          <w:p w14:paraId="209A0159"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4 269 </w:t>
            </w:r>
          </w:p>
        </w:tc>
        <w:tc>
          <w:tcPr>
            <w:tcW w:w="437" w:type="pct"/>
            <w:tcBorders>
              <w:top w:val="nil"/>
              <w:left w:val="nil"/>
              <w:bottom w:val="nil"/>
              <w:right w:val="single" w:sz="8" w:space="0" w:color="808080"/>
            </w:tcBorders>
            <w:shd w:val="clear" w:color="auto" w:fill="auto"/>
            <w:vAlign w:val="center"/>
            <w:hideMark/>
          </w:tcPr>
          <w:p w14:paraId="4F327B41"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1 423 </w:t>
            </w:r>
          </w:p>
        </w:tc>
        <w:tc>
          <w:tcPr>
            <w:tcW w:w="444" w:type="pct"/>
            <w:tcBorders>
              <w:top w:val="nil"/>
              <w:left w:val="nil"/>
              <w:bottom w:val="nil"/>
              <w:right w:val="single" w:sz="4" w:space="0" w:color="808080"/>
            </w:tcBorders>
            <w:shd w:val="clear" w:color="auto" w:fill="auto"/>
            <w:vAlign w:val="center"/>
            <w:hideMark/>
          </w:tcPr>
          <w:p w14:paraId="5EAF4597"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4 998 </w:t>
            </w:r>
          </w:p>
        </w:tc>
        <w:tc>
          <w:tcPr>
            <w:tcW w:w="437" w:type="pct"/>
            <w:tcBorders>
              <w:top w:val="nil"/>
              <w:left w:val="nil"/>
              <w:bottom w:val="nil"/>
              <w:right w:val="single" w:sz="8" w:space="0" w:color="808080"/>
            </w:tcBorders>
            <w:shd w:val="clear" w:color="auto" w:fill="auto"/>
            <w:vAlign w:val="center"/>
            <w:hideMark/>
          </w:tcPr>
          <w:p w14:paraId="050D9344"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1 666 </w:t>
            </w:r>
          </w:p>
        </w:tc>
        <w:tc>
          <w:tcPr>
            <w:tcW w:w="444" w:type="pct"/>
            <w:tcBorders>
              <w:top w:val="nil"/>
              <w:left w:val="single" w:sz="4" w:space="0" w:color="808080"/>
              <w:bottom w:val="nil"/>
              <w:right w:val="single" w:sz="8" w:space="0" w:color="808080"/>
            </w:tcBorders>
            <w:shd w:val="clear" w:color="auto" w:fill="auto"/>
            <w:vAlign w:val="center"/>
            <w:hideMark/>
          </w:tcPr>
          <w:p w14:paraId="74D75045"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2 155 </w:t>
            </w:r>
          </w:p>
        </w:tc>
      </w:tr>
      <w:tr w:rsidR="006D34EE" w:rsidRPr="00CC659A" w14:paraId="4A31B444" w14:textId="77777777" w:rsidTr="00477854">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4D65AAB5" w14:textId="77777777" w:rsidR="00CC659A" w:rsidRPr="00CC659A" w:rsidRDefault="00CC659A" w:rsidP="00CC659A">
            <w:pPr>
              <w:spacing w:after="0" w:line="240" w:lineRule="auto"/>
              <w:ind w:left="-108"/>
              <w:jc w:val="right"/>
              <w:rPr>
                <w:rFonts w:eastAsia="Times New Roman"/>
                <w:color w:val="000000"/>
                <w:sz w:val="16"/>
                <w:szCs w:val="16"/>
                <w:lang w:val="es-ES"/>
              </w:rPr>
            </w:pPr>
            <w:r w:rsidRPr="00CC659A">
              <w:rPr>
                <w:rFonts w:eastAsia="Times New Roman"/>
                <w:color w:val="000000"/>
                <w:sz w:val="16"/>
                <w:szCs w:val="16"/>
                <w:lang w:val="es-ES"/>
              </w:rPr>
              <w:t>83</w:t>
            </w:r>
          </w:p>
        </w:tc>
        <w:tc>
          <w:tcPr>
            <w:tcW w:w="920" w:type="pct"/>
            <w:tcBorders>
              <w:top w:val="nil"/>
              <w:left w:val="nil"/>
              <w:bottom w:val="nil"/>
              <w:right w:val="nil"/>
            </w:tcBorders>
            <w:shd w:val="clear" w:color="auto" w:fill="auto"/>
            <w:vAlign w:val="center"/>
            <w:hideMark/>
          </w:tcPr>
          <w:p w14:paraId="5052B108" w14:textId="245FBC66" w:rsidR="00CC659A" w:rsidRPr="00CC659A" w:rsidRDefault="00847CA2"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Mónaco</w:t>
            </w:r>
          </w:p>
        </w:tc>
        <w:tc>
          <w:tcPr>
            <w:tcW w:w="404" w:type="pct"/>
            <w:tcBorders>
              <w:top w:val="nil"/>
              <w:left w:val="nil"/>
              <w:bottom w:val="nil"/>
              <w:right w:val="nil"/>
            </w:tcBorders>
            <w:shd w:val="clear" w:color="auto" w:fill="auto"/>
            <w:vAlign w:val="center"/>
            <w:hideMark/>
          </w:tcPr>
          <w:p w14:paraId="0F5E5122" w14:textId="77777777" w:rsidR="00CC659A" w:rsidRPr="00CC659A" w:rsidRDefault="00CC659A" w:rsidP="00CC659A">
            <w:pPr>
              <w:spacing w:after="0" w:line="240" w:lineRule="auto"/>
              <w:ind w:left="-108"/>
              <w:jc w:val="center"/>
              <w:rPr>
                <w:rFonts w:eastAsia="Times New Roman"/>
                <w:color w:val="000000"/>
                <w:sz w:val="16"/>
                <w:szCs w:val="16"/>
                <w:lang w:val="es-ES"/>
              </w:rPr>
            </w:pPr>
            <w:r w:rsidRPr="00CC659A">
              <w:rPr>
                <w:rFonts w:eastAsia="Times New Roman"/>
                <w:color w:val="000000"/>
                <w:sz w:val="16"/>
                <w:szCs w:val="16"/>
                <w:lang w:val="es-ES"/>
              </w:rPr>
              <w:t>0.011</w:t>
            </w:r>
          </w:p>
        </w:tc>
        <w:tc>
          <w:tcPr>
            <w:tcW w:w="420" w:type="pct"/>
            <w:tcBorders>
              <w:top w:val="nil"/>
              <w:left w:val="nil"/>
              <w:bottom w:val="nil"/>
              <w:right w:val="single" w:sz="8" w:space="0" w:color="808080"/>
            </w:tcBorders>
            <w:shd w:val="clear" w:color="auto" w:fill="auto"/>
            <w:vAlign w:val="center"/>
            <w:hideMark/>
          </w:tcPr>
          <w:p w14:paraId="305B34EF" w14:textId="77777777" w:rsidR="00CC659A" w:rsidRPr="00CC659A" w:rsidRDefault="00CC659A" w:rsidP="00CC659A">
            <w:pPr>
              <w:spacing w:after="0" w:line="240" w:lineRule="auto"/>
              <w:ind w:left="-108"/>
              <w:jc w:val="right"/>
              <w:rPr>
                <w:rFonts w:eastAsia="Times New Roman" w:cs="Arial"/>
                <w:color w:val="000000"/>
                <w:sz w:val="16"/>
                <w:szCs w:val="16"/>
                <w:lang w:val="es-ES"/>
              </w:rPr>
            </w:pPr>
            <w:r w:rsidRPr="00CC659A">
              <w:rPr>
                <w:rFonts w:eastAsia="Times New Roman" w:cs="Arial"/>
                <w:color w:val="000000"/>
                <w:sz w:val="16"/>
                <w:szCs w:val="16"/>
                <w:lang w:val="es-ES"/>
              </w:rPr>
              <w:t>0.025</w:t>
            </w:r>
          </w:p>
        </w:tc>
        <w:tc>
          <w:tcPr>
            <w:tcW w:w="444" w:type="pct"/>
            <w:tcBorders>
              <w:top w:val="nil"/>
              <w:left w:val="nil"/>
              <w:bottom w:val="nil"/>
              <w:right w:val="single" w:sz="4" w:space="0" w:color="808080"/>
            </w:tcBorders>
            <w:shd w:val="clear" w:color="auto" w:fill="auto"/>
            <w:vAlign w:val="center"/>
            <w:hideMark/>
          </w:tcPr>
          <w:p w14:paraId="360A756A"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2 215 </w:t>
            </w:r>
          </w:p>
        </w:tc>
        <w:tc>
          <w:tcPr>
            <w:tcW w:w="437" w:type="pct"/>
            <w:tcBorders>
              <w:top w:val="nil"/>
              <w:left w:val="nil"/>
              <w:bottom w:val="nil"/>
              <w:right w:val="single" w:sz="8" w:space="0" w:color="808080"/>
            </w:tcBorders>
            <w:shd w:val="clear" w:color="auto" w:fill="auto"/>
            <w:vAlign w:val="center"/>
            <w:hideMark/>
          </w:tcPr>
          <w:p w14:paraId="4A472D03"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738 </w:t>
            </w:r>
          </w:p>
        </w:tc>
        <w:tc>
          <w:tcPr>
            <w:tcW w:w="444" w:type="pct"/>
            <w:tcBorders>
              <w:top w:val="nil"/>
              <w:left w:val="nil"/>
              <w:bottom w:val="nil"/>
              <w:right w:val="single" w:sz="4" w:space="0" w:color="808080"/>
            </w:tcBorders>
            <w:shd w:val="clear" w:color="auto" w:fill="auto"/>
            <w:vAlign w:val="center"/>
            <w:hideMark/>
          </w:tcPr>
          <w:p w14:paraId="2796AD33"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2 471 </w:t>
            </w:r>
          </w:p>
        </w:tc>
        <w:tc>
          <w:tcPr>
            <w:tcW w:w="437" w:type="pct"/>
            <w:tcBorders>
              <w:top w:val="nil"/>
              <w:left w:val="nil"/>
              <w:bottom w:val="nil"/>
              <w:right w:val="single" w:sz="8" w:space="0" w:color="808080"/>
            </w:tcBorders>
            <w:shd w:val="clear" w:color="auto" w:fill="auto"/>
            <w:vAlign w:val="center"/>
            <w:hideMark/>
          </w:tcPr>
          <w:p w14:paraId="5A7F4096"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824 </w:t>
            </w:r>
          </w:p>
        </w:tc>
        <w:tc>
          <w:tcPr>
            <w:tcW w:w="444" w:type="pct"/>
            <w:tcBorders>
              <w:top w:val="nil"/>
              <w:left w:val="nil"/>
              <w:bottom w:val="nil"/>
              <w:right w:val="single" w:sz="4" w:space="0" w:color="808080"/>
            </w:tcBorders>
            <w:shd w:val="clear" w:color="auto" w:fill="auto"/>
            <w:vAlign w:val="center"/>
            <w:hideMark/>
          </w:tcPr>
          <w:p w14:paraId="5EDDAA22"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2 894 </w:t>
            </w:r>
          </w:p>
        </w:tc>
        <w:tc>
          <w:tcPr>
            <w:tcW w:w="437" w:type="pct"/>
            <w:tcBorders>
              <w:top w:val="nil"/>
              <w:left w:val="nil"/>
              <w:bottom w:val="nil"/>
              <w:right w:val="single" w:sz="8" w:space="0" w:color="808080"/>
            </w:tcBorders>
            <w:shd w:val="clear" w:color="auto" w:fill="auto"/>
            <w:vAlign w:val="center"/>
            <w:hideMark/>
          </w:tcPr>
          <w:p w14:paraId="78D4CCEA"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965 </w:t>
            </w:r>
          </w:p>
        </w:tc>
        <w:tc>
          <w:tcPr>
            <w:tcW w:w="444" w:type="pct"/>
            <w:tcBorders>
              <w:top w:val="nil"/>
              <w:left w:val="single" w:sz="4" w:space="0" w:color="808080"/>
              <w:bottom w:val="nil"/>
              <w:right w:val="single" w:sz="8" w:space="0" w:color="808080"/>
            </w:tcBorders>
            <w:shd w:val="clear" w:color="auto" w:fill="auto"/>
            <w:vAlign w:val="center"/>
            <w:hideMark/>
          </w:tcPr>
          <w:p w14:paraId="16C622CC"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2 155 </w:t>
            </w:r>
          </w:p>
        </w:tc>
      </w:tr>
      <w:tr w:rsidR="006D34EE" w:rsidRPr="00CC659A" w14:paraId="45D2B4B9" w14:textId="77777777" w:rsidTr="00477854">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6FDD6B78" w14:textId="77777777" w:rsidR="00CC659A" w:rsidRPr="00CC659A" w:rsidRDefault="00CC659A" w:rsidP="00CC659A">
            <w:pPr>
              <w:spacing w:after="0" w:line="240" w:lineRule="auto"/>
              <w:ind w:left="-108"/>
              <w:jc w:val="right"/>
              <w:rPr>
                <w:rFonts w:eastAsia="Times New Roman"/>
                <w:color w:val="000000"/>
                <w:sz w:val="16"/>
                <w:szCs w:val="16"/>
                <w:lang w:val="es-ES"/>
              </w:rPr>
            </w:pPr>
            <w:r w:rsidRPr="00CC659A">
              <w:rPr>
                <w:rFonts w:eastAsia="Times New Roman"/>
                <w:color w:val="000000"/>
                <w:sz w:val="16"/>
                <w:szCs w:val="16"/>
                <w:lang w:val="es-ES"/>
              </w:rPr>
              <w:t>84</w:t>
            </w:r>
          </w:p>
        </w:tc>
        <w:tc>
          <w:tcPr>
            <w:tcW w:w="920" w:type="pct"/>
            <w:tcBorders>
              <w:top w:val="nil"/>
              <w:left w:val="nil"/>
              <w:bottom w:val="nil"/>
              <w:right w:val="nil"/>
            </w:tcBorders>
            <w:shd w:val="clear" w:color="auto" w:fill="auto"/>
            <w:vAlign w:val="center"/>
            <w:hideMark/>
          </w:tcPr>
          <w:p w14:paraId="1C70C179" w14:textId="1F22BEA1"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Mongoli</w:t>
            </w:r>
            <w:r w:rsidR="00847CA2">
              <w:rPr>
                <w:rFonts w:eastAsia="Times New Roman"/>
                <w:color w:val="000000"/>
                <w:sz w:val="16"/>
                <w:szCs w:val="16"/>
                <w:lang w:val="es-ES"/>
              </w:rPr>
              <w:t>a</w:t>
            </w:r>
          </w:p>
        </w:tc>
        <w:tc>
          <w:tcPr>
            <w:tcW w:w="404" w:type="pct"/>
            <w:tcBorders>
              <w:top w:val="nil"/>
              <w:left w:val="nil"/>
              <w:bottom w:val="nil"/>
              <w:right w:val="nil"/>
            </w:tcBorders>
            <w:shd w:val="clear" w:color="auto" w:fill="auto"/>
            <w:vAlign w:val="center"/>
            <w:hideMark/>
          </w:tcPr>
          <w:p w14:paraId="2CBB0192" w14:textId="77777777" w:rsidR="00CC659A" w:rsidRPr="00CC659A" w:rsidRDefault="00CC659A" w:rsidP="00CC659A">
            <w:pPr>
              <w:spacing w:after="0" w:line="240" w:lineRule="auto"/>
              <w:ind w:left="-108"/>
              <w:jc w:val="center"/>
              <w:rPr>
                <w:rFonts w:eastAsia="Times New Roman"/>
                <w:color w:val="000000"/>
                <w:sz w:val="16"/>
                <w:szCs w:val="16"/>
                <w:lang w:val="es-ES"/>
              </w:rPr>
            </w:pPr>
            <w:r w:rsidRPr="00CC659A">
              <w:rPr>
                <w:rFonts w:eastAsia="Times New Roman"/>
                <w:color w:val="000000"/>
                <w:sz w:val="16"/>
                <w:szCs w:val="16"/>
                <w:lang w:val="es-ES"/>
              </w:rPr>
              <w:t>0.004</w:t>
            </w:r>
          </w:p>
        </w:tc>
        <w:tc>
          <w:tcPr>
            <w:tcW w:w="420" w:type="pct"/>
            <w:tcBorders>
              <w:top w:val="nil"/>
              <w:left w:val="nil"/>
              <w:bottom w:val="nil"/>
              <w:right w:val="single" w:sz="8" w:space="0" w:color="808080"/>
            </w:tcBorders>
            <w:shd w:val="clear" w:color="auto" w:fill="auto"/>
            <w:vAlign w:val="center"/>
            <w:hideMark/>
          </w:tcPr>
          <w:p w14:paraId="1D3803E0" w14:textId="77777777" w:rsidR="00CC659A" w:rsidRPr="00CC659A" w:rsidRDefault="00CC659A" w:rsidP="00CC659A">
            <w:pPr>
              <w:spacing w:after="0" w:line="240" w:lineRule="auto"/>
              <w:ind w:left="-108"/>
              <w:jc w:val="right"/>
              <w:rPr>
                <w:rFonts w:eastAsia="Times New Roman" w:cs="Arial"/>
                <w:color w:val="000000"/>
                <w:sz w:val="16"/>
                <w:szCs w:val="16"/>
                <w:lang w:val="es-ES"/>
              </w:rPr>
            </w:pPr>
            <w:r w:rsidRPr="00CC659A">
              <w:rPr>
                <w:rFonts w:eastAsia="Times New Roman" w:cs="Arial"/>
                <w:color w:val="000000"/>
                <w:sz w:val="16"/>
                <w:szCs w:val="16"/>
                <w:lang w:val="es-ES"/>
              </w:rPr>
              <w:t>0.009</w:t>
            </w:r>
          </w:p>
        </w:tc>
        <w:tc>
          <w:tcPr>
            <w:tcW w:w="444" w:type="pct"/>
            <w:tcBorders>
              <w:top w:val="nil"/>
              <w:left w:val="nil"/>
              <w:bottom w:val="nil"/>
              <w:right w:val="single" w:sz="4" w:space="0" w:color="808080"/>
            </w:tcBorders>
            <w:shd w:val="clear" w:color="auto" w:fill="auto"/>
            <w:vAlign w:val="center"/>
            <w:hideMark/>
          </w:tcPr>
          <w:p w14:paraId="08F966F2"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806 </w:t>
            </w:r>
          </w:p>
        </w:tc>
        <w:tc>
          <w:tcPr>
            <w:tcW w:w="437" w:type="pct"/>
            <w:tcBorders>
              <w:top w:val="nil"/>
              <w:left w:val="nil"/>
              <w:bottom w:val="nil"/>
              <w:right w:val="single" w:sz="8" w:space="0" w:color="808080"/>
            </w:tcBorders>
            <w:shd w:val="clear" w:color="auto" w:fill="auto"/>
            <w:vAlign w:val="center"/>
            <w:hideMark/>
          </w:tcPr>
          <w:p w14:paraId="62EEF8BA"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269 </w:t>
            </w:r>
          </w:p>
        </w:tc>
        <w:tc>
          <w:tcPr>
            <w:tcW w:w="444" w:type="pct"/>
            <w:tcBorders>
              <w:top w:val="nil"/>
              <w:left w:val="nil"/>
              <w:bottom w:val="nil"/>
              <w:right w:val="single" w:sz="4" w:space="0" w:color="808080"/>
            </w:tcBorders>
            <w:shd w:val="clear" w:color="auto" w:fill="auto"/>
            <w:vAlign w:val="center"/>
            <w:hideMark/>
          </w:tcPr>
          <w:p w14:paraId="04C8D4DC"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899 </w:t>
            </w:r>
          </w:p>
        </w:tc>
        <w:tc>
          <w:tcPr>
            <w:tcW w:w="437" w:type="pct"/>
            <w:tcBorders>
              <w:top w:val="nil"/>
              <w:left w:val="nil"/>
              <w:bottom w:val="nil"/>
              <w:right w:val="single" w:sz="8" w:space="0" w:color="808080"/>
            </w:tcBorders>
            <w:shd w:val="clear" w:color="auto" w:fill="auto"/>
            <w:vAlign w:val="center"/>
            <w:hideMark/>
          </w:tcPr>
          <w:p w14:paraId="279AB4DF"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300 </w:t>
            </w:r>
          </w:p>
        </w:tc>
        <w:tc>
          <w:tcPr>
            <w:tcW w:w="444" w:type="pct"/>
            <w:tcBorders>
              <w:top w:val="nil"/>
              <w:left w:val="nil"/>
              <w:bottom w:val="nil"/>
              <w:right w:val="single" w:sz="4" w:space="0" w:color="808080"/>
            </w:tcBorders>
            <w:shd w:val="clear" w:color="auto" w:fill="auto"/>
            <w:vAlign w:val="center"/>
            <w:hideMark/>
          </w:tcPr>
          <w:p w14:paraId="75198448"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1 052 </w:t>
            </w:r>
          </w:p>
        </w:tc>
        <w:tc>
          <w:tcPr>
            <w:tcW w:w="437" w:type="pct"/>
            <w:tcBorders>
              <w:top w:val="nil"/>
              <w:left w:val="nil"/>
              <w:bottom w:val="nil"/>
              <w:right w:val="single" w:sz="8" w:space="0" w:color="808080"/>
            </w:tcBorders>
            <w:shd w:val="clear" w:color="auto" w:fill="auto"/>
            <w:vAlign w:val="center"/>
            <w:hideMark/>
          </w:tcPr>
          <w:p w14:paraId="6EF4C3FA"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351 </w:t>
            </w:r>
          </w:p>
        </w:tc>
        <w:tc>
          <w:tcPr>
            <w:tcW w:w="444" w:type="pct"/>
            <w:tcBorders>
              <w:top w:val="nil"/>
              <w:left w:val="single" w:sz="4" w:space="0" w:color="808080"/>
              <w:bottom w:val="nil"/>
              <w:right w:val="single" w:sz="8" w:space="0" w:color="808080"/>
            </w:tcBorders>
            <w:shd w:val="clear" w:color="auto" w:fill="auto"/>
            <w:vAlign w:val="center"/>
            <w:hideMark/>
          </w:tcPr>
          <w:p w14:paraId="3F0F378B"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979 </w:t>
            </w:r>
          </w:p>
        </w:tc>
      </w:tr>
      <w:tr w:rsidR="006D34EE" w:rsidRPr="00CC659A" w14:paraId="2004E77E" w14:textId="77777777" w:rsidTr="00477854">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3F6C0642" w14:textId="77777777" w:rsidR="00CC659A" w:rsidRPr="00CC659A" w:rsidRDefault="00CC659A" w:rsidP="00CC659A">
            <w:pPr>
              <w:spacing w:after="0" w:line="240" w:lineRule="auto"/>
              <w:ind w:left="-108"/>
              <w:jc w:val="right"/>
              <w:rPr>
                <w:rFonts w:eastAsia="Times New Roman"/>
                <w:color w:val="000000"/>
                <w:sz w:val="16"/>
                <w:szCs w:val="16"/>
                <w:lang w:val="es-ES"/>
              </w:rPr>
            </w:pPr>
            <w:r w:rsidRPr="00CC659A">
              <w:rPr>
                <w:rFonts w:eastAsia="Times New Roman"/>
                <w:color w:val="000000"/>
                <w:sz w:val="16"/>
                <w:szCs w:val="16"/>
                <w:lang w:val="es-ES"/>
              </w:rPr>
              <w:t>85</w:t>
            </w:r>
          </w:p>
        </w:tc>
        <w:tc>
          <w:tcPr>
            <w:tcW w:w="920" w:type="pct"/>
            <w:tcBorders>
              <w:top w:val="nil"/>
              <w:left w:val="nil"/>
              <w:bottom w:val="nil"/>
              <w:right w:val="nil"/>
            </w:tcBorders>
            <w:shd w:val="clear" w:color="auto" w:fill="auto"/>
            <w:vAlign w:val="center"/>
            <w:hideMark/>
          </w:tcPr>
          <w:p w14:paraId="2E38DEC8" w14:textId="4677B3A5" w:rsidR="00CC659A" w:rsidRPr="00CC659A" w:rsidRDefault="00847CA2"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Montenegro</w:t>
            </w:r>
          </w:p>
        </w:tc>
        <w:tc>
          <w:tcPr>
            <w:tcW w:w="404" w:type="pct"/>
            <w:tcBorders>
              <w:top w:val="nil"/>
              <w:left w:val="nil"/>
              <w:bottom w:val="nil"/>
              <w:right w:val="nil"/>
            </w:tcBorders>
            <w:shd w:val="clear" w:color="auto" w:fill="auto"/>
            <w:vAlign w:val="center"/>
            <w:hideMark/>
          </w:tcPr>
          <w:p w14:paraId="56C75919" w14:textId="77777777" w:rsidR="00CC659A" w:rsidRPr="00CC659A" w:rsidRDefault="00CC659A" w:rsidP="00CC659A">
            <w:pPr>
              <w:spacing w:after="0" w:line="240" w:lineRule="auto"/>
              <w:ind w:left="-108"/>
              <w:jc w:val="center"/>
              <w:rPr>
                <w:rFonts w:eastAsia="Times New Roman"/>
                <w:color w:val="000000"/>
                <w:sz w:val="16"/>
                <w:szCs w:val="16"/>
                <w:lang w:val="es-ES"/>
              </w:rPr>
            </w:pPr>
            <w:r w:rsidRPr="00CC659A">
              <w:rPr>
                <w:rFonts w:eastAsia="Times New Roman"/>
                <w:color w:val="000000"/>
                <w:sz w:val="16"/>
                <w:szCs w:val="16"/>
                <w:lang w:val="es-ES"/>
              </w:rPr>
              <w:t>0.004</w:t>
            </w:r>
          </w:p>
        </w:tc>
        <w:tc>
          <w:tcPr>
            <w:tcW w:w="420" w:type="pct"/>
            <w:tcBorders>
              <w:top w:val="nil"/>
              <w:left w:val="nil"/>
              <w:bottom w:val="nil"/>
              <w:right w:val="single" w:sz="8" w:space="0" w:color="808080"/>
            </w:tcBorders>
            <w:shd w:val="clear" w:color="auto" w:fill="auto"/>
            <w:vAlign w:val="center"/>
            <w:hideMark/>
          </w:tcPr>
          <w:p w14:paraId="38B207FF" w14:textId="77777777" w:rsidR="00CC659A" w:rsidRPr="00CC659A" w:rsidRDefault="00CC659A" w:rsidP="00CC659A">
            <w:pPr>
              <w:spacing w:after="0" w:line="240" w:lineRule="auto"/>
              <w:ind w:left="-108"/>
              <w:jc w:val="right"/>
              <w:rPr>
                <w:rFonts w:eastAsia="Times New Roman" w:cs="Arial"/>
                <w:color w:val="000000"/>
                <w:sz w:val="16"/>
                <w:szCs w:val="16"/>
                <w:lang w:val="es-ES"/>
              </w:rPr>
            </w:pPr>
            <w:r w:rsidRPr="00CC659A">
              <w:rPr>
                <w:rFonts w:eastAsia="Times New Roman" w:cs="Arial"/>
                <w:color w:val="000000"/>
                <w:sz w:val="16"/>
                <w:szCs w:val="16"/>
                <w:lang w:val="es-ES"/>
              </w:rPr>
              <w:t>0.009</w:t>
            </w:r>
          </w:p>
        </w:tc>
        <w:tc>
          <w:tcPr>
            <w:tcW w:w="444" w:type="pct"/>
            <w:tcBorders>
              <w:top w:val="nil"/>
              <w:left w:val="nil"/>
              <w:bottom w:val="nil"/>
              <w:right w:val="single" w:sz="4" w:space="0" w:color="808080"/>
            </w:tcBorders>
            <w:shd w:val="clear" w:color="auto" w:fill="auto"/>
            <w:vAlign w:val="center"/>
            <w:hideMark/>
          </w:tcPr>
          <w:p w14:paraId="20E99B67"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806 </w:t>
            </w:r>
          </w:p>
        </w:tc>
        <w:tc>
          <w:tcPr>
            <w:tcW w:w="437" w:type="pct"/>
            <w:tcBorders>
              <w:top w:val="nil"/>
              <w:left w:val="nil"/>
              <w:bottom w:val="nil"/>
              <w:right w:val="single" w:sz="8" w:space="0" w:color="808080"/>
            </w:tcBorders>
            <w:shd w:val="clear" w:color="auto" w:fill="auto"/>
            <w:vAlign w:val="center"/>
            <w:hideMark/>
          </w:tcPr>
          <w:p w14:paraId="3CFB891F"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269 </w:t>
            </w:r>
          </w:p>
        </w:tc>
        <w:tc>
          <w:tcPr>
            <w:tcW w:w="444" w:type="pct"/>
            <w:tcBorders>
              <w:top w:val="nil"/>
              <w:left w:val="nil"/>
              <w:bottom w:val="nil"/>
              <w:right w:val="single" w:sz="4" w:space="0" w:color="808080"/>
            </w:tcBorders>
            <w:shd w:val="clear" w:color="auto" w:fill="auto"/>
            <w:vAlign w:val="center"/>
            <w:hideMark/>
          </w:tcPr>
          <w:p w14:paraId="18C847C6"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899 </w:t>
            </w:r>
          </w:p>
        </w:tc>
        <w:tc>
          <w:tcPr>
            <w:tcW w:w="437" w:type="pct"/>
            <w:tcBorders>
              <w:top w:val="nil"/>
              <w:left w:val="nil"/>
              <w:bottom w:val="nil"/>
              <w:right w:val="single" w:sz="8" w:space="0" w:color="808080"/>
            </w:tcBorders>
            <w:shd w:val="clear" w:color="auto" w:fill="auto"/>
            <w:vAlign w:val="center"/>
            <w:hideMark/>
          </w:tcPr>
          <w:p w14:paraId="567644C7"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300 </w:t>
            </w:r>
          </w:p>
        </w:tc>
        <w:tc>
          <w:tcPr>
            <w:tcW w:w="444" w:type="pct"/>
            <w:tcBorders>
              <w:top w:val="nil"/>
              <w:left w:val="nil"/>
              <w:bottom w:val="nil"/>
              <w:right w:val="single" w:sz="4" w:space="0" w:color="808080"/>
            </w:tcBorders>
            <w:shd w:val="clear" w:color="auto" w:fill="auto"/>
            <w:vAlign w:val="center"/>
            <w:hideMark/>
          </w:tcPr>
          <w:p w14:paraId="12397BEF"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1 052 </w:t>
            </w:r>
          </w:p>
        </w:tc>
        <w:tc>
          <w:tcPr>
            <w:tcW w:w="437" w:type="pct"/>
            <w:tcBorders>
              <w:top w:val="nil"/>
              <w:left w:val="nil"/>
              <w:bottom w:val="nil"/>
              <w:right w:val="single" w:sz="8" w:space="0" w:color="808080"/>
            </w:tcBorders>
            <w:shd w:val="clear" w:color="auto" w:fill="auto"/>
            <w:vAlign w:val="center"/>
            <w:hideMark/>
          </w:tcPr>
          <w:p w14:paraId="42543A0B"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351 </w:t>
            </w:r>
          </w:p>
        </w:tc>
        <w:tc>
          <w:tcPr>
            <w:tcW w:w="444" w:type="pct"/>
            <w:tcBorders>
              <w:top w:val="nil"/>
              <w:left w:val="single" w:sz="4" w:space="0" w:color="808080"/>
              <w:bottom w:val="nil"/>
              <w:right w:val="single" w:sz="8" w:space="0" w:color="808080"/>
            </w:tcBorders>
            <w:shd w:val="clear" w:color="auto" w:fill="auto"/>
            <w:vAlign w:val="center"/>
            <w:hideMark/>
          </w:tcPr>
          <w:p w14:paraId="34439702"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784 </w:t>
            </w:r>
          </w:p>
        </w:tc>
      </w:tr>
      <w:tr w:rsidR="006D34EE" w:rsidRPr="00CC659A" w14:paraId="2872350B" w14:textId="77777777" w:rsidTr="00477854">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7731965A" w14:textId="77777777" w:rsidR="00CC659A" w:rsidRPr="00CC659A" w:rsidRDefault="00CC659A" w:rsidP="00CC659A">
            <w:pPr>
              <w:spacing w:after="0" w:line="240" w:lineRule="auto"/>
              <w:ind w:left="-108"/>
              <w:jc w:val="right"/>
              <w:rPr>
                <w:rFonts w:eastAsia="Times New Roman"/>
                <w:color w:val="000000"/>
                <w:sz w:val="16"/>
                <w:szCs w:val="16"/>
                <w:lang w:val="es-ES"/>
              </w:rPr>
            </w:pPr>
            <w:r w:rsidRPr="00CC659A">
              <w:rPr>
                <w:rFonts w:eastAsia="Times New Roman"/>
                <w:color w:val="000000"/>
                <w:sz w:val="16"/>
                <w:szCs w:val="16"/>
                <w:lang w:val="es-ES"/>
              </w:rPr>
              <w:t>86</w:t>
            </w:r>
          </w:p>
        </w:tc>
        <w:tc>
          <w:tcPr>
            <w:tcW w:w="920" w:type="pct"/>
            <w:tcBorders>
              <w:top w:val="nil"/>
              <w:left w:val="nil"/>
              <w:bottom w:val="nil"/>
              <w:right w:val="nil"/>
            </w:tcBorders>
            <w:shd w:val="clear" w:color="auto" w:fill="auto"/>
            <w:vAlign w:val="center"/>
            <w:hideMark/>
          </w:tcPr>
          <w:p w14:paraId="4461E2C5" w14:textId="0D1C3703" w:rsidR="00CC659A" w:rsidRPr="00CC659A" w:rsidRDefault="00E24C7B"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Mar</w:t>
            </w:r>
            <w:r>
              <w:rPr>
                <w:rFonts w:eastAsia="Times New Roman"/>
                <w:color w:val="000000"/>
                <w:sz w:val="16"/>
                <w:szCs w:val="16"/>
                <w:lang w:val="es-ES"/>
              </w:rPr>
              <w:t>ruecos</w:t>
            </w:r>
            <w:r w:rsidR="00CC659A" w:rsidRPr="00CC659A">
              <w:rPr>
                <w:rFonts w:eastAsia="Times New Roman"/>
                <w:color w:val="000000"/>
                <w:sz w:val="16"/>
                <w:szCs w:val="16"/>
                <w:lang w:val="es-ES"/>
              </w:rPr>
              <w:t xml:space="preserve"> </w:t>
            </w:r>
          </w:p>
        </w:tc>
        <w:tc>
          <w:tcPr>
            <w:tcW w:w="404" w:type="pct"/>
            <w:tcBorders>
              <w:top w:val="nil"/>
              <w:left w:val="nil"/>
              <w:bottom w:val="nil"/>
              <w:right w:val="nil"/>
            </w:tcBorders>
            <w:shd w:val="clear" w:color="auto" w:fill="auto"/>
            <w:vAlign w:val="center"/>
            <w:hideMark/>
          </w:tcPr>
          <w:p w14:paraId="7A4584F1" w14:textId="77777777" w:rsidR="00CC659A" w:rsidRPr="00CC659A" w:rsidRDefault="00CC659A" w:rsidP="00CC659A">
            <w:pPr>
              <w:spacing w:after="0" w:line="240" w:lineRule="auto"/>
              <w:ind w:left="-108"/>
              <w:jc w:val="center"/>
              <w:rPr>
                <w:rFonts w:eastAsia="Times New Roman"/>
                <w:color w:val="000000"/>
                <w:sz w:val="16"/>
                <w:szCs w:val="16"/>
                <w:lang w:val="es-ES"/>
              </w:rPr>
            </w:pPr>
            <w:r w:rsidRPr="00CC659A">
              <w:rPr>
                <w:rFonts w:eastAsia="Times New Roman"/>
                <w:color w:val="000000"/>
                <w:sz w:val="16"/>
                <w:szCs w:val="16"/>
                <w:lang w:val="es-ES"/>
              </w:rPr>
              <w:t>0.055</w:t>
            </w:r>
          </w:p>
        </w:tc>
        <w:tc>
          <w:tcPr>
            <w:tcW w:w="420" w:type="pct"/>
            <w:tcBorders>
              <w:top w:val="nil"/>
              <w:left w:val="nil"/>
              <w:bottom w:val="nil"/>
              <w:right w:val="single" w:sz="8" w:space="0" w:color="808080"/>
            </w:tcBorders>
            <w:shd w:val="clear" w:color="auto" w:fill="auto"/>
            <w:vAlign w:val="center"/>
            <w:hideMark/>
          </w:tcPr>
          <w:p w14:paraId="580A0889" w14:textId="77777777" w:rsidR="00CC659A" w:rsidRPr="00CC659A" w:rsidRDefault="00CC659A" w:rsidP="00CC659A">
            <w:pPr>
              <w:spacing w:after="0" w:line="240" w:lineRule="auto"/>
              <w:ind w:left="-108"/>
              <w:jc w:val="right"/>
              <w:rPr>
                <w:rFonts w:eastAsia="Times New Roman" w:cs="Arial"/>
                <w:color w:val="000000"/>
                <w:sz w:val="16"/>
                <w:szCs w:val="16"/>
                <w:lang w:val="es-ES"/>
              </w:rPr>
            </w:pPr>
            <w:r w:rsidRPr="00CC659A">
              <w:rPr>
                <w:rFonts w:eastAsia="Times New Roman" w:cs="Arial"/>
                <w:color w:val="000000"/>
                <w:sz w:val="16"/>
                <w:szCs w:val="16"/>
                <w:lang w:val="es-ES"/>
              </w:rPr>
              <w:t>0.127</w:t>
            </w:r>
          </w:p>
        </w:tc>
        <w:tc>
          <w:tcPr>
            <w:tcW w:w="444" w:type="pct"/>
            <w:tcBorders>
              <w:top w:val="nil"/>
              <w:left w:val="nil"/>
              <w:bottom w:val="nil"/>
              <w:right w:val="single" w:sz="4" w:space="0" w:color="808080"/>
            </w:tcBorders>
            <w:shd w:val="clear" w:color="auto" w:fill="auto"/>
            <w:vAlign w:val="center"/>
            <w:hideMark/>
          </w:tcPr>
          <w:p w14:paraId="13F65AB2"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11 077 </w:t>
            </w:r>
          </w:p>
        </w:tc>
        <w:tc>
          <w:tcPr>
            <w:tcW w:w="437" w:type="pct"/>
            <w:tcBorders>
              <w:top w:val="nil"/>
              <w:left w:val="nil"/>
              <w:bottom w:val="nil"/>
              <w:right w:val="single" w:sz="8" w:space="0" w:color="808080"/>
            </w:tcBorders>
            <w:shd w:val="clear" w:color="auto" w:fill="auto"/>
            <w:vAlign w:val="center"/>
            <w:hideMark/>
          </w:tcPr>
          <w:p w14:paraId="6D0219DB"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3 692 </w:t>
            </w:r>
          </w:p>
        </w:tc>
        <w:tc>
          <w:tcPr>
            <w:tcW w:w="444" w:type="pct"/>
            <w:tcBorders>
              <w:top w:val="nil"/>
              <w:left w:val="nil"/>
              <w:bottom w:val="nil"/>
              <w:right w:val="single" w:sz="4" w:space="0" w:color="808080"/>
            </w:tcBorders>
            <w:shd w:val="clear" w:color="auto" w:fill="auto"/>
            <w:vAlign w:val="center"/>
            <w:hideMark/>
          </w:tcPr>
          <w:p w14:paraId="04A6D36F"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12 357 </w:t>
            </w:r>
          </w:p>
        </w:tc>
        <w:tc>
          <w:tcPr>
            <w:tcW w:w="437" w:type="pct"/>
            <w:tcBorders>
              <w:top w:val="nil"/>
              <w:left w:val="nil"/>
              <w:bottom w:val="nil"/>
              <w:right w:val="single" w:sz="8" w:space="0" w:color="808080"/>
            </w:tcBorders>
            <w:shd w:val="clear" w:color="auto" w:fill="auto"/>
            <w:vAlign w:val="center"/>
            <w:hideMark/>
          </w:tcPr>
          <w:p w14:paraId="0F09F9F5"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4 119 </w:t>
            </w:r>
          </w:p>
        </w:tc>
        <w:tc>
          <w:tcPr>
            <w:tcW w:w="444" w:type="pct"/>
            <w:tcBorders>
              <w:top w:val="nil"/>
              <w:left w:val="nil"/>
              <w:bottom w:val="nil"/>
              <w:right w:val="single" w:sz="4" w:space="0" w:color="808080"/>
            </w:tcBorders>
            <w:shd w:val="clear" w:color="auto" w:fill="auto"/>
            <w:vAlign w:val="center"/>
            <w:hideMark/>
          </w:tcPr>
          <w:p w14:paraId="0CC6DB10"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14 469 </w:t>
            </w:r>
          </w:p>
        </w:tc>
        <w:tc>
          <w:tcPr>
            <w:tcW w:w="437" w:type="pct"/>
            <w:tcBorders>
              <w:top w:val="nil"/>
              <w:left w:val="nil"/>
              <w:bottom w:val="nil"/>
              <w:right w:val="single" w:sz="8" w:space="0" w:color="808080"/>
            </w:tcBorders>
            <w:shd w:val="clear" w:color="auto" w:fill="auto"/>
            <w:vAlign w:val="center"/>
            <w:hideMark/>
          </w:tcPr>
          <w:p w14:paraId="43CEAAFC"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4 823 </w:t>
            </w:r>
          </w:p>
        </w:tc>
        <w:tc>
          <w:tcPr>
            <w:tcW w:w="444" w:type="pct"/>
            <w:tcBorders>
              <w:top w:val="nil"/>
              <w:left w:val="single" w:sz="4" w:space="0" w:color="808080"/>
              <w:bottom w:val="nil"/>
              <w:right w:val="single" w:sz="8" w:space="0" w:color="808080"/>
            </w:tcBorders>
            <w:shd w:val="clear" w:color="auto" w:fill="auto"/>
            <w:vAlign w:val="center"/>
            <w:hideMark/>
          </w:tcPr>
          <w:p w14:paraId="6A826BE6"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10 778 </w:t>
            </w:r>
          </w:p>
        </w:tc>
      </w:tr>
      <w:tr w:rsidR="006D34EE" w:rsidRPr="00CC659A" w14:paraId="3E9F12F9" w14:textId="77777777" w:rsidTr="00477854">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40699C58" w14:textId="77777777" w:rsidR="00CC659A" w:rsidRPr="00CC659A" w:rsidRDefault="00CC659A" w:rsidP="00CC659A">
            <w:pPr>
              <w:spacing w:after="0" w:line="240" w:lineRule="auto"/>
              <w:ind w:left="-108"/>
              <w:jc w:val="right"/>
              <w:rPr>
                <w:rFonts w:eastAsia="Times New Roman"/>
                <w:color w:val="000000"/>
                <w:sz w:val="16"/>
                <w:szCs w:val="16"/>
                <w:lang w:val="es-ES"/>
              </w:rPr>
            </w:pPr>
            <w:r w:rsidRPr="00CC659A">
              <w:rPr>
                <w:rFonts w:eastAsia="Times New Roman"/>
                <w:color w:val="000000"/>
                <w:sz w:val="16"/>
                <w:szCs w:val="16"/>
                <w:lang w:val="es-ES"/>
              </w:rPr>
              <w:t>87</w:t>
            </w:r>
          </w:p>
        </w:tc>
        <w:tc>
          <w:tcPr>
            <w:tcW w:w="920" w:type="pct"/>
            <w:tcBorders>
              <w:top w:val="nil"/>
              <w:left w:val="nil"/>
              <w:bottom w:val="nil"/>
              <w:right w:val="nil"/>
            </w:tcBorders>
            <w:shd w:val="clear" w:color="auto" w:fill="auto"/>
            <w:vAlign w:val="center"/>
            <w:hideMark/>
          </w:tcPr>
          <w:p w14:paraId="2E9FC266"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Mozambique</w:t>
            </w:r>
          </w:p>
        </w:tc>
        <w:tc>
          <w:tcPr>
            <w:tcW w:w="404" w:type="pct"/>
            <w:tcBorders>
              <w:top w:val="nil"/>
              <w:left w:val="nil"/>
              <w:bottom w:val="nil"/>
              <w:right w:val="nil"/>
            </w:tcBorders>
            <w:shd w:val="clear" w:color="auto" w:fill="auto"/>
            <w:vAlign w:val="center"/>
            <w:hideMark/>
          </w:tcPr>
          <w:p w14:paraId="41F18225" w14:textId="77777777" w:rsidR="00CC659A" w:rsidRPr="00CC659A" w:rsidRDefault="00CC659A" w:rsidP="00CC659A">
            <w:pPr>
              <w:spacing w:after="0" w:line="240" w:lineRule="auto"/>
              <w:ind w:left="-108"/>
              <w:jc w:val="center"/>
              <w:rPr>
                <w:rFonts w:eastAsia="Times New Roman"/>
                <w:color w:val="000000"/>
                <w:sz w:val="16"/>
                <w:szCs w:val="16"/>
                <w:lang w:val="es-ES"/>
              </w:rPr>
            </w:pPr>
            <w:r w:rsidRPr="00CC659A">
              <w:rPr>
                <w:rFonts w:eastAsia="Times New Roman"/>
                <w:color w:val="000000"/>
                <w:sz w:val="16"/>
                <w:szCs w:val="16"/>
                <w:lang w:val="es-ES"/>
              </w:rPr>
              <w:t>0.004</w:t>
            </w:r>
          </w:p>
        </w:tc>
        <w:tc>
          <w:tcPr>
            <w:tcW w:w="420" w:type="pct"/>
            <w:tcBorders>
              <w:top w:val="nil"/>
              <w:left w:val="nil"/>
              <w:bottom w:val="nil"/>
              <w:right w:val="single" w:sz="8" w:space="0" w:color="808080"/>
            </w:tcBorders>
            <w:shd w:val="clear" w:color="auto" w:fill="auto"/>
            <w:vAlign w:val="center"/>
            <w:hideMark/>
          </w:tcPr>
          <w:p w14:paraId="691A9D08" w14:textId="77777777" w:rsidR="00CC659A" w:rsidRPr="00CC659A" w:rsidRDefault="00CC659A" w:rsidP="00CC659A">
            <w:pPr>
              <w:spacing w:after="0" w:line="240" w:lineRule="auto"/>
              <w:ind w:left="-108"/>
              <w:jc w:val="right"/>
              <w:rPr>
                <w:rFonts w:eastAsia="Times New Roman" w:cs="Arial"/>
                <w:color w:val="000000"/>
                <w:sz w:val="16"/>
                <w:szCs w:val="16"/>
                <w:lang w:val="es-ES"/>
              </w:rPr>
            </w:pPr>
            <w:r w:rsidRPr="00CC659A">
              <w:rPr>
                <w:rFonts w:eastAsia="Times New Roman" w:cs="Arial"/>
                <w:color w:val="000000"/>
                <w:sz w:val="16"/>
                <w:szCs w:val="16"/>
                <w:lang w:val="es-ES"/>
              </w:rPr>
              <w:t>0.009</w:t>
            </w:r>
          </w:p>
        </w:tc>
        <w:tc>
          <w:tcPr>
            <w:tcW w:w="444" w:type="pct"/>
            <w:tcBorders>
              <w:top w:val="nil"/>
              <w:left w:val="nil"/>
              <w:bottom w:val="nil"/>
              <w:right w:val="single" w:sz="4" w:space="0" w:color="808080"/>
            </w:tcBorders>
            <w:shd w:val="clear" w:color="auto" w:fill="auto"/>
            <w:vAlign w:val="center"/>
            <w:hideMark/>
          </w:tcPr>
          <w:p w14:paraId="3D0722B5"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806 </w:t>
            </w:r>
          </w:p>
        </w:tc>
        <w:tc>
          <w:tcPr>
            <w:tcW w:w="437" w:type="pct"/>
            <w:tcBorders>
              <w:top w:val="nil"/>
              <w:left w:val="nil"/>
              <w:bottom w:val="nil"/>
              <w:right w:val="single" w:sz="8" w:space="0" w:color="808080"/>
            </w:tcBorders>
            <w:shd w:val="clear" w:color="auto" w:fill="auto"/>
            <w:vAlign w:val="center"/>
            <w:hideMark/>
          </w:tcPr>
          <w:p w14:paraId="55CB5BAF"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269 </w:t>
            </w:r>
          </w:p>
        </w:tc>
        <w:tc>
          <w:tcPr>
            <w:tcW w:w="444" w:type="pct"/>
            <w:tcBorders>
              <w:top w:val="nil"/>
              <w:left w:val="nil"/>
              <w:bottom w:val="nil"/>
              <w:right w:val="single" w:sz="4" w:space="0" w:color="808080"/>
            </w:tcBorders>
            <w:shd w:val="clear" w:color="auto" w:fill="auto"/>
            <w:vAlign w:val="center"/>
            <w:hideMark/>
          </w:tcPr>
          <w:p w14:paraId="758931EC"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899 </w:t>
            </w:r>
          </w:p>
        </w:tc>
        <w:tc>
          <w:tcPr>
            <w:tcW w:w="437" w:type="pct"/>
            <w:tcBorders>
              <w:top w:val="nil"/>
              <w:left w:val="nil"/>
              <w:bottom w:val="nil"/>
              <w:right w:val="single" w:sz="8" w:space="0" w:color="808080"/>
            </w:tcBorders>
            <w:shd w:val="clear" w:color="auto" w:fill="auto"/>
            <w:vAlign w:val="center"/>
            <w:hideMark/>
          </w:tcPr>
          <w:p w14:paraId="2B4D1369"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300 </w:t>
            </w:r>
          </w:p>
        </w:tc>
        <w:tc>
          <w:tcPr>
            <w:tcW w:w="444" w:type="pct"/>
            <w:tcBorders>
              <w:top w:val="nil"/>
              <w:left w:val="nil"/>
              <w:bottom w:val="nil"/>
              <w:right w:val="single" w:sz="4" w:space="0" w:color="808080"/>
            </w:tcBorders>
            <w:shd w:val="clear" w:color="auto" w:fill="auto"/>
            <w:vAlign w:val="center"/>
            <w:hideMark/>
          </w:tcPr>
          <w:p w14:paraId="46EE738B"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1 052 </w:t>
            </w:r>
          </w:p>
        </w:tc>
        <w:tc>
          <w:tcPr>
            <w:tcW w:w="437" w:type="pct"/>
            <w:tcBorders>
              <w:top w:val="nil"/>
              <w:left w:val="nil"/>
              <w:bottom w:val="nil"/>
              <w:right w:val="single" w:sz="8" w:space="0" w:color="808080"/>
            </w:tcBorders>
            <w:shd w:val="clear" w:color="auto" w:fill="auto"/>
            <w:vAlign w:val="center"/>
            <w:hideMark/>
          </w:tcPr>
          <w:p w14:paraId="44D37184"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351 </w:t>
            </w:r>
          </w:p>
        </w:tc>
        <w:tc>
          <w:tcPr>
            <w:tcW w:w="444" w:type="pct"/>
            <w:tcBorders>
              <w:top w:val="nil"/>
              <w:left w:val="single" w:sz="4" w:space="0" w:color="808080"/>
              <w:bottom w:val="nil"/>
              <w:right w:val="single" w:sz="8" w:space="0" w:color="808080"/>
            </w:tcBorders>
            <w:shd w:val="clear" w:color="auto" w:fill="auto"/>
            <w:vAlign w:val="center"/>
            <w:hideMark/>
          </w:tcPr>
          <w:p w14:paraId="7EB69C82"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784 </w:t>
            </w:r>
          </w:p>
        </w:tc>
      </w:tr>
      <w:tr w:rsidR="006D34EE" w:rsidRPr="00CC659A" w14:paraId="75487C53" w14:textId="77777777" w:rsidTr="00477854">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77A7BC16" w14:textId="77777777" w:rsidR="00CC659A" w:rsidRPr="00CC659A" w:rsidRDefault="00CC659A" w:rsidP="00CC659A">
            <w:pPr>
              <w:spacing w:after="0" w:line="240" w:lineRule="auto"/>
              <w:ind w:left="-108"/>
              <w:jc w:val="right"/>
              <w:rPr>
                <w:rFonts w:eastAsia="Times New Roman"/>
                <w:color w:val="000000"/>
                <w:sz w:val="16"/>
                <w:szCs w:val="16"/>
                <w:lang w:val="es-ES"/>
              </w:rPr>
            </w:pPr>
            <w:r w:rsidRPr="00CC659A">
              <w:rPr>
                <w:rFonts w:eastAsia="Times New Roman"/>
                <w:color w:val="000000"/>
                <w:sz w:val="16"/>
                <w:szCs w:val="16"/>
                <w:lang w:val="es-ES"/>
              </w:rPr>
              <w:t>88</w:t>
            </w:r>
          </w:p>
        </w:tc>
        <w:tc>
          <w:tcPr>
            <w:tcW w:w="920" w:type="pct"/>
            <w:tcBorders>
              <w:top w:val="nil"/>
              <w:left w:val="nil"/>
              <w:bottom w:val="nil"/>
              <w:right w:val="nil"/>
            </w:tcBorders>
            <w:shd w:val="clear" w:color="auto" w:fill="auto"/>
            <w:vAlign w:val="center"/>
            <w:hideMark/>
          </w:tcPr>
          <w:p w14:paraId="78E78BD4" w14:textId="68B01E7A"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Pa</w:t>
            </w:r>
            <w:r w:rsidR="00847CA2">
              <w:rPr>
                <w:rFonts w:eastAsia="Times New Roman"/>
                <w:color w:val="000000"/>
                <w:sz w:val="16"/>
                <w:szCs w:val="16"/>
                <w:lang w:val="es-ES"/>
              </w:rPr>
              <w:t>íses bajos</w:t>
            </w:r>
          </w:p>
        </w:tc>
        <w:tc>
          <w:tcPr>
            <w:tcW w:w="404" w:type="pct"/>
            <w:tcBorders>
              <w:top w:val="nil"/>
              <w:left w:val="nil"/>
              <w:bottom w:val="nil"/>
              <w:right w:val="nil"/>
            </w:tcBorders>
            <w:shd w:val="clear" w:color="auto" w:fill="auto"/>
            <w:vAlign w:val="center"/>
            <w:hideMark/>
          </w:tcPr>
          <w:p w14:paraId="65EC3D53" w14:textId="77777777" w:rsidR="00CC659A" w:rsidRPr="00CC659A" w:rsidRDefault="00CC659A" w:rsidP="00CC659A">
            <w:pPr>
              <w:spacing w:after="0" w:line="240" w:lineRule="auto"/>
              <w:ind w:left="-108"/>
              <w:jc w:val="center"/>
              <w:rPr>
                <w:rFonts w:eastAsia="Times New Roman"/>
                <w:color w:val="000000"/>
                <w:sz w:val="16"/>
                <w:szCs w:val="16"/>
                <w:lang w:val="es-ES"/>
              </w:rPr>
            </w:pPr>
            <w:r w:rsidRPr="00CC659A">
              <w:rPr>
                <w:rFonts w:eastAsia="Times New Roman"/>
                <w:color w:val="000000"/>
                <w:sz w:val="16"/>
                <w:szCs w:val="16"/>
                <w:lang w:val="es-ES"/>
              </w:rPr>
              <w:t>1.377</w:t>
            </w:r>
          </w:p>
        </w:tc>
        <w:tc>
          <w:tcPr>
            <w:tcW w:w="420" w:type="pct"/>
            <w:tcBorders>
              <w:top w:val="nil"/>
              <w:left w:val="nil"/>
              <w:bottom w:val="nil"/>
              <w:right w:val="single" w:sz="8" w:space="0" w:color="808080"/>
            </w:tcBorders>
            <w:shd w:val="clear" w:color="auto" w:fill="auto"/>
            <w:vAlign w:val="center"/>
            <w:hideMark/>
          </w:tcPr>
          <w:p w14:paraId="32F975FD" w14:textId="77777777" w:rsidR="00CC659A" w:rsidRPr="00CC659A" w:rsidRDefault="00CC659A" w:rsidP="00CC659A">
            <w:pPr>
              <w:spacing w:after="0" w:line="240" w:lineRule="auto"/>
              <w:ind w:left="-108"/>
              <w:jc w:val="right"/>
              <w:rPr>
                <w:rFonts w:eastAsia="Times New Roman" w:cs="Arial"/>
                <w:color w:val="000000"/>
                <w:sz w:val="16"/>
                <w:szCs w:val="16"/>
                <w:lang w:val="es-ES"/>
              </w:rPr>
            </w:pPr>
            <w:r w:rsidRPr="00CC659A">
              <w:rPr>
                <w:rFonts w:eastAsia="Times New Roman" w:cs="Arial"/>
                <w:color w:val="000000"/>
                <w:sz w:val="16"/>
                <w:szCs w:val="16"/>
                <w:lang w:val="es-ES"/>
              </w:rPr>
              <w:t>3.169</w:t>
            </w:r>
          </w:p>
        </w:tc>
        <w:tc>
          <w:tcPr>
            <w:tcW w:w="444" w:type="pct"/>
            <w:tcBorders>
              <w:top w:val="nil"/>
              <w:left w:val="nil"/>
              <w:bottom w:val="nil"/>
              <w:right w:val="single" w:sz="4" w:space="0" w:color="808080"/>
            </w:tcBorders>
            <w:shd w:val="clear" w:color="auto" w:fill="auto"/>
            <w:vAlign w:val="center"/>
            <w:hideMark/>
          </w:tcPr>
          <w:p w14:paraId="273046C6"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277 329 </w:t>
            </w:r>
          </w:p>
        </w:tc>
        <w:tc>
          <w:tcPr>
            <w:tcW w:w="437" w:type="pct"/>
            <w:tcBorders>
              <w:top w:val="nil"/>
              <w:left w:val="nil"/>
              <w:bottom w:val="nil"/>
              <w:right w:val="single" w:sz="8" w:space="0" w:color="808080"/>
            </w:tcBorders>
            <w:shd w:val="clear" w:color="auto" w:fill="auto"/>
            <w:vAlign w:val="center"/>
            <w:hideMark/>
          </w:tcPr>
          <w:p w14:paraId="0217E7EF"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92 443 </w:t>
            </w:r>
          </w:p>
        </w:tc>
        <w:tc>
          <w:tcPr>
            <w:tcW w:w="444" w:type="pct"/>
            <w:tcBorders>
              <w:top w:val="nil"/>
              <w:left w:val="nil"/>
              <w:bottom w:val="nil"/>
              <w:right w:val="single" w:sz="4" w:space="0" w:color="808080"/>
            </w:tcBorders>
            <w:shd w:val="clear" w:color="auto" w:fill="auto"/>
            <w:vAlign w:val="center"/>
            <w:hideMark/>
          </w:tcPr>
          <w:p w14:paraId="6A2972AB"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309 374 </w:t>
            </w:r>
          </w:p>
        </w:tc>
        <w:tc>
          <w:tcPr>
            <w:tcW w:w="437" w:type="pct"/>
            <w:tcBorders>
              <w:top w:val="nil"/>
              <w:left w:val="nil"/>
              <w:bottom w:val="nil"/>
              <w:right w:val="single" w:sz="8" w:space="0" w:color="808080"/>
            </w:tcBorders>
            <w:shd w:val="clear" w:color="auto" w:fill="auto"/>
            <w:vAlign w:val="center"/>
            <w:hideMark/>
          </w:tcPr>
          <w:p w14:paraId="532108D4"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103 125 </w:t>
            </w:r>
          </w:p>
        </w:tc>
        <w:tc>
          <w:tcPr>
            <w:tcW w:w="444" w:type="pct"/>
            <w:tcBorders>
              <w:top w:val="nil"/>
              <w:left w:val="nil"/>
              <w:bottom w:val="nil"/>
              <w:right w:val="single" w:sz="4" w:space="0" w:color="808080"/>
            </w:tcBorders>
            <w:shd w:val="clear" w:color="auto" w:fill="auto"/>
            <w:vAlign w:val="center"/>
            <w:hideMark/>
          </w:tcPr>
          <w:p w14:paraId="355C7D6A"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362 242 </w:t>
            </w:r>
          </w:p>
        </w:tc>
        <w:tc>
          <w:tcPr>
            <w:tcW w:w="437" w:type="pct"/>
            <w:tcBorders>
              <w:top w:val="nil"/>
              <w:left w:val="nil"/>
              <w:bottom w:val="nil"/>
              <w:right w:val="single" w:sz="8" w:space="0" w:color="808080"/>
            </w:tcBorders>
            <w:shd w:val="clear" w:color="auto" w:fill="auto"/>
            <w:vAlign w:val="center"/>
            <w:hideMark/>
          </w:tcPr>
          <w:p w14:paraId="38442187"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120 747 </w:t>
            </w:r>
          </w:p>
        </w:tc>
        <w:tc>
          <w:tcPr>
            <w:tcW w:w="444" w:type="pct"/>
            <w:tcBorders>
              <w:top w:val="nil"/>
              <w:left w:val="single" w:sz="4" w:space="0" w:color="808080"/>
              <w:bottom w:val="nil"/>
              <w:right w:val="single" w:sz="8" w:space="0" w:color="808080"/>
            </w:tcBorders>
            <w:shd w:val="clear" w:color="auto" w:fill="auto"/>
            <w:vAlign w:val="center"/>
            <w:hideMark/>
          </w:tcPr>
          <w:p w14:paraId="28C6FF9A"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265 724 </w:t>
            </w:r>
          </w:p>
        </w:tc>
      </w:tr>
      <w:tr w:rsidR="006D34EE" w:rsidRPr="00CC659A" w14:paraId="7E8CE958" w14:textId="77777777" w:rsidTr="00477854">
        <w:trPr>
          <w:trHeight w:val="60"/>
        </w:trPr>
        <w:tc>
          <w:tcPr>
            <w:tcW w:w="168" w:type="pct"/>
            <w:tcBorders>
              <w:top w:val="nil"/>
              <w:left w:val="single" w:sz="8" w:space="0" w:color="808080"/>
              <w:bottom w:val="nil"/>
              <w:right w:val="single" w:sz="8" w:space="0" w:color="808080"/>
            </w:tcBorders>
            <w:shd w:val="clear" w:color="auto" w:fill="auto"/>
            <w:vAlign w:val="center"/>
            <w:hideMark/>
          </w:tcPr>
          <w:p w14:paraId="78D683FF" w14:textId="77777777" w:rsidR="00CC659A" w:rsidRPr="00CC659A" w:rsidRDefault="00CC659A" w:rsidP="00CC659A">
            <w:pPr>
              <w:spacing w:after="0" w:line="240" w:lineRule="auto"/>
              <w:ind w:left="-108"/>
              <w:jc w:val="right"/>
              <w:rPr>
                <w:rFonts w:eastAsia="Times New Roman"/>
                <w:color w:val="000000"/>
                <w:sz w:val="16"/>
                <w:szCs w:val="16"/>
                <w:lang w:val="es-ES"/>
              </w:rPr>
            </w:pPr>
            <w:r w:rsidRPr="00CC659A">
              <w:rPr>
                <w:rFonts w:eastAsia="Times New Roman"/>
                <w:color w:val="000000"/>
                <w:sz w:val="16"/>
                <w:szCs w:val="16"/>
                <w:lang w:val="es-ES"/>
              </w:rPr>
              <w:t>89</w:t>
            </w:r>
          </w:p>
        </w:tc>
        <w:tc>
          <w:tcPr>
            <w:tcW w:w="920" w:type="pct"/>
            <w:tcBorders>
              <w:top w:val="nil"/>
              <w:left w:val="nil"/>
              <w:bottom w:val="nil"/>
              <w:right w:val="nil"/>
            </w:tcBorders>
            <w:shd w:val="clear" w:color="auto" w:fill="auto"/>
            <w:vAlign w:val="center"/>
            <w:hideMark/>
          </w:tcPr>
          <w:p w14:paraId="5892B39D" w14:textId="261D3224"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N</w:t>
            </w:r>
            <w:r w:rsidR="00E24C7B">
              <w:rPr>
                <w:rFonts w:eastAsia="Times New Roman"/>
                <w:color w:val="000000"/>
                <w:sz w:val="16"/>
                <w:szCs w:val="16"/>
                <w:lang w:val="es-ES"/>
              </w:rPr>
              <w:t>ueva Zelandia</w:t>
            </w:r>
          </w:p>
        </w:tc>
        <w:tc>
          <w:tcPr>
            <w:tcW w:w="404" w:type="pct"/>
            <w:tcBorders>
              <w:top w:val="nil"/>
              <w:left w:val="nil"/>
              <w:bottom w:val="nil"/>
              <w:right w:val="nil"/>
            </w:tcBorders>
            <w:shd w:val="clear" w:color="auto" w:fill="auto"/>
            <w:vAlign w:val="center"/>
            <w:hideMark/>
          </w:tcPr>
          <w:p w14:paraId="0F01701F" w14:textId="77777777" w:rsidR="00CC659A" w:rsidRPr="00CC659A" w:rsidRDefault="00CC659A" w:rsidP="00CC659A">
            <w:pPr>
              <w:spacing w:after="0" w:line="240" w:lineRule="auto"/>
              <w:ind w:left="-108"/>
              <w:jc w:val="center"/>
              <w:rPr>
                <w:rFonts w:eastAsia="Times New Roman"/>
                <w:color w:val="000000"/>
                <w:sz w:val="16"/>
                <w:szCs w:val="16"/>
                <w:lang w:val="es-ES"/>
              </w:rPr>
            </w:pPr>
            <w:r w:rsidRPr="00CC659A">
              <w:rPr>
                <w:rFonts w:eastAsia="Times New Roman"/>
                <w:color w:val="000000"/>
                <w:sz w:val="16"/>
                <w:szCs w:val="16"/>
                <w:lang w:val="es-ES"/>
              </w:rPr>
              <w:t>0.309</w:t>
            </w:r>
          </w:p>
        </w:tc>
        <w:tc>
          <w:tcPr>
            <w:tcW w:w="420" w:type="pct"/>
            <w:tcBorders>
              <w:top w:val="nil"/>
              <w:left w:val="nil"/>
              <w:bottom w:val="nil"/>
              <w:right w:val="single" w:sz="8" w:space="0" w:color="808080"/>
            </w:tcBorders>
            <w:shd w:val="clear" w:color="auto" w:fill="auto"/>
            <w:vAlign w:val="center"/>
            <w:hideMark/>
          </w:tcPr>
          <w:p w14:paraId="4536FFD2" w14:textId="77777777" w:rsidR="00CC659A" w:rsidRPr="00CC659A" w:rsidRDefault="00CC659A" w:rsidP="00CC659A">
            <w:pPr>
              <w:spacing w:after="0" w:line="240" w:lineRule="auto"/>
              <w:ind w:left="-108"/>
              <w:jc w:val="right"/>
              <w:rPr>
                <w:rFonts w:eastAsia="Times New Roman" w:cs="Arial"/>
                <w:color w:val="000000"/>
                <w:sz w:val="16"/>
                <w:szCs w:val="16"/>
                <w:lang w:val="es-ES"/>
              </w:rPr>
            </w:pPr>
            <w:r w:rsidRPr="00CC659A">
              <w:rPr>
                <w:rFonts w:eastAsia="Times New Roman" w:cs="Arial"/>
                <w:color w:val="000000"/>
                <w:sz w:val="16"/>
                <w:szCs w:val="16"/>
                <w:lang w:val="es-ES"/>
              </w:rPr>
              <w:t>0.711</w:t>
            </w:r>
          </w:p>
        </w:tc>
        <w:tc>
          <w:tcPr>
            <w:tcW w:w="444" w:type="pct"/>
            <w:tcBorders>
              <w:top w:val="nil"/>
              <w:left w:val="nil"/>
              <w:bottom w:val="nil"/>
              <w:right w:val="single" w:sz="4" w:space="0" w:color="808080"/>
            </w:tcBorders>
            <w:shd w:val="clear" w:color="auto" w:fill="auto"/>
            <w:vAlign w:val="center"/>
            <w:hideMark/>
          </w:tcPr>
          <w:p w14:paraId="6A00FBB8"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62 233 </w:t>
            </w:r>
          </w:p>
        </w:tc>
        <w:tc>
          <w:tcPr>
            <w:tcW w:w="437" w:type="pct"/>
            <w:tcBorders>
              <w:top w:val="nil"/>
              <w:left w:val="nil"/>
              <w:bottom w:val="nil"/>
              <w:right w:val="single" w:sz="8" w:space="0" w:color="808080"/>
            </w:tcBorders>
            <w:shd w:val="clear" w:color="auto" w:fill="auto"/>
            <w:vAlign w:val="center"/>
            <w:hideMark/>
          </w:tcPr>
          <w:p w14:paraId="42C5B948"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20 744 </w:t>
            </w:r>
          </w:p>
        </w:tc>
        <w:tc>
          <w:tcPr>
            <w:tcW w:w="444" w:type="pct"/>
            <w:tcBorders>
              <w:top w:val="nil"/>
              <w:left w:val="nil"/>
              <w:bottom w:val="nil"/>
              <w:right w:val="single" w:sz="4" w:space="0" w:color="808080"/>
            </w:tcBorders>
            <w:shd w:val="clear" w:color="auto" w:fill="auto"/>
            <w:vAlign w:val="center"/>
            <w:hideMark/>
          </w:tcPr>
          <w:p w14:paraId="3661C72A"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69 424 </w:t>
            </w:r>
          </w:p>
        </w:tc>
        <w:tc>
          <w:tcPr>
            <w:tcW w:w="437" w:type="pct"/>
            <w:tcBorders>
              <w:top w:val="nil"/>
              <w:left w:val="nil"/>
              <w:bottom w:val="nil"/>
              <w:right w:val="single" w:sz="8" w:space="0" w:color="808080"/>
            </w:tcBorders>
            <w:shd w:val="clear" w:color="auto" w:fill="auto"/>
            <w:vAlign w:val="center"/>
            <w:hideMark/>
          </w:tcPr>
          <w:p w14:paraId="60225F16"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23 141 </w:t>
            </w:r>
          </w:p>
        </w:tc>
        <w:tc>
          <w:tcPr>
            <w:tcW w:w="444" w:type="pct"/>
            <w:tcBorders>
              <w:top w:val="nil"/>
              <w:left w:val="nil"/>
              <w:bottom w:val="nil"/>
              <w:right w:val="single" w:sz="4" w:space="0" w:color="808080"/>
            </w:tcBorders>
            <w:shd w:val="clear" w:color="auto" w:fill="auto"/>
            <w:vAlign w:val="center"/>
            <w:hideMark/>
          </w:tcPr>
          <w:p w14:paraId="21A6BE1D"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81 287 </w:t>
            </w:r>
          </w:p>
        </w:tc>
        <w:tc>
          <w:tcPr>
            <w:tcW w:w="437" w:type="pct"/>
            <w:tcBorders>
              <w:top w:val="nil"/>
              <w:left w:val="nil"/>
              <w:bottom w:val="nil"/>
              <w:right w:val="single" w:sz="8" w:space="0" w:color="808080"/>
            </w:tcBorders>
            <w:shd w:val="clear" w:color="auto" w:fill="auto"/>
            <w:vAlign w:val="center"/>
            <w:hideMark/>
          </w:tcPr>
          <w:p w14:paraId="14D82053"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27 096 </w:t>
            </w:r>
          </w:p>
        </w:tc>
        <w:tc>
          <w:tcPr>
            <w:tcW w:w="444" w:type="pct"/>
            <w:tcBorders>
              <w:top w:val="nil"/>
              <w:left w:val="single" w:sz="4" w:space="0" w:color="808080"/>
              <w:bottom w:val="nil"/>
              <w:right w:val="single" w:sz="8" w:space="0" w:color="808080"/>
            </w:tcBorders>
            <w:shd w:val="clear" w:color="auto" w:fill="auto"/>
            <w:vAlign w:val="center"/>
            <w:hideMark/>
          </w:tcPr>
          <w:p w14:paraId="425CD610"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57 025 </w:t>
            </w:r>
          </w:p>
        </w:tc>
      </w:tr>
      <w:tr w:rsidR="006D34EE" w:rsidRPr="00CC659A" w14:paraId="42412533" w14:textId="77777777" w:rsidTr="00477854">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7EE0C462" w14:textId="77777777" w:rsidR="00CC659A" w:rsidRPr="00CC659A" w:rsidRDefault="00CC659A" w:rsidP="00CC659A">
            <w:pPr>
              <w:spacing w:after="0" w:line="240" w:lineRule="auto"/>
              <w:ind w:left="-108"/>
              <w:jc w:val="right"/>
              <w:rPr>
                <w:rFonts w:eastAsia="Times New Roman"/>
                <w:color w:val="000000"/>
                <w:sz w:val="16"/>
                <w:szCs w:val="16"/>
                <w:lang w:val="es-ES"/>
              </w:rPr>
            </w:pPr>
            <w:r w:rsidRPr="00CC659A">
              <w:rPr>
                <w:rFonts w:eastAsia="Times New Roman"/>
                <w:color w:val="000000"/>
                <w:sz w:val="16"/>
                <w:szCs w:val="16"/>
                <w:lang w:val="es-ES"/>
              </w:rPr>
              <w:t>90</w:t>
            </w:r>
          </w:p>
        </w:tc>
        <w:tc>
          <w:tcPr>
            <w:tcW w:w="920" w:type="pct"/>
            <w:tcBorders>
              <w:top w:val="nil"/>
              <w:left w:val="nil"/>
              <w:bottom w:val="nil"/>
              <w:right w:val="nil"/>
            </w:tcBorders>
            <w:shd w:val="clear" w:color="auto" w:fill="auto"/>
            <w:vAlign w:val="center"/>
            <w:hideMark/>
          </w:tcPr>
          <w:p w14:paraId="0FDAE7B4" w14:textId="69601027" w:rsidR="00CC659A" w:rsidRPr="00CC659A" w:rsidRDefault="00E24C7B"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Níger</w:t>
            </w:r>
          </w:p>
        </w:tc>
        <w:tc>
          <w:tcPr>
            <w:tcW w:w="404" w:type="pct"/>
            <w:tcBorders>
              <w:top w:val="nil"/>
              <w:left w:val="nil"/>
              <w:bottom w:val="nil"/>
              <w:right w:val="nil"/>
            </w:tcBorders>
            <w:shd w:val="clear" w:color="auto" w:fill="auto"/>
            <w:vAlign w:val="center"/>
            <w:hideMark/>
          </w:tcPr>
          <w:p w14:paraId="5BF7A0DB" w14:textId="77777777" w:rsidR="00CC659A" w:rsidRPr="00CC659A" w:rsidRDefault="00CC659A" w:rsidP="00CC659A">
            <w:pPr>
              <w:spacing w:after="0" w:line="240" w:lineRule="auto"/>
              <w:ind w:left="-108"/>
              <w:jc w:val="center"/>
              <w:rPr>
                <w:rFonts w:eastAsia="Times New Roman"/>
                <w:color w:val="000000"/>
                <w:sz w:val="16"/>
                <w:szCs w:val="16"/>
                <w:lang w:val="es-ES"/>
              </w:rPr>
            </w:pPr>
            <w:r w:rsidRPr="00CC659A">
              <w:rPr>
                <w:rFonts w:eastAsia="Times New Roman"/>
                <w:color w:val="000000"/>
                <w:sz w:val="16"/>
                <w:szCs w:val="16"/>
                <w:lang w:val="es-ES"/>
              </w:rPr>
              <w:t>0.003</w:t>
            </w:r>
          </w:p>
        </w:tc>
        <w:tc>
          <w:tcPr>
            <w:tcW w:w="420" w:type="pct"/>
            <w:tcBorders>
              <w:top w:val="nil"/>
              <w:left w:val="nil"/>
              <w:bottom w:val="nil"/>
              <w:right w:val="single" w:sz="8" w:space="0" w:color="808080"/>
            </w:tcBorders>
            <w:shd w:val="clear" w:color="auto" w:fill="auto"/>
            <w:vAlign w:val="center"/>
            <w:hideMark/>
          </w:tcPr>
          <w:p w14:paraId="45E2E1CD" w14:textId="77777777" w:rsidR="00CC659A" w:rsidRPr="00CC659A" w:rsidRDefault="00CC659A" w:rsidP="00CC659A">
            <w:pPr>
              <w:spacing w:after="0" w:line="240" w:lineRule="auto"/>
              <w:ind w:left="-108"/>
              <w:jc w:val="right"/>
              <w:rPr>
                <w:rFonts w:eastAsia="Times New Roman" w:cs="Arial"/>
                <w:color w:val="000000"/>
                <w:sz w:val="16"/>
                <w:szCs w:val="16"/>
                <w:lang w:val="es-ES"/>
              </w:rPr>
            </w:pPr>
            <w:r w:rsidRPr="00CC659A">
              <w:rPr>
                <w:rFonts w:eastAsia="Times New Roman" w:cs="Arial"/>
                <w:color w:val="000000"/>
                <w:sz w:val="16"/>
                <w:szCs w:val="16"/>
                <w:lang w:val="es-ES"/>
              </w:rPr>
              <w:t>0.007</w:t>
            </w:r>
          </w:p>
        </w:tc>
        <w:tc>
          <w:tcPr>
            <w:tcW w:w="444" w:type="pct"/>
            <w:tcBorders>
              <w:top w:val="nil"/>
              <w:left w:val="nil"/>
              <w:bottom w:val="nil"/>
              <w:right w:val="single" w:sz="4" w:space="0" w:color="808080"/>
            </w:tcBorders>
            <w:shd w:val="clear" w:color="auto" w:fill="auto"/>
            <w:vAlign w:val="center"/>
            <w:hideMark/>
          </w:tcPr>
          <w:p w14:paraId="2BFD530F"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604 </w:t>
            </w:r>
          </w:p>
        </w:tc>
        <w:tc>
          <w:tcPr>
            <w:tcW w:w="437" w:type="pct"/>
            <w:tcBorders>
              <w:top w:val="nil"/>
              <w:left w:val="nil"/>
              <w:bottom w:val="nil"/>
              <w:right w:val="single" w:sz="8" w:space="0" w:color="808080"/>
            </w:tcBorders>
            <w:shd w:val="clear" w:color="auto" w:fill="auto"/>
            <w:vAlign w:val="center"/>
            <w:hideMark/>
          </w:tcPr>
          <w:p w14:paraId="30683B45"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201 </w:t>
            </w:r>
          </w:p>
        </w:tc>
        <w:tc>
          <w:tcPr>
            <w:tcW w:w="444" w:type="pct"/>
            <w:tcBorders>
              <w:top w:val="nil"/>
              <w:left w:val="nil"/>
              <w:bottom w:val="nil"/>
              <w:right w:val="single" w:sz="4" w:space="0" w:color="808080"/>
            </w:tcBorders>
            <w:shd w:val="clear" w:color="auto" w:fill="auto"/>
            <w:vAlign w:val="center"/>
            <w:hideMark/>
          </w:tcPr>
          <w:p w14:paraId="29B69139"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674 </w:t>
            </w:r>
          </w:p>
        </w:tc>
        <w:tc>
          <w:tcPr>
            <w:tcW w:w="437" w:type="pct"/>
            <w:tcBorders>
              <w:top w:val="nil"/>
              <w:left w:val="nil"/>
              <w:bottom w:val="nil"/>
              <w:right w:val="single" w:sz="8" w:space="0" w:color="808080"/>
            </w:tcBorders>
            <w:shd w:val="clear" w:color="auto" w:fill="auto"/>
            <w:vAlign w:val="center"/>
            <w:hideMark/>
          </w:tcPr>
          <w:p w14:paraId="5BEDF24D"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225 </w:t>
            </w:r>
          </w:p>
        </w:tc>
        <w:tc>
          <w:tcPr>
            <w:tcW w:w="444" w:type="pct"/>
            <w:tcBorders>
              <w:top w:val="nil"/>
              <w:left w:val="nil"/>
              <w:bottom w:val="nil"/>
              <w:right w:val="single" w:sz="4" w:space="0" w:color="808080"/>
            </w:tcBorders>
            <w:shd w:val="clear" w:color="auto" w:fill="auto"/>
            <w:vAlign w:val="center"/>
            <w:hideMark/>
          </w:tcPr>
          <w:p w14:paraId="52754F76"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789 </w:t>
            </w:r>
          </w:p>
        </w:tc>
        <w:tc>
          <w:tcPr>
            <w:tcW w:w="437" w:type="pct"/>
            <w:tcBorders>
              <w:top w:val="nil"/>
              <w:left w:val="nil"/>
              <w:bottom w:val="nil"/>
              <w:right w:val="single" w:sz="8" w:space="0" w:color="808080"/>
            </w:tcBorders>
            <w:shd w:val="clear" w:color="auto" w:fill="auto"/>
            <w:vAlign w:val="center"/>
            <w:hideMark/>
          </w:tcPr>
          <w:p w14:paraId="79763363"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263 </w:t>
            </w:r>
          </w:p>
        </w:tc>
        <w:tc>
          <w:tcPr>
            <w:tcW w:w="444" w:type="pct"/>
            <w:tcBorders>
              <w:top w:val="nil"/>
              <w:left w:val="single" w:sz="4" w:space="0" w:color="808080"/>
              <w:bottom w:val="nil"/>
              <w:right w:val="single" w:sz="8" w:space="0" w:color="808080"/>
            </w:tcBorders>
            <w:shd w:val="clear" w:color="auto" w:fill="auto"/>
            <w:vAlign w:val="center"/>
            <w:hideMark/>
          </w:tcPr>
          <w:p w14:paraId="469E4EC8"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391 </w:t>
            </w:r>
          </w:p>
        </w:tc>
      </w:tr>
      <w:tr w:rsidR="006D34EE" w:rsidRPr="00CC659A" w14:paraId="163527FB" w14:textId="77777777" w:rsidTr="00477854">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583CE77F" w14:textId="77777777" w:rsidR="00CC659A" w:rsidRPr="00CC659A" w:rsidRDefault="00CC659A" w:rsidP="00CC659A">
            <w:pPr>
              <w:spacing w:after="0" w:line="240" w:lineRule="auto"/>
              <w:ind w:left="-108"/>
              <w:jc w:val="right"/>
              <w:rPr>
                <w:rFonts w:eastAsia="Times New Roman"/>
                <w:color w:val="000000"/>
                <w:sz w:val="16"/>
                <w:szCs w:val="16"/>
                <w:lang w:val="es-ES"/>
              </w:rPr>
            </w:pPr>
            <w:r w:rsidRPr="00CC659A">
              <w:rPr>
                <w:rFonts w:eastAsia="Times New Roman"/>
                <w:color w:val="000000"/>
                <w:sz w:val="16"/>
                <w:szCs w:val="16"/>
                <w:lang w:val="es-ES"/>
              </w:rPr>
              <w:t>91</w:t>
            </w:r>
          </w:p>
        </w:tc>
        <w:tc>
          <w:tcPr>
            <w:tcW w:w="920" w:type="pct"/>
            <w:tcBorders>
              <w:top w:val="nil"/>
              <w:left w:val="nil"/>
              <w:bottom w:val="nil"/>
              <w:right w:val="nil"/>
            </w:tcBorders>
            <w:shd w:val="clear" w:color="auto" w:fill="auto"/>
            <w:vAlign w:val="center"/>
            <w:hideMark/>
          </w:tcPr>
          <w:p w14:paraId="3389E867" w14:textId="51DBFD3D"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Nig</w:t>
            </w:r>
            <w:r w:rsidR="00E24C7B">
              <w:rPr>
                <w:rFonts w:eastAsia="Times New Roman"/>
                <w:color w:val="000000"/>
                <w:sz w:val="16"/>
                <w:szCs w:val="16"/>
                <w:lang w:val="es-ES"/>
              </w:rPr>
              <w:t>e</w:t>
            </w:r>
            <w:r w:rsidRPr="00CC659A">
              <w:rPr>
                <w:rFonts w:eastAsia="Times New Roman"/>
                <w:color w:val="000000"/>
                <w:sz w:val="16"/>
                <w:szCs w:val="16"/>
                <w:lang w:val="es-ES"/>
              </w:rPr>
              <w:t>ria</w:t>
            </w:r>
          </w:p>
        </w:tc>
        <w:tc>
          <w:tcPr>
            <w:tcW w:w="404" w:type="pct"/>
            <w:tcBorders>
              <w:top w:val="nil"/>
              <w:left w:val="nil"/>
              <w:bottom w:val="nil"/>
              <w:right w:val="nil"/>
            </w:tcBorders>
            <w:shd w:val="clear" w:color="auto" w:fill="auto"/>
            <w:vAlign w:val="center"/>
            <w:hideMark/>
          </w:tcPr>
          <w:p w14:paraId="4CA57529" w14:textId="77777777" w:rsidR="00CC659A" w:rsidRPr="00CC659A" w:rsidRDefault="00CC659A" w:rsidP="00CC659A">
            <w:pPr>
              <w:spacing w:after="0" w:line="240" w:lineRule="auto"/>
              <w:ind w:left="-108"/>
              <w:jc w:val="center"/>
              <w:rPr>
                <w:rFonts w:eastAsia="Times New Roman"/>
                <w:color w:val="000000"/>
                <w:sz w:val="16"/>
                <w:szCs w:val="16"/>
                <w:lang w:val="es-ES"/>
              </w:rPr>
            </w:pPr>
            <w:r w:rsidRPr="00CC659A">
              <w:rPr>
                <w:rFonts w:eastAsia="Times New Roman"/>
                <w:color w:val="000000"/>
                <w:sz w:val="16"/>
                <w:szCs w:val="16"/>
                <w:lang w:val="es-ES"/>
              </w:rPr>
              <w:t>0.182</w:t>
            </w:r>
          </w:p>
        </w:tc>
        <w:tc>
          <w:tcPr>
            <w:tcW w:w="420" w:type="pct"/>
            <w:tcBorders>
              <w:top w:val="nil"/>
              <w:left w:val="nil"/>
              <w:bottom w:val="nil"/>
              <w:right w:val="single" w:sz="8" w:space="0" w:color="808080"/>
            </w:tcBorders>
            <w:shd w:val="clear" w:color="auto" w:fill="auto"/>
            <w:vAlign w:val="center"/>
            <w:hideMark/>
          </w:tcPr>
          <w:p w14:paraId="028C7326" w14:textId="77777777" w:rsidR="00CC659A" w:rsidRPr="00CC659A" w:rsidRDefault="00CC659A" w:rsidP="00CC659A">
            <w:pPr>
              <w:spacing w:after="0" w:line="240" w:lineRule="auto"/>
              <w:ind w:left="-108"/>
              <w:jc w:val="right"/>
              <w:rPr>
                <w:rFonts w:eastAsia="Times New Roman" w:cs="Arial"/>
                <w:color w:val="000000"/>
                <w:sz w:val="16"/>
                <w:szCs w:val="16"/>
                <w:lang w:val="es-ES"/>
              </w:rPr>
            </w:pPr>
            <w:r w:rsidRPr="00CC659A">
              <w:rPr>
                <w:rFonts w:eastAsia="Times New Roman" w:cs="Arial"/>
                <w:color w:val="000000"/>
                <w:sz w:val="16"/>
                <w:szCs w:val="16"/>
                <w:lang w:val="es-ES"/>
              </w:rPr>
              <w:t>0.419</w:t>
            </w:r>
          </w:p>
        </w:tc>
        <w:tc>
          <w:tcPr>
            <w:tcW w:w="444" w:type="pct"/>
            <w:tcBorders>
              <w:top w:val="nil"/>
              <w:left w:val="nil"/>
              <w:bottom w:val="nil"/>
              <w:right w:val="single" w:sz="4" w:space="0" w:color="808080"/>
            </w:tcBorders>
            <w:shd w:val="clear" w:color="auto" w:fill="auto"/>
            <w:vAlign w:val="center"/>
            <w:hideMark/>
          </w:tcPr>
          <w:p w14:paraId="612A36B2"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36 655 </w:t>
            </w:r>
          </w:p>
        </w:tc>
        <w:tc>
          <w:tcPr>
            <w:tcW w:w="437" w:type="pct"/>
            <w:tcBorders>
              <w:top w:val="nil"/>
              <w:left w:val="nil"/>
              <w:bottom w:val="nil"/>
              <w:right w:val="single" w:sz="8" w:space="0" w:color="808080"/>
            </w:tcBorders>
            <w:shd w:val="clear" w:color="auto" w:fill="auto"/>
            <w:vAlign w:val="center"/>
            <w:hideMark/>
          </w:tcPr>
          <w:p w14:paraId="2B8125DB"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12 218 </w:t>
            </w:r>
          </w:p>
        </w:tc>
        <w:tc>
          <w:tcPr>
            <w:tcW w:w="444" w:type="pct"/>
            <w:tcBorders>
              <w:top w:val="nil"/>
              <w:left w:val="nil"/>
              <w:bottom w:val="nil"/>
              <w:right w:val="single" w:sz="4" w:space="0" w:color="808080"/>
            </w:tcBorders>
            <w:shd w:val="clear" w:color="auto" w:fill="auto"/>
            <w:vAlign w:val="center"/>
            <w:hideMark/>
          </w:tcPr>
          <w:p w14:paraId="14960F37"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40 890 </w:t>
            </w:r>
          </w:p>
        </w:tc>
        <w:tc>
          <w:tcPr>
            <w:tcW w:w="437" w:type="pct"/>
            <w:tcBorders>
              <w:top w:val="nil"/>
              <w:left w:val="nil"/>
              <w:bottom w:val="nil"/>
              <w:right w:val="single" w:sz="8" w:space="0" w:color="808080"/>
            </w:tcBorders>
            <w:shd w:val="clear" w:color="auto" w:fill="auto"/>
            <w:vAlign w:val="center"/>
            <w:hideMark/>
          </w:tcPr>
          <w:p w14:paraId="5BD25D7D"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13 630 </w:t>
            </w:r>
          </w:p>
        </w:tc>
        <w:tc>
          <w:tcPr>
            <w:tcW w:w="444" w:type="pct"/>
            <w:tcBorders>
              <w:top w:val="nil"/>
              <w:left w:val="nil"/>
              <w:bottom w:val="nil"/>
              <w:right w:val="single" w:sz="4" w:space="0" w:color="808080"/>
            </w:tcBorders>
            <w:shd w:val="clear" w:color="auto" w:fill="auto"/>
            <w:vAlign w:val="center"/>
            <w:hideMark/>
          </w:tcPr>
          <w:p w14:paraId="30595A34"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47 878 </w:t>
            </w:r>
          </w:p>
        </w:tc>
        <w:tc>
          <w:tcPr>
            <w:tcW w:w="437" w:type="pct"/>
            <w:tcBorders>
              <w:top w:val="nil"/>
              <w:left w:val="nil"/>
              <w:bottom w:val="nil"/>
              <w:right w:val="single" w:sz="8" w:space="0" w:color="808080"/>
            </w:tcBorders>
            <w:shd w:val="clear" w:color="auto" w:fill="auto"/>
            <w:vAlign w:val="center"/>
            <w:hideMark/>
          </w:tcPr>
          <w:p w14:paraId="6EE655E7"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15 959 </w:t>
            </w:r>
          </w:p>
        </w:tc>
        <w:tc>
          <w:tcPr>
            <w:tcW w:w="444" w:type="pct"/>
            <w:tcBorders>
              <w:top w:val="nil"/>
              <w:left w:val="single" w:sz="4" w:space="0" w:color="808080"/>
              <w:bottom w:val="nil"/>
              <w:right w:val="single" w:sz="8" w:space="0" w:color="808080"/>
            </w:tcBorders>
            <w:shd w:val="clear" w:color="auto" w:fill="auto"/>
            <w:vAlign w:val="center"/>
            <w:hideMark/>
          </w:tcPr>
          <w:p w14:paraId="157A7708"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48 991 </w:t>
            </w:r>
          </w:p>
        </w:tc>
      </w:tr>
      <w:tr w:rsidR="006D34EE" w:rsidRPr="00CC659A" w14:paraId="133EC3F8" w14:textId="77777777" w:rsidTr="00477854">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104B72E5" w14:textId="77777777" w:rsidR="00CC659A" w:rsidRPr="00CC659A" w:rsidRDefault="00CC659A" w:rsidP="00CC659A">
            <w:pPr>
              <w:spacing w:after="0" w:line="240" w:lineRule="auto"/>
              <w:ind w:left="-108"/>
              <w:jc w:val="right"/>
              <w:rPr>
                <w:rFonts w:eastAsia="Times New Roman"/>
                <w:color w:val="000000"/>
                <w:sz w:val="16"/>
                <w:szCs w:val="16"/>
                <w:lang w:val="es-ES"/>
              </w:rPr>
            </w:pPr>
            <w:r w:rsidRPr="00CC659A">
              <w:rPr>
                <w:rFonts w:eastAsia="Times New Roman"/>
                <w:color w:val="000000"/>
                <w:sz w:val="16"/>
                <w:szCs w:val="16"/>
                <w:lang w:val="es-ES"/>
              </w:rPr>
              <w:t>92</w:t>
            </w:r>
          </w:p>
        </w:tc>
        <w:tc>
          <w:tcPr>
            <w:tcW w:w="920" w:type="pct"/>
            <w:tcBorders>
              <w:top w:val="nil"/>
              <w:left w:val="nil"/>
              <w:bottom w:val="nil"/>
              <w:right w:val="nil"/>
            </w:tcBorders>
            <w:shd w:val="clear" w:color="auto" w:fill="auto"/>
            <w:vAlign w:val="center"/>
            <w:hideMark/>
          </w:tcPr>
          <w:p w14:paraId="39838333" w14:textId="60230CEE"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Mac</w:t>
            </w:r>
            <w:r w:rsidR="00E24C7B">
              <w:rPr>
                <w:rFonts w:eastAsia="Times New Roman"/>
                <w:color w:val="000000"/>
                <w:sz w:val="16"/>
                <w:szCs w:val="16"/>
                <w:lang w:val="es-ES"/>
              </w:rPr>
              <w:t>edonia del norte</w:t>
            </w:r>
          </w:p>
        </w:tc>
        <w:tc>
          <w:tcPr>
            <w:tcW w:w="404" w:type="pct"/>
            <w:tcBorders>
              <w:top w:val="nil"/>
              <w:left w:val="nil"/>
              <w:bottom w:val="nil"/>
              <w:right w:val="nil"/>
            </w:tcBorders>
            <w:shd w:val="clear" w:color="auto" w:fill="auto"/>
            <w:vAlign w:val="center"/>
            <w:hideMark/>
          </w:tcPr>
          <w:p w14:paraId="054D045D" w14:textId="77777777" w:rsidR="00CC659A" w:rsidRPr="00CC659A" w:rsidRDefault="00CC659A" w:rsidP="00CC659A">
            <w:pPr>
              <w:spacing w:after="0" w:line="240" w:lineRule="auto"/>
              <w:ind w:left="-108"/>
              <w:jc w:val="center"/>
              <w:rPr>
                <w:rFonts w:eastAsia="Times New Roman"/>
                <w:color w:val="000000"/>
                <w:sz w:val="16"/>
                <w:szCs w:val="16"/>
                <w:lang w:val="es-ES"/>
              </w:rPr>
            </w:pPr>
            <w:r w:rsidRPr="00CC659A">
              <w:rPr>
                <w:rFonts w:eastAsia="Times New Roman"/>
                <w:color w:val="000000"/>
                <w:sz w:val="16"/>
                <w:szCs w:val="16"/>
                <w:lang w:val="es-ES"/>
              </w:rPr>
              <w:t>0.007</w:t>
            </w:r>
          </w:p>
        </w:tc>
        <w:tc>
          <w:tcPr>
            <w:tcW w:w="420" w:type="pct"/>
            <w:tcBorders>
              <w:top w:val="nil"/>
              <w:left w:val="nil"/>
              <w:bottom w:val="nil"/>
              <w:right w:val="single" w:sz="8" w:space="0" w:color="808080"/>
            </w:tcBorders>
            <w:shd w:val="clear" w:color="auto" w:fill="auto"/>
            <w:vAlign w:val="center"/>
            <w:hideMark/>
          </w:tcPr>
          <w:p w14:paraId="76AD062D" w14:textId="77777777" w:rsidR="00CC659A" w:rsidRPr="00CC659A" w:rsidRDefault="00CC659A" w:rsidP="00CC659A">
            <w:pPr>
              <w:spacing w:after="0" w:line="240" w:lineRule="auto"/>
              <w:ind w:left="-108"/>
              <w:jc w:val="right"/>
              <w:rPr>
                <w:rFonts w:eastAsia="Times New Roman" w:cs="Arial"/>
                <w:color w:val="000000"/>
                <w:sz w:val="16"/>
                <w:szCs w:val="16"/>
                <w:lang w:val="es-ES"/>
              </w:rPr>
            </w:pPr>
            <w:r w:rsidRPr="00CC659A">
              <w:rPr>
                <w:rFonts w:eastAsia="Times New Roman" w:cs="Arial"/>
                <w:color w:val="000000"/>
                <w:sz w:val="16"/>
                <w:szCs w:val="16"/>
                <w:lang w:val="es-ES"/>
              </w:rPr>
              <w:t>0.016</w:t>
            </w:r>
          </w:p>
        </w:tc>
        <w:tc>
          <w:tcPr>
            <w:tcW w:w="444" w:type="pct"/>
            <w:tcBorders>
              <w:top w:val="nil"/>
              <w:left w:val="nil"/>
              <w:bottom w:val="nil"/>
              <w:right w:val="single" w:sz="4" w:space="0" w:color="808080"/>
            </w:tcBorders>
            <w:shd w:val="clear" w:color="auto" w:fill="auto"/>
            <w:vAlign w:val="center"/>
            <w:hideMark/>
          </w:tcPr>
          <w:p w14:paraId="66D2D47F"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1 410 </w:t>
            </w:r>
          </w:p>
        </w:tc>
        <w:tc>
          <w:tcPr>
            <w:tcW w:w="437" w:type="pct"/>
            <w:tcBorders>
              <w:top w:val="nil"/>
              <w:left w:val="nil"/>
              <w:bottom w:val="nil"/>
              <w:right w:val="single" w:sz="8" w:space="0" w:color="808080"/>
            </w:tcBorders>
            <w:shd w:val="clear" w:color="auto" w:fill="auto"/>
            <w:vAlign w:val="center"/>
            <w:hideMark/>
          </w:tcPr>
          <w:p w14:paraId="412EF88F"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470 </w:t>
            </w:r>
          </w:p>
        </w:tc>
        <w:tc>
          <w:tcPr>
            <w:tcW w:w="444" w:type="pct"/>
            <w:tcBorders>
              <w:top w:val="nil"/>
              <w:left w:val="nil"/>
              <w:bottom w:val="nil"/>
              <w:right w:val="single" w:sz="4" w:space="0" w:color="808080"/>
            </w:tcBorders>
            <w:shd w:val="clear" w:color="auto" w:fill="auto"/>
            <w:vAlign w:val="center"/>
            <w:hideMark/>
          </w:tcPr>
          <w:p w14:paraId="4202596B"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1 573 </w:t>
            </w:r>
          </w:p>
        </w:tc>
        <w:tc>
          <w:tcPr>
            <w:tcW w:w="437" w:type="pct"/>
            <w:tcBorders>
              <w:top w:val="nil"/>
              <w:left w:val="nil"/>
              <w:bottom w:val="nil"/>
              <w:right w:val="single" w:sz="8" w:space="0" w:color="808080"/>
            </w:tcBorders>
            <w:shd w:val="clear" w:color="auto" w:fill="auto"/>
            <w:vAlign w:val="center"/>
            <w:hideMark/>
          </w:tcPr>
          <w:p w14:paraId="6F2D450B"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524 </w:t>
            </w:r>
          </w:p>
        </w:tc>
        <w:tc>
          <w:tcPr>
            <w:tcW w:w="444" w:type="pct"/>
            <w:tcBorders>
              <w:top w:val="nil"/>
              <w:left w:val="nil"/>
              <w:bottom w:val="nil"/>
              <w:right w:val="single" w:sz="4" w:space="0" w:color="808080"/>
            </w:tcBorders>
            <w:shd w:val="clear" w:color="auto" w:fill="auto"/>
            <w:vAlign w:val="center"/>
            <w:hideMark/>
          </w:tcPr>
          <w:p w14:paraId="36BEBBC5"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1 841 </w:t>
            </w:r>
          </w:p>
        </w:tc>
        <w:tc>
          <w:tcPr>
            <w:tcW w:w="437" w:type="pct"/>
            <w:tcBorders>
              <w:top w:val="nil"/>
              <w:left w:val="nil"/>
              <w:bottom w:val="nil"/>
              <w:right w:val="single" w:sz="8" w:space="0" w:color="808080"/>
            </w:tcBorders>
            <w:shd w:val="clear" w:color="auto" w:fill="auto"/>
            <w:vAlign w:val="center"/>
            <w:hideMark/>
          </w:tcPr>
          <w:p w14:paraId="4E36494F"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614 </w:t>
            </w:r>
          </w:p>
        </w:tc>
        <w:tc>
          <w:tcPr>
            <w:tcW w:w="444" w:type="pct"/>
            <w:tcBorders>
              <w:top w:val="nil"/>
              <w:left w:val="single" w:sz="4" w:space="0" w:color="808080"/>
              <w:bottom w:val="nil"/>
              <w:right w:val="single" w:sz="8" w:space="0" w:color="808080"/>
            </w:tcBorders>
            <w:shd w:val="clear" w:color="auto" w:fill="auto"/>
            <w:vAlign w:val="center"/>
            <w:hideMark/>
          </w:tcPr>
          <w:p w14:paraId="13A74640"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1 372 </w:t>
            </w:r>
          </w:p>
        </w:tc>
      </w:tr>
      <w:tr w:rsidR="006D34EE" w:rsidRPr="00CC659A" w14:paraId="42E2960C" w14:textId="77777777" w:rsidTr="00477854">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69F0B5D7" w14:textId="77777777" w:rsidR="00CC659A" w:rsidRPr="00CC659A" w:rsidRDefault="00CC659A" w:rsidP="00CC659A">
            <w:pPr>
              <w:spacing w:after="0" w:line="240" w:lineRule="auto"/>
              <w:ind w:left="-108"/>
              <w:jc w:val="right"/>
              <w:rPr>
                <w:rFonts w:eastAsia="Times New Roman"/>
                <w:color w:val="000000"/>
                <w:sz w:val="16"/>
                <w:szCs w:val="16"/>
                <w:lang w:val="es-ES"/>
              </w:rPr>
            </w:pPr>
            <w:r w:rsidRPr="00CC659A">
              <w:rPr>
                <w:rFonts w:eastAsia="Times New Roman"/>
                <w:color w:val="000000"/>
                <w:sz w:val="16"/>
                <w:szCs w:val="16"/>
                <w:lang w:val="es-ES"/>
              </w:rPr>
              <w:t>93</w:t>
            </w:r>
          </w:p>
        </w:tc>
        <w:tc>
          <w:tcPr>
            <w:tcW w:w="920" w:type="pct"/>
            <w:tcBorders>
              <w:top w:val="nil"/>
              <w:left w:val="nil"/>
              <w:bottom w:val="nil"/>
              <w:right w:val="nil"/>
            </w:tcBorders>
            <w:shd w:val="clear" w:color="auto" w:fill="auto"/>
            <w:vAlign w:val="center"/>
            <w:hideMark/>
          </w:tcPr>
          <w:p w14:paraId="527CF483" w14:textId="328AF6D4"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Nor</w:t>
            </w:r>
            <w:r w:rsidR="00E24C7B">
              <w:rPr>
                <w:rFonts w:eastAsia="Times New Roman"/>
                <w:color w:val="000000"/>
                <w:sz w:val="16"/>
                <w:szCs w:val="16"/>
                <w:lang w:val="es-ES"/>
              </w:rPr>
              <w:t>uega</w:t>
            </w:r>
          </w:p>
        </w:tc>
        <w:tc>
          <w:tcPr>
            <w:tcW w:w="404" w:type="pct"/>
            <w:tcBorders>
              <w:top w:val="nil"/>
              <w:left w:val="nil"/>
              <w:bottom w:val="nil"/>
              <w:right w:val="nil"/>
            </w:tcBorders>
            <w:shd w:val="clear" w:color="auto" w:fill="auto"/>
            <w:vAlign w:val="center"/>
            <w:hideMark/>
          </w:tcPr>
          <w:p w14:paraId="1EBD25A6" w14:textId="77777777" w:rsidR="00CC659A" w:rsidRPr="00CC659A" w:rsidRDefault="00CC659A" w:rsidP="00CC659A">
            <w:pPr>
              <w:spacing w:after="0" w:line="240" w:lineRule="auto"/>
              <w:ind w:left="-108"/>
              <w:jc w:val="center"/>
              <w:rPr>
                <w:rFonts w:eastAsia="Times New Roman"/>
                <w:color w:val="000000"/>
                <w:sz w:val="16"/>
                <w:szCs w:val="16"/>
                <w:lang w:val="es-ES"/>
              </w:rPr>
            </w:pPr>
            <w:r w:rsidRPr="00CC659A">
              <w:rPr>
                <w:rFonts w:eastAsia="Times New Roman"/>
                <w:color w:val="000000"/>
                <w:sz w:val="16"/>
                <w:szCs w:val="16"/>
                <w:lang w:val="es-ES"/>
              </w:rPr>
              <w:t>0.679</w:t>
            </w:r>
          </w:p>
        </w:tc>
        <w:tc>
          <w:tcPr>
            <w:tcW w:w="420" w:type="pct"/>
            <w:tcBorders>
              <w:top w:val="nil"/>
              <w:left w:val="nil"/>
              <w:bottom w:val="nil"/>
              <w:right w:val="single" w:sz="8" w:space="0" w:color="808080"/>
            </w:tcBorders>
            <w:shd w:val="clear" w:color="auto" w:fill="auto"/>
            <w:vAlign w:val="center"/>
            <w:hideMark/>
          </w:tcPr>
          <w:p w14:paraId="595A25E6" w14:textId="77777777" w:rsidR="00CC659A" w:rsidRPr="00CC659A" w:rsidRDefault="00CC659A" w:rsidP="00CC659A">
            <w:pPr>
              <w:spacing w:after="0" w:line="240" w:lineRule="auto"/>
              <w:ind w:left="-108"/>
              <w:jc w:val="right"/>
              <w:rPr>
                <w:rFonts w:eastAsia="Times New Roman" w:cs="Arial"/>
                <w:color w:val="000000"/>
                <w:sz w:val="16"/>
                <w:szCs w:val="16"/>
                <w:lang w:val="es-ES"/>
              </w:rPr>
            </w:pPr>
            <w:r w:rsidRPr="00CC659A">
              <w:rPr>
                <w:rFonts w:eastAsia="Times New Roman" w:cs="Arial"/>
                <w:color w:val="000000"/>
                <w:sz w:val="16"/>
                <w:szCs w:val="16"/>
                <w:lang w:val="es-ES"/>
              </w:rPr>
              <w:t>1.563</w:t>
            </w:r>
          </w:p>
        </w:tc>
        <w:tc>
          <w:tcPr>
            <w:tcW w:w="444" w:type="pct"/>
            <w:tcBorders>
              <w:top w:val="nil"/>
              <w:left w:val="nil"/>
              <w:bottom w:val="nil"/>
              <w:right w:val="single" w:sz="4" w:space="0" w:color="808080"/>
            </w:tcBorders>
            <w:shd w:val="clear" w:color="auto" w:fill="auto"/>
            <w:vAlign w:val="center"/>
            <w:hideMark/>
          </w:tcPr>
          <w:p w14:paraId="726CC52A"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136 751 </w:t>
            </w:r>
          </w:p>
        </w:tc>
        <w:tc>
          <w:tcPr>
            <w:tcW w:w="437" w:type="pct"/>
            <w:tcBorders>
              <w:top w:val="nil"/>
              <w:left w:val="nil"/>
              <w:bottom w:val="nil"/>
              <w:right w:val="single" w:sz="8" w:space="0" w:color="808080"/>
            </w:tcBorders>
            <w:shd w:val="clear" w:color="auto" w:fill="auto"/>
            <w:vAlign w:val="center"/>
            <w:hideMark/>
          </w:tcPr>
          <w:p w14:paraId="51D4C994"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45 584 </w:t>
            </w:r>
          </w:p>
        </w:tc>
        <w:tc>
          <w:tcPr>
            <w:tcW w:w="444" w:type="pct"/>
            <w:tcBorders>
              <w:top w:val="nil"/>
              <w:left w:val="nil"/>
              <w:bottom w:val="nil"/>
              <w:right w:val="single" w:sz="4" w:space="0" w:color="808080"/>
            </w:tcBorders>
            <w:shd w:val="clear" w:color="auto" w:fill="auto"/>
            <w:vAlign w:val="center"/>
            <w:hideMark/>
          </w:tcPr>
          <w:p w14:paraId="6B460D34"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152 553 </w:t>
            </w:r>
          </w:p>
        </w:tc>
        <w:tc>
          <w:tcPr>
            <w:tcW w:w="437" w:type="pct"/>
            <w:tcBorders>
              <w:top w:val="nil"/>
              <w:left w:val="nil"/>
              <w:bottom w:val="nil"/>
              <w:right w:val="single" w:sz="8" w:space="0" w:color="808080"/>
            </w:tcBorders>
            <w:shd w:val="clear" w:color="auto" w:fill="auto"/>
            <w:vAlign w:val="center"/>
            <w:hideMark/>
          </w:tcPr>
          <w:p w14:paraId="797566F1"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50 851 </w:t>
            </w:r>
          </w:p>
        </w:tc>
        <w:tc>
          <w:tcPr>
            <w:tcW w:w="444" w:type="pct"/>
            <w:tcBorders>
              <w:top w:val="nil"/>
              <w:left w:val="nil"/>
              <w:bottom w:val="nil"/>
              <w:right w:val="single" w:sz="4" w:space="0" w:color="808080"/>
            </w:tcBorders>
            <w:shd w:val="clear" w:color="auto" w:fill="auto"/>
            <w:vAlign w:val="center"/>
            <w:hideMark/>
          </w:tcPr>
          <w:p w14:paraId="27FB30DA"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178 622 </w:t>
            </w:r>
          </w:p>
        </w:tc>
        <w:tc>
          <w:tcPr>
            <w:tcW w:w="437" w:type="pct"/>
            <w:tcBorders>
              <w:top w:val="nil"/>
              <w:left w:val="nil"/>
              <w:bottom w:val="nil"/>
              <w:right w:val="single" w:sz="8" w:space="0" w:color="808080"/>
            </w:tcBorders>
            <w:shd w:val="clear" w:color="auto" w:fill="auto"/>
            <w:vAlign w:val="center"/>
            <w:hideMark/>
          </w:tcPr>
          <w:p w14:paraId="6A8DD410"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59 541 </w:t>
            </w:r>
          </w:p>
        </w:tc>
        <w:tc>
          <w:tcPr>
            <w:tcW w:w="444" w:type="pct"/>
            <w:tcBorders>
              <w:top w:val="nil"/>
              <w:left w:val="single" w:sz="4" w:space="0" w:color="808080"/>
              <w:bottom w:val="nil"/>
              <w:right w:val="single" w:sz="8" w:space="0" w:color="808080"/>
            </w:tcBorders>
            <w:shd w:val="clear" w:color="auto" w:fill="auto"/>
            <w:vAlign w:val="center"/>
            <w:hideMark/>
          </w:tcPr>
          <w:p w14:paraId="5E0D64D8"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147 755 </w:t>
            </w:r>
          </w:p>
        </w:tc>
      </w:tr>
      <w:tr w:rsidR="006D34EE" w:rsidRPr="00CC659A" w14:paraId="285F05C3" w14:textId="77777777" w:rsidTr="00477854">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09A33390" w14:textId="77777777" w:rsidR="00CC659A" w:rsidRPr="00CC659A" w:rsidRDefault="00CC659A" w:rsidP="00CC659A">
            <w:pPr>
              <w:spacing w:after="0" w:line="240" w:lineRule="auto"/>
              <w:ind w:left="-108"/>
              <w:jc w:val="right"/>
              <w:rPr>
                <w:rFonts w:eastAsia="Times New Roman"/>
                <w:color w:val="000000"/>
                <w:sz w:val="16"/>
                <w:szCs w:val="16"/>
                <w:lang w:val="es-ES"/>
              </w:rPr>
            </w:pPr>
            <w:r w:rsidRPr="00CC659A">
              <w:rPr>
                <w:rFonts w:eastAsia="Times New Roman"/>
                <w:color w:val="000000"/>
                <w:sz w:val="16"/>
                <w:szCs w:val="16"/>
                <w:lang w:val="es-ES"/>
              </w:rPr>
              <w:t>94</w:t>
            </w:r>
          </w:p>
        </w:tc>
        <w:tc>
          <w:tcPr>
            <w:tcW w:w="920" w:type="pct"/>
            <w:tcBorders>
              <w:top w:val="nil"/>
              <w:left w:val="nil"/>
              <w:bottom w:val="nil"/>
              <w:right w:val="nil"/>
            </w:tcBorders>
            <w:shd w:val="clear" w:color="auto" w:fill="auto"/>
            <w:vAlign w:val="center"/>
            <w:hideMark/>
          </w:tcPr>
          <w:p w14:paraId="54FDCFB0" w14:textId="68E6CDDF" w:rsidR="00CC659A" w:rsidRPr="00CC659A" w:rsidRDefault="00E24C7B"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Pakistán</w:t>
            </w:r>
          </w:p>
        </w:tc>
        <w:tc>
          <w:tcPr>
            <w:tcW w:w="404" w:type="pct"/>
            <w:tcBorders>
              <w:top w:val="nil"/>
              <w:left w:val="nil"/>
              <w:bottom w:val="nil"/>
              <w:right w:val="nil"/>
            </w:tcBorders>
            <w:shd w:val="clear" w:color="auto" w:fill="auto"/>
            <w:vAlign w:val="center"/>
            <w:hideMark/>
          </w:tcPr>
          <w:p w14:paraId="28156B81" w14:textId="77777777" w:rsidR="00CC659A" w:rsidRPr="00CC659A" w:rsidRDefault="00CC659A" w:rsidP="00CC659A">
            <w:pPr>
              <w:spacing w:after="0" w:line="240" w:lineRule="auto"/>
              <w:ind w:left="-108"/>
              <w:jc w:val="center"/>
              <w:rPr>
                <w:rFonts w:eastAsia="Times New Roman"/>
                <w:color w:val="000000"/>
                <w:sz w:val="16"/>
                <w:szCs w:val="16"/>
                <w:lang w:val="es-ES"/>
              </w:rPr>
            </w:pPr>
            <w:r w:rsidRPr="00CC659A">
              <w:rPr>
                <w:rFonts w:eastAsia="Times New Roman"/>
                <w:color w:val="000000"/>
                <w:sz w:val="16"/>
                <w:szCs w:val="16"/>
                <w:lang w:val="es-ES"/>
              </w:rPr>
              <w:t>0.114</w:t>
            </w:r>
          </w:p>
        </w:tc>
        <w:tc>
          <w:tcPr>
            <w:tcW w:w="420" w:type="pct"/>
            <w:tcBorders>
              <w:top w:val="nil"/>
              <w:left w:val="nil"/>
              <w:bottom w:val="nil"/>
              <w:right w:val="single" w:sz="8" w:space="0" w:color="808080"/>
            </w:tcBorders>
            <w:shd w:val="clear" w:color="auto" w:fill="auto"/>
            <w:vAlign w:val="center"/>
            <w:hideMark/>
          </w:tcPr>
          <w:p w14:paraId="58CA022A" w14:textId="77777777" w:rsidR="00CC659A" w:rsidRPr="00CC659A" w:rsidRDefault="00CC659A" w:rsidP="00CC659A">
            <w:pPr>
              <w:spacing w:after="0" w:line="240" w:lineRule="auto"/>
              <w:ind w:left="-108"/>
              <w:jc w:val="right"/>
              <w:rPr>
                <w:rFonts w:eastAsia="Times New Roman" w:cs="Arial"/>
                <w:color w:val="000000"/>
                <w:sz w:val="16"/>
                <w:szCs w:val="16"/>
                <w:lang w:val="es-ES"/>
              </w:rPr>
            </w:pPr>
            <w:r w:rsidRPr="00CC659A">
              <w:rPr>
                <w:rFonts w:eastAsia="Times New Roman" w:cs="Arial"/>
                <w:color w:val="000000"/>
                <w:sz w:val="16"/>
                <w:szCs w:val="16"/>
                <w:lang w:val="es-ES"/>
              </w:rPr>
              <w:t>0.262</w:t>
            </w:r>
          </w:p>
        </w:tc>
        <w:tc>
          <w:tcPr>
            <w:tcW w:w="444" w:type="pct"/>
            <w:tcBorders>
              <w:top w:val="nil"/>
              <w:left w:val="nil"/>
              <w:bottom w:val="nil"/>
              <w:right w:val="single" w:sz="4" w:space="0" w:color="808080"/>
            </w:tcBorders>
            <w:shd w:val="clear" w:color="auto" w:fill="auto"/>
            <w:vAlign w:val="center"/>
            <w:hideMark/>
          </w:tcPr>
          <w:p w14:paraId="58C1D7FA"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22 960 </w:t>
            </w:r>
          </w:p>
        </w:tc>
        <w:tc>
          <w:tcPr>
            <w:tcW w:w="437" w:type="pct"/>
            <w:tcBorders>
              <w:top w:val="nil"/>
              <w:left w:val="nil"/>
              <w:bottom w:val="nil"/>
              <w:right w:val="single" w:sz="8" w:space="0" w:color="808080"/>
            </w:tcBorders>
            <w:shd w:val="clear" w:color="auto" w:fill="auto"/>
            <w:vAlign w:val="center"/>
            <w:hideMark/>
          </w:tcPr>
          <w:p w14:paraId="1F87800B"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7 653 </w:t>
            </w:r>
          </w:p>
        </w:tc>
        <w:tc>
          <w:tcPr>
            <w:tcW w:w="444" w:type="pct"/>
            <w:tcBorders>
              <w:top w:val="nil"/>
              <w:left w:val="nil"/>
              <w:bottom w:val="nil"/>
              <w:right w:val="single" w:sz="4" w:space="0" w:color="808080"/>
            </w:tcBorders>
            <w:shd w:val="clear" w:color="auto" w:fill="auto"/>
            <w:vAlign w:val="center"/>
            <w:hideMark/>
          </w:tcPr>
          <w:p w14:paraId="2C47E0E4"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25 613 </w:t>
            </w:r>
          </w:p>
        </w:tc>
        <w:tc>
          <w:tcPr>
            <w:tcW w:w="437" w:type="pct"/>
            <w:tcBorders>
              <w:top w:val="nil"/>
              <w:left w:val="nil"/>
              <w:bottom w:val="nil"/>
              <w:right w:val="single" w:sz="8" w:space="0" w:color="808080"/>
            </w:tcBorders>
            <w:shd w:val="clear" w:color="auto" w:fill="auto"/>
            <w:vAlign w:val="center"/>
            <w:hideMark/>
          </w:tcPr>
          <w:p w14:paraId="5C8B5BD3"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8 538 </w:t>
            </w:r>
          </w:p>
        </w:tc>
        <w:tc>
          <w:tcPr>
            <w:tcW w:w="444" w:type="pct"/>
            <w:tcBorders>
              <w:top w:val="nil"/>
              <w:left w:val="nil"/>
              <w:bottom w:val="nil"/>
              <w:right w:val="single" w:sz="4" w:space="0" w:color="808080"/>
            </w:tcBorders>
            <w:shd w:val="clear" w:color="auto" w:fill="auto"/>
            <w:vAlign w:val="center"/>
            <w:hideMark/>
          </w:tcPr>
          <w:p w14:paraId="694E950D"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29 990 </w:t>
            </w:r>
          </w:p>
        </w:tc>
        <w:tc>
          <w:tcPr>
            <w:tcW w:w="437" w:type="pct"/>
            <w:tcBorders>
              <w:top w:val="nil"/>
              <w:left w:val="nil"/>
              <w:bottom w:val="nil"/>
              <w:right w:val="single" w:sz="8" w:space="0" w:color="808080"/>
            </w:tcBorders>
            <w:shd w:val="clear" w:color="auto" w:fill="auto"/>
            <w:vAlign w:val="center"/>
            <w:hideMark/>
          </w:tcPr>
          <w:p w14:paraId="06B9070B"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9 997 </w:t>
            </w:r>
          </w:p>
        </w:tc>
        <w:tc>
          <w:tcPr>
            <w:tcW w:w="444" w:type="pct"/>
            <w:tcBorders>
              <w:top w:val="nil"/>
              <w:left w:val="single" w:sz="4" w:space="0" w:color="808080"/>
              <w:bottom w:val="nil"/>
              <w:right w:val="single" w:sz="8" w:space="0" w:color="808080"/>
            </w:tcBorders>
            <w:shd w:val="clear" w:color="auto" w:fill="auto"/>
            <w:vAlign w:val="center"/>
            <w:hideMark/>
          </w:tcPr>
          <w:p w14:paraId="034FD304"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22 536 </w:t>
            </w:r>
          </w:p>
        </w:tc>
      </w:tr>
      <w:tr w:rsidR="006D34EE" w:rsidRPr="00CC659A" w14:paraId="62B7A14D" w14:textId="77777777" w:rsidTr="00477854">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606CE45B" w14:textId="77777777" w:rsidR="00CC659A" w:rsidRPr="00CC659A" w:rsidRDefault="00CC659A" w:rsidP="00CC659A">
            <w:pPr>
              <w:spacing w:after="0" w:line="240" w:lineRule="auto"/>
              <w:ind w:left="-108"/>
              <w:jc w:val="right"/>
              <w:rPr>
                <w:rFonts w:eastAsia="Times New Roman"/>
                <w:color w:val="000000"/>
                <w:sz w:val="16"/>
                <w:szCs w:val="16"/>
                <w:lang w:val="es-ES"/>
              </w:rPr>
            </w:pPr>
            <w:r w:rsidRPr="00CC659A">
              <w:rPr>
                <w:rFonts w:eastAsia="Times New Roman"/>
                <w:color w:val="000000"/>
                <w:sz w:val="16"/>
                <w:szCs w:val="16"/>
                <w:lang w:val="es-ES"/>
              </w:rPr>
              <w:t>95</w:t>
            </w:r>
          </w:p>
        </w:tc>
        <w:tc>
          <w:tcPr>
            <w:tcW w:w="920" w:type="pct"/>
            <w:tcBorders>
              <w:top w:val="nil"/>
              <w:left w:val="nil"/>
              <w:bottom w:val="nil"/>
              <w:right w:val="nil"/>
            </w:tcBorders>
            <w:shd w:val="clear" w:color="auto" w:fill="auto"/>
            <w:vAlign w:val="center"/>
            <w:hideMark/>
          </w:tcPr>
          <w:p w14:paraId="4C8151B9" w14:textId="4E8D6850"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Pala</w:t>
            </w:r>
            <w:r w:rsidR="004C042B">
              <w:rPr>
                <w:rFonts w:eastAsia="Times New Roman"/>
                <w:color w:val="000000"/>
                <w:sz w:val="16"/>
                <w:szCs w:val="16"/>
                <w:lang w:val="es-ES"/>
              </w:rPr>
              <w:t>u</w:t>
            </w:r>
          </w:p>
        </w:tc>
        <w:tc>
          <w:tcPr>
            <w:tcW w:w="404" w:type="pct"/>
            <w:tcBorders>
              <w:top w:val="nil"/>
              <w:left w:val="nil"/>
              <w:bottom w:val="nil"/>
              <w:right w:val="nil"/>
            </w:tcBorders>
            <w:shd w:val="clear" w:color="auto" w:fill="auto"/>
            <w:vAlign w:val="center"/>
            <w:hideMark/>
          </w:tcPr>
          <w:p w14:paraId="1828F7CF" w14:textId="77777777" w:rsidR="00CC659A" w:rsidRPr="00CC659A" w:rsidRDefault="00CC659A" w:rsidP="00CC659A">
            <w:pPr>
              <w:spacing w:after="0" w:line="240" w:lineRule="auto"/>
              <w:ind w:left="-108"/>
              <w:jc w:val="center"/>
              <w:rPr>
                <w:rFonts w:eastAsia="Times New Roman"/>
                <w:color w:val="000000"/>
                <w:sz w:val="16"/>
                <w:szCs w:val="16"/>
                <w:lang w:val="es-ES"/>
              </w:rPr>
            </w:pPr>
            <w:r w:rsidRPr="00CC659A">
              <w:rPr>
                <w:rFonts w:eastAsia="Times New Roman"/>
                <w:color w:val="000000"/>
                <w:sz w:val="16"/>
                <w:szCs w:val="16"/>
                <w:lang w:val="es-ES"/>
              </w:rPr>
              <w:t>0.001</w:t>
            </w:r>
          </w:p>
        </w:tc>
        <w:tc>
          <w:tcPr>
            <w:tcW w:w="420" w:type="pct"/>
            <w:tcBorders>
              <w:top w:val="nil"/>
              <w:left w:val="nil"/>
              <w:bottom w:val="nil"/>
              <w:right w:val="single" w:sz="8" w:space="0" w:color="808080"/>
            </w:tcBorders>
            <w:shd w:val="clear" w:color="auto" w:fill="auto"/>
            <w:vAlign w:val="center"/>
            <w:hideMark/>
          </w:tcPr>
          <w:p w14:paraId="76B76C41" w14:textId="77777777" w:rsidR="00CC659A" w:rsidRPr="00CC659A" w:rsidRDefault="00CC659A" w:rsidP="00CC659A">
            <w:pPr>
              <w:spacing w:after="0" w:line="240" w:lineRule="auto"/>
              <w:ind w:left="-108"/>
              <w:jc w:val="right"/>
              <w:rPr>
                <w:rFonts w:eastAsia="Times New Roman" w:cs="Arial"/>
                <w:color w:val="000000"/>
                <w:sz w:val="16"/>
                <w:szCs w:val="16"/>
                <w:lang w:val="es-ES"/>
              </w:rPr>
            </w:pPr>
            <w:r w:rsidRPr="00CC659A">
              <w:rPr>
                <w:rFonts w:eastAsia="Times New Roman" w:cs="Arial"/>
                <w:color w:val="000000"/>
                <w:sz w:val="16"/>
                <w:szCs w:val="16"/>
                <w:lang w:val="es-ES"/>
              </w:rPr>
              <w:t>0.002</w:t>
            </w:r>
          </w:p>
        </w:tc>
        <w:tc>
          <w:tcPr>
            <w:tcW w:w="444" w:type="pct"/>
            <w:tcBorders>
              <w:top w:val="nil"/>
              <w:left w:val="nil"/>
              <w:bottom w:val="nil"/>
              <w:right w:val="single" w:sz="4" w:space="0" w:color="808080"/>
            </w:tcBorders>
            <w:shd w:val="clear" w:color="auto" w:fill="auto"/>
            <w:vAlign w:val="center"/>
            <w:hideMark/>
          </w:tcPr>
          <w:p w14:paraId="75C0F252"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201 </w:t>
            </w:r>
          </w:p>
        </w:tc>
        <w:tc>
          <w:tcPr>
            <w:tcW w:w="437" w:type="pct"/>
            <w:tcBorders>
              <w:top w:val="nil"/>
              <w:left w:val="nil"/>
              <w:bottom w:val="nil"/>
              <w:right w:val="single" w:sz="8" w:space="0" w:color="808080"/>
            </w:tcBorders>
            <w:shd w:val="clear" w:color="auto" w:fill="auto"/>
            <w:vAlign w:val="center"/>
            <w:hideMark/>
          </w:tcPr>
          <w:p w14:paraId="061D259C"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67 </w:t>
            </w:r>
          </w:p>
        </w:tc>
        <w:tc>
          <w:tcPr>
            <w:tcW w:w="444" w:type="pct"/>
            <w:tcBorders>
              <w:top w:val="nil"/>
              <w:left w:val="nil"/>
              <w:bottom w:val="nil"/>
              <w:right w:val="single" w:sz="4" w:space="0" w:color="808080"/>
            </w:tcBorders>
            <w:shd w:val="clear" w:color="auto" w:fill="auto"/>
            <w:vAlign w:val="center"/>
            <w:hideMark/>
          </w:tcPr>
          <w:p w14:paraId="273881DA"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225 </w:t>
            </w:r>
          </w:p>
        </w:tc>
        <w:tc>
          <w:tcPr>
            <w:tcW w:w="437" w:type="pct"/>
            <w:tcBorders>
              <w:top w:val="nil"/>
              <w:left w:val="nil"/>
              <w:bottom w:val="nil"/>
              <w:right w:val="single" w:sz="8" w:space="0" w:color="808080"/>
            </w:tcBorders>
            <w:shd w:val="clear" w:color="auto" w:fill="auto"/>
            <w:vAlign w:val="center"/>
            <w:hideMark/>
          </w:tcPr>
          <w:p w14:paraId="3DDA5A2B"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75 </w:t>
            </w:r>
          </w:p>
        </w:tc>
        <w:tc>
          <w:tcPr>
            <w:tcW w:w="444" w:type="pct"/>
            <w:tcBorders>
              <w:top w:val="nil"/>
              <w:left w:val="nil"/>
              <w:bottom w:val="nil"/>
              <w:right w:val="single" w:sz="4" w:space="0" w:color="808080"/>
            </w:tcBorders>
            <w:shd w:val="clear" w:color="auto" w:fill="auto"/>
            <w:vAlign w:val="center"/>
            <w:hideMark/>
          </w:tcPr>
          <w:p w14:paraId="7CC1F284"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263 </w:t>
            </w:r>
          </w:p>
        </w:tc>
        <w:tc>
          <w:tcPr>
            <w:tcW w:w="437" w:type="pct"/>
            <w:tcBorders>
              <w:top w:val="nil"/>
              <w:left w:val="nil"/>
              <w:bottom w:val="nil"/>
              <w:right w:val="single" w:sz="8" w:space="0" w:color="808080"/>
            </w:tcBorders>
            <w:shd w:val="clear" w:color="auto" w:fill="auto"/>
            <w:vAlign w:val="center"/>
            <w:hideMark/>
          </w:tcPr>
          <w:p w14:paraId="3781BC6C"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88 </w:t>
            </w:r>
          </w:p>
        </w:tc>
        <w:tc>
          <w:tcPr>
            <w:tcW w:w="444" w:type="pct"/>
            <w:tcBorders>
              <w:top w:val="nil"/>
              <w:left w:val="single" w:sz="4" w:space="0" w:color="808080"/>
              <w:bottom w:val="nil"/>
              <w:right w:val="single" w:sz="8" w:space="0" w:color="808080"/>
            </w:tcBorders>
            <w:shd w:val="clear" w:color="auto" w:fill="auto"/>
            <w:vAlign w:val="center"/>
            <w:hideMark/>
          </w:tcPr>
          <w:p w14:paraId="0726487D"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197 </w:t>
            </w:r>
          </w:p>
        </w:tc>
      </w:tr>
      <w:tr w:rsidR="006D34EE" w:rsidRPr="00CC659A" w14:paraId="407052F8" w14:textId="77777777" w:rsidTr="00477854">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39B3E229" w14:textId="77777777" w:rsidR="00CC659A" w:rsidRPr="00CC659A" w:rsidRDefault="00CC659A" w:rsidP="00CC659A">
            <w:pPr>
              <w:spacing w:after="0" w:line="240" w:lineRule="auto"/>
              <w:ind w:left="-108"/>
              <w:jc w:val="right"/>
              <w:rPr>
                <w:rFonts w:eastAsia="Times New Roman"/>
                <w:color w:val="000000"/>
                <w:sz w:val="16"/>
                <w:szCs w:val="16"/>
                <w:lang w:val="es-ES"/>
              </w:rPr>
            </w:pPr>
            <w:r w:rsidRPr="00CC659A">
              <w:rPr>
                <w:rFonts w:eastAsia="Times New Roman"/>
                <w:color w:val="000000"/>
                <w:sz w:val="16"/>
                <w:szCs w:val="16"/>
                <w:lang w:val="es-ES"/>
              </w:rPr>
              <w:t>96</w:t>
            </w:r>
          </w:p>
        </w:tc>
        <w:tc>
          <w:tcPr>
            <w:tcW w:w="920" w:type="pct"/>
            <w:tcBorders>
              <w:top w:val="nil"/>
              <w:left w:val="nil"/>
              <w:bottom w:val="nil"/>
              <w:right w:val="nil"/>
            </w:tcBorders>
            <w:shd w:val="clear" w:color="auto" w:fill="auto"/>
            <w:vAlign w:val="center"/>
            <w:hideMark/>
          </w:tcPr>
          <w:p w14:paraId="44F81AE8" w14:textId="4E23D173" w:rsidR="00CC659A" w:rsidRPr="00CC659A" w:rsidRDefault="004C042B"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Panamá</w:t>
            </w:r>
          </w:p>
        </w:tc>
        <w:tc>
          <w:tcPr>
            <w:tcW w:w="404" w:type="pct"/>
            <w:tcBorders>
              <w:top w:val="nil"/>
              <w:left w:val="nil"/>
              <w:bottom w:val="nil"/>
              <w:right w:val="nil"/>
            </w:tcBorders>
            <w:shd w:val="clear" w:color="auto" w:fill="auto"/>
            <w:vAlign w:val="center"/>
            <w:hideMark/>
          </w:tcPr>
          <w:p w14:paraId="7D2D1237" w14:textId="77777777" w:rsidR="00CC659A" w:rsidRPr="00CC659A" w:rsidRDefault="00CC659A" w:rsidP="00CC659A">
            <w:pPr>
              <w:spacing w:after="0" w:line="240" w:lineRule="auto"/>
              <w:ind w:left="-108"/>
              <w:jc w:val="center"/>
              <w:rPr>
                <w:rFonts w:eastAsia="Times New Roman"/>
                <w:color w:val="000000"/>
                <w:sz w:val="16"/>
                <w:szCs w:val="16"/>
                <w:lang w:val="es-ES"/>
              </w:rPr>
            </w:pPr>
            <w:r w:rsidRPr="00CC659A">
              <w:rPr>
                <w:rFonts w:eastAsia="Times New Roman"/>
                <w:color w:val="000000"/>
                <w:sz w:val="16"/>
                <w:szCs w:val="16"/>
                <w:lang w:val="es-ES"/>
              </w:rPr>
              <w:t>0.09</w:t>
            </w:r>
          </w:p>
        </w:tc>
        <w:tc>
          <w:tcPr>
            <w:tcW w:w="420" w:type="pct"/>
            <w:tcBorders>
              <w:top w:val="nil"/>
              <w:left w:val="nil"/>
              <w:bottom w:val="nil"/>
              <w:right w:val="single" w:sz="8" w:space="0" w:color="808080"/>
            </w:tcBorders>
            <w:shd w:val="clear" w:color="auto" w:fill="auto"/>
            <w:vAlign w:val="center"/>
            <w:hideMark/>
          </w:tcPr>
          <w:p w14:paraId="4520C350" w14:textId="77777777" w:rsidR="00CC659A" w:rsidRPr="00CC659A" w:rsidRDefault="00CC659A" w:rsidP="00CC659A">
            <w:pPr>
              <w:spacing w:after="0" w:line="240" w:lineRule="auto"/>
              <w:ind w:left="-108"/>
              <w:jc w:val="right"/>
              <w:rPr>
                <w:rFonts w:eastAsia="Times New Roman" w:cs="Arial"/>
                <w:color w:val="000000"/>
                <w:sz w:val="16"/>
                <w:szCs w:val="16"/>
                <w:lang w:val="es-ES"/>
              </w:rPr>
            </w:pPr>
            <w:r w:rsidRPr="00CC659A">
              <w:rPr>
                <w:rFonts w:eastAsia="Times New Roman" w:cs="Arial"/>
                <w:color w:val="000000"/>
                <w:sz w:val="16"/>
                <w:szCs w:val="16"/>
                <w:lang w:val="es-ES"/>
              </w:rPr>
              <w:t>0.207</w:t>
            </w:r>
          </w:p>
        </w:tc>
        <w:tc>
          <w:tcPr>
            <w:tcW w:w="444" w:type="pct"/>
            <w:tcBorders>
              <w:top w:val="nil"/>
              <w:left w:val="nil"/>
              <w:bottom w:val="nil"/>
              <w:right w:val="single" w:sz="4" w:space="0" w:color="808080"/>
            </w:tcBorders>
            <w:shd w:val="clear" w:color="auto" w:fill="auto"/>
            <w:vAlign w:val="center"/>
            <w:hideMark/>
          </w:tcPr>
          <w:p w14:paraId="14F1AD4E"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18 126 </w:t>
            </w:r>
          </w:p>
        </w:tc>
        <w:tc>
          <w:tcPr>
            <w:tcW w:w="437" w:type="pct"/>
            <w:tcBorders>
              <w:top w:val="nil"/>
              <w:left w:val="nil"/>
              <w:bottom w:val="nil"/>
              <w:right w:val="single" w:sz="8" w:space="0" w:color="808080"/>
            </w:tcBorders>
            <w:shd w:val="clear" w:color="auto" w:fill="auto"/>
            <w:vAlign w:val="center"/>
            <w:hideMark/>
          </w:tcPr>
          <w:p w14:paraId="169249A1"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6 042 </w:t>
            </w:r>
          </w:p>
        </w:tc>
        <w:tc>
          <w:tcPr>
            <w:tcW w:w="444" w:type="pct"/>
            <w:tcBorders>
              <w:top w:val="nil"/>
              <w:left w:val="nil"/>
              <w:bottom w:val="nil"/>
              <w:right w:val="single" w:sz="4" w:space="0" w:color="808080"/>
            </w:tcBorders>
            <w:shd w:val="clear" w:color="auto" w:fill="auto"/>
            <w:vAlign w:val="center"/>
            <w:hideMark/>
          </w:tcPr>
          <w:p w14:paraId="051F5320"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20 221 </w:t>
            </w:r>
          </w:p>
        </w:tc>
        <w:tc>
          <w:tcPr>
            <w:tcW w:w="437" w:type="pct"/>
            <w:tcBorders>
              <w:top w:val="nil"/>
              <w:left w:val="nil"/>
              <w:bottom w:val="nil"/>
              <w:right w:val="single" w:sz="8" w:space="0" w:color="808080"/>
            </w:tcBorders>
            <w:shd w:val="clear" w:color="auto" w:fill="auto"/>
            <w:vAlign w:val="center"/>
            <w:hideMark/>
          </w:tcPr>
          <w:p w14:paraId="1DC4977E"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6 740 </w:t>
            </w:r>
          </w:p>
        </w:tc>
        <w:tc>
          <w:tcPr>
            <w:tcW w:w="444" w:type="pct"/>
            <w:tcBorders>
              <w:top w:val="nil"/>
              <w:left w:val="nil"/>
              <w:bottom w:val="nil"/>
              <w:right w:val="single" w:sz="4" w:space="0" w:color="808080"/>
            </w:tcBorders>
            <w:shd w:val="clear" w:color="auto" w:fill="auto"/>
            <w:vAlign w:val="center"/>
            <w:hideMark/>
          </w:tcPr>
          <w:p w14:paraId="19F47E57"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23 676 </w:t>
            </w:r>
          </w:p>
        </w:tc>
        <w:tc>
          <w:tcPr>
            <w:tcW w:w="437" w:type="pct"/>
            <w:tcBorders>
              <w:top w:val="nil"/>
              <w:left w:val="nil"/>
              <w:bottom w:val="nil"/>
              <w:right w:val="single" w:sz="8" w:space="0" w:color="808080"/>
            </w:tcBorders>
            <w:shd w:val="clear" w:color="auto" w:fill="auto"/>
            <w:vAlign w:val="center"/>
            <w:hideMark/>
          </w:tcPr>
          <w:p w14:paraId="539F809C"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7 892 </w:t>
            </w:r>
          </w:p>
        </w:tc>
        <w:tc>
          <w:tcPr>
            <w:tcW w:w="444" w:type="pct"/>
            <w:tcBorders>
              <w:top w:val="nil"/>
              <w:left w:val="single" w:sz="4" w:space="0" w:color="808080"/>
              <w:bottom w:val="nil"/>
              <w:right w:val="single" w:sz="8" w:space="0" w:color="808080"/>
            </w:tcBorders>
            <w:shd w:val="clear" w:color="auto" w:fill="auto"/>
            <w:vAlign w:val="center"/>
            <w:hideMark/>
          </w:tcPr>
          <w:p w14:paraId="2915B292"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8 818 </w:t>
            </w:r>
          </w:p>
        </w:tc>
      </w:tr>
      <w:tr w:rsidR="006D34EE" w:rsidRPr="00CC659A" w14:paraId="099A208E" w14:textId="77777777" w:rsidTr="00477854">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302BDC52" w14:textId="77777777" w:rsidR="00CC659A" w:rsidRPr="00CC659A" w:rsidRDefault="00CC659A" w:rsidP="00CC659A">
            <w:pPr>
              <w:spacing w:after="0" w:line="240" w:lineRule="auto"/>
              <w:ind w:left="-108"/>
              <w:jc w:val="right"/>
              <w:rPr>
                <w:rFonts w:eastAsia="Times New Roman"/>
                <w:color w:val="000000"/>
                <w:sz w:val="16"/>
                <w:szCs w:val="16"/>
                <w:lang w:val="es-ES"/>
              </w:rPr>
            </w:pPr>
            <w:r w:rsidRPr="00CC659A">
              <w:rPr>
                <w:rFonts w:eastAsia="Times New Roman"/>
                <w:color w:val="000000"/>
                <w:sz w:val="16"/>
                <w:szCs w:val="16"/>
                <w:lang w:val="es-ES"/>
              </w:rPr>
              <w:t>97</w:t>
            </w:r>
          </w:p>
        </w:tc>
        <w:tc>
          <w:tcPr>
            <w:tcW w:w="920" w:type="pct"/>
            <w:tcBorders>
              <w:top w:val="nil"/>
              <w:left w:val="nil"/>
              <w:bottom w:val="nil"/>
              <w:right w:val="nil"/>
            </w:tcBorders>
            <w:shd w:val="clear" w:color="auto" w:fill="auto"/>
            <w:vAlign w:val="center"/>
            <w:hideMark/>
          </w:tcPr>
          <w:p w14:paraId="1DB002AB"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Paraguay</w:t>
            </w:r>
          </w:p>
        </w:tc>
        <w:tc>
          <w:tcPr>
            <w:tcW w:w="404" w:type="pct"/>
            <w:tcBorders>
              <w:top w:val="nil"/>
              <w:left w:val="nil"/>
              <w:bottom w:val="nil"/>
              <w:right w:val="nil"/>
            </w:tcBorders>
            <w:shd w:val="clear" w:color="auto" w:fill="auto"/>
            <w:vAlign w:val="center"/>
            <w:hideMark/>
          </w:tcPr>
          <w:p w14:paraId="04631B8A" w14:textId="77777777" w:rsidR="00CC659A" w:rsidRPr="00CC659A" w:rsidRDefault="00CC659A" w:rsidP="00CC659A">
            <w:pPr>
              <w:spacing w:after="0" w:line="240" w:lineRule="auto"/>
              <w:ind w:left="-108"/>
              <w:jc w:val="center"/>
              <w:rPr>
                <w:rFonts w:eastAsia="Times New Roman"/>
                <w:color w:val="000000"/>
                <w:sz w:val="16"/>
                <w:szCs w:val="16"/>
                <w:lang w:val="es-ES"/>
              </w:rPr>
            </w:pPr>
            <w:r w:rsidRPr="00CC659A">
              <w:rPr>
                <w:rFonts w:eastAsia="Times New Roman"/>
                <w:color w:val="000000"/>
                <w:sz w:val="16"/>
                <w:szCs w:val="16"/>
                <w:lang w:val="es-ES"/>
              </w:rPr>
              <w:t>0.026</w:t>
            </w:r>
          </w:p>
        </w:tc>
        <w:tc>
          <w:tcPr>
            <w:tcW w:w="420" w:type="pct"/>
            <w:tcBorders>
              <w:top w:val="nil"/>
              <w:left w:val="nil"/>
              <w:bottom w:val="nil"/>
              <w:right w:val="single" w:sz="8" w:space="0" w:color="808080"/>
            </w:tcBorders>
            <w:shd w:val="clear" w:color="auto" w:fill="auto"/>
            <w:vAlign w:val="center"/>
            <w:hideMark/>
          </w:tcPr>
          <w:p w14:paraId="69242032" w14:textId="77777777" w:rsidR="00CC659A" w:rsidRPr="00CC659A" w:rsidRDefault="00CC659A" w:rsidP="00CC659A">
            <w:pPr>
              <w:spacing w:after="0" w:line="240" w:lineRule="auto"/>
              <w:ind w:left="-108"/>
              <w:jc w:val="right"/>
              <w:rPr>
                <w:rFonts w:eastAsia="Times New Roman" w:cs="Arial"/>
                <w:color w:val="000000"/>
                <w:sz w:val="16"/>
                <w:szCs w:val="16"/>
                <w:lang w:val="es-ES"/>
              </w:rPr>
            </w:pPr>
            <w:r w:rsidRPr="00CC659A">
              <w:rPr>
                <w:rFonts w:eastAsia="Times New Roman" w:cs="Arial"/>
                <w:color w:val="000000"/>
                <w:sz w:val="16"/>
                <w:szCs w:val="16"/>
                <w:lang w:val="es-ES"/>
              </w:rPr>
              <w:t>0.060</w:t>
            </w:r>
          </w:p>
        </w:tc>
        <w:tc>
          <w:tcPr>
            <w:tcW w:w="444" w:type="pct"/>
            <w:tcBorders>
              <w:top w:val="nil"/>
              <w:left w:val="nil"/>
              <w:bottom w:val="nil"/>
              <w:right w:val="single" w:sz="4" w:space="0" w:color="808080"/>
            </w:tcBorders>
            <w:shd w:val="clear" w:color="auto" w:fill="auto"/>
            <w:vAlign w:val="center"/>
            <w:hideMark/>
          </w:tcPr>
          <w:p w14:paraId="29F41EAB"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5 236 </w:t>
            </w:r>
          </w:p>
        </w:tc>
        <w:tc>
          <w:tcPr>
            <w:tcW w:w="437" w:type="pct"/>
            <w:tcBorders>
              <w:top w:val="nil"/>
              <w:left w:val="nil"/>
              <w:bottom w:val="nil"/>
              <w:right w:val="single" w:sz="8" w:space="0" w:color="808080"/>
            </w:tcBorders>
            <w:shd w:val="clear" w:color="auto" w:fill="auto"/>
            <w:vAlign w:val="center"/>
            <w:hideMark/>
          </w:tcPr>
          <w:p w14:paraId="15494D4E"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1 745 </w:t>
            </w:r>
          </w:p>
        </w:tc>
        <w:tc>
          <w:tcPr>
            <w:tcW w:w="444" w:type="pct"/>
            <w:tcBorders>
              <w:top w:val="nil"/>
              <w:left w:val="nil"/>
              <w:bottom w:val="nil"/>
              <w:right w:val="single" w:sz="4" w:space="0" w:color="808080"/>
            </w:tcBorders>
            <w:shd w:val="clear" w:color="auto" w:fill="auto"/>
            <w:vAlign w:val="center"/>
            <w:hideMark/>
          </w:tcPr>
          <w:p w14:paraId="3827723E"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5 841 </w:t>
            </w:r>
          </w:p>
        </w:tc>
        <w:tc>
          <w:tcPr>
            <w:tcW w:w="437" w:type="pct"/>
            <w:tcBorders>
              <w:top w:val="nil"/>
              <w:left w:val="nil"/>
              <w:bottom w:val="nil"/>
              <w:right w:val="single" w:sz="8" w:space="0" w:color="808080"/>
            </w:tcBorders>
            <w:shd w:val="clear" w:color="auto" w:fill="auto"/>
            <w:vAlign w:val="center"/>
            <w:hideMark/>
          </w:tcPr>
          <w:p w14:paraId="5C56843F"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1 947 </w:t>
            </w:r>
          </w:p>
        </w:tc>
        <w:tc>
          <w:tcPr>
            <w:tcW w:w="444" w:type="pct"/>
            <w:tcBorders>
              <w:top w:val="nil"/>
              <w:left w:val="nil"/>
              <w:bottom w:val="nil"/>
              <w:right w:val="single" w:sz="4" w:space="0" w:color="808080"/>
            </w:tcBorders>
            <w:shd w:val="clear" w:color="auto" w:fill="auto"/>
            <w:vAlign w:val="center"/>
            <w:hideMark/>
          </w:tcPr>
          <w:p w14:paraId="7E1C48EA"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6 840 </w:t>
            </w:r>
          </w:p>
        </w:tc>
        <w:tc>
          <w:tcPr>
            <w:tcW w:w="437" w:type="pct"/>
            <w:tcBorders>
              <w:top w:val="nil"/>
              <w:left w:val="nil"/>
              <w:bottom w:val="nil"/>
              <w:right w:val="single" w:sz="8" w:space="0" w:color="808080"/>
            </w:tcBorders>
            <w:shd w:val="clear" w:color="auto" w:fill="auto"/>
            <w:vAlign w:val="center"/>
            <w:hideMark/>
          </w:tcPr>
          <w:p w14:paraId="1E2625A8"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2 280 </w:t>
            </w:r>
          </w:p>
        </w:tc>
        <w:tc>
          <w:tcPr>
            <w:tcW w:w="444" w:type="pct"/>
            <w:tcBorders>
              <w:top w:val="nil"/>
              <w:left w:val="single" w:sz="4" w:space="0" w:color="808080"/>
              <w:bottom w:val="nil"/>
              <w:right w:val="single" w:sz="8" w:space="0" w:color="808080"/>
            </w:tcBorders>
            <w:shd w:val="clear" w:color="auto" w:fill="auto"/>
            <w:vAlign w:val="center"/>
            <w:hideMark/>
          </w:tcPr>
          <w:p w14:paraId="387F6032"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3 136 </w:t>
            </w:r>
          </w:p>
        </w:tc>
      </w:tr>
      <w:tr w:rsidR="006D34EE" w:rsidRPr="00CC659A" w14:paraId="44F53C06" w14:textId="77777777" w:rsidTr="00477854">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78DF9883" w14:textId="77777777" w:rsidR="00CC659A" w:rsidRPr="00CC659A" w:rsidRDefault="00CC659A" w:rsidP="00CC659A">
            <w:pPr>
              <w:spacing w:after="0" w:line="240" w:lineRule="auto"/>
              <w:ind w:left="-108"/>
              <w:jc w:val="right"/>
              <w:rPr>
                <w:rFonts w:eastAsia="Times New Roman"/>
                <w:color w:val="000000"/>
                <w:sz w:val="16"/>
                <w:szCs w:val="16"/>
                <w:lang w:val="es-ES"/>
              </w:rPr>
            </w:pPr>
            <w:r w:rsidRPr="00CC659A">
              <w:rPr>
                <w:rFonts w:eastAsia="Times New Roman"/>
                <w:color w:val="000000"/>
                <w:sz w:val="16"/>
                <w:szCs w:val="16"/>
                <w:lang w:val="es-ES"/>
              </w:rPr>
              <w:t>98</w:t>
            </w:r>
          </w:p>
        </w:tc>
        <w:tc>
          <w:tcPr>
            <w:tcW w:w="920" w:type="pct"/>
            <w:tcBorders>
              <w:top w:val="nil"/>
              <w:left w:val="nil"/>
              <w:bottom w:val="nil"/>
              <w:right w:val="nil"/>
            </w:tcBorders>
            <w:shd w:val="clear" w:color="auto" w:fill="auto"/>
            <w:vAlign w:val="center"/>
            <w:hideMark/>
          </w:tcPr>
          <w:p w14:paraId="34EACAE2" w14:textId="71B4553B"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P</w:t>
            </w:r>
            <w:r w:rsidR="004C042B">
              <w:rPr>
                <w:rFonts w:eastAsia="Times New Roman"/>
                <w:color w:val="000000"/>
                <w:sz w:val="16"/>
                <w:szCs w:val="16"/>
                <w:lang w:val="es-ES"/>
              </w:rPr>
              <w:t>erú</w:t>
            </w:r>
          </w:p>
        </w:tc>
        <w:tc>
          <w:tcPr>
            <w:tcW w:w="404" w:type="pct"/>
            <w:tcBorders>
              <w:top w:val="nil"/>
              <w:left w:val="nil"/>
              <w:bottom w:val="nil"/>
              <w:right w:val="nil"/>
            </w:tcBorders>
            <w:shd w:val="clear" w:color="auto" w:fill="auto"/>
            <w:vAlign w:val="center"/>
            <w:hideMark/>
          </w:tcPr>
          <w:p w14:paraId="2E760C28" w14:textId="77777777" w:rsidR="00CC659A" w:rsidRPr="00CC659A" w:rsidRDefault="00CC659A" w:rsidP="00CC659A">
            <w:pPr>
              <w:spacing w:after="0" w:line="240" w:lineRule="auto"/>
              <w:ind w:left="-108"/>
              <w:jc w:val="center"/>
              <w:rPr>
                <w:rFonts w:eastAsia="Times New Roman"/>
                <w:color w:val="000000"/>
                <w:sz w:val="16"/>
                <w:szCs w:val="16"/>
                <w:lang w:val="es-ES"/>
              </w:rPr>
            </w:pPr>
            <w:r w:rsidRPr="00CC659A">
              <w:rPr>
                <w:rFonts w:eastAsia="Times New Roman"/>
                <w:color w:val="000000"/>
                <w:sz w:val="16"/>
                <w:szCs w:val="16"/>
                <w:lang w:val="es-ES"/>
              </w:rPr>
              <w:t>0.163</w:t>
            </w:r>
          </w:p>
        </w:tc>
        <w:tc>
          <w:tcPr>
            <w:tcW w:w="420" w:type="pct"/>
            <w:tcBorders>
              <w:top w:val="nil"/>
              <w:left w:val="nil"/>
              <w:bottom w:val="nil"/>
              <w:right w:val="single" w:sz="8" w:space="0" w:color="808080"/>
            </w:tcBorders>
            <w:shd w:val="clear" w:color="auto" w:fill="auto"/>
            <w:vAlign w:val="center"/>
            <w:hideMark/>
          </w:tcPr>
          <w:p w14:paraId="01BD1C06" w14:textId="77777777" w:rsidR="00CC659A" w:rsidRPr="00CC659A" w:rsidRDefault="00CC659A" w:rsidP="00CC659A">
            <w:pPr>
              <w:spacing w:after="0" w:line="240" w:lineRule="auto"/>
              <w:ind w:left="-108"/>
              <w:jc w:val="right"/>
              <w:rPr>
                <w:rFonts w:eastAsia="Times New Roman" w:cs="Arial"/>
                <w:color w:val="000000"/>
                <w:sz w:val="16"/>
                <w:szCs w:val="16"/>
                <w:lang w:val="es-ES"/>
              </w:rPr>
            </w:pPr>
            <w:r w:rsidRPr="00CC659A">
              <w:rPr>
                <w:rFonts w:eastAsia="Times New Roman" w:cs="Arial"/>
                <w:color w:val="000000"/>
                <w:sz w:val="16"/>
                <w:szCs w:val="16"/>
                <w:lang w:val="es-ES"/>
              </w:rPr>
              <w:t>0.375</w:t>
            </w:r>
          </w:p>
        </w:tc>
        <w:tc>
          <w:tcPr>
            <w:tcW w:w="444" w:type="pct"/>
            <w:tcBorders>
              <w:top w:val="nil"/>
              <w:left w:val="nil"/>
              <w:bottom w:val="nil"/>
              <w:right w:val="single" w:sz="4" w:space="0" w:color="808080"/>
            </w:tcBorders>
            <w:shd w:val="clear" w:color="auto" w:fill="auto"/>
            <w:vAlign w:val="center"/>
            <w:hideMark/>
          </w:tcPr>
          <w:p w14:paraId="4EE8BC37"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32 828 </w:t>
            </w:r>
          </w:p>
        </w:tc>
        <w:tc>
          <w:tcPr>
            <w:tcW w:w="437" w:type="pct"/>
            <w:tcBorders>
              <w:top w:val="nil"/>
              <w:left w:val="nil"/>
              <w:bottom w:val="nil"/>
              <w:right w:val="single" w:sz="8" w:space="0" w:color="808080"/>
            </w:tcBorders>
            <w:shd w:val="clear" w:color="auto" w:fill="auto"/>
            <w:vAlign w:val="center"/>
            <w:hideMark/>
          </w:tcPr>
          <w:p w14:paraId="51896000"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10 943 </w:t>
            </w:r>
          </w:p>
        </w:tc>
        <w:tc>
          <w:tcPr>
            <w:tcW w:w="444" w:type="pct"/>
            <w:tcBorders>
              <w:top w:val="nil"/>
              <w:left w:val="nil"/>
              <w:bottom w:val="nil"/>
              <w:right w:val="single" w:sz="4" w:space="0" w:color="808080"/>
            </w:tcBorders>
            <w:shd w:val="clear" w:color="auto" w:fill="auto"/>
            <w:vAlign w:val="center"/>
            <w:hideMark/>
          </w:tcPr>
          <w:p w14:paraId="1E34BE90"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36 622 </w:t>
            </w:r>
          </w:p>
        </w:tc>
        <w:tc>
          <w:tcPr>
            <w:tcW w:w="437" w:type="pct"/>
            <w:tcBorders>
              <w:top w:val="nil"/>
              <w:left w:val="nil"/>
              <w:bottom w:val="nil"/>
              <w:right w:val="single" w:sz="8" w:space="0" w:color="808080"/>
            </w:tcBorders>
            <w:shd w:val="clear" w:color="auto" w:fill="auto"/>
            <w:vAlign w:val="center"/>
            <w:hideMark/>
          </w:tcPr>
          <w:p w14:paraId="687F56A1"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12 207 </w:t>
            </w:r>
          </w:p>
        </w:tc>
        <w:tc>
          <w:tcPr>
            <w:tcW w:w="444" w:type="pct"/>
            <w:tcBorders>
              <w:top w:val="nil"/>
              <w:left w:val="nil"/>
              <w:bottom w:val="nil"/>
              <w:right w:val="single" w:sz="4" w:space="0" w:color="808080"/>
            </w:tcBorders>
            <w:shd w:val="clear" w:color="auto" w:fill="auto"/>
            <w:vAlign w:val="center"/>
            <w:hideMark/>
          </w:tcPr>
          <w:p w14:paraId="782B40CB"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42 880 </w:t>
            </w:r>
          </w:p>
        </w:tc>
        <w:tc>
          <w:tcPr>
            <w:tcW w:w="437" w:type="pct"/>
            <w:tcBorders>
              <w:top w:val="nil"/>
              <w:left w:val="nil"/>
              <w:bottom w:val="nil"/>
              <w:right w:val="single" w:sz="8" w:space="0" w:color="808080"/>
            </w:tcBorders>
            <w:shd w:val="clear" w:color="auto" w:fill="auto"/>
            <w:vAlign w:val="center"/>
            <w:hideMark/>
          </w:tcPr>
          <w:p w14:paraId="2E619193"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14 293 </w:t>
            </w:r>
          </w:p>
        </w:tc>
        <w:tc>
          <w:tcPr>
            <w:tcW w:w="444" w:type="pct"/>
            <w:tcBorders>
              <w:top w:val="nil"/>
              <w:left w:val="single" w:sz="4" w:space="0" w:color="808080"/>
              <w:bottom w:val="nil"/>
              <w:right w:val="single" w:sz="8" w:space="0" w:color="808080"/>
            </w:tcBorders>
            <w:shd w:val="clear" w:color="auto" w:fill="auto"/>
            <w:vAlign w:val="center"/>
            <w:hideMark/>
          </w:tcPr>
          <w:p w14:paraId="701A888B"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29 786 </w:t>
            </w:r>
          </w:p>
        </w:tc>
      </w:tr>
      <w:tr w:rsidR="006D34EE" w:rsidRPr="00CC659A" w14:paraId="255115F0" w14:textId="77777777" w:rsidTr="00477854">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0F0C9204" w14:textId="77777777" w:rsidR="00CC659A" w:rsidRPr="00CC659A" w:rsidRDefault="00CC659A" w:rsidP="00CC659A">
            <w:pPr>
              <w:spacing w:after="0" w:line="240" w:lineRule="auto"/>
              <w:ind w:left="-108"/>
              <w:jc w:val="right"/>
              <w:rPr>
                <w:rFonts w:eastAsia="Times New Roman"/>
                <w:color w:val="000000"/>
                <w:sz w:val="16"/>
                <w:szCs w:val="16"/>
                <w:lang w:val="es-ES"/>
              </w:rPr>
            </w:pPr>
            <w:r w:rsidRPr="00CC659A">
              <w:rPr>
                <w:rFonts w:eastAsia="Times New Roman"/>
                <w:color w:val="000000"/>
                <w:sz w:val="16"/>
                <w:szCs w:val="16"/>
                <w:lang w:val="es-ES"/>
              </w:rPr>
              <w:t>99</w:t>
            </w:r>
          </w:p>
        </w:tc>
        <w:tc>
          <w:tcPr>
            <w:tcW w:w="920" w:type="pct"/>
            <w:tcBorders>
              <w:top w:val="nil"/>
              <w:left w:val="nil"/>
              <w:bottom w:val="nil"/>
              <w:right w:val="nil"/>
            </w:tcBorders>
            <w:shd w:val="clear" w:color="auto" w:fill="auto"/>
            <w:vAlign w:val="center"/>
            <w:hideMark/>
          </w:tcPr>
          <w:p w14:paraId="704A6324" w14:textId="263A1480" w:rsidR="00CC659A" w:rsidRPr="00CC659A" w:rsidRDefault="004C042B" w:rsidP="00CC659A">
            <w:pPr>
              <w:spacing w:after="0" w:line="240" w:lineRule="auto"/>
              <w:ind w:left="-108"/>
              <w:rPr>
                <w:rFonts w:eastAsia="Times New Roman"/>
                <w:color w:val="000000"/>
                <w:sz w:val="16"/>
                <w:szCs w:val="16"/>
                <w:lang w:val="es-ES"/>
              </w:rPr>
            </w:pPr>
            <w:r>
              <w:rPr>
                <w:rFonts w:eastAsia="Times New Roman"/>
                <w:color w:val="000000"/>
                <w:sz w:val="16"/>
                <w:szCs w:val="16"/>
                <w:lang w:val="es-ES"/>
              </w:rPr>
              <w:t>Filipina</w:t>
            </w:r>
            <w:r w:rsidR="00CC659A" w:rsidRPr="00CC659A">
              <w:rPr>
                <w:rFonts w:eastAsia="Times New Roman"/>
                <w:color w:val="000000"/>
                <w:sz w:val="16"/>
                <w:szCs w:val="16"/>
                <w:lang w:val="es-ES"/>
              </w:rPr>
              <w:t>s</w:t>
            </w:r>
          </w:p>
        </w:tc>
        <w:tc>
          <w:tcPr>
            <w:tcW w:w="404" w:type="pct"/>
            <w:tcBorders>
              <w:top w:val="nil"/>
              <w:left w:val="nil"/>
              <w:bottom w:val="nil"/>
              <w:right w:val="nil"/>
            </w:tcBorders>
            <w:shd w:val="clear" w:color="auto" w:fill="auto"/>
            <w:vAlign w:val="center"/>
            <w:hideMark/>
          </w:tcPr>
          <w:p w14:paraId="70CA450D" w14:textId="77777777" w:rsidR="00CC659A" w:rsidRPr="00CC659A" w:rsidRDefault="00CC659A" w:rsidP="00CC659A">
            <w:pPr>
              <w:spacing w:after="0" w:line="240" w:lineRule="auto"/>
              <w:ind w:left="-108"/>
              <w:jc w:val="center"/>
              <w:rPr>
                <w:rFonts w:eastAsia="Times New Roman"/>
                <w:color w:val="000000"/>
                <w:sz w:val="16"/>
                <w:szCs w:val="16"/>
                <w:lang w:val="es-ES"/>
              </w:rPr>
            </w:pPr>
            <w:r w:rsidRPr="00CC659A">
              <w:rPr>
                <w:rFonts w:eastAsia="Times New Roman"/>
                <w:color w:val="000000"/>
                <w:sz w:val="16"/>
                <w:szCs w:val="16"/>
                <w:lang w:val="es-ES"/>
              </w:rPr>
              <w:t>0.212</w:t>
            </w:r>
          </w:p>
        </w:tc>
        <w:tc>
          <w:tcPr>
            <w:tcW w:w="420" w:type="pct"/>
            <w:tcBorders>
              <w:top w:val="nil"/>
              <w:left w:val="nil"/>
              <w:bottom w:val="nil"/>
              <w:right w:val="single" w:sz="8" w:space="0" w:color="808080"/>
            </w:tcBorders>
            <w:shd w:val="clear" w:color="auto" w:fill="auto"/>
            <w:vAlign w:val="center"/>
            <w:hideMark/>
          </w:tcPr>
          <w:p w14:paraId="1AC7EFFF" w14:textId="77777777" w:rsidR="00CC659A" w:rsidRPr="00CC659A" w:rsidRDefault="00CC659A" w:rsidP="00CC659A">
            <w:pPr>
              <w:spacing w:after="0" w:line="240" w:lineRule="auto"/>
              <w:ind w:left="-108"/>
              <w:jc w:val="right"/>
              <w:rPr>
                <w:rFonts w:eastAsia="Times New Roman" w:cs="Arial"/>
                <w:color w:val="000000"/>
                <w:sz w:val="16"/>
                <w:szCs w:val="16"/>
                <w:lang w:val="es-ES"/>
              </w:rPr>
            </w:pPr>
            <w:r w:rsidRPr="00CC659A">
              <w:rPr>
                <w:rFonts w:eastAsia="Times New Roman" w:cs="Arial"/>
                <w:color w:val="000000"/>
                <w:sz w:val="16"/>
                <w:szCs w:val="16"/>
                <w:lang w:val="es-ES"/>
              </w:rPr>
              <w:t>0.488</w:t>
            </w:r>
          </w:p>
        </w:tc>
        <w:tc>
          <w:tcPr>
            <w:tcW w:w="444" w:type="pct"/>
            <w:tcBorders>
              <w:top w:val="nil"/>
              <w:left w:val="nil"/>
              <w:bottom w:val="nil"/>
              <w:right w:val="single" w:sz="4" w:space="0" w:color="808080"/>
            </w:tcBorders>
            <w:shd w:val="clear" w:color="auto" w:fill="auto"/>
            <w:vAlign w:val="center"/>
            <w:hideMark/>
          </w:tcPr>
          <w:p w14:paraId="034ECF40"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42 697 </w:t>
            </w:r>
          </w:p>
        </w:tc>
        <w:tc>
          <w:tcPr>
            <w:tcW w:w="437" w:type="pct"/>
            <w:tcBorders>
              <w:top w:val="nil"/>
              <w:left w:val="nil"/>
              <w:bottom w:val="nil"/>
              <w:right w:val="single" w:sz="8" w:space="0" w:color="808080"/>
            </w:tcBorders>
            <w:shd w:val="clear" w:color="auto" w:fill="auto"/>
            <w:vAlign w:val="center"/>
            <w:hideMark/>
          </w:tcPr>
          <w:p w14:paraId="017173EA"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14 232 </w:t>
            </w:r>
          </w:p>
        </w:tc>
        <w:tc>
          <w:tcPr>
            <w:tcW w:w="444" w:type="pct"/>
            <w:tcBorders>
              <w:top w:val="nil"/>
              <w:left w:val="nil"/>
              <w:bottom w:val="nil"/>
              <w:right w:val="single" w:sz="4" w:space="0" w:color="808080"/>
            </w:tcBorders>
            <w:shd w:val="clear" w:color="auto" w:fill="auto"/>
            <w:vAlign w:val="center"/>
            <w:hideMark/>
          </w:tcPr>
          <w:p w14:paraId="78788B2F"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47 631 </w:t>
            </w:r>
          </w:p>
        </w:tc>
        <w:tc>
          <w:tcPr>
            <w:tcW w:w="437" w:type="pct"/>
            <w:tcBorders>
              <w:top w:val="nil"/>
              <w:left w:val="nil"/>
              <w:bottom w:val="nil"/>
              <w:right w:val="single" w:sz="8" w:space="0" w:color="808080"/>
            </w:tcBorders>
            <w:shd w:val="clear" w:color="auto" w:fill="auto"/>
            <w:vAlign w:val="center"/>
            <w:hideMark/>
          </w:tcPr>
          <w:p w14:paraId="43807D3C"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15 877 </w:t>
            </w:r>
          </w:p>
        </w:tc>
        <w:tc>
          <w:tcPr>
            <w:tcW w:w="444" w:type="pct"/>
            <w:tcBorders>
              <w:top w:val="nil"/>
              <w:left w:val="nil"/>
              <w:bottom w:val="nil"/>
              <w:right w:val="single" w:sz="4" w:space="0" w:color="808080"/>
            </w:tcBorders>
            <w:shd w:val="clear" w:color="auto" w:fill="auto"/>
            <w:vAlign w:val="center"/>
            <w:hideMark/>
          </w:tcPr>
          <w:p w14:paraId="33513480"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55 770 </w:t>
            </w:r>
          </w:p>
        </w:tc>
        <w:tc>
          <w:tcPr>
            <w:tcW w:w="437" w:type="pct"/>
            <w:tcBorders>
              <w:top w:val="nil"/>
              <w:left w:val="nil"/>
              <w:bottom w:val="nil"/>
              <w:right w:val="single" w:sz="8" w:space="0" w:color="808080"/>
            </w:tcBorders>
            <w:shd w:val="clear" w:color="auto" w:fill="auto"/>
            <w:vAlign w:val="center"/>
            <w:hideMark/>
          </w:tcPr>
          <w:p w14:paraId="4D57D3D6"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18 590 </w:t>
            </w:r>
          </w:p>
        </w:tc>
        <w:tc>
          <w:tcPr>
            <w:tcW w:w="444" w:type="pct"/>
            <w:tcBorders>
              <w:top w:val="nil"/>
              <w:left w:val="single" w:sz="4" w:space="0" w:color="808080"/>
              <w:bottom w:val="nil"/>
              <w:right w:val="single" w:sz="8" w:space="0" w:color="808080"/>
            </w:tcBorders>
            <w:shd w:val="clear" w:color="auto" w:fill="auto"/>
            <w:vAlign w:val="center"/>
            <w:hideMark/>
          </w:tcPr>
          <w:p w14:paraId="3D66A191"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40 172 </w:t>
            </w:r>
          </w:p>
        </w:tc>
      </w:tr>
      <w:tr w:rsidR="006D34EE" w:rsidRPr="00CC659A" w14:paraId="7D5E9EAA" w14:textId="77777777" w:rsidTr="00477854">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32C35EFF" w14:textId="77777777" w:rsidR="00CC659A" w:rsidRPr="00CC659A" w:rsidRDefault="00CC659A" w:rsidP="00CC659A">
            <w:pPr>
              <w:spacing w:after="0" w:line="240" w:lineRule="auto"/>
              <w:ind w:left="-108"/>
              <w:jc w:val="right"/>
              <w:rPr>
                <w:rFonts w:eastAsia="Times New Roman"/>
                <w:color w:val="000000"/>
                <w:sz w:val="16"/>
                <w:szCs w:val="16"/>
                <w:lang w:val="es-ES"/>
              </w:rPr>
            </w:pPr>
            <w:r w:rsidRPr="00CC659A">
              <w:rPr>
                <w:rFonts w:eastAsia="Times New Roman"/>
                <w:color w:val="000000"/>
                <w:sz w:val="16"/>
                <w:szCs w:val="16"/>
                <w:lang w:val="es-ES"/>
              </w:rPr>
              <w:t>100</w:t>
            </w:r>
          </w:p>
        </w:tc>
        <w:tc>
          <w:tcPr>
            <w:tcW w:w="920" w:type="pct"/>
            <w:tcBorders>
              <w:top w:val="nil"/>
              <w:left w:val="nil"/>
              <w:bottom w:val="nil"/>
              <w:right w:val="nil"/>
            </w:tcBorders>
            <w:shd w:val="clear" w:color="auto" w:fill="auto"/>
            <w:vAlign w:val="center"/>
            <w:hideMark/>
          </w:tcPr>
          <w:p w14:paraId="0C202911" w14:textId="1BA438EF"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Polo</w:t>
            </w:r>
            <w:r w:rsidR="004E5399">
              <w:rPr>
                <w:rFonts w:eastAsia="Times New Roman"/>
                <w:color w:val="000000"/>
                <w:sz w:val="16"/>
                <w:szCs w:val="16"/>
                <w:lang w:val="es-ES"/>
              </w:rPr>
              <w:t>nia</w:t>
            </w:r>
          </w:p>
        </w:tc>
        <w:tc>
          <w:tcPr>
            <w:tcW w:w="404" w:type="pct"/>
            <w:tcBorders>
              <w:top w:val="nil"/>
              <w:left w:val="nil"/>
              <w:bottom w:val="nil"/>
              <w:right w:val="nil"/>
            </w:tcBorders>
            <w:shd w:val="clear" w:color="auto" w:fill="auto"/>
            <w:vAlign w:val="center"/>
            <w:hideMark/>
          </w:tcPr>
          <w:p w14:paraId="48D42F24" w14:textId="77777777" w:rsidR="00CC659A" w:rsidRPr="00CC659A" w:rsidRDefault="00CC659A" w:rsidP="00CC659A">
            <w:pPr>
              <w:spacing w:after="0" w:line="240" w:lineRule="auto"/>
              <w:ind w:left="-108"/>
              <w:jc w:val="center"/>
              <w:rPr>
                <w:rFonts w:eastAsia="Times New Roman"/>
                <w:color w:val="000000"/>
                <w:sz w:val="16"/>
                <w:szCs w:val="16"/>
                <w:lang w:val="es-ES"/>
              </w:rPr>
            </w:pPr>
            <w:r w:rsidRPr="00CC659A">
              <w:rPr>
                <w:rFonts w:eastAsia="Times New Roman"/>
                <w:color w:val="000000"/>
                <w:sz w:val="16"/>
                <w:szCs w:val="16"/>
                <w:lang w:val="es-ES"/>
              </w:rPr>
              <w:t>0.837</w:t>
            </w:r>
          </w:p>
        </w:tc>
        <w:tc>
          <w:tcPr>
            <w:tcW w:w="420" w:type="pct"/>
            <w:tcBorders>
              <w:top w:val="nil"/>
              <w:left w:val="nil"/>
              <w:bottom w:val="nil"/>
              <w:right w:val="single" w:sz="8" w:space="0" w:color="808080"/>
            </w:tcBorders>
            <w:shd w:val="clear" w:color="auto" w:fill="auto"/>
            <w:vAlign w:val="center"/>
            <w:hideMark/>
          </w:tcPr>
          <w:p w14:paraId="0F215A3D" w14:textId="77777777" w:rsidR="00CC659A" w:rsidRPr="00CC659A" w:rsidRDefault="00CC659A" w:rsidP="00CC659A">
            <w:pPr>
              <w:spacing w:after="0" w:line="240" w:lineRule="auto"/>
              <w:ind w:left="-108"/>
              <w:jc w:val="right"/>
              <w:rPr>
                <w:rFonts w:eastAsia="Times New Roman" w:cs="Arial"/>
                <w:color w:val="000000"/>
                <w:sz w:val="16"/>
                <w:szCs w:val="16"/>
                <w:lang w:val="es-ES"/>
              </w:rPr>
            </w:pPr>
            <w:r w:rsidRPr="00CC659A">
              <w:rPr>
                <w:rFonts w:eastAsia="Times New Roman" w:cs="Arial"/>
                <w:color w:val="000000"/>
                <w:sz w:val="16"/>
                <w:szCs w:val="16"/>
                <w:lang w:val="es-ES"/>
              </w:rPr>
              <w:t>1.926</w:t>
            </w:r>
          </w:p>
        </w:tc>
        <w:tc>
          <w:tcPr>
            <w:tcW w:w="444" w:type="pct"/>
            <w:tcBorders>
              <w:top w:val="nil"/>
              <w:left w:val="nil"/>
              <w:bottom w:val="nil"/>
              <w:right w:val="single" w:sz="4" w:space="0" w:color="808080"/>
            </w:tcBorders>
            <w:shd w:val="clear" w:color="auto" w:fill="auto"/>
            <w:vAlign w:val="center"/>
            <w:hideMark/>
          </w:tcPr>
          <w:p w14:paraId="0D8F87B1"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168 573 </w:t>
            </w:r>
          </w:p>
        </w:tc>
        <w:tc>
          <w:tcPr>
            <w:tcW w:w="437" w:type="pct"/>
            <w:tcBorders>
              <w:top w:val="nil"/>
              <w:left w:val="nil"/>
              <w:bottom w:val="nil"/>
              <w:right w:val="single" w:sz="8" w:space="0" w:color="808080"/>
            </w:tcBorders>
            <w:shd w:val="clear" w:color="auto" w:fill="auto"/>
            <w:vAlign w:val="center"/>
            <w:hideMark/>
          </w:tcPr>
          <w:p w14:paraId="56554740"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56 191 </w:t>
            </w:r>
          </w:p>
        </w:tc>
        <w:tc>
          <w:tcPr>
            <w:tcW w:w="444" w:type="pct"/>
            <w:tcBorders>
              <w:top w:val="nil"/>
              <w:left w:val="nil"/>
              <w:bottom w:val="nil"/>
              <w:right w:val="single" w:sz="4" w:space="0" w:color="808080"/>
            </w:tcBorders>
            <w:shd w:val="clear" w:color="auto" w:fill="auto"/>
            <w:vAlign w:val="center"/>
            <w:hideMark/>
          </w:tcPr>
          <w:p w14:paraId="209B33B3"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188 051 </w:t>
            </w:r>
          </w:p>
        </w:tc>
        <w:tc>
          <w:tcPr>
            <w:tcW w:w="437" w:type="pct"/>
            <w:tcBorders>
              <w:top w:val="nil"/>
              <w:left w:val="nil"/>
              <w:bottom w:val="nil"/>
              <w:right w:val="single" w:sz="8" w:space="0" w:color="808080"/>
            </w:tcBorders>
            <w:shd w:val="clear" w:color="auto" w:fill="auto"/>
            <w:vAlign w:val="center"/>
            <w:hideMark/>
          </w:tcPr>
          <w:p w14:paraId="7D1B1E82"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62 684 </w:t>
            </w:r>
          </w:p>
        </w:tc>
        <w:tc>
          <w:tcPr>
            <w:tcW w:w="444" w:type="pct"/>
            <w:tcBorders>
              <w:top w:val="nil"/>
              <w:left w:val="nil"/>
              <w:bottom w:val="nil"/>
              <w:right w:val="single" w:sz="4" w:space="0" w:color="808080"/>
            </w:tcBorders>
            <w:shd w:val="clear" w:color="auto" w:fill="auto"/>
            <w:vAlign w:val="center"/>
            <w:hideMark/>
          </w:tcPr>
          <w:p w14:paraId="146E622E"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220 186 </w:t>
            </w:r>
          </w:p>
        </w:tc>
        <w:tc>
          <w:tcPr>
            <w:tcW w:w="437" w:type="pct"/>
            <w:tcBorders>
              <w:top w:val="nil"/>
              <w:left w:val="nil"/>
              <w:bottom w:val="nil"/>
              <w:right w:val="single" w:sz="8" w:space="0" w:color="808080"/>
            </w:tcBorders>
            <w:shd w:val="clear" w:color="auto" w:fill="auto"/>
            <w:vAlign w:val="center"/>
            <w:hideMark/>
          </w:tcPr>
          <w:p w14:paraId="69B9496A"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73 395 </w:t>
            </w:r>
          </w:p>
        </w:tc>
        <w:tc>
          <w:tcPr>
            <w:tcW w:w="444" w:type="pct"/>
            <w:tcBorders>
              <w:top w:val="nil"/>
              <w:left w:val="single" w:sz="4" w:space="0" w:color="808080"/>
              <w:bottom w:val="nil"/>
              <w:right w:val="single" w:sz="8" w:space="0" w:color="808080"/>
            </w:tcBorders>
            <w:shd w:val="clear" w:color="auto" w:fill="auto"/>
            <w:vAlign w:val="center"/>
            <w:hideMark/>
          </w:tcPr>
          <w:p w14:paraId="04424506"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157 162 </w:t>
            </w:r>
          </w:p>
        </w:tc>
      </w:tr>
      <w:tr w:rsidR="006D34EE" w:rsidRPr="00CC659A" w14:paraId="18E381ED" w14:textId="77777777" w:rsidTr="00477854">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31F9D565" w14:textId="77777777" w:rsidR="00CC659A" w:rsidRPr="00CC659A" w:rsidRDefault="00CC659A" w:rsidP="00CC659A">
            <w:pPr>
              <w:spacing w:after="0" w:line="240" w:lineRule="auto"/>
              <w:ind w:left="-108"/>
              <w:jc w:val="right"/>
              <w:rPr>
                <w:rFonts w:eastAsia="Times New Roman"/>
                <w:color w:val="000000"/>
                <w:sz w:val="16"/>
                <w:szCs w:val="16"/>
                <w:lang w:val="es-ES"/>
              </w:rPr>
            </w:pPr>
            <w:r w:rsidRPr="00CC659A">
              <w:rPr>
                <w:rFonts w:eastAsia="Times New Roman"/>
                <w:color w:val="000000"/>
                <w:sz w:val="16"/>
                <w:szCs w:val="16"/>
                <w:lang w:val="es-ES"/>
              </w:rPr>
              <w:t>101</w:t>
            </w:r>
          </w:p>
        </w:tc>
        <w:tc>
          <w:tcPr>
            <w:tcW w:w="920" w:type="pct"/>
            <w:tcBorders>
              <w:top w:val="nil"/>
              <w:left w:val="nil"/>
              <w:bottom w:val="nil"/>
              <w:right w:val="nil"/>
            </w:tcBorders>
            <w:shd w:val="clear" w:color="auto" w:fill="auto"/>
            <w:vAlign w:val="center"/>
            <w:hideMark/>
          </w:tcPr>
          <w:p w14:paraId="587C646C"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Portugal</w:t>
            </w:r>
          </w:p>
        </w:tc>
        <w:tc>
          <w:tcPr>
            <w:tcW w:w="404" w:type="pct"/>
            <w:tcBorders>
              <w:top w:val="nil"/>
              <w:left w:val="nil"/>
              <w:bottom w:val="nil"/>
              <w:right w:val="nil"/>
            </w:tcBorders>
            <w:shd w:val="clear" w:color="auto" w:fill="auto"/>
            <w:vAlign w:val="center"/>
            <w:hideMark/>
          </w:tcPr>
          <w:p w14:paraId="3725702E" w14:textId="77777777" w:rsidR="00CC659A" w:rsidRPr="00CC659A" w:rsidRDefault="00CC659A" w:rsidP="00CC659A">
            <w:pPr>
              <w:spacing w:after="0" w:line="240" w:lineRule="auto"/>
              <w:ind w:left="-108"/>
              <w:jc w:val="center"/>
              <w:rPr>
                <w:rFonts w:eastAsia="Times New Roman"/>
                <w:color w:val="000000"/>
                <w:sz w:val="16"/>
                <w:szCs w:val="16"/>
                <w:lang w:val="es-ES"/>
              </w:rPr>
            </w:pPr>
            <w:r w:rsidRPr="00CC659A">
              <w:rPr>
                <w:rFonts w:eastAsia="Times New Roman"/>
                <w:color w:val="000000"/>
                <w:sz w:val="16"/>
                <w:szCs w:val="16"/>
                <w:lang w:val="es-ES"/>
              </w:rPr>
              <w:t>0.353</w:t>
            </w:r>
          </w:p>
        </w:tc>
        <w:tc>
          <w:tcPr>
            <w:tcW w:w="420" w:type="pct"/>
            <w:tcBorders>
              <w:top w:val="nil"/>
              <w:left w:val="nil"/>
              <w:bottom w:val="nil"/>
              <w:right w:val="single" w:sz="8" w:space="0" w:color="808080"/>
            </w:tcBorders>
            <w:shd w:val="clear" w:color="auto" w:fill="auto"/>
            <w:vAlign w:val="center"/>
            <w:hideMark/>
          </w:tcPr>
          <w:p w14:paraId="324D7299" w14:textId="77777777" w:rsidR="00CC659A" w:rsidRPr="00CC659A" w:rsidRDefault="00CC659A" w:rsidP="00CC659A">
            <w:pPr>
              <w:spacing w:after="0" w:line="240" w:lineRule="auto"/>
              <w:ind w:left="-108"/>
              <w:jc w:val="right"/>
              <w:rPr>
                <w:rFonts w:eastAsia="Times New Roman" w:cs="Arial"/>
                <w:color w:val="000000"/>
                <w:sz w:val="16"/>
                <w:szCs w:val="16"/>
                <w:lang w:val="es-ES"/>
              </w:rPr>
            </w:pPr>
            <w:r w:rsidRPr="00CC659A">
              <w:rPr>
                <w:rFonts w:eastAsia="Times New Roman" w:cs="Arial"/>
                <w:color w:val="000000"/>
                <w:sz w:val="16"/>
                <w:szCs w:val="16"/>
                <w:lang w:val="es-ES"/>
              </w:rPr>
              <w:t>0.812</w:t>
            </w:r>
          </w:p>
        </w:tc>
        <w:tc>
          <w:tcPr>
            <w:tcW w:w="444" w:type="pct"/>
            <w:tcBorders>
              <w:top w:val="nil"/>
              <w:left w:val="nil"/>
              <w:bottom w:val="nil"/>
              <w:right w:val="single" w:sz="4" w:space="0" w:color="808080"/>
            </w:tcBorders>
            <w:shd w:val="clear" w:color="auto" w:fill="auto"/>
            <w:vAlign w:val="center"/>
            <w:hideMark/>
          </w:tcPr>
          <w:p w14:paraId="603221E9"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71 095 </w:t>
            </w:r>
          </w:p>
        </w:tc>
        <w:tc>
          <w:tcPr>
            <w:tcW w:w="437" w:type="pct"/>
            <w:tcBorders>
              <w:top w:val="nil"/>
              <w:left w:val="nil"/>
              <w:bottom w:val="nil"/>
              <w:right w:val="single" w:sz="8" w:space="0" w:color="808080"/>
            </w:tcBorders>
            <w:shd w:val="clear" w:color="auto" w:fill="auto"/>
            <w:vAlign w:val="center"/>
            <w:hideMark/>
          </w:tcPr>
          <w:p w14:paraId="7E4BC8AC"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23 698 </w:t>
            </w:r>
          </w:p>
        </w:tc>
        <w:tc>
          <w:tcPr>
            <w:tcW w:w="444" w:type="pct"/>
            <w:tcBorders>
              <w:top w:val="nil"/>
              <w:left w:val="nil"/>
              <w:bottom w:val="nil"/>
              <w:right w:val="single" w:sz="4" w:space="0" w:color="808080"/>
            </w:tcBorders>
            <w:shd w:val="clear" w:color="auto" w:fill="auto"/>
            <w:vAlign w:val="center"/>
            <w:hideMark/>
          </w:tcPr>
          <w:p w14:paraId="3C5E774E"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79 310 </w:t>
            </w:r>
          </w:p>
        </w:tc>
        <w:tc>
          <w:tcPr>
            <w:tcW w:w="437" w:type="pct"/>
            <w:tcBorders>
              <w:top w:val="nil"/>
              <w:left w:val="nil"/>
              <w:bottom w:val="nil"/>
              <w:right w:val="single" w:sz="8" w:space="0" w:color="808080"/>
            </w:tcBorders>
            <w:shd w:val="clear" w:color="auto" w:fill="auto"/>
            <w:vAlign w:val="center"/>
            <w:hideMark/>
          </w:tcPr>
          <w:p w14:paraId="0F13B8E4"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26 437 </w:t>
            </w:r>
          </w:p>
        </w:tc>
        <w:tc>
          <w:tcPr>
            <w:tcW w:w="444" w:type="pct"/>
            <w:tcBorders>
              <w:top w:val="nil"/>
              <w:left w:val="nil"/>
              <w:bottom w:val="nil"/>
              <w:right w:val="single" w:sz="4" w:space="0" w:color="808080"/>
            </w:tcBorders>
            <w:shd w:val="clear" w:color="auto" w:fill="auto"/>
            <w:vAlign w:val="center"/>
            <w:hideMark/>
          </w:tcPr>
          <w:p w14:paraId="02A8B63C"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92 862 </w:t>
            </w:r>
          </w:p>
        </w:tc>
        <w:tc>
          <w:tcPr>
            <w:tcW w:w="437" w:type="pct"/>
            <w:tcBorders>
              <w:top w:val="nil"/>
              <w:left w:val="nil"/>
              <w:bottom w:val="nil"/>
              <w:right w:val="single" w:sz="8" w:space="0" w:color="808080"/>
            </w:tcBorders>
            <w:shd w:val="clear" w:color="auto" w:fill="auto"/>
            <w:vAlign w:val="center"/>
            <w:hideMark/>
          </w:tcPr>
          <w:p w14:paraId="1D63C024"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30 954 </w:t>
            </w:r>
          </w:p>
        </w:tc>
        <w:tc>
          <w:tcPr>
            <w:tcW w:w="444" w:type="pct"/>
            <w:tcBorders>
              <w:top w:val="nil"/>
              <w:left w:val="single" w:sz="4" w:space="0" w:color="808080"/>
              <w:bottom w:val="nil"/>
              <w:right w:val="single" w:sz="8" w:space="0" w:color="808080"/>
            </w:tcBorders>
            <w:shd w:val="clear" w:color="auto" w:fill="auto"/>
            <w:vAlign w:val="center"/>
            <w:hideMark/>
          </w:tcPr>
          <w:p w14:paraId="16CEDC3B"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68 586 </w:t>
            </w:r>
          </w:p>
        </w:tc>
      </w:tr>
      <w:tr w:rsidR="006D34EE" w:rsidRPr="00CC659A" w14:paraId="227C3468" w14:textId="77777777" w:rsidTr="00477854">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6AFC274E" w14:textId="77777777" w:rsidR="00CC659A" w:rsidRPr="00CC659A" w:rsidRDefault="00CC659A" w:rsidP="00CC659A">
            <w:pPr>
              <w:spacing w:after="0" w:line="240" w:lineRule="auto"/>
              <w:ind w:left="-108"/>
              <w:jc w:val="right"/>
              <w:rPr>
                <w:rFonts w:eastAsia="Times New Roman"/>
                <w:color w:val="000000"/>
                <w:sz w:val="16"/>
                <w:szCs w:val="16"/>
                <w:lang w:val="es-ES"/>
              </w:rPr>
            </w:pPr>
            <w:r w:rsidRPr="00CC659A">
              <w:rPr>
                <w:rFonts w:eastAsia="Times New Roman"/>
                <w:color w:val="000000"/>
                <w:sz w:val="16"/>
                <w:szCs w:val="16"/>
                <w:lang w:val="es-ES"/>
              </w:rPr>
              <w:t>102</w:t>
            </w:r>
          </w:p>
        </w:tc>
        <w:tc>
          <w:tcPr>
            <w:tcW w:w="920" w:type="pct"/>
            <w:tcBorders>
              <w:top w:val="nil"/>
              <w:left w:val="nil"/>
              <w:bottom w:val="nil"/>
              <w:right w:val="nil"/>
            </w:tcBorders>
            <w:shd w:val="clear" w:color="auto" w:fill="auto"/>
            <w:vAlign w:val="center"/>
            <w:hideMark/>
          </w:tcPr>
          <w:p w14:paraId="667CBCBE" w14:textId="194AE0DF"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Rep</w:t>
            </w:r>
            <w:r w:rsidR="004E5399">
              <w:rPr>
                <w:rFonts w:eastAsia="Times New Roman"/>
                <w:color w:val="000000"/>
                <w:sz w:val="16"/>
                <w:szCs w:val="16"/>
                <w:lang w:val="es-ES"/>
              </w:rPr>
              <w:t>ública de Moldov</w:t>
            </w:r>
            <w:r w:rsidR="00D13331">
              <w:rPr>
                <w:rFonts w:eastAsia="Times New Roman"/>
                <w:color w:val="000000"/>
                <w:sz w:val="16"/>
                <w:szCs w:val="16"/>
                <w:lang w:val="es-ES"/>
              </w:rPr>
              <w:t>i</w:t>
            </w:r>
            <w:r w:rsidR="004E5399">
              <w:rPr>
                <w:rFonts w:eastAsia="Times New Roman"/>
                <w:color w:val="000000"/>
                <w:sz w:val="16"/>
                <w:szCs w:val="16"/>
                <w:lang w:val="es-ES"/>
              </w:rPr>
              <w:t>a</w:t>
            </w:r>
          </w:p>
        </w:tc>
        <w:tc>
          <w:tcPr>
            <w:tcW w:w="404" w:type="pct"/>
            <w:tcBorders>
              <w:top w:val="nil"/>
              <w:left w:val="nil"/>
              <w:bottom w:val="nil"/>
              <w:right w:val="nil"/>
            </w:tcBorders>
            <w:shd w:val="clear" w:color="auto" w:fill="auto"/>
            <w:vAlign w:val="center"/>
            <w:hideMark/>
          </w:tcPr>
          <w:p w14:paraId="5A61A3F5" w14:textId="77777777" w:rsidR="00CC659A" w:rsidRPr="00CC659A" w:rsidRDefault="00CC659A" w:rsidP="00CC659A">
            <w:pPr>
              <w:spacing w:after="0" w:line="240" w:lineRule="auto"/>
              <w:ind w:left="-108"/>
              <w:jc w:val="center"/>
              <w:rPr>
                <w:rFonts w:eastAsia="Times New Roman"/>
                <w:color w:val="000000"/>
                <w:sz w:val="16"/>
                <w:szCs w:val="16"/>
                <w:lang w:val="es-ES"/>
              </w:rPr>
            </w:pPr>
            <w:r w:rsidRPr="00CC659A">
              <w:rPr>
                <w:rFonts w:eastAsia="Times New Roman"/>
                <w:color w:val="000000"/>
                <w:sz w:val="16"/>
                <w:szCs w:val="16"/>
                <w:lang w:val="es-ES"/>
              </w:rPr>
              <w:t>0.005</w:t>
            </w:r>
          </w:p>
        </w:tc>
        <w:tc>
          <w:tcPr>
            <w:tcW w:w="420" w:type="pct"/>
            <w:tcBorders>
              <w:top w:val="nil"/>
              <w:left w:val="nil"/>
              <w:bottom w:val="nil"/>
              <w:right w:val="single" w:sz="8" w:space="0" w:color="808080"/>
            </w:tcBorders>
            <w:shd w:val="clear" w:color="auto" w:fill="auto"/>
            <w:vAlign w:val="center"/>
            <w:hideMark/>
          </w:tcPr>
          <w:p w14:paraId="6EDBCD29" w14:textId="77777777" w:rsidR="00CC659A" w:rsidRPr="00CC659A" w:rsidRDefault="00CC659A" w:rsidP="00CC659A">
            <w:pPr>
              <w:spacing w:after="0" w:line="240" w:lineRule="auto"/>
              <w:ind w:left="-108"/>
              <w:jc w:val="right"/>
              <w:rPr>
                <w:rFonts w:eastAsia="Times New Roman" w:cs="Arial"/>
                <w:color w:val="000000"/>
                <w:sz w:val="16"/>
                <w:szCs w:val="16"/>
                <w:lang w:val="es-ES"/>
              </w:rPr>
            </w:pPr>
            <w:r w:rsidRPr="00CC659A">
              <w:rPr>
                <w:rFonts w:eastAsia="Times New Roman" w:cs="Arial"/>
                <w:color w:val="000000"/>
                <w:sz w:val="16"/>
                <w:szCs w:val="16"/>
                <w:lang w:val="es-ES"/>
              </w:rPr>
              <w:t>0.012</w:t>
            </w:r>
          </w:p>
        </w:tc>
        <w:tc>
          <w:tcPr>
            <w:tcW w:w="444" w:type="pct"/>
            <w:tcBorders>
              <w:top w:val="nil"/>
              <w:left w:val="nil"/>
              <w:bottom w:val="nil"/>
              <w:right w:val="single" w:sz="4" w:space="0" w:color="808080"/>
            </w:tcBorders>
            <w:shd w:val="clear" w:color="auto" w:fill="auto"/>
            <w:vAlign w:val="center"/>
            <w:hideMark/>
          </w:tcPr>
          <w:p w14:paraId="015A91F6"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1 007 </w:t>
            </w:r>
          </w:p>
        </w:tc>
        <w:tc>
          <w:tcPr>
            <w:tcW w:w="437" w:type="pct"/>
            <w:tcBorders>
              <w:top w:val="nil"/>
              <w:left w:val="nil"/>
              <w:bottom w:val="nil"/>
              <w:right w:val="single" w:sz="8" w:space="0" w:color="808080"/>
            </w:tcBorders>
            <w:shd w:val="clear" w:color="auto" w:fill="auto"/>
            <w:vAlign w:val="center"/>
            <w:hideMark/>
          </w:tcPr>
          <w:p w14:paraId="0A9E4BC8"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336 </w:t>
            </w:r>
          </w:p>
        </w:tc>
        <w:tc>
          <w:tcPr>
            <w:tcW w:w="444" w:type="pct"/>
            <w:tcBorders>
              <w:top w:val="nil"/>
              <w:left w:val="nil"/>
              <w:bottom w:val="nil"/>
              <w:right w:val="single" w:sz="4" w:space="0" w:color="808080"/>
            </w:tcBorders>
            <w:shd w:val="clear" w:color="auto" w:fill="auto"/>
            <w:vAlign w:val="center"/>
            <w:hideMark/>
          </w:tcPr>
          <w:p w14:paraId="75CE0116"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1 123 </w:t>
            </w:r>
          </w:p>
        </w:tc>
        <w:tc>
          <w:tcPr>
            <w:tcW w:w="437" w:type="pct"/>
            <w:tcBorders>
              <w:top w:val="nil"/>
              <w:left w:val="nil"/>
              <w:bottom w:val="nil"/>
              <w:right w:val="single" w:sz="8" w:space="0" w:color="808080"/>
            </w:tcBorders>
            <w:shd w:val="clear" w:color="auto" w:fill="auto"/>
            <w:vAlign w:val="center"/>
            <w:hideMark/>
          </w:tcPr>
          <w:p w14:paraId="7B0C8EA1"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374 </w:t>
            </w:r>
          </w:p>
        </w:tc>
        <w:tc>
          <w:tcPr>
            <w:tcW w:w="444" w:type="pct"/>
            <w:tcBorders>
              <w:top w:val="nil"/>
              <w:left w:val="nil"/>
              <w:bottom w:val="nil"/>
              <w:right w:val="single" w:sz="4" w:space="0" w:color="808080"/>
            </w:tcBorders>
            <w:shd w:val="clear" w:color="auto" w:fill="auto"/>
            <w:vAlign w:val="center"/>
            <w:hideMark/>
          </w:tcPr>
          <w:p w14:paraId="2BC8B2CC"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1 315 </w:t>
            </w:r>
          </w:p>
        </w:tc>
        <w:tc>
          <w:tcPr>
            <w:tcW w:w="437" w:type="pct"/>
            <w:tcBorders>
              <w:top w:val="nil"/>
              <w:left w:val="nil"/>
              <w:bottom w:val="nil"/>
              <w:right w:val="single" w:sz="8" w:space="0" w:color="808080"/>
            </w:tcBorders>
            <w:shd w:val="clear" w:color="auto" w:fill="auto"/>
            <w:vAlign w:val="center"/>
            <w:hideMark/>
          </w:tcPr>
          <w:p w14:paraId="4D7FFCC6"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438 </w:t>
            </w:r>
          </w:p>
        </w:tc>
        <w:tc>
          <w:tcPr>
            <w:tcW w:w="444" w:type="pct"/>
            <w:tcBorders>
              <w:top w:val="nil"/>
              <w:left w:val="single" w:sz="4" w:space="0" w:color="808080"/>
              <w:bottom w:val="nil"/>
              <w:right w:val="single" w:sz="8" w:space="0" w:color="808080"/>
            </w:tcBorders>
            <w:shd w:val="clear" w:color="auto" w:fill="auto"/>
            <w:vAlign w:val="center"/>
            <w:hideMark/>
          </w:tcPr>
          <w:p w14:paraId="42110867"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588 </w:t>
            </w:r>
          </w:p>
        </w:tc>
      </w:tr>
      <w:tr w:rsidR="006D34EE" w:rsidRPr="00CC659A" w14:paraId="79660C77" w14:textId="77777777" w:rsidTr="00477854">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11F33D38" w14:textId="77777777" w:rsidR="00CC659A" w:rsidRPr="00CC659A" w:rsidRDefault="00CC659A" w:rsidP="00CC659A">
            <w:pPr>
              <w:spacing w:after="0" w:line="240" w:lineRule="auto"/>
              <w:ind w:left="-108"/>
              <w:jc w:val="right"/>
              <w:rPr>
                <w:rFonts w:eastAsia="Times New Roman"/>
                <w:color w:val="000000"/>
                <w:sz w:val="16"/>
                <w:szCs w:val="16"/>
                <w:lang w:val="es-ES"/>
              </w:rPr>
            </w:pPr>
            <w:r w:rsidRPr="00CC659A">
              <w:rPr>
                <w:rFonts w:eastAsia="Times New Roman"/>
                <w:color w:val="000000"/>
                <w:sz w:val="16"/>
                <w:szCs w:val="16"/>
                <w:lang w:val="es-ES"/>
              </w:rPr>
              <w:t>103</w:t>
            </w:r>
          </w:p>
        </w:tc>
        <w:tc>
          <w:tcPr>
            <w:tcW w:w="920" w:type="pct"/>
            <w:tcBorders>
              <w:top w:val="nil"/>
              <w:left w:val="nil"/>
              <w:bottom w:val="nil"/>
              <w:right w:val="nil"/>
            </w:tcBorders>
            <w:shd w:val="clear" w:color="auto" w:fill="auto"/>
            <w:vAlign w:val="center"/>
            <w:hideMark/>
          </w:tcPr>
          <w:p w14:paraId="3B80531A" w14:textId="657AF036"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Rumani</w:t>
            </w:r>
            <w:r w:rsidR="004E5399">
              <w:rPr>
                <w:rFonts w:eastAsia="Times New Roman"/>
                <w:color w:val="000000"/>
                <w:sz w:val="16"/>
                <w:szCs w:val="16"/>
                <w:lang w:val="es-ES"/>
              </w:rPr>
              <w:t>a</w:t>
            </w:r>
          </w:p>
        </w:tc>
        <w:tc>
          <w:tcPr>
            <w:tcW w:w="404" w:type="pct"/>
            <w:tcBorders>
              <w:top w:val="nil"/>
              <w:left w:val="nil"/>
              <w:bottom w:val="nil"/>
              <w:right w:val="nil"/>
            </w:tcBorders>
            <w:shd w:val="clear" w:color="auto" w:fill="auto"/>
            <w:vAlign w:val="center"/>
            <w:hideMark/>
          </w:tcPr>
          <w:p w14:paraId="4500EA68" w14:textId="77777777" w:rsidR="00CC659A" w:rsidRPr="00CC659A" w:rsidRDefault="00CC659A" w:rsidP="00CC659A">
            <w:pPr>
              <w:spacing w:after="0" w:line="240" w:lineRule="auto"/>
              <w:ind w:left="-108"/>
              <w:jc w:val="center"/>
              <w:rPr>
                <w:rFonts w:eastAsia="Times New Roman"/>
                <w:color w:val="000000"/>
                <w:sz w:val="16"/>
                <w:szCs w:val="16"/>
                <w:lang w:val="es-ES"/>
              </w:rPr>
            </w:pPr>
            <w:r w:rsidRPr="00CC659A">
              <w:rPr>
                <w:rFonts w:eastAsia="Times New Roman"/>
                <w:color w:val="000000"/>
                <w:sz w:val="16"/>
                <w:szCs w:val="16"/>
                <w:lang w:val="es-ES"/>
              </w:rPr>
              <w:t>0.312</w:t>
            </w:r>
          </w:p>
        </w:tc>
        <w:tc>
          <w:tcPr>
            <w:tcW w:w="420" w:type="pct"/>
            <w:tcBorders>
              <w:top w:val="nil"/>
              <w:left w:val="nil"/>
              <w:bottom w:val="nil"/>
              <w:right w:val="single" w:sz="8" w:space="0" w:color="808080"/>
            </w:tcBorders>
            <w:shd w:val="clear" w:color="auto" w:fill="auto"/>
            <w:vAlign w:val="center"/>
            <w:hideMark/>
          </w:tcPr>
          <w:p w14:paraId="4F2D6914" w14:textId="77777777" w:rsidR="00CC659A" w:rsidRPr="00CC659A" w:rsidRDefault="00CC659A" w:rsidP="00CC659A">
            <w:pPr>
              <w:spacing w:after="0" w:line="240" w:lineRule="auto"/>
              <w:ind w:left="-108"/>
              <w:jc w:val="right"/>
              <w:rPr>
                <w:rFonts w:eastAsia="Times New Roman" w:cs="Arial"/>
                <w:color w:val="000000"/>
                <w:sz w:val="16"/>
                <w:szCs w:val="16"/>
                <w:lang w:val="es-ES"/>
              </w:rPr>
            </w:pPr>
            <w:r w:rsidRPr="00CC659A">
              <w:rPr>
                <w:rFonts w:eastAsia="Times New Roman" w:cs="Arial"/>
                <w:color w:val="000000"/>
                <w:sz w:val="16"/>
                <w:szCs w:val="16"/>
                <w:lang w:val="es-ES"/>
              </w:rPr>
              <w:t>0.718</w:t>
            </w:r>
          </w:p>
        </w:tc>
        <w:tc>
          <w:tcPr>
            <w:tcW w:w="444" w:type="pct"/>
            <w:tcBorders>
              <w:top w:val="nil"/>
              <w:left w:val="nil"/>
              <w:bottom w:val="nil"/>
              <w:right w:val="single" w:sz="4" w:space="0" w:color="808080"/>
            </w:tcBorders>
            <w:shd w:val="clear" w:color="auto" w:fill="auto"/>
            <w:vAlign w:val="center"/>
            <w:hideMark/>
          </w:tcPr>
          <w:p w14:paraId="1C25012E"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62 837 </w:t>
            </w:r>
          </w:p>
        </w:tc>
        <w:tc>
          <w:tcPr>
            <w:tcW w:w="437" w:type="pct"/>
            <w:tcBorders>
              <w:top w:val="nil"/>
              <w:left w:val="nil"/>
              <w:bottom w:val="nil"/>
              <w:right w:val="single" w:sz="8" w:space="0" w:color="808080"/>
            </w:tcBorders>
            <w:shd w:val="clear" w:color="auto" w:fill="auto"/>
            <w:vAlign w:val="center"/>
            <w:hideMark/>
          </w:tcPr>
          <w:p w14:paraId="52AAFE2D"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20 946 </w:t>
            </w:r>
          </w:p>
        </w:tc>
        <w:tc>
          <w:tcPr>
            <w:tcW w:w="444" w:type="pct"/>
            <w:tcBorders>
              <w:top w:val="nil"/>
              <w:left w:val="nil"/>
              <w:bottom w:val="nil"/>
              <w:right w:val="single" w:sz="4" w:space="0" w:color="808080"/>
            </w:tcBorders>
            <w:shd w:val="clear" w:color="auto" w:fill="auto"/>
            <w:vAlign w:val="center"/>
            <w:hideMark/>
          </w:tcPr>
          <w:p w14:paraId="04E5F498"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70 098 </w:t>
            </w:r>
          </w:p>
        </w:tc>
        <w:tc>
          <w:tcPr>
            <w:tcW w:w="437" w:type="pct"/>
            <w:tcBorders>
              <w:top w:val="nil"/>
              <w:left w:val="nil"/>
              <w:bottom w:val="nil"/>
              <w:right w:val="single" w:sz="8" w:space="0" w:color="808080"/>
            </w:tcBorders>
            <w:shd w:val="clear" w:color="auto" w:fill="auto"/>
            <w:vAlign w:val="center"/>
            <w:hideMark/>
          </w:tcPr>
          <w:p w14:paraId="04E52272"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23 366 </w:t>
            </w:r>
          </w:p>
        </w:tc>
        <w:tc>
          <w:tcPr>
            <w:tcW w:w="444" w:type="pct"/>
            <w:tcBorders>
              <w:top w:val="nil"/>
              <w:left w:val="nil"/>
              <w:bottom w:val="nil"/>
              <w:right w:val="single" w:sz="4" w:space="0" w:color="808080"/>
            </w:tcBorders>
            <w:shd w:val="clear" w:color="auto" w:fill="auto"/>
            <w:vAlign w:val="center"/>
            <w:hideMark/>
          </w:tcPr>
          <w:p w14:paraId="65671DDE"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82 077 </w:t>
            </w:r>
          </w:p>
        </w:tc>
        <w:tc>
          <w:tcPr>
            <w:tcW w:w="437" w:type="pct"/>
            <w:tcBorders>
              <w:top w:val="nil"/>
              <w:left w:val="nil"/>
              <w:bottom w:val="nil"/>
              <w:right w:val="single" w:sz="8" w:space="0" w:color="808080"/>
            </w:tcBorders>
            <w:shd w:val="clear" w:color="auto" w:fill="auto"/>
            <w:vAlign w:val="center"/>
            <w:hideMark/>
          </w:tcPr>
          <w:p w14:paraId="3FF1BF2A"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27 359 </w:t>
            </w:r>
          </w:p>
        </w:tc>
        <w:tc>
          <w:tcPr>
            <w:tcW w:w="444" w:type="pct"/>
            <w:tcBorders>
              <w:top w:val="nil"/>
              <w:left w:val="single" w:sz="4" w:space="0" w:color="808080"/>
              <w:bottom w:val="nil"/>
              <w:right w:val="single" w:sz="8" w:space="0" w:color="808080"/>
            </w:tcBorders>
            <w:shd w:val="clear" w:color="auto" w:fill="auto"/>
            <w:vAlign w:val="center"/>
            <w:hideMark/>
          </w:tcPr>
          <w:p w14:paraId="383F8F37"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38 800 </w:t>
            </w:r>
          </w:p>
        </w:tc>
      </w:tr>
      <w:tr w:rsidR="006D34EE" w:rsidRPr="00CC659A" w14:paraId="37E2A757" w14:textId="77777777" w:rsidTr="00477854">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5AF9291D" w14:textId="77777777" w:rsidR="00CC659A" w:rsidRPr="00CC659A" w:rsidRDefault="00CC659A" w:rsidP="00CC659A">
            <w:pPr>
              <w:spacing w:after="0" w:line="240" w:lineRule="auto"/>
              <w:ind w:left="-108"/>
              <w:jc w:val="right"/>
              <w:rPr>
                <w:rFonts w:eastAsia="Times New Roman"/>
                <w:color w:val="000000"/>
                <w:sz w:val="16"/>
                <w:szCs w:val="16"/>
                <w:lang w:val="es-ES"/>
              </w:rPr>
            </w:pPr>
            <w:r w:rsidRPr="00CC659A">
              <w:rPr>
                <w:rFonts w:eastAsia="Times New Roman"/>
                <w:color w:val="000000"/>
                <w:sz w:val="16"/>
                <w:szCs w:val="16"/>
                <w:lang w:val="es-ES"/>
              </w:rPr>
              <w:t>104</w:t>
            </w:r>
          </w:p>
        </w:tc>
        <w:tc>
          <w:tcPr>
            <w:tcW w:w="920" w:type="pct"/>
            <w:tcBorders>
              <w:top w:val="nil"/>
              <w:left w:val="nil"/>
              <w:bottom w:val="nil"/>
              <w:right w:val="nil"/>
            </w:tcBorders>
            <w:shd w:val="clear" w:color="auto" w:fill="auto"/>
            <w:vAlign w:val="center"/>
            <w:hideMark/>
          </w:tcPr>
          <w:p w14:paraId="23AB2F5A"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Rwanda</w:t>
            </w:r>
          </w:p>
        </w:tc>
        <w:tc>
          <w:tcPr>
            <w:tcW w:w="404" w:type="pct"/>
            <w:tcBorders>
              <w:top w:val="nil"/>
              <w:left w:val="nil"/>
              <w:bottom w:val="nil"/>
              <w:right w:val="nil"/>
            </w:tcBorders>
            <w:shd w:val="clear" w:color="auto" w:fill="auto"/>
            <w:vAlign w:val="center"/>
            <w:hideMark/>
          </w:tcPr>
          <w:p w14:paraId="79446629" w14:textId="77777777" w:rsidR="00CC659A" w:rsidRPr="00CC659A" w:rsidRDefault="00CC659A" w:rsidP="00CC659A">
            <w:pPr>
              <w:spacing w:after="0" w:line="240" w:lineRule="auto"/>
              <w:ind w:left="-108"/>
              <w:jc w:val="center"/>
              <w:rPr>
                <w:rFonts w:eastAsia="Times New Roman"/>
                <w:color w:val="000000"/>
                <w:sz w:val="16"/>
                <w:szCs w:val="16"/>
                <w:lang w:val="es-ES"/>
              </w:rPr>
            </w:pPr>
            <w:r w:rsidRPr="00CC659A">
              <w:rPr>
                <w:rFonts w:eastAsia="Times New Roman"/>
                <w:color w:val="000000"/>
                <w:sz w:val="16"/>
                <w:szCs w:val="16"/>
                <w:lang w:val="es-ES"/>
              </w:rPr>
              <w:t>0.003</w:t>
            </w:r>
          </w:p>
        </w:tc>
        <w:tc>
          <w:tcPr>
            <w:tcW w:w="420" w:type="pct"/>
            <w:tcBorders>
              <w:top w:val="nil"/>
              <w:left w:val="nil"/>
              <w:bottom w:val="nil"/>
              <w:right w:val="single" w:sz="8" w:space="0" w:color="808080"/>
            </w:tcBorders>
            <w:shd w:val="clear" w:color="auto" w:fill="auto"/>
            <w:vAlign w:val="center"/>
            <w:hideMark/>
          </w:tcPr>
          <w:p w14:paraId="50102443" w14:textId="77777777" w:rsidR="00CC659A" w:rsidRPr="00CC659A" w:rsidRDefault="00CC659A" w:rsidP="00CC659A">
            <w:pPr>
              <w:spacing w:after="0" w:line="240" w:lineRule="auto"/>
              <w:ind w:left="-108"/>
              <w:jc w:val="right"/>
              <w:rPr>
                <w:rFonts w:eastAsia="Times New Roman" w:cs="Arial"/>
                <w:color w:val="000000"/>
                <w:sz w:val="16"/>
                <w:szCs w:val="16"/>
                <w:lang w:val="es-ES"/>
              </w:rPr>
            </w:pPr>
            <w:r w:rsidRPr="00CC659A">
              <w:rPr>
                <w:rFonts w:eastAsia="Times New Roman" w:cs="Arial"/>
                <w:color w:val="000000"/>
                <w:sz w:val="16"/>
                <w:szCs w:val="16"/>
                <w:lang w:val="es-ES"/>
              </w:rPr>
              <w:t>0.007</w:t>
            </w:r>
          </w:p>
        </w:tc>
        <w:tc>
          <w:tcPr>
            <w:tcW w:w="444" w:type="pct"/>
            <w:tcBorders>
              <w:top w:val="nil"/>
              <w:left w:val="nil"/>
              <w:bottom w:val="nil"/>
              <w:right w:val="single" w:sz="4" w:space="0" w:color="808080"/>
            </w:tcBorders>
            <w:shd w:val="clear" w:color="auto" w:fill="auto"/>
            <w:vAlign w:val="center"/>
            <w:hideMark/>
          </w:tcPr>
          <w:p w14:paraId="164BF170"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604 </w:t>
            </w:r>
          </w:p>
        </w:tc>
        <w:tc>
          <w:tcPr>
            <w:tcW w:w="437" w:type="pct"/>
            <w:tcBorders>
              <w:top w:val="nil"/>
              <w:left w:val="nil"/>
              <w:bottom w:val="nil"/>
              <w:right w:val="single" w:sz="8" w:space="0" w:color="808080"/>
            </w:tcBorders>
            <w:shd w:val="clear" w:color="auto" w:fill="auto"/>
            <w:vAlign w:val="center"/>
            <w:hideMark/>
          </w:tcPr>
          <w:p w14:paraId="7A7A1A05"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201 </w:t>
            </w:r>
          </w:p>
        </w:tc>
        <w:tc>
          <w:tcPr>
            <w:tcW w:w="444" w:type="pct"/>
            <w:tcBorders>
              <w:top w:val="nil"/>
              <w:left w:val="nil"/>
              <w:bottom w:val="nil"/>
              <w:right w:val="single" w:sz="4" w:space="0" w:color="808080"/>
            </w:tcBorders>
            <w:shd w:val="clear" w:color="auto" w:fill="auto"/>
            <w:vAlign w:val="center"/>
            <w:hideMark/>
          </w:tcPr>
          <w:p w14:paraId="394524D5"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674 </w:t>
            </w:r>
          </w:p>
        </w:tc>
        <w:tc>
          <w:tcPr>
            <w:tcW w:w="437" w:type="pct"/>
            <w:tcBorders>
              <w:top w:val="nil"/>
              <w:left w:val="nil"/>
              <w:bottom w:val="nil"/>
              <w:right w:val="single" w:sz="8" w:space="0" w:color="808080"/>
            </w:tcBorders>
            <w:shd w:val="clear" w:color="auto" w:fill="auto"/>
            <w:vAlign w:val="center"/>
            <w:hideMark/>
          </w:tcPr>
          <w:p w14:paraId="2CA2D253"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225 </w:t>
            </w:r>
          </w:p>
        </w:tc>
        <w:tc>
          <w:tcPr>
            <w:tcW w:w="444" w:type="pct"/>
            <w:tcBorders>
              <w:top w:val="nil"/>
              <w:left w:val="nil"/>
              <w:bottom w:val="nil"/>
              <w:right w:val="single" w:sz="4" w:space="0" w:color="808080"/>
            </w:tcBorders>
            <w:shd w:val="clear" w:color="auto" w:fill="auto"/>
            <w:vAlign w:val="center"/>
            <w:hideMark/>
          </w:tcPr>
          <w:p w14:paraId="7D6B96E9"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789 </w:t>
            </w:r>
          </w:p>
        </w:tc>
        <w:tc>
          <w:tcPr>
            <w:tcW w:w="437" w:type="pct"/>
            <w:tcBorders>
              <w:top w:val="nil"/>
              <w:left w:val="nil"/>
              <w:bottom w:val="nil"/>
              <w:right w:val="single" w:sz="8" w:space="0" w:color="808080"/>
            </w:tcBorders>
            <w:shd w:val="clear" w:color="auto" w:fill="auto"/>
            <w:vAlign w:val="center"/>
            <w:hideMark/>
          </w:tcPr>
          <w:p w14:paraId="238963E7"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263 </w:t>
            </w:r>
          </w:p>
        </w:tc>
        <w:tc>
          <w:tcPr>
            <w:tcW w:w="444" w:type="pct"/>
            <w:tcBorders>
              <w:top w:val="nil"/>
              <w:left w:val="single" w:sz="4" w:space="0" w:color="808080"/>
              <w:bottom w:val="nil"/>
              <w:right w:val="single" w:sz="8" w:space="0" w:color="808080"/>
            </w:tcBorders>
            <w:shd w:val="clear" w:color="auto" w:fill="auto"/>
            <w:vAlign w:val="center"/>
            <w:hideMark/>
          </w:tcPr>
          <w:p w14:paraId="68CA671D"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588 </w:t>
            </w:r>
          </w:p>
        </w:tc>
      </w:tr>
      <w:tr w:rsidR="006D34EE" w:rsidRPr="00CC659A" w14:paraId="025E8855" w14:textId="77777777" w:rsidTr="00477854">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0D3A8C5A" w14:textId="77777777" w:rsidR="00CC659A" w:rsidRPr="00CC659A" w:rsidRDefault="00CC659A" w:rsidP="00CC659A">
            <w:pPr>
              <w:spacing w:after="0" w:line="240" w:lineRule="auto"/>
              <w:ind w:left="-108"/>
              <w:jc w:val="right"/>
              <w:rPr>
                <w:rFonts w:eastAsia="Times New Roman"/>
                <w:color w:val="000000"/>
                <w:sz w:val="16"/>
                <w:szCs w:val="16"/>
                <w:lang w:val="es-ES"/>
              </w:rPr>
            </w:pPr>
            <w:r w:rsidRPr="00CC659A">
              <w:rPr>
                <w:rFonts w:eastAsia="Times New Roman"/>
                <w:color w:val="000000"/>
                <w:sz w:val="16"/>
                <w:szCs w:val="16"/>
                <w:lang w:val="es-ES"/>
              </w:rPr>
              <w:t>105</w:t>
            </w:r>
          </w:p>
        </w:tc>
        <w:tc>
          <w:tcPr>
            <w:tcW w:w="920" w:type="pct"/>
            <w:tcBorders>
              <w:top w:val="nil"/>
              <w:left w:val="nil"/>
              <w:bottom w:val="nil"/>
              <w:right w:val="nil"/>
            </w:tcBorders>
            <w:shd w:val="clear" w:color="auto" w:fill="auto"/>
            <w:vAlign w:val="center"/>
            <w:hideMark/>
          </w:tcPr>
          <w:p w14:paraId="1A2700B6"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Samoa</w:t>
            </w:r>
          </w:p>
        </w:tc>
        <w:tc>
          <w:tcPr>
            <w:tcW w:w="404" w:type="pct"/>
            <w:tcBorders>
              <w:top w:val="nil"/>
              <w:left w:val="nil"/>
              <w:bottom w:val="nil"/>
              <w:right w:val="nil"/>
            </w:tcBorders>
            <w:shd w:val="clear" w:color="auto" w:fill="auto"/>
            <w:vAlign w:val="center"/>
            <w:hideMark/>
          </w:tcPr>
          <w:p w14:paraId="6552F971" w14:textId="77777777" w:rsidR="00CC659A" w:rsidRPr="00CC659A" w:rsidRDefault="00CC659A" w:rsidP="00CC659A">
            <w:pPr>
              <w:spacing w:after="0" w:line="240" w:lineRule="auto"/>
              <w:ind w:left="-108"/>
              <w:jc w:val="center"/>
              <w:rPr>
                <w:rFonts w:eastAsia="Times New Roman"/>
                <w:color w:val="000000"/>
                <w:sz w:val="16"/>
                <w:szCs w:val="16"/>
                <w:lang w:val="es-ES"/>
              </w:rPr>
            </w:pPr>
            <w:r w:rsidRPr="00CC659A">
              <w:rPr>
                <w:rFonts w:eastAsia="Times New Roman"/>
                <w:color w:val="000000"/>
                <w:sz w:val="16"/>
                <w:szCs w:val="16"/>
                <w:lang w:val="es-ES"/>
              </w:rPr>
              <w:t>0.001</w:t>
            </w:r>
          </w:p>
        </w:tc>
        <w:tc>
          <w:tcPr>
            <w:tcW w:w="420" w:type="pct"/>
            <w:tcBorders>
              <w:top w:val="nil"/>
              <w:left w:val="nil"/>
              <w:bottom w:val="nil"/>
              <w:right w:val="single" w:sz="8" w:space="0" w:color="808080"/>
            </w:tcBorders>
            <w:shd w:val="clear" w:color="auto" w:fill="auto"/>
            <w:vAlign w:val="center"/>
            <w:hideMark/>
          </w:tcPr>
          <w:p w14:paraId="3B384E26" w14:textId="77777777" w:rsidR="00CC659A" w:rsidRPr="00CC659A" w:rsidRDefault="00CC659A" w:rsidP="00CC659A">
            <w:pPr>
              <w:spacing w:after="0" w:line="240" w:lineRule="auto"/>
              <w:ind w:left="-108"/>
              <w:jc w:val="right"/>
              <w:rPr>
                <w:rFonts w:eastAsia="Times New Roman" w:cs="Arial"/>
                <w:color w:val="000000"/>
                <w:sz w:val="16"/>
                <w:szCs w:val="16"/>
                <w:lang w:val="es-ES"/>
              </w:rPr>
            </w:pPr>
            <w:r w:rsidRPr="00CC659A">
              <w:rPr>
                <w:rFonts w:eastAsia="Times New Roman" w:cs="Arial"/>
                <w:color w:val="000000"/>
                <w:sz w:val="16"/>
                <w:szCs w:val="16"/>
                <w:lang w:val="es-ES"/>
              </w:rPr>
              <w:t>0.002</w:t>
            </w:r>
          </w:p>
        </w:tc>
        <w:tc>
          <w:tcPr>
            <w:tcW w:w="444" w:type="pct"/>
            <w:tcBorders>
              <w:top w:val="nil"/>
              <w:left w:val="nil"/>
              <w:bottom w:val="nil"/>
              <w:right w:val="single" w:sz="4" w:space="0" w:color="808080"/>
            </w:tcBorders>
            <w:shd w:val="clear" w:color="auto" w:fill="auto"/>
            <w:vAlign w:val="center"/>
            <w:hideMark/>
          </w:tcPr>
          <w:p w14:paraId="7A1AE96F"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201 </w:t>
            </w:r>
          </w:p>
        </w:tc>
        <w:tc>
          <w:tcPr>
            <w:tcW w:w="437" w:type="pct"/>
            <w:tcBorders>
              <w:top w:val="nil"/>
              <w:left w:val="nil"/>
              <w:bottom w:val="nil"/>
              <w:right w:val="single" w:sz="8" w:space="0" w:color="808080"/>
            </w:tcBorders>
            <w:shd w:val="clear" w:color="auto" w:fill="auto"/>
            <w:vAlign w:val="center"/>
            <w:hideMark/>
          </w:tcPr>
          <w:p w14:paraId="757A3B29"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67 </w:t>
            </w:r>
          </w:p>
        </w:tc>
        <w:tc>
          <w:tcPr>
            <w:tcW w:w="444" w:type="pct"/>
            <w:tcBorders>
              <w:top w:val="nil"/>
              <w:left w:val="nil"/>
              <w:bottom w:val="nil"/>
              <w:right w:val="single" w:sz="4" w:space="0" w:color="808080"/>
            </w:tcBorders>
            <w:shd w:val="clear" w:color="auto" w:fill="auto"/>
            <w:vAlign w:val="center"/>
            <w:hideMark/>
          </w:tcPr>
          <w:p w14:paraId="6D3C8D33"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225 </w:t>
            </w:r>
          </w:p>
        </w:tc>
        <w:tc>
          <w:tcPr>
            <w:tcW w:w="437" w:type="pct"/>
            <w:tcBorders>
              <w:top w:val="nil"/>
              <w:left w:val="nil"/>
              <w:bottom w:val="nil"/>
              <w:right w:val="single" w:sz="8" w:space="0" w:color="808080"/>
            </w:tcBorders>
            <w:shd w:val="clear" w:color="auto" w:fill="auto"/>
            <w:vAlign w:val="center"/>
            <w:hideMark/>
          </w:tcPr>
          <w:p w14:paraId="4701E0BA"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75 </w:t>
            </w:r>
          </w:p>
        </w:tc>
        <w:tc>
          <w:tcPr>
            <w:tcW w:w="444" w:type="pct"/>
            <w:tcBorders>
              <w:top w:val="nil"/>
              <w:left w:val="nil"/>
              <w:bottom w:val="nil"/>
              <w:right w:val="single" w:sz="4" w:space="0" w:color="808080"/>
            </w:tcBorders>
            <w:shd w:val="clear" w:color="auto" w:fill="auto"/>
            <w:vAlign w:val="center"/>
            <w:hideMark/>
          </w:tcPr>
          <w:p w14:paraId="2E171B82"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263 </w:t>
            </w:r>
          </w:p>
        </w:tc>
        <w:tc>
          <w:tcPr>
            <w:tcW w:w="437" w:type="pct"/>
            <w:tcBorders>
              <w:top w:val="nil"/>
              <w:left w:val="nil"/>
              <w:bottom w:val="nil"/>
              <w:right w:val="single" w:sz="8" w:space="0" w:color="808080"/>
            </w:tcBorders>
            <w:shd w:val="clear" w:color="auto" w:fill="auto"/>
            <w:vAlign w:val="center"/>
            <w:hideMark/>
          </w:tcPr>
          <w:p w14:paraId="47871F32"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88 </w:t>
            </w:r>
          </w:p>
        </w:tc>
        <w:tc>
          <w:tcPr>
            <w:tcW w:w="444" w:type="pct"/>
            <w:tcBorders>
              <w:top w:val="nil"/>
              <w:left w:val="single" w:sz="4" w:space="0" w:color="808080"/>
              <w:bottom w:val="nil"/>
              <w:right w:val="single" w:sz="8" w:space="0" w:color="808080"/>
            </w:tcBorders>
            <w:shd w:val="clear" w:color="auto" w:fill="auto"/>
            <w:vAlign w:val="center"/>
            <w:hideMark/>
          </w:tcPr>
          <w:p w14:paraId="25C49A41"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197 </w:t>
            </w:r>
          </w:p>
        </w:tc>
      </w:tr>
      <w:tr w:rsidR="006D34EE" w:rsidRPr="00CC659A" w14:paraId="0ACB52C5" w14:textId="77777777" w:rsidTr="00477854">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7FA0DAC0" w14:textId="77777777" w:rsidR="00CC659A" w:rsidRPr="00CC659A" w:rsidRDefault="00CC659A" w:rsidP="00CC659A">
            <w:pPr>
              <w:spacing w:after="0" w:line="240" w:lineRule="auto"/>
              <w:ind w:left="-108"/>
              <w:jc w:val="right"/>
              <w:rPr>
                <w:rFonts w:eastAsia="Times New Roman"/>
                <w:color w:val="000000"/>
                <w:sz w:val="16"/>
                <w:szCs w:val="16"/>
                <w:lang w:val="es-ES"/>
              </w:rPr>
            </w:pPr>
            <w:r w:rsidRPr="00CC659A">
              <w:rPr>
                <w:rFonts w:eastAsia="Times New Roman"/>
                <w:color w:val="000000"/>
                <w:sz w:val="16"/>
                <w:szCs w:val="16"/>
                <w:lang w:val="es-ES"/>
              </w:rPr>
              <w:t>106</w:t>
            </w:r>
          </w:p>
        </w:tc>
        <w:tc>
          <w:tcPr>
            <w:tcW w:w="920" w:type="pct"/>
            <w:tcBorders>
              <w:top w:val="nil"/>
              <w:left w:val="nil"/>
              <w:bottom w:val="nil"/>
              <w:right w:val="nil"/>
            </w:tcBorders>
            <w:shd w:val="clear" w:color="auto" w:fill="auto"/>
            <w:vAlign w:val="center"/>
            <w:hideMark/>
          </w:tcPr>
          <w:p w14:paraId="58F4E898" w14:textId="40DEE70C"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Sao Tome-</w:t>
            </w:r>
            <w:r w:rsidR="00D13331">
              <w:rPr>
                <w:rFonts w:eastAsia="Times New Roman"/>
                <w:color w:val="000000"/>
                <w:sz w:val="16"/>
                <w:szCs w:val="16"/>
                <w:lang w:val="es-ES"/>
              </w:rPr>
              <w:t>y Príncipe</w:t>
            </w:r>
          </w:p>
        </w:tc>
        <w:tc>
          <w:tcPr>
            <w:tcW w:w="404" w:type="pct"/>
            <w:tcBorders>
              <w:top w:val="nil"/>
              <w:left w:val="nil"/>
              <w:bottom w:val="nil"/>
              <w:right w:val="nil"/>
            </w:tcBorders>
            <w:shd w:val="clear" w:color="auto" w:fill="auto"/>
            <w:vAlign w:val="center"/>
            <w:hideMark/>
          </w:tcPr>
          <w:p w14:paraId="468BEEE7" w14:textId="77777777" w:rsidR="00CC659A" w:rsidRPr="00CC659A" w:rsidRDefault="00CC659A" w:rsidP="00CC659A">
            <w:pPr>
              <w:spacing w:after="0" w:line="240" w:lineRule="auto"/>
              <w:ind w:left="-108"/>
              <w:jc w:val="center"/>
              <w:rPr>
                <w:rFonts w:eastAsia="Times New Roman"/>
                <w:color w:val="000000"/>
                <w:sz w:val="16"/>
                <w:szCs w:val="16"/>
                <w:lang w:val="es-ES"/>
              </w:rPr>
            </w:pPr>
            <w:r w:rsidRPr="00CC659A">
              <w:rPr>
                <w:rFonts w:eastAsia="Times New Roman"/>
                <w:color w:val="000000"/>
                <w:sz w:val="16"/>
                <w:szCs w:val="16"/>
                <w:lang w:val="es-ES"/>
              </w:rPr>
              <w:t>0.001</w:t>
            </w:r>
          </w:p>
        </w:tc>
        <w:tc>
          <w:tcPr>
            <w:tcW w:w="420" w:type="pct"/>
            <w:tcBorders>
              <w:top w:val="nil"/>
              <w:left w:val="nil"/>
              <w:bottom w:val="nil"/>
              <w:right w:val="single" w:sz="8" w:space="0" w:color="808080"/>
            </w:tcBorders>
            <w:shd w:val="clear" w:color="auto" w:fill="auto"/>
            <w:vAlign w:val="center"/>
            <w:hideMark/>
          </w:tcPr>
          <w:p w14:paraId="0158EC0A" w14:textId="77777777" w:rsidR="00CC659A" w:rsidRPr="00CC659A" w:rsidRDefault="00CC659A" w:rsidP="00CC659A">
            <w:pPr>
              <w:spacing w:after="0" w:line="240" w:lineRule="auto"/>
              <w:ind w:left="-108"/>
              <w:jc w:val="right"/>
              <w:rPr>
                <w:rFonts w:eastAsia="Times New Roman" w:cs="Arial"/>
                <w:color w:val="000000"/>
                <w:sz w:val="16"/>
                <w:szCs w:val="16"/>
                <w:lang w:val="es-ES"/>
              </w:rPr>
            </w:pPr>
            <w:r w:rsidRPr="00CC659A">
              <w:rPr>
                <w:rFonts w:eastAsia="Times New Roman" w:cs="Arial"/>
                <w:color w:val="000000"/>
                <w:sz w:val="16"/>
                <w:szCs w:val="16"/>
                <w:lang w:val="es-ES"/>
              </w:rPr>
              <w:t>0.002</w:t>
            </w:r>
          </w:p>
        </w:tc>
        <w:tc>
          <w:tcPr>
            <w:tcW w:w="444" w:type="pct"/>
            <w:tcBorders>
              <w:top w:val="nil"/>
              <w:left w:val="nil"/>
              <w:bottom w:val="nil"/>
              <w:right w:val="single" w:sz="4" w:space="0" w:color="808080"/>
            </w:tcBorders>
            <w:shd w:val="clear" w:color="auto" w:fill="auto"/>
            <w:vAlign w:val="center"/>
            <w:hideMark/>
          </w:tcPr>
          <w:p w14:paraId="4B63E01F"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201 </w:t>
            </w:r>
          </w:p>
        </w:tc>
        <w:tc>
          <w:tcPr>
            <w:tcW w:w="437" w:type="pct"/>
            <w:tcBorders>
              <w:top w:val="nil"/>
              <w:left w:val="nil"/>
              <w:bottom w:val="nil"/>
              <w:right w:val="single" w:sz="8" w:space="0" w:color="808080"/>
            </w:tcBorders>
            <w:shd w:val="clear" w:color="auto" w:fill="auto"/>
            <w:vAlign w:val="center"/>
            <w:hideMark/>
          </w:tcPr>
          <w:p w14:paraId="5199F0B6"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67 </w:t>
            </w:r>
          </w:p>
        </w:tc>
        <w:tc>
          <w:tcPr>
            <w:tcW w:w="444" w:type="pct"/>
            <w:tcBorders>
              <w:top w:val="nil"/>
              <w:left w:val="nil"/>
              <w:bottom w:val="nil"/>
              <w:right w:val="single" w:sz="4" w:space="0" w:color="808080"/>
            </w:tcBorders>
            <w:shd w:val="clear" w:color="auto" w:fill="auto"/>
            <w:vAlign w:val="center"/>
            <w:hideMark/>
          </w:tcPr>
          <w:p w14:paraId="19B44731"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225 </w:t>
            </w:r>
          </w:p>
        </w:tc>
        <w:tc>
          <w:tcPr>
            <w:tcW w:w="437" w:type="pct"/>
            <w:tcBorders>
              <w:top w:val="nil"/>
              <w:left w:val="nil"/>
              <w:bottom w:val="nil"/>
              <w:right w:val="single" w:sz="8" w:space="0" w:color="808080"/>
            </w:tcBorders>
            <w:shd w:val="clear" w:color="auto" w:fill="auto"/>
            <w:vAlign w:val="center"/>
            <w:hideMark/>
          </w:tcPr>
          <w:p w14:paraId="341BEACF"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75 </w:t>
            </w:r>
          </w:p>
        </w:tc>
        <w:tc>
          <w:tcPr>
            <w:tcW w:w="444" w:type="pct"/>
            <w:tcBorders>
              <w:top w:val="nil"/>
              <w:left w:val="nil"/>
              <w:bottom w:val="nil"/>
              <w:right w:val="single" w:sz="4" w:space="0" w:color="808080"/>
            </w:tcBorders>
            <w:shd w:val="clear" w:color="auto" w:fill="auto"/>
            <w:vAlign w:val="center"/>
            <w:hideMark/>
          </w:tcPr>
          <w:p w14:paraId="2E0BD008"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263 </w:t>
            </w:r>
          </w:p>
        </w:tc>
        <w:tc>
          <w:tcPr>
            <w:tcW w:w="437" w:type="pct"/>
            <w:tcBorders>
              <w:top w:val="nil"/>
              <w:left w:val="nil"/>
              <w:bottom w:val="nil"/>
              <w:right w:val="single" w:sz="8" w:space="0" w:color="808080"/>
            </w:tcBorders>
            <w:shd w:val="clear" w:color="auto" w:fill="auto"/>
            <w:vAlign w:val="center"/>
            <w:hideMark/>
          </w:tcPr>
          <w:p w14:paraId="16388BAA"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88 </w:t>
            </w:r>
          </w:p>
        </w:tc>
        <w:tc>
          <w:tcPr>
            <w:tcW w:w="444" w:type="pct"/>
            <w:tcBorders>
              <w:top w:val="nil"/>
              <w:left w:val="single" w:sz="4" w:space="0" w:color="808080"/>
              <w:bottom w:val="nil"/>
              <w:right w:val="single" w:sz="8" w:space="0" w:color="808080"/>
            </w:tcBorders>
            <w:shd w:val="clear" w:color="auto" w:fill="auto"/>
            <w:vAlign w:val="center"/>
            <w:hideMark/>
          </w:tcPr>
          <w:p w14:paraId="1252BA8C"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197 </w:t>
            </w:r>
          </w:p>
        </w:tc>
      </w:tr>
      <w:tr w:rsidR="006D34EE" w:rsidRPr="00CC659A" w14:paraId="351F3267" w14:textId="77777777" w:rsidTr="00477854">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3533151A" w14:textId="77777777" w:rsidR="00CC659A" w:rsidRPr="00CC659A" w:rsidRDefault="00CC659A" w:rsidP="00CC659A">
            <w:pPr>
              <w:spacing w:after="0" w:line="240" w:lineRule="auto"/>
              <w:ind w:left="-108"/>
              <w:jc w:val="right"/>
              <w:rPr>
                <w:rFonts w:eastAsia="Times New Roman"/>
                <w:color w:val="000000"/>
                <w:sz w:val="16"/>
                <w:szCs w:val="16"/>
                <w:lang w:val="es-ES"/>
              </w:rPr>
            </w:pPr>
            <w:r w:rsidRPr="00CC659A">
              <w:rPr>
                <w:rFonts w:eastAsia="Times New Roman"/>
                <w:color w:val="000000"/>
                <w:sz w:val="16"/>
                <w:szCs w:val="16"/>
                <w:lang w:val="es-ES"/>
              </w:rPr>
              <w:t>107</w:t>
            </w:r>
          </w:p>
        </w:tc>
        <w:tc>
          <w:tcPr>
            <w:tcW w:w="920" w:type="pct"/>
            <w:tcBorders>
              <w:top w:val="nil"/>
              <w:left w:val="nil"/>
              <w:bottom w:val="nil"/>
              <w:right w:val="nil"/>
            </w:tcBorders>
            <w:shd w:val="clear" w:color="auto" w:fill="auto"/>
            <w:vAlign w:val="center"/>
            <w:hideMark/>
          </w:tcPr>
          <w:p w14:paraId="03BD4F81" w14:textId="285855DF"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Arabi</w:t>
            </w:r>
            <w:r w:rsidR="00D13331">
              <w:rPr>
                <w:rFonts w:eastAsia="Times New Roman"/>
                <w:color w:val="000000"/>
                <w:sz w:val="16"/>
                <w:szCs w:val="16"/>
                <w:lang w:val="es-ES"/>
              </w:rPr>
              <w:t>a Saudita</w:t>
            </w:r>
          </w:p>
        </w:tc>
        <w:tc>
          <w:tcPr>
            <w:tcW w:w="404" w:type="pct"/>
            <w:tcBorders>
              <w:top w:val="nil"/>
              <w:left w:val="nil"/>
              <w:bottom w:val="nil"/>
              <w:right w:val="nil"/>
            </w:tcBorders>
            <w:shd w:val="clear" w:color="auto" w:fill="auto"/>
            <w:vAlign w:val="center"/>
            <w:hideMark/>
          </w:tcPr>
          <w:p w14:paraId="109FBF2A" w14:textId="77777777" w:rsidR="00CC659A" w:rsidRPr="00CC659A" w:rsidRDefault="00CC659A" w:rsidP="00CC659A">
            <w:pPr>
              <w:spacing w:after="0" w:line="240" w:lineRule="auto"/>
              <w:ind w:left="-108"/>
              <w:jc w:val="center"/>
              <w:rPr>
                <w:rFonts w:eastAsia="Times New Roman"/>
                <w:color w:val="000000"/>
                <w:sz w:val="16"/>
                <w:szCs w:val="16"/>
                <w:lang w:val="es-ES"/>
              </w:rPr>
            </w:pPr>
            <w:r w:rsidRPr="00CC659A">
              <w:rPr>
                <w:rFonts w:eastAsia="Times New Roman"/>
                <w:color w:val="000000"/>
                <w:sz w:val="16"/>
                <w:szCs w:val="16"/>
                <w:lang w:val="es-ES"/>
              </w:rPr>
              <w:t>1.184</w:t>
            </w:r>
          </w:p>
        </w:tc>
        <w:tc>
          <w:tcPr>
            <w:tcW w:w="420" w:type="pct"/>
            <w:tcBorders>
              <w:top w:val="nil"/>
              <w:left w:val="nil"/>
              <w:bottom w:val="nil"/>
              <w:right w:val="single" w:sz="8" w:space="0" w:color="808080"/>
            </w:tcBorders>
            <w:shd w:val="clear" w:color="auto" w:fill="auto"/>
            <w:vAlign w:val="center"/>
            <w:hideMark/>
          </w:tcPr>
          <w:p w14:paraId="5B7563AE" w14:textId="77777777" w:rsidR="00CC659A" w:rsidRPr="00CC659A" w:rsidRDefault="00CC659A" w:rsidP="00CC659A">
            <w:pPr>
              <w:spacing w:after="0" w:line="240" w:lineRule="auto"/>
              <w:ind w:left="-108"/>
              <w:jc w:val="right"/>
              <w:rPr>
                <w:rFonts w:eastAsia="Times New Roman" w:cs="Arial"/>
                <w:color w:val="000000"/>
                <w:sz w:val="16"/>
                <w:szCs w:val="16"/>
                <w:lang w:val="es-ES"/>
              </w:rPr>
            </w:pPr>
            <w:r w:rsidRPr="00CC659A">
              <w:rPr>
                <w:rFonts w:eastAsia="Times New Roman" w:cs="Arial"/>
                <w:color w:val="000000"/>
                <w:sz w:val="16"/>
                <w:szCs w:val="16"/>
                <w:lang w:val="es-ES"/>
              </w:rPr>
              <w:t>2.725</w:t>
            </w:r>
          </w:p>
        </w:tc>
        <w:tc>
          <w:tcPr>
            <w:tcW w:w="444" w:type="pct"/>
            <w:tcBorders>
              <w:top w:val="nil"/>
              <w:left w:val="nil"/>
              <w:bottom w:val="nil"/>
              <w:right w:val="single" w:sz="4" w:space="0" w:color="808080"/>
            </w:tcBorders>
            <w:shd w:val="clear" w:color="auto" w:fill="auto"/>
            <w:vAlign w:val="center"/>
            <w:hideMark/>
          </w:tcPr>
          <w:p w14:paraId="417DF79B"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238 459 </w:t>
            </w:r>
          </w:p>
        </w:tc>
        <w:tc>
          <w:tcPr>
            <w:tcW w:w="437" w:type="pct"/>
            <w:tcBorders>
              <w:top w:val="nil"/>
              <w:left w:val="nil"/>
              <w:bottom w:val="nil"/>
              <w:right w:val="single" w:sz="8" w:space="0" w:color="808080"/>
            </w:tcBorders>
            <w:shd w:val="clear" w:color="auto" w:fill="auto"/>
            <w:vAlign w:val="center"/>
            <w:hideMark/>
          </w:tcPr>
          <w:p w14:paraId="1890D6A5"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79 486 </w:t>
            </w:r>
          </w:p>
        </w:tc>
        <w:tc>
          <w:tcPr>
            <w:tcW w:w="444" w:type="pct"/>
            <w:tcBorders>
              <w:top w:val="nil"/>
              <w:left w:val="nil"/>
              <w:bottom w:val="nil"/>
              <w:right w:val="single" w:sz="4" w:space="0" w:color="808080"/>
            </w:tcBorders>
            <w:shd w:val="clear" w:color="auto" w:fill="auto"/>
            <w:vAlign w:val="center"/>
            <w:hideMark/>
          </w:tcPr>
          <w:p w14:paraId="0787298C"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266 013 </w:t>
            </w:r>
          </w:p>
        </w:tc>
        <w:tc>
          <w:tcPr>
            <w:tcW w:w="437" w:type="pct"/>
            <w:tcBorders>
              <w:top w:val="nil"/>
              <w:left w:val="nil"/>
              <w:bottom w:val="nil"/>
              <w:right w:val="single" w:sz="8" w:space="0" w:color="808080"/>
            </w:tcBorders>
            <w:shd w:val="clear" w:color="auto" w:fill="auto"/>
            <w:vAlign w:val="center"/>
            <w:hideMark/>
          </w:tcPr>
          <w:p w14:paraId="67519CC6"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88 671 </w:t>
            </w:r>
          </w:p>
        </w:tc>
        <w:tc>
          <w:tcPr>
            <w:tcW w:w="444" w:type="pct"/>
            <w:tcBorders>
              <w:top w:val="nil"/>
              <w:left w:val="nil"/>
              <w:bottom w:val="nil"/>
              <w:right w:val="single" w:sz="4" w:space="0" w:color="808080"/>
            </w:tcBorders>
            <w:shd w:val="clear" w:color="auto" w:fill="auto"/>
            <w:vAlign w:val="center"/>
            <w:hideMark/>
          </w:tcPr>
          <w:p w14:paraId="40F84B9F"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311 470 </w:t>
            </w:r>
          </w:p>
        </w:tc>
        <w:tc>
          <w:tcPr>
            <w:tcW w:w="437" w:type="pct"/>
            <w:tcBorders>
              <w:top w:val="nil"/>
              <w:left w:val="nil"/>
              <w:bottom w:val="nil"/>
              <w:right w:val="single" w:sz="8" w:space="0" w:color="808080"/>
            </w:tcBorders>
            <w:shd w:val="clear" w:color="auto" w:fill="auto"/>
            <w:vAlign w:val="center"/>
            <w:hideMark/>
          </w:tcPr>
          <w:p w14:paraId="1079D7A0"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103 823 </w:t>
            </w:r>
          </w:p>
        </w:tc>
        <w:tc>
          <w:tcPr>
            <w:tcW w:w="444" w:type="pct"/>
            <w:tcBorders>
              <w:top w:val="nil"/>
              <w:left w:val="single" w:sz="4" w:space="0" w:color="808080"/>
              <w:bottom w:val="nil"/>
              <w:right w:val="single" w:sz="8" w:space="0" w:color="808080"/>
            </w:tcBorders>
            <w:shd w:val="clear" w:color="auto" w:fill="auto"/>
            <w:vAlign w:val="center"/>
            <w:hideMark/>
          </w:tcPr>
          <w:p w14:paraId="2D51C5D4"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229 667 </w:t>
            </w:r>
          </w:p>
        </w:tc>
      </w:tr>
      <w:tr w:rsidR="006D34EE" w:rsidRPr="00CC659A" w14:paraId="788A2799" w14:textId="77777777" w:rsidTr="00477854">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08DD71D6" w14:textId="77777777" w:rsidR="00CC659A" w:rsidRPr="00CC659A" w:rsidRDefault="00CC659A" w:rsidP="00CC659A">
            <w:pPr>
              <w:spacing w:after="0" w:line="240" w:lineRule="auto"/>
              <w:ind w:left="-108"/>
              <w:jc w:val="right"/>
              <w:rPr>
                <w:rFonts w:eastAsia="Times New Roman"/>
                <w:color w:val="000000"/>
                <w:sz w:val="16"/>
                <w:szCs w:val="16"/>
                <w:lang w:val="es-ES"/>
              </w:rPr>
            </w:pPr>
            <w:r w:rsidRPr="00CC659A">
              <w:rPr>
                <w:rFonts w:eastAsia="Times New Roman"/>
                <w:color w:val="000000"/>
                <w:sz w:val="16"/>
                <w:szCs w:val="16"/>
                <w:lang w:val="es-ES"/>
              </w:rPr>
              <w:t>108</w:t>
            </w:r>
          </w:p>
        </w:tc>
        <w:tc>
          <w:tcPr>
            <w:tcW w:w="920" w:type="pct"/>
            <w:tcBorders>
              <w:top w:val="nil"/>
              <w:left w:val="nil"/>
              <w:bottom w:val="nil"/>
              <w:right w:val="nil"/>
            </w:tcBorders>
            <w:shd w:val="clear" w:color="auto" w:fill="auto"/>
            <w:vAlign w:val="center"/>
            <w:hideMark/>
          </w:tcPr>
          <w:p w14:paraId="3264DF1B" w14:textId="451023AF" w:rsidR="00CC659A" w:rsidRPr="00CC659A" w:rsidRDefault="00D13331"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Senegal</w:t>
            </w:r>
          </w:p>
        </w:tc>
        <w:tc>
          <w:tcPr>
            <w:tcW w:w="404" w:type="pct"/>
            <w:tcBorders>
              <w:top w:val="nil"/>
              <w:left w:val="nil"/>
              <w:bottom w:val="nil"/>
              <w:right w:val="nil"/>
            </w:tcBorders>
            <w:shd w:val="clear" w:color="auto" w:fill="auto"/>
            <w:vAlign w:val="center"/>
            <w:hideMark/>
          </w:tcPr>
          <w:p w14:paraId="62CFE9C5" w14:textId="77777777" w:rsidR="00CC659A" w:rsidRPr="00CC659A" w:rsidRDefault="00CC659A" w:rsidP="00CC659A">
            <w:pPr>
              <w:spacing w:after="0" w:line="240" w:lineRule="auto"/>
              <w:ind w:left="-108"/>
              <w:jc w:val="center"/>
              <w:rPr>
                <w:rFonts w:eastAsia="Times New Roman"/>
                <w:color w:val="000000"/>
                <w:sz w:val="16"/>
                <w:szCs w:val="16"/>
                <w:lang w:val="es-ES"/>
              </w:rPr>
            </w:pPr>
            <w:r w:rsidRPr="00CC659A">
              <w:rPr>
                <w:rFonts w:eastAsia="Times New Roman"/>
                <w:color w:val="000000"/>
                <w:sz w:val="16"/>
                <w:szCs w:val="16"/>
                <w:lang w:val="es-ES"/>
              </w:rPr>
              <w:t>0.007</w:t>
            </w:r>
          </w:p>
        </w:tc>
        <w:tc>
          <w:tcPr>
            <w:tcW w:w="420" w:type="pct"/>
            <w:tcBorders>
              <w:top w:val="nil"/>
              <w:left w:val="nil"/>
              <w:bottom w:val="nil"/>
              <w:right w:val="single" w:sz="8" w:space="0" w:color="808080"/>
            </w:tcBorders>
            <w:shd w:val="clear" w:color="auto" w:fill="auto"/>
            <w:vAlign w:val="center"/>
            <w:hideMark/>
          </w:tcPr>
          <w:p w14:paraId="5D481809" w14:textId="77777777" w:rsidR="00CC659A" w:rsidRPr="00CC659A" w:rsidRDefault="00CC659A" w:rsidP="00CC659A">
            <w:pPr>
              <w:spacing w:after="0" w:line="240" w:lineRule="auto"/>
              <w:ind w:left="-108"/>
              <w:jc w:val="right"/>
              <w:rPr>
                <w:rFonts w:eastAsia="Times New Roman" w:cs="Arial"/>
                <w:color w:val="000000"/>
                <w:sz w:val="16"/>
                <w:szCs w:val="16"/>
                <w:lang w:val="es-ES"/>
              </w:rPr>
            </w:pPr>
            <w:r w:rsidRPr="00CC659A">
              <w:rPr>
                <w:rFonts w:eastAsia="Times New Roman" w:cs="Arial"/>
                <w:color w:val="000000"/>
                <w:sz w:val="16"/>
                <w:szCs w:val="16"/>
                <w:lang w:val="es-ES"/>
              </w:rPr>
              <w:t>0.016</w:t>
            </w:r>
          </w:p>
        </w:tc>
        <w:tc>
          <w:tcPr>
            <w:tcW w:w="444" w:type="pct"/>
            <w:tcBorders>
              <w:top w:val="nil"/>
              <w:left w:val="nil"/>
              <w:bottom w:val="nil"/>
              <w:right w:val="single" w:sz="4" w:space="0" w:color="808080"/>
            </w:tcBorders>
            <w:shd w:val="clear" w:color="auto" w:fill="auto"/>
            <w:vAlign w:val="center"/>
            <w:hideMark/>
          </w:tcPr>
          <w:p w14:paraId="31CEF992"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1 410 </w:t>
            </w:r>
          </w:p>
        </w:tc>
        <w:tc>
          <w:tcPr>
            <w:tcW w:w="437" w:type="pct"/>
            <w:tcBorders>
              <w:top w:val="nil"/>
              <w:left w:val="nil"/>
              <w:bottom w:val="nil"/>
              <w:right w:val="single" w:sz="8" w:space="0" w:color="808080"/>
            </w:tcBorders>
            <w:shd w:val="clear" w:color="auto" w:fill="auto"/>
            <w:vAlign w:val="center"/>
            <w:hideMark/>
          </w:tcPr>
          <w:p w14:paraId="6C4929E2"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470 </w:t>
            </w:r>
          </w:p>
        </w:tc>
        <w:tc>
          <w:tcPr>
            <w:tcW w:w="444" w:type="pct"/>
            <w:tcBorders>
              <w:top w:val="nil"/>
              <w:left w:val="nil"/>
              <w:bottom w:val="nil"/>
              <w:right w:val="single" w:sz="4" w:space="0" w:color="808080"/>
            </w:tcBorders>
            <w:shd w:val="clear" w:color="auto" w:fill="auto"/>
            <w:vAlign w:val="center"/>
            <w:hideMark/>
          </w:tcPr>
          <w:p w14:paraId="4DD8A6C1"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1 573 </w:t>
            </w:r>
          </w:p>
        </w:tc>
        <w:tc>
          <w:tcPr>
            <w:tcW w:w="437" w:type="pct"/>
            <w:tcBorders>
              <w:top w:val="nil"/>
              <w:left w:val="nil"/>
              <w:bottom w:val="nil"/>
              <w:right w:val="single" w:sz="8" w:space="0" w:color="808080"/>
            </w:tcBorders>
            <w:shd w:val="clear" w:color="auto" w:fill="auto"/>
            <w:vAlign w:val="center"/>
            <w:hideMark/>
          </w:tcPr>
          <w:p w14:paraId="0B822A6F"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524 </w:t>
            </w:r>
          </w:p>
        </w:tc>
        <w:tc>
          <w:tcPr>
            <w:tcW w:w="444" w:type="pct"/>
            <w:tcBorders>
              <w:top w:val="nil"/>
              <w:left w:val="nil"/>
              <w:bottom w:val="nil"/>
              <w:right w:val="single" w:sz="4" w:space="0" w:color="808080"/>
            </w:tcBorders>
            <w:shd w:val="clear" w:color="auto" w:fill="auto"/>
            <w:vAlign w:val="center"/>
            <w:hideMark/>
          </w:tcPr>
          <w:p w14:paraId="1BA2A284"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1 841 </w:t>
            </w:r>
          </w:p>
        </w:tc>
        <w:tc>
          <w:tcPr>
            <w:tcW w:w="437" w:type="pct"/>
            <w:tcBorders>
              <w:top w:val="nil"/>
              <w:left w:val="nil"/>
              <w:bottom w:val="nil"/>
              <w:right w:val="single" w:sz="8" w:space="0" w:color="808080"/>
            </w:tcBorders>
            <w:shd w:val="clear" w:color="auto" w:fill="auto"/>
            <w:vAlign w:val="center"/>
            <w:hideMark/>
          </w:tcPr>
          <w:p w14:paraId="494172A7"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614 </w:t>
            </w:r>
          </w:p>
        </w:tc>
        <w:tc>
          <w:tcPr>
            <w:tcW w:w="444" w:type="pct"/>
            <w:tcBorders>
              <w:top w:val="nil"/>
              <w:left w:val="single" w:sz="4" w:space="0" w:color="808080"/>
              <w:bottom w:val="nil"/>
              <w:right w:val="single" w:sz="8" w:space="0" w:color="808080"/>
            </w:tcBorders>
            <w:shd w:val="clear" w:color="auto" w:fill="auto"/>
            <w:vAlign w:val="center"/>
            <w:hideMark/>
          </w:tcPr>
          <w:p w14:paraId="6ED83C31"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1 372 </w:t>
            </w:r>
          </w:p>
        </w:tc>
      </w:tr>
      <w:tr w:rsidR="006D34EE" w:rsidRPr="00CC659A" w14:paraId="4FFBF053" w14:textId="77777777" w:rsidTr="00477854">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671E05E6" w14:textId="77777777" w:rsidR="00CC659A" w:rsidRPr="00CC659A" w:rsidRDefault="00CC659A" w:rsidP="00CC659A">
            <w:pPr>
              <w:spacing w:after="0" w:line="240" w:lineRule="auto"/>
              <w:ind w:left="-108"/>
              <w:jc w:val="right"/>
              <w:rPr>
                <w:rFonts w:eastAsia="Times New Roman"/>
                <w:color w:val="000000"/>
                <w:sz w:val="16"/>
                <w:szCs w:val="16"/>
                <w:lang w:val="es-ES"/>
              </w:rPr>
            </w:pPr>
            <w:r w:rsidRPr="00CC659A">
              <w:rPr>
                <w:rFonts w:eastAsia="Times New Roman"/>
                <w:color w:val="000000"/>
                <w:sz w:val="16"/>
                <w:szCs w:val="16"/>
                <w:lang w:val="es-ES"/>
              </w:rPr>
              <w:t>109</w:t>
            </w:r>
          </w:p>
        </w:tc>
        <w:tc>
          <w:tcPr>
            <w:tcW w:w="920" w:type="pct"/>
            <w:tcBorders>
              <w:top w:val="nil"/>
              <w:left w:val="nil"/>
              <w:bottom w:val="nil"/>
              <w:right w:val="nil"/>
            </w:tcBorders>
            <w:shd w:val="clear" w:color="auto" w:fill="auto"/>
            <w:vAlign w:val="center"/>
            <w:hideMark/>
          </w:tcPr>
          <w:p w14:paraId="05D5495C" w14:textId="07D39CF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Serbi</w:t>
            </w:r>
            <w:r w:rsidR="00D13331">
              <w:rPr>
                <w:rFonts w:eastAsia="Times New Roman"/>
                <w:color w:val="000000"/>
                <w:sz w:val="16"/>
                <w:szCs w:val="16"/>
                <w:lang w:val="es-ES"/>
              </w:rPr>
              <w:t>a</w:t>
            </w:r>
          </w:p>
        </w:tc>
        <w:tc>
          <w:tcPr>
            <w:tcW w:w="404" w:type="pct"/>
            <w:tcBorders>
              <w:top w:val="nil"/>
              <w:left w:val="nil"/>
              <w:bottom w:val="nil"/>
              <w:right w:val="nil"/>
            </w:tcBorders>
            <w:shd w:val="clear" w:color="auto" w:fill="auto"/>
            <w:vAlign w:val="center"/>
            <w:hideMark/>
          </w:tcPr>
          <w:p w14:paraId="626C0B1D" w14:textId="77777777" w:rsidR="00CC659A" w:rsidRPr="00CC659A" w:rsidRDefault="00CC659A" w:rsidP="00CC659A">
            <w:pPr>
              <w:spacing w:after="0" w:line="240" w:lineRule="auto"/>
              <w:ind w:left="-108"/>
              <w:jc w:val="center"/>
              <w:rPr>
                <w:rFonts w:eastAsia="Times New Roman"/>
                <w:color w:val="000000"/>
                <w:sz w:val="16"/>
                <w:szCs w:val="16"/>
                <w:lang w:val="es-ES"/>
              </w:rPr>
            </w:pPr>
            <w:r w:rsidRPr="00CC659A">
              <w:rPr>
                <w:rFonts w:eastAsia="Times New Roman"/>
                <w:color w:val="000000"/>
                <w:sz w:val="16"/>
                <w:szCs w:val="16"/>
                <w:lang w:val="es-ES"/>
              </w:rPr>
              <w:t>0.032</w:t>
            </w:r>
          </w:p>
        </w:tc>
        <w:tc>
          <w:tcPr>
            <w:tcW w:w="420" w:type="pct"/>
            <w:tcBorders>
              <w:top w:val="nil"/>
              <w:left w:val="nil"/>
              <w:bottom w:val="nil"/>
              <w:right w:val="single" w:sz="8" w:space="0" w:color="808080"/>
            </w:tcBorders>
            <w:shd w:val="clear" w:color="auto" w:fill="auto"/>
            <w:vAlign w:val="center"/>
            <w:hideMark/>
          </w:tcPr>
          <w:p w14:paraId="65F33651" w14:textId="77777777" w:rsidR="00CC659A" w:rsidRPr="00CC659A" w:rsidRDefault="00CC659A" w:rsidP="00CC659A">
            <w:pPr>
              <w:spacing w:after="0" w:line="240" w:lineRule="auto"/>
              <w:ind w:left="-108"/>
              <w:jc w:val="right"/>
              <w:rPr>
                <w:rFonts w:eastAsia="Times New Roman" w:cs="Arial"/>
                <w:color w:val="000000"/>
                <w:sz w:val="16"/>
                <w:szCs w:val="16"/>
                <w:lang w:val="es-ES"/>
              </w:rPr>
            </w:pPr>
            <w:r w:rsidRPr="00CC659A">
              <w:rPr>
                <w:rFonts w:eastAsia="Times New Roman" w:cs="Arial"/>
                <w:color w:val="000000"/>
                <w:sz w:val="16"/>
                <w:szCs w:val="16"/>
                <w:lang w:val="es-ES"/>
              </w:rPr>
              <w:t>0.074</w:t>
            </w:r>
          </w:p>
        </w:tc>
        <w:tc>
          <w:tcPr>
            <w:tcW w:w="444" w:type="pct"/>
            <w:tcBorders>
              <w:top w:val="nil"/>
              <w:left w:val="nil"/>
              <w:bottom w:val="nil"/>
              <w:right w:val="single" w:sz="4" w:space="0" w:color="808080"/>
            </w:tcBorders>
            <w:shd w:val="clear" w:color="auto" w:fill="auto"/>
            <w:vAlign w:val="center"/>
            <w:hideMark/>
          </w:tcPr>
          <w:p w14:paraId="3E77B903"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6 445 </w:t>
            </w:r>
          </w:p>
        </w:tc>
        <w:tc>
          <w:tcPr>
            <w:tcW w:w="437" w:type="pct"/>
            <w:tcBorders>
              <w:top w:val="nil"/>
              <w:left w:val="nil"/>
              <w:bottom w:val="nil"/>
              <w:right w:val="single" w:sz="8" w:space="0" w:color="808080"/>
            </w:tcBorders>
            <w:shd w:val="clear" w:color="auto" w:fill="auto"/>
            <w:vAlign w:val="center"/>
            <w:hideMark/>
          </w:tcPr>
          <w:p w14:paraId="12017E09"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2 148 </w:t>
            </w:r>
          </w:p>
        </w:tc>
        <w:tc>
          <w:tcPr>
            <w:tcW w:w="444" w:type="pct"/>
            <w:tcBorders>
              <w:top w:val="nil"/>
              <w:left w:val="nil"/>
              <w:bottom w:val="nil"/>
              <w:right w:val="single" w:sz="4" w:space="0" w:color="808080"/>
            </w:tcBorders>
            <w:shd w:val="clear" w:color="auto" w:fill="auto"/>
            <w:vAlign w:val="center"/>
            <w:hideMark/>
          </w:tcPr>
          <w:p w14:paraId="5E4CDFDB"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7 190 </w:t>
            </w:r>
          </w:p>
        </w:tc>
        <w:tc>
          <w:tcPr>
            <w:tcW w:w="437" w:type="pct"/>
            <w:tcBorders>
              <w:top w:val="nil"/>
              <w:left w:val="nil"/>
              <w:bottom w:val="nil"/>
              <w:right w:val="single" w:sz="8" w:space="0" w:color="808080"/>
            </w:tcBorders>
            <w:shd w:val="clear" w:color="auto" w:fill="auto"/>
            <w:vAlign w:val="center"/>
            <w:hideMark/>
          </w:tcPr>
          <w:p w14:paraId="4634C46D"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2 397 </w:t>
            </w:r>
          </w:p>
        </w:tc>
        <w:tc>
          <w:tcPr>
            <w:tcW w:w="444" w:type="pct"/>
            <w:tcBorders>
              <w:top w:val="nil"/>
              <w:left w:val="nil"/>
              <w:bottom w:val="nil"/>
              <w:right w:val="single" w:sz="4" w:space="0" w:color="808080"/>
            </w:tcBorders>
            <w:shd w:val="clear" w:color="auto" w:fill="auto"/>
            <w:vAlign w:val="center"/>
            <w:hideMark/>
          </w:tcPr>
          <w:p w14:paraId="71606AB4"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8 418 </w:t>
            </w:r>
          </w:p>
        </w:tc>
        <w:tc>
          <w:tcPr>
            <w:tcW w:w="437" w:type="pct"/>
            <w:tcBorders>
              <w:top w:val="nil"/>
              <w:left w:val="nil"/>
              <w:bottom w:val="nil"/>
              <w:right w:val="single" w:sz="8" w:space="0" w:color="808080"/>
            </w:tcBorders>
            <w:shd w:val="clear" w:color="auto" w:fill="auto"/>
            <w:vAlign w:val="center"/>
            <w:hideMark/>
          </w:tcPr>
          <w:p w14:paraId="1AEA64D1"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2 806 </w:t>
            </w:r>
          </w:p>
        </w:tc>
        <w:tc>
          <w:tcPr>
            <w:tcW w:w="444" w:type="pct"/>
            <w:tcBorders>
              <w:top w:val="nil"/>
              <w:left w:val="single" w:sz="4" w:space="0" w:color="808080"/>
              <w:bottom w:val="nil"/>
              <w:right w:val="single" w:sz="8" w:space="0" w:color="808080"/>
            </w:tcBorders>
            <w:shd w:val="clear" w:color="auto" w:fill="auto"/>
            <w:vAlign w:val="center"/>
            <w:hideMark/>
          </w:tcPr>
          <w:p w14:paraId="2D2A6F48"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5 487 </w:t>
            </w:r>
          </w:p>
        </w:tc>
      </w:tr>
      <w:tr w:rsidR="006D34EE" w:rsidRPr="00CC659A" w14:paraId="5A8CE053" w14:textId="77777777" w:rsidTr="00477854">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0F3F91D2" w14:textId="77777777" w:rsidR="00CC659A" w:rsidRPr="00CC659A" w:rsidRDefault="00CC659A" w:rsidP="00CC659A">
            <w:pPr>
              <w:spacing w:after="0" w:line="240" w:lineRule="auto"/>
              <w:ind w:left="-108"/>
              <w:jc w:val="right"/>
              <w:rPr>
                <w:rFonts w:eastAsia="Times New Roman"/>
                <w:color w:val="000000"/>
                <w:sz w:val="16"/>
                <w:szCs w:val="16"/>
                <w:lang w:val="es-ES"/>
              </w:rPr>
            </w:pPr>
            <w:r w:rsidRPr="00CC659A">
              <w:rPr>
                <w:rFonts w:eastAsia="Times New Roman"/>
                <w:color w:val="000000"/>
                <w:sz w:val="16"/>
                <w:szCs w:val="16"/>
                <w:lang w:val="es-ES"/>
              </w:rPr>
              <w:t>110</w:t>
            </w:r>
          </w:p>
        </w:tc>
        <w:tc>
          <w:tcPr>
            <w:tcW w:w="920" w:type="pct"/>
            <w:tcBorders>
              <w:top w:val="nil"/>
              <w:left w:val="nil"/>
              <w:bottom w:val="nil"/>
              <w:right w:val="nil"/>
            </w:tcBorders>
            <w:shd w:val="clear" w:color="auto" w:fill="auto"/>
            <w:vAlign w:val="center"/>
            <w:hideMark/>
          </w:tcPr>
          <w:p w14:paraId="14C9EDD3"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Seychelles</w:t>
            </w:r>
          </w:p>
        </w:tc>
        <w:tc>
          <w:tcPr>
            <w:tcW w:w="404" w:type="pct"/>
            <w:tcBorders>
              <w:top w:val="nil"/>
              <w:left w:val="nil"/>
              <w:bottom w:val="nil"/>
              <w:right w:val="nil"/>
            </w:tcBorders>
            <w:shd w:val="clear" w:color="auto" w:fill="auto"/>
            <w:vAlign w:val="center"/>
            <w:hideMark/>
          </w:tcPr>
          <w:p w14:paraId="21B56489" w14:textId="77777777" w:rsidR="00CC659A" w:rsidRPr="00CC659A" w:rsidRDefault="00CC659A" w:rsidP="00CC659A">
            <w:pPr>
              <w:spacing w:after="0" w:line="240" w:lineRule="auto"/>
              <w:ind w:left="-108"/>
              <w:jc w:val="center"/>
              <w:rPr>
                <w:rFonts w:eastAsia="Times New Roman"/>
                <w:color w:val="000000"/>
                <w:sz w:val="16"/>
                <w:szCs w:val="16"/>
                <w:lang w:val="es-ES"/>
              </w:rPr>
            </w:pPr>
            <w:r w:rsidRPr="00CC659A">
              <w:rPr>
                <w:rFonts w:eastAsia="Times New Roman"/>
                <w:color w:val="000000"/>
                <w:sz w:val="16"/>
                <w:szCs w:val="16"/>
                <w:lang w:val="es-ES"/>
              </w:rPr>
              <w:t>0.002</w:t>
            </w:r>
          </w:p>
        </w:tc>
        <w:tc>
          <w:tcPr>
            <w:tcW w:w="420" w:type="pct"/>
            <w:tcBorders>
              <w:top w:val="nil"/>
              <w:left w:val="nil"/>
              <w:bottom w:val="nil"/>
              <w:right w:val="single" w:sz="8" w:space="0" w:color="808080"/>
            </w:tcBorders>
            <w:shd w:val="clear" w:color="auto" w:fill="auto"/>
            <w:vAlign w:val="center"/>
            <w:hideMark/>
          </w:tcPr>
          <w:p w14:paraId="46DEAE0A" w14:textId="77777777" w:rsidR="00CC659A" w:rsidRPr="00CC659A" w:rsidRDefault="00CC659A" w:rsidP="00CC659A">
            <w:pPr>
              <w:spacing w:after="0" w:line="240" w:lineRule="auto"/>
              <w:ind w:left="-108"/>
              <w:jc w:val="right"/>
              <w:rPr>
                <w:rFonts w:eastAsia="Times New Roman" w:cs="Arial"/>
                <w:color w:val="000000"/>
                <w:sz w:val="16"/>
                <w:szCs w:val="16"/>
                <w:lang w:val="es-ES"/>
              </w:rPr>
            </w:pPr>
            <w:r w:rsidRPr="00CC659A">
              <w:rPr>
                <w:rFonts w:eastAsia="Times New Roman" w:cs="Arial"/>
                <w:color w:val="000000"/>
                <w:sz w:val="16"/>
                <w:szCs w:val="16"/>
                <w:lang w:val="es-ES"/>
              </w:rPr>
              <w:t>0.005</w:t>
            </w:r>
          </w:p>
        </w:tc>
        <w:tc>
          <w:tcPr>
            <w:tcW w:w="444" w:type="pct"/>
            <w:tcBorders>
              <w:top w:val="nil"/>
              <w:left w:val="nil"/>
              <w:bottom w:val="nil"/>
              <w:right w:val="single" w:sz="4" w:space="0" w:color="808080"/>
            </w:tcBorders>
            <w:shd w:val="clear" w:color="auto" w:fill="auto"/>
            <w:vAlign w:val="center"/>
            <w:hideMark/>
          </w:tcPr>
          <w:p w14:paraId="67C7A067"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403 </w:t>
            </w:r>
          </w:p>
        </w:tc>
        <w:tc>
          <w:tcPr>
            <w:tcW w:w="437" w:type="pct"/>
            <w:tcBorders>
              <w:top w:val="nil"/>
              <w:left w:val="nil"/>
              <w:bottom w:val="nil"/>
              <w:right w:val="single" w:sz="8" w:space="0" w:color="808080"/>
            </w:tcBorders>
            <w:shd w:val="clear" w:color="auto" w:fill="auto"/>
            <w:vAlign w:val="center"/>
            <w:hideMark/>
          </w:tcPr>
          <w:p w14:paraId="70618966"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134 </w:t>
            </w:r>
          </w:p>
        </w:tc>
        <w:tc>
          <w:tcPr>
            <w:tcW w:w="444" w:type="pct"/>
            <w:tcBorders>
              <w:top w:val="nil"/>
              <w:left w:val="nil"/>
              <w:bottom w:val="nil"/>
              <w:right w:val="single" w:sz="4" w:space="0" w:color="808080"/>
            </w:tcBorders>
            <w:shd w:val="clear" w:color="auto" w:fill="auto"/>
            <w:vAlign w:val="center"/>
            <w:hideMark/>
          </w:tcPr>
          <w:p w14:paraId="68E1032A"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449 </w:t>
            </w:r>
          </w:p>
        </w:tc>
        <w:tc>
          <w:tcPr>
            <w:tcW w:w="437" w:type="pct"/>
            <w:tcBorders>
              <w:top w:val="nil"/>
              <w:left w:val="nil"/>
              <w:bottom w:val="nil"/>
              <w:right w:val="single" w:sz="8" w:space="0" w:color="808080"/>
            </w:tcBorders>
            <w:shd w:val="clear" w:color="auto" w:fill="auto"/>
            <w:vAlign w:val="center"/>
            <w:hideMark/>
          </w:tcPr>
          <w:p w14:paraId="1B435EDE"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150 </w:t>
            </w:r>
          </w:p>
        </w:tc>
        <w:tc>
          <w:tcPr>
            <w:tcW w:w="444" w:type="pct"/>
            <w:tcBorders>
              <w:top w:val="nil"/>
              <w:left w:val="nil"/>
              <w:bottom w:val="nil"/>
              <w:right w:val="single" w:sz="4" w:space="0" w:color="808080"/>
            </w:tcBorders>
            <w:shd w:val="clear" w:color="auto" w:fill="auto"/>
            <w:vAlign w:val="center"/>
            <w:hideMark/>
          </w:tcPr>
          <w:p w14:paraId="029B20C0"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526 </w:t>
            </w:r>
          </w:p>
        </w:tc>
        <w:tc>
          <w:tcPr>
            <w:tcW w:w="437" w:type="pct"/>
            <w:tcBorders>
              <w:top w:val="nil"/>
              <w:left w:val="nil"/>
              <w:bottom w:val="nil"/>
              <w:right w:val="single" w:sz="8" w:space="0" w:color="808080"/>
            </w:tcBorders>
            <w:shd w:val="clear" w:color="auto" w:fill="auto"/>
            <w:vAlign w:val="center"/>
            <w:hideMark/>
          </w:tcPr>
          <w:p w14:paraId="14441EC6"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175 </w:t>
            </w:r>
          </w:p>
        </w:tc>
        <w:tc>
          <w:tcPr>
            <w:tcW w:w="444" w:type="pct"/>
            <w:tcBorders>
              <w:top w:val="nil"/>
              <w:left w:val="single" w:sz="4" w:space="0" w:color="808080"/>
              <w:bottom w:val="nil"/>
              <w:right w:val="single" w:sz="8" w:space="0" w:color="808080"/>
            </w:tcBorders>
            <w:shd w:val="clear" w:color="auto" w:fill="auto"/>
            <w:vAlign w:val="center"/>
            <w:hideMark/>
          </w:tcPr>
          <w:p w14:paraId="145D4E2D"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391 </w:t>
            </w:r>
          </w:p>
        </w:tc>
      </w:tr>
      <w:tr w:rsidR="006D34EE" w:rsidRPr="00CC659A" w14:paraId="2DEBCA43" w14:textId="77777777" w:rsidTr="00477854">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6986B108" w14:textId="77777777" w:rsidR="00CC659A" w:rsidRPr="00CC659A" w:rsidRDefault="00CC659A" w:rsidP="00CC659A">
            <w:pPr>
              <w:spacing w:after="0" w:line="240" w:lineRule="auto"/>
              <w:ind w:left="-108"/>
              <w:jc w:val="right"/>
              <w:rPr>
                <w:rFonts w:eastAsia="Times New Roman"/>
                <w:color w:val="000000"/>
                <w:sz w:val="16"/>
                <w:szCs w:val="16"/>
                <w:lang w:val="es-ES"/>
              </w:rPr>
            </w:pPr>
            <w:r w:rsidRPr="00CC659A">
              <w:rPr>
                <w:rFonts w:eastAsia="Times New Roman"/>
                <w:color w:val="000000"/>
                <w:sz w:val="16"/>
                <w:szCs w:val="16"/>
                <w:lang w:val="es-ES"/>
              </w:rPr>
              <w:t>111</w:t>
            </w:r>
          </w:p>
        </w:tc>
        <w:tc>
          <w:tcPr>
            <w:tcW w:w="920" w:type="pct"/>
            <w:tcBorders>
              <w:top w:val="nil"/>
              <w:left w:val="nil"/>
              <w:bottom w:val="nil"/>
              <w:right w:val="nil"/>
            </w:tcBorders>
            <w:shd w:val="clear" w:color="auto" w:fill="auto"/>
            <w:vAlign w:val="center"/>
            <w:hideMark/>
          </w:tcPr>
          <w:p w14:paraId="6F427AC9" w14:textId="43B4C4A2" w:rsidR="00CC659A" w:rsidRPr="00CC659A" w:rsidRDefault="00D13331" w:rsidP="00CC659A">
            <w:pPr>
              <w:spacing w:after="0" w:line="240" w:lineRule="auto"/>
              <w:ind w:left="-108"/>
              <w:rPr>
                <w:rFonts w:eastAsia="Times New Roman"/>
                <w:color w:val="000000"/>
                <w:sz w:val="16"/>
                <w:szCs w:val="16"/>
                <w:lang w:val="es-ES"/>
              </w:rPr>
            </w:pPr>
            <w:r>
              <w:rPr>
                <w:rFonts w:eastAsia="Times New Roman"/>
                <w:color w:val="000000"/>
                <w:sz w:val="16"/>
                <w:szCs w:val="16"/>
                <w:lang w:val="es-ES"/>
              </w:rPr>
              <w:t>Eslovaquia</w:t>
            </w:r>
          </w:p>
        </w:tc>
        <w:tc>
          <w:tcPr>
            <w:tcW w:w="404" w:type="pct"/>
            <w:tcBorders>
              <w:top w:val="nil"/>
              <w:left w:val="nil"/>
              <w:bottom w:val="nil"/>
              <w:right w:val="nil"/>
            </w:tcBorders>
            <w:shd w:val="clear" w:color="auto" w:fill="auto"/>
            <w:vAlign w:val="center"/>
            <w:hideMark/>
          </w:tcPr>
          <w:p w14:paraId="646D6D06" w14:textId="77777777" w:rsidR="00CC659A" w:rsidRPr="00CC659A" w:rsidRDefault="00CC659A" w:rsidP="00CC659A">
            <w:pPr>
              <w:spacing w:after="0" w:line="240" w:lineRule="auto"/>
              <w:ind w:left="-108"/>
              <w:jc w:val="center"/>
              <w:rPr>
                <w:rFonts w:eastAsia="Times New Roman"/>
                <w:color w:val="000000"/>
                <w:sz w:val="16"/>
                <w:szCs w:val="16"/>
                <w:lang w:val="es-ES"/>
              </w:rPr>
            </w:pPr>
            <w:r w:rsidRPr="00CC659A">
              <w:rPr>
                <w:rFonts w:eastAsia="Times New Roman"/>
                <w:color w:val="000000"/>
                <w:sz w:val="16"/>
                <w:szCs w:val="16"/>
                <w:lang w:val="es-ES"/>
              </w:rPr>
              <w:t>0.155</w:t>
            </w:r>
          </w:p>
        </w:tc>
        <w:tc>
          <w:tcPr>
            <w:tcW w:w="420" w:type="pct"/>
            <w:tcBorders>
              <w:top w:val="nil"/>
              <w:left w:val="nil"/>
              <w:bottom w:val="nil"/>
              <w:right w:val="single" w:sz="8" w:space="0" w:color="808080"/>
            </w:tcBorders>
            <w:shd w:val="clear" w:color="auto" w:fill="auto"/>
            <w:vAlign w:val="center"/>
            <w:hideMark/>
          </w:tcPr>
          <w:p w14:paraId="54FC70B2" w14:textId="77777777" w:rsidR="00CC659A" w:rsidRPr="00CC659A" w:rsidRDefault="00CC659A" w:rsidP="00CC659A">
            <w:pPr>
              <w:spacing w:after="0" w:line="240" w:lineRule="auto"/>
              <w:ind w:left="-108"/>
              <w:jc w:val="right"/>
              <w:rPr>
                <w:rFonts w:eastAsia="Times New Roman" w:cs="Arial"/>
                <w:color w:val="000000"/>
                <w:sz w:val="16"/>
                <w:szCs w:val="16"/>
                <w:lang w:val="es-ES"/>
              </w:rPr>
            </w:pPr>
            <w:r w:rsidRPr="00CC659A">
              <w:rPr>
                <w:rFonts w:eastAsia="Times New Roman" w:cs="Arial"/>
                <w:color w:val="000000"/>
                <w:sz w:val="16"/>
                <w:szCs w:val="16"/>
                <w:lang w:val="es-ES"/>
              </w:rPr>
              <w:t>0.357</w:t>
            </w:r>
          </w:p>
        </w:tc>
        <w:tc>
          <w:tcPr>
            <w:tcW w:w="444" w:type="pct"/>
            <w:tcBorders>
              <w:top w:val="nil"/>
              <w:left w:val="nil"/>
              <w:bottom w:val="nil"/>
              <w:right w:val="single" w:sz="4" w:space="0" w:color="808080"/>
            </w:tcBorders>
            <w:shd w:val="clear" w:color="auto" w:fill="auto"/>
            <w:vAlign w:val="center"/>
            <w:hideMark/>
          </w:tcPr>
          <w:p w14:paraId="737C3D9E"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31 217 </w:t>
            </w:r>
          </w:p>
        </w:tc>
        <w:tc>
          <w:tcPr>
            <w:tcW w:w="437" w:type="pct"/>
            <w:tcBorders>
              <w:top w:val="nil"/>
              <w:left w:val="nil"/>
              <w:bottom w:val="nil"/>
              <w:right w:val="single" w:sz="8" w:space="0" w:color="808080"/>
            </w:tcBorders>
            <w:shd w:val="clear" w:color="auto" w:fill="auto"/>
            <w:vAlign w:val="center"/>
            <w:hideMark/>
          </w:tcPr>
          <w:p w14:paraId="0054D841"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10 406 </w:t>
            </w:r>
          </w:p>
        </w:tc>
        <w:tc>
          <w:tcPr>
            <w:tcW w:w="444" w:type="pct"/>
            <w:tcBorders>
              <w:top w:val="nil"/>
              <w:left w:val="nil"/>
              <w:bottom w:val="nil"/>
              <w:right w:val="single" w:sz="4" w:space="0" w:color="808080"/>
            </w:tcBorders>
            <w:shd w:val="clear" w:color="auto" w:fill="auto"/>
            <w:vAlign w:val="center"/>
            <w:hideMark/>
          </w:tcPr>
          <w:p w14:paraId="51F8E0D9"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34 824 </w:t>
            </w:r>
          </w:p>
        </w:tc>
        <w:tc>
          <w:tcPr>
            <w:tcW w:w="437" w:type="pct"/>
            <w:tcBorders>
              <w:top w:val="nil"/>
              <w:left w:val="nil"/>
              <w:bottom w:val="nil"/>
              <w:right w:val="single" w:sz="8" w:space="0" w:color="808080"/>
            </w:tcBorders>
            <w:shd w:val="clear" w:color="auto" w:fill="auto"/>
            <w:vAlign w:val="center"/>
            <w:hideMark/>
          </w:tcPr>
          <w:p w14:paraId="53D6B741"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11 608 </w:t>
            </w:r>
          </w:p>
        </w:tc>
        <w:tc>
          <w:tcPr>
            <w:tcW w:w="444" w:type="pct"/>
            <w:tcBorders>
              <w:top w:val="nil"/>
              <w:left w:val="nil"/>
              <w:bottom w:val="nil"/>
              <w:right w:val="single" w:sz="4" w:space="0" w:color="808080"/>
            </w:tcBorders>
            <w:shd w:val="clear" w:color="auto" w:fill="auto"/>
            <w:vAlign w:val="center"/>
            <w:hideMark/>
          </w:tcPr>
          <w:p w14:paraId="6F411958"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40 775 </w:t>
            </w:r>
          </w:p>
        </w:tc>
        <w:tc>
          <w:tcPr>
            <w:tcW w:w="437" w:type="pct"/>
            <w:tcBorders>
              <w:top w:val="nil"/>
              <w:left w:val="nil"/>
              <w:bottom w:val="nil"/>
              <w:right w:val="single" w:sz="8" w:space="0" w:color="808080"/>
            </w:tcBorders>
            <w:shd w:val="clear" w:color="auto" w:fill="auto"/>
            <w:vAlign w:val="center"/>
            <w:hideMark/>
          </w:tcPr>
          <w:p w14:paraId="2F7631EA"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13 592 </w:t>
            </w:r>
          </w:p>
        </w:tc>
        <w:tc>
          <w:tcPr>
            <w:tcW w:w="444" w:type="pct"/>
            <w:tcBorders>
              <w:top w:val="nil"/>
              <w:left w:val="single" w:sz="4" w:space="0" w:color="808080"/>
              <w:bottom w:val="nil"/>
              <w:right w:val="single" w:sz="8" w:space="0" w:color="808080"/>
            </w:tcBorders>
            <w:shd w:val="clear" w:color="auto" w:fill="auto"/>
            <w:vAlign w:val="center"/>
            <w:hideMark/>
          </w:tcPr>
          <w:p w14:paraId="6465BC0A"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29 982 </w:t>
            </w:r>
          </w:p>
        </w:tc>
      </w:tr>
      <w:tr w:rsidR="006D34EE" w:rsidRPr="00CC659A" w14:paraId="6BDAEFB4" w14:textId="77777777" w:rsidTr="00477854">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49BB4521" w14:textId="77777777" w:rsidR="00CC659A" w:rsidRPr="00CC659A" w:rsidRDefault="00CC659A" w:rsidP="00CC659A">
            <w:pPr>
              <w:spacing w:after="0" w:line="240" w:lineRule="auto"/>
              <w:ind w:left="-108"/>
              <w:jc w:val="right"/>
              <w:rPr>
                <w:rFonts w:eastAsia="Times New Roman"/>
                <w:color w:val="000000"/>
                <w:sz w:val="16"/>
                <w:szCs w:val="16"/>
                <w:lang w:val="es-ES"/>
              </w:rPr>
            </w:pPr>
            <w:r w:rsidRPr="00CC659A">
              <w:rPr>
                <w:rFonts w:eastAsia="Times New Roman"/>
                <w:color w:val="000000"/>
                <w:sz w:val="16"/>
                <w:szCs w:val="16"/>
                <w:lang w:val="es-ES"/>
              </w:rPr>
              <w:t>112</w:t>
            </w:r>
          </w:p>
        </w:tc>
        <w:tc>
          <w:tcPr>
            <w:tcW w:w="920" w:type="pct"/>
            <w:tcBorders>
              <w:top w:val="nil"/>
              <w:left w:val="nil"/>
              <w:bottom w:val="nil"/>
              <w:right w:val="nil"/>
            </w:tcBorders>
            <w:shd w:val="clear" w:color="auto" w:fill="auto"/>
            <w:vAlign w:val="center"/>
            <w:hideMark/>
          </w:tcPr>
          <w:p w14:paraId="3057E632" w14:textId="1E5D760D" w:rsidR="00CC659A" w:rsidRPr="00CC659A" w:rsidRDefault="00D13331"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Eslovenia</w:t>
            </w:r>
          </w:p>
        </w:tc>
        <w:tc>
          <w:tcPr>
            <w:tcW w:w="404" w:type="pct"/>
            <w:tcBorders>
              <w:top w:val="nil"/>
              <w:left w:val="nil"/>
              <w:bottom w:val="nil"/>
              <w:right w:val="nil"/>
            </w:tcBorders>
            <w:shd w:val="clear" w:color="auto" w:fill="auto"/>
            <w:vAlign w:val="center"/>
            <w:hideMark/>
          </w:tcPr>
          <w:p w14:paraId="3726D286" w14:textId="77777777" w:rsidR="00CC659A" w:rsidRPr="00CC659A" w:rsidRDefault="00CC659A" w:rsidP="00CC659A">
            <w:pPr>
              <w:spacing w:after="0" w:line="240" w:lineRule="auto"/>
              <w:ind w:left="-108"/>
              <w:jc w:val="center"/>
              <w:rPr>
                <w:rFonts w:eastAsia="Times New Roman"/>
                <w:color w:val="000000"/>
                <w:sz w:val="16"/>
                <w:szCs w:val="16"/>
                <w:lang w:val="es-ES"/>
              </w:rPr>
            </w:pPr>
            <w:r w:rsidRPr="00CC659A">
              <w:rPr>
                <w:rFonts w:eastAsia="Times New Roman"/>
                <w:color w:val="000000"/>
                <w:sz w:val="16"/>
                <w:szCs w:val="16"/>
                <w:lang w:val="es-ES"/>
              </w:rPr>
              <w:t>0.079</w:t>
            </w:r>
          </w:p>
        </w:tc>
        <w:tc>
          <w:tcPr>
            <w:tcW w:w="420" w:type="pct"/>
            <w:tcBorders>
              <w:top w:val="nil"/>
              <w:left w:val="nil"/>
              <w:bottom w:val="nil"/>
              <w:right w:val="single" w:sz="8" w:space="0" w:color="808080"/>
            </w:tcBorders>
            <w:shd w:val="clear" w:color="auto" w:fill="auto"/>
            <w:vAlign w:val="center"/>
            <w:hideMark/>
          </w:tcPr>
          <w:p w14:paraId="676727A8" w14:textId="77777777" w:rsidR="00CC659A" w:rsidRPr="00CC659A" w:rsidRDefault="00CC659A" w:rsidP="00CC659A">
            <w:pPr>
              <w:spacing w:after="0" w:line="240" w:lineRule="auto"/>
              <w:ind w:left="-108"/>
              <w:jc w:val="right"/>
              <w:rPr>
                <w:rFonts w:eastAsia="Times New Roman" w:cs="Arial"/>
                <w:color w:val="000000"/>
                <w:sz w:val="16"/>
                <w:szCs w:val="16"/>
                <w:lang w:val="es-ES"/>
              </w:rPr>
            </w:pPr>
            <w:r w:rsidRPr="00CC659A">
              <w:rPr>
                <w:rFonts w:eastAsia="Times New Roman" w:cs="Arial"/>
                <w:color w:val="000000"/>
                <w:sz w:val="16"/>
                <w:szCs w:val="16"/>
                <w:lang w:val="es-ES"/>
              </w:rPr>
              <w:t>0.182</w:t>
            </w:r>
          </w:p>
        </w:tc>
        <w:tc>
          <w:tcPr>
            <w:tcW w:w="444" w:type="pct"/>
            <w:tcBorders>
              <w:top w:val="nil"/>
              <w:left w:val="nil"/>
              <w:bottom w:val="nil"/>
              <w:right w:val="single" w:sz="4" w:space="0" w:color="808080"/>
            </w:tcBorders>
            <w:shd w:val="clear" w:color="auto" w:fill="auto"/>
            <w:vAlign w:val="center"/>
            <w:hideMark/>
          </w:tcPr>
          <w:p w14:paraId="7B695515"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15 911 </w:t>
            </w:r>
          </w:p>
        </w:tc>
        <w:tc>
          <w:tcPr>
            <w:tcW w:w="437" w:type="pct"/>
            <w:tcBorders>
              <w:top w:val="nil"/>
              <w:left w:val="nil"/>
              <w:bottom w:val="nil"/>
              <w:right w:val="single" w:sz="8" w:space="0" w:color="808080"/>
            </w:tcBorders>
            <w:shd w:val="clear" w:color="auto" w:fill="auto"/>
            <w:vAlign w:val="center"/>
            <w:hideMark/>
          </w:tcPr>
          <w:p w14:paraId="12F20CE7"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5 304 </w:t>
            </w:r>
          </w:p>
        </w:tc>
        <w:tc>
          <w:tcPr>
            <w:tcW w:w="444" w:type="pct"/>
            <w:tcBorders>
              <w:top w:val="nil"/>
              <w:left w:val="nil"/>
              <w:bottom w:val="nil"/>
              <w:right w:val="single" w:sz="4" w:space="0" w:color="808080"/>
            </w:tcBorders>
            <w:shd w:val="clear" w:color="auto" w:fill="auto"/>
            <w:vAlign w:val="center"/>
            <w:hideMark/>
          </w:tcPr>
          <w:p w14:paraId="6AE5C093"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17 749 </w:t>
            </w:r>
          </w:p>
        </w:tc>
        <w:tc>
          <w:tcPr>
            <w:tcW w:w="437" w:type="pct"/>
            <w:tcBorders>
              <w:top w:val="nil"/>
              <w:left w:val="nil"/>
              <w:bottom w:val="nil"/>
              <w:right w:val="single" w:sz="8" w:space="0" w:color="808080"/>
            </w:tcBorders>
            <w:shd w:val="clear" w:color="auto" w:fill="auto"/>
            <w:vAlign w:val="center"/>
            <w:hideMark/>
          </w:tcPr>
          <w:p w14:paraId="0B19AC42"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5 916 </w:t>
            </w:r>
          </w:p>
        </w:tc>
        <w:tc>
          <w:tcPr>
            <w:tcW w:w="444" w:type="pct"/>
            <w:tcBorders>
              <w:top w:val="nil"/>
              <w:left w:val="nil"/>
              <w:bottom w:val="nil"/>
              <w:right w:val="single" w:sz="4" w:space="0" w:color="808080"/>
            </w:tcBorders>
            <w:shd w:val="clear" w:color="auto" w:fill="auto"/>
            <w:vAlign w:val="center"/>
            <w:hideMark/>
          </w:tcPr>
          <w:p w14:paraId="72F22655"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20 782 </w:t>
            </w:r>
          </w:p>
        </w:tc>
        <w:tc>
          <w:tcPr>
            <w:tcW w:w="437" w:type="pct"/>
            <w:tcBorders>
              <w:top w:val="nil"/>
              <w:left w:val="nil"/>
              <w:bottom w:val="nil"/>
              <w:right w:val="single" w:sz="8" w:space="0" w:color="808080"/>
            </w:tcBorders>
            <w:shd w:val="clear" w:color="auto" w:fill="auto"/>
            <w:vAlign w:val="center"/>
            <w:hideMark/>
          </w:tcPr>
          <w:p w14:paraId="4EB57A39"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6 927 </w:t>
            </w:r>
          </w:p>
        </w:tc>
        <w:tc>
          <w:tcPr>
            <w:tcW w:w="444" w:type="pct"/>
            <w:tcBorders>
              <w:top w:val="nil"/>
              <w:left w:val="single" w:sz="4" w:space="0" w:color="808080"/>
              <w:bottom w:val="nil"/>
              <w:right w:val="single" w:sz="8" w:space="0" w:color="808080"/>
            </w:tcBorders>
            <w:shd w:val="clear" w:color="auto" w:fill="auto"/>
            <w:vAlign w:val="center"/>
            <w:hideMark/>
          </w:tcPr>
          <w:p w14:paraId="231EB38D"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14 893 </w:t>
            </w:r>
          </w:p>
        </w:tc>
      </w:tr>
      <w:tr w:rsidR="006D34EE" w:rsidRPr="00CC659A" w14:paraId="472DC435" w14:textId="77777777" w:rsidTr="00477854">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492AB12B" w14:textId="77777777" w:rsidR="00CC659A" w:rsidRPr="00CC659A" w:rsidRDefault="00CC659A" w:rsidP="00CC659A">
            <w:pPr>
              <w:spacing w:after="0" w:line="240" w:lineRule="auto"/>
              <w:ind w:left="-108"/>
              <w:jc w:val="right"/>
              <w:rPr>
                <w:rFonts w:eastAsia="Times New Roman"/>
                <w:color w:val="000000"/>
                <w:sz w:val="16"/>
                <w:szCs w:val="16"/>
                <w:lang w:val="es-ES"/>
              </w:rPr>
            </w:pPr>
            <w:r w:rsidRPr="00CC659A">
              <w:rPr>
                <w:rFonts w:eastAsia="Times New Roman"/>
                <w:color w:val="000000"/>
                <w:sz w:val="16"/>
                <w:szCs w:val="16"/>
                <w:lang w:val="es-ES"/>
              </w:rPr>
              <w:t>113</w:t>
            </w:r>
          </w:p>
        </w:tc>
        <w:tc>
          <w:tcPr>
            <w:tcW w:w="920" w:type="pct"/>
            <w:tcBorders>
              <w:top w:val="nil"/>
              <w:left w:val="nil"/>
              <w:bottom w:val="nil"/>
              <w:right w:val="nil"/>
            </w:tcBorders>
            <w:shd w:val="clear" w:color="auto" w:fill="auto"/>
            <w:vAlign w:val="center"/>
            <w:hideMark/>
          </w:tcPr>
          <w:p w14:paraId="05DBA44D" w14:textId="008CC78B"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Somali</w:t>
            </w:r>
            <w:r w:rsidR="00D13331">
              <w:rPr>
                <w:rFonts w:eastAsia="Times New Roman"/>
                <w:color w:val="000000"/>
                <w:sz w:val="16"/>
                <w:szCs w:val="16"/>
                <w:lang w:val="es-ES"/>
              </w:rPr>
              <w:t>a</w:t>
            </w:r>
          </w:p>
        </w:tc>
        <w:tc>
          <w:tcPr>
            <w:tcW w:w="404" w:type="pct"/>
            <w:tcBorders>
              <w:top w:val="nil"/>
              <w:left w:val="nil"/>
              <w:bottom w:val="nil"/>
              <w:right w:val="nil"/>
            </w:tcBorders>
            <w:shd w:val="clear" w:color="auto" w:fill="auto"/>
            <w:vAlign w:val="center"/>
            <w:hideMark/>
          </w:tcPr>
          <w:p w14:paraId="563AE41B" w14:textId="77777777" w:rsidR="00CC659A" w:rsidRPr="00CC659A" w:rsidRDefault="00CC659A" w:rsidP="00CC659A">
            <w:pPr>
              <w:spacing w:after="0" w:line="240" w:lineRule="auto"/>
              <w:ind w:left="-108"/>
              <w:jc w:val="center"/>
              <w:rPr>
                <w:rFonts w:eastAsia="Times New Roman"/>
                <w:color w:val="000000"/>
                <w:sz w:val="16"/>
                <w:szCs w:val="16"/>
                <w:lang w:val="es-ES"/>
              </w:rPr>
            </w:pPr>
            <w:r w:rsidRPr="00CC659A">
              <w:rPr>
                <w:rFonts w:eastAsia="Times New Roman"/>
                <w:color w:val="000000"/>
                <w:sz w:val="16"/>
                <w:szCs w:val="16"/>
                <w:lang w:val="es-ES"/>
              </w:rPr>
              <w:t>0.001</w:t>
            </w:r>
          </w:p>
        </w:tc>
        <w:tc>
          <w:tcPr>
            <w:tcW w:w="420" w:type="pct"/>
            <w:tcBorders>
              <w:top w:val="nil"/>
              <w:left w:val="nil"/>
              <w:bottom w:val="nil"/>
              <w:right w:val="single" w:sz="8" w:space="0" w:color="808080"/>
            </w:tcBorders>
            <w:shd w:val="clear" w:color="auto" w:fill="auto"/>
            <w:vAlign w:val="center"/>
            <w:hideMark/>
          </w:tcPr>
          <w:p w14:paraId="2C4DBA40" w14:textId="77777777" w:rsidR="00CC659A" w:rsidRPr="00CC659A" w:rsidRDefault="00CC659A" w:rsidP="00CC659A">
            <w:pPr>
              <w:spacing w:after="0" w:line="240" w:lineRule="auto"/>
              <w:ind w:left="-108"/>
              <w:jc w:val="right"/>
              <w:rPr>
                <w:rFonts w:eastAsia="Times New Roman" w:cs="Arial"/>
                <w:color w:val="000000"/>
                <w:sz w:val="16"/>
                <w:szCs w:val="16"/>
                <w:lang w:val="es-ES"/>
              </w:rPr>
            </w:pPr>
            <w:r w:rsidRPr="00CC659A">
              <w:rPr>
                <w:rFonts w:eastAsia="Times New Roman" w:cs="Arial"/>
                <w:color w:val="000000"/>
                <w:sz w:val="16"/>
                <w:szCs w:val="16"/>
                <w:lang w:val="es-ES"/>
              </w:rPr>
              <w:t>0.002</w:t>
            </w:r>
          </w:p>
        </w:tc>
        <w:tc>
          <w:tcPr>
            <w:tcW w:w="444" w:type="pct"/>
            <w:tcBorders>
              <w:top w:val="nil"/>
              <w:left w:val="nil"/>
              <w:bottom w:val="nil"/>
              <w:right w:val="single" w:sz="4" w:space="0" w:color="808080"/>
            </w:tcBorders>
            <w:shd w:val="clear" w:color="auto" w:fill="auto"/>
            <w:vAlign w:val="center"/>
            <w:hideMark/>
          </w:tcPr>
          <w:p w14:paraId="3CEEE5F1"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201 </w:t>
            </w:r>
          </w:p>
        </w:tc>
        <w:tc>
          <w:tcPr>
            <w:tcW w:w="437" w:type="pct"/>
            <w:tcBorders>
              <w:top w:val="nil"/>
              <w:left w:val="nil"/>
              <w:bottom w:val="nil"/>
              <w:right w:val="single" w:sz="8" w:space="0" w:color="808080"/>
            </w:tcBorders>
            <w:shd w:val="clear" w:color="auto" w:fill="auto"/>
            <w:vAlign w:val="center"/>
            <w:hideMark/>
          </w:tcPr>
          <w:p w14:paraId="33F82D56"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67 </w:t>
            </w:r>
          </w:p>
        </w:tc>
        <w:tc>
          <w:tcPr>
            <w:tcW w:w="444" w:type="pct"/>
            <w:tcBorders>
              <w:top w:val="nil"/>
              <w:left w:val="nil"/>
              <w:bottom w:val="nil"/>
              <w:right w:val="single" w:sz="4" w:space="0" w:color="808080"/>
            </w:tcBorders>
            <w:shd w:val="clear" w:color="auto" w:fill="auto"/>
            <w:vAlign w:val="center"/>
            <w:hideMark/>
          </w:tcPr>
          <w:p w14:paraId="52F00D77"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225 </w:t>
            </w:r>
          </w:p>
        </w:tc>
        <w:tc>
          <w:tcPr>
            <w:tcW w:w="437" w:type="pct"/>
            <w:tcBorders>
              <w:top w:val="nil"/>
              <w:left w:val="nil"/>
              <w:bottom w:val="nil"/>
              <w:right w:val="single" w:sz="8" w:space="0" w:color="808080"/>
            </w:tcBorders>
            <w:shd w:val="clear" w:color="auto" w:fill="auto"/>
            <w:vAlign w:val="center"/>
            <w:hideMark/>
          </w:tcPr>
          <w:p w14:paraId="5E41642C"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75 </w:t>
            </w:r>
          </w:p>
        </w:tc>
        <w:tc>
          <w:tcPr>
            <w:tcW w:w="444" w:type="pct"/>
            <w:tcBorders>
              <w:top w:val="nil"/>
              <w:left w:val="nil"/>
              <w:bottom w:val="nil"/>
              <w:right w:val="single" w:sz="4" w:space="0" w:color="808080"/>
            </w:tcBorders>
            <w:shd w:val="clear" w:color="auto" w:fill="auto"/>
            <w:vAlign w:val="center"/>
            <w:hideMark/>
          </w:tcPr>
          <w:p w14:paraId="0DACD2F0"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263 </w:t>
            </w:r>
          </w:p>
        </w:tc>
        <w:tc>
          <w:tcPr>
            <w:tcW w:w="437" w:type="pct"/>
            <w:tcBorders>
              <w:top w:val="nil"/>
              <w:left w:val="nil"/>
              <w:bottom w:val="nil"/>
              <w:right w:val="single" w:sz="8" w:space="0" w:color="808080"/>
            </w:tcBorders>
            <w:shd w:val="clear" w:color="auto" w:fill="auto"/>
            <w:vAlign w:val="center"/>
            <w:hideMark/>
          </w:tcPr>
          <w:p w14:paraId="3A250AB1"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88 </w:t>
            </w:r>
          </w:p>
        </w:tc>
        <w:tc>
          <w:tcPr>
            <w:tcW w:w="444" w:type="pct"/>
            <w:tcBorders>
              <w:top w:val="nil"/>
              <w:left w:val="single" w:sz="4" w:space="0" w:color="808080"/>
              <w:bottom w:val="nil"/>
              <w:right w:val="single" w:sz="8" w:space="0" w:color="808080"/>
            </w:tcBorders>
            <w:shd w:val="clear" w:color="auto" w:fill="auto"/>
            <w:vAlign w:val="center"/>
            <w:hideMark/>
          </w:tcPr>
          <w:p w14:paraId="3A180969"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197 </w:t>
            </w:r>
          </w:p>
        </w:tc>
      </w:tr>
      <w:tr w:rsidR="006D34EE" w:rsidRPr="00CC659A" w14:paraId="779233B3" w14:textId="77777777" w:rsidTr="00477854">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41CCEE89" w14:textId="77777777" w:rsidR="00CC659A" w:rsidRPr="00CC659A" w:rsidRDefault="00CC659A" w:rsidP="00CC659A">
            <w:pPr>
              <w:spacing w:after="0" w:line="240" w:lineRule="auto"/>
              <w:ind w:left="-108"/>
              <w:jc w:val="right"/>
              <w:rPr>
                <w:rFonts w:eastAsia="Times New Roman"/>
                <w:color w:val="000000"/>
                <w:sz w:val="16"/>
                <w:szCs w:val="16"/>
                <w:lang w:val="es-ES"/>
              </w:rPr>
            </w:pPr>
            <w:r w:rsidRPr="00CC659A">
              <w:rPr>
                <w:rFonts w:eastAsia="Times New Roman"/>
                <w:color w:val="000000"/>
                <w:sz w:val="16"/>
                <w:szCs w:val="16"/>
                <w:lang w:val="es-ES"/>
              </w:rPr>
              <w:t>114</w:t>
            </w:r>
          </w:p>
        </w:tc>
        <w:tc>
          <w:tcPr>
            <w:tcW w:w="920" w:type="pct"/>
            <w:tcBorders>
              <w:top w:val="nil"/>
              <w:left w:val="nil"/>
              <w:bottom w:val="nil"/>
              <w:right w:val="nil"/>
            </w:tcBorders>
            <w:shd w:val="clear" w:color="auto" w:fill="auto"/>
            <w:vAlign w:val="center"/>
            <w:hideMark/>
          </w:tcPr>
          <w:p w14:paraId="6DE7C9F8" w14:textId="50690CD4" w:rsidR="00CC659A" w:rsidRPr="00CC659A" w:rsidRDefault="00545A89" w:rsidP="00CC659A">
            <w:pPr>
              <w:spacing w:after="0" w:line="240" w:lineRule="auto"/>
              <w:ind w:left="-108"/>
              <w:rPr>
                <w:rFonts w:eastAsia="Times New Roman"/>
                <w:color w:val="000000"/>
                <w:sz w:val="16"/>
                <w:szCs w:val="16"/>
                <w:lang w:val="es-ES"/>
              </w:rPr>
            </w:pPr>
            <w:r>
              <w:rPr>
                <w:rFonts w:eastAsia="Times New Roman"/>
                <w:color w:val="000000"/>
                <w:sz w:val="16"/>
                <w:szCs w:val="16"/>
                <w:lang w:val="es-ES"/>
              </w:rPr>
              <w:t>Sudáfrica</w:t>
            </w:r>
          </w:p>
        </w:tc>
        <w:tc>
          <w:tcPr>
            <w:tcW w:w="404" w:type="pct"/>
            <w:tcBorders>
              <w:top w:val="nil"/>
              <w:left w:val="nil"/>
              <w:bottom w:val="nil"/>
              <w:right w:val="nil"/>
            </w:tcBorders>
            <w:shd w:val="clear" w:color="auto" w:fill="auto"/>
            <w:vAlign w:val="center"/>
            <w:hideMark/>
          </w:tcPr>
          <w:p w14:paraId="703C24E1" w14:textId="77777777" w:rsidR="00CC659A" w:rsidRPr="00CC659A" w:rsidRDefault="00CC659A" w:rsidP="00CC659A">
            <w:pPr>
              <w:spacing w:after="0" w:line="240" w:lineRule="auto"/>
              <w:ind w:left="-108"/>
              <w:jc w:val="center"/>
              <w:rPr>
                <w:rFonts w:eastAsia="Times New Roman"/>
                <w:color w:val="000000"/>
                <w:sz w:val="16"/>
                <w:szCs w:val="16"/>
                <w:lang w:val="es-ES"/>
              </w:rPr>
            </w:pPr>
            <w:r w:rsidRPr="00CC659A">
              <w:rPr>
                <w:rFonts w:eastAsia="Times New Roman"/>
                <w:color w:val="000000"/>
                <w:sz w:val="16"/>
                <w:szCs w:val="16"/>
                <w:lang w:val="es-ES"/>
              </w:rPr>
              <w:t>0.244</w:t>
            </w:r>
          </w:p>
        </w:tc>
        <w:tc>
          <w:tcPr>
            <w:tcW w:w="420" w:type="pct"/>
            <w:tcBorders>
              <w:top w:val="nil"/>
              <w:left w:val="nil"/>
              <w:bottom w:val="nil"/>
              <w:right w:val="single" w:sz="8" w:space="0" w:color="808080"/>
            </w:tcBorders>
            <w:shd w:val="clear" w:color="auto" w:fill="auto"/>
            <w:vAlign w:val="center"/>
            <w:hideMark/>
          </w:tcPr>
          <w:p w14:paraId="4E5FBA42" w14:textId="77777777" w:rsidR="00CC659A" w:rsidRPr="00CC659A" w:rsidRDefault="00CC659A" w:rsidP="00CC659A">
            <w:pPr>
              <w:spacing w:after="0" w:line="240" w:lineRule="auto"/>
              <w:ind w:left="-108"/>
              <w:jc w:val="right"/>
              <w:rPr>
                <w:rFonts w:eastAsia="Times New Roman" w:cs="Arial"/>
                <w:color w:val="000000"/>
                <w:sz w:val="16"/>
                <w:szCs w:val="16"/>
                <w:lang w:val="es-ES"/>
              </w:rPr>
            </w:pPr>
            <w:r w:rsidRPr="00CC659A">
              <w:rPr>
                <w:rFonts w:eastAsia="Times New Roman" w:cs="Arial"/>
                <w:color w:val="000000"/>
                <w:sz w:val="16"/>
                <w:szCs w:val="16"/>
                <w:lang w:val="es-ES"/>
              </w:rPr>
              <w:t>0.562</w:t>
            </w:r>
          </w:p>
        </w:tc>
        <w:tc>
          <w:tcPr>
            <w:tcW w:w="444" w:type="pct"/>
            <w:tcBorders>
              <w:top w:val="nil"/>
              <w:left w:val="nil"/>
              <w:bottom w:val="nil"/>
              <w:right w:val="single" w:sz="4" w:space="0" w:color="808080"/>
            </w:tcBorders>
            <w:shd w:val="clear" w:color="auto" w:fill="auto"/>
            <w:vAlign w:val="center"/>
            <w:hideMark/>
          </w:tcPr>
          <w:p w14:paraId="49794CD1"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49 142 </w:t>
            </w:r>
          </w:p>
        </w:tc>
        <w:tc>
          <w:tcPr>
            <w:tcW w:w="437" w:type="pct"/>
            <w:tcBorders>
              <w:top w:val="nil"/>
              <w:left w:val="nil"/>
              <w:bottom w:val="nil"/>
              <w:right w:val="single" w:sz="8" w:space="0" w:color="808080"/>
            </w:tcBorders>
            <w:shd w:val="clear" w:color="auto" w:fill="auto"/>
            <w:vAlign w:val="center"/>
            <w:hideMark/>
          </w:tcPr>
          <w:p w14:paraId="4D84DBC5"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16 381 </w:t>
            </w:r>
          </w:p>
        </w:tc>
        <w:tc>
          <w:tcPr>
            <w:tcW w:w="444" w:type="pct"/>
            <w:tcBorders>
              <w:top w:val="nil"/>
              <w:left w:val="nil"/>
              <w:bottom w:val="nil"/>
              <w:right w:val="single" w:sz="4" w:space="0" w:color="808080"/>
            </w:tcBorders>
            <w:shd w:val="clear" w:color="auto" w:fill="auto"/>
            <w:vAlign w:val="center"/>
            <w:hideMark/>
          </w:tcPr>
          <w:p w14:paraId="7CEFF957"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54 820 </w:t>
            </w:r>
          </w:p>
        </w:tc>
        <w:tc>
          <w:tcPr>
            <w:tcW w:w="437" w:type="pct"/>
            <w:tcBorders>
              <w:top w:val="nil"/>
              <w:left w:val="nil"/>
              <w:bottom w:val="nil"/>
              <w:right w:val="single" w:sz="8" w:space="0" w:color="808080"/>
            </w:tcBorders>
            <w:shd w:val="clear" w:color="auto" w:fill="auto"/>
            <w:vAlign w:val="center"/>
            <w:hideMark/>
          </w:tcPr>
          <w:p w14:paraId="1D3D8A93"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18 273 </w:t>
            </w:r>
          </w:p>
        </w:tc>
        <w:tc>
          <w:tcPr>
            <w:tcW w:w="444" w:type="pct"/>
            <w:tcBorders>
              <w:top w:val="nil"/>
              <w:left w:val="nil"/>
              <w:bottom w:val="nil"/>
              <w:right w:val="single" w:sz="4" w:space="0" w:color="808080"/>
            </w:tcBorders>
            <w:shd w:val="clear" w:color="auto" w:fill="auto"/>
            <w:vAlign w:val="center"/>
            <w:hideMark/>
          </w:tcPr>
          <w:p w14:paraId="5CF9E891"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64 188 </w:t>
            </w:r>
          </w:p>
        </w:tc>
        <w:tc>
          <w:tcPr>
            <w:tcW w:w="437" w:type="pct"/>
            <w:tcBorders>
              <w:top w:val="nil"/>
              <w:left w:val="nil"/>
              <w:bottom w:val="nil"/>
              <w:right w:val="single" w:sz="8" w:space="0" w:color="808080"/>
            </w:tcBorders>
            <w:shd w:val="clear" w:color="auto" w:fill="auto"/>
            <w:vAlign w:val="center"/>
            <w:hideMark/>
          </w:tcPr>
          <w:p w14:paraId="7A5BE13B"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21 396 </w:t>
            </w:r>
          </w:p>
        </w:tc>
        <w:tc>
          <w:tcPr>
            <w:tcW w:w="444" w:type="pct"/>
            <w:tcBorders>
              <w:top w:val="nil"/>
              <w:left w:val="single" w:sz="4" w:space="0" w:color="808080"/>
              <w:bottom w:val="nil"/>
              <w:right w:val="single" w:sz="8" w:space="0" w:color="808080"/>
            </w:tcBorders>
            <w:shd w:val="clear" w:color="auto" w:fill="auto"/>
            <w:vAlign w:val="center"/>
            <w:hideMark/>
          </w:tcPr>
          <w:p w14:paraId="31DC9D7B"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53 301 </w:t>
            </w:r>
          </w:p>
        </w:tc>
      </w:tr>
      <w:tr w:rsidR="006D34EE" w:rsidRPr="00CC659A" w14:paraId="626089B4" w14:textId="77777777" w:rsidTr="00477854">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3ED646D3" w14:textId="77777777" w:rsidR="00CC659A" w:rsidRPr="00CC659A" w:rsidRDefault="00CC659A" w:rsidP="00CC659A">
            <w:pPr>
              <w:spacing w:after="0" w:line="240" w:lineRule="auto"/>
              <w:ind w:left="-108"/>
              <w:jc w:val="right"/>
              <w:rPr>
                <w:rFonts w:eastAsia="Times New Roman"/>
                <w:color w:val="000000"/>
                <w:sz w:val="16"/>
                <w:szCs w:val="16"/>
                <w:lang w:val="es-ES"/>
              </w:rPr>
            </w:pPr>
            <w:r w:rsidRPr="00CC659A">
              <w:rPr>
                <w:rFonts w:eastAsia="Times New Roman"/>
                <w:color w:val="000000"/>
                <w:sz w:val="16"/>
                <w:szCs w:val="16"/>
                <w:lang w:val="es-ES"/>
              </w:rPr>
              <w:t>115</w:t>
            </w:r>
          </w:p>
        </w:tc>
        <w:tc>
          <w:tcPr>
            <w:tcW w:w="920" w:type="pct"/>
            <w:tcBorders>
              <w:top w:val="nil"/>
              <w:left w:val="nil"/>
              <w:bottom w:val="nil"/>
              <w:right w:val="nil"/>
            </w:tcBorders>
            <w:shd w:val="clear" w:color="auto" w:fill="auto"/>
            <w:vAlign w:val="center"/>
            <w:hideMark/>
          </w:tcPr>
          <w:p w14:paraId="3D67DC9A" w14:textId="4049DCEB" w:rsidR="00CC659A" w:rsidRPr="00CC659A" w:rsidRDefault="00545A89"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España</w:t>
            </w:r>
          </w:p>
        </w:tc>
        <w:tc>
          <w:tcPr>
            <w:tcW w:w="404" w:type="pct"/>
            <w:tcBorders>
              <w:top w:val="nil"/>
              <w:left w:val="nil"/>
              <w:bottom w:val="nil"/>
              <w:right w:val="nil"/>
            </w:tcBorders>
            <w:shd w:val="clear" w:color="auto" w:fill="auto"/>
            <w:vAlign w:val="center"/>
            <w:hideMark/>
          </w:tcPr>
          <w:p w14:paraId="5486D284" w14:textId="77777777" w:rsidR="00CC659A" w:rsidRPr="00CC659A" w:rsidRDefault="00CC659A" w:rsidP="00CC659A">
            <w:pPr>
              <w:spacing w:after="0" w:line="240" w:lineRule="auto"/>
              <w:ind w:left="-108"/>
              <w:jc w:val="center"/>
              <w:rPr>
                <w:rFonts w:eastAsia="Times New Roman"/>
                <w:color w:val="000000"/>
                <w:sz w:val="16"/>
                <w:szCs w:val="16"/>
                <w:lang w:val="es-ES"/>
              </w:rPr>
            </w:pPr>
            <w:r w:rsidRPr="00CC659A">
              <w:rPr>
                <w:rFonts w:eastAsia="Times New Roman"/>
                <w:color w:val="000000"/>
                <w:sz w:val="16"/>
                <w:szCs w:val="16"/>
                <w:lang w:val="es-ES"/>
              </w:rPr>
              <w:t>2.134</w:t>
            </w:r>
          </w:p>
        </w:tc>
        <w:tc>
          <w:tcPr>
            <w:tcW w:w="420" w:type="pct"/>
            <w:tcBorders>
              <w:top w:val="nil"/>
              <w:left w:val="nil"/>
              <w:bottom w:val="nil"/>
              <w:right w:val="single" w:sz="8" w:space="0" w:color="808080"/>
            </w:tcBorders>
            <w:shd w:val="clear" w:color="auto" w:fill="auto"/>
            <w:vAlign w:val="center"/>
            <w:hideMark/>
          </w:tcPr>
          <w:p w14:paraId="5346F23C" w14:textId="77777777" w:rsidR="00CC659A" w:rsidRPr="00CC659A" w:rsidRDefault="00CC659A" w:rsidP="00CC659A">
            <w:pPr>
              <w:spacing w:after="0" w:line="240" w:lineRule="auto"/>
              <w:ind w:left="-108"/>
              <w:jc w:val="right"/>
              <w:rPr>
                <w:rFonts w:eastAsia="Times New Roman" w:cs="Arial"/>
                <w:color w:val="000000"/>
                <w:sz w:val="16"/>
                <w:szCs w:val="16"/>
                <w:lang w:val="es-ES"/>
              </w:rPr>
            </w:pPr>
            <w:r w:rsidRPr="00CC659A">
              <w:rPr>
                <w:rFonts w:eastAsia="Times New Roman" w:cs="Arial"/>
                <w:color w:val="000000"/>
                <w:sz w:val="16"/>
                <w:szCs w:val="16"/>
                <w:lang w:val="es-ES"/>
              </w:rPr>
              <w:t>4.911</w:t>
            </w:r>
          </w:p>
        </w:tc>
        <w:tc>
          <w:tcPr>
            <w:tcW w:w="444" w:type="pct"/>
            <w:tcBorders>
              <w:top w:val="nil"/>
              <w:left w:val="nil"/>
              <w:bottom w:val="nil"/>
              <w:right w:val="single" w:sz="4" w:space="0" w:color="808080"/>
            </w:tcBorders>
            <w:shd w:val="clear" w:color="auto" w:fill="auto"/>
            <w:vAlign w:val="center"/>
            <w:hideMark/>
          </w:tcPr>
          <w:p w14:paraId="63C7D14B"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429 790 </w:t>
            </w:r>
          </w:p>
        </w:tc>
        <w:tc>
          <w:tcPr>
            <w:tcW w:w="437" w:type="pct"/>
            <w:tcBorders>
              <w:top w:val="nil"/>
              <w:left w:val="nil"/>
              <w:bottom w:val="nil"/>
              <w:right w:val="single" w:sz="8" w:space="0" w:color="808080"/>
            </w:tcBorders>
            <w:shd w:val="clear" w:color="auto" w:fill="auto"/>
            <w:vAlign w:val="center"/>
            <w:hideMark/>
          </w:tcPr>
          <w:p w14:paraId="03B520DD"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143 263 </w:t>
            </w:r>
          </w:p>
        </w:tc>
        <w:tc>
          <w:tcPr>
            <w:tcW w:w="444" w:type="pct"/>
            <w:tcBorders>
              <w:top w:val="nil"/>
              <w:left w:val="nil"/>
              <w:bottom w:val="nil"/>
              <w:right w:val="single" w:sz="4" w:space="0" w:color="808080"/>
            </w:tcBorders>
            <w:shd w:val="clear" w:color="auto" w:fill="auto"/>
            <w:vAlign w:val="center"/>
            <w:hideMark/>
          </w:tcPr>
          <w:p w14:paraId="56BA6000"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479 452 </w:t>
            </w:r>
          </w:p>
        </w:tc>
        <w:tc>
          <w:tcPr>
            <w:tcW w:w="437" w:type="pct"/>
            <w:tcBorders>
              <w:top w:val="nil"/>
              <w:left w:val="nil"/>
              <w:bottom w:val="nil"/>
              <w:right w:val="single" w:sz="8" w:space="0" w:color="808080"/>
            </w:tcBorders>
            <w:shd w:val="clear" w:color="auto" w:fill="auto"/>
            <w:vAlign w:val="center"/>
            <w:hideMark/>
          </w:tcPr>
          <w:p w14:paraId="4701D629"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159 817 </w:t>
            </w:r>
          </w:p>
        </w:tc>
        <w:tc>
          <w:tcPr>
            <w:tcW w:w="444" w:type="pct"/>
            <w:tcBorders>
              <w:top w:val="nil"/>
              <w:left w:val="nil"/>
              <w:bottom w:val="nil"/>
              <w:right w:val="single" w:sz="4" w:space="0" w:color="808080"/>
            </w:tcBorders>
            <w:shd w:val="clear" w:color="auto" w:fill="auto"/>
            <w:vAlign w:val="center"/>
            <w:hideMark/>
          </w:tcPr>
          <w:p w14:paraId="2C81CDE5"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561 383 </w:t>
            </w:r>
          </w:p>
        </w:tc>
        <w:tc>
          <w:tcPr>
            <w:tcW w:w="437" w:type="pct"/>
            <w:tcBorders>
              <w:top w:val="nil"/>
              <w:left w:val="nil"/>
              <w:bottom w:val="nil"/>
              <w:right w:val="single" w:sz="8" w:space="0" w:color="808080"/>
            </w:tcBorders>
            <w:shd w:val="clear" w:color="auto" w:fill="auto"/>
            <w:vAlign w:val="center"/>
            <w:hideMark/>
          </w:tcPr>
          <w:p w14:paraId="0AC48C5B"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187 128 </w:t>
            </w:r>
          </w:p>
        </w:tc>
        <w:tc>
          <w:tcPr>
            <w:tcW w:w="444" w:type="pct"/>
            <w:tcBorders>
              <w:top w:val="nil"/>
              <w:left w:val="single" w:sz="4" w:space="0" w:color="808080"/>
              <w:bottom w:val="nil"/>
              <w:right w:val="single" w:sz="8" w:space="0" w:color="808080"/>
            </w:tcBorders>
            <w:shd w:val="clear" w:color="auto" w:fill="auto"/>
            <w:vAlign w:val="center"/>
            <w:hideMark/>
          </w:tcPr>
          <w:p w14:paraId="31494172"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420 535 </w:t>
            </w:r>
          </w:p>
        </w:tc>
      </w:tr>
      <w:tr w:rsidR="006D34EE" w:rsidRPr="00CC659A" w14:paraId="04F4110F" w14:textId="77777777" w:rsidTr="00477854">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2C8FAFAF" w14:textId="77777777" w:rsidR="00CC659A" w:rsidRPr="00CC659A" w:rsidRDefault="00CC659A" w:rsidP="00CC659A">
            <w:pPr>
              <w:spacing w:after="0" w:line="240" w:lineRule="auto"/>
              <w:ind w:left="-108"/>
              <w:jc w:val="right"/>
              <w:rPr>
                <w:rFonts w:eastAsia="Times New Roman"/>
                <w:color w:val="000000"/>
                <w:sz w:val="16"/>
                <w:szCs w:val="16"/>
                <w:lang w:val="es-ES"/>
              </w:rPr>
            </w:pPr>
            <w:r w:rsidRPr="00CC659A">
              <w:rPr>
                <w:rFonts w:eastAsia="Times New Roman"/>
                <w:color w:val="000000"/>
                <w:sz w:val="16"/>
                <w:szCs w:val="16"/>
                <w:lang w:val="es-ES"/>
              </w:rPr>
              <w:t>116</w:t>
            </w:r>
          </w:p>
        </w:tc>
        <w:tc>
          <w:tcPr>
            <w:tcW w:w="920" w:type="pct"/>
            <w:tcBorders>
              <w:top w:val="nil"/>
              <w:left w:val="nil"/>
              <w:bottom w:val="nil"/>
              <w:right w:val="nil"/>
            </w:tcBorders>
            <w:shd w:val="clear" w:color="auto" w:fill="auto"/>
            <w:vAlign w:val="center"/>
            <w:hideMark/>
          </w:tcPr>
          <w:p w14:paraId="1F5398A1"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Sri Lanka</w:t>
            </w:r>
          </w:p>
        </w:tc>
        <w:tc>
          <w:tcPr>
            <w:tcW w:w="404" w:type="pct"/>
            <w:tcBorders>
              <w:top w:val="nil"/>
              <w:left w:val="nil"/>
              <w:bottom w:val="nil"/>
              <w:right w:val="nil"/>
            </w:tcBorders>
            <w:shd w:val="clear" w:color="auto" w:fill="auto"/>
            <w:vAlign w:val="center"/>
            <w:hideMark/>
          </w:tcPr>
          <w:p w14:paraId="651319F9" w14:textId="77777777" w:rsidR="00CC659A" w:rsidRPr="00CC659A" w:rsidRDefault="00CC659A" w:rsidP="00CC659A">
            <w:pPr>
              <w:spacing w:after="0" w:line="240" w:lineRule="auto"/>
              <w:ind w:left="-108"/>
              <w:jc w:val="center"/>
              <w:rPr>
                <w:rFonts w:eastAsia="Times New Roman"/>
                <w:color w:val="000000"/>
                <w:sz w:val="16"/>
                <w:szCs w:val="16"/>
                <w:lang w:val="es-ES"/>
              </w:rPr>
            </w:pPr>
            <w:r w:rsidRPr="00CC659A">
              <w:rPr>
                <w:rFonts w:eastAsia="Times New Roman"/>
                <w:color w:val="000000"/>
                <w:sz w:val="16"/>
                <w:szCs w:val="16"/>
                <w:lang w:val="es-ES"/>
              </w:rPr>
              <w:t>0.045</w:t>
            </w:r>
          </w:p>
        </w:tc>
        <w:tc>
          <w:tcPr>
            <w:tcW w:w="420" w:type="pct"/>
            <w:tcBorders>
              <w:top w:val="nil"/>
              <w:left w:val="nil"/>
              <w:bottom w:val="nil"/>
              <w:right w:val="single" w:sz="8" w:space="0" w:color="808080"/>
            </w:tcBorders>
            <w:shd w:val="clear" w:color="auto" w:fill="auto"/>
            <w:vAlign w:val="center"/>
            <w:hideMark/>
          </w:tcPr>
          <w:p w14:paraId="28D85C38" w14:textId="77777777" w:rsidR="00CC659A" w:rsidRPr="00CC659A" w:rsidRDefault="00CC659A" w:rsidP="00CC659A">
            <w:pPr>
              <w:spacing w:after="0" w:line="240" w:lineRule="auto"/>
              <w:ind w:left="-108"/>
              <w:jc w:val="right"/>
              <w:rPr>
                <w:rFonts w:eastAsia="Times New Roman" w:cs="Arial"/>
                <w:color w:val="000000"/>
                <w:sz w:val="16"/>
                <w:szCs w:val="16"/>
                <w:lang w:val="es-ES"/>
              </w:rPr>
            </w:pPr>
            <w:r w:rsidRPr="00CC659A">
              <w:rPr>
                <w:rFonts w:eastAsia="Times New Roman" w:cs="Arial"/>
                <w:color w:val="000000"/>
                <w:sz w:val="16"/>
                <w:szCs w:val="16"/>
                <w:lang w:val="es-ES"/>
              </w:rPr>
              <w:t>0.104</w:t>
            </w:r>
          </w:p>
        </w:tc>
        <w:tc>
          <w:tcPr>
            <w:tcW w:w="444" w:type="pct"/>
            <w:tcBorders>
              <w:top w:val="nil"/>
              <w:left w:val="nil"/>
              <w:bottom w:val="nil"/>
              <w:right w:val="single" w:sz="4" w:space="0" w:color="808080"/>
            </w:tcBorders>
            <w:shd w:val="clear" w:color="auto" w:fill="auto"/>
            <w:vAlign w:val="center"/>
            <w:hideMark/>
          </w:tcPr>
          <w:p w14:paraId="0F56A65D"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9 063 </w:t>
            </w:r>
          </w:p>
        </w:tc>
        <w:tc>
          <w:tcPr>
            <w:tcW w:w="437" w:type="pct"/>
            <w:tcBorders>
              <w:top w:val="nil"/>
              <w:left w:val="nil"/>
              <w:bottom w:val="nil"/>
              <w:right w:val="single" w:sz="8" w:space="0" w:color="808080"/>
            </w:tcBorders>
            <w:shd w:val="clear" w:color="auto" w:fill="auto"/>
            <w:vAlign w:val="center"/>
            <w:hideMark/>
          </w:tcPr>
          <w:p w14:paraId="0A390558"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3 021 </w:t>
            </w:r>
          </w:p>
        </w:tc>
        <w:tc>
          <w:tcPr>
            <w:tcW w:w="444" w:type="pct"/>
            <w:tcBorders>
              <w:top w:val="nil"/>
              <w:left w:val="nil"/>
              <w:bottom w:val="nil"/>
              <w:right w:val="single" w:sz="4" w:space="0" w:color="808080"/>
            </w:tcBorders>
            <w:shd w:val="clear" w:color="auto" w:fill="auto"/>
            <w:vAlign w:val="center"/>
            <w:hideMark/>
          </w:tcPr>
          <w:p w14:paraId="488EC65A"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10 110 </w:t>
            </w:r>
          </w:p>
        </w:tc>
        <w:tc>
          <w:tcPr>
            <w:tcW w:w="437" w:type="pct"/>
            <w:tcBorders>
              <w:top w:val="nil"/>
              <w:left w:val="nil"/>
              <w:bottom w:val="nil"/>
              <w:right w:val="single" w:sz="8" w:space="0" w:color="808080"/>
            </w:tcBorders>
            <w:shd w:val="clear" w:color="auto" w:fill="auto"/>
            <w:vAlign w:val="center"/>
            <w:hideMark/>
          </w:tcPr>
          <w:p w14:paraId="285C4C2E"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3 370 </w:t>
            </w:r>
          </w:p>
        </w:tc>
        <w:tc>
          <w:tcPr>
            <w:tcW w:w="444" w:type="pct"/>
            <w:tcBorders>
              <w:top w:val="nil"/>
              <w:left w:val="nil"/>
              <w:bottom w:val="nil"/>
              <w:right w:val="single" w:sz="4" w:space="0" w:color="808080"/>
            </w:tcBorders>
            <w:shd w:val="clear" w:color="auto" w:fill="auto"/>
            <w:vAlign w:val="center"/>
            <w:hideMark/>
          </w:tcPr>
          <w:p w14:paraId="77E3403F"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11 838 </w:t>
            </w:r>
          </w:p>
        </w:tc>
        <w:tc>
          <w:tcPr>
            <w:tcW w:w="437" w:type="pct"/>
            <w:tcBorders>
              <w:top w:val="nil"/>
              <w:left w:val="nil"/>
              <w:bottom w:val="nil"/>
              <w:right w:val="single" w:sz="8" w:space="0" w:color="808080"/>
            </w:tcBorders>
            <w:shd w:val="clear" w:color="auto" w:fill="auto"/>
            <w:vAlign w:val="center"/>
            <w:hideMark/>
          </w:tcPr>
          <w:p w14:paraId="6424B249"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3 946 </w:t>
            </w:r>
          </w:p>
        </w:tc>
        <w:tc>
          <w:tcPr>
            <w:tcW w:w="444" w:type="pct"/>
            <w:tcBorders>
              <w:top w:val="nil"/>
              <w:left w:val="single" w:sz="4" w:space="0" w:color="808080"/>
              <w:bottom w:val="nil"/>
              <w:right w:val="single" w:sz="8" w:space="0" w:color="808080"/>
            </w:tcBorders>
            <w:shd w:val="clear" w:color="auto" w:fill="auto"/>
            <w:vAlign w:val="center"/>
            <w:hideMark/>
          </w:tcPr>
          <w:p w14:paraId="6ED88F08"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8 622 </w:t>
            </w:r>
          </w:p>
        </w:tc>
      </w:tr>
      <w:tr w:rsidR="006D34EE" w:rsidRPr="00CC659A" w14:paraId="61FB8EFE" w14:textId="77777777" w:rsidTr="00477854">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223F1656" w14:textId="77777777" w:rsidR="00CC659A" w:rsidRPr="00CC659A" w:rsidRDefault="00CC659A" w:rsidP="00CC659A">
            <w:pPr>
              <w:spacing w:after="0" w:line="240" w:lineRule="auto"/>
              <w:ind w:left="-108"/>
              <w:jc w:val="right"/>
              <w:rPr>
                <w:rFonts w:eastAsia="Times New Roman"/>
                <w:color w:val="000000"/>
                <w:sz w:val="16"/>
                <w:szCs w:val="16"/>
                <w:lang w:val="es-ES"/>
              </w:rPr>
            </w:pPr>
            <w:r w:rsidRPr="00CC659A">
              <w:rPr>
                <w:rFonts w:eastAsia="Times New Roman"/>
                <w:color w:val="000000"/>
                <w:sz w:val="16"/>
                <w:szCs w:val="16"/>
                <w:lang w:val="es-ES"/>
              </w:rPr>
              <w:t>117</w:t>
            </w:r>
          </w:p>
        </w:tc>
        <w:tc>
          <w:tcPr>
            <w:tcW w:w="920" w:type="pct"/>
            <w:tcBorders>
              <w:top w:val="nil"/>
              <w:left w:val="nil"/>
              <w:bottom w:val="nil"/>
              <w:right w:val="nil"/>
            </w:tcBorders>
            <w:shd w:val="clear" w:color="auto" w:fill="auto"/>
            <w:vAlign w:val="center"/>
            <w:hideMark/>
          </w:tcPr>
          <w:p w14:paraId="6948A952" w14:textId="74ECF204"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Su</w:t>
            </w:r>
            <w:r w:rsidR="00545A89">
              <w:rPr>
                <w:rFonts w:eastAsia="Times New Roman"/>
                <w:color w:val="000000"/>
                <w:sz w:val="16"/>
                <w:szCs w:val="16"/>
                <w:lang w:val="es-ES"/>
              </w:rPr>
              <w:t>ecia</w:t>
            </w:r>
          </w:p>
        </w:tc>
        <w:tc>
          <w:tcPr>
            <w:tcW w:w="404" w:type="pct"/>
            <w:tcBorders>
              <w:top w:val="nil"/>
              <w:left w:val="nil"/>
              <w:bottom w:val="nil"/>
              <w:right w:val="nil"/>
            </w:tcBorders>
            <w:shd w:val="clear" w:color="auto" w:fill="auto"/>
            <w:vAlign w:val="center"/>
            <w:hideMark/>
          </w:tcPr>
          <w:p w14:paraId="2394A4F4" w14:textId="77777777" w:rsidR="00CC659A" w:rsidRPr="00CC659A" w:rsidRDefault="00CC659A" w:rsidP="00CC659A">
            <w:pPr>
              <w:spacing w:after="0" w:line="240" w:lineRule="auto"/>
              <w:ind w:left="-108"/>
              <w:jc w:val="center"/>
              <w:rPr>
                <w:rFonts w:eastAsia="Times New Roman"/>
                <w:color w:val="000000"/>
                <w:sz w:val="16"/>
                <w:szCs w:val="16"/>
                <w:lang w:val="es-ES"/>
              </w:rPr>
            </w:pPr>
            <w:r w:rsidRPr="00CC659A">
              <w:rPr>
                <w:rFonts w:eastAsia="Times New Roman"/>
                <w:color w:val="000000"/>
                <w:sz w:val="16"/>
                <w:szCs w:val="16"/>
                <w:lang w:val="es-ES"/>
              </w:rPr>
              <w:t>0.871</w:t>
            </w:r>
          </w:p>
        </w:tc>
        <w:tc>
          <w:tcPr>
            <w:tcW w:w="420" w:type="pct"/>
            <w:tcBorders>
              <w:top w:val="nil"/>
              <w:left w:val="nil"/>
              <w:bottom w:val="nil"/>
              <w:right w:val="single" w:sz="8" w:space="0" w:color="808080"/>
            </w:tcBorders>
            <w:shd w:val="clear" w:color="auto" w:fill="auto"/>
            <w:vAlign w:val="center"/>
            <w:hideMark/>
          </w:tcPr>
          <w:p w14:paraId="1888E947" w14:textId="77777777" w:rsidR="00CC659A" w:rsidRPr="00CC659A" w:rsidRDefault="00CC659A" w:rsidP="00CC659A">
            <w:pPr>
              <w:spacing w:after="0" w:line="240" w:lineRule="auto"/>
              <w:ind w:left="-108"/>
              <w:jc w:val="right"/>
              <w:rPr>
                <w:rFonts w:eastAsia="Times New Roman" w:cs="Arial"/>
                <w:color w:val="000000"/>
                <w:sz w:val="16"/>
                <w:szCs w:val="16"/>
                <w:lang w:val="es-ES"/>
              </w:rPr>
            </w:pPr>
            <w:r w:rsidRPr="00CC659A">
              <w:rPr>
                <w:rFonts w:eastAsia="Times New Roman" w:cs="Arial"/>
                <w:color w:val="000000"/>
                <w:sz w:val="16"/>
                <w:szCs w:val="16"/>
                <w:lang w:val="es-ES"/>
              </w:rPr>
              <w:t>2.004</w:t>
            </w:r>
          </w:p>
        </w:tc>
        <w:tc>
          <w:tcPr>
            <w:tcW w:w="444" w:type="pct"/>
            <w:tcBorders>
              <w:top w:val="nil"/>
              <w:left w:val="nil"/>
              <w:bottom w:val="nil"/>
              <w:right w:val="single" w:sz="4" w:space="0" w:color="808080"/>
            </w:tcBorders>
            <w:shd w:val="clear" w:color="auto" w:fill="auto"/>
            <w:vAlign w:val="center"/>
            <w:hideMark/>
          </w:tcPr>
          <w:p w14:paraId="576A0AF4"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175 420 </w:t>
            </w:r>
          </w:p>
        </w:tc>
        <w:tc>
          <w:tcPr>
            <w:tcW w:w="437" w:type="pct"/>
            <w:tcBorders>
              <w:top w:val="nil"/>
              <w:left w:val="nil"/>
              <w:bottom w:val="nil"/>
              <w:right w:val="single" w:sz="8" w:space="0" w:color="808080"/>
            </w:tcBorders>
            <w:shd w:val="clear" w:color="auto" w:fill="auto"/>
            <w:vAlign w:val="center"/>
            <w:hideMark/>
          </w:tcPr>
          <w:p w14:paraId="1A331B65"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58 473 </w:t>
            </w:r>
          </w:p>
        </w:tc>
        <w:tc>
          <w:tcPr>
            <w:tcW w:w="444" w:type="pct"/>
            <w:tcBorders>
              <w:top w:val="nil"/>
              <w:left w:val="nil"/>
              <w:bottom w:val="nil"/>
              <w:right w:val="single" w:sz="4" w:space="0" w:color="808080"/>
            </w:tcBorders>
            <w:shd w:val="clear" w:color="auto" w:fill="auto"/>
            <w:vAlign w:val="center"/>
            <w:hideMark/>
          </w:tcPr>
          <w:p w14:paraId="35AEA29F"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195 690 </w:t>
            </w:r>
          </w:p>
        </w:tc>
        <w:tc>
          <w:tcPr>
            <w:tcW w:w="437" w:type="pct"/>
            <w:tcBorders>
              <w:top w:val="nil"/>
              <w:left w:val="nil"/>
              <w:bottom w:val="nil"/>
              <w:right w:val="single" w:sz="8" w:space="0" w:color="808080"/>
            </w:tcBorders>
            <w:shd w:val="clear" w:color="auto" w:fill="auto"/>
            <w:vAlign w:val="center"/>
            <w:hideMark/>
          </w:tcPr>
          <w:p w14:paraId="07A178B2"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65 230 </w:t>
            </w:r>
          </w:p>
        </w:tc>
        <w:tc>
          <w:tcPr>
            <w:tcW w:w="444" w:type="pct"/>
            <w:tcBorders>
              <w:top w:val="nil"/>
              <w:left w:val="nil"/>
              <w:bottom w:val="nil"/>
              <w:right w:val="single" w:sz="4" w:space="0" w:color="808080"/>
            </w:tcBorders>
            <w:shd w:val="clear" w:color="auto" w:fill="auto"/>
            <w:vAlign w:val="center"/>
            <w:hideMark/>
          </w:tcPr>
          <w:p w14:paraId="589FEA5A"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229 130 </w:t>
            </w:r>
          </w:p>
        </w:tc>
        <w:tc>
          <w:tcPr>
            <w:tcW w:w="437" w:type="pct"/>
            <w:tcBorders>
              <w:top w:val="nil"/>
              <w:left w:val="nil"/>
              <w:bottom w:val="nil"/>
              <w:right w:val="single" w:sz="8" w:space="0" w:color="808080"/>
            </w:tcBorders>
            <w:shd w:val="clear" w:color="auto" w:fill="auto"/>
            <w:vAlign w:val="center"/>
            <w:hideMark/>
          </w:tcPr>
          <w:p w14:paraId="09EE668D"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76 377 </w:t>
            </w:r>
          </w:p>
        </w:tc>
        <w:tc>
          <w:tcPr>
            <w:tcW w:w="444" w:type="pct"/>
            <w:tcBorders>
              <w:top w:val="nil"/>
              <w:left w:val="single" w:sz="4" w:space="0" w:color="808080"/>
              <w:bottom w:val="nil"/>
              <w:right w:val="single" w:sz="8" w:space="0" w:color="808080"/>
            </w:tcBorders>
            <w:shd w:val="clear" w:color="auto" w:fill="auto"/>
            <w:vAlign w:val="center"/>
            <w:hideMark/>
          </w:tcPr>
          <w:p w14:paraId="19E0D943"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177 541 </w:t>
            </w:r>
          </w:p>
        </w:tc>
      </w:tr>
      <w:tr w:rsidR="006D34EE" w:rsidRPr="00CC659A" w14:paraId="6A85F724" w14:textId="77777777" w:rsidTr="00477854">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0AA99432" w14:textId="77777777" w:rsidR="00CC659A" w:rsidRPr="00CC659A" w:rsidRDefault="00CC659A" w:rsidP="00CC659A">
            <w:pPr>
              <w:spacing w:after="0" w:line="240" w:lineRule="auto"/>
              <w:ind w:left="-108"/>
              <w:jc w:val="right"/>
              <w:rPr>
                <w:rFonts w:eastAsia="Times New Roman"/>
                <w:color w:val="000000"/>
                <w:sz w:val="16"/>
                <w:szCs w:val="16"/>
                <w:lang w:val="es-ES"/>
              </w:rPr>
            </w:pPr>
            <w:r w:rsidRPr="00CC659A">
              <w:rPr>
                <w:rFonts w:eastAsia="Times New Roman"/>
                <w:color w:val="000000"/>
                <w:sz w:val="16"/>
                <w:szCs w:val="16"/>
                <w:lang w:val="es-ES"/>
              </w:rPr>
              <w:t>118</w:t>
            </w:r>
          </w:p>
        </w:tc>
        <w:tc>
          <w:tcPr>
            <w:tcW w:w="920" w:type="pct"/>
            <w:tcBorders>
              <w:top w:val="nil"/>
              <w:left w:val="nil"/>
              <w:bottom w:val="nil"/>
              <w:right w:val="nil"/>
            </w:tcBorders>
            <w:shd w:val="clear" w:color="auto" w:fill="auto"/>
            <w:vAlign w:val="center"/>
            <w:hideMark/>
          </w:tcPr>
          <w:p w14:paraId="26A7078D" w14:textId="59A1F2F5"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Sui</w:t>
            </w:r>
            <w:r w:rsidR="00545A89">
              <w:rPr>
                <w:rFonts w:eastAsia="Times New Roman"/>
                <w:color w:val="000000"/>
                <w:sz w:val="16"/>
                <w:szCs w:val="16"/>
                <w:lang w:val="es-ES"/>
              </w:rPr>
              <w:t>za</w:t>
            </w:r>
          </w:p>
        </w:tc>
        <w:tc>
          <w:tcPr>
            <w:tcW w:w="404" w:type="pct"/>
            <w:tcBorders>
              <w:top w:val="nil"/>
              <w:left w:val="nil"/>
              <w:bottom w:val="nil"/>
              <w:right w:val="nil"/>
            </w:tcBorders>
            <w:shd w:val="clear" w:color="auto" w:fill="auto"/>
            <w:vAlign w:val="center"/>
            <w:hideMark/>
          </w:tcPr>
          <w:p w14:paraId="70D96757" w14:textId="77777777" w:rsidR="00CC659A" w:rsidRPr="00CC659A" w:rsidRDefault="00CC659A" w:rsidP="00CC659A">
            <w:pPr>
              <w:spacing w:after="0" w:line="240" w:lineRule="auto"/>
              <w:ind w:left="-108"/>
              <w:jc w:val="center"/>
              <w:rPr>
                <w:rFonts w:eastAsia="Times New Roman"/>
                <w:color w:val="000000"/>
                <w:sz w:val="16"/>
                <w:szCs w:val="16"/>
                <w:lang w:val="es-ES"/>
              </w:rPr>
            </w:pPr>
            <w:r w:rsidRPr="00CC659A">
              <w:rPr>
                <w:rFonts w:eastAsia="Times New Roman"/>
                <w:color w:val="000000"/>
                <w:sz w:val="16"/>
                <w:szCs w:val="16"/>
                <w:lang w:val="es-ES"/>
              </w:rPr>
              <w:t>1.134</w:t>
            </w:r>
          </w:p>
        </w:tc>
        <w:tc>
          <w:tcPr>
            <w:tcW w:w="420" w:type="pct"/>
            <w:tcBorders>
              <w:top w:val="nil"/>
              <w:left w:val="nil"/>
              <w:bottom w:val="nil"/>
              <w:right w:val="single" w:sz="8" w:space="0" w:color="808080"/>
            </w:tcBorders>
            <w:shd w:val="clear" w:color="auto" w:fill="auto"/>
            <w:vAlign w:val="center"/>
            <w:hideMark/>
          </w:tcPr>
          <w:p w14:paraId="5F5E5A82" w14:textId="77777777" w:rsidR="00CC659A" w:rsidRPr="00CC659A" w:rsidRDefault="00CC659A" w:rsidP="00CC659A">
            <w:pPr>
              <w:spacing w:after="0" w:line="240" w:lineRule="auto"/>
              <w:ind w:left="-108"/>
              <w:jc w:val="right"/>
              <w:rPr>
                <w:rFonts w:eastAsia="Times New Roman" w:cs="Arial"/>
                <w:color w:val="000000"/>
                <w:sz w:val="16"/>
                <w:szCs w:val="16"/>
                <w:lang w:val="es-ES"/>
              </w:rPr>
            </w:pPr>
            <w:r w:rsidRPr="00CC659A">
              <w:rPr>
                <w:rFonts w:eastAsia="Times New Roman" w:cs="Arial"/>
                <w:color w:val="000000"/>
                <w:sz w:val="16"/>
                <w:szCs w:val="16"/>
                <w:lang w:val="es-ES"/>
              </w:rPr>
              <w:t>2.610</w:t>
            </w:r>
          </w:p>
        </w:tc>
        <w:tc>
          <w:tcPr>
            <w:tcW w:w="444" w:type="pct"/>
            <w:tcBorders>
              <w:top w:val="nil"/>
              <w:left w:val="nil"/>
              <w:bottom w:val="nil"/>
              <w:right w:val="single" w:sz="4" w:space="0" w:color="808080"/>
            </w:tcBorders>
            <w:shd w:val="clear" w:color="auto" w:fill="auto"/>
            <w:vAlign w:val="center"/>
            <w:hideMark/>
          </w:tcPr>
          <w:p w14:paraId="41C30844"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228 389 </w:t>
            </w:r>
          </w:p>
        </w:tc>
        <w:tc>
          <w:tcPr>
            <w:tcW w:w="437" w:type="pct"/>
            <w:tcBorders>
              <w:top w:val="nil"/>
              <w:left w:val="nil"/>
              <w:bottom w:val="nil"/>
              <w:right w:val="single" w:sz="8" w:space="0" w:color="808080"/>
            </w:tcBorders>
            <w:shd w:val="clear" w:color="auto" w:fill="auto"/>
            <w:vAlign w:val="center"/>
            <w:hideMark/>
          </w:tcPr>
          <w:p w14:paraId="7220E6C7"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76 130 </w:t>
            </w:r>
          </w:p>
        </w:tc>
        <w:tc>
          <w:tcPr>
            <w:tcW w:w="444" w:type="pct"/>
            <w:tcBorders>
              <w:top w:val="nil"/>
              <w:left w:val="nil"/>
              <w:bottom w:val="nil"/>
              <w:right w:val="single" w:sz="4" w:space="0" w:color="808080"/>
            </w:tcBorders>
            <w:shd w:val="clear" w:color="auto" w:fill="auto"/>
            <w:vAlign w:val="center"/>
            <w:hideMark/>
          </w:tcPr>
          <w:p w14:paraId="73424478"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254 779 </w:t>
            </w:r>
          </w:p>
        </w:tc>
        <w:tc>
          <w:tcPr>
            <w:tcW w:w="437" w:type="pct"/>
            <w:tcBorders>
              <w:top w:val="nil"/>
              <w:left w:val="nil"/>
              <w:bottom w:val="nil"/>
              <w:right w:val="single" w:sz="8" w:space="0" w:color="808080"/>
            </w:tcBorders>
            <w:shd w:val="clear" w:color="auto" w:fill="auto"/>
            <w:vAlign w:val="center"/>
            <w:hideMark/>
          </w:tcPr>
          <w:p w14:paraId="5049AA40"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84 926 </w:t>
            </w:r>
          </w:p>
        </w:tc>
        <w:tc>
          <w:tcPr>
            <w:tcW w:w="444" w:type="pct"/>
            <w:tcBorders>
              <w:top w:val="nil"/>
              <w:left w:val="nil"/>
              <w:bottom w:val="nil"/>
              <w:right w:val="single" w:sz="4" w:space="0" w:color="808080"/>
            </w:tcBorders>
            <w:shd w:val="clear" w:color="auto" w:fill="auto"/>
            <w:vAlign w:val="center"/>
            <w:hideMark/>
          </w:tcPr>
          <w:p w14:paraId="3515406D"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298 317 </w:t>
            </w:r>
          </w:p>
        </w:tc>
        <w:tc>
          <w:tcPr>
            <w:tcW w:w="437" w:type="pct"/>
            <w:tcBorders>
              <w:top w:val="nil"/>
              <w:left w:val="nil"/>
              <w:bottom w:val="nil"/>
              <w:right w:val="single" w:sz="8" w:space="0" w:color="808080"/>
            </w:tcBorders>
            <w:shd w:val="clear" w:color="auto" w:fill="auto"/>
            <w:vAlign w:val="center"/>
            <w:hideMark/>
          </w:tcPr>
          <w:p w14:paraId="0B557403"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99 439 </w:t>
            </w:r>
          </w:p>
        </w:tc>
        <w:tc>
          <w:tcPr>
            <w:tcW w:w="444" w:type="pct"/>
            <w:tcBorders>
              <w:top w:val="nil"/>
              <w:left w:val="single" w:sz="4" w:space="0" w:color="808080"/>
              <w:bottom w:val="nil"/>
              <w:right w:val="single" w:sz="8" w:space="0" w:color="808080"/>
            </w:tcBorders>
            <w:shd w:val="clear" w:color="auto" w:fill="auto"/>
            <w:vAlign w:val="center"/>
            <w:hideMark/>
          </w:tcPr>
          <w:p w14:paraId="68504578"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225 552 </w:t>
            </w:r>
          </w:p>
        </w:tc>
      </w:tr>
      <w:tr w:rsidR="006D34EE" w:rsidRPr="00CC659A" w14:paraId="1CE0BEB5" w14:textId="77777777" w:rsidTr="00477854">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30670528" w14:textId="77777777" w:rsidR="00CC659A" w:rsidRPr="00CC659A" w:rsidRDefault="00CC659A" w:rsidP="00CC659A">
            <w:pPr>
              <w:spacing w:after="0" w:line="240" w:lineRule="auto"/>
              <w:ind w:left="-108"/>
              <w:jc w:val="right"/>
              <w:rPr>
                <w:rFonts w:eastAsia="Times New Roman"/>
                <w:color w:val="000000"/>
                <w:sz w:val="16"/>
                <w:szCs w:val="16"/>
                <w:lang w:val="es-ES"/>
              </w:rPr>
            </w:pPr>
            <w:r w:rsidRPr="00CC659A">
              <w:rPr>
                <w:rFonts w:eastAsia="Times New Roman"/>
                <w:color w:val="000000"/>
                <w:sz w:val="16"/>
                <w:szCs w:val="16"/>
                <w:lang w:val="es-ES"/>
              </w:rPr>
              <w:t>119</w:t>
            </w:r>
          </w:p>
        </w:tc>
        <w:tc>
          <w:tcPr>
            <w:tcW w:w="920" w:type="pct"/>
            <w:tcBorders>
              <w:top w:val="nil"/>
              <w:left w:val="nil"/>
              <w:bottom w:val="nil"/>
              <w:right w:val="nil"/>
            </w:tcBorders>
            <w:shd w:val="clear" w:color="auto" w:fill="auto"/>
            <w:vAlign w:val="center"/>
            <w:hideMark/>
          </w:tcPr>
          <w:p w14:paraId="7B3DAAA4" w14:textId="1309AFA7" w:rsidR="00CC659A" w:rsidRPr="00CC659A" w:rsidRDefault="00562C45" w:rsidP="00CC659A">
            <w:pPr>
              <w:spacing w:after="0" w:line="240" w:lineRule="auto"/>
              <w:ind w:left="-108"/>
              <w:rPr>
                <w:rFonts w:eastAsia="Times New Roman"/>
                <w:color w:val="000000"/>
                <w:sz w:val="16"/>
                <w:szCs w:val="16"/>
                <w:lang w:val="es-ES"/>
              </w:rPr>
            </w:pPr>
            <w:r w:rsidRPr="00562C45">
              <w:rPr>
                <w:spacing w:val="-2"/>
                <w:sz w:val="16"/>
                <w:szCs w:val="16"/>
                <w:lang w:val="es-ES"/>
              </w:rPr>
              <w:t>República Árabe de Siria</w:t>
            </w:r>
            <w:r w:rsidR="00CC659A" w:rsidRPr="00CC659A">
              <w:rPr>
                <w:rFonts w:eastAsia="Times New Roman"/>
                <w:color w:val="000000"/>
                <w:sz w:val="16"/>
                <w:szCs w:val="16"/>
                <w:lang w:val="es-ES"/>
              </w:rPr>
              <w:t xml:space="preserve"> </w:t>
            </w:r>
          </w:p>
        </w:tc>
        <w:tc>
          <w:tcPr>
            <w:tcW w:w="404" w:type="pct"/>
            <w:tcBorders>
              <w:top w:val="nil"/>
              <w:left w:val="nil"/>
              <w:bottom w:val="nil"/>
              <w:right w:val="nil"/>
            </w:tcBorders>
            <w:shd w:val="clear" w:color="auto" w:fill="auto"/>
            <w:vAlign w:val="center"/>
            <w:hideMark/>
          </w:tcPr>
          <w:p w14:paraId="07C850FD" w14:textId="77777777" w:rsidR="00CC659A" w:rsidRPr="00CC659A" w:rsidRDefault="00CC659A" w:rsidP="00CC659A">
            <w:pPr>
              <w:spacing w:after="0" w:line="240" w:lineRule="auto"/>
              <w:ind w:left="-108"/>
              <w:jc w:val="center"/>
              <w:rPr>
                <w:rFonts w:eastAsia="Times New Roman"/>
                <w:color w:val="000000"/>
                <w:sz w:val="16"/>
                <w:szCs w:val="16"/>
                <w:lang w:val="es-ES"/>
              </w:rPr>
            </w:pPr>
            <w:r w:rsidRPr="00CC659A">
              <w:rPr>
                <w:rFonts w:eastAsia="Times New Roman"/>
                <w:color w:val="000000"/>
                <w:sz w:val="16"/>
                <w:szCs w:val="16"/>
                <w:lang w:val="es-ES"/>
              </w:rPr>
              <w:t>0.009</w:t>
            </w:r>
          </w:p>
        </w:tc>
        <w:tc>
          <w:tcPr>
            <w:tcW w:w="420" w:type="pct"/>
            <w:tcBorders>
              <w:top w:val="nil"/>
              <w:left w:val="nil"/>
              <w:bottom w:val="nil"/>
              <w:right w:val="single" w:sz="8" w:space="0" w:color="808080"/>
            </w:tcBorders>
            <w:shd w:val="clear" w:color="auto" w:fill="auto"/>
            <w:vAlign w:val="center"/>
            <w:hideMark/>
          </w:tcPr>
          <w:p w14:paraId="2AD7B3AE" w14:textId="77777777" w:rsidR="00CC659A" w:rsidRPr="00CC659A" w:rsidRDefault="00CC659A" w:rsidP="00CC659A">
            <w:pPr>
              <w:spacing w:after="0" w:line="240" w:lineRule="auto"/>
              <w:ind w:left="-108"/>
              <w:jc w:val="right"/>
              <w:rPr>
                <w:rFonts w:eastAsia="Times New Roman" w:cs="Arial"/>
                <w:color w:val="000000"/>
                <w:sz w:val="16"/>
                <w:szCs w:val="16"/>
                <w:lang w:val="es-ES"/>
              </w:rPr>
            </w:pPr>
            <w:r w:rsidRPr="00CC659A">
              <w:rPr>
                <w:rFonts w:eastAsia="Times New Roman" w:cs="Arial"/>
                <w:color w:val="000000"/>
                <w:sz w:val="16"/>
                <w:szCs w:val="16"/>
                <w:lang w:val="es-ES"/>
              </w:rPr>
              <w:t>0.021</w:t>
            </w:r>
          </w:p>
        </w:tc>
        <w:tc>
          <w:tcPr>
            <w:tcW w:w="444" w:type="pct"/>
            <w:tcBorders>
              <w:top w:val="nil"/>
              <w:left w:val="nil"/>
              <w:bottom w:val="nil"/>
              <w:right w:val="single" w:sz="4" w:space="0" w:color="808080"/>
            </w:tcBorders>
            <w:shd w:val="clear" w:color="auto" w:fill="auto"/>
            <w:vAlign w:val="center"/>
            <w:hideMark/>
          </w:tcPr>
          <w:p w14:paraId="3014F5C6"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1 813 </w:t>
            </w:r>
          </w:p>
        </w:tc>
        <w:tc>
          <w:tcPr>
            <w:tcW w:w="437" w:type="pct"/>
            <w:tcBorders>
              <w:top w:val="nil"/>
              <w:left w:val="nil"/>
              <w:bottom w:val="nil"/>
              <w:right w:val="single" w:sz="8" w:space="0" w:color="808080"/>
            </w:tcBorders>
            <w:shd w:val="clear" w:color="auto" w:fill="auto"/>
            <w:vAlign w:val="center"/>
            <w:hideMark/>
          </w:tcPr>
          <w:p w14:paraId="2F25856C"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604 </w:t>
            </w:r>
          </w:p>
        </w:tc>
        <w:tc>
          <w:tcPr>
            <w:tcW w:w="444" w:type="pct"/>
            <w:tcBorders>
              <w:top w:val="nil"/>
              <w:left w:val="nil"/>
              <w:bottom w:val="nil"/>
              <w:right w:val="single" w:sz="4" w:space="0" w:color="808080"/>
            </w:tcBorders>
            <w:shd w:val="clear" w:color="auto" w:fill="auto"/>
            <w:vAlign w:val="center"/>
            <w:hideMark/>
          </w:tcPr>
          <w:p w14:paraId="4D7C4791"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2 022 </w:t>
            </w:r>
          </w:p>
        </w:tc>
        <w:tc>
          <w:tcPr>
            <w:tcW w:w="437" w:type="pct"/>
            <w:tcBorders>
              <w:top w:val="nil"/>
              <w:left w:val="nil"/>
              <w:bottom w:val="nil"/>
              <w:right w:val="single" w:sz="8" w:space="0" w:color="808080"/>
            </w:tcBorders>
            <w:shd w:val="clear" w:color="auto" w:fill="auto"/>
            <w:vAlign w:val="center"/>
            <w:hideMark/>
          </w:tcPr>
          <w:p w14:paraId="33D25C85"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674 </w:t>
            </w:r>
          </w:p>
        </w:tc>
        <w:tc>
          <w:tcPr>
            <w:tcW w:w="444" w:type="pct"/>
            <w:tcBorders>
              <w:top w:val="nil"/>
              <w:left w:val="nil"/>
              <w:bottom w:val="nil"/>
              <w:right w:val="single" w:sz="4" w:space="0" w:color="808080"/>
            </w:tcBorders>
            <w:shd w:val="clear" w:color="auto" w:fill="auto"/>
            <w:vAlign w:val="center"/>
            <w:hideMark/>
          </w:tcPr>
          <w:p w14:paraId="283421CD"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2 368 </w:t>
            </w:r>
          </w:p>
        </w:tc>
        <w:tc>
          <w:tcPr>
            <w:tcW w:w="437" w:type="pct"/>
            <w:tcBorders>
              <w:top w:val="nil"/>
              <w:left w:val="nil"/>
              <w:bottom w:val="nil"/>
              <w:right w:val="single" w:sz="8" w:space="0" w:color="808080"/>
            </w:tcBorders>
            <w:shd w:val="clear" w:color="auto" w:fill="auto"/>
            <w:vAlign w:val="center"/>
            <w:hideMark/>
          </w:tcPr>
          <w:p w14:paraId="730173E3"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789 </w:t>
            </w:r>
          </w:p>
        </w:tc>
        <w:tc>
          <w:tcPr>
            <w:tcW w:w="444" w:type="pct"/>
            <w:tcBorders>
              <w:top w:val="nil"/>
              <w:left w:val="single" w:sz="4" w:space="0" w:color="808080"/>
              <w:bottom w:val="nil"/>
              <w:right w:val="single" w:sz="8" w:space="0" w:color="808080"/>
            </w:tcBorders>
            <w:shd w:val="clear" w:color="auto" w:fill="auto"/>
            <w:vAlign w:val="center"/>
            <w:hideMark/>
          </w:tcPr>
          <w:p w14:paraId="19C7B112"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2 155 </w:t>
            </w:r>
          </w:p>
        </w:tc>
      </w:tr>
      <w:tr w:rsidR="006D34EE" w:rsidRPr="00CC659A" w14:paraId="768E7957" w14:textId="77777777" w:rsidTr="00477854">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7500DDF2" w14:textId="77777777" w:rsidR="00CC659A" w:rsidRPr="00CC659A" w:rsidRDefault="00CC659A" w:rsidP="00CC659A">
            <w:pPr>
              <w:spacing w:after="0" w:line="240" w:lineRule="auto"/>
              <w:ind w:left="-108"/>
              <w:jc w:val="right"/>
              <w:rPr>
                <w:rFonts w:eastAsia="Times New Roman"/>
                <w:color w:val="000000"/>
                <w:sz w:val="16"/>
                <w:szCs w:val="16"/>
                <w:lang w:val="es-ES"/>
              </w:rPr>
            </w:pPr>
            <w:r w:rsidRPr="00CC659A">
              <w:rPr>
                <w:rFonts w:eastAsia="Times New Roman"/>
                <w:color w:val="000000"/>
                <w:sz w:val="16"/>
                <w:szCs w:val="16"/>
                <w:lang w:val="es-ES"/>
              </w:rPr>
              <w:t>120</w:t>
            </w:r>
          </w:p>
        </w:tc>
        <w:tc>
          <w:tcPr>
            <w:tcW w:w="920" w:type="pct"/>
            <w:tcBorders>
              <w:top w:val="nil"/>
              <w:left w:val="nil"/>
              <w:bottom w:val="nil"/>
              <w:right w:val="nil"/>
            </w:tcBorders>
            <w:shd w:val="clear" w:color="auto" w:fill="auto"/>
            <w:vAlign w:val="center"/>
            <w:hideMark/>
          </w:tcPr>
          <w:p w14:paraId="3D4F95F5" w14:textId="791CECDA" w:rsidR="00CC659A" w:rsidRPr="00CC659A" w:rsidRDefault="002B0162"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Ta</w:t>
            </w:r>
            <w:r>
              <w:rPr>
                <w:rFonts w:eastAsia="Times New Roman"/>
                <w:color w:val="000000"/>
                <w:sz w:val="16"/>
                <w:szCs w:val="16"/>
                <w:lang w:val="es-ES"/>
              </w:rPr>
              <w:t>y</w:t>
            </w:r>
            <w:r w:rsidRPr="00CC659A">
              <w:rPr>
                <w:rFonts w:eastAsia="Times New Roman"/>
                <w:color w:val="000000"/>
                <w:sz w:val="16"/>
                <w:szCs w:val="16"/>
                <w:lang w:val="es-ES"/>
              </w:rPr>
              <w:t>ikistán</w:t>
            </w:r>
          </w:p>
        </w:tc>
        <w:tc>
          <w:tcPr>
            <w:tcW w:w="404" w:type="pct"/>
            <w:tcBorders>
              <w:top w:val="nil"/>
              <w:left w:val="nil"/>
              <w:bottom w:val="nil"/>
              <w:right w:val="nil"/>
            </w:tcBorders>
            <w:shd w:val="clear" w:color="auto" w:fill="auto"/>
            <w:vAlign w:val="center"/>
            <w:hideMark/>
          </w:tcPr>
          <w:p w14:paraId="3138BA63" w14:textId="77777777" w:rsidR="00CC659A" w:rsidRPr="00CC659A" w:rsidRDefault="00CC659A" w:rsidP="00CC659A">
            <w:pPr>
              <w:spacing w:after="0" w:line="240" w:lineRule="auto"/>
              <w:ind w:left="-108"/>
              <w:jc w:val="center"/>
              <w:rPr>
                <w:rFonts w:eastAsia="Times New Roman"/>
                <w:color w:val="000000"/>
                <w:sz w:val="16"/>
                <w:szCs w:val="16"/>
                <w:lang w:val="es-ES"/>
              </w:rPr>
            </w:pPr>
            <w:r w:rsidRPr="00CC659A">
              <w:rPr>
                <w:rFonts w:eastAsia="Times New Roman"/>
                <w:color w:val="000000"/>
                <w:sz w:val="16"/>
                <w:szCs w:val="16"/>
                <w:lang w:val="es-ES"/>
              </w:rPr>
              <w:t>0.003</w:t>
            </w:r>
          </w:p>
        </w:tc>
        <w:tc>
          <w:tcPr>
            <w:tcW w:w="420" w:type="pct"/>
            <w:tcBorders>
              <w:top w:val="nil"/>
              <w:left w:val="nil"/>
              <w:bottom w:val="nil"/>
              <w:right w:val="single" w:sz="8" w:space="0" w:color="808080"/>
            </w:tcBorders>
            <w:shd w:val="clear" w:color="auto" w:fill="auto"/>
            <w:vAlign w:val="center"/>
            <w:hideMark/>
          </w:tcPr>
          <w:p w14:paraId="68532E65" w14:textId="77777777" w:rsidR="00CC659A" w:rsidRPr="00CC659A" w:rsidRDefault="00CC659A" w:rsidP="00CC659A">
            <w:pPr>
              <w:spacing w:after="0" w:line="240" w:lineRule="auto"/>
              <w:ind w:left="-108"/>
              <w:jc w:val="right"/>
              <w:rPr>
                <w:rFonts w:eastAsia="Times New Roman" w:cs="Arial"/>
                <w:color w:val="000000"/>
                <w:sz w:val="16"/>
                <w:szCs w:val="16"/>
                <w:lang w:val="es-ES"/>
              </w:rPr>
            </w:pPr>
            <w:r w:rsidRPr="00CC659A">
              <w:rPr>
                <w:rFonts w:eastAsia="Times New Roman" w:cs="Arial"/>
                <w:color w:val="000000"/>
                <w:sz w:val="16"/>
                <w:szCs w:val="16"/>
                <w:lang w:val="es-ES"/>
              </w:rPr>
              <w:t>0.007</w:t>
            </w:r>
          </w:p>
        </w:tc>
        <w:tc>
          <w:tcPr>
            <w:tcW w:w="444" w:type="pct"/>
            <w:tcBorders>
              <w:top w:val="nil"/>
              <w:left w:val="nil"/>
              <w:bottom w:val="nil"/>
              <w:right w:val="single" w:sz="4" w:space="0" w:color="808080"/>
            </w:tcBorders>
            <w:shd w:val="clear" w:color="auto" w:fill="auto"/>
            <w:vAlign w:val="center"/>
            <w:hideMark/>
          </w:tcPr>
          <w:p w14:paraId="5A27CF00"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604 </w:t>
            </w:r>
          </w:p>
        </w:tc>
        <w:tc>
          <w:tcPr>
            <w:tcW w:w="437" w:type="pct"/>
            <w:tcBorders>
              <w:top w:val="nil"/>
              <w:left w:val="nil"/>
              <w:bottom w:val="nil"/>
              <w:right w:val="single" w:sz="8" w:space="0" w:color="808080"/>
            </w:tcBorders>
            <w:shd w:val="clear" w:color="auto" w:fill="auto"/>
            <w:vAlign w:val="center"/>
            <w:hideMark/>
          </w:tcPr>
          <w:p w14:paraId="443D2BEF"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201 </w:t>
            </w:r>
          </w:p>
        </w:tc>
        <w:tc>
          <w:tcPr>
            <w:tcW w:w="444" w:type="pct"/>
            <w:tcBorders>
              <w:top w:val="nil"/>
              <w:left w:val="nil"/>
              <w:bottom w:val="nil"/>
              <w:right w:val="single" w:sz="4" w:space="0" w:color="808080"/>
            </w:tcBorders>
            <w:shd w:val="clear" w:color="auto" w:fill="auto"/>
            <w:vAlign w:val="center"/>
            <w:hideMark/>
          </w:tcPr>
          <w:p w14:paraId="79CB501B"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674 </w:t>
            </w:r>
          </w:p>
        </w:tc>
        <w:tc>
          <w:tcPr>
            <w:tcW w:w="437" w:type="pct"/>
            <w:tcBorders>
              <w:top w:val="nil"/>
              <w:left w:val="nil"/>
              <w:bottom w:val="nil"/>
              <w:right w:val="single" w:sz="8" w:space="0" w:color="808080"/>
            </w:tcBorders>
            <w:shd w:val="clear" w:color="auto" w:fill="auto"/>
            <w:vAlign w:val="center"/>
            <w:hideMark/>
          </w:tcPr>
          <w:p w14:paraId="07CD0550"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225 </w:t>
            </w:r>
          </w:p>
        </w:tc>
        <w:tc>
          <w:tcPr>
            <w:tcW w:w="444" w:type="pct"/>
            <w:tcBorders>
              <w:top w:val="nil"/>
              <w:left w:val="nil"/>
              <w:bottom w:val="nil"/>
              <w:right w:val="single" w:sz="4" w:space="0" w:color="808080"/>
            </w:tcBorders>
            <w:shd w:val="clear" w:color="auto" w:fill="auto"/>
            <w:vAlign w:val="center"/>
            <w:hideMark/>
          </w:tcPr>
          <w:p w14:paraId="5F5177F2"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789 </w:t>
            </w:r>
          </w:p>
        </w:tc>
        <w:tc>
          <w:tcPr>
            <w:tcW w:w="437" w:type="pct"/>
            <w:tcBorders>
              <w:top w:val="nil"/>
              <w:left w:val="nil"/>
              <w:bottom w:val="nil"/>
              <w:right w:val="single" w:sz="8" w:space="0" w:color="808080"/>
            </w:tcBorders>
            <w:shd w:val="clear" w:color="auto" w:fill="auto"/>
            <w:vAlign w:val="center"/>
            <w:hideMark/>
          </w:tcPr>
          <w:p w14:paraId="53736D5C"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263 </w:t>
            </w:r>
          </w:p>
        </w:tc>
        <w:tc>
          <w:tcPr>
            <w:tcW w:w="444" w:type="pct"/>
            <w:tcBorders>
              <w:top w:val="nil"/>
              <w:left w:val="single" w:sz="4" w:space="0" w:color="808080"/>
              <w:bottom w:val="nil"/>
              <w:right w:val="single" w:sz="8" w:space="0" w:color="808080"/>
            </w:tcBorders>
            <w:shd w:val="clear" w:color="auto" w:fill="auto"/>
            <w:vAlign w:val="center"/>
            <w:hideMark/>
          </w:tcPr>
          <w:p w14:paraId="0E373239"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784 </w:t>
            </w:r>
          </w:p>
        </w:tc>
      </w:tr>
      <w:tr w:rsidR="006D34EE" w:rsidRPr="00CC659A" w14:paraId="6B1B5A58" w14:textId="77777777" w:rsidTr="00477854">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52D1E721" w14:textId="77777777" w:rsidR="00CC659A" w:rsidRPr="00CC659A" w:rsidRDefault="00CC659A" w:rsidP="00CC659A">
            <w:pPr>
              <w:spacing w:after="0" w:line="240" w:lineRule="auto"/>
              <w:ind w:left="-108"/>
              <w:jc w:val="right"/>
              <w:rPr>
                <w:rFonts w:eastAsia="Times New Roman"/>
                <w:color w:val="000000"/>
                <w:sz w:val="16"/>
                <w:szCs w:val="16"/>
                <w:lang w:val="es-ES"/>
              </w:rPr>
            </w:pPr>
            <w:r w:rsidRPr="00CC659A">
              <w:rPr>
                <w:rFonts w:eastAsia="Times New Roman"/>
                <w:color w:val="000000"/>
                <w:sz w:val="16"/>
                <w:szCs w:val="16"/>
                <w:lang w:val="es-ES"/>
              </w:rPr>
              <w:t>121</w:t>
            </w:r>
          </w:p>
        </w:tc>
        <w:tc>
          <w:tcPr>
            <w:tcW w:w="920" w:type="pct"/>
            <w:tcBorders>
              <w:top w:val="nil"/>
              <w:left w:val="nil"/>
              <w:bottom w:val="nil"/>
              <w:right w:val="nil"/>
            </w:tcBorders>
            <w:shd w:val="clear" w:color="auto" w:fill="auto"/>
            <w:vAlign w:val="center"/>
            <w:hideMark/>
          </w:tcPr>
          <w:p w14:paraId="599CC5D0"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Togo</w:t>
            </w:r>
          </w:p>
        </w:tc>
        <w:tc>
          <w:tcPr>
            <w:tcW w:w="404" w:type="pct"/>
            <w:tcBorders>
              <w:top w:val="nil"/>
              <w:left w:val="nil"/>
              <w:bottom w:val="nil"/>
              <w:right w:val="nil"/>
            </w:tcBorders>
            <w:shd w:val="clear" w:color="auto" w:fill="auto"/>
            <w:vAlign w:val="center"/>
            <w:hideMark/>
          </w:tcPr>
          <w:p w14:paraId="6E5D9AD2" w14:textId="77777777" w:rsidR="00CC659A" w:rsidRPr="00CC659A" w:rsidRDefault="00CC659A" w:rsidP="00CC659A">
            <w:pPr>
              <w:spacing w:after="0" w:line="240" w:lineRule="auto"/>
              <w:ind w:left="-108"/>
              <w:jc w:val="center"/>
              <w:rPr>
                <w:rFonts w:eastAsia="Times New Roman"/>
                <w:color w:val="000000"/>
                <w:sz w:val="16"/>
                <w:szCs w:val="16"/>
                <w:lang w:val="es-ES"/>
              </w:rPr>
            </w:pPr>
            <w:r w:rsidRPr="00CC659A">
              <w:rPr>
                <w:rFonts w:eastAsia="Times New Roman"/>
                <w:color w:val="000000"/>
                <w:sz w:val="16"/>
                <w:szCs w:val="16"/>
                <w:lang w:val="es-ES"/>
              </w:rPr>
              <w:t>0.002</w:t>
            </w:r>
          </w:p>
        </w:tc>
        <w:tc>
          <w:tcPr>
            <w:tcW w:w="420" w:type="pct"/>
            <w:tcBorders>
              <w:top w:val="nil"/>
              <w:left w:val="nil"/>
              <w:bottom w:val="nil"/>
              <w:right w:val="single" w:sz="8" w:space="0" w:color="808080"/>
            </w:tcBorders>
            <w:shd w:val="clear" w:color="auto" w:fill="auto"/>
            <w:vAlign w:val="center"/>
            <w:hideMark/>
          </w:tcPr>
          <w:p w14:paraId="18095776" w14:textId="77777777" w:rsidR="00CC659A" w:rsidRPr="00CC659A" w:rsidRDefault="00CC659A" w:rsidP="00CC659A">
            <w:pPr>
              <w:spacing w:after="0" w:line="240" w:lineRule="auto"/>
              <w:ind w:left="-108"/>
              <w:jc w:val="right"/>
              <w:rPr>
                <w:rFonts w:eastAsia="Times New Roman" w:cs="Arial"/>
                <w:color w:val="000000"/>
                <w:sz w:val="16"/>
                <w:szCs w:val="16"/>
                <w:lang w:val="es-ES"/>
              </w:rPr>
            </w:pPr>
            <w:r w:rsidRPr="00CC659A">
              <w:rPr>
                <w:rFonts w:eastAsia="Times New Roman" w:cs="Arial"/>
                <w:color w:val="000000"/>
                <w:sz w:val="16"/>
                <w:szCs w:val="16"/>
                <w:lang w:val="es-ES"/>
              </w:rPr>
              <w:t>0.005</w:t>
            </w:r>
          </w:p>
        </w:tc>
        <w:tc>
          <w:tcPr>
            <w:tcW w:w="444" w:type="pct"/>
            <w:tcBorders>
              <w:top w:val="nil"/>
              <w:left w:val="nil"/>
              <w:bottom w:val="nil"/>
              <w:right w:val="single" w:sz="4" w:space="0" w:color="808080"/>
            </w:tcBorders>
            <w:shd w:val="clear" w:color="auto" w:fill="auto"/>
            <w:vAlign w:val="center"/>
            <w:hideMark/>
          </w:tcPr>
          <w:p w14:paraId="396D165F"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403 </w:t>
            </w:r>
          </w:p>
        </w:tc>
        <w:tc>
          <w:tcPr>
            <w:tcW w:w="437" w:type="pct"/>
            <w:tcBorders>
              <w:top w:val="nil"/>
              <w:left w:val="nil"/>
              <w:bottom w:val="nil"/>
              <w:right w:val="single" w:sz="8" w:space="0" w:color="808080"/>
            </w:tcBorders>
            <w:shd w:val="clear" w:color="auto" w:fill="auto"/>
            <w:vAlign w:val="center"/>
            <w:hideMark/>
          </w:tcPr>
          <w:p w14:paraId="28FFFF73"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134 </w:t>
            </w:r>
          </w:p>
        </w:tc>
        <w:tc>
          <w:tcPr>
            <w:tcW w:w="444" w:type="pct"/>
            <w:tcBorders>
              <w:top w:val="nil"/>
              <w:left w:val="nil"/>
              <w:bottom w:val="nil"/>
              <w:right w:val="single" w:sz="4" w:space="0" w:color="808080"/>
            </w:tcBorders>
            <w:shd w:val="clear" w:color="auto" w:fill="auto"/>
            <w:vAlign w:val="center"/>
            <w:hideMark/>
          </w:tcPr>
          <w:p w14:paraId="7FF79672"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449 </w:t>
            </w:r>
          </w:p>
        </w:tc>
        <w:tc>
          <w:tcPr>
            <w:tcW w:w="437" w:type="pct"/>
            <w:tcBorders>
              <w:top w:val="nil"/>
              <w:left w:val="nil"/>
              <w:bottom w:val="nil"/>
              <w:right w:val="single" w:sz="8" w:space="0" w:color="808080"/>
            </w:tcBorders>
            <w:shd w:val="clear" w:color="auto" w:fill="auto"/>
            <w:vAlign w:val="center"/>
            <w:hideMark/>
          </w:tcPr>
          <w:p w14:paraId="5853920B"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150 </w:t>
            </w:r>
          </w:p>
        </w:tc>
        <w:tc>
          <w:tcPr>
            <w:tcW w:w="444" w:type="pct"/>
            <w:tcBorders>
              <w:top w:val="nil"/>
              <w:left w:val="nil"/>
              <w:bottom w:val="nil"/>
              <w:right w:val="single" w:sz="4" w:space="0" w:color="808080"/>
            </w:tcBorders>
            <w:shd w:val="clear" w:color="auto" w:fill="auto"/>
            <w:vAlign w:val="center"/>
            <w:hideMark/>
          </w:tcPr>
          <w:p w14:paraId="191688F0"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526 </w:t>
            </w:r>
          </w:p>
        </w:tc>
        <w:tc>
          <w:tcPr>
            <w:tcW w:w="437" w:type="pct"/>
            <w:tcBorders>
              <w:top w:val="nil"/>
              <w:left w:val="nil"/>
              <w:bottom w:val="nil"/>
              <w:right w:val="single" w:sz="8" w:space="0" w:color="808080"/>
            </w:tcBorders>
            <w:shd w:val="clear" w:color="auto" w:fill="auto"/>
            <w:vAlign w:val="center"/>
            <w:hideMark/>
          </w:tcPr>
          <w:p w14:paraId="109029F8"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175 </w:t>
            </w:r>
          </w:p>
        </w:tc>
        <w:tc>
          <w:tcPr>
            <w:tcW w:w="444" w:type="pct"/>
            <w:tcBorders>
              <w:top w:val="nil"/>
              <w:left w:val="single" w:sz="4" w:space="0" w:color="808080"/>
              <w:bottom w:val="nil"/>
              <w:right w:val="single" w:sz="8" w:space="0" w:color="808080"/>
            </w:tcBorders>
            <w:shd w:val="clear" w:color="auto" w:fill="auto"/>
            <w:vAlign w:val="center"/>
            <w:hideMark/>
          </w:tcPr>
          <w:p w14:paraId="05A6CD37"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391 </w:t>
            </w:r>
          </w:p>
        </w:tc>
      </w:tr>
      <w:tr w:rsidR="006D34EE" w:rsidRPr="00CC659A" w14:paraId="63577079" w14:textId="77777777" w:rsidTr="00477854">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1365D7FC" w14:textId="77777777" w:rsidR="00CC659A" w:rsidRPr="00CC659A" w:rsidRDefault="00CC659A" w:rsidP="00CC659A">
            <w:pPr>
              <w:spacing w:after="0" w:line="240" w:lineRule="auto"/>
              <w:ind w:left="-108"/>
              <w:jc w:val="right"/>
              <w:rPr>
                <w:rFonts w:eastAsia="Times New Roman"/>
                <w:color w:val="000000"/>
                <w:sz w:val="16"/>
                <w:szCs w:val="16"/>
                <w:lang w:val="es-ES"/>
              </w:rPr>
            </w:pPr>
            <w:r w:rsidRPr="00CC659A">
              <w:rPr>
                <w:rFonts w:eastAsia="Times New Roman"/>
                <w:color w:val="000000"/>
                <w:sz w:val="16"/>
                <w:szCs w:val="16"/>
                <w:lang w:val="es-ES"/>
              </w:rPr>
              <w:t>122</w:t>
            </w:r>
          </w:p>
        </w:tc>
        <w:tc>
          <w:tcPr>
            <w:tcW w:w="920" w:type="pct"/>
            <w:tcBorders>
              <w:top w:val="nil"/>
              <w:left w:val="nil"/>
              <w:bottom w:val="nil"/>
              <w:right w:val="nil"/>
            </w:tcBorders>
            <w:shd w:val="clear" w:color="auto" w:fill="auto"/>
            <w:vAlign w:val="center"/>
            <w:hideMark/>
          </w:tcPr>
          <w:p w14:paraId="451B9552" w14:textId="352FE526"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Trinidad </w:t>
            </w:r>
            <w:r w:rsidR="002B0162">
              <w:rPr>
                <w:rFonts w:eastAsia="Times New Roman"/>
                <w:color w:val="000000"/>
                <w:sz w:val="16"/>
                <w:szCs w:val="16"/>
                <w:lang w:val="es-ES"/>
              </w:rPr>
              <w:t>y</w:t>
            </w:r>
            <w:r w:rsidRPr="00CC659A">
              <w:rPr>
                <w:rFonts w:eastAsia="Times New Roman"/>
                <w:color w:val="000000"/>
                <w:sz w:val="16"/>
                <w:szCs w:val="16"/>
                <w:lang w:val="es-ES"/>
              </w:rPr>
              <w:t xml:space="preserve"> Tobago</w:t>
            </w:r>
          </w:p>
        </w:tc>
        <w:tc>
          <w:tcPr>
            <w:tcW w:w="404" w:type="pct"/>
            <w:tcBorders>
              <w:top w:val="nil"/>
              <w:left w:val="nil"/>
              <w:bottom w:val="nil"/>
              <w:right w:val="nil"/>
            </w:tcBorders>
            <w:shd w:val="clear" w:color="auto" w:fill="auto"/>
            <w:vAlign w:val="center"/>
            <w:hideMark/>
          </w:tcPr>
          <w:p w14:paraId="4E3C3C29" w14:textId="77777777" w:rsidR="00CC659A" w:rsidRPr="00CC659A" w:rsidRDefault="00CC659A" w:rsidP="00CC659A">
            <w:pPr>
              <w:spacing w:after="0" w:line="240" w:lineRule="auto"/>
              <w:ind w:left="-108"/>
              <w:jc w:val="center"/>
              <w:rPr>
                <w:rFonts w:eastAsia="Times New Roman"/>
                <w:color w:val="000000"/>
                <w:sz w:val="16"/>
                <w:szCs w:val="16"/>
                <w:lang w:val="es-ES"/>
              </w:rPr>
            </w:pPr>
            <w:r w:rsidRPr="00CC659A">
              <w:rPr>
                <w:rFonts w:eastAsia="Times New Roman"/>
                <w:color w:val="000000"/>
                <w:sz w:val="16"/>
                <w:szCs w:val="16"/>
                <w:lang w:val="es-ES"/>
              </w:rPr>
              <w:t>0.037</w:t>
            </w:r>
          </w:p>
        </w:tc>
        <w:tc>
          <w:tcPr>
            <w:tcW w:w="420" w:type="pct"/>
            <w:tcBorders>
              <w:top w:val="nil"/>
              <w:left w:val="nil"/>
              <w:bottom w:val="nil"/>
              <w:right w:val="single" w:sz="8" w:space="0" w:color="808080"/>
            </w:tcBorders>
            <w:shd w:val="clear" w:color="auto" w:fill="auto"/>
            <w:vAlign w:val="center"/>
            <w:hideMark/>
          </w:tcPr>
          <w:p w14:paraId="77DCD4C5" w14:textId="77777777" w:rsidR="00CC659A" w:rsidRPr="00CC659A" w:rsidRDefault="00CC659A" w:rsidP="00CC659A">
            <w:pPr>
              <w:spacing w:after="0" w:line="240" w:lineRule="auto"/>
              <w:ind w:left="-108"/>
              <w:jc w:val="right"/>
              <w:rPr>
                <w:rFonts w:eastAsia="Times New Roman" w:cs="Arial"/>
                <w:color w:val="000000"/>
                <w:sz w:val="16"/>
                <w:szCs w:val="16"/>
                <w:lang w:val="es-ES"/>
              </w:rPr>
            </w:pPr>
            <w:r w:rsidRPr="00CC659A">
              <w:rPr>
                <w:rFonts w:eastAsia="Times New Roman" w:cs="Arial"/>
                <w:color w:val="000000"/>
                <w:sz w:val="16"/>
                <w:szCs w:val="16"/>
                <w:lang w:val="es-ES"/>
              </w:rPr>
              <w:t>0.085</w:t>
            </w:r>
          </w:p>
        </w:tc>
        <w:tc>
          <w:tcPr>
            <w:tcW w:w="444" w:type="pct"/>
            <w:tcBorders>
              <w:top w:val="nil"/>
              <w:left w:val="nil"/>
              <w:bottom w:val="nil"/>
              <w:right w:val="single" w:sz="4" w:space="0" w:color="808080"/>
            </w:tcBorders>
            <w:shd w:val="clear" w:color="auto" w:fill="auto"/>
            <w:vAlign w:val="center"/>
            <w:hideMark/>
          </w:tcPr>
          <w:p w14:paraId="6DDB8EA3"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7 452 </w:t>
            </w:r>
          </w:p>
        </w:tc>
        <w:tc>
          <w:tcPr>
            <w:tcW w:w="437" w:type="pct"/>
            <w:tcBorders>
              <w:top w:val="nil"/>
              <w:left w:val="nil"/>
              <w:bottom w:val="nil"/>
              <w:right w:val="single" w:sz="8" w:space="0" w:color="808080"/>
            </w:tcBorders>
            <w:shd w:val="clear" w:color="auto" w:fill="auto"/>
            <w:vAlign w:val="center"/>
            <w:hideMark/>
          </w:tcPr>
          <w:p w14:paraId="1AFBF3D6"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2 484 </w:t>
            </w:r>
          </w:p>
        </w:tc>
        <w:tc>
          <w:tcPr>
            <w:tcW w:w="444" w:type="pct"/>
            <w:tcBorders>
              <w:top w:val="nil"/>
              <w:left w:val="nil"/>
              <w:bottom w:val="nil"/>
              <w:right w:val="single" w:sz="4" w:space="0" w:color="808080"/>
            </w:tcBorders>
            <w:shd w:val="clear" w:color="auto" w:fill="auto"/>
            <w:vAlign w:val="center"/>
            <w:hideMark/>
          </w:tcPr>
          <w:p w14:paraId="4EC60C84"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8 313 </w:t>
            </w:r>
          </w:p>
        </w:tc>
        <w:tc>
          <w:tcPr>
            <w:tcW w:w="437" w:type="pct"/>
            <w:tcBorders>
              <w:top w:val="nil"/>
              <w:left w:val="nil"/>
              <w:bottom w:val="nil"/>
              <w:right w:val="single" w:sz="8" w:space="0" w:color="808080"/>
            </w:tcBorders>
            <w:shd w:val="clear" w:color="auto" w:fill="auto"/>
            <w:vAlign w:val="center"/>
            <w:hideMark/>
          </w:tcPr>
          <w:p w14:paraId="1EDB1180"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2 771 </w:t>
            </w:r>
          </w:p>
        </w:tc>
        <w:tc>
          <w:tcPr>
            <w:tcW w:w="444" w:type="pct"/>
            <w:tcBorders>
              <w:top w:val="nil"/>
              <w:left w:val="nil"/>
              <w:bottom w:val="nil"/>
              <w:right w:val="single" w:sz="4" w:space="0" w:color="808080"/>
            </w:tcBorders>
            <w:shd w:val="clear" w:color="auto" w:fill="auto"/>
            <w:vAlign w:val="center"/>
            <w:hideMark/>
          </w:tcPr>
          <w:p w14:paraId="553B2467"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9 733 </w:t>
            </w:r>
          </w:p>
        </w:tc>
        <w:tc>
          <w:tcPr>
            <w:tcW w:w="437" w:type="pct"/>
            <w:tcBorders>
              <w:top w:val="nil"/>
              <w:left w:val="nil"/>
              <w:bottom w:val="nil"/>
              <w:right w:val="single" w:sz="8" w:space="0" w:color="808080"/>
            </w:tcBorders>
            <w:shd w:val="clear" w:color="auto" w:fill="auto"/>
            <w:vAlign w:val="center"/>
            <w:hideMark/>
          </w:tcPr>
          <w:p w14:paraId="58F07981"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3 244 </w:t>
            </w:r>
          </w:p>
        </w:tc>
        <w:tc>
          <w:tcPr>
            <w:tcW w:w="444" w:type="pct"/>
            <w:tcBorders>
              <w:top w:val="nil"/>
              <w:left w:val="single" w:sz="4" w:space="0" w:color="808080"/>
              <w:bottom w:val="nil"/>
              <w:right w:val="single" w:sz="8" w:space="0" w:color="808080"/>
            </w:tcBorders>
            <w:shd w:val="clear" w:color="auto" w:fill="auto"/>
            <w:vAlign w:val="center"/>
            <w:hideMark/>
          </w:tcPr>
          <w:p w14:paraId="1C722DE5"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7 839 </w:t>
            </w:r>
          </w:p>
        </w:tc>
      </w:tr>
      <w:tr w:rsidR="006D34EE" w:rsidRPr="00CC659A" w14:paraId="3096F420" w14:textId="77777777" w:rsidTr="00477854">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2C82BA55" w14:textId="77777777" w:rsidR="00CC659A" w:rsidRPr="00CC659A" w:rsidRDefault="00CC659A" w:rsidP="00CC659A">
            <w:pPr>
              <w:spacing w:after="0" w:line="240" w:lineRule="auto"/>
              <w:ind w:left="-108"/>
              <w:jc w:val="right"/>
              <w:rPr>
                <w:rFonts w:eastAsia="Times New Roman"/>
                <w:color w:val="000000"/>
                <w:sz w:val="16"/>
                <w:szCs w:val="16"/>
                <w:lang w:val="es-ES"/>
              </w:rPr>
            </w:pPr>
            <w:r w:rsidRPr="00CC659A">
              <w:rPr>
                <w:rFonts w:eastAsia="Times New Roman"/>
                <w:color w:val="000000"/>
                <w:sz w:val="16"/>
                <w:szCs w:val="16"/>
                <w:lang w:val="es-ES"/>
              </w:rPr>
              <w:t>123</w:t>
            </w:r>
          </w:p>
        </w:tc>
        <w:tc>
          <w:tcPr>
            <w:tcW w:w="920" w:type="pct"/>
            <w:tcBorders>
              <w:top w:val="nil"/>
              <w:left w:val="nil"/>
              <w:bottom w:val="nil"/>
              <w:right w:val="nil"/>
            </w:tcBorders>
            <w:shd w:val="clear" w:color="auto" w:fill="auto"/>
            <w:vAlign w:val="center"/>
            <w:hideMark/>
          </w:tcPr>
          <w:p w14:paraId="2E3329B2" w14:textId="7D286568" w:rsidR="00CC659A" w:rsidRPr="00CC659A" w:rsidRDefault="009F2103"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Tún</w:t>
            </w:r>
            <w:r>
              <w:rPr>
                <w:rFonts w:eastAsia="Times New Roman"/>
                <w:color w:val="000000"/>
                <w:sz w:val="16"/>
                <w:szCs w:val="16"/>
                <w:lang w:val="es-ES"/>
              </w:rPr>
              <w:t>ez</w:t>
            </w:r>
          </w:p>
        </w:tc>
        <w:tc>
          <w:tcPr>
            <w:tcW w:w="404" w:type="pct"/>
            <w:tcBorders>
              <w:top w:val="nil"/>
              <w:left w:val="nil"/>
              <w:bottom w:val="nil"/>
              <w:right w:val="nil"/>
            </w:tcBorders>
            <w:shd w:val="clear" w:color="auto" w:fill="auto"/>
            <w:vAlign w:val="center"/>
            <w:hideMark/>
          </w:tcPr>
          <w:p w14:paraId="7BD34AD5" w14:textId="77777777" w:rsidR="00CC659A" w:rsidRPr="00CC659A" w:rsidRDefault="00CC659A" w:rsidP="00CC659A">
            <w:pPr>
              <w:spacing w:after="0" w:line="240" w:lineRule="auto"/>
              <w:ind w:left="-108"/>
              <w:jc w:val="center"/>
              <w:rPr>
                <w:rFonts w:eastAsia="Times New Roman"/>
                <w:color w:val="000000"/>
                <w:sz w:val="16"/>
                <w:szCs w:val="16"/>
                <w:lang w:val="es-ES"/>
              </w:rPr>
            </w:pPr>
            <w:r w:rsidRPr="00CC659A">
              <w:rPr>
                <w:rFonts w:eastAsia="Times New Roman"/>
                <w:color w:val="000000"/>
                <w:sz w:val="16"/>
                <w:szCs w:val="16"/>
                <w:lang w:val="es-ES"/>
              </w:rPr>
              <w:t>0.019</w:t>
            </w:r>
          </w:p>
        </w:tc>
        <w:tc>
          <w:tcPr>
            <w:tcW w:w="420" w:type="pct"/>
            <w:tcBorders>
              <w:top w:val="nil"/>
              <w:left w:val="nil"/>
              <w:bottom w:val="nil"/>
              <w:right w:val="single" w:sz="8" w:space="0" w:color="808080"/>
            </w:tcBorders>
            <w:shd w:val="clear" w:color="auto" w:fill="auto"/>
            <w:vAlign w:val="center"/>
            <w:hideMark/>
          </w:tcPr>
          <w:p w14:paraId="73EABDEB" w14:textId="77777777" w:rsidR="00CC659A" w:rsidRPr="00CC659A" w:rsidRDefault="00CC659A" w:rsidP="00CC659A">
            <w:pPr>
              <w:spacing w:after="0" w:line="240" w:lineRule="auto"/>
              <w:ind w:left="-108"/>
              <w:jc w:val="right"/>
              <w:rPr>
                <w:rFonts w:eastAsia="Times New Roman" w:cs="Arial"/>
                <w:color w:val="000000"/>
                <w:sz w:val="16"/>
                <w:szCs w:val="16"/>
                <w:lang w:val="es-ES"/>
              </w:rPr>
            </w:pPr>
            <w:r w:rsidRPr="00CC659A">
              <w:rPr>
                <w:rFonts w:eastAsia="Times New Roman" w:cs="Arial"/>
                <w:color w:val="000000"/>
                <w:sz w:val="16"/>
                <w:szCs w:val="16"/>
                <w:lang w:val="es-ES"/>
              </w:rPr>
              <w:t>0.044</w:t>
            </w:r>
          </w:p>
        </w:tc>
        <w:tc>
          <w:tcPr>
            <w:tcW w:w="444" w:type="pct"/>
            <w:tcBorders>
              <w:top w:val="nil"/>
              <w:left w:val="nil"/>
              <w:bottom w:val="nil"/>
              <w:right w:val="single" w:sz="4" w:space="0" w:color="808080"/>
            </w:tcBorders>
            <w:shd w:val="clear" w:color="auto" w:fill="auto"/>
            <w:vAlign w:val="center"/>
            <w:hideMark/>
          </w:tcPr>
          <w:p w14:paraId="0F84D9FC"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3 827 </w:t>
            </w:r>
          </w:p>
        </w:tc>
        <w:tc>
          <w:tcPr>
            <w:tcW w:w="437" w:type="pct"/>
            <w:tcBorders>
              <w:top w:val="nil"/>
              <w:left w:val="nil"/>
              <w:bottom w:val="nil"/>
              <w:right w:val="single" w:sz="8" w:space="0" w:color="808080"/>
            </w:tcBorders>
            <w:shd w:val="clear" w:color="auto" w:fill="auto"/>
            <w:vAlign w:val="center"/>
            <w:hideMark/>
          </w:tcPr>
          <w:p w14:paraId="76AB4487"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1 276 </w:t>
            </w:r>
          </w:p>
        </w:tc>
        <w:tc>
          <w:tcPr>
            <w:tcW w:w="444" w:type="pct"/>
            <w:tcBorders>
              <w:top w:val="nil"/>
              <w:left w:val="nil"/>
              <w:bottom w:val="nil"/>
              <w:right w:val="single" w:sz="4" w:space="0" w:color="808080"/>
            </w:tcBorders>
            <w:shd w:val="clear" w:color="auto" w:fill="auto"/>
            <w:vAlign w:val="center"/>
            <w:hideMark/>
          </w:tcPr>
          <w:p w14:paraId="2370E0C9"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4 269 </w:t>
            </w:r>
          </w:p>
        </w:tc>
        <w:tc>
          <w:tcPr>
            <w:tcW w:w="437" w:type="pct"/>
            <w:tcBorders>
              <w:top w:val="nil"/>
              <w:left w:val="nil"/>
              <w:bottom w:val="nil"/>
              <w:right w:val="single" w:sz="8" w:space="0" w:color="808080"/>
            </w:tcBorders>
            <w:shd w:val="clear" w:color="auto" w:fill="auto"/>
            <w:vAlign w:val="center"/>
            <w:hideMark/>
          </w:tcPr>
          <w:p w14:paraId="3C6C4EAB"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1 423 </w:t>
            </w:r>
          </w:p>
        </w:tc>
        <w:tc>
          <w:tcPr>
            <w:tcW w:w="444" w:type="pct"/>
            <w:tcBorders>
              <w:top w:val="nil"/>
              <w:left w:val="nil"/>
              <w:bottom w:val="nil"/>
              <w:right w:val="single" w:sz="4" w:space="0" w:color="808080"/>
            </w:tcBorders>
            <w:shd w:val="clear" w:color="auto" w:fill="auto"/>
            <w:vAlign w:val="center"/>
            <w:hideMark/>
          </w:tcPr>
          <w:p w14:paraId="2212D32F"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4 998 </w:t>
            </w:r>
          </w:p>
        </w:tc>
        <w:tc>
          <w:tcPr>
            <w:tcW w:w="437" w:type="pct"/>
            <w:tcBorders>
              <w:top w:val="nil"/>
              <w:left w:val="nil"/>
              <w:bottom w:val="nil"/>
              <w:right w:val="single" w:sz="8" w:space="0" w:color="808080"/>
            </w:tcBorders>
            <w:shd w:val="clear" w:color="auto" w:fill="auto"/>
            <w:vAlign w:val="center"/>
            <w:hideMark/>
          </w:tcPr>
          <w:p w14:paraId="473C7C7A"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1 666 </w:t>
            </w:r>
          </w:p>
        </w:tc>
        <w:tc>
          <w:tcPr>
            <w:tcW w:w="444" w:type="pct"/>
            <w:tcBorders>
              <w:top w:val="nil"/>
              <w:left w:val="single" w:sz="4" w:space="0" w:color="808080"/>
              <w:bottom w:val="nil"/>
              <w:right w:val="single" w:sz="8" w:space="0" w:color="808080"/>
            </w:tcBorders>
            <w:shd w:val="clear" w:color="auto" w:fill="auto"/>
            <w:vAlign w:val="center"/>
            <w:hideMark/>
          </w:tcPr>
          <w:p w14:paraId="76803C51"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4 899 </w:t>
            </w:r>
          </w:p>
        </w:tc>
      </w:tr>
      <w:tr w:rsidR="006D34EE" w:rsidRPr="00CC659A" w14:paraId="3560DE38" w14:textId="77777777" w:rsidTr="00477854">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2A203D7A" w14:textId="77777777" w:rsidR="00CC659A" w:rsidRPr="00CC659A" w:rsidRDefault="00CC659A" w:rsidP="00CC659A">
            <w:pPr>
              <w:spacing w:after="0" w:line="240" w:lineRule="auto"/>
              <w:ind w:left="-108"/>
              <w:jc w:val="right"/>
              <w:rPr>
                <w:rFonts w:eastAsia="Times New Roman"/>
                <w:color w:val="000000"/>
                <w:sz w:val="16"/>
                <w:szCs w:val="16"/>
                <w:lang w:val="es-ES"/>
              </w:rPr>
            </w:pPr>
            <w:r w:rsidRPr="00CC659A">
              <w:rPr>
                <w:rFonts w:eastAsia="Times New Roman"/>
                <w:color w:val="000000"/>
                <w:sz w:val="16"/>
                <w:szCs w:val="16"/>
                <w:lang w:val="es-ES"/>
              </w:rPr>
              <w:t>124</w:t>
            </w:r>
          </w:p>
        </w:tc>
        <w:tc>
          <w:tcPr>
            <w:tcW w:w="920" w:type="pct"/>
            <w:tcBorders>
              <w:top w:val="nil"/>
              <w:left w:val="nil"/>
              <w:bottom w:val="nil"/>
              <w:right w:val="nil"/>
            </w:tcBorders>
            <w:shd w:val="clear" w:color="auto" w:fill="auto"/>
            <w:vAlign w:val="center"/>
            <w:hideMark/>
          </w:tcPr>
          <w:p w14:paraId="31E34098" w14:textId="3D05FDBC" w:rsidR="00CC659A" w:rsidRPr="00CC659A" w:rsidRDefault="002B0162"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Turkmenistán</w:t>
            </w:r>
          </w:p>
        </w:tc>
        <w:tc>
          <w:tcPr>
            <w:tcW w:w="404" w:type="pct"/>
            <w:tcBorders>
              <w:top w:val="nil"/>
              <w:left w:val="nil"/>
              <w:bottom w:val="nil"/>
              <w:right w:val="nil"/>
            </w:tcBorders>
            <w:shd w:val="clear" w:color="auto" w:fill="auto"/>
            <w:vAlign w:val="center"/>
            <w:hideMark/>
          </w:tcPr>
          <w:p w14:paraId="7631E7CC" w14:textId="77777777" w:rsidR="00CC659A" w:rsidRPr="00CC659A" w:rsidRDefault="00CC659A" w:rsidP="00CC659A">
            <w:pPr>
              <w:spacing w:after="0" w:line="240" w:lineRule="auto"/>
              <w:ind w:left="-108"/>
              <w:jc w:val="center"/>
              <w:rPr>
                <w:rFonts w:eastAsia="Times New Roman"/>
                <w:color w:val="000000"/>
                <w:sz w:val="16"/>
                <w:szCs w:val="16"/>
                <w:lang w:val="es-ES"/>
              </w:rPr>
            </w:pPr>
            <w:r w:rsidRPr="00CC659A">
              <w:rPr>
                <w:rFonts w:eastAsia="Times New Roman"/>
                <w:color w:val="000000"/>
                <w:sz w:val="16"/>
                <w:szCs w:val="16"/>
                <w:lang w:val="es-ES"/>
              </w:rPr>
              <w:t>0.034</w:t>
            </w:r>
          </w:p>
        </w:tc>
        <w:tc>
          <w:tcPr>
            <w:tcW w:w="420" w:type="pct"/>
            <w:tcBorders>
              <w:top w:val="nil"/>
              <w:left w:val="nil"/>
              <w:bottom w:val="nil"/>
              <w:right w:val="single" w:sz="8" w:space="0" w:color="808080"/>
            </w:tcBorders>
            <w:shd w:val="clear" w:color="auto" w:fill="auto"/>
            <w:vAlign w:val="center"/>
            <w:hideMark/>
          </w:tcPr>
          <w:p w14:paraId="7396827B" w14:textId="77777777" w:rsidR="00CC659A" w:rsidRPr="00CC659A" w:rsidRDefault="00CC659A" w:rsidP="00CC659A">
            <w:pPr>
              <w:spacing w:after="0" w:line="240" w:lineRule="auto"/>
              <w:ind w:left="-108"/>
              <w:jc w:val="right"/>
              <w:rPr>
                <w:rFonts w:eastAsia="Times New Roman" w:cs="Arial"/>
                <w:color w:val="000000"/>
                <w:sz w:val="16"/>
                <w:szCs w:val="16"/>
                <w:lang w:val="es-ES"/>
              </w:rPr>
            </w:pPr>
            <w:r w:rsidRPr="00CC659A">
              <w:rPr>
                <w:rFonts w:eastAsia="Times New Roman" w:cs="Arial"/>
                <w:color w:val="000000"/>
                <w:sz w:val="16"/>
                <w:szCs w:val="16"/>
                <w:lang w:val="es-ES"/>
              </w:rPr>
              <w:t>0.078</w:t>
            </w:r>
          </w:p>
        </w:tc>
        <w:tc>
          <w:tcPr>
            <w:tcW w:w="444" w:type="pct"/>
            <w:tcBorders>
              <w:top w:val="nil"/>
              <w:left w:val="nil"/>
              <w:bottom w:val="nil"/>
              <w:right w:val="single" w:sz="4" w:space="0" w:color="808080"/>
            </w:tcBorders>
            <w:shd w:val="clear" w:color="auto" w:fill="auto"/>
            <w:vAlign w:val="center"/>
            <w:hideMark/>
          </w:tcPr>
          <w:p w14:paraId="70188ECF"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6 848 </w:t>
            </w:r>
          </w:p>
        </w:tc>
        <w:tc>
          <w:tcPr>
            <w:tcW w:w="437" w:type="pct"/>
            <w:tcBorders>
              <w:top w:val="nil"/>
              <w:left w:val="nil"/>
              <w:bottom w:val="nil"/>
              <w:right w:val="single" w:sz="8" w:space="0" w:color="808080"/>
            </w:tcBorders>
            <w:shd w:val="clear" w:color="auto" w:fill="auto"/>
            <w:vAlign w:val="center"/>
            <w:hideMark/>
          </w:tcPr>
          <w:p w14:paraId="792B8B37"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2 283 </w:t>
            </w:r>
          </w:p>
        </w:tc>
        <w:tc>
          <w:tcPr>
            <w:tcW w:w="444" w:type="pct"/>
            <w:tcBorders>
              <w:top w:val="nil"/>
              <w:left w:val="nil"/>
              <w:bottom w:val="nil"/>
              <w:right w:val="single" w:sz="4" w:space="0" w:color="808080"/>
            </w:tcBorders>
            <w:shd w:val="clear" w:color="auto" w:fill="auto"/>
            <w:vAlign w:val="center"/>
            <w:hideMark/>
          </w:tcPr>
          <w:p w14:paraId="1688AC1A"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7 639 </w:t>
            </w:r>
          </w:p>
        </w:tc>
        <w:tc>
          <w:tcPr>
            <w:tcW w:w="437" w:type="pct"/>
            <w:tcBorders>
              <w:top w:val="nil"/>
              <w:left w:val="nil"/>
              <w:bottom w:val="nil"/>
              <w:right w:val="single" w:sz="8" w:space="0" w:color="808080"/>
            </w:tcBorders>
            <w:shd w:val="clear" w:color="auto" w:fill="auto"/>
            <w:vAlign w:val="center"/>
            <w:hideMark/>
          </w:tcPr>
          <w:p w14:paraId="143F234F"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2 546 </w:t>
            </w:r>
          </w:p>
        </w:tc>
        <w:tc>
          <w:tcPr>
            <w:tcW w:w="444" w:type="pct"/>
            <w:tcBorders>
              <w:top w:val="nil"/>
              <w:left w:val="nil"/>
              <w:bottom w:val="nil"/>
              <w:right w:val="single" w:sz="4" w:space="0" w:color="808080"/>
            </w:tcBorders>
            <w:shd w:val="clear" w:color="auto" w:fill="auto"/>
            <w:vAlign w:val="center"/>
            <w:hideMark/>
          </w:tcPr>
          <w:p w14:paraId="553A5A93"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8 944 </w:t>
            </w:r>
          </w:p>
        </w:tc>
        <w:tc>
          <w:tcPr>
            <w:tcW w:w="437" w:type="pct"/>
            <w:tcBorders>
              <w:top w:val="nil"/>
              <w:left w:val="nil"/>
              <w:bottom w:val="nil"/>
              <w:right w:val="single" w:sz="8" w:space="0" w:color="808080"/>
            </w:tcBorders>
            <w:shd w:val="clear" w:color="auto" w:fill="auto"/>
            <w:vAlign w:val="center"/>
            <w:hideMark/>
          </w:tcPr>
          <w:p w14:paraId="3AB1A12E"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2 981 </w:t>
            </w:r>
          </w:p>
        </w:tc>
        <w:tc>
          <w:tcPr>
            <w:tcW w:w="444" w:type="pct"/>
            <w:tcBorders>
              <w:top w:val="nil"/>
              <w:left w:val="single" w:sz="4" w:space="0" w:color="808080"/>
              <w:bottom w:val="nil"/>
              <w:right w:val="single" w:sz="8" w:space="0" w:color="808080"/>
            </w:tcBorders>
            <w:shd w:val="clear" w:color="auto" w:fill="auto"/>
            <w:vAlign w:val="center"/>
            <w:hideMark/>
          </w:tcPr>
          <w:p w14:paraId="4B812B24"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   </w:t>
            </w:r>
          </w:p>
        </w:tc>
      </w:tr>
      <w:tr w:rsidR="006D34EE" w:rsidRPr="00CC659A" w14:paraId="70C0BA14" w14:textId="77777777" w:rsidTr="00477854">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6039D186" w14:textId="77777777" w:rsidR="00CC659A" w:rsidRPr="00CC659A" w:rsidRDefault="00CC659A" w:rsidP="00CC659A">
            <w:pPr>
              <w:spacing w:after="0" w:line="240" w:lineRule="auto"/>
              <w:ind w:left="-108"/>
              <w:jc w:val="right"/>
              <w:rPr>
                <w:rFonts w:eastAsia="Times New Roman"/>
                <w:color w:val="000000"/>
                <w:sz w:val="16"/>
                <w:szCs w:val="16"/>
                <w:lang w:val="es-ES"/>
              </w:rPr>
            </w:pPr>
            <w:r w:rsidRPr="00CC659A">
              <w:rPr>
                <w:rFonts w:eastAsia="Times New Roman"/>
                <w:color w:val="000000"/>
                <w:sz w:val="16"/>
                <w:szCs w:val="16"/>
                <w:lang w:val="es-ES"/>
              </w:rPr>
              <w:t>125</w:t>
            </w:r>
          </w:p>
        </w:tc>
        <w:tc>
          <w:tcPr>
            <w:tcW w:w="920" w:type="pct"/>
            <w:tcBorders>
              <w:top w:val="nil"/>
              <w:left w:val="nil"/>
              <w:bottom w:val="nil"/>
              <w:right w:val="nil"/>
            </w:tcBorders>
            <w:shd w:val="clear" w:color="auto" w:fill="auto"/>
            <w:vAlign w:val="center"/>
            <w:hideMark/>
          </w:tcPr>
          <w:p w14:paraId="2527F0F3" w14:textId="42F454EA" w:rsidR="00CC659A" w:rsidRPr="00CC659A" w:rsidRDefault="002B0162"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Uganda</w:t>
            </w:r>
          </w:p>
        </w:tc>
        <w:tc>
          <w:tcPr>
            <w:tcW w:w="404" w:type="pct"/>
            <w:tcBorders>
              <w:top w:val="nil"/>
              <w:left w:val="nil"/>
              <w:bottom w:val="nil"/>
              <w:right w:val="nil"/>
            </w:tcBorders>
            <w:shd w:val="clear" w:color="auto" w:fill="auto"/>
            <w:vAlign w:val="center"/>
            <w:hideMark/>
          </w:tcPr>
          <w:p w14:paraId="08536A01" w14:textId="77777777" w:rsidR="00CC659A" w:rsidRPr="00CC659A" w:rsidRDefault="00CC659A" w:rsidP="00CC659A">
            <w:pPr>
              <w:spacing w:after="0" w:line="240" w:lineRule="auto"/>
              <w:ind w:left="-108"/>
              <w:jc w:val="center"/>
              <w:rPr>
                <w:rFonts w:eastAsia="Times New Roman"/>
                <w:color w:val="000000"/>
                <w:sz w:val="16"/>
                <w:szCs w:val="16"/>
                <w:lang w:val="es-ES"/>
              </w:rPr>
            </w:pPr>
            <w:r w:rsidRPr="00CC659A">
              <w:rPr>
                <w:rFonts w:eastAsia="Times New Roman"/>
                <w:color w:val="000000"/>
                <w:sz w:val="16"/>
                <w:szCs w:val="16"/>
                <w:lang w:val="es-ES"/>
              </w:rPr>
              <w:t>0.01</w:t>
            </w:r>
          </w:p>
        </w:tc>
        <w:tc>
          <w:tcPr>
            <w:tcW w:w="420" w:type="pct"/>
            <w:tcBorders>
              <w:top w:val="nil"/>
              <w:left w:val="nil"/>
              <w:bottom w:val="nil"/>
              <w:right w:val="single" w:sz="8" w:space="0" w:color="808080"/>
            </w:tcBorders>
            <w:shd w:val="clear" w:color="auto" w:fill="auto"/>
            <w:vAlign w:val="center"/>
            <w:hideMark/>
          </w:tcPr>
          <w:p w14:paraId="03166609" w14:textId="77777777" w:rsidR="00CC659A" w:rsidRPr="00CC659A" w:rsidRDefault="00CC659A" w:rsidP="00CC659A">
            <w:pPr>
              <w:spacing w:after="0" w:line="240" w:lineRule="auto"/>
              <w:ind w:left="-108"/>
              <w:jc w:val="right"/>
              <w:rPr>
                <w:rFonts w:eastAsia="Times New Roman" w:cs="Arial"/>
                <w:color w:val="000000"/>
                <w:sz w:val="16"/>
                <w:szCs w:val="16"/>
                <w:lang w:val="es-ES"/>
              </w:rPr>
            </w:pPr>
            <w:r w:rsidRPr="00CC659A">
              <w:rPr>
                <w:rFonts w:eastAsia="Times New Roman" w:cs="Arial"/>
                <w:color w:val="000000"/>
                <w:sz w:val="16"/>
                <w:szCs w:val="16"/>
                <w:lang w:val="es-ES"/>
              </w:rPr>
              <w:t>0.023</w:t>
            </w:r>
          </w:p>
        </w:tc>
        <w:tc>
          <w:tcPr>
            <w:tcW w:w="444" w:type="pct"/>
            <w:tcBorders>
              <w:top w:val="nil"/>
              <w:left w:val="nil"/>
              <w:bottom w:val="nil"/>
              <w:right w:val="single" w:sz="4" w:space="0" w:color="808080"/>
            </w:tcBorders>
            <w:shd w:val="clear" w:color="auto" w:fill="auto"/>
            <w:vAlign w:val="center"/>
            <w:hideMark/>
          </w:tcPr>
          <w:p w14:paraId="0D550731"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2 014 </w:t>
            </w:r>
          </w:p>
        </w:tc>
        <w:tc>
          <w:tcPr>
            <w:tcW w:w="437" w:type="pct"/>
            <w:tcBorders>
              <w:top w:val="nil"/>
              <w:left w:val="nil"/>
              <w:bottom w:val="nil"/>
              <w:right w:val="single" w:sz="8" w:space="0" w:color="808080"/>
            </w:tcBorders>
            <w:shd w:val="clear" w:color="auto" w:fill="auto"/>
            <w:vAlign w:val="center"/>
            <w:hideMark/>
          </w:tcPr>
          <w:p w14:paraId="1201A4D1"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671 </w:t>
            </w:r>
          </w:p>
        </w:tc>
        <w:tc>
          <w:tcPr>
            <w:tcW w:w="444" w:type="pct"/>
            <w:tcBorders>
              <w:top w:val="nil"/>
              <w:left w:val="nil"/>
              <w:bottom w:val="nil"/>
              <w:right w:val="single" w:sz="4" w:space="0" w:color="808080"/>
            </w:tcBorders>
            <w:shd w:val="clear" w:color="auto" w:fill="auto"/>
            <w:vAlign w:val="center"/>
            <w:hideMark/>
          </w:tcPr>
          <w:p w14:paraId="641CB15E"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2 247 </w:t>
            </w:r>
          </w:p>
        </w:tc>
        <w:tc>
          <w:tcPr>
            <w:tcW w:w="437" w:type="pct"/>
            <w:tcBorders>
              <w:top w:val="nil"/>
              <w:left w:val="nil"/>
              <w:bottom w:val="nil"/>
              <w:right w:val="single" w:sz="8" w:space="0" w:color="808080"/>
            </w:tcBorders>
            <w:shd w:val="clear" w:color="auto" w:fill="auto"/>
            <w:vAlign w:val="center"/>
            <w:hideMark/>
          </w:tcPr>
          <w:p w14:paraId="3BCD50BB"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749 </w:t>
            </w:r>
          </w:p>
        </w:tc>
        <w:tc>
          <w:tcPr>
            <w:tcW w:w="444" w:type="pct"/>
            <w:tcBorders>
              <w:top w:val="nil"/>
              <w:left w:val="nil"/>
              <w:bottom w:val="nil"/>
              <w:right w:val="single" w:sz="4" w:space="0" w:color="808080"/>
            </w:tcBorders>
            <w:shd w:val="clear" w:color="auto" w:fill="auto"/>
            <w:vAlign w:val="center"/>
            <w:hideMark/>
          </w:tcPr>
          <w:p w14:paraId="4E9EF58B"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2 631 </w:t>
            </w:r>
          </w:p>
        </w:tc>
        <w:tc>
          <w:tcPr>
            <w:tcW w:w="437" w:type="pct"/>
            <w:tcBorders>
              <w:top w:val="nil"/>
              <w:left w:val="nil"/>
              <w:bottom w:val="nil"/>
              <w:right w:val="single" w:sz="8" w:space="0" w:color="808080"/>
            </w:tcBorders>
            <w:shd w:val="clear" w:color="auto" w:fill="auto"/>
            <w:vAlign w:val="center"/>
            <w:hideMark/>
          </w:tcPr>
          <w:p w14:paraId="433EA6A5"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877 </w:t>
            </w:r>
          </w:p>
        </w:tc>
        <w:tc>
          <w:tcPr>
            <w:tcW w:w="444" w:type="pct"/>
            <w:tcBorders>
              <w:top w:val="nil"/>
              <w:left w:val="single" w:sz="4" w:space="0" w:color="808080"/>
              <w:bottom w:val="nil"/>
              <w:right w:val="single" w:sz="8" w:space="0" w:color="808080"/>
            </w:tcBorders>
            <w:shd w:val="clear" w:color="auto" w:fill="auto"/>
            <w:vAlign w:val="center"/>
            <w:hideMark/>
          </w:tcPr>
          <w:p w14:paraId="558BD6EA"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1 565 </w:t>
            </w:r>
          </w:p>
        </w:tc>
      </w:tr>
      <w:tr w:rsidR="006D34EE" w:rsidRPr="00CC659A" w14:paraId="213F5AAF" w14:textId="77777777" w:rsidTr="00477854">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2CAF80C3" w14:textId="77777777" w:rsidR="00CC659A" w:rsidRPr="00CC659A" w:rsidRDefault="00CC659A" w:rsidP="00CC659A">
            <w:pPr>
              <w:spacing w:after="0" w:line="240" w:lineRule="auto"/>
              <w:ind w:left="-108"/>
              <w:jc w:val="right"/>
              <w:rPr>
                <w:rFonts w:eastAsia="Times New Roman"/>
                <w:color w:val="000000"/>
                <w:sz w:val="16"/>
                <w:szCs w:val="16"/>
                <w:lang w:val="es-ES"/>
              </w:rPr>
            </w:pPr>
            <w:r w:rsidRPr="00CC659A">
              <w:rPr>
                <w:rFonts w:eastAsia="Times New Roman"/>
                <w:color w:val="000000"/>
                <w:sz w:val="16"/>
                <w:szCs w:val="16"/>
                <w:lang w:val="es-ES"/>
              </w:rPr>
              <w:lastRenderedPageBreak/>
              <w:t>126</w:t>
            </w:r>
          </w:p>
        </w:tc>
        <w:tc>
          <w:tcPr>
            <w:tcW w:w="920" w:type="pct"/>
            <w:tcBorders>
              <w:top w:val="nil"/>
              <w:left w:val="nil"/>
              <w:bottom w:val="nil"/>
              <w:right w:val="nil"/>
            </w:tcBorders>
            <w:shd w:val="clear" w:color="auto" w:fill="auto"/>
            <w:vAlign w:val="center"/>
            <w:hideMark/>
          </w:tcPr>
          <w:p w14:paraId="63EB771A" w14:textId="38CF2522" w:rsidR="00CC659A" w:rsidRPr="00CC659A" w:rsidRDefault="002B0162"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Ucrania</w:t>
            </w:r>
          </w:p>
        </w:tc>
        <w:tc>
          <w:tcPr>
            <w:tcW w:w="404" w:type="pct"/>
            <w:tcBorders>
              <w:top w:val="nil"/>
              <w:left w:val="nil"/>
              <w:bottom w:val="nil"/>
              <w:right w:val="nil"/>
            </w:tcBorders>
            <w:shd w:val="clear" w:color="auto" w:fill="auto"/>
            <w:vAlign w:val="center"/>
            <w:hideMark/>
          </w:tcPr>
          <w:p w14:paraId="5B451E79" w14:textId="77777777" w:rsidR="00CC659A" w:rsidRPr="00CC659A" w:rsidRDefault="00CC659A" w:rsidP="00CC659A">
            <w:pPr>
              <w:spacing w:after="0" w:line="240" w:lineRule="auto"/>
              <w:ind w:left="-108"/>
              <w:jc w:val="center"/>
              <w:rPr>
                <w:rFonts w:eastAsia="Times New Roman"/>
                <w:color w:val="000000"/>
                <w:sz w:val="16"/>
                <w:szCs w:val="16"/>
                <w:lang w:val="es-ES"/>
              </w:rPr>
            </w:pPr>
            <w:r w:rsidRPr="00CC659A">
              <w:rPr>
                <w:rFonts w:eastAsia="Times New Roman"/>
                <w:color w:val="000000"/>
                <w:sz w:val="16"/>
                <w:szCs w:val="16"/>
                <w:lang w:val="es-ES"/>
              </w:rPr>
              <w:t>0.056</w:t>
            </w:r>
          </w:p>
        </w:tc>
        <w:tc>
          <w:tcPr>
            <w:tcW w:w="420" w:type="pct"/>
            <w:tcBorders>
              <w:top w:val="nil"/>
              <w:left w:val="nil"/>
              <w:bottom w:val="nil"/>
              <w:right w:val="single" w:sz="8" w:space="0" w:color="808080"/>
            </w:tcBorders>
            <w:shd w:val="clear" w:color="auto" w:fill="auto"/>
            <w:vAlign w:val="center"/>
            <w:hideMark/>
          </w:tcPr>
          <w:p w14:paraId="05AEF5BB" w14:textId="77777777" w:rsidR="00CC659A" w:rsidRPr="00CC659A" w:rsidRDefault="00CC659A" w:rsidP="00CC659A">
            <w:pPr>
              <w:spacing w:after="0" w:line="240" w:lineRule="auto"/>
              <w:ind w:left="-108"/>
              <w:jc w:val="right"/>
              <w:rPr>
                <w:rFonts w:eastAsia="Times New Roman" w:cs="Arial"/>
                <w:color w:val="000000"/>
                <w:sz w:val="16"/>
                <w:szCs w:val="16"/>
                <w:lang w:val="es-ES"/>
              </w:rPr>
            </w:pPr>
            <w:r w:rsidRPr="00CC659A">
              <w:rPr>
                <w:rFonts w:eastAsia="Times New Roman" w:cs="Arial"/>
                <w:color w:val="000000"/>
                <w:sz w:val="16"/>
                <w:szCs w:val="16"/>
                <w:lang w:val="es-ES"/>
              </w:rPr>
              <w:t>0.129</w:t>
            </w:r>
          </w:p>
        </w:tc>
        <w:tc>
          <w:tcPr>
            <w:tcW w:w="444" w:type="pct"/>
            <w:tcBorders>
              <w:top w:val="nil"/>
              <w:left w:val="nil"/>
              <w:bottom w:val="nil"/>
              <w:right w:val="single" w:sz="4" w:space="0" w:color="808080"/>
            </w:tcBorders>
            <w:shd w:val="clear" w:color="auto" w:fill="auto"/>
            <w:vAlign w:val="center"/>
            <w:hideMark/>
          </w:tcPr>
          <w:p w14:paraId="2415BE62"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11 278 </w:t>
            </w:r>
          </w:p>
        </w:tc>
        <w:tc>
          <w:tcPr>
            <w:tcW w:w="437" w:type="pct"/>
            <w:tcBorders>
              <w:top w:val="nil"/>
              <w:left w:val="nil"/>
              <w:bottom w:val="nil"/>
              <w:right w:val="single" w:sz="8" w:space="0" w:color="808080"/>
            </w:tcBorders>
            <w:shd w:val="clear" w:color="auto" w:fill="auto"/>
            <w:vAlign w:val="center"/>
            <w:hideMark/>
          </w:tcPr>
          <w:p w14:paraId="713578F6"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3 759 </w:t>
            </w:r>
          </w:p>
        </w:tc>
        <w:tc>
          <w:tcPr>
            <w:tcW w:w="444" w:type="pct"/>
            <w:tcBorders>
              <w:top w:val="nil"/>
              <w:left w:val="nil"/>
              <w:bottom w:val="nil"/>
              <w:right w:val="single" w:sz="4" w:space="0" w:color="808080"/>
            </w:tcBorders>
            <w:shd w:val="clear" w:color="auto" w:fill="auto"/>
            <w:vAlign w:val="center"/>
            <w:hideMark/>
          </w:tcPr>
          <w:p w14:paraId="2B6E5A86"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12 582 </w:t>
            </w:r>
          </w:p>
        </w:tc>
        <w:tc>
          <w:tcPr>
            <w:tcW w:w="437" w:type="pct"/>
            <w:tcBorders>
              <w:top w:val="nil"/>
              <w:left w:val="nil"/>
              <w:bottom w:val="nil"/>
              <w:right w:val="single" w:sz="8" w:space="0" w:color="808080"/>
            </w:tcBorders>
            <w:shd w:val="clear" w:color="auto" w:fill="auto"/>
            <w:vAlign w:val="center"/>
            <w:hideMark/>
          </w:tcPr>
          <w:p w14:paraId="4393828C"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4 194 </w:t>
            </w:r>
          </w:p>
        </w:tc>
        <w:tc>
          <w:tcPr>
            <w:tcW w:w="444" w:type="pct"/>
            <w:tcBorders>
              <w:top w:val="nil"/>
              <w:left w:val="nil"/>
              <w:bottom w:val="nil"/>
              <w:right w:val="single" w:sz="4" w:space="0" w:color="808080"/>
            </w:tcBorders>
            <w:shd w:val="clear" w:color="auto" w:fill="auto"/>
            <w:vAlign w:val="center"/>
            <w:hideMark/>
          </w:tcPr>
          <w:p w14:paraId="0D0413B9"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14 732 </w:t>
            </w:r>
          </w:p>
        </w:tc>
        <w:tc>
          <w:tcPr>
            <w:tcW w:w="437" w:type="pct"/>
            <w:tcBorders>
              <w:top w:val="nil"/>
              <w:left w:val="nil"/>
              <w:bottom w:val="nil"/>
              <w:right w:val="single" w:sz="8" w:space="0" w:color="808080"/>
            </w:tcBorders>
            <w:shd w:val="clear" w:color="auto" w:fill="auto"/>
            <w:vAlign w:val="center"/>
            <w:hideMark/>
          </w:tcPr>
          <w:p w14:paraId="70755208"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4 911 </w:t>
            </w:r>
          </w:p>
        </w:tc>
        <w:tc>
          <w:tcPr>
            <w:tcW w:w="444" w:type="pct"/>
            <w:tcBorders>
              <w:top w:val="nil"/>
              <w:left w:val="single" w:sz="4" w:space="0" w:color="808080"/>
              <w:bottom w:val="nil"/>
              <w:right w:val="single" w:sz="8" w:space="0" w:color="808080"/>
            </w:tcBorders>
            <w:shd w:val="clear" w:color="auto" w:fill="auto"/>
            <w:vAlign w:val="center"/>
            <w:hideMark/>
          </w:tcPr>
          <w:p w14:paraId="5FD8F517"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11 169 </w:t>
            </w:r>
          </w:p>
        </w:tc>
      </w:tr>
      <w:tr w:rsidR="006D34EE" w:rsidRPr="00CC659A" w14:paraId="36EA7CCC" w14:textId="77777777" w:rsidTr="00477854">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1686B18F" w14:textId="77777777" w:rsidR="00CC659A" w:rsidRPr="00CC659A" w:rsidRDefault="00CC659A" w:rsidP="00CC659A">
            <w:pPr>
              <w:spacing w:after="0" w:line="240" w:lineRule="auto"/>
              <w:ind w:left="-108"/>
              <w:jc w:val="right"/>
              <w:rPr>
                <w:rFonts w:eastAsia="Times New Roman"/>
                <w:color w:val="000000"/>
                <w:sz w:val="16"/>
                <w:szCs w:val="16"/>
                <w:lang w:val="es-ES"/>
              </w:rPr>
            </w:pPr>
            <w:r w:rsidRPr="00CC659A">
              <w:rPr>
                <w:rFonts w:eastAsia="Times New Roman"/>
                <w:color w:val="000000"/>
                <w:sz w:val="16"/>
                <w:szCs w:val="16"/>
                <w:lang w:val="es-ES"/>
              </w:rPr>
              <w:t>127</w:t>
            </w:r>
          </w:p>
        </w:tc>
        <w:tc>
          <w:tcPr>
            <w:tcW w:w="920" w:type="pct"/>
            <w:tcBorders>
              <w:top w:val="nil"/>
              <w:left w:val="nil"/>
              <w:bottom w:val="nil"/>
              <w:right w:val="nil"/>
            </w:tcBorders>
            <w:shd w:val="clear" w:color="auto" w:fill="auto"/>
            <w:vAlign w:val="center"/>
            <w:hideMark/>
          </w:tcPr>
          <w:p w14:paraId="48568773" w14:textId="01B17366" w:rsidR="00CC659A" w:rsidRPr="00CC659A" w:rsidRDefault="002B0162"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Emiratos</w:t>
            </w:r>
            <w:r>
              <w:rPr>
                <w:rFonts w:eastAsia="Times New Roman"/>
                <w:color w:val="000000"/>
                <w:sz w:val="16"/>
                <w:szCs w:val="16"/>
                <w:lang w:val="es-ES"/>
              </w:rPr>
              <w:t xml:space="preserve"> Á</w:t>
            </w:r>
            <w:r w:rsidRPr="00CC659A">
              <w:rPr>
                <w:rFonts w:eastAsia="Times New Roman"/>
                <w:color w:val="000000"/>
                <w:sz w:val="16"/>
                <w:szCs w:val="16"/>
                <w:lang w:val="es-ES"/>
              </w:rPr>
              <w:t>rabes</w:t>
            </w:r>
            <w:r w:rsidR="00CC659A" w:rsidRPr="00CC659A">
              <w:rPr>
                <w:rFonts w:eastAsia="Times New Roman"/>
                <w:color w:val="000000"/>
                <w:sz w:val="16"/>
                <w:szCs w:val="16"/>
                <w:lang w:val="es-ES"/>
              </w:rPr>
              <w:t xml:space="preserve"> </w:t>
            </w:r>
            <w:r>
              <w:rPr>
                <w:rFonts w:eastAsia="Times New Roman"/>
                <w:color w:val="000000"/>
                <w:sz w:val="16"/>
                <w:szCs w:val="16"/>
                <w:lang w:val="es-ES"/>
              </w:rPr>
              <w:t>U</w:t>
            </w:r>
            <w:r w:rsidR="00CC659A" w:rsidRPr="00CC659A">
              <w:rPr>
                <w:rFonts w:eastAsia="Times New Roman"/>
                <w:color w:val="000000"/>
                <w:sz w:val="16"/>
                <w:szCs w:val="16"/>
                <w:lang w:val="es-ES"/>
              </w:rPr>
              <w:t>ni</w:t>
            </w:r>
            <w:r>
              <w:rPr>
                <w:rFonts w:eastAsia="Times New Roman"/>
                <w:color w:val="000000"/>
                <w:sz w:val="16"/>
                <w:szCs w:val="16"/>
                <w:lang w:val="es-ES"/>
              </w:rPr>
              <w:t>do</w:t>
            </w:r>
            <w:r w:rsidR="00CC659A" w:rsidRPr="00CC659A">
              <w:rPr>
                <w:rFonts w:eastAsia="Times New Roman"/>
                <w:color w:val="000000"/>
                <w:sz w:val="16"/>
                <w:szCs w:val="16"/>
                <w:lang w:val="es-ES"/>
              </w:rPr>
              <w:t>s</w:t>
            </w:r>
          </w:p>
        </w:tc>
        <w:tc>
          <w:tcPr>
            <w:tcW w:w="404" w:type="pct"/>
            <w:tcBorders>
              <w:top w:val="nil"/>
              <w:left w:val="nil"/>
              <w:bottom w:val="nil"/>
              <w:right w:val="nil"/>
            </w:tcBorders>
            <w:shd w:val="clear" w:color="auto" w:fill="auto"/>
            <w:vAlign w:val="center"/>
            <w:hideMark/>
          </w:tcPr>
          <w:p w14:paraId="3A973213" w14:textId="77777777" w:rsidR="00CC659A" w:rsidRPr="00CC659A" w:rsidRDefault="00CC659A" w:rsidP="00CC659A">
            <w:pPr>
              <w:spacing w:after="0" w:line="240" w:lineRule="auto"/>
              <w:ind w:left="-108"/>
              <w:jc w:val="center"/>
              <w:rPr>
                <w:rFonts w:eastAsia="Times New Roman"/>
                <w:color w:val="000000"/>
                <w:sz w:val="16"/>
                <w:szCs w:val="16"/>
                <w:lang w:val="es-ES"/>
              </w:rPr>
            </w:pPr>
            <w:r w:rsidRPr="00CC659A">
              <w:rPr>
                <w:rFonts w:eastAsia="Times New Roman"/>
                <w:color w:val="000000"/>
                <w:sz w:val="16"/>
                <w:szCs w:val="16"/>
                <w:lang w:val="es-ES"/>
              </w:rPr>
              <w:t>0.635</w:t>
            </w:r>
          </w:p>
        </w:tc>
        <w:tc>
          <w:tcPr>
            <w:tcW w:w="420" w:type="pct"/>
            <w:tcBorders>
              <w:top w:val="nil"/>
              <w:left w:val="nil"/>
              <w:bottom w:val="nil"/>
              <w:right w:val="single" w:sz="8" w:space="0" w:color="808080"/>
            </w:tcBorders>
            <w:shd w:val="clear" w:color="auto" w:fill="auto"/>
            <w:vAlign w:val="center"/>
            <w:hideMark/>
          </w:tcPr>
          <w:p w14:paraId="5568E0F0" w14:textId="77777777" w:rsidR="00CC659A" w:rsidRPr="00CC659A" w:rsidRDefault="00CC659A" w:rsidP="00CC659A">
            <w:pPr>
              <w:spacing w:after="0" w:line="240" w:lineRule="auto"/>
              <w:ind w:left="-108"/>
              <w:jc w:val="right"/>
              <w:rPr>
                <w:rFonts w:eastAsia="Times New Roman" w:cs="Arial"/>
                <w:color w:val="000000"/>
                <w:sz w:val="16"/>
                <w:szCs w:val="16"/>
                <w:lang w:val="es-ES"/>
              </w:rPr>
            </w:pPr>
            <w:r w:rsidRPr="00CC659A">
              <w:rPr>
                <w:rFonts w:eastAsia="Times New Roman" w:cs="Arial"/>
                <w:color w:val="000000"/>
                <w:sz w:val="16"/>
                <w:szCs w:val="16"/>
                <w:lang w:val="es-ES"/>
              </w:rPr>
              <w:t>1.461</w:t>
            </w:r>
          </w:p>
        </w:tc>
        <w:tc>
          <w:tcPr>
            <w:tcW w:w="444" w:type="pct"/>
            <w:tcBorders>
              <w:top w:val="nil"/>
              <w:left w:val="nil"/>
              <w:bottom w:val="nil"/>
              <w:right w:val="single" w:sz="4" w:space="0" w:color="808080"/>
            </w:tcBorders>
            <w:shd w:val="clear" w:color="auto" w:fill="auto"/>
            <w:vAlign w:val="center"/>
            <w:hideMark/>
          </w:tcPr>
          <w:p w14:paraId="338A2F74"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127 890 </w:t>
            </w:r>
          </w:p>
        </w:tc>
        <w:tc>
          <w:tcPr>
            <w:tcW w:w="437" w:type="pct"/>
            <w:tcBorders>
              <w:top w:val="nil"/>
              <w:left w:val="nil"/>
              <w:bottom w:val="nil"/>
              <w:right w:val="single" w:sz="8" w:space="0" w:color="808080"/>
            </w:tcBorders>
            <w:shd w:val="clear" w:color="auto" w:fill="auto"/>
            <w:vAlign w:val="center"/>
            <w:hideMark/>
          </w:tcPr>
          <w:p w14:paraId="574B4DEE"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42 630 </w:t>
            </w:r>
          </w:p>
        </w:tc>
        <w:tc>
          <w:tcPr>
            <w:tcW w:w="444" w:type="pct"/>
            <w:tcBorders>
              <w:top w:val="nil"/>
              <w:left w:val="nil"/>
              <w:bottom w:val="nil"/>
              <w:right w:val="single" w:sz="4" w:space="0" w:color="808080"/>
            </w:tcBorders>
            <w:shd w:val="clear" w:color="auto" w:fill="auto"/>
            <w:vAlign w:val="center"/>
            <w:hideMark/>
          </w:tcPr>
          <w:p w14:paraId="7EF986AA"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142 667 </w:t>
            </w:r>
          </w:p>
        </w:tc>
        <w:tc>
          <w:tcPr>
            <w:tcW w:w="437" w:type="pct"/>
            <w:tcBorders>
              <w:top w:val="nil"/>
              <w:left w:val="nil"/>
              <w:bottom w:val="nil"/>
              <w:right w:val="single" w:sz="8" w:space="0" w:color="808080"/>
            </w:tcBorders>
            <w:shd w:val="clear" w:color="auto" w:fill="auto"/>
            <w:vAlign w:val="center"/>
            <w:hideMark/>
          </w:tcPr>
          <w:p w14:paraId="45B0147B"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47 556 </w:t>
            </w:r>
          </w:p>
        </w:tc>
        <w:tc>
          <w:tcPr>
            <w:tcW w:w="444" w:type="pct"/>
            <w:tcBorders>
              <w:top w:val="nil"/>
              <w:left w:val="nil"/>
              <w:bottom w:val="nil"/>
              <w:right w:val="single" w:sz="4" w:space="0" w:color="808080"/>
            </w:tcBorders>
            <w:shd w:val="clear" w:color="auto" w:fill="auto"/>
            <w:vAlign w:val="center"/>
            <w:hideMark/>
          </w:tcPr>
          <w:p w14:paraId="0F0E7BBE"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167 047 </w:t>
            </w:r>
          </w:p>
        </w:tc>
        <w:tc>
          <w:tcPr>
            <w:tcW w:w="437" w:type="pct"/>
            <w:tcBorders>
              <w:top w:val="nil"/>
              <w:left w:val="nil"/>
              <w:bottom w:val="nil"/>
              <w:right w:val="single" w:sz="8" w:space="0" w:color="808080"/>
            </w:tcBorders>
            <w:shd w:val="clear" w:color="auto" w:fill="auto"/>
            <w:vAlign w:val="center"/>
            <w:hideMark/>
          </w:tcPr>
          <w:p w14:paraId="39ADDF52"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55 682 </w:t>
            </w:r>
          </w:p>
        </w:tc>
        <w:tc>
          <w:tcPr>
            <w:tcW w:w="444" w:type="pct"/>
            <w:tcBorders>
              <w:top w:val="nil"/>
              <w:left w:val="single" w:sz="4" w:space="0" w:color="808080"/>
              <w:bottom w:val="nil"/>
              <w:right w:val="single" w:sz="8" w:space="0" w:color="808080"/>
            </w:tcBorders>
            <w:shd w:val="clear" w:color="auto" w:fill="auto"/>
            <w:vAlign w:val="center"/>
            <w:hideMark/>
          </w:tcPr>
          <w:p w14:paraId="5E5D2893"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120 713 </w:t>
            </w:r>
          </w:p>
        </w:tc>
      </w:tr>
      <w:tr w:rsidR="006D34EE" w:rsidRPr="00CC659A" w14:paraId="3F4D4C03" w14:textId="77777777" w:rsidTr="00477854">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5CC27F71" w14:textId="77777777" w:rsidR="00CC659A" w:rsidRPr="00CC659A" w:rsidRDefault="00CC659A" w:rsidP="00CC659A">
            <w:pPr>
              <w:spacing w:after="0" w:line="240" w:lineRule="auto"/>
              <w:ind w:left="-108"/>
              <w:jc w:val="right"/>
              <w:rPr>
                <w:rFonts w:eastAsia="Times New Roman"/>
                <w:color w:val="000000"/>
                <w:sz w:val="16"/>
                <w:szCs w:val="16"/>
                <w:lang w:val="es-ES"/>
              </w:rPr>
            </w:pPr>
            <w:r w:rsidRPr="00CC659A">
              <w:rPr>
                <w:rFonts w:eastAsia="Times New Roman"/>
                <w:color w:val="000000"/>
                <w:sz w:val="16"/>
                <w:szCs w:val="16"/>
                <w:lang w:val="es-ES"/>
              </w:rPr>
              <w:t>128</w:t>
            </w:r>
          </w:p>
        </w:tc>
        <w:tc>
          <w:tcPr>
            <w:tcW w:w="920" w:type="pct"/>
            <w:tcBorders>
              <w:top w:val="nil"/>
              <w:left w:val="nil"/>
              <w:bottom w:val="nil"/>
              <w:right w:val="nil"/>
            </w:tcBorders>
            <w:shd w:val="clear" w:color="auto" w:fill="auto"/>
            <w:vAlign w:val="center"/>
            <w:hideMark/>
          </w:tcPr>
          <w:p w14:paraId="2C9FEA05" w14:textId="7596F276" w:rsidR="00CC659A" w:rsidRPr="00CC659A" w:rsidRDefault="00792336" w:rsidP="00CC659A">
            <w:pPr>
              <w:spacing w:after="0" w:line="240" w:lineRule="auto"/>
              <w:ind w:left="-108"/>
              <w:rPr>
                <w:rFonts w:eastAsia="Times New Roman"/>
                <w:color w:val="000000"/>
                <w:sz w:val="16"/>
                <w:szCs w:val="16"/>
                <w:lang w:val="es-ES"/>
              </w:rPr>
            </w:pPr>
            <w:r>
              <w:rPr>
                <w:rFonts w:eastAsia="Times New Roman"/>
                <w:color w:val="000000"/>
                <w:sz w:val="16"/>
                <w:szCs w:val="16"/>
                <w:lang w:val="es-ES"/>
              </w:rPr>
              <w:t xml:space="preserve">Reino Unido de Gran Bretaña </w:t>
            </w:r>
            <w:r w:rsidR="0010460A">
              <w:rPr>
                <w:rFonts w:eastAsia="Times New Roman"/>
                <w:color w:val="000000"/>
                <w:sz w:val="16"/>
                <w:szCs w:val="16"/>
                <w:lang w:val="es-ES"/>
              </w:rPr>
              <w:t>e Irlanda del Norte</w:t>
            </w:r>
          </w:p>
        </w:tc>
        <w:tc>
          <w:tcPr>
            <w:tcW w:w="404" w:type="pct"/>
            <w:tcBorders>
              <w:top w:val="nil"/>
              <w:left w:val="nil"/>
              <w:bottom w:val="nil"/>
              <w:right w:val="nil"/>
            </w:tcBorders>
            <w:shd w:val="clear" w:color="auto" w:fill="auto"/>
            <w:vAlign w:val="center"/>
            <w:hideMark/>
          </w:tcPr>
          <w:p w14:paraId="0DE17EBD" w14:textId="77777777" w:rsidR="00CC659A" w:rsidRPr="00CC659A" w:rsidRDefault="00CC659A" w:rsidP="00CC659A">
            <w:pPr>
              <w:spacing w:after="0" w:line="240" w:lineRule="auto"/>
              <w:ind w:left="-108"/>
              <w:jc w:val="center"/>
              <w:rPr>
                <w:rFonts w:eastAsia="Times New Roman"/>
                <w:color w:val="000000"/>
                <w:sz w:val="16"/>
                <w:szCs w:val="16"/>
                <w:lang w:val="es-ES"/>
              </w:rPr>
            </w:pPr>
            <w:r w:rsidRPr="00CC659A">
              <w:rPr>
                <w:rFonts w:eastAsia="Times New Roman"/>
                <w:color w:val="000000"/>
                <w:sz w:val="16"/>
                <w:szCs w:val="16"/>
                <w:lang w:val="es-ES"/>
              </w:rPr>
              <w:t>4.375</w:t>
            </w:r>
          </w:p>
        </w:tc>
        <w:tc>
          <w:tcPr>
            <w:tcW w:w="420" w:type="pct"/>
            <w:tcBorders>
              <w:top w:val="nil"/>
              <w:left w:val="nil"/>
              <w:bottom w:val="nil"/>
              <w:right w:val="single" w:sz="8" w:space="0" w:color="808080"/>
            </w:tcBorders>
            <w:shd w:val="clear" w:color="auto" w:fill="auto"/>
            <w:vAlign w:val="center"/>
            <w:hideMark/>
          </w:tcPr>
          <w:p w14:paraId="1EC7BFA0" w14:textId="77777777" w:rsidR="00CC659A" w:rsidRPr="00CC659A" w:rsidRDefault="00CC659A" w:rsidP="00CC659A">
            <w:pPr>
              <w:spacing w:after="0" w:line="240" w:lineRule="auto"/>
              <w:ind w:left="-108"/>
              <w:jc w:val="right"/>
              <w:rPr>
                <w:rFonts w:eastAsia="Times New Roman" w:cs="Arial"/>
                <w:color w:val="000000"/>
                <w:sz w:val="16"/>
                <w:szCs w:val="16"/>
                <w:lang w:val="es-ES"/>
              </w:rPr>
            </w:pPr>
            <w:r w:rsidRPr="00CC659A">
              <w:rPr>
                <w:rFonts w:eastAsia="Times New Roman" w:cs="Arial"/>
                <w:color w:val="000000"/>
                <w:sz w:val="16"/>
                <w:szCs w:val="16"/>
                <w:lang w:val="es-ES"/>
              </w:rPr>
              <w:t>10.068</w:t>
            </w:r>
          </w:p>
        </w:tc>
        <w:tc>
          <w:tcPr>
            <w:tcW w:w="444" w:type="pct"/>
            <w:tcBorders>
              <w:top w:val="nil"/>
              <w:left w:val="nil"/>
              <w:bottom w:val="nil"/>
              <w:right w:val="single" w:sz="4" w:space="0" w:color="808080"/>
            </w:tcBorders>
            <w:shd w:val="clear" w:color="auto" w:fill="auto"/>
            <w:vAlign w:val="center"/>
            <w:hideMark/>
          </w:tcPr>
          <w:p w14:paraId="700F21FB"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881 129 </w:t>
            </w:r>
          </w:p>
        </w:tc>
        <w:tc>
          <w:tcPr>
            <w:tcW w:w="437" w:type="pct"/>
            <w:tcBorders>
              <w:top w:val="nil"/>
              <w:left w:val="nil"/>
              <w:bottom w:val="nil"/>
              <w:right w:val="single" w:sz="8" w:space="0" w:color="808080"/>
            </w:tcBorders>
            <w:shd w:val="clear" w:color="auto" w:fill="auto"/>
            <w:vAlign w:val="center"/>
            <w:hideMark/>
          </w:tcPr>
          <w:p w14:paraId="0F97979E"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293 710 </w:t>
            </w:r>
          </w:p>
        </w:tc>
        <w:tc>
          <w:tcPr>
            <w:tcW w:w="444" w:type="pct"/>
            <w:tcBorders>
              <w:top w:val="nil"/>
              <w:left w:val="nil"/>
              <w:bottom w:val="nil"/>
              <w:right w:val="single" w:sz="4" w:space="0" w:color="808080"/>
            </w:tcBorders>
            <w:shd w:val="clear" w:color="auto" w:fill="auto"/>
            <w:vAlign w:val="center"/>
            <w:hideMark/>
          </w:tcPr>
          <w:p w14:paraId="45A03E92"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982 944 </w:t>
            </w:r>
          </w:p>
        </w:tc>
        <w:tc>
          <w:tcPr>
            <w:tcW w:w="437" w:type="pct"/>
            <w:tcBorders>
              <w:top w:val="nil"/>
              <w:left w:val="nil"/>
              <w:bottom w:val="nil"/>
              <w:right w:val="single" w:sz="8" w:space="0" w:color="808080"/>
            </w:tcBorders>
            <w:shd w:val="clear" w:color="auto" w:fill="auto"/>
            <w:vAlign w:val="center"/>
            <w:hideMark/>
          </w:tcPr>
          <w:p w14:paraId="2F8D4D64"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327 648 </w:t>
            </w:r>
          </w:p>
        </w:tc>
        <w:tc>
          <w:tcPr>
            <w:tcW w:w="444" w:type="pct"/>
            <w:tcBorders>
              <w:top w:val="nil"/>
              <w:left w:val="nil"/>
              <w:bottom w:val="nil"/>
              <w:right w:val="single" w:sz="4" w:space="0" w:color="808080"/>
            </w:tcBorders>
            <w:shd w:val="clear" w:color="auto" w:fill="auto"/>
            <w:vAlign w:val="center"/>
            <w:hideMark/>
          </w:tcPr>
          <w:p w14:paraId="5ADED3D0"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1 150 913 </w:t>
            </w:r>
          </w:p>
        </w:tc>
        <w:tc>
          <w:tcPr>
            <w:tcW w:w="437" w:type="pct"/>
            <w:tcBorders>
              <w:top w:val="nil"/>
              <w:left w:val="nil"/>
              <w:bottom w:val="nil"/>
              <w:right w:val="single" w:sz="8" w:space="0" w:color="808080"/>
            </w:tcBorders>
            <w:shd w:val="clear" w:color="auto" w:fill="auto"/>
            <w:vAlign w:val="center"/>
            <w:hideMark/>
          </w:tcPr>
          <w:p w14:paraId="3170AE47"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383 638 </w:t>
            </w:r>
          </w:p>
        </w:tc>
        <w:tc>
          <w:tcPr>
            <w:tcW w:w="444" w:type="pct"/>
            <w:tcBorders>
              <w:top w:val="nil"/>
              <w:left w:val="single" w:sz="4" w:space="0" w:color="808080"/>
              <w:bottom w:val="nil"/>
              <w:right w:val="single" w:sz="8" w:space="0" w:color="808080"/>
            </w:tcBorders>
            <w:shd w:val="clear" w:color="auto" w:fill="auto"/>
            <w:vAlign w:val="center"/>
            <w:hideMark/>
          </w:tcPr>
          <w:p w14:paraId="4ADA99DB"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894 957 </w:t>
            </w:r>
          </w:p>
        </w:tc>
      </w:tr>
      <w:tr w:rsidR="006D34EE" w:rsidRPr="00CC659A" w14:paraId="7309403A" w14:textId="77777777" w:rsidTr="00477854">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1369E6AF" w14:textId="77777777" w:rsidR="00CC659A" w:rsidRPr="00CC659A" w:rsidRDefault="00CC659A" w:rsidP="00CC659A">
            <w:pPr>
              <w:spacing w:after="0" w:line="240" w:lineRule="auto"/>
              <w:ind w:left="-108"/>
              <w:jc w:val="right"/>
              <w:rPr>
                <w:rFonts w:eastAsia="Times New Roman"/>
                <w:color w:val="000000"/>
                <w:sz w:val="16"/>
                <w:szCs w:val="16"/>
                <w:lang w:val="es-ES"/>
              </w:rPr>
            </w:pPr>
            <w:r w:rsidRPr="00CC659A">
              <w:rPr>
                <w:rFonts w:eastAsia="Times New Roman"/>
                <w:color w:val="000000"/>
                <w:sz w:val="16"/>
                <w:szCs w:val="16"/>
                <w:lang w:val="es-ES"/>
              </w:rPr>
              <w:t>129</w:t>
            </w:r>
          </w:p>
        </w:tc>
        <w:tc>
          <w:tcPr>
            <w:tcW w:w="920" w:type="pct"/>
            <w:tcBorders>
              <w:top w:val="nil"/>
              <w:left w:val="nil"/>
              <w:bottom w:val="nil"/>
              <w:right w:val="nil"/>
            </w:tcBorders>
            <w:shd w:val="clear" w:color="auto" w:fill="auto"/>
            <w:vAlign w:val="center"/>
            <w:hideMark/>
          </w:tcPr>
          <w:p w14:paraId="60C38803" w14:textId="381CA85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R</w:t>
            </w:r>
            <w:r w:rsidR="0010460A">
              <w:rPr>
                <w:rFonts w:eastAsia="Times New Roman"/>
                <w:color w:val="000000"/>
                <w:sz w:val="16"/>
                <w:szCs w:val="16"/>
                <w:lang w:val="es-ES"/>
              </w:rPr>
              <w:t>epública Unida de Tanzania</w:t>
            </w:r>
          </w:p>
        </w:tc>
        <w:tc>
          <w:tcPr>
            <w:tcW w:w="404" w:type="pct"/>
            <w:tcBorders>
              <w:top w:val="nil"/>
              <w:left w:val="nil"/>
              <w:bottom w:val="nil"/>
              <w:right w:val="nil"/>
            </w:tcBorders>
            <w:shd w:val="clear" w:color="auto" w:fill="auto"/>
            <w:vAlign w:val="center"/>
            <w:hideMark/>
          </w:tcPr>
          <w:p w14:paraId="4845BD05" w14:textId="77777777" w:rsidR="00CC659A" w:rsidRPr="00CC659A" w:rsidRDefault="00CC659A" w:rsidP="00CC659A">
            <w:pPr>
              <w:spacing w:after="0" w:line="240" w:lineRule="auto"/>
              <w:ind w:left="-108"/>
              <w:jc w:val="center"/>
              <w:rPr>
                <w:rFonts w:eastAsia="Times New Roman"/>
                <w:color w:val="000000"/>
                <w:sz w:val="16"/>
                <w:szCs w:val="16"/>
                <w:lang w:val="es-ES"/>
              </w:rPr>
            </w:pPr>
            <w:r w:rsidRPr="00CC659A">
              <w:rPr>
                <w:rFonts w:eastAsia="Times New Roman"/>
                <w:color w:val="000000"/>
                <w:sz w:val="16"/>
                <w:szCs w:val="16"/>
                <w:lang w:val="es-ES"/>
              </w:rPr>
              <w:t>0.01</w:t>
            </w:r>
          </w:p>
        </w:tc>
        <w:tc>
          <w:tcPr>
            <w:tcW w:w="420" w:type="pct"/>
            <w:tcBorders>
              <w:top w:val="nil"/>
              <w:left w:val="nil"/>
              <w:bottom w:val="nil"/>
              <w:right w:val="single" w:sz="8" w:space="0" w:color="808080"/>
            </w:tcBorders>
            <w:shd w:val="clear" w:color="auto" w:fill="auto"/>
            <w:vAlign w:val="center"/>
            <w:hideMark/>
          </w:tcPr>
          <w:p w14:paraId="3671522B" w14:textId="77777777" w:rsidR="00CC659A" w:rsidRPr="00CC659A" w:rsidRDefault="00CC659A" w:rsidP="00CC659A">
            <w:pPr>
              <w:spacing w:after="0" w:line="240" w:lineRule="auto"/>
              <w:ind w:left="-108"/>
              <w:jc w:val="right"/>
              <w:rPr>
                <w:rFonts w:eastAsia="Times New Roman" w:cs="Arial"/>
                <w:color w:val="000000"/>
                <w:sz w:val="16"/>
                <w:szCs w:val="16"/>
                <w:lang w:val="es-ES"/>
              </w:rPr>
            </w:pPr>
            <w:r w:rsidRPr="00CC659A">
              <w:rPr>
                <w:rFonts w:eastAsia="Times New Roman" w:cs="Arial"/>
                <w:color w:val="000000"/>
                <w:sz w:val="16"/>
                <w:szCs w:val="16"/>
                <w:lang w:val="es-ES"/>
              </w:rPr>
              <w:t>0.023</w:t>
            </w:r>
          </w:p>
        </w:tc>
        <w:tc>
          <w:tcPr>
            <w:tcW w:w="444" w:type="pct"/>
            <w:tcBorders>
              <w:top w:val="nil"/>
              <w:left w:val="nil"/>
              <w:bottom w:val="nil"/>
              <w:right w:val="single" w:sz="4" w:space="0" w:color="808080"/>
            </w:tcBorders>
            <w:shd w:val="clear" w:color="auto" w:fill="auto"/>
            <w:vAlign w:val="center"/>
            <w:hideMark/>
          </w:tcPr>
          <w:p w14:paraId="3469FDEF"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2 014 </w:t>
            </w:r>
          </w:p>
        </w:tc>
        <w:tc>
          <w:tcPr>
            <w:tcW w:w="437" w:type="pct"/>
            <w:tcBorders>
              <w:top w:val="nil"/>
              <w:left w:val="nil"/>
              <w:bottom w:val="nil"/>
              <w:right w:val="single" w:sz="8" w:space="0" w:color="808080"/>
            </w:tcBorders>
            <w:shd w:val="clear" w:color="auto" w:fill="auto"/>
            <w:vAlign w:val="center"/>
            <w:hideMark/>
          </w:tcPr>
          <w:p w14:paraId="613F8A25"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671 </w:t>
            </w:r>
          </w:p>
        </w:tc>
        <w:tc>
          <w:tcPr>
            <w:tcW w:w="444" w:type="pct"/>
            <w:tcBorders>
              <w:top w:val="nil"/>
              <w:left w:val="nil"/>
              <w:bottom w:val="nil"/>
              <w:right w:val="single" w:sz="4" w:space="0" w:color="808080"/>
            </w:tcBorders>
            <w:shd w:val="clear" w:color="auto" w:fill="auto"/>
            <w:vAlign w:val="center"/>
            <w:hideMark/>
          </w:tcPr>
          <w:p w14:paraId="5DA3A2DA"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2 247 </w:t>
            </w:r>
          </w:p>
        </w:tc>
        <w:tc>
          <w:tcPr>
            <w:tcW w:w="437" w:type="pct"/>
            <w:tcBorders>
              <w:top w:val="nil"/>
              <w:left w:val="nil"/>
              <w:bottom w:val="nil"/>
              <w:right w:val="single" w:sz="8" w:space="0" w:color="808080"/>
            </w:tcBorders>
            <w:shd w:val="clear" w:color="auto" w:fill="auto"/>
            <w:vAlign w:val="center"/>
            <w:hideMark/>
          </w:tcPr>
          <w:p w14:paraId="69AB773C"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749 </w:t>
            </w:r>
          </w:p>
        </w:tc>
        <w:tc>
          <w:tcPr>
            <w:tcW w:w="444" w:type="pct"/>
            <w:tcBorders>
              <w:top w:val="nil"/>
              <w:left w:val="nil"/>
              <w:bottom w:val="nil"/>
              <w:right w:val="single" w:sz="4" w:space="0" w:color="808080"/>
            </w:tcBorders>
            <w:shd w:val="clear" w:color="auto" w:fill="auto"/>
            <w:vAlign w:val="center"/>
            <w:hideMark/>
          </w:tcPr>
          <w:p w14:paraId="720A242B"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2 631 </w:t>
            </w:r>
          </w:p>
        </w:tc>
        <w:tc>
          <w:tcPr>
            <w:tcW w:w="437" w:type="pct"/>
            <w:tcBorders>
              <w:top w:val="nil"/>
              <w:left w:val="nil"/>
              <w:bottom w:val="nil"/>
              <w:right w:val="single" w:sz="8" w:space="0" w:color="808080"/>
            </w:tcBorders>
            <w:shd w:val="clear" w:color="auto" w:fill="auto"/>
            <w:vAlign w:val="center"/>
            <w:hideMark/>
          </w:tcPr>
          <w:p w14:paraId="0A1A6AA1"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877 </w:t>
            </w:r>
          </w:p>
        </w:tc>
        <w:tc>
          <w:tcPr>
            <w:tcW w:w="444" w:type="pct"/>
            <w:tcBorders>
              <w:top w:val="nil"/>
              <w:left w:val="single" w:sz="4" w:space="0" w:color="808080"/>
              <w:bottom w:val="nil"/>
              <w:right w:val="single" w:sz="8" w:space="0" w:color="808080"/>
            </w:tcBorders>
            <w:shd w:val="clear" w:color="auto" w:fill="auto"/>
            <w:vAlign w:val="center"/>
            <w:hideMark/>
          </w:tcPr>
          <w:p w14:paraId="32795045"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1 960 </w:t>
            </w:r>
          </w:p>
        </w:tc>
      </w:tr>
      <w:tr w:rsidR="006D34EE" w:rsidRPr="00CC659A" w14:paraId="65A82FC2" w14:textId="77777777" w:rsidTr="00477854">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44F1F71E" w14:textId="77777777" w:rsidR="00CC659A" w:rsidRPr="00CC659A" w:rsidRDefault="00CC659A" w:rsidP="00CC659A">
            <w:pPr>
              <w:spacing w:after="0" w:line="240" w:lineRule="auto"/>
              <w:ind w:left="-108"/>
              <w:jc w:val="right"/>
              <w:rPr>
                <w:rFonts w:eastAsia="Times New Roman"/>
                <w:color w:val="000000"/>
                <w:sz w:val="16"/>
                <w:szCs w:val="16"/>
                <w:lang w:val="es-ES"/>
              </w:rPr>
            </w:pPr>
            <w:r w:rsidRPr="00CC659A">
              <w:rPr>
                <w:rFonts w:eastAsia="Times New Roman"/>
                <w:color w:val="000000"/>
                <w:sz w:val="16"/>
                <w:szCs w:val="16"/>
                <w:lang w:val="es-ES"/>
              </w:rPr>
              <w:t>130</w:t>
            </w:r>
          </w:p>
        </w:tc>
        <w:tc>
          <w:tcPr>
            <w:tcW w:w="920" w:type="pct"/>
            <w:tcBorders>
              <w:top w:val="nil"/>
              <w:left w:val="nil"/>
              <w:bottom w:val="nil"/>
              <w:right w:val="nil"/>
            </w:tcBorders>
            <w:shd w:val="clear" w:color="auto" w:fill="auto"/>
            <w:vAlign w:val="center"/>
            <w:hideMark/>
          </w:tcPr>
          <w:p w14:paraId="11A21218"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Uruguay</w:t>
            </w:r>
          </w:p>
        </w:tc>
        <w:tc>
          <w:tcPr>
            <w:tcW w:w="404" w:type="pct"/>
            <w:tcBorders>
              <w:top w:val="nil"/>
              <w:left w:val="nil"/>
              <w:bottom w:val="nil"/>
              <w:right w:val="nil"/>
            </w:tcBorders>
            <w:shd w:val="clear" w:color="auto" w:fill="auto"/>
            <w:vAlign w:val="center"/>
            <w:hideMark/>
          </w:tcPr>
          <w:p w14:paraId="119CCE2E" w14:textId="77777777" w:rsidR="00CC659A" w:rsidRPr="00CC659A" w:rsidRDefault="00CC659A" w:rsidP="00CC659A">
            <w:pPr>
              <w:spacing w:after="0" w:line="240" w:lineRule="auto"/>
              <w:ind w:left="-108"/>
              <w:jc w:val="center"/>
              <w:rPr>
                <w:rFonts w:eastAsia="Times New Roman"/>
                <w:color w:val="000000"/>
                <w:sz w:val="16"/>
                <w:szCs w:val="16"/>
                <w:lang w:val="es-ES"/>
              </w:rPr>
            </w:pPr>
            <w:r w:rsidRPr="00CC659A">
              <w:rPr>
                <w:rFonts w:eastAsia="Times New Roman"/>
                <w:color w:val="000000"/>
                <w:sz w:val="16"/>
                <w:szCs w:val="16"/>
                <w:lang w:val="es-ES"/>
              </w:rPr>
              <w:t>0.092</w:t>
            </w:r>
          </w:p>
        </w:tc>
        <w:tc>
          <w:tcPr>
            <w:tcW w:w="420" w:type="pct"/>
            <w:tcBorders>
              <w:top w:val="nil"/>
              <w:left w:val="nil"/>
              <w:bottom w:val="nil"/>
              <w:right w:val="single" w:sz="8" w:space="0" w:color="808080"/>
            </w:tcBorders>
            <w:shd w:val="clear" w:color="auto" w:fill="auto"/>
            <w:vAlign w:val="center"/>
            <w:hideMark/>
          </w:tcPr>
          <w:p w14:paraId="479E7BAC" w14:textId="77777777" w:rsidR="00CC659A" w:rsidRPr="00CC659A" w:rsidRDefault="00CC659A" w:rsidP="00CC659A">
            <w:pPr>
              <w:spacing w:after="0" w:line="240" w:lineRule="auto"/>
              <w:ind w:left="-108"/>
              <w:jc w:val="right"/>
              <w:rPr>
                <w:rFonts w:eastAsia="Times New Roman" w:cs="Arial"/>
                <w:color w:val="000000"/>
                <w:sz w:val="16"/>
                <w:szCs w:val="16"/>
                <w:lang w:val="es-ES"/>
              </w:rPr>
            </w:pPr>
            <w:r w:rsidRPr="00CC659A">
              <w:rPr>
                <w:rFonts w:eastAsia="Times New Roman" w:cs="Arial"/>
                <w:color w:val="000000"/>
                <w:sz w:val="16"/>
                <w:szCs w:val="16"/>
                <w:lang w:val="es-ES"/>
              </w:rPr>
              <w:t>0.212</w:t>
            </w:r>
          </w:p>
        </w:tc>
        <w:tc>
          <w:tcPr>
            <w:tcW w:w="444" w:type="pct"/>
            <w:tcBorders>
              <w:top w:val="nil"/>
              <w:left w:val="nil"/>
              <w:bottom w:val="nil"/>
              <w:right w:val="single" w:sz="4" w:space="0" w:color="808080"/>
            </w:tcBorders>
            <w:shd w:val="clear" w:color="auto" w:fill="auto"/>
            <w:vAlign w:val="center"/>
            <w:hideMark/>
          </w:tcPr>
          <w:p w14:paraId="25FB61D5"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18 529 </w:t>
            </w:r>
          </w:p>
        </w:tc>
        <w:tc>
          <w:tcPr>
            <w:tcW w:w="437" w:type="pct"/>
            <w:tcBorders>
              <w:top w:val="nil"/>
              <w:left w:val="nil"/>
              <w:bottom w:val="nil"/>
              <w:right w:val="single" w:sz="8" w:space="0" w:color="808080"/>
            </w:tcBorders>
            <w:shd w:val="clear" w:color="auto" w:fill="auto"/>
            <w:vAlign w:val="center"/>
            <w:hideMark/>
          </w:tcPr>
          <w:p w14:paraId="37E4F4E2"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6 176 </w:t>
            </w:r>
          </w:p>
        </w:tc>
        <w:tc>
          <w:tcPr>
            <w:tcW w:w="444" w:type="pct"/>
            <w:tcBorders>
              <w:top w:val="nil"/>
              <w:left w:val="nil"/>
              <w:bottom w:val="nil"/>
              <w:right w:val="single" w:sz="4" w:space="0" w:color="808080"/>
            </w:tcBorders>
            <w:shd w:val="clear" w:color="auto" w:fill="auto"/>
            <w:vAlign w:val="center"/>
            <w:hideMark/>
          </w:tcPr>
          <w:p w14:paraId="65934709"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20 670 </w:t>
            </w:r>
          </w:p>
        </w:tc>
        <w:tc>
          <w:tcPr>
            <w:tcW w:w="437" w:type="pct"/>
            <w:tcBorders>
              <w:top w:val="nil"/>
              <w:left w:val="nil"/>
              <w:bottom w:val="nil"/>
              <w:right w:val="single" w:sz="8" w:space="0" w:color="808080"/>
            </w:tcBorders>
            <w:shd w:val="clear" w:color="auto" w:fill="auto"/>
            <w:vAlign w:val="center"/>
            <w:hideMark/>
          </w:tcPr>
          <w:p w14:paraId="5E19024E"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6 890 </w:t>
            </w:r>
          </w:p>
        </w:tc>
        <w:tc>
          <w:tcPr>
            <w:tcW w:w="444" w:type="pct"/>
            <w:tcBorders>
              <w:top w:val="nil"/>
              <w:left w:val="nil"/>
              <w:bottom w:val="nil"/>
              <w:right w:val="single" w:sz="4" w:space="0" w:color="808080"/>
            </w:tcBorders>
            <w:shd w:val="clear" w:color="auto" w:fill="auto"/>
            <w:vAlign w:val="center"/>
            <w:hideMark/>
          </w:tcPr>
          <w:p w14:paraId="007A429B"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24 202 </w:t>
            </w:r>
          </w:p>
        </w:tc>
        <w:tc>
          <w:tcPr>
            <w:tcW w:w="437" w:type="pct"/>
            <w:tcBorders>
              <w:top w:val="nil"/>
              <w:left w:val="nil"/>
              <w:bottom w:val="nil"/>
              <w:right w:val="single" w:sz="8" w:space="0" w:color="808080"/>
            </w:tcBorders>
            <w:shd w:val="clear" w:color="auto" w:fill="auto"/>
            <w:vAlign w:val="center"/>
            <w:hideMark/>
          </w:tcPr>
          <w:p w14:paraId="6D59E6BC"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8 067 </w:t>
            </w:r>
          </w:p>
        </w:tc>
        <w:tc>
          <w:tcPr>
            <w:tcW w:w="444" w:type="pct"/>
            <w:tcBorders>
              <w:top w:val="nil"/>
              <w:left w:val="single" w:sz="4" w:space="0" w:color="808080"/>
              <w:bottom w:val="nil"/>
              <w:right w:val="single" w:sz="8" w:space="0" w:color="808080"/>
            </w:tcBorders>
            <w:shd w:val="clear" w:color="auto" w:fill="auto"/>
            <w:vAlign w:val="center"/>
            <w:hideMark/>
          </w:tcPr>
          <w:p w14:paraId="2CF59D81"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17 048 </w:t>
            </w:r>
          </w:p>
        </w:tc>
      </w:tr>
      <w:tr w:rsidR="006D34EE" w:rsidRPr="00CC659A" w14:paraId="598FFDDB" w14:textId="77777777" w:rsidTr="00477854">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003D13C6" w14:textId="77777777" w:rsidR="00CC659A" w:rsidRPr="00CC659A" w:rsidRDefault="00CC659A" w:rsidP="00CC659A">
            <w:pPr>
              <w:spacing w:after="0" w:line="240" w:lineRule="auto"/>
              <w:ind w:left="-108"/>
              <w:jc w:val="right"/>
              <w:rPr>
                <w:rFonts w:eastAsia="Times New Roman"/>
                <w:color w:val="000000"/>
                <w:sz w:val="16"/>
                <w:szCs w:val="16"/>
                <w:lang w:val="es-ES"/>
              </w:rPr>
            </w:pPr>
            <w:r w:rsidRPr="00CC659A">
              <w:rPr>
                <w:rFonts w:eastAsia="Times New Roman"/>
                <w:color w:val="000000"/>
                <w:sz w:val="16"/>
                <w:szCs w:val="16"/>
                <w:lang w:val="es-ES"/>
              </w:rPr>
              <w:t>131</w:t>
            </w:r>
          </w:p>
        </w:tc>
        <w:tc>
          <w:tcPr>
            <w:tcW w:w="920" w:type="pct"/>
            <w:tcBorders>
              <w:top w:val="nil"/>
              <w:left w:val="nil"/>
              <w:bottom w:val="nil"/>
              <w:right w:val="nil"/>
            </w:tcBorders>
            <w:shd w:val="clear" w:color="auto" w:fill="auto"/>
            <w:vAlign w:val="center"/>
            <w:hideMark/>
          </w:tcPr>
          <w:p w14:paraId="422C54CB" w14:textId="48E6CA6C" w:rsidR="00CC659A" w:rsidRPr="00CC659A" w:rsidRDefault="0010460A" w:rsidP="00CC659A">
            <w:pPr>
              <w:spacing w:after="0" w:line="240" w:lineRule="auto"/>
              <w:ind w:left="-108"/>
              <w:rPr>
                <w:rFonts w:eastAsia="Times New Roman"/>
                <w:color w:val="000000"/>
                <w:sz w:val="16"/>
                <w:szCs w:val="16"/>
                <w:lang w:val="es-ES"/>
              </w:rPr>
            </w:pPr>
            <w:r>
              <w:rPr>
                <w:rFonts w:eastAsia="Times New Roman"/>
                <w:color w:val="000000"/>
                <w:sz w:val="16"/>
                <w:szCs w:val="16"/>
                <w:lang w:val="es-ES"/>
              </w:rPr>
              <w:t>U</w:t>
            </w:r>
            <w:r w:rsidR="00CC659A" w:rsidRPr="00CC659A">
              <w:rPr>
                <w:rFonts w:eastAsia="Times New Roman"/>
                <w:color w:val="000000"/>
                <w:sz w:val="16"/>
                <w:szCs w:val="16"/>
                <w:lang w:val="es-ES"/>
              </w:rPr>
              <w:t>zb</w:t>
            </w:r>
            <w:r>
              <w:rPr>
                <w:rFonts w:eastAsia="Times New Roman"/>
                <w:color w:val="000000"/>
                <w:sz w:val="16"/>
                <w:szCs w:val="16"/>
                <w:lang w:val="es-ES"/>
              </w:rPr>
              <w:t>e</w:t>
            </w:r>
            <w:r w:rsidR="00CC659A" w:rsidRPr="00CC659A">
              <w:rPr>
                <w:rFonts w:eastAsia="Times New Roman"/>
                <w:color w:val="000000"/>
                <w:sz w:val="16"/>
                <w:szCs w:val="16"/>
                <w:lang w:val="es-ES"/>
              </w:rPr>
              <w:t>kist</w:t>
            </w:r>
            <w:r>
              <w:rPr>
                <w:rFonts w:eastAsia="Times New Roman"/>
                <w:color w:val="000000"/>
                <w:sz w:val="16"/>
                <w:szCs w:val="16"/>
                <w:lang w:val="es-ES"/>
              </w:rPr>
              <w:t>á</w:t>
            </w:r>
            <w:r w:rsidR="00CC659A" w:rsidRPr="00CC659A">
              <w:rPr>
                <w:rFonts w:eastAsia="Times New Roman"/>
                <w:color w:val="000000"/>
                <w:sz w:val="16"/>
                <w:szCs w:val="16"/>
                <w:lang w:val="es-ES"/>
              </w:rPr>
              <w:t>n</w:t>
            </w:r>
          </w:p>
        </w:tc>
        <w:tc>
          <w:tcPr>
            <w:tcW w:w="404" w:type="pct"/>
            <w:tcBorders>
              <w:top w:val="nil"/>
              <w:left w:val="nil"/>
              <w:bottom w:val="nil"/>
              <w:right w:val="nil"/>
            </w:tcBorders>
            <w:shd w:val="clear" w:color="auto" w:fill="auto"/>
            <w:vAlign w:val="center"/>
            <w:hideMark/>
          </w:tcPr>
          <w:p w14:paraId="39BDBCA0" w14:textId="77777777" w:rsidR="00CC659A" w:rsidRPr="00CC659A" w:rsidRDefault="00CC659A" w:rsidP="00CC659A">
            <w:pPr>
              <w:spacing w:after="0" w:line="240" w:lineRule="auto"/>
              <w:ind w:left="-108"/>
              <w:jc w:val="center"/>
              <w:rPr>
                <w:rFonts w:eastAsia="Times New Roman"/>
                <w:color w:val="000000"/>
                <w:sz w:val="16"/>
                <w:szCs w:val="16"/>
                <w:lang w:val="es-ES"/>
              </w:rPr>
            </w:pPr>
            <w:r w:rsidRPr="00CC659A">
              <w:rPr>
                <w:rFonts w:eastAsia="Times New Roman"/>
                <w:color w:val="000000"/>
                <w:sz w:val="16"/>
                <w:szCs w:val="16"/>
                <w:lang w:val="es-ES"/>
              </w:rPr>
              <w:t>0.027</w:t>
            </w:r>
          </w:p>
        </w:tc>
        <w:tc>
          <w:tcPr>
            <w:tcW w:w="420" w:type="pct"/>
            <w:tcBorders>
              <w:top w:val="nil"/>
              <w:left w:val="nil"/>
              <w:bottom w:val="nil"/>
              <w:right w:val="single" w:sz="8" w:space="0" w:color="808080"/>
            </w:tcBorders>
            <w:shd w:val="clear" w:color="auto" w:fill="auto"/>
            <w:vAlign w:val="center"/>
            <w:hideMark/>
          </w:tcPr>
          <w:p w14:paraId="3EFA15ED" w14:textId="77777777" w:rsidR="00CC659A" w:rsidRPr="00CC659A" w:rsidRDefault="00CC659A" w:rsidP="00CC659A">
            <w:pPr>
              <w:spacing w:after="0" w:line="240" w:lineRule="auto"/>
              <w:ind w:left="-108"/>
              <w:jc w:val="right"/>
              <w:rPr>
                <w:rFonts w:eastAsia="Times New Roman" w:cs="Arial"/>
                <w:color w:val="000000"/>
                <w:sz w:val="16"/>
                <w:szCs w:val="16"/>
                <w:lang w:val="es-ES"/>
              </w:rPr>
            </w:pPr>
            <w:r w:rsidRPr="00CC659A">
              <w:rPr>
                <w:rFonts w:eastAsia="Times New Roman" w:cs="Arial"/>
                <w:color w:val="000000"/>
                <w:sz w:val="16"/>
                <w:szCs w:val="16"/>
                <w:lang w:val="es-ES"/>
              </w:rPr>
              <w:t>0.062</w:t>
            </w:r>
          </w:p>
        </w:tc>
        <w:tc>
          <w:tcPr>
            <w:tcW w:w="444" w:type="pct"/>
            <w:tcBorders>
              <w:top w:val="nil"/>
              <w:left w:val="nil"/>
              <w:bottom w:val="nil"/>
              <w:right w:val="single" w:sz="4" w:space="0" w:color="808080"/>
            </w:tcBorders>
            <w:shd w:val="clear" w:color="auto" w:fill="auto"/>
            <w:vAlign w:val="center"/>
            <w:hideMark/>
          </w:tcPr>
          <w:p w14:paraId="1B27E9BC"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5 438 </w:t>
            </w:r>
          </w:p>
        </w:tc>
        <w:tc>
          <w:tcPr>
            <w:tcW w:w="437" w:type="pct"/>
            <w:tcBorders>
              <w:top w:val="nil"/>
              <w:left w:val="nil"/>
              <w:bottom w:val="nil"/>
              <w:right w:val="single" w:sz="8" w:space="0" w:color="808080"/>
            </w:tcBorders>
            <w:shd w:val="clear" w:color="auto" w:fill="auto"/>
            <w:vAlign w:val="center"/>
            <w:hideMark/>
          </w:tcPr>
          <w:p w14:paraId="653E9375"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1 813 </w:t>
            </w:r>
          </w:p>
        </w:tc>
        <w:tc>
          <w:tcPr>
            <w:tcW w:w="444" w:type="pct"/>
            <w:tcBorders>
              <w:top w:val="nil"/>
              <w:left w:val="nil"/>
              <w:bottom w:val="nil"/>
              <w:right w:val="single" w:sz="4" w:space="0" w:color="808080"/>
            </w:tcBorders>
            <w:shd w:val="clear" w:color="auto" w:fill="auto"/>
            <w:vAlign w:val="center"/>
            <w:hideMark/>
          </w:tcPr>
          <w:p w14:paraId="2CABD841"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6 066 </w:t>
            </w:r>
          </w:p>
        </w:tc>
        <w:tc>
          <w:tcPr>
            <w:tcW w:w="437" w:type="pct"/>
            <w:tcBorders>
              <w:top w:val="nil"/>
              <w:left w:val="nil"/>
              <w:bottom w:val="nil"/>
              <w:right w:val="single" w:sz="8" w:space="0" w:color="808080"/>
            </w:tcBorders>
            <w:shd w:val="clear" w:color="auto" w:fill="auto"/>
            <w:vAlign w:val="center"/>
            <w:hideMark/>
          </w:tcPr>
          <w:p w14:paraId="57940CE7"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2 022 </w:t>
            </w:r>
          </w:p>
        </w:tc>
        <w:tc>
          <w:tcPr>
            <w:tcW w:w="444" w:type="pct"/>
            <w:tcBorders>
              <w:top w:val="nil"/>
              <w:left w:val="nil"/>
              <w:bottom w:val="nil"/>
              <w:right w:val="single" w:sz="4" w:space="0" w:color="808080"/>
            </w:tcBorders>
            <w:shd w:val="clear" w:color="auto" w:fill="auto"/>
            <w:vAlign w:val="center"/>
            <w:hideMark/>
          </w:tcPr>
          <w:p w14:paraId="65BFEB35"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7 103 </w:t>
            </w:r>
          </w:p>
        </w:tc>
        <w:tc>
          <w:tcPr>
            <w:tcW w:w="437" w:type="pct"/>
            <w:tcBorders>
              <w:top w:val="nil"/>
              <w:left w:val="nil"/>
              <w:bottom w:val="nil"/>
              <w:right w:val="single" w:sz="8" w:space="0" w:color="808080"/>
            </w:tcBorders>
            <w:shd w:val="clear" w:color="auto" w:fill="auto"/>
            <w:vAlign w:val="center"/>
            <w:hideMark/>
          </w:tcPr>
          <w:p w14:paraId="0EAF42AC"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2 368 </w:t>
            </w:r>
          </w:p>
        </w:tc>
        <w:tc>
          <w:tcPr>
            <w:tcW w:w="444" w:type="pct"/>
            <w:tcBorders>
              <w:top w:val="nil"/>
              <w:left w:val="single" w:sz="4" w:space="0" w:color="808080"/>
              <w:bottom w:val="nil"/>
              <w:right w:val="single" w:sz="8" w:space="0" w:color="808080"/>
            </w:tcBorders>
            <w:shd w:val="clear" w:color="auto" w:fill="auto"/>
            <w:vAlign w:val="center"/>
            <w:hideMark/>
          </w:tcPr>
          <w:p w14:paraId="749D81F8"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6 270 </w:t>
            </w:r>
          </w:p>
        </w:tc>
      </w:tr>
      <w:tr w:rsidR="006D34EE" w:rsidRPr="00CC659A" w14:paraId="01254773" w14:textId="77777777" w:rsidTr="00477854">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040A90A8" w14:textId="77777777" w:rsidR="00CC659A" w:rsidRPr="00CC659A" w:rsidRDefault="00CC659A" w:rsidP="00CC659A">
            <w:pPr>
              <w:spacing w:after="0" w:line="240" w:lineRule="auto"/>
              <w:ind w:left="-108"/>
              <w:jc w:val="right"/>
              <w:rPr>
                <w:rFonts w:eastAsia="Times New Roman"/>
                <w:color w:val="000000"/>
                <w:sz w:val="16"/>
                <w:szCs w:val="16"/>
                <w:lang w:val="es-ES"/>
              </w:rPr>
            </w:pPr>
            <w:r w:rsidRPr="00CC659A">
              <w:rPr>
                <w:rFonts w:eastAsia="Times New Roman"/>
                <w:color w:val="000000"/>
                <w:sz w:val="16"/>
                <w:szCs w:val="16"/>
                <w:lang w:val="es-ES"/>
              </w:rPr>
              <w:t>132</w:t>
            </w:r>
          </w:p>
        </w:tc>
        <w:tc>
          <w:tcPr>
            <w:tcW w:w="920" w:type="pct"/>
            <w:tcBorders>
              <w:top w:val="nil"/>
              <w:left w:val="nil"/>
              <w:bottom w:val="nil"/>
              <w:right w:val="nil"/>
            </w:tcBorders>
            <w:shd w:val="clear" w:color="auto" w:fill="auto"/>
            <w:vAlign w:val="center"/>
            <w:hideMark/>
          </w:tcPr>
          <w:p w14:paraId="245C2532" w14:textId="1C1474E2"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Y</w:t>
            </w:r>
            <w:r w:rsidR="0010460A">
              <w:rPr>
                <w:rFonts w:eastAsia="Times New Roman"/>
                <w:color w:val="000000"/>
                <w:sz w:val="16"/>
                <w:szCs w:val="16"/>
                <w:lang w:val="es-ES"/>
              </w:rPr>
              <w:t>e</w:t>
            </w:r>
            <w:r w:rsidRPr="00CC659A">
              <w:rPr>
                <w:rFonts w:eastAsia="Times New Roman"/>
                <w:color w:val="000000"/>
                <w:sz w:val="16"/>
                <w:szCs w:val="16"/>
                <w:lang w:val="es-ES"/>
              </w:rPr>
              <w:t>men</w:t>
            </w:r>
          </w:p>
        </w:tc>
        <w:tc>
          <w:tcPr>
            <w:tcW w:w="404" w:type="pct"/>
            <w:tcBorders>
              <w:top w:val="nil"/>
              <w:left w:val="nil"/>
              <w:bottom w:val="nil"/>
              <w:right w:val="nil"/>
            </w:tcBorders>
            <w:shd w:val="clear" w:color="auto" w:fill="auto"/>
            <w:vAlign w:val="center"/>
            <w:hideMark/>
          </w:tcPr>
          <w:p w14:paraId="7E0BB06C" w14:textId="77777777" w:rsidR="00CC659A" w:rsidRPr="00CC659A" w:rsidRDefault="00CC659A" w:rsidP="00CC659A">
            <w:pPr>
              <w:spacing w:after="0" w:line="240" w:lineRule="auto"/>
              <w:ind w:left="-108"/>
              <w:jc w:val="center"/>
              <w:rPr>
                <w:rFonts w:eastAsia="Times New Roman"/>
                <w:color w:val="000000"/>
                <w:sz w:val="16"/>
                <w:szCs w:val="16"/>
                <w:lang w:val="es-ES"/>
              </w:rPr>
            </w:pPr>
            <w:r w:rsidRPr="00CC659A">
              <w:rPr>
                <w:rFonts w:eastAsia="Times New Roman"/>
                <w:color w:val="000000"/>
                <w:sz w:val="16"/>
                <w:szCs w:val="16"/>
                <w:lang w:val="es-ES"/>
              </w:rPr>
              <w:t>0.008</w:t>
            </w:r>
          </w:p>
        </w:tc>
        <w:tc>
          <w:tcPr>
            <w:tcW w:w="420" w:type="pct"/>
            <w:tcBorders>
              <w:top w:val="nil"/>
              <w:left w:val="nil"/>
              <w:bottom w:val="nil"/>
              <w:right w:val="single" w:sz="8" w:space="0" w:color="808080"/>
            </w:tcBorders>
            <w:shd w:val="clear" w:color="auto" w:fill="auto"/>
            <w:vAlign w:val="center"/>
            <w:hideMark/>
          </w:tcPr>
          <w:p w14:paraId="217C2775" w14:textId="77777777" w:rsidR="00CC659A" w:rsidRPr="00CC659A" w:rsidRDefault="00CC659A" w:rsidP="00CC659A">
            <w:pPr>
              <w:spacing w:after="0" w:line="240" w:lineRule="auto"/>
              <w:ind w:left="-108"/>
              <w:jc w:val="right"/>
              <w:rPr>
                <w:rFonts w:eastAsia="Times New Roman" w:cs="Arial"/>
                <w:color w:val="000000"/>
                <w:sz w:val="16"/>
                <w:szCs w:val="16"/>
                <w:lang w:val="es-ES"/>
              </w:rPr>
            </w:pPr>
            <w:r w:rsidRPr="00CC659A">
              <w:rPr>
                <w:rFonts w:eastAsia="Times New Roman" w:cs="Arial"/>
                <w:color w:val="000000"/>
                <w:sz w:val="16"/>
                <w:szCs w:val="16"/>
                <w:lang w:val="es-ES"/>
              </w:rPr>
              <w:t>0.018</w:t>
            </w:r>
          </w:p>
        </w:tc>
        <w:tc>
          <w:tcPr>
            <w:tcW w:w="444" w:type="pct"/>
            <w:tcBorders>
              <w:top w:val="nil"/>
              <w:left w:val="nil"/>
              <w:bottom w:val="nil"/>
              <w:right w:val="single" w:sz="4" w:space="0" w:color="808080"/>
            </w:tcBorders>
            <w:shd w:val="clear" w:color="auto" w:fill="auto"/>
            <w:vAlign w:val="center"/>
            <w:hideMark/>
          </w:tcPr>
          <w:p w14:paraId="33026FAC"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1 611 </w:t>
            </w:r>
          </w:p>
        </w:tc>
        <w:tc>
          <w:tcPr>
            <w:tcW w:w="437" w:type="pct"/>
            <w:tcBorders>
              <w:top w:val="nil"/>
              <w:left w:val="nil"/>
              <w:bottom w:val="nil"/>
              <w:right w:val="single" w:sz="8" w:space="0" w:color="808080"/>
            </w:tcBorders>
            <w:shd w:val="clear" w:color="auto" w:fill="auto"/>
            <w:vAlign w:val="center"/>
            <w:hideMark/>
          </w:tcPr>
          <w:p w14:paraId="7F82EDDA"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537 </w:t>
            </w:r>
          </w:p>
        </w:tc>
        <w:tc>
          <w:tcPr>
            <w:tcW w:w="444" w:type="pct"/>
            <w:tcBorders>
              <w:top w:val="nil"/>
              <w:left w:val="nil"/>
              <w:bottom w:val="nil"/>
              <w:right w:val="single" w:sz="4" w:space="0" w:color="808080"/>
            </w:tcBorders>
            <w:shd w:val="clear" w:color="auto" w:fill="auto"/>
            <w:vAlign w:val="center"/>
            <w:hideMark/>
          </w:tcPr>
          <w:p w14:paraId="5CEBB243"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1 797 </w:t>
            </w:r>
          </w:p>
        </w:tc>
        <w:tc>
          <w:tcPr>
            <w:tcW w:w="437" w:type="pct"/>
            <w:tcBorders>
              <w:top w:val="nil"/>
              <w:left w:val="nil"/>
              <w:bottom w:val="nil"/>
              <w:right w:val="single" w:sz="8" w:space="0" w:color="808080"/>
            </w:tcBorders>
            <w:shd w:val="clear" w:color="auto" w:fill="auto"/>
            <w:vAlign w:val="center"/>
            <w:hideMark/>
          </w:tcPr>
          <w:p w14:paraId="5922AE19"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599 </w:t>
            </w:r>
          </w:p>
        </w:tc>
        <w:tc>
          <w:tcPr>
            <w:tcW w:w="444" w:type="pct"/>
            <w:tcBorders>
              <w:top w:val="nil"/>
              <w:left w:val="nil"/>
              <w:bottom w:val="nil"/>
              <w:right w:val="single" w:sz="4" w:space="0" w:color="808080"/>
            </w:tcBorders>
            <w:shd w:val="clear" w:color="auto" w:fill="auto"/>
            <w:vAlign w:val="center"/>
            <w:hideMark/>
          </w:tcPr>
          <w:p w14:paraId="227DD54B"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2 105 </w:t>
            </w:r>
          </w:p>
        </w:tc>
        <w:tc>
          <w:tcPr>
            <w:tcW w:w="437" w:type="pct"/>
            <w:tcBorders>
              <w:top w:val="nil"/>
              <w:left w:val="nil"/>
              <w:bottom w:val="nil"/>
              <w:right w:val="single" w:sz="8" w:space="0" w:color="808080"/>
            </w:tcBorders>
            <w:shd w:val="clear" w:color="auto" w:fill="auto"/>
            <w:vAlign w:val="center"/>
            <w:hideMark/>
          </w:tcPr>
          <w:p w14:paraId="506C5A6A"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702 </w:t>
            </w:r>
          </w:p>
        </w:tc>
        <w:tc>
          <w:tcPr>
            <w:tcW w:w="444" w:type="pct"/>
            <w:tcBorders>
              <w:top w:val="nil"/>
              <w:left w:val="single" w:sz="4" w:space="0" w:color="808080"/>
              <w:bottom w:val="nil"/>
              <w:right w:val="single" w:sz="8" w:space="0" w:color="808080"/>
            </w:tcBorders>
            <w:shd w:val="clear" w:color="auto" w:fill="auto"/>
            <w:vAlign w:val="center"/>
            <w:hideMark/>
          </w:tcPr>
          <w:p w14:paraId="67D568E0"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1 960 </w:t>
            </w:r>
          </w:p>
        </w:tc>
      </w:tr>
      <w:tr w:rsidR="006D34EE" w:rsidRPr="00CC659A" w14:paraId="41CD4D08" w14:textId="77777777" w:rsidTr="00477854">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0E32B3BD" w14:textId="77777777" w:rsidR="00CC659A" w:rsidRPr="00CC659A" w:rsidRDefault="00CC659A" w:rsidP="00CC659A">
            <w:pPr>
              <w:spacing w:after="0" w:line="240" w:lineRule="auto"/>
              <w:ind w:left="-108"/>
              <w:jc w:val="right"/>
              <w:rPr>
                <w:rFonts w:eastAsia="Times New Roman"/>
                <w:color w:val="000000"/>
                <w:sz w:val="16"/>
                <w:szCs w:val="16"/>
                <w:lang w:val="es-ES"/>
              </w:rPr>
            </w:pPr>
            <w:r w:rsidRPr="00CC659A">
              <w:rPr>
                <w:rFonts w:eastAsia="Times New Roman"/>
                <w:color w:val="000000"/>
                <w:sz w:val="16"/>
                <w:szCs w:val="16"/>
                <w:lang w:val="es-ES"/>
              </w:rPr>
              <w:t>133</w:t>
            </w:r>
          </w:p>
        </w:tc>
        <w:tc>
          <w:tcPr>
            <w:tcW w:w="920" w:type="pct"/>
            <w:tcBorders>
              <w:top w:val="nil"/>
              <w:left w:val="nil"/>
              <w:bottom w:val="nil"/>
              <w:right w:val="nil"/>
            </w:tcBorders>
            <w:shd w:val="clear" w:color="auto" w:fill="auto"/>
            <w:vAlign w:val="center"/>
            <w:hideMark/>
          </w:tcPr>
          <w:p w14:paraId="4A260C8A"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Zimbabwe</w:t>
            </w:r>
          </w:p>
        </w:tc>
        <w:tc>
          <w:tcPr>
            <w:tcW w:w="404" w:type="pct"/>
            <w:tcBorders>
              <w:top w:val="nil"/>
              <w:left w:val="nil"/>
              <w:bottom w:val="nil"/>
              <w:right w:val="nil"/>
            </w:tcBorders>
            <w:shd w:val="clear" w:color="auto" w:fill="auto"/>
            <w:vAlign w:val="center"/>
            <w:hideMark/>
          </w:tcPr>
          <w:p w14:paraId="30BBD5ED" w14:textId="77777777" w:rsidR="00CC659A" w:rsidRPr="00CC659A" w:rsidRDefault="00CC659A" w:rsidP="00CC659A">
            <w:pPr>
              <w:spacing w:after="0" w:line="240" w:lineRule="auto"/>
              <w:ind w:left="-108"/>
              <w:jc w:val="center"/>
              <w:rPr>
                <w:rFonts w:eastAsia="Times New Roman"/>
                <w:color w:val="000000"/>
                <w:sz w:val="16"/>
                <w:szCs w:val="16"/>
                <w:lang w:val="es-ES"/>
              </w:rPr>
            </w:pPr>
            <w:r w:rsidRPr="00CC659A">
              <w:rPr>
                <w:rFonts w:eastAsia="Times New Roman"/>
                <w:color w:val="000000"/>
                <w:sz w:val="16"/>
                <w:szCs w:val="16"/>
                <w:lang w:val="es-ES"/>
              </w:rPr>
              <w:t>0.007</w:t>
            </w:r>
          </w:p>
        </w:tc>
        <w:tc>
          <w:tcPr>
            <w:tcW w:w="420" w:type="pct"/>
            <w:tcBorders>
              <w:top w:val="nil"/>
              <w:left w:val="nil"/>
              <w:bottom w:val="nil"/>
              <w:right w:val="single" w:sz="8" w:space="0" w:color="808080"/>
            </w:tcBorders>
            <w:shd w:val="clear" w:color="auto" w:fill="auto"/>
            <w:vAlign w:val="center"/>
            <w:hideMark/>
          </w:tcPr>
          <w:p w14:paraId="310AA157" w14:textId="77777777" w:rsidR="00CC659A" w:rsidRPr="00CC659A" w:rsidRDefault="00CC659A" w:rsidP="00CC659A">
            <w:pPr>
              <w:spacing w:after="0" w:line="240" w:lineRule="auto"/>
              <w:ind w:left="-108"/>
              <w:jc w:val="right"/>
              <w:rPr>
                <w:rFonts w:eastAsia="Times New Roman" w:cs="Arial"/>
                <w:color w:val="000000"/>
                <w:sz w:val="16"/>
                <w:szCs w:val="16"/>
                <w:lang w:val="es-ES"/>
              </w:rPr>
            </w:pPr>
            <w:r w:rsidRPr="00CC659A">
              <w:rPr>
                <w:rFonts w:eastAsia="Times New Roman" w:cs="Arial"/>
                <w:color w:val="000000"/>
                <w:sz w:val="16"/>
                <w:szCs w:val="16"/>
                <w:lang w:val="es-ES"/>
              </w:rPr>
              <w:t>0.016</w:t>
            </w:r>
          </w:p>
        </w:tc>
        <w:tc>
          <w:tcPr>
            <w:tcW w:w="444" w:type="pct"/>
            <w:tcBorders>
              <w:top w:val="nil"/>
              <w:left w:val="nil"/>
              <w:bottom w:val="nil"/>
              <w:right w:val="single" w:sz="4" w:space="0" w:color="808080"/>
            </w:tcBorders>
            <w:shd w:val="clear" w:color="auto" w:fill="auto"/>
            <w:vAlign w:val="center"/>
            <w:hideMark/>
          </w:tcPr>
          <w:p w14:paraId="7FDC61F1"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1 410 </w:t>
            </w:r>
          </w:p>
        </w:tc>
        <w:tc>
          <w:tcPr>
            <w:tcW w:w="437" w:type="pct"/>
            <w:tcBorders>
              <w:top w:val="nil"/>
              <w:left w:val="nil"/>
              <w:bottom w:val="nil"/>
              <w:right w:val="single" w:sz="8" w:space="0" w:color="808080"/>
            </w:tcBorders>
            <w:shd w:val="clear" w:color="auto" w:fill="auto"/>
            <w:vAlign w:val="center"/>
            <w:hideMark/>
          </w:tcPr>
          <w:p w14:paraId="44A64480"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470 </w:t>
            </w:r>
          </w:p>
        </w:tc>
        <w:tc>
          <w:tcPr>
            <w:tcW w:w="444" w:type="pct"/>
            <w:tcBorders>
              <w:top w:val="nil"/>
              <w:left w:val="nil"/>
              <w:bottom w:val="nil"/>
              <w:right w:val="single" w:sz="4" w:space="0" w:color="808080"/>
            </w:tcBorders>
            <w:shd w:val="clear" w:color="auto" w:fill="auto"/>
            <w:vAlign w:val="center"/>
            <w:hideMark/>
          </w:tcPr>
          <w:p w14:paraId="399EB658"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1 573 </w:t>
            </w:r>
          </w:p>
        </w:tc>
        <w:tc>
          <w:tcPr>
            <w:tcW w:w="437" w:type="pct"/>
            <w:tcBorders>
              <w:top w:val="nil"/>
              <w:left w:val="nil"/>
              <w:bottom w:val="nil"/>
              <w:right w:val="single" w:sz="8" w:space="0" w:color="808080"/>
            </w:tcBorders>
            <w:shd w:val="clear" w:color="auto" w:fill="auto"/>
            <w:vAlign w:val="center"/>
            <w:hideMark/>
          </w:tcPr>
          <w:p w14:paraId="18C631A0"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524 </w:t>
            </w:r>
          </w:p>
        </w:tc>
        <w:tc>
          <w:tcPr>
            <w:tcW w:w="444" w:type="pct"/>
            <w:tcBorders>
              <w:top w:val="nil"/>
              <w:left w:val="nil"/>
              <w:bottom w:val="nil"/>
              <w:right w:val="single" w:sz="4" w:space="0" w:color="808080"/>
            </w:tcBorders>
            <w:shd w:val="clear" w:color="auto" w:fill="auto"/>
            <w:vAlign w:val="center"/>
            <w:hideMark/>
          </w:tcPr>
          <w:p w14:paraId="066A90EF"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1 841 </w:t>
            </w:r>
          </w:p>
        </w:tc>
        <w:tc>
          <w:tcPr>
            <w:tcW w:w="437" w:type="pct"/>
            <w:tcBorders>
              <w:top w:val="nil"/>
              <w:left w:val="nil"/>
              <w:bottom w:val="nil"/>
              <w:right w:val="single" w:sz="8" w:space="0" w:color="808080"/>
            </w:tcBorders>
            <w:shd w:val="clear" w:color="auto" w:fill="auto"/>
            <w:vAlign w:val="center"/>
            <w:hideMark/>
          </w:tcPr>
          <w:p w14:paraId="4146D114"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614 </w:t>
            </w:r>
          </w:p>
        </w:tc>
        <w:tc>
          <w:tcPr>
            <w:tcW w:w="444" w:type="pct"/>
            <w:tcBorders>
              <w:top w:val="nil"/>
              <w:left w:val="single" w:sz="4" w:space="0" w:color="808080"/>
              <w:bottom w:val="nil"/>
              <w:right w:val="single" w:sz="8" w:space="0" w:color="808080"/>
            </w:tcBorders>
            <w:shd w:val="clear" w:color="auto" w:fill="auto"/>
            <w:vAlign w:val="center"/>
            <w:hideMark/>
          </w:tcPr>
          <w:p w14:paraId="54CFC534" w14:textId="77777777" w:rsidR="00CC659A" w:rsidRPr="00CC659A" w:rsidRDefault="00CC659A" w:rsidP="00CC659A">
            <w:pPr>
              <w:spacing w:after="0" w:line="240" w:lineRule="auto"/>
              <w:ind w:left="-108"/>
              <w:rPr>
                <w:rFonts w:eastAsia="Times New Roman"/>
                <w:color w:val="000000"/>
                <w:sz w:val="16"/>
                <w:szCs w:val="16"/>
                <w:lang w:val="es-ES"/>
              </w:rPr>
            </w:pPr>
            <w:r w:rsidRPr="00CC659A">
              <w:rPr>
                <w:rFonts w:eastAsia="Times New Roman"/>
                <w:color w:val="000000"/>
                <w:sz w:val="16"/>
                <w:szCs w:val="16"/>
                <w:lang w:val="es-ES"/>
              </w:rPr>
              <w:t xml:space="preserve">                   979 </w:t>
            </w:r>
          </w:p>
        </w:tc>
      </w:tr>
      <w:tr w:rsidR="006D34EE" w:rsidRPr="00CC659A" w14:paraId="6A3B0025" w14:textId="77777777" w:rsidTr="00477854">
        <w:trPr>
          <w:trHeight w:val="20"/>
        </w:trPr>
        <w:tc>
          <w:tcPr>
            <w:tcW w:w="168" w:type="pct"/>
            <w:tcBorders>
              <w:top w:val="single" w:sz="8" w:space="0" w:color="808080"/>
              <w:left w:val="single" w:sz="8" w:space="0" w:color="808080"/>
              <w:bottom w:val="single" w:sz="8" w:space="0" w:color="808080"/>
              <w:right w:val="nil"/>
            </w:tcBorders>
            <w:shd w:val="clear" w:color="auto" w:fill="D5DCE4" w:themeFill="text2" w:themeFillTint="33"/>
            <w:vAlign w:val="center"/>
            <w:hideMark/>
          </w:tcPr>
          <w:p w14:paraId="7C111062" w14:textId="77777777" w:rsidR="00CC659A" w:rsidRPr="00CC659A" w:rsidRDefault="00CC659A" w:rsidP="00CC659A">
            <w:pPr>
              <w:spacing w:after="0" w:line="240" w:lineRule="auto"/>
              <w:ind w:left="-108"/>
              <w:rPr>
                <w:rFonts w:eastAsia="Times New Roman"/>
                <w:b/>
                <w:bCs/>
                <w:color w:val="000000"/>
                <w:sz w:val="16"/>
                <w:szCs w:val="16"/>
                <w:lang w:val="es-ES"/>
              </w:rPr>
            </w:pPr>
            <w:r w:rsidRPr="00CC659A">
              <w:rPr>
                <w:rFonts w:eastAsia="Times New Roman"/>
                <w:b/>
                <w:bCs/>
                <w:color w:val="000000"/>
                <w:sz w:val="16"/>
                <w:szCs w:val="16"/>
                <w:lang w:val="es-ES"/>
              </w:rPr>
              <w:t> </w:t>
            </w:r>
          </w:p>
        </w:tc>
        <w:tc>
          <w:tcPr>
            <w:tcW w:w="920" w:type="pct"/>
            <w:tcBorders>
              <w:top w:val="single" w:sz="8" w:space="0" w:color="808080"/>
              <w:left w:val="nil"/>
              <w:bottom w:val="single" w:sz="8" w:space="0" w:color="808080"/>
              <w:right w:val="nil"/>
            </w:tcBorders>
            <w:shd w:val="clear" w:color="auto" w:fill="D5DCE4" w:themeFill="text2" w:themeFillTint="33"/>
            <w:vAlign w:val="center"/>
            <w:hideMark/>
          </w:tcPr>
          <w:p w14:paraId="35AE6FB2" w14:textId="77777777" w:rsidR="00CC659A" w:rsidRPr="00CC659A" w:rsidRDefault="00CC659A" w:rsidP="00CC659A">
            <w:pPr>
              <w:spacing w:after="0" w:line="240" w:lineRule="auto"/>
              <w:ind w:left="-108"/>
              <w:rPr>
                <w:rFonts w:eastAsia="Times New Roman"/>
                <w:b/>
                <w:bCs/>
                <w:color w:val="000000"/>
                <w:sz w:val="16"/>
                <w:szCs w:val="16"/>
                <w:lang w:val="es-ES"/>
              </w:rPr>
            </w:pPr>
            <w:r w:rsidRPr="00CC659A">
              <w:rPr>
                <w:rFonts w:eastAsia="Times New Roman"/>
                <w:b/>
                <w:bCs/>
                <w:color w:val="000000"/>
                <w:sz w:val="16"/>
                <w:szCs w:val="16"/>
                <w:lang w:val="es-ES"/>
              </w:rPr>
              <w:t>Total</w:t>
            </w:r>
          </w:p>
        </w:tc>
        <w:tc>
          <w:tcPr>
            <w:tcW w:w="404" w:type="pct"/>
            <w:tcBorders>
              <w:top w:val="single" w:sz="8" w:space="0" w:color="808080"/>
              <w:left w:val="nil"/>
              <w:bottom w:val="single" w:sz="8" w:space="0" w:color="808080"/>
              <w:right w:val="nil"/>
            </w:tcBorders>
            <w:shd w:val="clear" w:color="auto" w:fill="D5DCE4" w:themeFill="text2" w:themeFillTint="33"/>
            <w:vAlign w:val="center"/>
            <w:hideMark/>
          </w:tcPr>
          <w:p w14:paraId="7FFFCF4F" w14:textId="77777777" w:rsidR="00CC659A" w:rsidRPr="00CC659A" w:rsidRDefault="00CC659A" w:rsidP="00CC659A">
            <w:pPr>
              <w:spacing w:after="0" w:line="240" w:lineRule="auto"/>
              <w:ind w:left="-108"/>
              <w:jc w:val="center"/>
              <w:rPr>
                <w:rFonts w:eastAsia="Times New Roman"/>
                <w:b/>
                <w:bCs/>
                <w:color w:val="000000"/>
                <w:sz w:val="16"/>
                <w:szCs w:val="16"/>
                <w:lang w:val="es-ES"/>
              </w:rPr>
            </w:pPr>
            <w:r w:rsidRPr="00CC659A">
              <w:rPr>
                <w:rFonts w:eastAsia="Times New Roman"/>
                <w:b/>
                <w:bCs/>
                <w:color w:val="000000"/>
                <w:sz w:val="16"/>
                <w:szCs w:val="16"/>
                <w:lang w:val="es-ES"/>
              </w:rPr>
              <w:t>42.368</w:t>
            </w:r>
          </w:p>
        </w:tc>
        <w:tc>
          <w:tcPr>
            <w:tcW w:w="420" w:type="pct"/>
            <w:tcBorders>
              <w:top w:val="single" w:sz="8" w:space="0" w:color="808080"/>
              <w:left w:val="nil"/>
              <w:bottom w:val="single" w:sz="8" w:space="0" w:color="808080"/>
              <w:right w:val="single" w:sz="8" w:space="0" w:color="808080"/>
            </w:tcBorders>
            <w:shd w:val="clear" w:color="auto" w:fill="D5DCE4" w:themeFill="text2" w:themeFillTint="33"/>
            <w:vAlign w:val="center"/>
            <w:hideMark/>
          </w:tcPr>
          <w:p w14:paraId="13C10D20" w14:textId="77777777" w:rsidR="00CC659A" w:rsidRPr="00CC659A" w:rsidRDefault="00CC659A" w:rsidP="00CC659A">
            <w:pPr>
              <w:spacing w:after="0" w:line="240" w:lineRule="auto"/>
              <w:ind w:left="-108"/>
              <w:jc w:val="center"/>
              <w:rPr>
                <w:rFonts w:eastAsia="Times New Roman"/>
                <w:b/>
                <w:bCs/>
                <w:color w:val="000000"/>
                <w:sz w:val="16"/>
                <w:szCs w:val="16"/>
                <w:lang w:val="es-ES"/>
              </w:rPr>
            </w:pPr>
            <w:r w:rsidRPr="00CC659A">
              <w:rPr>
                <w:rFonts w:eastAsia="Times New Roman"/>
                <w:b/>
                <w:bCs/>
                <w:color w:val="000000"/>
                <w:sz w:val="16"/>
                <w:szCs w:val="16"/>
                <w:lang w:val="es-ES"/>
              </w:rPr>
              <w:t xml:space="preserve">            100.000 </w:t>
            </w:r>
          </w:p>
        </w:tc>
        <w:tc>
          <w:tcPr>
            <w:tcW w:w="444" w:type="pct"/>
            <w:tcBorders>
              <w:top w:val="single" w:sz="8" w:space="0" w:color="808080"/>
              <w:left w:val="nil"/>
              <w:bottom w:val="single" w:sz="8" w:space="0" w:color="808080"/>
              <w:right w:val="single" w:sz="4" w:space="0" w:color="808080"/>
            </w:tcBorders>
            <w:shd w:val="clear" w:color="auto" w:fill="D5DCE4" w:themeFill="text2" w:themeFillTint="33"/>
            <w:vAlign w:val="center"/>
            <w:hideMark/>
          </w:tcPr>
          <w:p w14:paraId="70214F2D" w14:textId="77777777" w:rsidR="00CC659A" w:rsidRPr="00CC659A" w:rsidRDefault="00CC659A" w:rsidP="00CC659A">
            <w:pPr>
              <w:spacing w:after="0" w:line="240" w:lineRule="auto"/>
              <w:ind w:left="-108"/>
              <w:jc w:val="center"/>
              <w:rPr>
                <w:rFonts w:eastAsia="Times New Roman"/>
                <w:b/>
                <w:bCs/>
                <w:color w:val="000000"/>
                <w:sz w:val="16"/>
                <w:szCs w:val="16"/>
                <w:lang w:val="es-ES"/>
              </w:rPr>
            </w:pPr>
            <w:r w:rsidRPr="00CC659A">
              <w:rPr>
                <w:rFonts w:eastAsia="Times New Roman"/>
                <w:b/>
                <w:bCs/>
                <w:color w:val="000000"/>
                <w:sz w:val="16"/>
                <w:szCs w:val="16"/>
                <w:lang w:val="es-ES"/>
              </w:rPr>
              <w:t xml:space="preserve">      8 751 749 </w:t>
            </w:r>
          </w:p>
        </w:tc>
        <w:tc>
          <w:tcPr>
            <w:tcW w:w="437" w:type="pct"/>
            <w:tcBorders>
              <w:top w:val="single" w:sz="8" w:space="0" w:color="808080"/>
              <w:left w:val="nil"/>
              <w:bottom w:val="single" w:sz="8" w:space="0" w:color="808080"/>
              <w:right w:val="single" w:sz="8" w:space="0" w:color="808080"/>
            </w:tcBorders>
            <w:shd w:val="clear" w:color="auto" w:fill="D5DCE4" w:themeFill="text2" w:themeFillTint="33"/>
            <w:vAlign w:val="center"/>
            <w:hideMark/>
          </w:tcPr>
          <w:p w14:paraId="48E76749" w14:textId="77777777" w:rsidR="00CC659A" w:rsidRPr="00CC659A" w:rsidRDefault="00CC659A" w:rsidP="00CC659A">
            <w:pPr>
              <w:spacing w:after="0" w:line="240" w:lineRule="auto"/>
              <w:ind w:left="-108"/>
              <w:jc w:val="center"/>
              <w:rPr>
                <w:rFonts w:eastAsia="Times New Roman"/>
                <w:b/>
                <w:bCs/>
                <w:color w:val="000000"/>
                <w:sz w:val="16"/>
                <w:szCs w:val="16"/>
                <w:lang w:val="es-ES"/>
              </w:rPr>
            </w:pPr>
            <w:r w:rsidRPr="00CC659A">
              <w:rPr>
                <w:rFonts w:eastAsia="Times New Roman"/>
                <w:b/>
                <w:bCs/>
                <w:color w:val="000000"/>
                <w:sz w:val="16"/>
                <w:szCs w:val="16"/>
                <w:lang w:val="es-ES"/>
              </w:rPr>
              <w:t xml:space="preserve">      2 917 250 </w:t>
            </w:r>
          </w:p>
        </w:tc>
        <w:tc>
          <w:tcPr>
            <w:tcW w:w="444" w:type="pct"/>
            <w:tcBorders>
              <w:top w:val="single" w:sz="8" w:space="0" w:color="808080"/>
              <w:left w:val="nil"/>
              <w:bottom w:val="single" w:sz="8" w:space="0" w:color="808080"/>
              <w:right w:val="single" w:sz="4" w:space="0" w:color="808080"/>
            </w:tcBorders>
            <w:shd w:val="clear" w:color="auto" w:fill="D5DCE4" w:themeFill="text2" w:themeFillTint="33"/>
            <w:vAlign w:val="center"/>
            <w:hideMark/>
          </w:tcPr>
          <w:p w14:paraId="707231C2" w14:textId="77777777" w:rsidR="00CC659A" w:rsidRPr="00CC659A" w:rsidRDefault="00CC659A" w:rsidP="00CC659A">
            <w:pPr>
              <w:spacing w:after="0" w:line="240" w:lineRule="auto"/>
              <w:ind w:left="-108"/>
              <w:jc w:val="center"/>
              <w:rPr>
                <w:rFonts w:eastAsia="Times New Roman"/>
                <w:b/>
                <w:bCs/>
                <w:color w:val="000000"/>
                <w:sz w:val="16"/>
                <w:szCs w:val="16"/>
                <w:lang w:val="es-ES"/>
              </w:rPr>
            </w:pPr>
            <w:r w:rsidRPr="00CC659A">
              <w:rPr>
                <w:rFonts w:eastAsia="Times New Roman"/>
                <w:b/>
                <w:bCs/>
                <w:color w:val="000000"/>
                <w:sz w:val="16"/>
                <w:szCs w:val="16"/>
                <w:lang w:val="es-ES"/>
              </w:rPr>
              <w:t xml:space="preserve">      9 763 014 </w:t>
            </w:r>
          </w:p>
        </w:tc>
        <w:tc>
          <w:tcPr>
            <w:tcW w:w="437" w:type="pct"/>
            <w:tcBorders>
              <w:top w:val="single" w:sz="8" w:space="0" w:color="808080"/>
              <w:left w:val="nil"/>
              <w:bottom w:val="single" w:sz="8" w:space="0" w:color="808080"/>
              <w:right w:val="single" w:sz="8" w:space="0" w:color="808080"/>
            </w:tcBorders>
            <w:shd w:val="clear" w:color="auto" w:fill="D5DCE4" w:themeFill="text2" w:themeFillTint="33"/>
            <w:vAlign w:val="center"/>
            <w:hideMark/>
          </w:tcPr>
          <w:p w14:paraId="67EBE24D" w14:textId="77777777" w:rsidR="00CC659A" w:rsidRPr="00CC659A" w:rsidRDefault="00CC659A" w:rsidP="00CC659A">
            <w:pPr>
              <w:spacing w:after="0" w:line="240" w:lineRule="auto"/>
              <w:ind w:left="-108"/>
              <w:jc w:val="center"/>
              <w:rPr>
                <w:rFonts w:eastAsia="Times New Roman"/>
                <w:b/>
                <w:bCs/>
                <w:color w:val="000000"/>
                <w:sz w:val="16"/>
                <w:szCs w:val="16"/>
                <w:lang w:val="es-ES"/>
              </w:rPr>
            </w:pPr>
            <w:r w:rsidRPr="00CC659A">
              <w:rPr>
                <w:rFonts w:eastAsia="Times New Roman"/>
                <w:b/>
                <w:bCs/>
                <w:color w:val="000000"/>
                <w:sz w:val="16"/>
                <w:szCs w:val="16"/>
                <w:lang w:val="es-ES"/>
              </w:rPr>
              <w:t xml:space="preserve">      3 254 338 </w:t>
            </w:r>
          </w:p>
        </w:tc>
        <w:tc>
          <w:tcPr>
            <w:tcW w:w="444" w:type="pct"/>
            <w:tcBorders>
              <w:top w:val="single" w:sz="8" w:space="0" w:color="808080"/>
              <w:left w:val="nil"/>
              <w:bottom w:val="single" w:sz="8" w:space="0" w:color="808080"/>
              <w:right w:val="single" w:sz="4" w:space="0" w:color="808080"/>
            </w:tcBorders>
            <w:shd w:val="clear" w:color="auto" w:fill="D5DCE4" w:themeFill="text2" w:themeFillTint="33"/>
            <w:vAlign w:val="center"/>
            <w:hideMark/>
          </w:tcPr>
          <w:p w14:paraId="5F558381" w14:textId="77777777" w:rsidR="00CC659A" w:rsidRPr="00CC659A" w:rsidRDefault="00CC659A" w:rsidP="00CC659A">
            <w:pPr>
              <w:spacing w:after="0" w:line="240" w:lineRule="auto"/>
              <w:ind w:left="-108"/>
              <w:jc w:val="center"/>
              <w:rPr>
                <w:rFonts w:eastAsia="Times New Roman"/>
                <w:b/>
                <w:bCs/>
                <w:color w:val="000000"/>
                <w:sz w:val="16"/>
                <w:szCs w:val="16"/>
                <w:lang w:val="es-ES"/>
              </w:rPr>
            </w:pPr>
            <w:r w:rsidRPr="00CC659A">
              <w:rPr>
                <w:rFonts w:eastAsia="Times New Roman"/>
                <w:b/>
                <w:bCs/>
                <w:color w:val="000000"/>
                <w:sz w:val="16"/>
                <w:szCs w:val="16"/>
                <w:lang w:val="es-ES"/>
              </w:rPr>
              <w:t xml:space="preserve">    11 431 361 </w:t>
            </w:r>
          </w:p>
        </w:tc>
        <w:tc>
          <w:tcPr>
            <w:tcW w:w="437" w:type="pct"/>
            <w:tcBorders>
              <w:top w:val="single" w:sz="8" w:space="0" w:color="808080"/>
              <w:left w:val="nil"/>
              <w:bottom w:val="single" w:sz="8" w:space="0" w:color="808080"/>
              <w:right w:val="single" w:sz="8" w:space="0" w:color="808080"/>
            </w:tcBorders>
            <w:shd w:val="clear" w:color="auto" w:fill="D5DCE4" w:themeFill="text2" w:themeFillTint="33"/>
            <w:vAlign w:val="center"/>
            <w:hideMark/>
          </w:tcPr>
          <w:p w14:paraId="6EA2DC67" w14:textId="77777777" w:rsidR="00CC659A" w:rsidRPr="00CC659A" w:rsidRDefault="00CC659A" w:rsidP="00CC659A">
            <w:pPr>
              <w:spacing w:after="0" w:line="240" w:lineRule="auto"/>
              <w:ind w:left="-108"/>
              <w:jc w:val="center"/>
              <w:rPr>
                <w:rFonts w:eastAsia="Times New Roman"/>
                <w:b/>
                <w:bCs/>
                <w:color w:val="000000"/>
                <w:sz w:val="16"/>
                <w:szCs w:val="16"/>
                <w:lang w:val="es-ES"/>
              </w:rPr>
            </w:pPr>
            <w:r w:rsidRPr="00CC659A">
              <w:rPr>
                <w:rFonts w:eastAsia="Times New Roman"/>
                <w:b/>
                <w:bCs/>
                <w:color w:val="000000"/>
                <w:sz w:val="16"/>
                <w:szCs w:val="16"/>
                <w:lang w:val="es-ES"/>
              </w:rPr>
              <w:t xml:space="preserve">      3 810 454 </w:t>
            </w:r>
          </w:p>
        </w:tc>
        <w:tc>
          <w:tcPr>
            <w:tcW w:w="444" w:type="pct"/>
            <w:tcBorders>
              <w:top w:val="single" w:sz="8" w:space="0" w:color="808080"/>
              <w:left w:val="single" w:sz="4" w:space="0" w:color="808080"/>
              <w:bottom w:val="single" w:sz="8" w:space="0" w:color="808080"/>
              <w:right w:val="single" w:sz="8" w:space="0" w:color="808080"/>
            </w:tcBorders>
            <w:shd w:val="clear" w:color="auto" w:fill="D5DCE4" w:themeFill="text2" w:themeFillTint="33"/>
            <w:vAlign w:val="center"/>
            <w:hideMark/>
          </w:tcPr>
          <w:p w14:paraId="78EE54E0" w14:textId="77777777" w:rsidR="00CC659A" w:rsidRPr="00CC659A" w:rsidRDefault="00CC659A" w:rsidP="00CC659A">
            <w:pPr>
              <w:spacing w:after="0" w:line="240" w:lineRule="auto"/>
              <w:ind w:left="-108"/>
              <w:jc w:val="center"/>
              <w:rPr>
                <w:rFonts w:eastAsia="Times New Roman"/>
                <w:b/>
                <w:bCs/>
                <w:color w:val="000000"/>
                <w:sz w:val="16"/>
                <w:szCs w:val="16"/>
                <w:lang w:val="es-ES"/>
              </w:rPr>
            </w:pPr>
            <w:r w:rsidRPr="00CC659A">
              <w:rPr>
                <w:rFonts w:eastAsia="Times New Roman"/>
                <w:b/>
                <w:bCs/>
                <w:color w:val="000000"/>
                <w:sz w:val="16"/>
                <w:szCs w:val="16"/>
                <w:lang w:val="es-ES"/>
              </w:rPr>
              <w:t xml:space="preserve">      8 751 748 </w:t>
            </w:r>
          </w:p>
        </w:tc>
      </w:tr>
    </w:tbl>
    <w:p w14:paraId="7481857F" w14:textId="77777777" w:rsidR="00CC659A" w:rsidRPr="00CC659A" w:rsidRDefault="00CC659A" w:rsidP="00CC659A">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both"/>
        <w:textAlignment w:val="baseline"/>
        <w:outlineLvl w:val="1"/>
        <w:rPr>
          <w:rFonts w:eastAsia="Arial" w:cs="Arial"/>
          <w:caps/>
          <w:lang w:val="fr-FR"/>
        </w:rPr>
      </w:pPr>
    </w:p>
    <w:p w14:paraId="7AA23398" w14:textId="77777777" w:rsidR="00DF6D80" w:rsidRDefault="00DF6D80" w:rsidP="00DF6D80">
      <w:pPr>
        <w:spacing w:after="0" w:line="240" w:lineRule="auto"/>
        <w:ind w:left="-720"/>
        <w:rPr>
          <w:rFonts w:eastAsia="Times New Roman" w:cs="Arial"/>
          <w:lang w:val="es-ES" w:eastAsia="es-ES"/>
        </w:rPr>
      </w:pPr>
    </w:p>
    <w:p w14:paraId="596E5C06" w14:textId="77777777" w:rsidR="00DF6D80" w:rsidRDefault="00DF6D80" w:rsidP="00DF6D80">
      <w:pPr>
        <w:spacing w:after="0" w:line="240" w:lineRule="auto"/>
        <w:ind w:left="-720"/>
        <w:rPr>
          <w:rFonts w:eastAsia="Times New Roman" w:cs="Arial"/>
          <w:lang w:val="es-ES" w:eastAsia="es-ES"/>
        </w:rPr>
      </w:pPr>
    </w:p>
    <w:p w14:paraId="0D9C3EF2" w14:textId="77777777" w:rsidR="00DF6D80" w:rsidRDefault="00DF6D80" w:rsidP="00312515">
      <w:pPr>
        <w:spacing w:after="0" w:line="240" w:lineRule="auto"/>
        <w:rPr>
          <w:rFonts w:eastAsia="Times New Roman" w:cs="Arial"/>
          <w:lang w:val="es-ES" w:eastAsia="es-ES"/>
        </w:rPr>
      </w:pPr>
    </w:p>
    <w:p w14:paraId="2474571D" w14:textId="77777777" w:rsidR="005339CC" w:rsidRDefault="005339CC">
      <w:pPr>
        <w:rPr>
          <w:rFonts w:eastAsia="Times New Roman" w:cs="Arial"/>
          <w:lang w:val="es-ES" w:eastAsia="es-ES"/>
        </w:rPr>
        <w:sectPr w:rsidR="005339CC" w:rsidSect="00312515">
          <w:headerReference w:type="even" r:id="rId24"/>
          <w:headerReference w:type="default" r:id="rId25"/>
          <w:headerReference w:type="first" r:id="rId26"/>
          <w:pgSz w:w="16838" w:h="11906" w:orient="landscape" w:code="9"/>
          <w:pgMar w:top="1440" w:right="1440" w:bottom="1440" w:left="1440" w:header="720" w:footer="720" w:gutter="0"/>
          <w:cols w:space="720"/>
          <w:titlePg/>
          <w:docGrid w:linePitch="360"/>
        </w:sectPr>
      </w:pPr>
    </w:p>
    <w:p w14:paraId="24A52FC0" w14:textId="37EF2C3C" w:rsidR="002D5F2A" w:rsidRPr="008C5FCA" w:rsidRDefault="008C5FCA" w:rsidP="008C5FCA">
      <w:pPr>
        <w:spacing w:after="0" w:line="240" w:lineRule="auto"/>
        <w:jc w:val="right"/>
        <w:rPr>
          <w:rFonts w:eastAsia="Times New Roman" w:cs="Arial"/>
          <w:b/>
          <w:bCs/>
          <w:lang w:val="es-ES" w:eastAsia="es-ES"/>
        </w:rPr>
      </w:pPr>
      <w:r w:rsidRPr="008C5FCA">
        <w:rPr>
          <w:rFonts w:eastAsia="Times New Roman" w:cs="Arial"/>
          <w:b/>
          <w:bCs/>
          <w:lang w:val="es-ES" w:eastAsia="es-ES"/>
        </w:rPr>
        <w:lastRenderedPageBreak/>
        <w:t>ANEXO 5</w:t>
      </w:r>
    </w:p>
    <w:p w14:paraId="6E10C141" w14:textId="77777777" w:rsidR="002D5F2A" w:rsidRDefault="002D5F2A" w:rsidP="00B6595D">
      <w:pPr>
        <w:pStyle w:val="Firstnumbering1"/>
        <w:numPr>
          <w:ilvl w:val="0"/>
          <w:numId w:val="0"/>
        </w:numPr>
        <w:ind w:left="567"/>
        <w:jc w:val="center"/>
      </w:pPr>
    </w:p>
    <w:p w14:paraId="2DC8D8D2" w14:textId="77777777" w:rsidR="00BA428E" w:rsidRDefault="00BA428E" w:rsidP="00B6595D">
      <w:pPr>
        <w:pStyle w:val="Firstnumbering1"/>
        <w:numPr>
          <w:ilvl w:val="0"/>
          <w:numId w:val="0"/>
        </w:numPr>
        <w:ind w:left="567"/>
        <w:jc w:val="center"/>
      </w:pPr>
    </w:p>
    <w:p w14:paraId="19C4DC63" w14:textId="29D7F665" w:rsidR="008C5FCA" w:rsidRDefault="00166C59" w:rsidP="00B6595D">
      <w:pPr>
        <w:pStyle w:val="Firstnumbering1"/>
        <w:numPr>
          <w:ilvl w:val="0"/>
          <w:numId w:val="0"/>
        </w:numPr>
        <w:ind w:left="567"/>
        <w:jc w:val="center"/>
      </w:pPr>
      <w:r>
        <w:t>PROYECTO DE RESOLUCIÓN</w:t>
      </w:r>
    </w:p>
    <w:p w14:paraId="6E698187" w14:textId="77777777" w:rsidR="00166C59" w:rsidRDefault="00166C59" w:rsidP="00B6595D">
      <w:pPr>
        <w:pStyle w:val="Firstnumbering1"/>
        <w:numPr>
          <w:ilvl w:val="0"/>
          <w:numId w:val="0"/>
        </w:numPr>
        <w:ind w:left="567"/>
        <w:jc w:val="center"/>
      </w:pPr>
    </w:p>
    <w:p w14:paraId="36D053B9" w14:textId="76EEEDC1" w:rsidR="00166C59" w:rsidRDefault="00B6595D" w:rsidP="00B6595D">
      <w:pPr>
        <w:pStyle w:val="Firstnumbering1"/>
        <w:numPr>
          <w:ilvl w:val="0"/>
          <w:numId w:val="0"/>
        </w:numPr>
        <w:ind w:left="567"/>
        <w:jc w:val="center"/>
        <w:rPr>
          <w:b/>
          <w:bCs/>
        </w:rPr>
      </w:pPr>
      <w:r w:rsidRPr="00B6595D">
        <w:rPr>
          <w:b/>
          <w:bCs/>
        </w:rPr>
        <w:t>ASUNTOS ADMINISTRATIVOS Y FINANCIEROS</w:t>
      </w:r>
    </w:p>
    <w:p w14:paraId="4B37AE3F" w14:textId="77777777" w:rsidR="00B6595D" w:rsidRDefault="00B6595D" w:rsidP="00DE133B">
      <w:pPr>
        <w:pStyle w:val="Firstnumbering1"/>
        <w:numPr>
          <w:ilvl w:val="0"/>
          <w:numId w:val="0"/>
        </w:numPr>
        <w:ind w:left="567"/>
        <w:rPr>
          <w:b/>
          <w:bCs/>
        </w:rPr>
      </w:pPr>
    </w:p>
    <w:p w14:paraId="5DCB7207" w14:textId="77777777" w:rsidR="00210C3B" w:rsidRDefault="00210C3B" w:rsidP="00DE133B">
      <w:pPr>
        <w:pStyle w:val="Firstnumbering1"/>
        <w:numPr>
          <w:ilvl w:val="0"/>
          <w:numId w:val="0"/>
        </w:numPr>
        <w:ind w:left="567"/>
        <w:rPr>
          <w:b/>
          <w:bCs/>
        </w:rPr>
      </w:pPr>
    </w:p>
    <w:p w14:paraId="5B8EE842" w14:textId="77777777" w:rsidR="006A50C3" w:rsidRPr="006A50C3" w:rsidRDefault="006A50C3" w:rsidP="00DE133B">
      <w:pPr>
        <w:spacing w:after="0" w:line="240" w:lineRule="auto"/>
        <w:jc w:val="both"/>
        <w:rPr>
          <w:rFonts w:eastAsia="Calibri" w:cs="Arial"/>
          <w:lang w:val="es-ES"/>
        </w:rPr>
      </w:pPr>
      <w:r w:rsidRPr="006A50C3">
        <w:rPr>
          <w:rFonts w:eastAsia="Calibri" w:cs="Times New Roman"/>
          <w:i/>
          <w:lang w:val="es-ES"/>
        </w:rPr>
        <w:t>Recordando</w:t>
      </w:r>
      <w:r w:rsidRPr="006A50C3">
        <w:rPr>
          <w:rFonts w:eastAsia="Calibri" w:cs="Times New Roman"/>
          <w:lang w:val="es-ES"/>
        </w:rPr>
        <w:t xml:space="preserve"> el Artículo VII párrafo 4 de la Convención, que dice lo siguiente:</w:t>
      </w:r>
    </w:p>
    <w:p w14:paraId="14710704" w14:textId="77777777" w:rsidR="006A50C3" w:rsidRPr="006A50C3" w:rsidRDefault="006A50C3" w:rsidP="00DE133B">
      <w:pPr>
        <w:spacing w:after="0" w:line="240" w:lineRule="auto"/>
        <w:jc w:val="both"/>
        <w:rPr>
          <w:rFonts w:eastAsia="Calibri" w:cs="Arial"/>
          <w:lang w:val="es-ES"/>
        </w:rPr>
      </w:pPr>
    </w:p>
    <w:p w14:paraId="4F26F287" w14:textId="1866696D" w:rsidR="006A50C3" w:rsidRPr="006A50C3" w:rsidRDefault="006A50C3" w:rsidP="00DE133B">
      <w:pPr>
        <w:spacing w:after="0" w:line="240" w:lineRule="auto"/>
        <w:ind w:left="851"/>
        <w:jc w:val="both"/>
        <w:rPr>
          <w:rFonts w:eastAsia="Calibri" w:cs="Times New Roman"/>
          <w:i/>
          <w:iCs/>
          <w:lang w:val="es-ES"/>
        </w:rPr>
      </w:pPr>
      <w:r w:rsidRPr="006A50C3">
        <w:rPr>
          <w:rFonts w:eastAsia="Calibri" w:cs="Times New Roman"/>
          <w:i/>
          <w:iCs/>
          <w:lang w:val="es-ES"/>
        </w:rPr>
        <w:t>“</w:t>
      </w:r>
      <w:r w:rsidR="000F14E7" w:rsidRPr="000F14E7">
        <w:rPr>
          <w:rFonts w:eastAsia="Calibri" w:cs="Times New Roman"/>
          <w:i/>
          <w:lang w:val=""/>
        </w:rPr>
        <w:t>La Conferencia de las Partes establecerá el reglamento financiero de la presente Convención y lo someterá a un examen regular. La Conferencia de las Partes, en cada una de sus reuniones ordinarias, aprobará el presupuesto para el ejercicio siguiente. Cada una de las Partes contribuirá a ese presupuesto conforme a una escala de ponderaciones que será convenida por la Conferencia.</w:t>
      </w:r>
      <w:r w:rsidRPr="006A50C3">
        <w:rPr>
          <w:rFonts w:eastAsia="Calibri" w:cs="Times New Roman"/>
          <w:i/>
          <w:iCs/>
          <w:lang w:val="es-ES"/>
        </w:rPr>
        <w:t>”,</w:t>
      </w:r>
    </w:p>
    <w:p w14:paraId="24330939" w14:textId="77777777" w:rsidR="006A50C3" w:rsidRPr="006A50C3" w:rsidRDefault="006A50C3" w:rsidP="00DE133B">
      <w:pPr>
        <w:spacing w:after="0" w:line="240" w:lineRule="auto"/>
        <w:ind w:left="851"/>
        <w:jc w:val="both"/>
        <w:rPr>
          <w:rFonts w:eastAsia="Calibri" w:cs="Arial"/>
          <w:i/>
          <w:iCs/>
          <w:lang w:val="es-ES"/>
        </w:rPr>
      </w:pPr>
    </w:p>
    <w:p w14:paraId="54F5A3ED" w14:textId="77777777" w:rsidR="006A50C3" w:rsidRPr="006A50C3" w:rsidRDefault="006A50C3" w:rsidP="00DE133B">
      <w:pPr>
        <w:kinsoku w:val="0"/>
        <w:overflowPunct w:val="0"/>
        <w:spacing w:after="0" w:line="240" w:lineRule="auto"/>
        <w:jc w:val="both"/>
        <w:textAlignment w:val="baseline"/>
        <w:rPr>
          <w:rFonts w:eastAsia="Calibri" w:cs="Times New Roman"/>
          <w:lang w:val=""/>
        </w:rPr>
      </w:pPr>
      <w:r w:rsidRPr="006A50C3">
        <w:rPr>
          <w:rFonts w:eastAsia="Calibri" w:cs="Times New Roman"/>
          <w:i/>
          <w:lang w:val=""/>
        </w:rPr>
        <w:t>Reconociendo</w:t>
      </w:r>
      <w:r w:rsidRPr="006A50C3">
        <w:rPr>
          <w:rFonts w:eastAsia="Calibri" w:cs="Times New Roman"/>
          <w:lang w:val=""/>
        </w:rPr>
        <w:t xml:space="preserve"> la importancia de que todas las Partes puedan participar en la aplicación de la Convención y las actividades relacionadas,</w:t>
      </w:r>
    </w:p>
    <w:p w14:paraId="6E9E9B3A" w14:textId="77777777" w:rsidR="006A50C3" w:rsidRPr="006A50C3" w:rsidRDefault="006A50C3" w:rsidP="00DE133B">
      <w:pPr>
        <w:kinsoku w:val="0"/>
        <w:overflowPunct w:val="0"/>
        <w:spacing w:after="0" w:line="240" w:lineRule="auto"/>
        <w:jc w:val="both"/>
        <w:textAlignment w:val="baseline"/>
        <w:rPr>
          <w:rFonts w:eastAsia="Calibri" w:cs="Arial"/>
          <w:szCs w:val="24"/>
          <w:lang w:val="es-ES"/>
        </w:rPr>
      </w:pPr>
    </w:p>
    <w:p w14:paraId="55B601FF" w14:textId="77777777" w:rsidR="006A50C3" w:rsidRPr="006A50C3" w:rsidRDefault="006A50C3" w:rsidP="00DE133B">
      <w:pPr>
        <w:kinsoku w:val="0"/>
        <w:overflowPunct w:val="0"/>
        <w:spacing w:after="0" w:line="240" w:lineRule="auto"/>
        <w:jc w:val="both"/>
        <w:textAlignment w:val="baseline"/>
        <w:rPr>
          <w:rFonts w:eastAsia="Calibri" w:cs="Times New Roman"/>
          <w:lang w:val=""/>
        </w:rPr>
      </w:pPr>
      <w:r w:rsidRPr="006A50C3">
        <w:rPr>
          <w:rFonts w:eastAsia="Calibri" w:cs="Times New Roman"/>
          <w:i/>
          <w:lang w:val=""/>
        </w:rPr>
        <w:t xml:space="preserve">Teniendo en cuenta </w:t>
      </w:r>
      <w:r w:rsidRPr="006A50C3">
        <w:rPr>
          <w:rFonts w:eastAsia="Calibri" w:cs="Times New Roman"/>
          <w:lang w:val=""/>
        </w:rPr>
        <w:t>el aumento del número de las Partes, de otros países y organizaciones que asisten a la reunión de la Conferencia de las Partes en calidad de observadores, así como los gastos adicionales resultantes para las Partes,</w:t>
      </w:r>
    </w:p>
    <w:p w14:paraId="42776C47" w14:textId="77777777" w:rsidR="006A50C3" w:rsidRPr="006A50C3" w:rsidRDefault="006A50C3" w:rsidP="00DE133B">
      <w:pPr>
        <w:kinsoku w:val="0"/>
        <w:overflowPunct w:val="0"/>
        <w:spacing w:after="0" w:line="240" w:lineRule="auto"/>
        <w:jc w:val="both"/>
        <w:textAlignment w:val="baseline"/>
        <w:rPr>
          <w:rFonts w:eastAsia="Calibri" w:cs="Arial"/>
          <w:spacing w:val="-1"/>
          <w:szCs w:val="24"/>
          <w:lang w:val="es-ES"/>
        </w:rPr>
      </w:pPr>
    </w:p>
    <w:p w14:paraId="7A81B50F" w14:textId="77777777" w:rsidR="006A50C3" w:rsidRPr="006A50C3" w:rsidRDefault="006A50C3" w:rsidP="00DE133B">
      <w:pPr>
        <w:kinsoku w:val="0"/>
        <w:overflowPunct w:val="0"/>
        <w:spacing w:after="0" w:line="240" w:lineRule="auto"/>
        <w:jc w:val="both"/>
        <w:textAlignment w:val="baseline"/>
        <w:rPr>
          <w:rFonts w:eastAsia="Calibri" w:cs="Times New Roman"/>
          <w:lang w:val=""/>
        </w:rPr>
      </w:pPr>
      <w:r w:rsidRPr="006A50C3">
        <w:rPr>
          <w:rFonts w:eastAsia="Calibri" w:cs="Times New Roman"/>
          <w:i/>
          <w:lang w:val=""/>
        </w:rPr>
        <w:t>Tomando nota</w:t>
      </w:r>
      <w:r w:rsidRPr="006A50C3">
        <w:rPr>
          <w:rFonts w:eastAsia="Calibri" w:cs="Times New Roman"/>
          <w:lang w:val=""/>
        </w:rPr>
        <w:t xml:space="preserve"> de que el nivel actual del saldo del Fondo Fiduciario y la tendencia creciente de Partes con contribuciones en mora en los balances de final del ejercicio hacen imposible la detracción de recursos del saldo del Fondo Fiduciario para contribuir a la financiación del presupuesto actual ya que ello podría afectar negativamente a la liquidez de este fondo,</w:t>
      </w:r>
    </w:p>
    <w:p w14:paraId="5D0BF569" w14:textId="77777777" w:rsidR="006A50C3" w:rsidRPr="006A50C3" w:rsidRDefault="006A50C3" w:rsidP="00DE133B">
      <w:pPr>
        <w:kinsoku w:val="0"/>
        <w:overflowPunct w:val="0"/>
        <w:spacing w:after="0" w:line="240" w:lineRule="auto"/>
        <w:jc w:val="both"/>
        <w:textAlignment w:val="baseline"/>
        <w:rPr>
          <w:rFonts w:eastAsia="Calibri" w:cs="Arial"/>
          <w:szCs w:val="24"/>
          <w:lang w:val="es-ES"/>
        </w:rPr>
      </w:pPr>
    </w:p>
    <w:p w14:paraId="65202256" w14:textId="77777777" w:rsidR="006A50C3" w:rsidRPr="006A50C3" w:rsidRDefault="006A50C3" w:rsidP="00DE133B">
      <w:pPr>
        <w:spacing w:after="0" w:line="240" w:lineRule="auto"/>
        <w:jc w:val="both"/>
        <w:rPr>
          <w:rFonts w:eastAsia="Calibri" w:cs="Arial"/>
          <w:lang w:val="es-ES"/>
        </w:rPr>
      </w:pPr>
    </w:p>
    <w:p w14:paraId="1CD226E5" w14:textId="77777777" w:rsidR="006A50C3" w:rsidRPr="006A50C3" w:rsidRDefault="006A50C3" w:rsidP="00DE133B">
      <w:pPr>
        <w:spacing w:after="0" w:line="240" w:lineRule="auto"/>
        <w:jc w:val="center"/>
        <w:rPr>
          <w:rFonts w:eastAsia="Calibri" w:cs="Arial"/>
          <w:i/>
          <w:lang w:val="es-ES"/>
        </w:rPr>
      </w:pPr>
      <w:r w:rsidRPr="006A50C3">
        <w:rPr>
          <w:rFonts w:eastAsia="Calibri" w:cs="Times New Roman"/>
          <w:i/>
          <w:lang w:val="es-ES"/>
        </w:rPr>
        <w:t>La Conferencia de las Partes en la</w:t>
      </w:r>
    </w:p>
    <w:p w14:paraId="452AD703" w14:textId="77777777" w:rsidR="006A50C3" w:rsidRPr="006A50C3" w:rsidRDefault="006A50C3" w:rsidP="00DE133B">
      <w:pPr>
        <w:spacing w:after="0" w:line="240" w:lineRule="auto"/>
        <w:jc w:val="both"/>
        <w:rPr>
          <w:rFonts w:eastAsia="Calibri" w:cs="Times New Roman"/>
          <w:i/>
          <w:lang w:val="es-ES"/>
        </w:rPr>
      </w:pPr>
      <w:r w:rsidRPr="006A50C3">
        <w:rPr>
          <w:rFonts w:eastAsia="Calibri" w:cs="Times New Roman"/>
          <w:i/>
          <w:lang w:val="es-ES"/>
        </w:rPr>
        <w:t>Convención sobre la Conservación de las Especies Migratorias de Animales Silvestres</w:t>
      </w:r>
    </w:p>
    <w:p w14:paraId="1787744B" w14:textId="77777777" w:rsidR="006A50C3" w:rsidRPr="006A50C3" w:rsidRDefault="006A50C3" w:rsidP="00DE133B">
      <w:pPr>
        <w:spacing w:after="0" w:line="240" w:lineRule="auto"/>
        <w:jc w:val="both"/>
        <w:rPr>
          <w:rFonts w:eastAsia="Calibri" w:cs="Arial"/>
          <w:lang w:val="es-ES"/>
        </w:rPr>
      </w:pPr>
    </w:p>
    <w:p w14:paraId="428531CB" w14:textId="77777777" w:rsidR="006A50C3" w:rsidRPr="006A50C3" w:rsidRDefault="006A50C3" w:rsidP="00DE133B">
      <w:pPr>
        <w:spacing w:after="0" w:line="240" w:lineRule="auto"/>
        <w:jc w:val="both"/>
        <w:rPr>
          <w:rFonts w:eastAsia="Calibri" w:cs="Arial"/>
          <w:lang w:val="es-ES"/>
        </w:rPr>
      </w:pPr>
    </w:p>
    <w:p w14:paraId="0AD41CB4" w14:textId="77777777" w:rsidR="006A50C3" w:rsidRPr="006A50C3" w:rsidRDefault="006A50C3" w:rsidP="00DE133B">
      <w:pPr>
        <w:widowControl w:val="0"/>
        <w:numPr>
          <w:ilvl w:val="0"/>
          <w:numId w:val="13"/>
        </w:numPr>
        <w:tabs>
          <w:tab w:val="left" w:pos="540"/>
        </w:tabs>
        <w:suppressAutoHyphens/>
        <w:autoSpaceDE w:val="0"/>
        <w:autoSpaceDN w:val="0"/>
        <w:spacing w:after="0" w:line="240" w:lineRule="auto"/>
        <w:ind w:left="540" w:hanging="540"/>
        <w:contextualSpacing/>
        <w:jc w:val="both"/>
        <w:textAlignment w:val="baseline"/>
        <w:rPr>
          <w:rFonts w:eastAsia="Times New Roman" w:cs="Arial"/>
          <w:spacing w:val="-1"/>
          <w:szCs w:val="24"/>
          <w:lang w:val="es-ES" w:eastAsia="es-ES"/>
        </w:rPr>
      </w:pPr>
      <w:r w:rsidRPr="006A50C3">
        <w:rPr>
          <w:rFonts w:eastAsia="Times New Roman" w:cs="Arial"/>
          <w:i/>
          <w:iCs/>
          <w:lang w:val=""/>
        </w:rPr>
        <w:t>Confirma</w:t>
      </w:r>
      <w:r w:rsidRPr="006A50C3">
        <w:rPr>
          <w:rFonts w:eastAsia="Times New Roman" w:cs="Arial"/>
          <w:lang w:val=""/>
        </w:rPr>
        <w:t xml:space="preserve"> que todas las Partes contribuirán al presupuesto aprobado en la escala acordada por la Conferencia de las Partes de conformidad con el Artículo VII, párrafo 4 de la Convención;</w:t>
      </w:r>
    </w:p>
    <w:p w14:paraId="065DE4B5" w14:textId="77777777" w:rsidR="006A50C3" w:rsidRPr="006A50C3" w:rsidRDefault="006A50C3" w:rsidP="00DE133B">
      <w:pPr>
        <w:widowControl w:val="0"/>
        <w:tabs>
          <w:tab w:val="left" w:pos="540"/>
        </w:tabs>
        <w:suppressAutoHyphens/>
        <w:autoSpaceDE w:val="0"/>
        <w:autoSpaceDN w:val="0"/>
        <w:spacing w:after="0" w:line="240" w:lineRule="auto"/>
        <w:ind w:left="540" w:hanging="540"/>
        <w:contextualSpacing/>
        <w:jc w:val="both"/>
        <w:textAlignment w:val="baseline"/>
        <w:rPr>
          <w:rFonts w:eastAsia="Times New Roman" w:cs="Arial"/>
          <w:spacing w:val="-1"/>
          <w:szCs w:val="24"/>
          <w:lang w:val="es-ES" w:eastAsia="es-ES"/>
        </w:rPr>
      </w:pPr>
    </w:p>
    <w:p w14:paraId="5B1BB9E3" w14:textId="5A2253C1" w:rsidR="006A50C3" w:rsidRPr="006A50C3" w:rsidRDefault="006A50C3" w:rsidP="00DE133B">
      <w:pPr>
        <w:widowControl w:val="0"/>
        <w:numPr>
          <w:ilvl w:val="0"/>
          <w:numId w:val="13"/>
        </w:numPr>
        <w:tabs>
          <w:tab w:val="left" w:pos="540"/>
        </w:tabs>
        <w:suppressAutoHyphens/>
        <w:autoSpaceDE w:val="0"/>
        <w:autoSpaceDN w:val="0"/>
        <w:spacing w:after="0" w:line="240" w:lineRule="auto"/>
        <w:ind w:left="540" w:hanging="540"/>
        <w:contextualSpacing/>
        <w:jc w:val="both"/>
        <w:textAlignment w:val="baseline"/>
        <w:rPr>
          <w:rFonts w:eastAsia="Times New Roman" w:cs="Arial"/>
          <w:szCs w:val="24"/>
          <w:lang w:val="es-ES" w:eastAsia="es-ES"/>
        </w:rPr>
      </w:pPr>
      <w:r w:rsidRPr="006A50C3">
        <w:rPr>
          <w:rFonts w:eastAsia="Times New Roman" w:cs="Arial"/>
          <w:i/>
          <w:lang w:val=""/>
        </w:rPr>
        <w:t>Adopta</w:t>
      </w:r>
      <w:r w:rsidRPr="006A50C3">
        <w:rPr>
          <w:rFonts w:eastAsia="Times New Roman" w:cs="Arial"/>
          <w:lang w:val=""/>
        </w:rPr>
        <w:t xml:space="preserve"> el presupuesto para 202</w:t>
      </w:r>
      <w:r w:rsidR="004D4092">
        <w:rPr>
          <w:rFonts w:eastAsia="Times New Roman" w:cs="Arial"/>
          <w:lang w:val=""/>
        </w:rPr>
        <w:t>4</w:t>
      </w:r>
      <w:r w:rsidRPr="006A50C3">
        <w:rPr>
          <w:rFonts w:eastAsia="Times New Roman" w:cs="Arial"/>
          <w:lang w:val=""/>
        </w:rPr>
        <w:t xml:space="preserve"> a 202</w:t>
      </w:r>
      <w:r w:rsidR="004D4092">
        <w:rPr>
          <w:rFonts w:eastAsia="Times New Roman" w:cs="Arial"/>
          <w:lang w:val=""/>
        </w:rPr>
        <w:t>6</w:t>
      </w:r>
      <w:r w:rsidRPr="006A50C3">
        <w:rPr>
          <w:rFonts w:eastAsia="Times New Roman" w:cs="Arial"/>
          <w:lang w:val=""/>
        </w:rPr>
        <w:t xml:space="preserve"> que se adjunta como Anexo</w:t>
      </w:r>
      <w:r w:rsidR="001561CF" w:rsidRPr="001561CF">
        <w:rPr>
          <w:rFonts w:eastAsia="Times New Roman" w:cs="Arial"/>
          <w:lang w:val=""/>
        </w:rPr>
        <w:t xml:space="preserve"> </w:t>
      </w:r>
      <w:bookmarkStart w:id="8" w:name="_Hlk150511910"/>
      <w:r w:rsidR="001561CF" w:rsidRPr="001561CF">
        <w:rPr>
          <w:rFonts w:eastAsia="Times New Roman" w:cs="Arial"/>
          <w:lang w:val=""/>
        </w:rPr>
        <w:t>[ ]</w:t>
      </w:r>
      <w:bookmarkEnd w:id="8"/>
      <w:r w:rsidR="001561CF" w:rsidRPr="001561CF">
        <w:rPr>
          <w:rFonts w:eastAsia="Times New Roman" w:cs="Arial"/>
          <w:lang w:val=""/>
        </w:rPr>
        <w:t xml:space="preserve"> </w:t>
      </w:r>
      <w:r w:rsidRPr="006A50C3">
        <w:rPr>
          <w:rFonts w:eastAsia="Times New Roman" w:cs="Arial"/>
          <w:lang w:val=""/>
        </w:rPr>
        <w:t>de la presente Resolución;</w:t>
      </w:r>
    </w:p>
    <w:p w14:paraId="51B713E7" w14:textId="77777777" w:rsidR="006A50C3" w:rsidRPr="006A50C3" w:rsidRDefault="006A50C3" w:rsidP="00DE133B">
      <w:pPr>
        <w:widowControl w:val="0"/>
        <w:tabs>
          <w:tab w:val="left" w:pos="540"/>
        </w:tabs>
        <w:suppressAutoHyphens/>
        <w:autoSpaceDE w:val="0"/>
        <w:autoSpaceDN w:val="0"/>
        <w:spacing w:after="0" w:line="240" w:lineRule="auto"/>
        <w:ind w:left="540" w:hanging="540"/>
        <w:contextualSpacing/>
        <w:jc w:val="both"/>
        <w:textAlignment w:val="baseline"/>
        <w:rPr>
          <w:rFonts w:eastAsia="Times New Roman" w:cs="Arial"/>
          <w:szCs w:val="24"/>
          <w:lang w:val="es-ES" w:eastAsia="es-ES"/>
        </w:rPr>
      </w:pPr>
    </w:p>
    <w:p w14:paraId="778367F8" w14:textId="56A9DFA3" w:rsidR="006A50C3" w:rsidRPr="006A50C3" w:rsidRDefault="006A50C3" w:rsidP="00DE133B">
      <w:pPr>
        <w:widowControl w:val="0"/>
        <w:numPr>
          <w:ilvl w:val="0"/>
          <w:numId w:val="13"/>
        </w:numPr>
        <w:tabs>
          <w:tab w:val="left" w:pos="540"/>
        </w:tabs>
        <w:suppressAutoHyphens/>
        <w:autoSpaceDE w:val="0"/>
        <w:autoSpaceDN w:val="0"/>
        <w:spacing w:after="0" w:line="240" w:lineRule="auto"/>
        <w:ind w:left="540" w:hanging="540"/>
        <w:contextualSpacing/>
        <w:jc w:val="both"/>
        <w:textAlignment w:val="baseline"/>
        <w:rPr>
          <w:rFonts w:eastAsia="Times New Roman" w:cs="Arial"/>
          <w:szCs w:val="24"/>
          <w:lang w:val="es-ES" w:eastAsia="es-ES"/>
        </w:rPr>
      </w:pPr>
      <w:r w:rsidRPr="006A50C3">
        <w:rPr>
          <w:rFonts w:eastAsia="Times New Roman" w:cs="Arial"/>
          <w:i/>
          <w:lang w:val=""/>
        </w:rPr>
        <w:t xml:space="preserve">Adopta </w:t>
      </w:r>
      <w:r w:rsidRPr="006A50C3">
        <w:rPr>
          <w:rFonts w:eastAsia="Times New Roman" w:cs="Arial"/>
          <w:lang w:val=""/>
        </w:rPr>
        <w:t>la escala de cuotas de contribución de las Partes en la Convención como se detalla en el Anexo</w:t>
      </w:r>
      <w:r w:rsidR="001561CF" w:rsidRPr="001561CF">
        <w:rPr>
          <w:spacing w:val="-2"/>
          <w:lang w:val="es-ES"/>
        </w:rPr>
        <w:t xml:space="preserve"> </w:t>
      </w:r>
      <w:r w:rsidR="001561CF" w:rsidRPr="001561CF">
        <w:rPr>
          <w:lang w:val="es-ES"/>
        </w:rPr>
        <w:t>[</w:t>
      </w:r>
      <w:r w:rsidR="001561CF" w:rsidRPr="001561CF">
        <w:rPr>
          <w:spacing w:val="27"/>
          <w:lang w:val="es-ES"/>
        </w:rPr>
        <w:t xml:space="preserve"> </w:t>
      </w:r>
      <w:r w:rsidR="001561CF" w:rsidRPr="001561CF">
        <w:rPr>
          <w:lang w:val="es-ES"/>
        </w:rPr>
        <w:t>]</w:t>
      </w:r>
      <w:r w:rsidR="001561CF" w:rsidRPr="001561CF">
        <w:rPr>
          <w:spacing w:val="-2"/>
          <w:lang w:val="es-ES"/>
        </w:rPr>
        <w:t xml:space="preserve"> </w:t>
      </w:r>
      <w:r w:rsidRPr="006A50C3">
        <w:rPr>
          <w:rFonts w:eastAsia="Times New Roman" w:cs="Arial"/>
          <w:lang w:val=""/>
        </w:rPr>
        <w:t>de la presente Resolución, y decide aplicar esta escala prorrateada a las nuevas Partes;</w:t>
      </w:r>
    </w:p>
    <w:p w14:paraId="07389A3F" w14:textId="77777777" w:rsidR="006A50C3" w:rsidRPr="006A50C3" w:rsidRDefault="006A50C3" w:rsidP="00DE133B">
      <w:pPr>
        <w:widowControl w:val="0"/>
        <w:tabs>
          <w:tab w:val="left" w:pos="540"/>
        </w:tabs>
        <w:suppressAutoHyphens/>
        <w:autoSpaceDE w:val="0"/>
        <w:autoSpaceDN w:val="0"/>
        <w:spacing w:after="0" w:line="240" w:lineRule="auto"/>
        <w:ind w:left="540" w:hanging="540"/>
        <w:contextualSpacing/>
        <w:jc w:val="both"/>
        <w:textAlignment w:val="baseline"/>
        <w:rPr>
          <w:rFonts w:eastAsia="Times New Roman" w:cs="Times New Roman"/>
          <w:i/>
          <w:lang w:val="es-ES"/>
        </w:rPr>
      </w:pPr>
    </w:p>
    <w:p w14:paraId="21820DD3" w14:textId="3F27B94A" w:rsidR="006A50C3" w:rsidRPr="006A50C3" w:rsidRDefault="006A50C3" w:rsidP="00DE133B">
      <w:pPr>
        <w:widowControl w:val="0"/>
        <w:numPr>
          <w:ilvl w:val="0"/>
          <w:numId w:val="13"/>
        </w:numPr>
        <w:tabs>
          <w:tab w:val="left" w:pos="540"/>
        </w:tabs>
        <w:suppressAutoHyphens/>
        <w:autoSpaceDE w:val="0"/>
        <w:autoSpaceDN w:val="0"/>
        <w:spacing w:after="0" w:line="240" w:lineRule="auto"/>
        <w:ind w:left="540" w:hanging="540"/>
        <w:contextualSpacing/>
        <w:jc w:val="both"/>
        <w:textAlignment w:val="baseline"/>
        <w:rPr>
          <w:rFonts w:eastAsia="Times New Roman" w:cs="Times New Roman"/>
          <w:iCs/>
          <w:lang w:val="es-ES"/>
        </w:rPr>
      </w:pPr>
      <w:r w:rsidRPr="006A50C3">
        <w:rPr>
          <w:rFonts w:eastAsia="Times New Roman" w:cs="Arial"/>
          <w:i/>
          <w:lang w:val=""/>
        </w:rPr>
        <w:t xml:space="preserve">Acuerda </w:t>
      </w:r>
      <w:r w:rsidRPr="006A50C3">
        <w:rPr>
          <w:rFonts w:eastAsia="Times New Roman" w:cs="Arial"/>
          <w:lang w:val=""/>
        </w:rPr>
        <w:t xml:space="preserve">que la escala de contribuciones que figura en el Anexo </w:t>
      </w:r>
      <w:r w:rsidR="001561CF" w:rsidRPr="001561CF">
        <w:rPr>
          <w:rFonts w:eastAsia="Times New Roman" w:cs="Arial"/>
          <w:lang w:val=""/>
        </w:rPr>
        <w:t xml:space="preserve"> [ ] </w:t>
      </w:r>
      <w:r w:rsidRPr="006A50C3">
        <w:rPr>
          <w:rFonts w:eastAsia="Times New Roman" w:cs="Arial"/>
          <w:lang w:val=""/>
        </w:rPr>
        <w:t xml:space="preserve">no se ajustará a la baja en el caso de que nuevas Partes se adhieran a la Convención tras la </w:t>
      </w:r>
      <w:r w:rsidRPr="006A50C3">
        <w:rPr>
          <w:rFonts w:eastAsia="Times New Roman" w:cs="Arial"/>
          <w:iCs/>
          <w:lang w:val="es-ES"/>
        </w:rPr>
        <w:t>aprobación de la presente Resolución;</w:t>
      </w:r>
    </w:p>
    <w:p w14:paraId="15590E34" w14:textId="77777777" w:rsidR="006A50C3" w:rsidRPr="006A50C3" w:rsidRDefault="006A50C3" w:rsidP="00DE133B">
      <w:pPr>
        <w:tabs>
          <w:tab w:val="left" w:pos="540"/>
        </w:tabs>
        <w:kinsoku w:val="0"/>
        <w:overflowPunct w:val="0"/>
        <w:spacing w:after="0" w:line="240" w:lineRule="auto"/>
        <w:ind w:left="540" w:right="72" w:hanging="540"/>
        <w:textAlignment w:val="baseline"/>
        <w:rPr>
          <w:rFonts w:eastAsia="Calibri" w:cs="Arial"/>
          <w:i/>
          <w:spacing w:val="-1"/>
          <w:lang w:val="es-ES"/>
        </w:rPr>
      </w:pPr>
    </w:p>
    <w:p w14:paraId="71DB9C4C" w14:textId="77777777" w:rsidR="006A50C3" w:rsidRPr="006A50C3" w:rsidRDefault="006A50C3" w:rsidP="00DE133B">
      <w:pPr>
        <w:widowControl w:val="0"/>
        <w:numPr>
          <w:ilvl w:val="0"/>
          <w:numId w:val="13"/>
        </w:numPr>
        <w:tabs>
          <w:tab w:val="left" w:pos="540"/>
        </w:tabs>
        <w:suppressAutoHyphens/>
        <w:autoSpaceDE w:val="0"/>
        <w:autoSpaceDN w:val="0"/>
        <w:spacing w:after="0" w:line="240" w:lineRule="auto"/>
        <w:ind w:left="540" w:hanging="540"/>
        <w:contextualSpacing/>
        <w:jc w:val="both"/>
        <w:textAlignment w:val="baseline"/>
        <w:rPr>
          <w:rFonts w:eastAsia="Times New Roman" w:cs="Arial"/>
          <w:szCs w:val="24"/>
          <w:lang w:val="es-ES" w:eastAsia="es-ES"/>
        </w:rPr>
      </w:pPr>
      <w:r w:rsidRPr="006A50C3">
        <w:rPr>
          <w:rFonts w:eastAsia="Times New Roman" w:cs="Arial"/>
          <w:i/>
          <w:iCs/>
          <w:lang w:val=""/>
        </w:rPr>
        <w:t>Solicita</w:t>
      </w:r>
      <w:r w:rsidRPr="006A50C3">
        <w:rPr>
          <w:rFonts w:eastAsia="Times New Roman" w:cs="Arial"/>
          <w:lang w:val=""/>
        </w:rPr>
        <w:t xml:space="preserve"> a las Partes, en particular a las que deben pagar cuotas reducidas, que consideren la posibilidad de abonar en un único pago la cantidad correspondiente a todo el trienio;</w:t>
      </w:r>
    </w:p>
    <w:p w14:paraId="11081390" w14:textId="77777777" w:rsidR="006A50C3" w:rsidRDefault="006A50C3" w:rsidP="00DE133B">
      <w:pPr>
        <w:widowControl w:val="0"/>
        <w:tabs>
          <w:tab w:val="left" w:pos="540"/>
        </w:tabs>
        <w:suppressAutoHyphens/>
        <w:autoSpaceDE w:val="0"/>
        <w:autoSpaceDN w:val="0"/>
        <w:spacing w:after="0" w:line="240" w:lineRule="auto"/>
        <w:ind w:left="540" w:hanging="540"/>
        <w:contextualSpacing/>
        <w:jc w:val="both"/>
        <w:textAlignment w:val="baseline"/>
        <w:rPr>
          <w:rFonts w:eastAsia="Times New Roman" w:cs="Arial"/>
          <w:spacing w:val="-1"/>
          <w:szCs w:val="24"/>
          <w:lang w:val="es-ES" w:eastAsia="es-ES"/>
        </w:rPr>
      </w:pPr>
    </w:p>
    <w:p w14:paraId="7DE329D7" w14:textId="77777777" w:rsidR="006A50C3" w:rsidRPr="006A50C3" w:rsidRDefault="006A50C3" w:rsidP="00DE133B">
      <w:pPr>
        <w:widowControl w:val="0"/>
        <w:numPr>
          <w:ilvl w:val="0"/>
          <w:numId w:val="13"/>
        </w:numPr>
        <w:tabs>
          <w:tab w:val="left" w:pos="540"/>
        </w:tabs>
        <w:suppressAutoHyphens/>
        <w:autoSpaceDE w:val="0"/>
        <w:autoSpaceDN w:val="0"/>
        <w:spacing w:after="0" w:line="240" w:lineRule="auto"/>
        <w:ind w:left="540" w:hanging="540"/>
        <w:contextualSpacing/>
        <w:jc w:val="both"/>
        <w:textAlignment w:val="baseline"/>
        <w:rPr>
          <w:rFonts w:eastAsia="Times New Roman" w:cs="Arial"/>
          <w:spacing w:val="-1"/>
          <w:szCs w:val="24"/>
          <w:lang w:val="es-ES" w:eastAsia="es-ES"/>
        </w:rPr>
      </w:pPr>
      <w:r w:rsidRPr="006A50C3">
        <w:rPr>
          <w:rFonts w:eastAsia="Times New Roman" w:cs="Arial"/>
          <w:i/>
          <w:iCs/>
          <w:lang w:val=""/>
        </w:rPr>
        <w:t>Insta</w:t>
      </w:r>
      <w:r w:rsidRPr="006A50C3">
        <w:rPr>
          <w:rFonts w:eastAsia="Times New Roman" w:cs="Arial"/>
          <w:lang w:val=""/>
        </w:rPr>
        <w:t xml:space="preserve"> a las Partes a que paguen sus cuotas lo antes posible, preferentemente no más tarde del final de marzo del año al que corresponden y, si así lo desean, que informen a la Secretaría si prefieren recibir una sola factura que cubra todo el trienio;</w:t>
      </w:r>
    </w:p>
    <w:p w14:paraId="0EC91598" w14:textId="77777777" w:rsidR="006A50C3" w:rsidRPr="006A50C3" w:rsidRDefault="006A50C3" w:rsidP="00DE133B">
      <w:pPr>
        <w:widowControl w:val="0"/>
        <w:tabs>
          <w:tab w:val="left" w:pos="540"/>
        </w:tabs>
        <w:suppressAutoHyphens/>
        <w:autoSpaceDE w:val="0"/>
        <w:autoSpaceDN w:val="0"/>
        <w:spacing w:after="0" w:line="240" w:lineRule="auto"/>
        <w:ind w:left="540" w:hanging="540"/>
        <w:contextualSpacing/>
        <w:jc w:val="both"/>
        <w:textAlignment w:val="baseline"/>
        <w:rPr>
          <w:rFonts w:eastAsia="Times New Roman" w:cs="Arial"/>
          <w:szCs w:val="24"/>
          <w:lang w:val="es-ES" w:eastAsia="es-ES"/>
        </w:rPr>
      </w:pPr>
    </w:p>
    <w:p w14:paraId="534E1EB1" w14:textId="1941FCFF" w:rsidR="006A50C3" w:rsidRPr="006A50C3" w:rsidRDefault="006A50C3" w:rsidP="00DE133B">
      <w:pPr>
        <w:widowControl w:val="0"/>
        <w:numPr>
          <w:ilvl w:val="0"/>
          <w:numId w:val="13"/>
        </w:numPr>
        <w:tabs>
          <w:tab w:val="left" w:pos="540"/>
        </w:tabs>
        <w:suppressAutoHyphens/>
        <w:autoSpaceDE w:val="0"/>
        <w:autoSpaceDN w:val="0"/>
        <w:spacing w:after="0" w:line="240" w:lineRule="auto"/>
        <w:ind w:left="540" w:hanging="540"/>
        <w:contextualSpacing/>
        <w:jc w:val="both"/>
        <w:textAlignment w:val="baseline"/>
        <w:rPr>
          <w:rFonts w:eastAsia="Times New Roman" w:cs="Arial"/>
          <w:szCs w:val="24"/>
          <w:lang w:val="es-ES" w:eastAsia="es-ES"/>
        </w:rPr>
      </w:pPr>
      <w:r w:rsidRPr="006A50C3">
        <w:rPr>
          <w:rFonts w:eastAsia="Times New Roman" w:cs="Arial"/>
          <w:i/>
          <w:lang w:val=""/>
        </w:rPr>
        <w:t xml:space="preserve">Toma nota </w:t>
      </w:r>
      <w:r w:rsidRPr="006A50C3">
        <w:rPr>
          <w:rFonts w:eastAsia="Times New Roman" w:cs="Arial"/>
          <w:lang w:val=""/>
        </w:rPr>
        <w:t xml:space="preserve">con preocupación de que varias Partes no han abonado sus cuotas de contribución al presupuesto básico para </w:t>
      </w:r>
      <w:r w:rsidR="004D4092">
        <w:rPr>
          <w:rFonts w:eastAsia="Times New Roman" w:cs="Arial"/>
          <w:lang w:val=""/>
        </w:rPr>
        <w:t>2023</w:t>
      </w:r>
      <w:r w:rsidRPr="006A50C3">
        <w:rPr>
          <w:rFonts w:eastAsia="Times New Roman" w:cs="Arial"/>
          <w:lang w:val=""/>
        </w:rPr>
        <w:t xml:space="preserve"> y años anteriores que vencen el 1º de enero de cada año, afectando así desfavorablemente a la aplicación de la Convención;</w:t>
      </w:r>
    </w:p>
    <w:p w14:paraId="76FC4829" w14:textId="77777777" w:rsidR="006A50C3" w:rsidRPr="006A50C3" w:rsidRDefault="006A50C3" w:rsidP="00DE133B">
      <w:pPr>
        <w:widowControl w:val="0"/>
        <w:tabs>
          <w:tab w:val="left" w:pos="540"/>
        </w:tabs>
        <w:suppressAutoHyphens/>
        <w:autoSpaceDE w:val="0"/>
        <w:autoSpaceDN w:val="0"/>
        <w:spacing w:after="0" w:line="240" w:lineRule="auto"/>
        <w:ind w:left="540" w:hanging="540"/>
        <w:contextualSpacing/>
        <w:jc w:val="both"/>
        <w:textAlignment w:val="baseline"/>
        <w:rPr>
          <w:rFonts w:eastAsia="Times New Roman" w:cs="Arial"/>
          <w:szCs w:val="24"/>
          <w:lang w:val="es-ES" w:eastAsia="es-ES"/>
        </w:rPr>
      </w:pPr>
    </w:p>
    <w:p w14:paraId="47694142" w14:textId="77777777" w:rsidR="006A50C3" w:rsidRPr="006A50C3" w:rsidRDefault="006A50C3" w:rsidP="00DE133B">
      <w:pPr>
        <w:widowControl w:val="0"/>
        <w:numPr>
          <w:ilvl w:val="0"/>
          <w:numId w:val="13"/>
        </w:numPr>
        <w:tabs>
          <w:tab w:val="left" w:pos="540"/>
        </w:tabs>
        <w:suppressAutoHyphens/>
        <w:autoSpaceDE w:val="0"/>
        <w:autoSpaceDN w:val="0"/>
        <w:spacing w:after="0" w:line="240" w:lineRule="auto"/>
        <w:ind w:left="540" w:hanging="540"/>
        <w:contextualSpacing/>
        <w:jc w:val="both"/>
        <w:textAlignment w:val="baseline"/>
        <w:rPr>
          <w:rFonts w:eastAsia="Times New Roman" w:cs="Arial"/>
          <w:szCs w:val="24"/>
          <w:lang w:val="es-ES" w:eastAsia="es-ES"/>
        </w:rPr>
      </w:pPr>
      <w:r w:rsidRPr="006A50C3">
        <w:rPr>
          <w:rFonts w:eastAsia="Times New Roman" w:cs="Arial"/>
          <w:i/>
          <w:lang w:val=""/>
        </w:rPr>
        <w:t>Insta</w:t>
      </w:r>
      <w:r w:rsidRPr="006A50C3">
        <w:rPr>
          <w:rFonts w:eastAsia="Times New Roman" w:cs="Arial"/>
          <w:lang w:val=""/>
        </w:rPr>
        <w:t xml:space="preserve"> a las Partes con cuotas pendientes a cooperar con la Secretaría para acordar el pago de dichas cuotas pendientes sin tardanza;</w:t>
      </w:r>
    </w:p>
    <w:p w14:paraId="2BF95E44" w14:textId="77777777" w:rsidR="006A50C3" w:rsidRPr="006A50C3" w:rsidRDefault="006A50C3" w:rsidP="00DE133B">
      <w:pPr>
        <w:widowControl w:val="0"/>
        <w:tabs>
          <w:tab w:val="left" w:pos="540"/>
        </w:tabs>
        <w:suppressAutoHyphens/>
        <w:autoSpaceDE w:val="0"/>
        <w:autoSpaceDN w:val="0"/>
        <w:spacing w:after="0" w:line="240" w:lineRule="auto"/>
        <w:ind w:left="540" w:hanging="540"/>
        <w:contextualSpacing/>
        <w:jc w:val="both"/>
        <w:textAlignment w:val="baseline"/>
        <w:rPr>
          <w:rFonts w:eastAsia="Times New Roman" w:cs="Arial"/>
          <w:szCs w:val="24"/>
          <w:lang w:val="es-ES" w:eastAsia="es-ES"/>
        </w:rPr>
      </w:pPr>
    </w:p>
    <w:p w14:paraId="18A20FA7" w14:textId="650ABBA6" w:rsidR="006A50C3" w:rsidRPr="006A50C3" w:rsidRDefault="006A50C3" w:rsidP="00DE133B">
      <w:pPr>
        <w:widowControl w:val="0"/>
        <w:numPr>
          <w:ilvl w:val="0"/>
          <w:numId w:val="13"/>
        </w:numPr>
        <w:tabs>
          <w:tab w:val="left" w:pos="540"/>
        </w:tabs>
        <w:suppressAutoHyphens/>
        <w:autoSpaceDE w:val="0"/>
        <w:autoSpaceDN w:val="0"/>
        <w:spacing w:after="0" w:line="240" w:lineRule="auto"/>
        <w:ind w:left="540" w:hanging="540"/>
        <w:contextualSpacing/>
        <w:jc w:val="both"/>
        <w:textAlignment w:val="baseline"/>
        <w:rPr>
          <w:rFonts w:eastAsia="Times New Roman" w:cs="Arial"/>
          <w:szCs w:val="24"/>
          <w:lang w:val="es-ES" w:eastAsia="es-ES"/>
        </w:rPr>
      </w:pPr>
      <w:r w:rsidRPr="006A50C3">
        <w:rPr>
          <w:rFonts w:eastAsia="Times New Roman" w:cs="Arial"/>
          <w:i/>
          <w:lang w:val=""/>
        </w:rPr>
        <w:t>Decide</w:t>
      </w:r>
      <w:r w:rsidRPr="006A50C3">
        <w:rPr>
          <w:rFonts w:eastAsia="Times New Roman" w:cs="Arial"/>
          <w:lang w:val=""/>
        </w:rPr>
        <w:t xml:space="preserve"> establecer el umbral de elegibilidad para la financiación de los delegados que asisten a las reuniones de la Convención en el 0,200 </w:t>
      </w:r>
      <w:r w:rsidR="00831791">
        <w:rPr>
          <w:rFonts w:eastAsia="Times New Roman" w:cs="Arial"/>
          <w:lang w:val=""/>
        </w:rPr>
        <w:t>por ciento</w:t>
      </w:r>
      <w:r w:rsidRPr="006A50C3">
        <w:rPr>
          <w:rFonts w:eastAsia="Times New Roman" w:cs="Arial"/>
          <w:lang w:val=""/>
        </w:rPr>
        <w:t xml:space="preserve"> sobre la escala de cuotas de las Naciones Unidas y como regla general, además, excluir de tal elegibilidad a los países de la Unión Europea, a otros países europeos con economías fuertes y/o a los países que tienen pagos en mora de tres años o más;</w:t>
      </w:r>
    </w:p>
    <w:p w14:paraId="1C3F2EF2" w14:textId="77777777" w:rsidR="006A50C3" w:rsidRPr="006A50C3" w:rsidRDefault="006A50C3" w:rsidP="00DE133B">
      <w:pPr>
        <w:widowControl w:val="0"/>
        <w:tabs>
          <w:tab w:val="left" w:pos="540"/>
        </w:tabs>
        <w:suppressAutoHyphens/>
        <w:autoSpaceDE w:val="0"/>
        <w:autoSpaceDN w:val="0"/>
        <w:spacing w:after="0" w:line="240" w:lineRule="auto"/>
        <w:ind w:left="540" w:hanging="540"/>
        <w:contextualSpacing/>
        <w:jc w:val="both"/>
        <w:textAlignment w:val="baseline"/>
        <w:rPr>
          <w:rFonts w:eastAsia="Times New Roman" w:cs="Arial"/>
          <w:spacing w:val="-3"/>
          <w:szCs w:val="24"/>
          <w:lang w:val="es-ES" w:eastAsia="es-ES"/>
        </w:rPr>
      </w:pPr>
    </w:p>
    <w:p w14:paraId="3EF8B303" w14:textId="424B60A1" w:rsidR="006A50C3" w:rsidRPr="006A50C3" w:rsidRDefault="006A50C3" w:rsidP="00DE133B">
      <w:pPr>
        <w:widowControl w:val="0"/>
        <w:numPr>
          <w:ilvl w:val="0"/>
          <w:numId w:val="13"/>
        </w:numPr>
        <w:tabs>
          <w:tab w:val="left" w:pos="540"/>
        </w:tabs>
        <w:suppressAutoHyphens/>
        <w:autoSpaceDE w:val="0"/>
        <w:autoSpaceDN w:val="0"/>
        <w:spacing w:after="0" w:line="240" w:lineRule="auto"/>
        <w:ind w:left="540" w:hanging="540"/>
        <w:contextualSpacing/>
        <w:jc w:val="both"/>
        <w:textAlignment w:val="baseline"/>
        <w:rPr>
          <w:rFonts w:eastAsia="Times New Roman" w:cs="Arial"/>
          <w:spacing w:val="-3"/>
          <w:szCs w:val="24"/>
          <w:lang w:val="es-ES" w:eastAsia="es-ES"/>
        </w:rPr>
      </w:pPr>
      <w:r w:rsidRPr="006A50C3">
        <w:rPr>
          <w:rFonts w:eastAsia="Times New Roman" w:cs="Arial"/>
          <w:i/>
          <w:lang w:val=""/>
        </w:rPr>
        <w:t xml:space="preserve">Decide </w:t>
      </w:r>
      <w:r w:rsidRPr="006A50C3">
        <w:rPr>
          <w:rFonts w:eastAsia="Times New Roman" w:cs="Arial"/>
          <w:lang w:val=""/>
        </w:rPr>
        <w:t>que los representantes de los países con cuotas en mora de tres años o más sean excluidos de ocupar cargos en órganos de la Convención</w:t>
      </w:r>
      <w:r w:rsidR="003B019A">
        <w:rPr>
          <w:rFonts w:eastAsia="Times New Roman" w:cs="Arial"/>
          <w:lang w:val=""/>
        </w:rPr>
        <w:t xml:space="preserve"> y </w:t>
      </w:r>
      <w:r w:rsidRPr="006A50C3">
        <w:rPr>
          <w:rFonts w:eastAsia="Times New Roman" w:cs="Arial"/>
          <w:lang w:val=""/>
        </w:rPr>
        <w:t>se les niegue el derecho al voto</w:t>
      </w:r>
      <w:r w:rsidR="0017231C" w:rsidRPr="0017231C">
        <w:rPr>
          <w:lang w:val="es-ES"/>
        </w:rPr>
        <w:t xml:space="preserve"> </w:t>
      </w:r>
      <w:r w:rsidRPr="006A50C3">
        <w:rPr>
          <w:rFonts w:eastAsia="Times New Roman" w:cs="Arial"/>
          <w:lang w:val=""/>
        </w:rPr>
        <w:t>y solicita al Secretario Ejecutivo que estudie con dichas Partes la aplicación de enfoques innovadores para la identificación de posibles fondos de financiación, a fin de resolver la situación de sus atrasos</w:t>
      </w:r>
      <w:r w:rsidR="00D267B5">
        <w:rPr>
          <w:rFonts w:eastAsia="Times New Roman" w:cs="Arial"/>
          <w:lang w:val=""/>
        </w:rPr>
        <w:t xml:space="preserve"> en sus pagos</w:t>
      </w:r>
      <w:r w:rsidRPr="006A50C3">
        <w:rPr>
          <w:rFonts w:eastAsia="Times New Roman" w:cs="Arial"/>
          <w:lang w:val=""/>
        </w:rPr>
        <w:t xml:space="preserve"> antes de la próxima reunión;</w:t>
      </w:r>
    </w:p>
    <w:p w14:paraId="65F83D4C" w14:textId="77777777" w:rsidR="006A50C3" w:rsidRPr="006A50C3" w:rsidRDefault="006A50C3" w:rsidP="00DE133B">
      <w:pPr>
        <w:widowControl w:val="0"/>
        <w:tabs>
          <w:tab w:val="left" w:pos="540"/>
        </w:tabs>
        <w:suppressAutoHyphens/>
        <w:autoSpaceDE w:val="0"/>
        <w:autoSpaceDN w:val="0"/>
        <w:spacing w:after="0" w:line="240" w:lineRule="auto"/>
        <w:ind w:left="540" w:hanging="540"/>
        <w:contextualSpacing/>
        <w:jc w:val="both"/>
        <w:textAlignment w:val="baseline"/>
        <w:rPr>
          <w:rFonts w:eastAsia="Times New Roman" w:cs="Arial"/>
          <w:szCs w:val="24"/>
          <w:lang w:val="es-ES" w:eastAsia="es-ES"/>
        </w:rPr>
      </w:pPr>
    </w:p>
    <w:p w14:paraId="7F548A30" w14:textId="35218CED" w:rsidR="006A50C3" w:rsidRPr="006A50C3" w:rsidRDefault="006A50C3" w:rsidP="00DE133B">
      <w:pPr>
        <w:widowControl w:val="0"/>
        <w:numPr>
          <w:ilvl w:val="0"/>
          <w:numId w:val="13"/>
        </w:numPr>
        <w:tabs>
          <w:tab w:val="left" w:pos="540"/>
        </w:tabs>
        <w:suppressAutoHyphens/>
        <w:autoSpaceDE w:val="0"/>
        <w:autoSpaceDN w:val="0"/>
        <w:spacing w:after="0" w:line="240" w:lineRule="auto"/>
        <w:ind w:left="540" w:hanging="540"/>
        <w:contextualSpacing/>
        <w:jc w:val="both"/>
        <w:textAlignment w:val="baseline"/>
        <w:rPr>
          <w:rFonts w:eastAsia="Times New Roman" w:cs="Arial"/>
          <w:szCs w:val="24"/>
          <w:lang w:val="es-ES" w:eastAsia="es-ES"/>
        </w:rPr>
      </w:pPr>
      <w:r w:rsidRPr="006A50C3">
        <w:rPr>
          <w:rFonts w:eastAsia="Times New Roman" w:cs="Arial"/>
          <w:i/>
          <w:lang w:val=""/>
        </w:rPr>
        <w:t xml:space="preserve">Decide </w:t>
      </w:r>
      <w:r w:rsidRPr="006A50C3">
        <w:rPr>
          <w:rFonts w:eastAsia="Times New Roman" w:cs="Arial"/>
          <w:lang w:val=""/>
        </w:rPr>
        <w:t>que las Resoluciones adoptadas por esta Conferencia de las Partes, por las que se establecen, entre otras cosas, órganos, mecanismos o actividades que tengan implicaciones financieras no previstas en el Anexo</w:t>
      </w:r>
      <w:r w:rsidR="005C3267">
        <w:rPr>
          <w:rFonts w:eastAsia="Times New Roman" w:cs="Arial"/>
          <w:lang w:val=""/>
        </w:rPr>
        <w:t xml:space="preserve"> </w:t>
      </w:r>
      <w:bookmarkStart w:id="9" w:name="_Hlk150513003"/>
      <w:r w:rsidR="005C3267" w:rsidRPr="005C3267">
        <w:rPr>
          <w:rFonts w:eastAsia="Times New Roman" w:cs="Arial"/>
          <w:lang w:val=""/>
        </w:rPr>
        <w:t>[ ]</w:t>
      </w:r>
      <w:bookmarkEnd w:id="9"/>
      <w:r w:rsidRPr="006A50C3">
        <w:rPr>
          <w:rFonts w:eastAsia="Times New Roman" w:cs="Arial"/>
          <w:lang w:val=""/>
        </w:rPr>
        <w:t>, estén sujetas a la disponibilidad de fondos procedentes de contribuciones voluntarias;</w:t>
      </w:r>
    </w:p>
    <w:p w14:paraId="69463DC2" w14:textId="77777777" w:rsidR="006A50C3" w:rsidRPr="006A50C3" w:rsidRDefault="006A50C3" w:rsidP="00DE133B">
      <w:pPr>
        <w:widowControl w:val="0"/>
        <w:tabs>
          <w:tab w:val="left" w:pos="540"/>
        </w:tabs>
        <w:suppressAutoHyphens/>
        <w:autoSpaceDE w:val="0"/>
        <w:autoSpaceDN w:val="0"/>
        <w:spacing w:after="0" w:line="240" w:lineRule="auto"/>
        <w:ind w:left="540" w:hanging="540"/>
        <w:contextualSpacing/>
        <w:jc w:val="both"/>
        <w:textAlignment w:val="baseline"/>
        <w:rPr>
          <w:rFonts w:eastAsia="Times New Roman" w:cs="Arial"/>
          <w:szCs w:val="24"/>
          <w:lang w:val="es-ES" w:eastAsia="es-ES"/>
        </w:rPr>
      </w:pPr>
    </w:p>
    <w:p w14:paraId="46BC3217" w14:textId="1F4A4796" w:rsidR="006A50C3" w:rsidRPr="006A50C3" w:rsidRDefault="006A50C3" w:rsidP="00DE133B">
      <w:pPr>
        <w:widowControl w:val="0"/>
        <w:numPr>
          <w:ilvl w:val="0"/>
          <w:numId w:val="13"/>
        </w:numPr>
        <w:tabs>
          <w:tab w:val="left" w:pos="540"/>
        </w:tabs>
        <w:suppressAutoHyphens/>
        <w:autoSpaceDE w:val="0"/>
        <w:autoSpaceDN w:val="0"/>
        <w:spacing w:after="0" w:line="240" w:lineRule="auto"/>
        <w:ind w:left="540" w:hanging="540"/>
        <w:contextualSpacing/>
        <w:jc w:val="both"/>
        <w:textAlignment w:val="baseline"/>
        <w:rPr>
          <w:rFonts w:eastAsia="Times New Roman" w:cs="Arial"/>
          <w:szCs w:val="24"/>
          <w:lang w:val="es-ES" w:eastAsia="es-ES"/>
        </w:rPr>
      </w:pPr>
      <w:r w:rsidRPr="006A50C3">
        <w:rPr>
          <w:rFonts w:eastAsia="Times New Roman" w:cs="Arial"/>
          <w:i/>
          <w:lang w:val=""/>
        </w:rPr>
        <w:t xml:space="preserve">Alienta </w:t>
      </w:r>
      <w:r w:rsidRPr="006A50C3">
        <w:rPr>
          <w:rFonts w:eastAsia="Times New Roman" w:cs="Arial"/>
          <w:lang w:val=""/>
        </w:rPr>
        <w:t xml:space="preserve">a todas las Partes a que aporten contribuciones voluntarias al Fondo Fiduciario – </w:t>
      </w:r>
      <w:r w:rsidRPr="00DE133B">
        <w:rPr>
          <w:rFonts w:eastAsia="Times New Roman" w:cs="Arial"/>
          <w:lang w:val=""/>
        </w:rPr>
        <w:t>MVL</w:t>
      </w:r>
      <w:r w:rsidR="007F35E2" w:rsidRPr="00DE133B">
        <w:rPr>
          <w:rFonts w:eastAsia="Arial" w:cs="Arial"/>
          <w:vertAlign w:val="superscript"/>
        </w:rPr>
        <w:footnoteReference w:id="4"/>
      </w:r>
      <w:r w:rsidRPr="006A50C3">
        <w:rPr>
          <w:rFonts w:eastAsia="Times New Roman" w:cs="Arial"/>
          <w:lang w:val=""/>
        </w:rPr>
        <w:t xml:space="preserve"> con el fin de atender las solicitudes de ayuda de los países en desarrollo para participar en la Convención y poder aplicarla durante el trienio;</w:t>
      </w:r>
    </w:p>
    <w:p w14:paraId="3CDA6470" w14:textId="77777777" w:rsidR="006A50C3" w:rsidRPr="006A50C3" w:rsidRDefault="006A50C3" w:rsidP="00DE133B">
      <w:pPr>
        <w:widowControl w:val="0"/>
        <w:tabs>
          <w:tab w:val="left" w:pos="540"/>
        </w:tabs>
        <w:suppressAutoHyphens/>
        <w:autoSpaceDE w:val="0"/>
        <w:autoSpaceDN w:val="0"/>
        <w:spacing w:after="0" w:line="240" w:lineRule="auto"/>
        <w:ind w:left="540" w:hanging="540"/>
        <w:contextualSpacing/>
        <w:jc w:val="both"/>
        <w:textAlignment w:val="baseline"/>
        <w:rPr>
          <w:rFonts w:eastAsia="Times New Roman" w:cs="Arial"/>
          <w:szCs w:val="24"/>
          <w:lang w:val="es-ES" w:eastAsia="es-ES"/>
        </w:rPr>
      </w:pPr>
    </w:p>
    <w:p w14:paraId="214BEC7D" w14:textId="77777777" w:rsidR="006A50C3" w:rsidRPr="006A50C3" w:rsidRDefault="006A50C3" w:rsidP="00DE133B">
      <w:pPr>
        <w:widowControl w:val="0"/>
        <w:numPr>
          <w:ilvl w:val="0"/>
          <w:numId w:val="13"/>
        </w:numPr>
        <w:tabs>
          <w:tab w:val="left" w:pos="540"/>
        </w:tabs>
        <w:suppressAutoHyphens/>
        <w:autoSpaceDE w:val="0"/>
        <w:autoSpaceDN w:val="0"/>
        <w:spacing w:after="0" w:line="240" w:lineRule="auto"/>
        <w:ind w:left="540" w:hanging="540"/>
        <w:contextualSpacing/>
        <w:jc w:val="both"/>
        <w:textAlignment w:val="baseline"/>
        <w:rPr>
          <w:rFonts w:eastAsia="Times New Roman" w:cs="Arial"/>
          <w:szCs w:val="24"/>
          <w:lang w:val="es-ES" w:eastAsia="es-ES"/>
        </w:rPr>
      </w:pPr>
      <w:r w:rsidRPr="006A50C3">
        <w:rPr>
          <w:rFonts w:eastAsia="Times New Roman" w:cs="Arial"/>
          <w:i/>
          <w:iCs/>
          <w:lang w:val=""/>
        </w:rPr>
        <w:t>Invita</w:t>
      </w:r>
      <w:r w:rsidRPr="006A50C3">
        <w:rPr>
          <w:rFonts w:eastAsia="Times New Roman" w:cs="Arial"/>
          <w:lang w:val=""/>
        </w:rPr>
        <w:t xml:space="preserve"> a todas las Partes a hacer contribuciones voluntarias al Fondo Fiduciario de la Convención - </w:t>
      </w:r>
      <w:r w:rsidRPr="00DE133B">
        <w:rPr>
          <w:rFonts w:eastAsia="Times New Roman" w:cs="Arial"/>
          <w:lang w:val=""/>
        </w:rPr>
        <w:t>MSL</w:t>
      </w:r>
      <w:r w:rsidRPr="00DE133B">
        <w:rPr>
          <w:rFonts w:eastAsia="Times New Roman" w:cs="Arial"/>
          <w:vertAlign w:val="superscript"/>
          <w:lang w:val=""/>
        </w:rPr>
        <w:footnoteReference w:id="5"/>
      </w:r>
      <w:r w:rsidRPr="006A50C3">
        <w:rPr>
          <w:rFonts w:eastAsia="Times New Roman" w:cs="Arial"/>
          <w:lang w:val=""/>
        </w:rPr>
        <w:t xml:space="preserve"> para apoyar el presupuesto básico de la Secretaría;</w:t>
      </w:r>
    </w:p>
    <w:p w14:paraId="78BC3C0B" w14:textId="77777777" w:rsidR="006A50C3" w:rsidRPr="006A50C3" w:rsidRDefault="006A50C3" w:rsidP="00DE133B">
      <w:pPr>
        <w:widowControl w:val="0"/>
        <w:tabs>
          <w:tab w:val="left" w:pos="540"/>
        </w:tabs>
        <w:suppressAutoHyphens/>
        <w:autoSpaceDE w:val="0"/>
        <w:autoSpaceDN w:val="0"/>
        <w:spacing w:after="0" w:line="240" w:lineRule="auto"/>
        <w:ind w:left="540" w:hanging="540"/>
        <w:contextualSpacing/>
        <w:jc w:val="both"/>
        <w:textAlignment w:val="baseline"/>
        <w:rPr>
          <w:rFonts w:eastAsia="Times New Roman" w:cs="Arial"/>
          <w:szCs w:val="24"/>
          <w:lang w:val="es-ES" w:eastAsia="es-ES"/>
        </w:rPr>
      </w:pPr>
    </w:p>
    <w:p w14:paraId="68585A85" w14:textId="66504899" w:rsidR="006A50C3" w:rsidRPr="006A50C3" w:rsidRDefault="0057584E" w:rsidP="00DE133B">
      <w:pPr>
        <w:widowControl w:val="0"/>
        <w:numPr>
          <w:ilvl w:val="0"/>
          <w:numId w:val="13"/>
        </w:numPr>
        <w:tabs>
          <w:tab w:val="left" w:pos="540"/>
        </w:tabs>
        <w:suppressAutoHyphens/>
        <w:autoSpaceDE w:val="0"/>
        <w:autoSpaceDN w:val="0"/>
        <w:spacing w:after="0" w:line="240" w:lineRule="auto"/>
        <w:ind w:left="540" w:hanging="540"/>
        <w:contextualSpacing/>
        <w:jc w:val="both"/>
        <w:textAlignment w:val="baseline"/>
        <w:rPr>
          <w:rFonts w:eastAsia="Times New Roman" w:cs="Arial"/>
          <w:szCs w:val="24"/>
          <w:lang w:val="es-ES" w:eastAsia="es-ES"/>
        </w:rPr>
      </w:pPr>
      <w:r w:rsidRPr="0057584E">
        <w:rPr>
          <w:rFonts w:eastAsia="Times New Roman" w:cs="Arial"/>
          <w:i/>
          <w:iCs/>
          <w:lang w:val=""/>
        </w:rPr>
        <w:t xml:space="preserve">Solicita </w:t>
      </w:r>
      <w:r w:rsidRPr="0057584E">
        <w:rPr>
          <w:rFonts w:eastAsia="Times New Roman" w:cs="Arial"/>
          <w:lang w:val=""/>
        </w:rPr>
        <w:t>a la Secretaría que finalice el Programa de Trabajo para el periodo entre sesiones entre la COP14 y la COP15 para ayudar a las Partes a identificar aquellas actividades y proyectos básicos en curso y futuros no cubiertos por el presupuesto básico que pretenden financiar</w:t>
      </w:r>
      <w:r w:rsidR="006A50C3" w:rsidRPr="006A50C3">
        <w:rPr>
          <w:rFonts w:eastAsia="Times New Roman" w:cs="Arial"/>
          <w:lang w:val=""/>
        </w:rPr>
        <w:t>;</w:t>
      </w:r>
    </w:p>
    <w:p w14:paraId="20958925" w14:textId="77777777" w:rsidR="006A50C3" w:rsidRPr="006A50C3" w:rsidRDefault="006A50C3" w:rsidP="00DE133B">
      <w:pPr>
        <w:widowControl w:val="0"/>
        <w:tabs>
          <w:tab w:val="left" w:pos="540"/>
        </w:tabs>
        <w:suppressAutoHyphens/>
        <w:autoSpaceDE w:val="0"/>
        <w:autoSpaceDN w:val="0"/>
        <w:spacing w:after="0" w:line="240" w:lineRule="auto"/>
        <w:ind w:left="540" w:hanging="540"/>
        <w:contextualSpacing/>
        <w:jc w:val="both"/>
        <w:textAlignment w:val="baseline"/>
        <w:rPr>
          <w:rFonts w:eastAsia="Times New Roman" w:cs="Arial"/>
          <w:szCs w:val="24"/>
          <w:lang w:val="es-ES" w:eastAsia="es-ES"/>
        </w:rPr>
      </w:pPr>
    </w:p>
    <w:p w14:paraId="23BB0857" w14:textId="77777777" w:rsidR="006A50C3" w:rsidRPr="006A50C3" w:rsidRDefault="006A50C3" w:rsidP="00DE133B">
      <w:pPr>
        <w:widowControl w:val="0"/>
        <w:numPr>
          <w:ilvl w:val="0"/>
          <w:numId w:val="13"/>
        </w:numPr>
        <w:tabs>
          <w:tab w:val="left" w:pos="540"/>
        </w:tabs>
        <w:suppressAutoHyphens/>
        <w:autoSpaceDE w:val="0"/>
        <w:autoSpaceDN w:val="0"/>
        <w:spacing w:after="0" w:line="240" w:lineRule="auto"/>
        <w:ind w:left="540" w:hanging="540"/>
        <w:contextualSpacing/>
        <w:jc w:val="both"/>
        <w:textAlignment w:val="baseline"/>
        <w:rPr>
          <w:rFonts w:eastAsia="Times New Roman" w:cs="Arial"/>
          <w:szCs w:val="24"/>
          <w:lang w:val="es-ES" w:eastAsia="es-ES"/>
        </w:rPr>
      </w:pPr>
      <w:r w:rsidRPr="006A50C3">
        <w:rPr>
          <w:rFonts w:eastAsia="Times New Roman" w:cs="Arial"/>
          <w:i/>
          <w:lang w:val=""/>
        </w:rPr>
        <w:t xml:space="preserve">Alienta </w:t>
      </w:r>
      <w:r w:rsidRPr="006A50C3">
        <w:rPr>
          <w:rFonts w:eastAsia="Times New Roman" w:cs="Arial"/>
          <w:lang w:val=""/>
        </w:rPr>
        <w:t>a los Estados que no son Partes en la Convención, a las organizaciones gubernamentales, intergubernamentales y no gubernamentales y otras fuentes a que consideren la posibilidad de contribuir al Fondo Fiduciario o a actividades especiales;</w:t>
      </w:r>
    </w:p>
    <w:p w14:paraId="593BB869" w14:textId="77777777" w:rsidR="006A50C3" w:rsidRPr="006A50C3" w:rsidRDefault="006A50C3" w:rsidP="00DE133B">
      <w:pPr>
        <w:widowControl w:val="0"/>
        <w:tabs>
          <w:tab w:val="left" w:pos="540"/>
        </w:tabs>
        <w:suppressAutoHyphens/>
        <w:autoSpaceDE w:val="0"/>
        <w:autoSpaceDN w:val="0"/>
        <w:spacing w:after="0" w:line="240" w:lineRule="auto"/>
        <w:ind w:left="540" w:hanging="540"/>
        <w:contextualSpacing/>
        <w:jc w:val="both"/>
        <w:textAlignment w:val="baseline"/>
        <w:rPr>
          <w:rFonts w:eastAsia="Times New Roman" w:cs="Arial"/>
          <w:szCs w:val="24"/>
          <w:lang w:val="es-ES" w:eastAsia="it-IT"/>
        </w:rPr>
      </w:pPr>
    </w:p>
    <w:p w14:paraId="631E86EF" w14:textId="77777777" w:rsidR="006A50C3" w:rsidRPr="006A50C3" w:rsidRDefault="006A50C3" w:rsidP="00DE133B">
      <w:pPr>
        <w:widowControl w:val="0"/>
        <w:numPr>
          <w:ilvl w:val="0"/>
          <w:numId w:val="13"/>
        </w:numPr>
        <w:tabs>
          <w:tab w:val="left" w:pos="540"/>
        </w:tabs>
        <w:suppressAutoHyphens/>
        <w:autoSpaceDE w:val="0"/>
        <w:autoSpaceDN w:val="0"/>
        <w:spacing w:after="0" w:line="240" w:lineRule="auto"/>
        <w:ind w:left="540" w:hanging="540"/>
        <w:contextualSpacing/>
        <w:jc w:val="both"/>
        <w:textAlignment w:val="baseline"/>
        <w:rPr>
          <w:rFonts w:eastAsia="Times New Roman" w:cs="Arial"/>
          <w:lang w:val=""/>
        </w:rPr>
      </w:pPr>
      <w:r w:rsidRPr="006A50C3">
        <w:rPr>
          <w:rFonts w:eastAsia="Times New Roman" w:cs="Arial"/>
          <w:i/>
          <w:iCs/>
          <w:lang w:val=""/>
        </w:rPr>
        <w:t>Decide</w:t>
      </w:r>
      <w:r w:rsidRPr="006A50C3">
        <w:rPr>
          <w:rFonts w:eastAsia="Times New Roman" w:cs="Arial"/>
          <w:lang w:val=""/>
        </w:rPr>
        <w:t xml:space="preserve"> que el Secretario Ejecutivo, a reserva de su aprobación por el Comité Permanente y en casos urgentes, con la sola aprobación del Presidente del Comité Permanente, tendrá la autoridad para gastar o destinar los fondos ahorrados en la ejecución del presupuesto básico, así como los fondos procedentes de nuevas Partes que han adherido a la Convención, a actividades del Programa de trabajo aprobadas con indicación de los costos, no subvencionadas con cargo al presupuesto básico;</w:t>
      </w:r>
    </w:p>
    <w:p w14:paraId="0C87B154" w14:textId="77777777" w:rsidR="006A50C3" w:rsidRPr="006A50C3" w:rsidRDefault="006A50C3" w:rsidP="00DE133B">
      <w:pPr>
        <w:widowControl w:val="0"/>
        <w:suppressAutoHyphens/>
        <w:autoSpaceDE w:val="0"/>
        <w:autoSpaceDN w:val="0"/>
        <w:spacing w:after="0" w:line="240" w:lineRule="auto"/>
        <w:contextualSpacing/>
        <w:jc w:val="both"/>
        <w:textAlignment w:val="baseline"/>
        <w:rPr>
          <w:rFonts w:eastAsia="Times New Roman" w:cs="Arial"/>
          <w:lang w:val=""/>
        </w:rPr>
      </w:pPr>
    </w:p>
    <w:p w14:paraId="2F08E1D8" w14:textId="77777777" w:rsidR="00A30AA6" w:rsidRPr="00A30AA6" w:rsidRDefault="00A30AA6" w:rsidP="00DE133B">
      <w:pPr>
        <w:widowControl w:val="0"/>
        <w:numPr>
          <w:ilvl w:val="0"/>
          <w:numId w:val="13"/>
        </w:numPr>
        <w:suppressAutoHyphens/>
        <w:autoSpaceDE w:val="0"/>
        <w:autoSpaceDN w:val="0"/>
        <w:spacing w:after="0" w:line="240" w:lineRule="auto"/>
        <w:ind w:left="540" w:hanging="540"/>
        <w:contextualSpacing/>
        <w:jc w:val="both"/>
        <w:textAlignment w:val="baseline"/>
        <w:rPr>
          <w:rFonts w:eastAsia="Times New Roman" w:cs="Arial"/>
          <w:szCs w:val="24"/>
          <w:lang w:val="es-ES" w:eastAsia="it-IT"/>
        </w:rPr>
      </w:pPr>
      <w:r w:rsidRPr="006A50C3">
        <w:rPr>
          <w:rFonts w:eastAsia="Times New Roman" w:cs="Arial"/>
          <w:i/>
          <w:iCs/>
          <w:lang w:val=""/>
        </w:rPr>
        <w:t>Decide</w:t>
      </w:r>
      <w:r w:rsidRPr="006A50C3">
        <w:rPr>
          <w:rFonts w:eastAsia="Times New Roman" w:cs="Arial"/>
          <w:lang w:val=""/>
        </w:rPr>
        <w:t xml:space="preserve"> que el Secretario Ejecutivo tendrá la autoridad de adoptar decisiones sobre el personal, según sea necesario, para implementar las prioridades de las Partes de </w:t>
      </w:r>
      <w:r w:rsidRPr="006A50C3">
        <w:rPr>
          <w:rFonts w:eastAsia="Times New Roman" w:cs="Arial"/>
          <w:lang w:val=""/>
        </w:rPr>
        <w:lastRenderedPageBreak/>
        <w:t>acuerdo con el Programa de trabajo, siempre que las implicaciones de las decisiones puedan sufragarse con cargo al presupuesto existente;</w:t>
      </w:r>
    </w:p>
    <w:p w14:paraId="5203D41A" w14:textId="77777777" w:rsidR="00A30AA6" w:rsidRPr="00A30AA6" w:rsidRDefault="00A30AA6" w:rsidP="00DE133B">
      <w:pPr>
        <w:widowControl w:val="0"/>
        <w:suppressAutoHyphens/>
        <w:autoSpaceDE w:val="0"/>
        <w:autoSpaceDN w:val="0"/>
        <w:spacing w:after="0" w:line="240" w:lineRule="auto"/>
        <w:ind w:left="540" w:hanging="540"/>
        <w:contextualSpacing/>
        <w:jc w:val="both"/>
        <w:textAlignment w:val="baseline"/>
        <w:rPr>
          <w:rFonts w:eastAsia="Times New Roman" w:cs="Arial"/>
          <w:szCs w:val="24"/>
          <w:lang w:val="es-ES" w:eastAsia="it-IT"/>
        </w:rPr>
      </w:pPr>
    </w:p>
    <w:p w14:paraId="7369C7D5" w14:textId="77777777" w:rsidR="00A30AA6" w:rsidRPr="00924A38" w:rsidRDefault="00A30AA6" w:rsidP="00DE133B">
      <w:pPr>
        <w:widowControl w:val="0"/>
        <w:numPr>
          <w:ilvl w:val="0"/>
          <w:numId w:val="13"/>
        </w:numPr>
        <w:suppressAutoHyphens/>
        <w:autoSpaceDE w:val="0"/>
        <w:autoSpaceDN w:val="0"/>
        <w:spacing w:after="0" w:line="240" w:lineRule="auto"/>
        <w:ind w:left="540" w:hanging="540"/>
        <w:contextualSpacing/>
        <w:jc w:val="both"/>
        <w:textAlignment w:val="baseline"/>
        <w:rPr>
          <w:rFonts w:eastAsia="Times New Roman" w:cs="Arial"/>
          <w:szCs w:val="24"/>
          <w:lang w:val="es-ES" w:eastAsia="es-ES"/>
        </w:rPr>
      </w:pPr>
      <w:r w:rsidRPr="006A50C3">
        <w:rPr>
          <w:rFonts w:eastAsia="Times New Roman" w:cs="Arial"/>
          <w:i/>
          <w:lang w:val=""/>
        </w:rPr>
        <w:t>Alienta</w:t>
      </w:r>
      <w:r w:rsidRPr="006A50C3">
        <w:rPr>
          <w:rFonts w:eastAsia="Times New Roman" w:cs="Arial"/>
          <w:lang w:val=""/>
        </w:rPr>
        <w:t xml:space="preserve"> al Secretario Ejecutivo a que, en consonancia con las normas de las Naciones Unidas, aproveche las oportunidades proporcionadas por las vacantes para estudiar posibles medios de fortalecer la capacidad de la Secretaría en el marco del presupuesto asignado, incluso mediante la realización de cambios estructurales;</w:t>
      </w:r>
    </w:p>
    <w:p w14:paraId="66059289" w14:textId="77777777" w:rsidR="00924A38" w:rsidRPr="006A50C3" w:rsidRDefault="00924A38" w:rsidP="00DE133B">
      <w:pPr>
        <w:widowControl w:val="0"/>
        <w:suppressAutoHyphens/>
        <w:autoSpaceDE w:val="0"/>
        <w:autoSpaceDN w:val="0"/>
        <w:spacing w:after="0" w:line="240" w:lineRule="auto"/>
        <w:ind w:left="540" w:hanging="540"/>
        <w:contextualSpacing/>
        <w:jc w:val="both"/>
        <w:textAlignment w:val="baseline"/>
        <w:rPr>
          <w:rFonts w:eastAsia="Times New Roman" w:cs="Arial"/>
          <w:szCs w:val="24"/>
          <w:lang w:val="es-ES" w:eastAsia="es-ES"/>
        </w:rPr>
      </w:pPr>
    </w:p>
    <w:p w14:paraId="2E7BCC07" w14:textId="77777777" w:rsidR="00924A38" w:rsidRPr="00F4496C" w:rsidRDefault="00924A38" w:rsidP="00DE133B">
      <w:pPr>
        <w:widowControl w:val="0"/>
        <w:numPr>
          <w:ilvl w:val="0"/>
          <w:numId w:val="13"/>
        </w:numPr>
        <w:suppressAutoHyphens/>
        <w:autoSpaceDE w:val="0"/>
        <w:autoSpaceDN w:val="0"/>
        <w:spacing w:after="0" w:line="240" w:lineRule="auto"/>
        <w:ind w:left="540" w:hanging="540"/>
        <w:jc w:val="both"/>
        <w:textAlignment w:val="baseline"/>
        <w:rPr>
          <w:rFonts w:eastAsia="Times New Roman" w:cs="Arial"/>
          <w:szCs w:val="24"/>
          <w:lang w:val="es-ES" w:eastAsia="es-ES"/>
        </w:rPr>
      </w:pPr>
      <w:r w:rsidRPr="006A50C3">
        <w:rPr>
          <w:rFonts w:eastAsia="Times New Roman" w:cs="Arial"/>
          <w:i/>
          <w:lang w:val=""/>
        </w:rPr>
        <w:t>Solicita</w:t>
      </w:r>
      <w:r w:rsidRPr="006A50C3">
        <w:rPr>
          <w:rFonts w:eastAsia="Times New Roman" w:cs="Arial"/>
          <w:lang w:val=""/>
        </w:rPr>
        <w:t xml:space="preserve"> al Secretario Ejecutivo que prepare propuestas presupuestarias en el mismo formato, incluyendo un cuadro de dotación de personal que muestre los puestos de trabajo en la Secretaría y su estado de ocupación, para someterlas al examen de futuras Conferencias de las Partes, incluyendo como mínimo un escenario presupuestario de crecimiento nominal cero y un escenario de crecimiento real cero, en consulta con el Subcomité de Finanzas y Presupuesto;</w:t>
      </w:r>
    </w:p>
    <w:p w14:paraId="06268A16" w14:textId="77777777" w:rsidR="00F4496C" w:rsidRDefault="00F4496C" w:rsidP="00DE133B">
      <w:pPr>
        <w:pStyle w:val="ListParagraph"/>
        <w:spacing w:after="0" w:line="240" w:lineRule="auto"/>
        <w:ind w:left="540" w:hanging="540"/>
        <w:contextualSpacing w:val="0"/>
        <w:rPr>
          <w:rFonts w:eastAsia="Times New Roman" w:cs="Arial"/>
          <w:szCs w:val="24"/>
          <w:lang w:val="es-ES" w:eastAsia="es-ES"/>
        </w:rPr>
      </w:pPr>
    </w:p>
    <w:p w14:paraId="58D2190E" w14:textId="77777777" w:rsidR="00F4496C" w:rsidRPr="007E3713" w:rsidRDefault="00F4496C" w:rsidP="00DE133B">
      <w:pPr>
        <w:widowControl w:val="0"/>
        <w:numPr>
          <w:ilvl w:val="0"/>
          <w:numId w:val="13"/>
        </w:numPr>
        <w:suppressAutoHyphens/>
        <w:autoSpaceDE w:val="0"/>
        <w:autoSpaceDN w:val="0"/>
        <w:spacing w:after="0" w:line="240" w:lineRule="auto"/>
        <w:ind w:left="547" w:hanging="547"/>
        <w:contextualSpacing/>
        <w:jc w:val="both"/>
        <w:textAlignment w:val="baseline"/>
        <w:rPr>
          <w:rFonts w:eastAsia="Times New Roman" w:cs="Arial"/>
          <w:szCs w:val="24"/>
          <w:lang w:val="es-ES" w:eastAsia="es-ES"/>
        </w:rPr>
      </w:pPr>
      <w:r w:rsidRPr="006A50C3">
        <w:rPr>
          <w:rFonts w:eastAsia="Times New Roman" w:cs="Arial"/>
          <w:i/>
          <w:lang w:val=""/>
        </w:rPr>
        <w:t xml:space="preserve">Invita </w:t>
      </w:r>
      <w:r w:rsidRPr="006A50C3">
        <w:rPr>
          <w:rFonts w:eastAsia="Times New Roman" w:cs="Arial"/>
          <w:lang w:val=""/>
        </w:rPr>
        <w:t>a las Partes a examinar la posibilidad de financiar oficiales profesionales subalternos y/o proporcionar gratis personal o expertos técnicos a la Secretaría para aumentar su capacidad;</w:t>
      </w:r>
    </w:p>
    <w:p w14:paraId="4056F24A" w14:textId="77777777" w:rsidR="007E3713" w:rsidRDefault="007E3713" w:rsidP="00DE133B">
      <w:pPr>
        <w:pStyle w:val="ListParagraph"/>
        <w:spacing w:after="0" w:line="240" w:lineRule="auto"/>
        <w:ind w:left="547" w:hanging="547"/>
        <w:rPr>
          <w:rFonts w:eastAsia="Times New Roman" w:cs="Arial"/>
          <w:szCs w:val="24"/>
          <w:lang w:val="es-ES" w:eastAsia="es-ES"/>
        </w:rPr>
      </w:pPr>
    </w:p>
    <w:p w14:paraId="2B4EBC66" w14:textId="32290801" w:rsidR="007E3713" w:rsidRPr="007E3713" w:rsidRDefault="007E3713" w:rsidP="00DE133B">
      <w:pPr>
        <w:widowControl w:val="0"/>
        <w:numPr>
          <w:ilvl w:val="0"/>
          <w:numId w:val="13"/>
        </w:numPr>
        <w:suppressAutoHyphens/>
        <w:autoSpaceDE w:val="0"/>
        <w:autoSpaceDN w:val="0"/>
        <w:spacing w:after="0" w:line="240" w:lineRule="auto"/>
        <w:ind w:left="547" w:hanging="547"/>
        <w:contextualSpacing/>
        <w:jc w:val="both"/>
        <w:textAlignment w:val="baseline"/>
        <w:rPr>
          <w:rFonts w:eastAsia="Times New Roman" w:cs="Arial"/>
          <w:szCs w:val="24"/>
          <w:lang w:val="es-ES" w:eastAsia="es-ES"/>
        </w:rPr>
      </w:pPr>
      <w:r w:rsidRPr="006A50C3">
        <w:rPr>
          <w:rFonts w:eastAsia="Times New Roman" w:cs="Arial"/>
          <w:i/>
          <w:lang w:val=""/>
        </w:rPr>
        <w:t>Adopta</w:t>
      </w:r>
      <w:r w:rsidRPr="006A50C3">
        <w:rPr>
          <w:rFonts w:eastAsia="Times New Roman" w:cs="Arial"/>
          <w:lang w:val=""/>
        </w:rPr>
        <w:t xml:space="preserve"> el cuadro de dotación de personal de la Secretaría que figura en el Anexo </w:t>
      </w:r>
      <w:r>
        <w:rPr>
          <w:rFonts w:eastAsia="Times New Roman" w:cs="Arial"/>
          <w:lang w:val=""/>
        </w:rPr>
        <w:t>[ ]</w:t>
      </w:r>
      <w:r w:rsidRPr="006A50C3">
        <w:rPr>
          <w:rFonts w:eastAsia="Times New Roman" w:cs="Arial"/>
          <w:lang w:val=""/>
        </w:rPr>
        <w:t>, utilizado para fines de cálculo de costos para elaborar el presupuesto general;</w:t>
      </w:r>
    </w:p>
    <w:p w14:paraId="5882A062" w14:textId="77777777" w:rsidR="007E3713" w:rsidRDefault="007E3713" w:rsidP="00DE133B">
      <w:pPr>
        <w:pStyle w:val="ListParagraph"/>
        <w:spacing w:after="0" w:line="240" w:lineRule="auto"/>
        <w:ind w:left="547" w:hanging="547"/>
        <w:rPr>
          <w:rFonts w:eastAsia="Times New Roman" w:cs="Arial"/>
          <w:szCs w:val="24"/>
          <w:lang w:val="es-ES" w:eastAsia="es-ES"/>
        </w:rPr>
      </w:pPr>
    </w:p>
    <w:p w14:paraId="1429483B" w14:textId="77777777" w:rsidR="007E3713" w:rsidRPr="006A50C3" w:rsidRDefault="007E3713" w:rsidP="00DE133B">
      <w:pPr>
        <w:widowControl w:val="0"/>
        <w:numPr>
          <w:ilvl w:val="0"/>
          <w:numId w:val="13"/>
        </w:numPr>
        <w:suppressAutoHyphens/>
        <w:autoSpaceDE w:val="0"/>
        <w:autoSpaceDN w:val="0"/>
        <w:spacing w:after="80" w:line="240" w:lineRule="auto"/>
        <w:ind w:left="547" w:hanging="547"/>
        <w:jc w:val="both"/>
        <w:textAlignment w:val="baseline"/>
        <w:rPr>
          <w:rFonts w:eastAsia="Times New Roman" w:cs="Arial"/>
          <w:i/>
          <w:szCs w:val="24"/>
          <w:lang w:val="es-ES" w:eastAsia="es-ES"/>
        </w:rPr>
      </w:pPr>
      <w:r w:rsidRPr="006A50C3">
        <w:rPr>
          <w:rFonts w:eastAsia="Times New Roman" w:cs="Arial"/>
          <w:i/>
          <w:lang w:val=""/>
        </w:rPr>
        <w:t xml:space="preserve">Da instrucciones </w:t>
      </w:r>
      <w:r w:rsidRPr="006A50C3">
        <w:rPr>
          <w:rFonts w:eastAsia="Times New Roman" w:cs="Arial"/>
          <w:lang w:val=""/>
        </w:rPr>
        <w:t>al Subcomité de Finanzas y Presupuesto del Comité Permanente para que:</w:t>
      </w:r>
    </w:p>
    <w:p w14:paraId="0EC4C532" w14:textId="77777777" w:rsidR="007E3713" w:rsidRPr="006A50C3" w:rsidRDefault="007E3713" w:rsidP="00DE133B">
      <w:pPr>
        <w:widowControl w:val="0"/>
        <w:numPr>
          <w:ilvl w:val="0"/>
          <w:numId w:val="14"/>
        </w:numPr>
        <w:tabs>
          <w:tab w:val="left" w:pos="1152"/>
        </w:tabs>
        <w:kinsoku w:val="0"/>
        <w:overflowPunct w:val="0"/>
        <w:spacing w:after="80" w:line="240" w:lineRule="auto"/>
        <w:ind w:left="900" w:hanging="360"/>
        <w:jc w:val="both"/>
        <w:textAlignment w:val="baseline"/>
        <w:rPr>
          <w:rFonts w:eastAsia="Calibri" w:cs="Arial"/>
          <w:szCs w:val="24"/>
          <w:lang w:val="es-ES"/>
        </w:rPr>
      </w:pPr>
      <w:r w:rsidRPr="006A50C3">
        <w:rPr>
          <w:rFonts w:eastAsia="Calibri" w:cs="Times New Roman"/>
          <w:lang w:val=""/>
        </w:rPr>
        <w:t>se reúna el día anterior al comienzo de cada reunión ordinaria del Comité Permanente, y trabaje durante el período entre sesiones por medios electrónicos o de otro tipo;</w:t>
      </w:r>
    </w:p>
    <w:p w14:paraId="2DCDC6C3" w14:textId="77777777" w:rsidR="007E3713" w:rsidRPr="006A50C3" w:rsidRDefault="007E3713" w:rsidP="00DE133B">
      <w:pPr>
        <w:widowControl w:val="0"/>
        <w:numPr>
          <w:ilvl w:val="0"/>
          <w:numId w:val="14"/>
        </w:numPr>
        <w:tabs>
          <w:tab w:val="left" w:pos="1152"/>
        </w:tabs>
        <w:kinsoku w:val="0"/>
        <w:overflowPunct w:val="0"/>
        <w:spacing w:after="80" w:line="240" w:lineRule="auto"/>
        <w:ind w:left="900" w:hanging="360"/>
        <w:jc w:val="both"/>
        <w:textAlignment w:val="baseline"/>
        <w:rPr>
          <w:rFonts w:eastAsia="Calibri" w:cs="Arial"/>
          <w:szCs w:val="24"/>
          <w:lang w:val="es-ES"/>
        </w:rPr>
      </w:pPr>
      <w:r w:rsidRPr="006A50C3">
        <w:rPr>
          <w:rFonts w:eastAsia="Calibri" w:cs="Times New Roman"/>
          <w:lang w:val=""/>
        </w:rPr>
        <w:t>colabore con la Secretaría para preparar todos los documentos presupuestarios que han de someterse al examen del Comité Permanente; y</w:t>
      </w:r>
    </w:p>
    <w:p w14:paraId="4A4EF823" w14:textId="0E31FC24" w:rsidR="007E3713" w:rsidRPr="007E3713" w:rsidRDefault="007E3713" w:rsidP="00DE133B">
      <w:pPr>
        <w:widowControl w:val="0"/>
        <w:numPr>
          <w:ilvl w:val="0"/>
          <w:numId w:val="15"/>
        </w:numPr>
        <w:tabs>
          <w:tab w:val="left" w:pos="1152"/>
        </w:tabs>
        <w:kinsoku w:val="0"/>
        <w:overflowPunct w:val="0"/>
        <w:spacing w:after="0" w:line="240" w:lineRule="auto"/>
        <w:ind w:left="900" w:hanging="360"/>
        <w:jc w:val="both"/>
        <w:textAlignment w:val="baseline"/>
        <w:rPr>
          <w:rFonts w:eastAsia="Calibri" w:cs="Arial"/>
          <w:szCs w:val="24"/>
          <w:lang w:val="es-ES"/>
        </w:rPr>
      </w:pPr>
      <w:r w:rsidRPr="006A50C3">
        <w:rPr>
          <w:rFonts w:eastAsia="Calibri" w:cs="Times New Roman"/>
          <w:lang w:val=""/>
        </w:rPr>
        <w:t>desempeñe sus funciones con arreglo a</w:t>
      </w:r>
      <w:r w:rsidR="00430521">
        <w:rPr>
          <w:rFonts w:eastAsia="Calibri" w:cs="Times New Roman"/>
          <w:lang w:val=""/>
        </w:rPr>
        <w:t xml:space="preserve"> </w:t>
      </w:r>
      <w:r w:rsidRPr="006A50C3">
        <w:rPr>
          <w:rFonts w:eastAsia="Calibri" w:cs="Times New Roman"/>
          <w:lang w:val=""/>
        </w:rPr>
        <w:t>l</w:t>
      </w:r>
      <w:r w:rsidR="00430521">
        <w:rPr>
          <w:rFonts w:eastAsia="Calibri" w:cs="Times New Roman"/>
          <w:lang w:val=""/>
        </w:rPr>
        <w:t>os Términos de Referencia</w:t>
      </w:r>
      <w:r w:rsidRPr="006A50C3">
        <w:rPr>
          <w:rFonts w:eastAsia="Calibri" w:cs="Times New Roman"/>
          <w:lang w:val=""/>
        </w:rPr>
        <w:t xml:space="preserve"> que se adjunta como Anexo </w:t>
      </w:r>
      <w:r w:rsidR="00E83B8B">
        <w:rPr>
          <w:rFonts w:eastAsia="Calibri" w:cs="Times New Roman"/>
          <w:lang w:val=""/>
        </w:rPr>
        <w:t>[ ]</w:t>
      </w:r>
      <w:r w:rsidRPr="006A50C3">
        <w:rPr>
          <w:rFonts w:eastAsia="Calibri" w:cs="Times New Roman"/>
          <w:lang w:val=""/>
        </w:rPr>
        <w:t xml:space="preserve"> de la presente Resolución;</w:t>
      </w:r>
    </w:p>
    <w:p w14:paraId="59F0CB2D" w14:textId="77777777" w:rsidR="007E3713" w:rsidRPr="006A50C3" w:rsidRDefault="007E3713" w:rsidP="00DE133B">
      <w:pPr>
        <w:widowControl w:val="0"/>
        <w:tabs>
          <w:tab w:val="left" w:pos="1152"/>
        </w:tabs>
        <w:kinsoku w:val="0"/>
        <w:overflowPunct w:val="0"/>
        <w:spacing w:after="0" w:line="240" w:lineRule="auto"/>
        <w:ind w:left="900"/>
        <w:jc w:val="both"/>
        <w:textAlignment w:val="baseline"/>
        <w:rPr>
          <w:rFonts w:eastAsia="Calibri" w:cs="Arial"/>
          <w:szCs w:val="24"/>
          <w:lang w:val="es-ES"/>
        </w:rPr>
      </w:pPr>
    </w:p>
    <w:p w14:paraId="59D727AA" w14:textId="77777777" w:rsidR="007E3713" w:rsidRPr="007E3713" w:rsidRDefault="007E3713" w:rsidP="00DE133B">
      <w:pPr>
        <w:widowControl w:val="0"/>
        <w:numPr>
          <w:ilvl w:val="0"/>
          <w:numId w:val="13"/>
        </w:numPr>
        <w:suppressAutoHyphens/>
        <w:autoSpaceDE w:val="0"/>
        <w:autoSpaceDN w:val="0"/>
        <w:spacing w:after="0" w:line="240" w:lineRule="auto"/>
        <w:ind w:left="540" w:hanging="540"/>
        <w:contextualSpacing/>
        <w:jc w:val="both"/>
        <w:textAlignment w:val="baseline"/>
        <w:rPr>
          <w:rFonts w:eastAsia="Times New Roman" w:cs="Arial"/>
          <w:szCs w:val="24"/>
          <w:lang w:val="es-ES" w:eastAsia="es-ES"/>
        </w:rPr>
      </w:pPr>
      <w:r w:rsidRPr="006A50C3">
        <w:rPr>
          <w:rFonts w:eastAsia="Times New Roman" w:cs="Arial"/>
          <w:i/>
          <w:lang w:val=""/>
        </w:rPr>
        <w:t>Confirma</w:t>
      </w:r>
      <w:r w:rsidRPr="006A50C3">
        <w:rPr>
          <w:rFonts w:eastAsia="Times New Roman" w:cs="Arial"/>
          <w:lang w:val=""/>
        </w:rPr>
        <w:t xml:space="preserve"> que la Secretaría de la CMS seguirá prestando servicios de Secretaría al Acuerdo para la conservación de  pequeños cetáceos del Mar Báltico, Atlántico Nordeste, Mar de Irlanda y Mar del Norte (ASCOBANS), el Memorando de Entendimiento sobre la Conservación y Gestión de las Tortugas Marinas y sus Hábitats en el Océano Índico y el Asia sudoriental (MdE del IOSEA sobre las tortugas marinas), al Memorando de Entendimiento sobre la Conservación de los Tiburones Migratorios (MdE sobre los tiburones), así como al Acuerdo sobre los Gorilas, en el próximo trienio;</w:t>
      </w:r>
    </w:p>
    <w:p w14:paraId="5EED6930" w14:textId="77777777" w:rsidR="007E3713" w:rsidRPr="006A50C3" w:rsidRDefault="007E3713" w:rsidP="00DE133B">
      <w:pPr>
        <w:widowControl w:val="0"/>
        <w:suppressAutoHyphens/>
        <w:autoSpaceDE w:val="0"/>
        <w:autoSpaceDN w:val="0"/>
        <w:spacing w:after="0" w:line="240" w:lineRule="auto"/>
        <w:ind w:left="540"/>
        <w:contextualSpacing/>
        <w:jc w:val="both"/>
        <w:textAlignment w:val="baseline"/>
        <w:rPr>
          <w:rFonts w:eastAsia="Times New Roman" w:cs="Arial"/>
          <w:szCs w:val="24"/>
          <w:lang w:val="es-ES" w:eastAsia="es-ES"/>
        </w:rPr>
      </w:pPr>
    </w:p>
    <w:p w14:paraId="0F35EAC0" w14:textId="77777777" w:rsidR="007E3713" w:rsidRPr="007E3713" w:rsidRDefault="007E3713" w:rsidP="00DE133B">
      <w:pPr>
        <w:widowControl w:val="0"/>
        <w:numPr>
          <w:ilvl w:val="0"/>
          <w:numId w:val="13"/>
        </w:numPr>
        <w:suppressAutoHyphens/>
        <w:autoSpaceDE w:val="0"/>
        <w:autoSpaceDN w:val="0"/>
        <w:spacing w:after="0" w:line="240" w:lineRule="auto"/>
        <w:ind w:left="540" w:hanging="540"/>
        <w:contextualSpacing/>
        <w:jc w:val="both"/>
        <w:textAlignment w:val="baseline"/>
        <w:rPr>
          <w:rFonts w:eastAsia="Times New Roman" w:cs="Arial"/>
          <w:szCs w:val="24"/>
          <w:lang w:val="es-ES" w:eastAsia="es-ES"/>
        </w:rPr>
      </w:pPr>
      <w:r w:rsidRPr="006A50C3">
        <w:rPr>
          <w:rFonts w:eastAsia="Times New Roman" w:cs="Arial"/>
          <w:i/>
          <w:lang w:val=""/>
        </w:rPr>
        <w:t>Solicita</w:t>
      </w:r>
      <w:r w:rsidRPr="006A50C3">
        <w:rPr>
          <w:rFonts w:eastAsia="Times New Roman" w:cs="Arial"/>
          <w:lang w:val=""/>
        </w:rPr>
        <w:t xml:space="preserve"> al Director Ejecutivo del Programa de las Naciones Unidas para el Medio Ambiente que siga incorporando aspectos del Programa de Trabajo de la Convención en el programa de trabajo del Programa de las Naciones Unidas para el Medio Ambiente junto con los proyectos previstos para aplicarlos, y examine, según proceda, la posibildad de prestar apoyo financiero para determinadas actividades específicas de la CMS en este contexto;</w:t>
      </w:r>
    </w:p>
    <w:p w14:paraId="1128BBC4" w14:textId="77777777" w:rsidR="007E3713" w:rsidRPr="006A50C3" w:rsidRDefault="007E3713" w:rsidP="00DE133B">
      <w:pPr>
        <w:widowControl w:val="0"/>
        <w:suppressAutoHyphens/>
        <w:autoSpaceDE w:val="0"/>
        <w:autoSpaceDN w:val="0"/>
        <w:spacing w:after="0" w:line="240" w:lineRule="auto"/>
        <w:contextualSpacing/>
        <w:jc w:val="both"/>
        <w:textAlignment w:val="baseline"/>
        <w:rPr>
          <w:rFonts w:eastAsia="Times New Roman" w:cs="Arial"/>
          <w:szCs w:val="24"/>
          <w:lang w:val="es-ES" w:eastAsia="es-ES"/>
        </w:rPr>
      </w:pPr>
    </w:p>
    <w:p w14:paraId="15FE8406" w14:textId="1E6B7B28" w:rsidR="007E3713" w:rsidRPr="00DE133B" w:rsidRDefault="007E3713" w:rsidP="00DE133B">
      <w:pPr>
        <w:widowControl w:val="0"/>
        <w:numPr>
          <w:ilvl w:val="0"/>
          <w:numId w:val="13"/>
        </w:numPr>
        <w:suppressAutoHyphens/>
        <w:autoSpaceDE w:val="0"/>
        <w:autoSpaceDN w:val="0"/>
        <w:spacing w:after="0" w:line="240" w:lineRule="auto"/>
        <w:ind w:left="540" w:hanging="540"/>
        <w:contextualSpacing/>
        <w:jc w:val="both"/>
        <w:textAlignment w:val="baseline"/>
        <w:rPr>
          <w:rFonts w:eastAsia="Times New Roman" w:cs="Arial"/>
          <w:szCs w:val="24"/>
          <w:lang w:val="es-ES" w:eastAsia="es-ES"/>
        </w:rPr>
      </w:pPr>
      <w:r w:rsidRPr="006A50C3">
        <w:rPr>
          <w:rFonts w:eastAsia="Times New Roman" w:cs="Arial"/>
          <w:i/>
          <w:lang w:val=""/>
        </w:rPr>
        <w:t xml:space="preserve">Solicita </w:t>
      </w:r>
      <w:r w:rsidRPr="006A50C3">
        <w:rPr>
          <w:rFonts w:eastAsia="Times New Roman" w:cs="Arial"/>
          <w:lang w:val=""/>
        </w:rPr>
        <w:t>al Director Ejecutivo del Programa de las Naciones Unidas para el Medio Ambiente que prorrogue la duración del Fondo Fiduciario MSL de la Convención hasta el 31 de diciembre de 202</w:t>
      </w:r>
      <w:r>
        <w:rPr>
          <w:rFonts w:eastAsia="Times New Roman" w:cs="Arial"/>
          <w:lang w:val=""/>
        </w:rPr>
        <w:t>6</w:t>
      </w:r>
      <w:r w:rsidRPr="006A50C3">
        <w:rPr>
          <w:rFonts w:eastAsia="Times New Roman" w:cs="Arial"/>
          <w:lang w:val=""/>
        </w:rPr>
        <w:t>;</w:t>
      </w:r>
    </w:p>
    <w:p w14:paraId="097854C4" w14:textId="77777777" w:rsidR="00DE133B" w:rsidRPr="006A50C3" w:rsidRDefault="00DE133B" w:rsidP="00DE133B">
      <w:pPr>
        <w:widowControl w:val="0"/>
        <w:suppressAutoHyphens/>
        <w:autoSpaceDE w:val="0"/>
        <w:autoSpaceDN w:val="0"/>
        <w:spacing w:after="0" w:line="240" w:lineRule="auto"/>
        <w:contextualSpacing/>
        <w:jc w:val="both"/>
        <w:textAlignment w:val="baseline"/>
        <w:rPr>
          <w:rFonts w:eastAsia="Times New Roman" w:cs="Arial"/>
          <w:szCs w:val="24"/>
          <w:lang w:val="es-ES" w:eastAsia="es-ES"/>
        </w:rPr>
      </w:pPr>
    </w:p>
    <w:p w14:paraId="7837B539" w14:textId="6E986D70" w:rsidR="007045C5" w:rsidRPr="007045C5" w:rsidRDefault="007045C5" w:rsidP="00DE133B">
      <w:pPr>
        <w:widowControl w:val="0"/>
        <w:numPr>
          <w:ilvl w:val="0"/>
          <w:numId w:val="13"/>
        </w:numPr>
        <w:suppressAutoHyphens/>
        <w:autoSpaceDE w:val="0"/>
        <w:autoSpaceDN w:val="0"/>
        <w:spacing w:after="0" w:line="240" w:lineRule="auto"/>
        <w:ind w:left="540" w:hanging="540"/>
        <w:contextualSpacing/>
        <w:jc w:val="both"/>
        <w:textAlignment w:val="baseline"/>
        <w:rPr>
          <w:rFonts w:eastAsia="Times New Roman" w:cs="Arial"/>
          <w:szCs w:val="24"/>
          <w:lang w:val="es-ES" w:eastAsia="es-ES"/>
        </w:rPr>
      </w:pPr>
      <w:r w:rsidRPr="006A50C3">
        <w:rPr>
          <w:rFonts w:eastAsia="Times New Roman" w:cs="Arial"/>
          <w:i/>
          <w:lang w:val=""/>
        </w:rPr>
        <w:t>Aprueba</w:t>
      </w:r>
      <w:r w:rsidRPr="006A50C3">
        <w:rPr>
          <w:rFonts w:eastAsia="Times New Roman" w:cs="Arial"/>
          <w:lang w:val=""/>
        </w:rPr>
        <w:t xml:space="preserve"> el mandato para la administración del Fondo Fiduciario, según se establece en el Anexo </w:t>
      </w:r>
      <w:r w:rsidR="002E064C">
        <w:rPr>
          <w:rFonts w:eastAsia="Times New Roman" w:cs="Arial"/>
          <w:lang w:val=""/>
        </w:rPr>
        <w:t>[ ]</w:t>
      </w:r>
      <w:r w:rsidRPr="006A50C3">
        <w:rPr>
          <w:rFonts w:eastAsia="Times New Roman" w:cs="Arial"/>
          <w:lang w:val=""/>
        </w:rPr>
        <w:t xml:space="preserve"> de la presente Resolución, para el período 202</w:t>
      </w:r>
      <w:r>
        <w:rPr>
          <w:rFonts w:eastAsia="Times New Roman" w:cs="Arial"/>
          <w:lang w:val=""/>
        </w:rPr>
        <w:t>4</w:t>
      </w:r>
      <w:r w:rsidRPr="006A50C3">
        <w:rPr>
          <w:rFonts w:eastAsia="Times New Roman" w:cs="Arial"/>
          <w:lang w:val=""/>
        </w:rPr>
        <w:t xml:space="preserve"> - 202</w:t>
      </w:r>
      <w:r>
        <w:rPr>
          <w:rFonts w:eastAsia="Times New Roman" w:cs="Arial"/>
          <w:lang w:val=""/>
        </w:rPr>
        <w:t>6</w:t>
      </w:r>
      <w:r w:rsidRPr="006A50C3">
        <w:rPr>
          <w:rFonts w:eastAsia="Times New Roman" w:cs="Arial"/>
          <w:lang w:val=""/>
        </w:rPr>
        <w:t>;</w:t>
      </w:r>
    </w:p>
    <w:p w14:paraId="288637E6" w14:textId="77777777" w:rsidR="007045C5" w:rsidRPr="006A50C3" w:rsidRDefault="007045C5" w:rsidP="00DE133B">
      <w:pPr>
        <w:widowControl w:val="0"/>
        <w:suppressAutoHyphens/>
        <w:autoSpaceDE w:val="0"/>
        <w:autoSpaceDN w:val="0"/>
        <w:spacing w:after="0" w:line="240" w:lineRule="auto"/>
        <w:ind w:left="540"/>
        <w:contextualSpacing/>
        <w:jc w:val="both"/>
        <w:textAlignment w:val="baseline"/>
        <w:rPr>
          <w:rFonts w:eastAsia="Times New Roman" w:cs="Arial"/>
          <w:szCs w:val="24"/>
          <w:lang w:val="es-ES" w:eastAsia="es-ES"/>
        </w:rPr>
      </w:pPr>
    </w:p>
    <w:p w14:paraId="5C43C743" w14:textId="77777777" w:rsidR="007045C5" w:rsidRPr="007045C5" w:rsidRDefault="007045C5" w:rsidP="00DE133B">
      <w:pPr>
        <w:widowControl w:val="0"/>
        <w:numPr>
          <w:ilvl w:val="0"/>
          <w:numId w:val="13"/>
        </w:numPr>
        <w:suppressAutoHyphens/>
        <w:autoSpaceDE w:val="0"/>
        <w:autoSpaceDN w:val="0"/>
        <w:spacing w:after="0" w:line="240" w:lineRule="auto"/>
        <w:ind w:left="540" w:hanging="540"/>
        <w:contextualSpacing/>
        <w:jc w:val="both"/>
        <w:textAlignment w:val="baseline"/>
        <w:rPr>
          <w:rFonts w:eastAsia="Times New Roman" w:cs="Arial"/>
          <w:szCs w:val="24"/>
          <w:lang w:val="es-ES" w:eastAsia="es-ES"/>
        </w:rPr>
      </w:pPr>
      <w:r w:rsidRPr="006A50C3">
        <w:rPr>
          <w:rFonts w:eastAsia="Times New Roman" w:cs="Arial"/>
          <w:i/>
          <w:iCs/>
          <w:lang w:val=""/>
        </w:rPr>
        <w:lastRenderedPageBreak/>
        <w:t>Decide</w:t>
      </w:r>
      <w:r w:rsidRPr="006A50C3">
        <w:rPr>
          <w:rFonts w:eastAsia="Times New Roman" w:cs="Arial"/>
          <w:lang w:val=""/>
        </w:rPr>
        <w:t xml:space="preserve"> que todas las contribuciones al Fondo Fiduciario se paguen en euros</w:t>
      </w:r>
    </w:p>
    <w:p w14:paraId="087A86B1" w14:textId="77777777" w:rsidR="007045C5" w:rsidRPr="006A50C3" w:rsidRDefault="007045C5" w:rsidP="00DE133B">
      <w:pPr>
        <w:widowControl w:val="0"/>
        <w:suppressAutoHyphens/>
        <w:autoSpaceDE w:val="0"/>
        <w:autoSpaceDN w:val="0"/>
        <w:spacing w:after="0" w:line="240" w:lineRule="auto"/>
        <w:contextualSpacing/>
        <w:jc w:val="both"/>
        <w:textAlignment w:val="baseline"/>
        <w:rPr>
          <w:rFonts w:eastAsia="Times New Roman" w:cs="Arial"/>
          <w:szCs w:val="24"/>
          <w:lang w:val="es-ES" w:eastAsia="es-ES"/>
        </w:rPr>
      </w:pPr>
    </w:p>
    <w:p w14:paraId="712B5B67" w14:textId="77777777" w:rsidR="007045C5" w:rsidRPr="00323998" w:rsidRDefault="007045C5" w:rsidP="00DE133B">
      <w:pPr>
        <w:widowControl w:val="0"/>
        <w:numPr>
          <w:ilvl w:val="0"/>
          <w:numId w:val="13"/>
        </w:numPr>
        <w:suppressAutoHyphens/>
        <w:autoSpaceDE w:val="0"/>
        <w:autoSpaceDN w:val="0"/>
        <w:spacing w:after="0" w:line="240" w:lineRule="auto"/>
        <w:ind w:left="540" w:hanging="540"/>
        <w:contextualSpacing/>
        <w:jc w:val="both"/>
        <w:textAlignment w:val="baseline"/>
        <w:rPr>
          <w:rFonts w:eastAsia="Times New Roman" w:cs="Arial"/>
          <w:szCs w:val="24"/>
          <w:lang w:val="es-ES" w:eastAsia="es-ES"/>
        </w:rPr>
      </w:pPr>
      <w:r w:rsidRPr="006A50C3">
        <w:rPr>
          <w:rFonts w:eastAsia="Times New Roman" w:cs="Arial"/>
          <w:i/>
          <w:lang w:val=""/>
        </w:rPr>
        <w:t xml:space="preserve">Decide además </w:t>
      </w:r>
      <w:r w:rsidRPr="006A50C3">
        <w:rPr>
          <w:rFonts w:eastAsia="Times New Roman" w:cs="Arial"/>
          <w:lang w:val=""/>
        </w:rPr>
        <w:t>que se mantenga una reserva para gastos de funcionamiento a un nivel constante de por lo menos el 15% de los gastos anuales estimados o de 500.000 USD, según cuál sea la cantidad mayor;</w:t>
      </w:r>
    </w:p>
    <w:p w14:paraId="27A8863A" w14:textId="77777777" w:rsidR="00323998" w:rsidRPr="006A50C3" w:rsidRDefault="00323998" w:rsidP="00DE133B">
      <w:pPr>
        <w:widowControl w:val="0"/>
        <w:suppressAutoHyphens/>
        <w:autoSpaceDE w:val="0"/>
        <w:autoSpaceDN w:val="0"/>
        <w:spacing w:after="0" w:line="240" w:lineRule="auto"/>
        <w:contextualSpacing/>
        <w:jc w:val="both"/>
        <w:textAlignment w:val="baseline"/>
        <w:rPr>
          <w:rFonts w:eastAsia="Times New Roman" w:cs="Arial"/>
          <w:szCs w:val="24"/>
          <w:lang w:val="es-ES" w:eastAsia="es-ES"/>
        </w:rPr>
      </w:pPr>
    </w:p>
    <w:p w14:paraId="301E9ADA" w14:textId="2EDB843B" w:rsidR="00323998" w:rsidRPr="00E5225E" w:rsidRDefault="00323998" w:rsidP="00DE133B">
      <w:pPr>
        <w:widowControl w:val="0"/>
        <w:numPr>
          <w:ilvl w:val="0"/>
          <w:numId w:val="13"/>
        </w:numPr>
        <w:suppressAutoHyphens/>
        <w:autoSpaceDE w:val="0"/>
        <w:autoSpaceDN w:val="0"/>
        <w:spacing w:after="0" w:line="240" w:lineRule="auto"/>
        <w:ind w:left="540" w:hanging="540"/>
        <w:contextualSpacing/>
        <w:jc w:val="both"/>
        <w:textAlignment w:val="baseline"/>
        <w:rPr>
          <w:rFonts w:eastAsia="Times New Roman" w:cs="Arial"/>
          <w:spacing w:val="-2"/>
          <w:szCs w:val="24"/>
          <w:lang w:val="es-ES" w:eastAsia="es-ES"/>
        </w:rPr>
      </w:pPr>
      <w:r w:rsidRPr="006A50C3">
        <w:rPr>
          <w:rFonts w:eastAsia="Times New Roman" w:cs="Arial"/>
          <w:i/>
          <w:lang w:val=""/>
        </w:rPr>
        <w:t>Solicita</w:t>
      </w:r>
      <w:r w:rsidRPr="006A50C3">
        <w:rPr>
          <w:rFonts w:eastAsia="Times New Roman" w:cs="Arial"/>
          <w:lang w:val=""/>
        </w:rPr>
        <w:t xml:space="preserve"> a la Secretaría que siga de cerca las fluctuaciones de los tipos de cambio y ajuste los niveles de gastos, según sea necesario; y decide que la Secretaría, como último recurso, pueda solicitar excepcionalmente al Comité Permanente la posibilidad de utilizar recursos del saldo del Fondo Fiduciario; </w:t>
      </w:r>
    </w:p>
    <w:p w14:paraId="0F608DA1" w14:textId="77777777" w:rsidR="00E5225E" w:rsidRPr="006A50C3" w:rsidRDefault="00E5225E" w:rsidP="00DE133B">
      <w:pPr>
        <w:widowControl w:val="0"/>
        <w:suppressAutoHyphens/>
        <w:autoSpaceDE w:val="0"/>
        <w:autoSpaceDN w:val="0"/>
        <w:spacing w:after="0" w:line="240" w:lineRule="auto"/>
        <w:contextualSpacing/>
        <w:jc w:val="both"/>
        <w:textAlignment w:val="baseline"/>
        <w:rPr>
          <w:rFonts w:eastAsia="Times New Roman" w:cs="Arial"/>
          <w:spacing w:val="-2"/>
          <w:szCs w:val="24"/>
          <w:lang w:val="es-ES" w:eastAsia="es-ES"/>
        </w:rPr>
      </w:pPr>
    </w:p>
    <w:p w14:paraId="5267E9F7" w14:textId="28629B12" w:rsidR="00E5225E" w:rsidRPr="007F6304" w:rsidRDefault="00E5225E" w:rsidP="00DE133B">
      <w:pPr>
        <w:widowControl w:val="0"/>
        <w:numPr>
          <w:ilvl w:val="0"/>
          <w:numId w:val="13"/>
        </w:numPr>
        <w:suppressAutoHyphens/>
        <w:autoSpaceDE w:val="0"/>
        <w:autoSpaceDN w:val="0"/>
        <w:spacing w:after="0" w:line="240" w:lineRule="auto"/>
        <w:ind w:left="540" w:hanging="540"/>
        <w:contextualSpacing/>
        <w:jc w:val="both"/>
        <w:textAlignment w:val="baseline"/>
        <w:rPr>
          <w:rFonts w:eastAsia="Times New Roman" w:cs="Arial"/>
          <w:sz w:val="20"/>
          <w:szCs w:val="24"/>
          <w:lang w:val="es-ES" w:eastAsia="es-ES"/>
        </w:rPr>
      </w:pPr>
      <w:r w:rsidRPr="006A50C3">
        <w:rPr>
          <w:rFonts w:eastAsia="Times New Roman" w:cs="Arial"/>
          <w:i/>
          <w:lang w:val=""/>
        </w:rPr>
        <w:t>Revoca</w:t>
      </w:r>
      <w:r w:rsidRPr="006A50C3">
        <w:rPr>
          <w:rFonts w:eastAsia="Times New Roman" w:cs="Arial"/>
          <w:lang w:val=""/>
        </w:rPr>
        <w:t xml:space="preserve"> la Resolución 1</w:t>
      </w:r>
      <w:r w:rsidR="00E83B8B">
        <w:rPr>
          <w:rFonts w:eastAsia="Times New Roman" w:cs="Arial"/>
          <w:lang w:val=""/>
        </w:rPr>
        <w:t>3</w:t>
      </w:r>
      <w:r w:rsidRPr="006A50C3">
        <w:rPr>
          <w:rFonts w:eastAsia="Times New Roman" w:cs="Arial"/>
          <w:lang w:val=""/>
        </w:rPr>
        <w:t>.2, con las cuotas asignadas de las Partes destinadas a financiar el presupuesto para 20</w:t>
      </w:r>
      <w:r w:rsidR="00E83B8B">
        <w:rPr>
          <w:rFonts w:eastAsia="Times New Roman" w:cs="Arial"/>
          <w:lang w:val=""/>
        </w:rPr>
        <w:t>21</w:t>
      </w:r>
      <w:r w:rsidRPr="006A50C3">
        <w:rPr>
          <w:rFonts w:eastAsia="Times New Roman" w:cs="Arial"/>
          <w:lang w:val=""/>
        </w:rPr>
        <w:t>-202</w:t>
      </w:r>
      <w:r w:rsidR="00E83B8B">
        <w:rPr>
          <w:rFonts w:eastAsia="Times New Roman" w:cs="Arial"/>
          <w:lang w:val=""/>
        </w:rPr>
        <w:t>3</w:t>
      </w:r>
      <w:r w:rsidRPr="006A50C3">
        <w:rPr>
          <w:rFonts w:eastAsia="Times New Roman" w:cs="Arial"/>
          <w:lang w:val=""/>
        </w:rPr>
        <w:t xml:space="preserve"> según figura en el Anexo 2 de la Resolución, que sin embargo permanecerán en registro</w:t>
      </w:r>
      <w:r w:rsidRPr="006A50C3">
        <w:rPr>
          <w:rFonts w:eastAsia="Times New Roman" w:cs="Arial"/>
          <w:lang w:val="es-ES" w:eastAsia="es-ES"/>
        </w:rPr>
        <w:t xml:space="preserve">. </w:t>
      </w:r>
    </w:p>
    <w:p w14:paraId="7C88434F" w14:textId="77777777" w:rsidR="007F6304" w:rsidRPr="006A50C3" w:rsidRDefault="007F6304" w:rsidP="00DE133B">
      <w:pPr>
        <w:widowControl w:val="0"/>
        <w:suppressAutoHyphens/>
        <w:autoSpaceDE w:val="0"/>
        <w:autoSpaceDN w:val="0"/>
        <w:spacing w:after="0" w:line="240" w:lineRule="auto"/>
        <w:contextualSpacing/>
        <w:jc w:val="both"/>
        <w:textAlignment w:val="baseline"/>
        <w:rPr>
          <w:rFonts w:eastAsia="Times New Roman" w:cs="Arial"/>
          <w:sz w:val="20"/>
          <w:szCs w:val="24"/>
          <w:lang w:val="es-ES" w:eastAsia="es-ES"/>
        </w:rPr>
      </w:pPr>
    </w:p>
    <w:p w14:paraId="3AC2A6B7" w14:textId="5072ABBD" w:rsidR="007E3713" w:rsidRPr="006A50C3" w:rsidRDefault="007F6304" w:rsidP="00DE133B">
      <w:pPr>
        <w:widowControl w:val="0"/>
        <w:numPr>
          <w:ilvl w:val="0"/>
          <w:numId w:val="13"/>
        </w:numPr>
        <w:suppressAutoHyphens/>
        <w:autoSpaceDE w:val="0"/>
        <w:autoSpaceDN w:val="0"/>
        <w:spacing w:after="0" w:line="240" w:lineRule="auto"/>
        <w:ind w:left="540" w:hanging="540"/>
        <w:contextualSpacing/>
        <w:jc w:val="both"/>
        <w:textAlignment w:val="baseline"/>
        <w:rPr>
          <w:rFonts w:eastAsia="Times New Roman" w:cs="Arial"/>
          <w:szCs w:val="24"/>
          <w:lang w:val="es-ES" w:eastAsia="es-ES"/>
        </w:rPr>
      </w:pPr>
      <w:r w:rsidRPr="007F6304">
        <w:rPr>
          <w:rFonts w:eastAsia="Times New Roman" w:cs="Arial"/>
          <w:szCs w:val="24"/>
          <w:lang w:val="es-ES" w:eastAsia="es-ES"/>
        </w:rPr>
        <w:t>Sustituye a la Resolución Ex.Cop1 presupuesto provisional para 2024 adoptado por la Conferencia extraordinaria de las Partes en diciembre de 2023</w:t>
      </w:r>
    </w:p>
    <w:p w14:paraId="75143C8C" w14:textId="77777777" w:rsidR="008B1CAD" w:rsidRPr="008B1CAD" w:rsidRDefault="008B1CAD" w:rsidP="007E3713">
      <w:pPr>
        <w:widowControl w:val="0"/>
        <w:suppressAutoHyphens/>
        <w:autoSpaceDE w:val="0"/>
        <w:autoSpaceDN w:val="0"/>
        <w:spacing w:after="0" w:line="240" w:lineRule="auto"/>
        <w:ind w:left="540" w:hanging="540"/>
        <w:contextualSpacing/>
        <w:jc w:val="both"/>
        <w:textAlignment w:val="baseline"/>
        <w:rPr>
          <w:rFonts w:eastAsia="Times New Roman" w:cs="Arial"/>
          <w:szCs w:val="24"/>
          <w:lang w:val="es-ES" w:eastAsia="es-ES"/>
        </w:rPr>
      </w:pPr>
    </w:p>
    <w:p w14:paraId="4724A34F" w14:textId="77777777" w:rsidR="006A50C3" w:rsidRPr="006A50C3" w:rsidRDefault="006A50C3" w:rsidP="007E3713">
      <w:pPr>
        <w:widowControl w:val="0"/>
        <w:suppressAutoHyphens/>
        <w:autoSpaceDE w:val="0"/>
        <w:autoSpaceDN w:val="0"/>
        <w:spacing w:after="0" w:line="240" w:lineRule="auto"/>
        <w:ind w:left="540" w:hanging="540"/>
        <w:contextualSpacing/>
        <w:jc w:val="both"/>
        <w:textAlignment w:val="baseline"/>
        <w:rPr>
          <w:rFonts w:eastAsia="Times New Roman" w:cs="Arial"/>
          <w:szCs w:val="24"/>
          <w:lang w:val="es-ES" w:eastAsia="it-IT"/>
        </w:rPr>
      </w:pPr>
    </w:p>
    <w:p w14:paraId="2112794B" w14:textId="77777777" w:rsidR="006A50C3" w:rsidRPr="006A50C3" w:rsidRDefault="006A50C3" w:rsidP="007E3713">
      <w:pPr>
        <w:widowControl w:val="0"/>
        <w:suppressAutoHyphens/>
        <w:autoSpaceDE w:val="0"/>
        <w:autoSpaceDN w:val="0"/>
        <w:spacing w:after="0" w:line="240" w:lineRule="auto"/>
        <w:ind w:left="540" w:hanging="540"/>
        <w:contextualSpacing/>
        <w:jc w:val="both"/>
        <w:textAlignment w:val="baseline"/>
        <w:rPr>
          <w:rFonts w:eastAsia="Times New Roman" w:cs="Arial"/>
          <w:szCs w:val="24"/>
          <w:lang w:val="es-ES" w:eastAsia="es-ES"/>
        </w:rPr>
      </w:pPr>
    </w:p>
    <w:p w14:paraId="4F230208" w14:textId="77777777" w:rsidR="002E2962" w:rsidRDefault="002E2962">
      <w:pPr>
        <w:rPr>
          <w:rFonts w:eastAsia="Times New Roman" w:cs="Arial"/>
          <w:szCs w:val="24"/>
          <w:lang w:val="es-ES" w:eastAsia="es-ES"/>
        </w:rPr>
        <w:sectPr w:rsidR="002E2962" w:rsidSect="00323406">
          <w:headerReference w:type="even" r:id="rId27"/>
          <w:headerReference w:type="default" r:id="rId28"/>
          <w:headerReference w:type="first" r:id="rId29"/>
          <w:pgSz w:w="11906" w:h="16838" w:code="9"/>
          <w:pgMar w:top="1440" w:right="1440" w:bottom="1440" w:left="1440" w:header="720" w:footer="720" w:gutter="0"/>
          <w:cols w:space="720"/>
          <w:titlePg/>
          <w:docGrid w:linePitch="360"/>
        </w:sectPr>
      </w:pPr>
    </w:p>
    <w:p w14:paraId="4A33E0FB" w14:textId="1A701455" w:rsidR="00C765F6" w:rsidRPr="00C765F6" w:rsidRDefault="00C765F6" w:rsidP="00C765F6">
      <w:pPr>
        <w:widowControl w:val="0"/>
        <w:autoSpaceDE w:val="0"/>
        <w:autoSpaceDN w:val="0"/>
        <w:spacing w:before="94" w:after="0" w:line="240" w:lineRule="auto"/>
        <w:ind w:right="-42"/>
        <w:jc w:val="right"/>
        <w:rPr>
          <w:rFonts w:eastAsia="Arial" w:cs="Arial"/>
          <w:b/>
          <w:lang w:val="es-ES"/>
        </w:rPr>
      </w:pPr>
      <w:r w:rsidRPr="00C765F6">
        <w:rPr>
          <w:rFonts w:eastAsia="Arial" w:cs="Arial"/>
          <w:b/>
          <w:lang w:val="es-ES"/>
        </w:rPr>
        <w:lastRenderedPageBreak/>
        <w:t>ANEX</w:t>
      </w:r>
      <w:r w:rsidRPr="00920DC2">
        <w:rPr>
          <w:rFonts w:eastAsia="Arial" w:cs="Arial"/>
          <w:b/>
          <w:lang w:val="es-ES"/>
        </w:rPr>
        <w:t>O</w:t>
      </w:r>
      <w:r w:rsidRPr="00C765F6">
        <w:rPr>
          <w:rFonts w:eastAsia="Arial" w:cs="Arial"/>
          <w:b/>
          <w:spacing w:val="-5"/>
          <w:lang w:val="es-ES"/>
        </w:rPr>
        <w:t xml:space="preserve"> </w:t>
      </w:r>
      <w:r w:rsidRPr="00C765F6">
        <w:rPr>
          <w:rFonts w:eastAsia="Arial" w:cs="Arial"/>
          <w:b/>
          <w:lang w:val="es-ES"/>
        </w:rPr>
        <w:t>5</w:t>
      </w:r>
      <w:r w:rsidRPr="00C765F6">
        <w:rPr>
          <w:rFonts w:eastAsia="Arial" w:cs="Arial"/>
          <w:b/>
          <w:spacing w:val="-3"/>
          <w:lang w:val="es-ES"/>
        </w:rPr>
        <w:t xml:space="preserve"> </w:t>
      </w:r>
      <w:r w:rsidRPr="00C765F6">
        <w:rPr>
          <w:rFonts w:eastAsia="Arial" w:cs="Arial"/>
          <w:b/>
          <w:spacing w:val="-5"/>
          <w:lang w:val="es-ES"/>
        </w:rPr>
        <w:t>(A)</w:t>
      </w:r>
    </w:p>
    <w:p w14:paraId="434ACB1C" w14:textId="77777777" w:rsidR="00C765F6" w:rsidRPr="00C765F6" w:rsidRDefault="00C765F6" w:rsidP="00C765F6">
      <w:pPr>
        <w:widowControl w:val="0"/>
        <w:autoSpaceDE w:val="0"/>
        <w:autoSpaceDN w:val="0"/>
        <w:spacing w:before="94" w:after="0" w:line="240" w:lineRule="auto"/>
        <w:ind w:left="1632" w:right="-42"/>
        <w:jc w:val="center"/>
        <w:rPr>
          <w:rFonts w:eastAsia="Arial" w:cs="Arial"/>
          <w:b/>
          <w:lang w:val="es-ES"/>
        </w:rPr>
      </w:pPr>
    </w:p>
    <w:p w14:paraId="275EC76B" w14:textId="6332CDF6" w:rsidR="00C765F6" w:rsidRPr="00C765F6" w:rsidRDefault="00920DC2" w:rsidP="00C765F6">
      <w:pPr>
        <w:widowControl w:val="0"/>
        <w:autoSpaceDE w:val="0"/>
        <w:autoSpaceDN w:val="0"/>
        <w:spacing w:before="94" w:after="0" w:line="240" w:lineRule="auto"/>
        <w:ind w:right="-42"/>
        <w:jc w:val="center"/>
        <w:rPr>
          <w:rFonts w:eastAsia="Arial" w:cs="Arial"/>
          <w:b/>
          <w:lang w:val="es-ES"/>
        </w:rPr>
      </w:pPr>
      <w:r w:rsidRPr="00920DC2">
        <w:rPr>
          <w:rFonts w:eastAsia="Arial" w:cs="Arial"/>
          <w:b/>
          <w:lang w:val="es-ES"/>
        </w:rPr>
        <w:t>PRESUPUESTO PARA EL TRIENIO 2024-2026</w:t>
      </w:r>
    </w:p>
    <w:p w14:paraId="7A1509F7" w14:textId="77777777" w:rsidR="00C765F6" w:rsidRPr="00C765F6" w:rsidRDefault="00C765F6" w:rsidP="00C765F6">
      <w:pPr>
        <w:widowControl w:val="0"/>
        <w:autoSpaceDE w:val="0"/>
        <w:autoSpaceDN w:val="0"/>
        <w:spacing w:before="1" w:after="0" w:line="240" w:lineRule="auto"/>
        <w:ind w:right="-42"/>
        <w:rPr>
          <w:rFonts w:eastAsia="Arial" w:cs="Arial"/>
          <w:b/>
          <w:sz w:val="23"/>
          <w:lang w:val="es-ES"/>
        </w:rPr>
      </w:pPr>
    </w:p>
    <w:p w14:paraId="142C4E7B" w14:textId="68374FF2" w:rsidR="00C765F6" w:rsidRPr="00C765F6" w:rsidRDefault="00C765F6" w:rsidP="00C765F6">
      <w:pPr>
        <w:widowControl w:val="0"/>
        <w:autoSpaceDE w:val="0"/>
        <w:autoSpaceDN w:val="0"/>
        <w:spacing w:after="0" w:line="240" w:lineRule="auto"/>
        <w:ind w:left="192"/>
        <w:rPr>
          <w:rFonts w:eastAsia="Arial" w:cs="Arial"/>
          <w:lang w:val="es-ES"/>
        </w:rPr>
      </w:pPr>
      <w:r w:rsidRPr="00C765F6">
        <w:rPr>
          <w:rFonts w:eastAsia="Arial" w:cs="Arial"/>
          <w:lang w:val="es-ES"/>
        </w:rPr>
        <w:t>[</w:t>
      </w:r>
      <w:r w:rsidR="00920DC2" w:rsidRPr="00920DC2">
        <w:rPr>
          <w:rFonts w:eastAsia="Arial" w:cs="Arial"/>
          <w:lang w:val="es-ES"/>
        </w:rPr>
        <w:t>A completar tras la aprobación del presupuesto</w:t>
      </w:r>
      <w:r w:rsidRPr="00C765F6">
        <w:rPr>
          <w:rFonts w:eastAsia="Arial" w:cs="Arial"/>
          <w:spacing w:val="-2"/>
          <w:lang w:val="es-ES"/>
        </w:rPr>
        <w:t>]</w:t>
      </w:r>
    </w:p>
    <w:p w14:paraId="626D7A95" w14:textId="1098C0A4" w:rsidR="00233E04" w:rsidRDefault="00233E04">
      <w:pPr>
        <w:rPr>
          <w:rFonts w:eastAsia="Times New Roman" w:cs="Arial"/>
          <w:szCs w:val="24"/>
          <w:lang w:val="es-ES" w:eastAsia="es-ES"/>
        </w:rPr>
      </w:pPr>
    </w:p>
    <w:p w14:paraId="1EB0E986" w14:textId="77777777" w:rsidR="007E0887" w:rsidRDefault="007E0887">
      <w:pPr>
        <w:rPr>
          <w:rFonts w:eastAsia="Times New Roman" w:cs="Arial"/>
          <w:szCs w:val="24"/>
          <w:lang w:val="es-ES" w:eastAsia="es-ES"/>
        </w:rPr>
        <w:sectPr w:rsidR="007E0887" w:rsidSect="00323406">
          <w:headerReference w:type="first" r:id="rId30"/>
          <w:pgSz w:w="11906" w:h="16838" w:code="9"/>
          <w:pgMar w:top="1440" w:right="1440" w:bottom="1440" w:left="1440" w:header="720" w:footer="720" w:gutter="0"/>
          <w:cols w:space="720"/>
          <w:titlePg/>
          <w:docGrid w:linePitch="360"/>
        </w:sectPr>
      </w:pPr>
    </w:p>
    <w:p w14:paraId="05CC3DB2" w14:textId="087C9A00" w:rsidR="009264BB" w:rsidRPr="00C81DD7" w:rsidRDefault="009264BB" w:rsidP="009264BB">
      <w:pPr>
        <w:spacing w:before="94"/>
        <w:jc w:val="right"/>
        <w:rPr>
          <w:b/>
          <w:lang w:val="es-ES"/>
        </w:rPr>
      </w:pPr>
      <w:r w:rsidRPr="00C81DD7">
        <w:rPr>
          <w:b/>
          <w:lang w:val="es-ES"/>
        </w:rPr>
        <w:lastRenderedPageBreak/>
        <w:t>ANEXO</w:t>
      </w:r>
      <w:r w:rsidRPr="00C81DD7">
        <w:rPr>
          <w:b/>
          <w:spacing w:val="-5"/>
          <w:lang w:val="es-ES"/>
        </w:rPr>
        <w:t xml:space="preserve"> </w:t>
      </w:r>
      <w:r w:rsidRPr="00C81DD7">
        <w:rPr>
          <w:b/>
          <w:lang w:val="es-ES"/>
        </w:rPr>
        <w:t>5</w:t>
      </w:r>
      <w:r w:rsidRPr="00C81DD7">
        <w:rPr>
          <w:b/>
          <w:spacing w:val="-3"/>
          <w:lang w:val="es-ES"/>
        </w:rPr>
        <w:t xml:space="preserve"> </w:t>
      </w:r>
      <w:r w:rsidRPr="00C81DD7">
        <w:rPr>
          <w:b/>
          <w:spacing w:val="-5"/>
          <w:lang w:val="es-ES"/>
        </w:rPr>
        <w:t>(B)</w:t>
      </w:r>
    </w:p>
    <w:p w14:paraId="07678FE3" w14:textId="77777777" w:rsidR="009264BB" w:rsidRPr="002E4CDC" w:rsidRDefault="009264BB" w:rsidP="009264BB">
      <w:pPr>
        <w:pStyle w:val="BodyText"/>
        <w:jc w:val="center"/>
        <w:rPr>
          <w:b/>
          <w:highlight w:val="yellow"/>
          <w:lang w:val="es-ES"/>
        </w:rPr>
      </w:pPr>
    </w:p>
    <w:p w14:paraId="2770AD8F" w14:textId="50F80F5E" w:rsidR="002E4CDC" w:rsidRPr="002E4CDC" w:rsidRDefault="002E4CDC" w:rsidP="002E4CDC">
      <w:pPr>
        <w:pStyle w:val="BodyText"/>
        <w:spacing w:before="6"/>
        <w:jc w:val="center"/>
        <w:rPr>
          <w:rFonts w:eastAsiaTheme="minorHAnsi" w:cstheme="minorBidi"/>
          <w:b/>
          <w:lang w:val="es-ES"/>
        </w:rPr>
      </w:pPr>
      <w:r w:rsidRPr="002E4CDC">
        <w:rPr>
          <w:rFonts w:eastAsiaTheme="minorHAnsi" w:cstheme="minorBidi"/>
          <w:b/>
          <w:lang w:val="es-ES"/>
        </w:rPr>
        <w:t xml:space="preserve">CUOTAS </w:t>
      </w:r>
      <w:r w:rsidR="008161B0">
        <w:rPr>
          <w:rFonts w:eastAsiaTheme="minorHAnsi" w:cstheme="minorBidi"/>
          <w:b/>
          <w:lang w:val="es-ES"/>
        </w:rPr>
        <w:t xml:space="preserve">ASIGNADAS </w:t>
      </w:r>
      <w:r w:rsidRPr="002E4CDC">
        <w:rPr>
          <w:rFonts w:eastAsiaTheme="minorHAnsi" w:cstheme="minorBidi"/>
          <w:b/>
          <w:lang w:val="es-ES"/>
        </w:rPr>
        <w:t>PARA LA CONVENCIÓN</w:t>
      </w:r>
    </w:p>
    <w:p w14:paraId="3FD73B8D" w14:textId="28BF0D15" w:rsidR="009264BB" w:rsidRPr="007357B5" w:rsidRDefault="002E4CDC" w:rsidP="002E4CDC">
      <w:pPr>
        <w:pStyle w:val="BodyText"/>
        <w:spacing w:before="6"/>
        <w:jc w:val="center"/>
        <w:rPr>
          <w:b/>
          <w:sz w:val="23"/>
          <w:highlight w:val="yellow"/>
          <w:lang w:val="es-ES"/>
        </w:rPr>
      </w:pPr>
      <w:r w:rsidRPr="007357B5">
        <w:rPr>
          <w:rFonts w:eastAsiaTheme="minorHAnsi" w:cstheme="minorBidi"/>
          <w:b/>
          <w:lang w:val="es-ES"/>
        </w:rPr>
        <w:t>DURANTE EL TRIENIO 2024-2026</w:t>
      </w:r>
    </w:p>
    <w:p w14:paraId="3F14784C" w14:textId="77777777" w:rsidR="009264BB" w:rsidRPr="007357B5" w:rsidRDefault="009264BB" w:rsidP="009264BB">
      <w:pPr>
        <w:pStyle w:val="BodyText"/>
        <w:spacing w:before="6"/>
        <w:rPr>
          <w:b/>
          <w:sz w:val="23"/>
          <w:highlight w:val="yellow"/>
          <w:lang w:val="es-ES"/>
        </w:rPr>
      </w:pPr>
    </w:p>
    <w:p w14:paraId="70F05B7B" w14:textId="77777777" w:rsidR="008161B0" w:rsidRDefault="008161B0" w:rsidP="008161B0">
      <w:pPr>
        <w:widowControl w:val="0"/>
        <w:autoSpaceDE w:val="0"/>
        <w:autoSpaceDN w:val="0"/>
        <w:spacing w:after="0" w:line="240" w:lineRule="auto"/>
        <w:ind w:left="192"/>
        <w:rPr>
          <w:rFonts w:eastAsia="Arial" w:cs="Arial"/>
          <w:spacing w:val="-2"/>
          <w:lang w:val="es-ES"/>
        </w:rPr>
      </w:pPr>
      <w:r w:rsidRPr="00C765F6">
        <w:rPr>
          <w:rFonts w:eastAsia="Arial" w:cs="Arial"/>
          <w:lang w:val="es-ES"/>
        </w:rPr>
        <w:t>[</w:t>
      </w:r>
      <w:r w:rsidRPr="00920DC2">
        <w:rPr>
          <w:rFonts w:eastAsia="Arial" w:cs="Arial"/>
          <w:lang w:val="es-ES"/>
        </w:rPr>
        <w:t>A completar tras la aprobación del presupuesto</w:t>
      </w:r>
      <w:r w:rsidRPr="00C765F6">
        <w:rPr>
          <w:rFonts w:eastAsia="Arial" w:cs="Arial"/>
          <w:spacing w:val="-2"/>
          <w:lang w:val="es-ES"/>
        </w:rPr>
        <w:t>]</w:t>
      </w:r>
    </w:p>
    <w:p w14:paraId="03B6238A" w14:textId="77777777" w:rsidR="00C81DD7" w:rsidRDefault="00C81DD7" w:rsidP="008161B0">
      <w:pPr>
        <w:widowControl w:val="0"/>
        <w:autoSpaceDE w:val="0"/>
        <w:autoSpaceDN w:val="0"/>
        <w:spacing w:after="0" w:line="240" w:lineRule="auto"/>
        <w:ind w:left="192"/>
        <w:rPr>
          <w:rFonts w:eastAsia="Arial" w:cs="Arial"/>
          <w:spacing w:val="-2"/>
          <w:lang w:val="es-ES"/>
        </w:rPr>
      </w:pPr>
    </w:p>
    <w:p w14:paraId="71E66892" w14:textId="77777777" w:rsidR="00C81DD7" w:rsidRDefault="00C81DD7" w:rsidP="008161B0">
      <w:pPr>
        <w:widowControl w:val="0"/>
        <w:autoSpaceDE w:val="0"/>
        <w:autoSpaceDN w:val="0"/>
        <w:spacing w:after="0" w:line="240" w:lineRule="auto"/>
        <w:ind w:left="192"/>
        <w:rPr>
          <w:rFonts w:eastAsia="Arial" w:cs="Arial"/>
          <w:lang w:val="es-ES"/>
        </w:rPr>
        <w:sectPr w:rsidR="00C81DD7" w:rsidSect="00323406">
          <w:headerReference w:type="first" r:id="rId31"/>
          <w:pgSz w:w="11906" w:h="16838" w:code="9"/>
          <w:pgMar w:top="1440" w:right="1440" w:bottom="1440" w:left="1440" w:header="720" w:footer="720" w:gutter="0"/>
          <w:cols w:space="720"/>
          <w:titlePg/>
          <w:docGrid w:linePitch="360"/>
        </w:sectPr>
      </w:pPr>
    </w:p>
    <w:p w14:paraId="371EB56D" w14:textId="5CBB41B3" w:rsidR="00484968" w:rsidRPr="00500216" w:rsidRDefault="00484968" w:rsidP="00484968">
      <w:pPr>
        <w:jc w:val="right"/>
        <w:rPr>
          <w:b/>
          <w:lang w:val="es-ES"/>
        </w:rPr>
      </w:pPr>
      <w:r w:rsidRPr="00500216">
        <w:rPr>
          <w:b/>
          <w:lang w:val="es-ES"/>
        </w:rPr>
        <w:lastRenderedPageBreak/>
        <w:t>ANEXO</w:t>
      </w:r>
      <w:r w:rsidRPr="00500216">
        <w:rPr>
          <w:b/>
          <w:spacing w:val="-16"/>
          <w:lang w:val="es-ES"/>
        </w:rPr>
        <w:t xml:space="preserve"> </w:t>
      </w:r>
      <w:r w:rsidRPr="00500216">
        <w:rPr>
          <w:b/>
          <w:lang w:val="es-ES"/>
        </w:rPr>
        <w:t>5</w:t>
      </w:r>
      <w:r w:rsidRPr="00500216">
        <w:rPr>
          <w:b/>
          <w:spacing w:val="-15"/>
          <w:lang w:val="es-ES"/>
        </w:rPr>
        <w:t xml:space="preserve"> </w:t>
      </w:r>
      <w:r w:rsidRPr="00500216">
        <w:rPr>
          <w:b/>
          <w:lang w:val="es-ES"/>
        </w:rPr>
        <w:t>(C)</w:t>
      </w:r>
    </w:p>
    <w:p w14:paraId="3022EC77" w14:textId="77777777" w:rsidR="00484968" w:rsidRDefault="00484968" w:rsidP="00484968">
      <w:pPr>
        <w:spacing w:after="0" w:line="240" w:lineRule="auto"/>
        <w:jc w:val="center"/>
        <w:rPr>
          <w:b/>
          <w:highlight w:val="yellow"/>
          <w:lang w:val="es-ES"/>
        </w:rPr>
      </w:pPr>
    </w:p>
    <w:p w14:paraId="5248102A" w14:textId="77777777" w:rsidR="00500216" w:rsidRPr="003B587D" w:rsidRDefault="00500216" w:rsidP="00484968">
      <w:pPr>
        <w:spacing w:after="0" w:line="240" w:lineRule="auto"/>
        <w:jc w:val="center"/>
        <w:rPr>
          <w:b/>
          <w:highlight w:val="yellow"/>
          <w:lang w:val="es-ES"/>
        </w:rPr>
      </w:pPr>
    </w:p>
    <w:p w14:paraId="46D67137" w14:textId="4F16C5CF" w:rsidR="00484968" w:rsidRPr="003B587D" w:rsidRDefault="003B587D" w:rsidP="00484968">
      <w:pPr>
        <w:spacing w:after="0" w:line="240" w:lineRule="auto"/>
        <w:jc w:val="center"/>
        <w:rPr>
          <w:b/>
          <w:highlight w:val="yellow"/>
          <w:lang w:val="es-ES"/>
        </w:rPr>
      </w:pPr>
      <w:r w:rsidRPr="003B587D">
        <w:rPr>
          <w:b/>
          <w:lang w:val="es-ES"/>
        </w:rPr>
        <w:t>TÉRMINOS DE REFERENCIA DEL SUBCOMITÉ DE FINANZAS Y PRESUPUESTO</w:t>
      </w:r>
    </w:p>
    <w:p w14:paraId="2BC2189C" w14:textId="77777777" w:rsidR="00484968" w:rsidRPr="003B587D" w:rsidRDefault="00484968" w:rsidP="00484968">
      <w:pPr>
        <w:spacing w:after="0" w:line="240" w:lineRule="auto"/>
        <w:jc w:val="center"/>
        <w:rPr>
          <w:b/>
          <w:highlight w:val="yellow"/>
          <w:lang w:val="es-ES"/>
        </w:rPr>
      </w:pPr>
    </w:p>
    <w:p w14:paraId="5036D30A" w14:textId="77777777" w:rsidR="00484968" w:rsidRPr="003C236F" w:rsidRDefault="00484968" w:rsidP="00484968">
      <w:pPr>
        <w:spacing w:after="0" w:line="240" w:lineRule="auto"/>
        <w:jc w:val="center"/>
        <w:rPr>
          <w:b/>
          <w:lang w:val="es-ES"/>
        </w:rPr>
      </w:pPr>
    </w:p>
    <w:p w14:paraId="624B1394" w14:textId="606860E1" w:rsidR="00484968" w:rsidRPr="003C236F" w:rsidRDefault="003039AD" w:rsidP="00DE133B">
      <w:pPr>
        <w:pStyle w:val="ListParagraph"/>
        <w:widowControl w:val="0"/>
        <w:numPr>
          <w:ilvl w:val="0"/>
          <w:numId w:val="18"/>
        </w:numPr>
        <w:tabs>
          <w:tab w:val="left" w:pos="0"/>
        </w:tabs>
        <w:autoSpaceDE w:val="0"/>
        <w:autoSpaceDN w:val="0"/>
        <w:spacing w:after="0" w:line="240" w:lineRule="auto"/>
        <w:ind w:left="567"/>
        <w:contextualSpacing w:val="0"/>
        <w:jc w:val="both"/>
        <w:rPr>
          <w:i/>
        </w:rPr>
      </w:pPr>
      <w:r w:rsidRPr="003C236F">
        <w:rPr>
          <w:i/>
        </w:rPr>
        <w:t>Composición del Subcomité:</w:t>
      </w:r>
    </w:p>
    <w:p w14:paraId="753AF2A6" w14:textId="77777777" w:rsidR="00484968" w:rsidRPr="003C236F" w:rsidRDefault="00484968" w:rsidP="00DE133B">
      <w:pPr>
        <w:pStyle w:val="BodyText"/>
        <w:tabs>
          <w:tab w:val="left" w:pos="192"/>
        </w:tabs>
        <w:ind w:left="567"/>
        <w:rPr>
          <w:i/>
        </w:rPr>
      </w:pPr>
    </w:p>
    <w:p w14:paraId="717BBAFF" w14:textId="39F6BF58" w:rsidR="00484968" w:rsidRPr="003C236F" w:rsidRDefault="00080F23" w:rsidP="00DE133B">
      <w:pPr>
        <w:pStyle w:val="ListParagraph"/>
        <w:widowControl w:val="0"/>
        <w:numPr>
          <w:ilvl w:val="1"/>
          <w:numId w:val="18"/>
        </w:numPr>
        <w:tabs>
          <w:tab w:val="left" w:pos="192"/>
          <w:tab w:val="left" w:pos="1080"/>
        </w:tabs>
        <w:autoSpaceDE w:val="0"/>
        <w:autoSpaceDN w:val="0"/>
        <w:spacing w:after="0" w:line="240" w:lineRule="auto"/>
        <w:ind w:left="1080" w:right="-42" w:hanging="540"/>
        <w:contextualSpacing w:val="0"/>
        <w:jc w:val="both"/>
        <w:rPr>
          <w:lang w:val="es-ES"/>
        </w:rPr>
      </w:pPr>
      <w:r w:rsidRPr="003C236F">
        <w:rPr>
          <w:lang w:val="es-ES"/>
        </w:rPr>
        <w:t>El Subcomité de Finanzas y Presupuesto estará integrado por miembros seleccionados de entre los miembros del Comité Permanente, con un país representante de cada una de las regiones de la CMS designado por la región; y</w:t>
      </w:r>
    </w:p>
    <w:p w14:paraId="32C1A9AC" w14:textId="77777777" w:rsidR="00484968" w:rsidRPr="003C236F" w:rsidRDefault="00484968" w:rsidP="00DE133B">
      <w:pPr>
        <w:pStyle w:val="BodyText"/>
        <w:tabs>
          <w:tab w:val="left" w:pos="192"/>
          <w:tab w:val="left" w:pos="1080"/>
        </w:tabs>
        <w:ind w:left="1080" w:right="-42" w:hanging="540"/>
        <w:rPr>
          <w:sz w:val="21"/>
          <w:lang w:val="es-ES"/>
        </w:rPr>
      </w:pPr>
    </w:p>
    <w:p w14:paraId="4A96E7A7" w14:textId="0169A529" w:rsidR="00484968" w:rsidRPr="003C236F" w:rsidRDefault="003C236F" w:rsidP="00DE133B">
      <w:pPr>
        <w:pStyle w:val="ListParagraph"/>
        <w:widowControl w:val="0"/>
        <w:numPr>
          <w:ilvl w:val="1"/>
          <w:numId w:val="18"/>
        </w:numPr>
        <w:tabs>
          <w:tab w:val="left" w:pos="192"/>
          <w:tab w:val="left" w:pos="1080"/>
        </w:tabs>
        <w:autoSpaceDE w:val="0"/>
        <w:autoSpaceDN w:val="0"/>
        <w:spacing w:after="0" w:line="240" w:lineRule="auto"/>
        <w:ind w:left="1080" w:right="-42" w:hanging="540"/>
        <w:contextualSpacing w:val="0"/>
        <w:jc w:val="both"/>
        <w:rPr>
          <w:lang w:val="es-ES"/>
        </w:rPr>
      </w:pPr>
      <w:r w:rsidRPr="003C236F">
        <w:rPr>
          <w:lang w:val="es-ES"/>
        </w:rPr>
        <w:t>El Subcomité elegirá un Presidente de entre sus miembros</w:t>
      </w:r>
      <w:r w:rsidR="00484968" w:rsidRPr="003C236F">
        <w:rPr>
          <w:spacing w:val="-2"/>
          <w:lang w:val="es-ES"/>
        </w:rPr>
        <w:t>.</w:t>
      </w:r>
    </w:p>
    <w:p w14:paraId="1A41C60A" w14:textId="77777777" w:rsidR="00484968" w:rsidRPr="003C236F" w:rsidRDefault="00484968" w:rsidP="00DE133B">
      <w:pPr>
        <w:pStyle w:val="BodyText"/>
        <w:tabs>
          <w:tab w:val="left" w:pos="192"/>
        </w:tabs>
        <w:ind w:left="567"/>
        <w:rPr>
          <w:lang w:val="es-ES"/>
        </w:rPr>
      </w:pPr>
    </w:p>
    <w:p w14:paraId="68573556" w14:textId="516B518F" w:rsidR="00484968" w:rsidRPr="003C236F" w:rsidRDefault="003C236F" w:rsidP="00DE133B">
      <w:pPr>
        <w:pStyle w:val="ListParagraph"/>
        <w:widowControl w:val="0"/>
        <w:numPr>
          <w:ilvl w:val="0"/>
          <w:numId w:val="18"/>
        </w:numPr>
        <w:tabs>
          <w:tab w:val="left" w:pos="0"/>
        </w:tabs>
        <w:autoSpaceDE w:val="0"/>
        <w:autoSpaceDN w:val="0"/>
        <w:spacing w:after="0" w:line="240" w:lineRule="auto"/>
        <w:ind w:left="567"/>
        <w:contextualSpacing w:val="0"/>
        <w:jc w:val="both"/>
        <w:rPr>
          <w:i/>
          <w:lang w:val="es-ES"/>
        </w:rPr>
      </w:pPr>
      <w:r w:rsidRPr="003C236F">
        <w:rPr>
          <w:i/>
          <w:lang w:val="es-ES"/>
        </w:rPr>
        <w:t>Reuniones y modo de funcionamiento del Subcomité</w:t>
      </w:r>
      <w:r w:rsidR="00484968" w:rsidRPr="003C236F">
        <w:rPr>
          <w:i/>
          <w:spacing w:val="-2"/>
          <w:lang w:val="es-ES"/>
        </w:rPr>
        <w:t>:</w:t>
      </w:r>
    </w:p>
    <w:p w14:paraId="74A61DEC" w14:textId="77777777" w:rsidR="00484968" w:rsidRPr="003C236F" w:rsidRDefault="00484968" w:rsidP="00DE133B">
      <w:pPr>
        <w:pStyle w:val="BodyText"/>
        <w:tabs>
          <w:tab w:val="left" w:pos="192"/>
        </w:tabs>
        <w:ind w:left="567"/>
        <w:rPr>
          <w:i/>
          <w:highlight w:val="yellow"/>
          <w:lang w:val="es-ES"/>
        </w:rPr>
      </w:pPr>
    </w:p>
    <w:p w14:paraId="23D6E657" w14:textId="6ADDB351" w:rsidR="00484968" w:rsidRPr="00CA5B57" w:rsidRDefault="00CA5B57" w:rsidP="00DE133B">
      <w:pPr>
        <w:pStyle w:val="ListParagraph"/>
        <w:widowControl w:val="0"/>
        <w:numPr>
          <w:ilvl w:val="1"/>
          <w:numId w:val="18"/>
        </w:numPr>
        <w:tabs>
          <w:tab w:val="left" w:pos="192"/>
          <w:tab w:val="left" w:pos="1080"/>
        </w:tabs>
        <w:autoSpaceDE w:val="0"/>
        <w:autoSpaceDN w:val="0"/>
        <w:spacing w:after="0" w:line="240" w:lineRule="auto"/>
        <w:ind w:left="1080" w:right="110" w:hanging="540"/>
        <w:contextualSpacing w:val="0"/>
        <w:jc w:val="both"/>
        <w:rPr>
          <w:lang w:val="es-ES"/>
        </w:rPr>
      </w:pPr>
      <w:r w:rsidRPr="00CA5B57">
        <w:rPr>
          <w:lang w:val="es-ES"/>
        </w:rPr>
        <w:t>El Subcomité se reunirá en sesión privada (es decir, asistirán solo los miembros del Subcomité, observadores de las Partes y la Secretaría) un día antes de cada reunión del Comité Permanente; y</w:t>
      </w:r>
    </w:p>
    <w:p w14:paraId="064F57F9" w14:textId="77777777" w:rsidR="00484968" w:rsidRPr="00CA5B57" w:rsidRDefault="00484968" w:rsidP="00DE133B">
      <w:pPr>
        <w:pStyle w:val="BodyText"/>
        <w:tabs>
          <w:tab w:val="left" w:pos="192"/>
          <w:tab w:val="left" w:pos="1080"/>
        </w:tabs>
        <w:ind w:left="1080" w:hanging="540"/>
        <w:rPr>
          <w:sz w:val="21"/>
          <w:lang w:val="es-ES"/>
        </w:rPr>
      </w:pPr>
    </w:p>
    <w:p w14:paraId="2CEEA00F" w14:textId="5C05FEB4" w:rsidR="00484968" w:rsidRPr="00CA5B57" w:rsidRDefault="00CA5B57" w:rsidP="00DE133B">
      <w:pPr>
        <w:pStyle w:val="ListParagraph"/>
        <w:widowControl w:val="0"/>
        <w:numPr>
          <w:ilvl w:val="1"/>
          <w:numId w:val="18"/>
        </w:numPr>
        <w:tabs>
          <w:tab w:val="left" w:pos="192"/>
          <w:tab w:val="left" w:pos="1080"/>
        </w:tabs>
        <w:autoSpaceDE w:val="0"/>
        <w:autoSpaceDN w:val="0"/>
        <w:spacing w:after="0" w:line="240" w:lineRule="auto"/>
        <w:ind w:left="1080" w:right="113" w:hanging="540"/>
        <w:contextualSpacing w:val="0"/>
        <w:jc w:val="both"/>
        <w:rPr>
          <w:lang w:val="es-ES"/>
        </w:rPr>
      </w:pPr>
      <w:r w:rsidRPr="00CA5B57">
        <w:rPr>
          <w:lang w:val="es-ES"/>
        </w:rPr>
        <w:t>Los miembros del Subcomité se comunicarán por vía electrónica entre las reuniones del Comité Permanente. Con este fin, la Secretaría deberá establecer un foro en su sitio web para las comunicaciones entre los miembros y para el intercambio de documentos, que podrán ser leídos por las Partes que no son miembros, que deberían comunicar sus opiniones a su representante regional en el Subcomité.</w:t>
      </w:r>
    </w:p>
    <w:p w14:paraId="597F268E" w14:textId="77777777" w:rsidR="00484968" w:rsidRPr="00CA5B57" w:rsidRDefault="00484968" w:rsidP="00DE133B">
      <w:pPr>
        <w:pStyle w:val="BodyText"/>
        <w:tabs>
          <w:tab w:val="left" w:pos="192"/>
        </w:tabs>
        <w:ind w:left="567"/>
        <w:rPr>
          <w:lang w:val="es-ES"/>
        </w:rPr>
      </w:pPr>
    </w:p>
    <w:p w14:paraId="7DF6FDE2" w14:textId="08A21DE6" w:rsidR="00484968" w:rsidRPr="00AA0AA1" w:rsidRDefault="005B6444" w:rsidP="00DE133B">
      <w:pPr>
        <w:pStyle w:val="ListParagraph"/>
        <w:widowControl w:val="0"/>
        <w:numPr>
          <w:ilvl w:val="0"/>
          <w:numId w:val="18"/>
        </w:numPr>
        <w:tabs>
          <w:tab w:val="left" w:pos="0"/>
        </w:tabs>
        <w:autoSpaceDE w:val="0"/>
        <w:autoSpaceDN w:val="0"/>
        <w:spacing w:after="0" w:line="240" w:lineRule="auto"/>
        <w:ind w:left="567"/>
        <w:contextualSpacing w:val="0"/>
        <w:jc w:val="both"/>
        <w:rPr>
          <w:i/>
          <w:lang w:val="es-ES"/>
        </w:rPr>
      </w:pPr>
      <w:r w:rsidRPr="00AA0AA1">
        <w:rPr>
          <w:i/>
          <w:lang w:val="es-ES"/>
        </w:rPr>
        <w:t>Responsabilidades de los miembros del Subcomité</w:t>
      </w:r>
      <w:r w:rsidR="00484968" w:rsidRPr="00AA0AA1">
        <w:rPr>
          <w:i/>
          <w:spacing w:val="-2"/>
          <w:lang w:val="es-ES"/>
        </w:rPr>
        <w:t>:</w:t>
      </w:r>
    </w:p>
    <w:p w14:paraId="0776C150" w14:textId="77777777" w:rsidR="00484968" w:rsidRPr="00AA0AA1" w:rsidRDefault="00484968" w:rsidP="00DE133B">
      <w:pPr>
        <w:pStyle w:val="BodyText"/>
        <w:tabs>
          <w:tab w:val="left" w:pos="192"/>
        </w:tabs>
        <w:ind w:left="567"/>
        <w:rPr>
          <w:i/>
          <w:lang w:val="es-ES"/>
        </w:rPr>
      </w:pPr>
    </w:p>
    <w:p w14:paraId="71E2D76D" w14:textId="434BA356" w:rsidR="00484968" w:rsidRPr="00AA0AA1" w:rsidRDefault="00E91536" w:rsidP="00DE133B">
      <w:pPr>
        <w:pStyle w:val="BodyText"/>
        <w:tabs>
          <w:tab w:val="left" w:pos="192"/>
        </w:tabs>
        <w:ind w:left="567"/>
        <w:rPr>
          <w:lang w:val="es-ES"/>
        </w:rPr>
      </w:pPr>
      <w:r w:rsidRPr="00AA0AA1">
        <w:rPr>
          <w:lang w:val="es-ES"/>
        </w:rPr>
        <w:t>En el desempeño de sus funciones, los miembros del Subcomité deberán solicitar y representar los puntos de vista de su región, e informar luego de los resultados a sus regiones.</w:t>
      </w:r>
    </w:p>
    <w:p w14:paraId="266F67BC" w14:textId="77777777" w:rsidR="00484968" w:rsidRPr="00AA0AA1" w:rsidRDefault="00484968" w:rsidP="00DE133B">
      <w:pPr>
        <w:pStyle w:val="BodyText"/>
        <w:tabs>
          <w:tab w:val="left" w:pos="192"/>
        </w:tabs>
        <w:ind w:left="567"/>
        <w:rPr>
          <w:sz w:val="21"/>
          <w:lang w:val="es-ES"/>
        </w:rPr>
      </w:pPr>
    </w:p>
    <w:p w14:paraId="1AEB69F2" w14:textId="6E02466E" w:rsidR="00484968" w:rsidRPr="00AA0AA1" w:rsidRDefault="007E5B66" w:rsidP="00DE133B">
      <w:pPr>
        <w:pStyle w:val="ListParagraph"/>
        <w:widowControl w:val="0"/>
        <w:numPr>
          <w:ilvl w:val="0"/>
          <w:numId w:val="18"/>
        </w:numPr>
        <w:tabs>
          <w:tab w:val="left" w:pos="0"/>
        </w:tabs>
        <w:autoSpaceDE w:val="0"/>
        <w:autoSpaceDN w:val="0"/>
        <w:spacing w:after="0" w:line="240" w:lineRule="auto"/>
        <w:ind w:left="567"/>
        <w:contextualSpacing w:val="0"/>
        <w:jc w:val="both"/>
        <w:rPr>
          <w:i/>
        </w:rPr>
      </w:pPr>
      <w:r w:rsidRPr="00AA0AA1">
        <w:rPr>
          <w:i/>
        </w:rPr>
        <w:t>Responsabilidades del Subcomité:</w:t>
      </w:r>
    </w:p>
    <w:p w14:paraId="544C29CD" w14:textId="77777777" w:rsidR="00484968" w:rsidRPr="00AA0AA1" w:rsidRDefault="00484968" w:rsidP="00DE133B">
      <w:pPr>
        <w:pStyle w:val="BodyText"/>
        <w:tabs>
          <w:tab w:val="left" w:pos="192"/>
        </w:tabs>
        <w:ind w:left="567"/>
        <w:rPr>
          <w:i/>
        </w:rPr>
      </w:pPr>
    </w:p>
    <w:p w14:paraId="08EC82DB" w14:textId="616CE9E5" w:rsidR="00484968" w:rsidRPr="00AA0AA1" w:rsidRDefault="007E5B66" w:rsidP="00DE133B">
      <w:pPr>
        <w:pStyle w:val="BodyText"/>
        <w:tabs>
          <w:tab w:val="left" w:pos="192"/>
        </w:tabs>
        <w:ind w:left="567"/>
        <w:rPr>
          <w:lang w:val="es-ES"/>
        </w:rPr>
      </w:pPr>
      <w:r w:rsidRPr="00AA0AA1">
        <w:rPr>
          <w:lang w:val="es-ES"/>
        </w:rPr>
        <w:t xml:space="preserve">Para cumplir el mandato de la Resolución </w:t>
      </w:r>
      <w:r w:rsidRPr="00AA0AA1">
        <w:rPr>
          <w:spacing w:val="-4"/>
          <w:lang w:val="es-ES"/>
        </w:rPr>
        <w:t>[   ]</w:t>
      </w:r>
      <w:r w:rsidRPr="00AA0AA1">
        <w:rPr>
          <w:lang w:val="es-ES"/>
        </w:rPr>
        <w:t xml:space="preserve"> de la Conferencia, el Subcomité deberá:</w:t>
      </w:r>
      <w:r w:rsidR="00484968" w:rsidRPr="00AA0AA1">
        <w:rPr>
          <w:spacing w:val="-4"/>
          <w:lang w:val="es-ES"/>
        </w:rPr>
        <w:t xml:space="preserve"> </w:t>
      </w:r>
    </w:p>
    <w:p w14:paraId="7464B5D1" w14:textId="77777777" w:rsidR="00484968" w:rsidRPr="007941C7" w:rsidRDefault="00484968" w:rsidP="00DE133B">
      <w:pPr>
        <w:pStyle w:val="BodyText"/>
        <w:tabs>
          <w:tab w:val="left" w:pos="192"/>
        </w:tabs>
        <w:ind w:left="567"/>
        <w:rPr>
          <w:lang w:val="es-ES"/>
        </w:rPr>
      </w:pPr>
    </w:p>
    <w:p w14:paraId="569FFDD9" w14:textId="357E5C33" w:rsidR="00484968" w:rsidRPr="007941C7" w:rsidRDefault="0079244B" w:rsidP="00DE133B">
      <w:pPr>
        <w:pStyle w:val="ListParagraph"/>
        <w:widowControl w:val="0"/>
        <w:numPr>
          <w:ilvl w:val="1"/>
          <w:numId w:val="18"/>
        </w:numPr>
        <w:tabs>
          <w:tab w:val="left" w:pos="1080"/>
        </w:tabs>
        <w:autoSpaceDE w:val="0"/>
        <w:autoSpaceDN w:val="0"/>
        <w:spacing w:after="0" w:line="240" w:lineRule="auto"/>
        <w:ind w:left="1080" w:right="110" w:hanging="540"/>
        <w:contextualSpacing w:val="0"/>
        <w:jc w:val="both"/>
        <w:rPr>
          <w:lang w:val="es-ES"/>
        </w:rPr>
      </w:pPr>
      <w:r w:rsidRPr="007941C7">
        <w:rPr>
          <w:lang w:val="es-ES"/>
        </w:rPr>
        <w:t>Examinar en términos generales todos los aspectos de la financiación y presupuestación de la Convención y formular recomendaciones al Comité Permanente. El Subcomité deberá centrar su atención en mantener la Convención solvente, velando al mismo tiempo que se presten los servicios de apoyo esenciales para el funcionamiento efectivo y eficiente de la Convención;</w:t>
      </w:r>
    </w:p>
    <w:p w14:paraId="52DA4F76" w14:textId="77777777" w:rsidR="00484968" w:rsidRPr="007941C7" w:rsidRDefault="00484968" w:rsidP="00500216">
      <w:pPr>
        <w:pStyle w:val="BodyText"/>
        <w:tabs>
          <w:tab w:val="left" w:pos="1080"/>
        </w:tabs>
        <w:ind w:left="1080" w:hanging="540"/>
        <w:rPr>
          <w:lang w:val="es-ES"/>
        </w:rPr>
      </w:pPr>
    </w:p>
    <w:p w14:paraId="1C2755B5" w14:textId="67A37C04" w:rsidR="00484968" w:rsidRPr="007941C7" w:rsidRDefault="00330F33" w:rsidP="00DE133B">
      <w:pPr>
        <w:pStyle w:val="ListParagraph"/>
        <w:widowControl w:val="0"/>
        <w:numPr>
          <w:ilvl w:val="1"/>
          <w:numId w:val="18"/>
        </w:numPr>
        <w:tabs>
          <w:tab w:val="left" w:pos="1080"/>
        </w:tabs>
        <w:autoSpaceDE w:val="0"/>
        <w:autoSpaceDN w:val="0"/>
        <w:spacing w:after="80" w:line="240" w:lineRule="auto"/>
        <w:ind w:left="1080" w:right="110" w:hanging="540"/>
        <w:contextualSpacing w:val="0"/>
        <w:jc w:val="both"/>
        <w:rPr>
          <w:lang w:val="es-ES"/>
        </w:rPr>
      </w:pPr>
      <w:r w:rsidRPr="007941C7">
        <w:rPr>
          <w:lang w:val="es-ES"/>
        </w:rPr>
        <w:t>Evaluar el programa de trabajo de la Secretaría y otros documentos con posibles repercusiones presupuestarias relativas a:</w:t>
      </w:r>
    </w:p>
    <w:p w14:paraId="2C0FD38D" w14:textId="0F91CA06" w:rsidR="00484968" w:rsidRPr="007941C7" w:rsidRDefault="00330F33" w:rsidP="00DE133B">
      <w:pPr>
        <w:pStyle w:val="ListParagraph"/>
        <w:widowControl w:val="0"/>
        <w:numPr>
          <w:ilvl w:val="2"/>
          <w:numId w:val="18"/>
        </w:numPr>
        <w:tabs>
          <w:tab w:val="left" w:pos="192"/>
          <w:tab w:val="left" w:pos="1440"/>
        </w:tabs>
        <w:autoSpaceDE w:val="0"/>
        <w:autoSpaceDN w:val="0"/>
        <w:spacing w:after="80" w:line="240" w:lineRule="auto"/>
        <w:ind w:left="1440" w:right="111" w:hanging="360"/>
        <w:contextualSpacing w:val="0"/>
        <w:jc w:val="both"/>
        <w:rPr>
          <w:lang w:val="es-ES"/>
        </w:rPr>
      </w:pPr>
      <w:r w:rsidRPr="007941C7">
        <w:rPr>
          <w:lang w:val="es-ES"/>
        </w:rPr>
        <w:t>Las funciones y responsabilidades de la Secretaría estipuladas en el texto de la Convención;</w:t>
      </w:r>
    </w:p>
    <w:p w14:paraId="7633970B" w14:textId="79C52070" w:rsidR="00484968" w:rsidRPr="007941C7" w:rsidRDefault="007941C7" w:rsidP="00500216">
      <w:pPr>
        <w:pStyle w:val="ListParagraph"/>
        <w:widowControl w:val="0"/>
        <w:numPr>
          <w:ilvl w:val="2"/>
          <w:numId w:val="18"/>
        </w:numPr>
        <w:tabs>
          <w:tab w:val="left" w:pos="192"/>
          <w:tab w:val="left" w:pos="1440"/>
        </w:tabs>
        <w:autoSpaceDE w:val="0"/>
        <w:autoSpaceDN w:val="0"/>
        <w:spacing w:after="0" w:line="240" w:lineRule="auto"/>
        <w:ind w:left="1440" w:right="104" w:hanging="360"/>
        <w:contextualSpacing w:val="0"/>
        <w:jc w:val="both"/>
        <w:rPr>
          <w:lang w:val="es-ES"/>
        </w:rPr>
      </w:pPr>
      <w:r w:rsidRPr="007941C7">
        <w:rPr>
          <w:spacing w:val="-4"/>
          <w:lang w:val="es-ES"/>
        </w:rPr>
        <w:t>Asegurar que las actividades emprendidas por la Secretaría en el marco del presupuesto aprobado sean coherentes con las Resoluciones y Decisiones de la Conferencia de las Partes</w:t>
      </w:r>
      <w:r w:rsidR="00484968" w:rsidRPr="007941C7">
        <w:rPr>
          <w:lang w:val="es-ES"/>
        </w:rPr>
        <w:t>;</w:t>
      </w:r>
    </w:p>
    <w:p w14:paraId="3436847F" w14:textId="77777777" w:rsidR="00484968" w:rsidRPr="007941C7" w:rsidRDefault="00484968" w:rsidP="00484968">
      <w:pPr>
        <w:pStyle w:val="BodyText"/>
        <w:tabs>
          <w:tab w:val="left" w:pos="192"/>
        </w:tabs>
        <w:ind w:left="567"/>
        <w:rPr>
          <w:lang w:val="es-ES"/>
        </w:rPr>
      </w:pPr>
    </w:p>
    <w:p w14:paraId="2A85CD96" w14:textId="229CBEBA" w:rsidR="00484968" w:rsidRPr="00DD6397" w:rsidRDefault="003057D9" w:rsidP="00500216">
      <w:pPr>
        <w:pStyle w:val="ListParagraph"/>
        <w:widowControl w:val="0"/>
        <w:numPr>
          <w:ilvl w:val="1"/>
          <w:numId w:val="18"/>
        </w:numPr>
        <w:tabs>
          <w:tab w:val="left" w:pos="0"/>
          <w:tab w:val="left" w:pos="1324"/>
          <w:tab w:val="left" w:pos="1326"/>
        </w:tabs>
        <w:autoSpaceDE w:val="0"/>
        <w:autoSpaceDN w:val="0"/>
        <w:spacing w:after="0" w:line="240" w:lineRule="auto"/>
        <w:ind w:left="1080" w:right="112" w:hanging="540"/>
        <w:contextualSpacing w:val="0"/>
        <w:jc w:val="both"/>
        <w:rPr>
          <w:lang w:val="es-ES"/>
        </w:rPr>
      </w:pPr>
      <w:r w:rsidRPr="00DD6397">
        <w:rPr>
          <w:lang w:val="es-ES"/>
        </w:rPr>
        <w:t xml:space="preserve">Examinar los procedimientos administrativos y otros aspectos de la financiación y el presupuesto de la Convención, y formular recomendaciones para mejorar la </w:t>
      </w:r>
      <w:r w:rsidRPr="00DD6397">
        <w:rPr>
          <w:lang w:val="es-ES"/>
        </w:rPr>
        <w:lastRenderedPageBreak/>
        <w:t>eficiencia con que se gastan los fondos;</w:t>
      </w:r>
    </w:p>
    <w:p w14:paraId="6A2CB7F9" w14:textId="5BE44369" w:rsidR="00484968" w:rsidRPr="00DD6397" w:rsidRDefault="00484968" w:rsidP="00484968">
      <w:pPr>
        <w:pStyle w:val="BodyText"/>
        <w:tabs>
          <w:tab w:val="left" w:pos="0"/>
        </w:tabs>
        <w:ind w:left="1134"/>
        <w:rPr>
          <w:lang w:val="es-ES"/>
        </w:rPr>
      </w:pPr>
    </w:p>
    <w:p w14:paraId="509ACC68" w14:textId="33B9425E" w:rsidR="00484968" w:rsidRPr="00DD6397" w:rsidRDefault="00DD6397" w:rsidP="00500216">
      <w:pPr>
        <w:pStyle w:val="ListParagraph"/>
        <w:widowControl w:val="0"/>
        <w:numPr>
          <w:ilvl w:val="1"/>
          <w:numId w:val="18"/>
        </w:numPr>
        <w:tabs>
          <w:tab w:val="left" w:pos="0"/>
          <w:tab w:val="left" w:pos="1325"/>
        </w:tabs>
        <w:autoSpaceDE w:val="0"/>
        <w:autoSpaceDN w:val="0"/>
        <w:spacing w:after="80" w:line="240" w:lineRule="auto"/>
        <w:ind w:left="1080" w:hanging="512"/>
        <w:contextualSpacing w:val="0"/>
        <w:jc w:val="both"/>
        <w:rPr>
          <w:lang w:val="es-ES"/>
        </w:rPr>
      </w:pPr>
      <w:r w:rsidRPr="00DD6397">
        <w:rPr>
          <w:lang w:val="es-ES"/>
        </w:rPr>
        <w:t>Utilizar la información elaborada a través de los procesos descritos en los párrafos a)-c):</w:t>
      </w:r>
    </w:p>
    <w:p w14:paraId="5DA0A2C6" w14:textId="41DE215B" w:rsidR="00484968" w:rsidRPr="00142CA3" w:rsidRDefault="00DD6397" w:rsidP="00500216">
      <w:pPr>
        <w:pStyle w:val="ListParagraph"/>
        <w:widowControl w:val="0"/>
        <w:numPr>
          <w:ilvl w:val="0"/>
          <w:numId w:val="17"/>
        </w:numPr>
        <w:tabs>
          <w:tab w:val="left" w:pos="192"/>
          <w:tab w:val="left" w:pos="1440"/>
        </w:tabs>
        <w:autoSpaceDE w:val="0"/>
        <w:autoSpaceDN w:val="0"/>
        <w:spacing w:after="80" w:line="240" w:lineRule="auto"/>
        <w:ind w:left="1440" w:right="112" w:hanging="360"/>
        <w:contextualSpacing w:val="0"/>
        <w:jc w:val="both"/>
        <w:rPr>
          <w:lang w:val="es-ES"/>
        </w:rPr>
      </w:pPr>
      <w:r w:rsidRPr="00142CA3">
        <w:rPr>
          <w:lang w:val="es-ES"/>
        </w:rPr>
        <w:t>trabajar con la Secretaría para preparar todos los documentos financieros y presupuestarios para someterlos al examen del Comité Permanente</w:t>
      </w:r>
      <w:r w:rsidR="00484968" w:rsidRPr="00142CA3">
        <w:rPr>
          <w:lang w:val="es-ES"/>
        </w:rPr>
        <w:t>;</w:t>
      </w:r>
    </w:p>
    <w:p w14:paraId="76915C78" w14:textId="3652A5F0" w:rsidR="00484968" w:rsidRPr="00142CA3" w:rsidRDefault="00DA608E" w:rsidP="00500216">
      <w:pPr>
        <w:pStyle w:val="ListParagraph"/>
        <w:widowControl w:val="0"/>
        <w:numPr>
          <w:ilvl w:val="0"/>
          <w:numId w:val="17"/>
        </w:numPr>
        <w:tabs>
          <w:tab w:val="left" w:pos="192"/>
          <w:tab w:val="left" w:pos="1440"/>
          <w:tab w:val="left" w:pos="1560"/>
        </w:tabs>
        <w:autoSpaceDE w:val="0"/>
        <w:autoSpaceDN w:val="0"/>
        <w:spacing w:after="80" w:line="240" w:lineRule="auto"/>
        <w:ind w:left="1440" w:right="113" w:hanging="360"/>
        <w:contextualSpacing w:val="0"/>
        <w:jc w:val="both"/>
        <w:rPr>
          <w:lang w:val="es-ES"/>
        </w:rPr>
      </w:pPr>
      <w:r w:rsidRPr="00142CA3">
        <w:rPr>
          <w:lang w:val="es-ES"/>
        </w:rPr>
        <w:t>seguir elaborando el modelo de informe para asegurar que los informes financieros sean fáciles de entender y transparentes, y permitan tomar decisiones documentadas en relación con el rendimiento financiero de la Convención</w:t>
      </w:r>
    </w:p>
    <w:p w14:paraId="41955FEE" w14:textId="087EE160" w:rsidR="00484968" w:rsidRPr="00142CA3" w:rsidRDefault="00DA608E" w:rsidP="00500216">
      <w:pPr>
        <w:pStyle w:val="ListParagraph"/>
        <w:widowControl w:val="0"/>
        <w:numPr>
          <w:ilvl w:val="0"/>
          <w:numId w:val="17"/>
        </w:numPr>
        <w:tabs>
          <w:tab w:val="left" w:pos="192"/>
          <w:tab w:val="left" w:pos="1440"/>
          <w:tab w:val="left" w:pos="1560"/>
        </w:tabs>
        <w:autoSpaceDE w:val="0"/>
        <w:autoSpaceDN w:val="0"/>
        <w:spacing w:after="80" w:line="240" w:lineRule="auto"/>
        <w:ind w:left="1440" w:right="113" w:hanging="360"/>
        <w:contextualSpacing w:val="0"/>
        <w:jc w:val="both"/>
        <w:rPr>
          <w:lang w:val="es-ES"/>
        </w:rPr>
      </w:pPr>
      <w:r w:rsidRPr="00142CA3">
        <w:rPr>
          <w:lang w:val="es-ES"/>
        </w:rPr>
        <w:t>formular recomendaciones al Comité Permanente sobre todos los documentos financieros y presupuestarios y las propuestas elaboradas a través de este proceso; y</w:t>
      </w:r>
    </w:p>
    <w:p w14:paraId="1A8DFC83" w14:textId="6568431C" w:rsidR="00484968" w:rsidRPr="00142CA3" w:rsidRDefault="00142CA3" w:rsidP="00500216">
      <w:pPr>
        <w:pStyle w:val="ListParagraph"/>
        <w:widowControl w:val="0"/>
        <w:numPr>
          <w:ilvl w:val="0"/>
          <w:numId w:val="17"/>
        </w:numPr>
        <w:tabs>
          <w:tab w:val="left" w:pos="1440"/>
          <w:tab w:val="left" w:pos="1560"/>
        </w:tabs>
        <w:autoSpaceDE w:val="0"/>
        <w:autoSpaceDN w:val="0"/>
        <w:spacing w:after="0" w:line="240" w:lineRule="auto"/>
        <w:ind w:left="1440" w:right="113" w:hanging="360"/>
        <w:contextualSpacing w:val="0"/>
        <w:jc w:val="both"/>
        <w:rPr>
          <w:lang w:val="es-ES"/>
        </w:rPr>
      </w:pPr>
      <w:r w:rsidRPr="00142CA3">
        <w:rPr>
          <w:lang w:val="es-ES"/>
        </w:rPr>
        <w:t>prestar cualquier otro tipo de asistencia al Comité Permanente en la supervisión de asuntos financieros y presupuestarios, incluida la preparación de documentos para las reuniones de la Conferencia de las Partes;</w:t>
      </w:r>
    </w:p>
    <w:p w14:paraId="541CF944" w14:textId="77777777" w:rsidR="00484968" w:rsidRPr="00142CA3" w:rsidRDefault="00484968" w:rsidP="00484968">
      <w:pPr>
        <w:pStyle w:val="BodyText"/>
        <w:rPr>
          <w:lang w:val="es-ES"/>
        </w:rPr>
      </w:pPr>
    </w:p>
    <w:p w14:paraId="76939113" w14:textId="5D1EFD90" w:rsidR="00484968" w:rsidRPr="009570C3" w:rsidRDefault="009570C3" w:rsidP="00500216">
      <w:pPr>
        <w:pStyle w:val="ListParagraph"/>
        <w:widowControl w:val="0"/>
        <w:numPr>
          <w:ilvl w:val="1"/>
          <w:numId w:val="18"/>
        </w:numPr>
        <w:tabs>
          <w:tab w:val="left" w:pos="9498"/>
        </w:tabs>
        <w:autoSpaceDE w:val="0"/>
        <w:autoSpaceDN w:val="0"/>
        <w:spacing w:after="0" w:line="240" w:lineRule="auto"/>
        <w:ind w:left="1080" w:right="27" w:hanging="513"/>
        <w:contextualSpacing w:val="0"/>
        <w:jc w:val="both"/>
        <w:rPr>
          <w:lang w:val="es-ES"/>
        </w:rPr>
      </w:pPr>
      <w:r w:rsidRPr="009570C3">
        <w:rPr>
          <w:lang w:val="es-ES"/>
        </w:rPr>
        <w:t>La Secretaría deberá proporcionar a todo el Comité Permanente un informe, cada seis meses, que se enviará electrónicamente, y en el que se identificarán y explicarán cualesquiera gastos proyectados que difieran, en más del 20%, de los gastos del presupuesto aprobado para los gastos totales de personal o, en el caso de otros gastos no relacionados con el personal, para cada actividad, junto con el enfoque propuesto relativo a la gestión de cualquiera de estos excesos de gastos proyectados.</w:t>
      </w:r>
    </w:p>
    <w:p w14:paraId="6AA25D69" w14:textId="77777777" w:rsidR="00C81DD7" w:rsidRDefault="00C81DD7" w:rsidP="00484968">
      <w:pPr>
        <w:widowControl w:val="0"/>
        <w:autoSpaceDE w:val="0"/>
        <w:autoSpaceDN w:val="0"/>
        <w:spacing w:after="0" w:line="240" w:lineRule="auto"/>
        <w:ind w:left="192"/>
        <w:rPr>
          <w:rFonts w:eastAsia="Arial" w:cs="Arial"/>
          <w:lang w:val="es-ES"/>
        </w:rPr>
      </w:pPr>
    </w:p>
    <w:p w14:paraId="57C7A54C" w14:textId="77777777" w:rsidR="00FC42A9" w:rsidRDefault="00FC42A9" w:rsidP="00484968">
      <w:pPr>
        <w:widowControl w:val="0"/>
        <w:autoSpaceDE w:val="0"/>
        <w:autoSpaceDN w:val="0"/>
        <w:spacing w:after="0" w:line="240" w:lineRule="auto"/>
        <w:ind w:left="192"/>
        <w:rPr>
          <w:rFonts w:eastAsia="Arial" w:cs="Arial"/>
          <w:lang w:val="es-ES"/>
        </w:rPr>
        <w:sectPr w:rsidR="00FC42A9" w:rsidSect="00323406">
          <w:headerReference w:type="default" r:id="rId32"/>
          <w:headerReference w:type="first" r:id="rId33"/>
          <w:pgSz w:w="11906" w:h="16838" w:code="9"/>
          <w:pgMar w:top="1440" w:right="1440" w:bottom="1440" w:left="1440" w:header="720" w:footer="720" w:gutter="0"/>
          <w:cols w:space="720"/>
          <w:titlePg/>
          <w:docGrid w:linePitch="360"/>
        </w:sectPr>
      </w:pPr>
    </w:p>
    <w:p w14:paraId="243ACF16" w14:textId="5845EB0F" w:rsidR="001203A0" w:rsidRPr="00D95099" w:rsidRDefault="001203A0" w:rsidP="001203A0">
      <w:pPr>
        <w:spacing w:before="93"/>
        <w:ind w:right="-42"/>
        <w:jc w:val="right"/>
        <w:rPr>
          <w:b/>
          <w:lang w:val="es-ES"/>
        </w:rPr>
      </w:pPr>
      <w:r w:rsidRPr="00D95099">
        <w:rPr>
          <w:b/>
          <w:lang w:val="es-ES"/>
        </w:rPr>
        <w:lastRenderedPageBreak/>
        <w:t>ANEXO</w:t>
      </w:r>
      <w:r w:rsidRPr="00D95099">
        <w:rPr>
          <w:b/>
          <w:spacing w:val="-5"/>
          <w:lang w:val="es-ES"/>
        </w:rPr>
        <w:t xml:space="preserve"> </w:t>
      </w:r>
      <w:r w:rsidRPr="00D95099">
        <w:rPr>
          <w:b/>
          <w:lang w:val="es-ES"/>
        </w:rPr>
        <w:t>5</w:t>
      </w:r>
      <w:r w:rsidRPr="00D95099">
        <w:rPr>
          <w:b/>
          <w:spacing w:val="-3"/>
          <w:lang w:val="es-ES"/>
        </w:rPr>
        <w:t xml:space="preserve"> </w:t>
      </w:r>
      <w:r w:rsidRPr="00D95099">
        <w:rPr>
          <w:b/>
          <w:spacing w:val="-5"/>
          <w:lang w:val="es-ES"/>
        </w:rPr>
        <w:t>(D)</w:t>
      </w:r>
    </w:p>
    <w:p w14:paraId="7F273DA1" w14:textId="77777777" w:rsidR="001203A0" w:rsidRPr="00D95099" w:rsidRDefault="001203A0" w:rsidP="001203A0">
      <w:pPr>
        <w:pStyle w:val="BodyText"/>
        <w:rPr>
          <w:b/>
          <w:lang w:val="es-ES"/>
        </w:rPr>
      </w:pPr>
    </w:p>
    <w:p w14:paraId="1F744400" w14:textId="77777777" w:rsidR="001203A0" w:rsidRPr="00D95099" w:rsidRDefault="001203A0" w:rsidP="008250E7">
      <w:pPr>
        <w:pStyle w:val="BodyText"/>
        <w:rPr>
          <w:b/>
          <w:lang w:val="es-ES"/>
        </w:rPr>
      </w:pPr>
    </w:p>
    <w:p w14:paraId="49868E8A" w14:textId="737C2B77" w:rsidR="001203A0" w:rsidRPr="00D95099" w:rsidRDefault="008250E7" w:rsidP="008250E7">
      <w:pPr>
        <w:spacing w:after="0" w:line="240" w:lineRule="auto"/>
        <w:jc w:val="center"/>
        <w:rPr>
          <w:b/>
          <w:lang w:val="es-ES"/>
        </w:rPr>
      </w:pPr>
      <w:r w:rsidRPr="00D95099">
        <w:rPr>
          <w:b/>
          <w:lang w:val="es-ES"/>
        </w:rPr>
        <w:t>PROYECTO DE TÉRMINOS DE REFERENCIA PARA LA ADMINISTRACIÓN DEL FONDO FIDUCIARIO DE LA CONVENCIÓN SOBRE LA CONSERVACIÓN DE LAS ESPECIES MIGRATORIAS DE ANIMALES SILVESTRES</w:t>
      </w:r>
    </w:p>
    <w:p w14:paraId="4A170F5C" w14:textId="77777777" w:rsidR="001203A0" w:rsidRPr="00D95099" w:rsidRDefault="001203A0" w:rsidP="001203A0">
      <w:pPr>
        <w:jc w:val="center"/>
        <w:rPr>
          <w:b/>
          <w:lang w:val="es-ES"/>
        </w:rPr>
      </w:pPr>
    </w:p>
    <w:p w14:paraId="71B52458" w14:textId="7B6EF6F7" w:rsidR="001203A0" w:rsidRPr="0003740B" w:rsidRDefault="00FD61EF" w:rsidP="0003740B">
      <w:pPr>
        <w:pStyle w:val="ListParagraph"/>
        <w:widowControl w:val="0"/>
        <w:numPr>
          <w:ilvl w:val="0"/>
          <w:numId w:val="16"/>
        </w:numPr>
        <w:autoSpaceDE w:val="0"/>
        <w:autoSpaceDN w:val="0"/>
        <w:spacing w:after="0" w:line="240" w:lineRule="auto"/>
        <w:ind w:left="567" w:right="-42"/>
        <w:contextualSpacing w:val="0"/>
        <w:jc w:val="both"/>
        <w:rPr>
          <w:lang w:val="es-ES"/>
        </w:rPr>
      </w:pPr>
      <w:r w:rsidRPr="0003740B">
        <w:rPr>
          <w:lang w:val="es-ES"/>
        </w:rPr>
        <w:t>El Fondo Fiduciario para la Convención sobre la Conservación de Especies Migratorias de Animales Silvestres (en lo sucesivo, el Fondo Fiduciario) se prorrogará por un período de tres años para proporcionar apoyo financiero para los objetivos de la Convención.</w:t>
      </w:r>
    </w:p>
    <w:p w14:paraId="4D4041B3" w14:textId="77777777" w:rsidR="001203A0" w:rsidRPr="0003740B" w:rsidRDefault="001203A0" w:rsidP="0003740B">
      <w:pPr>
        <w:pStyle w:val="BodyText"/>
        <w:ind w:left="567" w:right="-42" w:hanging="567"/>
        <w:rPr>
          <w:lang w:val="es-ES"/>
        </w:rPr>
      </w:pPr>
    </w:p>
    <w:p w14:paraId="35254213" w14:textId="1E7F3BB6" w:rsidR="001203A0" w:rsidRPr="0003740B" w:rsidRDefault="00FD61EF" w:rsidP="0003740B">
      <w:pPr>
        <w:pStyle w:val="ListParagraph"/>
        <w:widowControl w:val="0"/>
        <w:numPr>
          <w:ilvl w:val="0"/>
          <w:numId w:val="16"/>
        </w:numPr>
        <w:autoSpaceDE w:val="0"/>
        <w:autoSpaceDN w:val="0"/>
        <w:spacing w:after="0" w:line="240" w:lineRule="auto"/>
        <w:ind w:left="567" w:right="-42"/>
        <w:contextualSpacing w:val="0"/>
        <w:jc w:val="both"/>
        <w:rPr>
          <w:lang w:val="es-ES"/>
        </w:rPr>
      </w:pPr>
      <w:r w:rsidRPr="0003740B">
        <w:rPr>
          <w:lang w:val="es-ES"/>
        </w:rPr>
        <w:t>El ejercicio económico será de tres años civiles comenzando el 1º de enero de 2024 y terminando el 31 de diciembre 2026, a reserva de su aprobación por la Asamblea de la ONU Medio Ambiente.</w:t>
      </w:r>
    </w:p>
    <w:p w14:paraId="7164A8C4" w14:textId="77777777" w:rsidR="001203A0" w:rsidRPr="0003740B" w:rsidRDefault="001203A0" w:rsidP="0003740B">
      <w:pPr>
        <w:pStyle w:val="BodyText"/>
        <w:ind w:left="567" w:right="-42" w:hanging="567"/>
        <w:rPr>
          <w:sz w:val="21"/>
          <w:lang w:val="es-ES"/>
        </w:rPr>
      </w:pPr>
    </w:p>
    <w:p w14:paraId="3DAB6D8D" w14:textId="1DD07029" w:rsidR="001203A0" w:rsidRPr="0003740B" w:rsidRDefault="00D95099" w:rsidP="0003740B">
      <w:pPr>
        <w:pStyle w:val="ListParagraph"/>
        <w:widowControl w:val="0"/>
        <w:numPr>
          <w:ilvl w:val="0"/>
          <w:numId w:val="16"/>
        </w:numPr>
        <w:autoSpaceDE w:val="0"/>
        <w:autoSpaceDN w:val="0"/>
        <w:spacing w:after="0" w:line="240" w:lineRule="auto"/>
        <w:ind w:left="567" w:right="-42"/>
        <w:contextualSpacing w:val="0"/>
        <w:jc w:val="both"/>
        <w:rPr>
          <w:lang w:val="es-ES"/>
        </w:rPr>
      </w:pPr>
      <w:r w:rsidRPr="0003740B">
        <w:rPr>
          <w:lang w:val="es-ES"/>
        </w:rPr>
        <w:t>El Fondo Fiduciario seguirá siendo administrado por el Director Ejecutivo de la ONU Medio Ambiente.</w:t>
      </w:r>
    </w:p>
    <w:p w14:paraId="749687EC" w14:textId="77777777" w:rsidR="001203A0" w:rsidRPr="0003740B" w:rsidRDefault="001203A0" w:rsidP="0003740B">
      <w:pPr>
        <w:pStyle w:val="BodyText"/>
        <w:ind w:left="567" w:right="-42" w:hanging="567"/>
        <w:rPr>
          <w:lang w:val="es-ES"/>
        </w:rPr>
      </w:pPr>
    </w:p>
    <w:p w14:paraId="4DE9506F" w14:textId="06F4CF49" w:rsidR="001203A0" w:rsidRPr="0003740B" w:rsidRDefault="00D95099" w:rsidP="0003740B">
      <w:pPr>
        <w:pStyle w:val="ListParagraph"/>
        <w:widowControl w:val="0"/>
        <w:numPr>
          <w:ilvl w:val="0"/>
          <w:numId w:val="16"/>
        </w:numPr>
        <w:autoSpaceDE w:val="0"/>
        <w:autoSpaceDN w:val="0"/>
        <w:spacing w:after="0" w:line="240" w:lineRule="auto"/>
        <w:ind w:left="567" w:right="-42"/>
        <w:contextualSpacing w:val="0"/>
        <w:jc w:val="both"/>
        <w:rPr>
          <w:lang w:val="es-ES"/>
        </w:rPr>
      </w:pPr>
      <w:r w:rsidRPr="0003740B">
        <w:rPr>
          <w:lang w:val="es-ES"/>
        </w:rPr>
        <w:t>La administración del Fondo Fiduciario se regirá por el Reglamento Financiero y la Reglamentación Financiera Detallada de las Naciones Unidas, el Estatuto y el Reglamento del Personal de las Naciones Unidas y otras políticas o procedimientos administrativos promulgados por el Secretario General de las Naciones Unidas.</w:t>
      </w:r>
    </w:p>
    <w:p w14:paraId="0ABF9B27" w14:textId="77777777" w:rsidR="001203A0" w:rsidRPr="0003740B" w:rsidRDefault="001203A0" w:rsidP="0003740B">
      <w:pPr>
        <w:pStyle w:val="BodyText"/>
        <w:ind w:left="567" w:right="-42" w:hanging="567"/>
        <w:rPr>
          <w:lang w:val="es-ES"/>
        </w:rPr>
      </w:pPr>
    </w:p>
    <w:p w14:paraId="73AFDF10" w14:textId="06707E9C" w:rsidR="001203A0" w:rsidRPr="0003740B" w:rsidRDefault="0058664C" w:rsidP="0003740B">
      <w:pPr>
        <w:pStyle w:val="ListParagraph"/>
        <w:widowControl w:val="0"/>
        <w:numPr>
          <w:ilvl w:val="0"/>
          <w:numId w:val="16"/>
        </w:numPr>
        <w:autoSpaceDE w:val="0"/>
        <w:autoSpaceDN w:val="0"/>
        <w:spacing w:after="0" w:line="240" w:lineRule="auto"/>
        <w:ind w:left="567" w:right="-42"/>
        <w:contextualSpacing w:val="0"/>
        <w:jc w:val="both"/>
        <w:rPr>
          <w:lang w:val="es-ES"/>
        </w:rPr>
      </w:pPr>
      <w:r w:rsidRPr="0003740B">
        <w:rPr>
          <w:lang w:val="es-ES"/>
        </w:rPr>
        <w:t>De conformidad con las normas de las Naciones Unidas, la ONU Medio Ambiente deducirá de los gastos del Fondo Fiduciario un carg</w:t>
      </w:r>
      <w:r w:rsidR="00697888">
        <w:rPr>
          <w:lang w:val="es-ES"/>
        </w:rPr>
        <w:t>o</w:t>
      </w:r>
      <w:r w:rsidRPr="0003740B">
        <w:rPr>
          <w:lang w:val="es-ES"/>
        </w:rPr>
        <w:t xml:space="preserve"> administrativa equivalente al 13% de los gastos imputados</w:t>
      </w:r>
      <w:r w:rsidR="00697888">
        <w:rPr>
          <w:lang w:val="es-ES"/>
        </w:rPr>
        <w:t xml:space="preserve"> al fondo fiduc</w:t>
      </w:r>
      <w:r w:rsidR="0096669F">
        <w:rPr>
          <w:lang w:val="es-ES"/>
        </w:rPr>
        <w:t>iario respecto de las actividades financiadas con cargo a este.</w:t>
      </w:r>
    </w:p>
    <w:p w14:paraId="3D0D55FC" w14:textId="77777777" w:rsidR="001203A0" w:rsidRPr="0003740B" w:rsidRDefault="001203A0" w:rsidP="0003740B">
      <w:pPr>
        <w:pStyle w:val="BodyText"/>
        <w:ind w:left="567" w:right="-42" w:hanging="567"/>
        <w:rPr>
          <w:lang w:val="es-ES"/>
        </w:rPr>
      </w:pPr>
    </w:p>
    <w:p w14:paraId="43A8710C" w14:textId="2A0D39EE" w:rsidR="001203A0" w:rsidRPr="0003740B" w:rsidRDefault="0058664C" w:rsidP="00257512">
      <w:pPr>
        <w:pStyle w:val="ListParagraph"/>
        <w:widowControl w:val="0"/>
        <w:numPr>
          <w:ilvl w:val="0"/>
          <w:numId w:val="16"/>
        </w:numPr>
        <w:autoSpaceDE w:val="0"/>
        <w:autoSpaceDN w:val="0"/>
        <w:spacing w:after="80" w:line="240" w:lineRule="auto"/>
        <w:ind w:left="567" w:right="-42"/>
        <w:contextualSpacing w:val="0"/>
        <w:jc w:val="both"/>
        <w:rPr>
          <w:lang w:val="es-ES"/>
        </w:rPr>
      </w:pPr>
      <w:r w:rsidRPr="0003740B">
        <w:rPr>
          <w:lang w:val="es-ES"/>
        </w:rPr>
        <w:t>Los recursos financieros del Fondo Fiduciario para</w:t>
      </w:r>
      <w:r w:rsidR="001203A0" w:rsidRPr="0003740B">
        <w:rPr>
          <w:spacing w:val="-4"/>
          <w:lang w:val="es-ES"/>
        </w:rPr>
        <w:t xml:space="preserve"> </w:t>
      </w:r>
      <w:r w:rsidR="001203A0" w:rsidRPr="0003740B">
        <w:rPr>
          <w:lang w:val="es-ES"/>
        </w:rPr>
        <w:t>2024-2026</w:t>
      </w:r>
      <w:r w:rsidR="001203A0" w:rsidRPr="0003740B">
        <w:rPr>
          <w:spacing w:val="-3"/>
          <w:lang w:val="es-ES"/>
        </w:rPr>
        <w:t xml:space="preserve"> </w:t>
      </w:r>
      <w:r w:rsidR="002B198E" w:rsidRPr="0003740B">
        <w:rPr>
          <w:lang w:val="es-ES"/>
        </w:rPr>
        <w:t>se derivarán de:</w:t>
      </w:r>
    </w:p>
    <w:p w14:paraId="3005C4A8" w14:textId="7A256CCF" w:rsidR="001203A0" w:rsidRPr="0003740B" w:rsidRDefault="002B198E" w:rsidP="00257512">
      <w:pPr>
        <w:pStyle w:val="ListParagraph"/>
        <w:widowControl w:val="0"/>
        <w:numPr>
          <w:ilvl w:val="1"/>
          <w:numId w:val="16"/>
        </w:numPr>
        <w:tabs>
          <w:tab w:val="left" w:pos="759"/>
        </w:tabs>
        <w:autoSpaceDE w:val="0"/>
        <w:autoSpaceDN w:val="0"/>
        <w:spacing w:after="80" w:line="240" w:lineRule="auto"/>
        <w:ind w:left="1080" w:right="113" w:hanging="540"/>
        <w:contextualSpacing w:val="0"/>
        <w:jc w:val="both"/>
        <w:rPr>
          <w:lang w:val="es-ES"/>
        </w:rPr>
      </w:pPr>
      <w:r w:rsidRPr="0003740B">
        <w:rPr>
          <w:lang w:val="es-ES"/>
        </w:rPr>
        <w:t>Las cuotas de contribución abonadas por las Partes por referencia al Anexo [ ], incluidas las contribuciones que aporten las nuevas Partes; y</w:t>
      </w:r>
    </w:p>
    <w:p w14:paraId="68563F10" w14:textId="5498A1EE" w:rsidR="001203A0" w:rsidRPr="0003740B" w:rsidRDefault="005D5475" w:rsidP="00257512">
      <w:pPr>
        <w:pStyle w:val="ListParagraph"/>
        <w:widowControl w:val="0"/>
        <w:numPr>
          <w:ilvl w:val="1"/>
          <w:numId w:val="16"/>
        </w:numPr>
        <w:tabs>
          <w:tab w:val="left" w:pos="759"/>
        </w:tabs>
        <w:autoSpaceDE w:val="0"/>
        <w:autoSpaceDN w:val="0"/>
        <w:spacing w:after="0" w:line="240" w:lineRule="auto"/>
        <w:ind w:left="1080" w:right="107" w:hanging="540"/>
        <w:contextualSpacing w:val="0"/>
        <w:jc w:val="both"/>
        <w:rPr>
          <w:lang w:val="es-ES"/>
        </w:rPr>
      </w:pPr>
      <w:r w:rsidRPr="0003740B">
        <w:rPr>
          <w:lang w:val="es-ES"/>
        </w:rPr>
        <w:t>Otras contribuciones de las Partes y las contribuciones de los Estados que no son Partes en la Convención, otras organizaciones gubernamentales, intergubernamentales y no gubernamentales y otras fuentes</w:t>
      </w:r>
    </w:p>
    <w:p w14:paraId="4FBE4771" w14:textId="77777777" w:rsidR="001203A0" w:rsidRPr="0003740B" w:rsidRDefault="001203A0" w:rsidP="0003740B">
      <w:pPr>
        <w:pStyle w:val="BodyText"/>
        <w:ind w:left="567" w:hanging="567"/>
        <w:rPr>
          <w:lang w:val="es-ES"/>
        </w:rPr>
      </w:pPr>
    </w:p>
    <w:p w14:paraId="51C792D7" w14:textId="46C553A5" w:rsidR="001203A0" w:rsidRPr="0003740B" w:rsidRDefault="005D5475" w:rsidP="0003740B">
      <w:pPr>
        <w:pStyle w:val="ListParagraph"/>
        <w:widowControl w:val="0"/>
        <w:numPr>
          <w:ilvl w:val="0"/>
          <w:numId w:val="16"/>
        </w:numPr>
        <w:tabs>
          <w:tab w:val="left" w:pos="0"/>
        </w:tabs>
        <w:autoSpaceDE w:val="0"/>
        <w:autoSpaceDN w:val="0"/>
        <w:spacing w:after="0" w:line="240" w:lineRule="auto"/>
        <w:ind w:left="567" w:right="-42"/>
        <w:contextualSpacing w:val="0"/>
        <w:jc w:val="both"/>
        <w:rPr>
          <w:lang w:val="es-ES"/>
        </w:rPr>
      </w:pPr>
      <w:r w:rsidRPr="0003740B">
        <w:rPr>
          <w:lang w:val="es-ES"/>
        </w:rPr>
        <w:t>Todas las contribuciones al Fondo Fiduciario se pagarán en euros. Por lo que respecta a las cuotas de los Estados que pasen a ser Partes después del comienzo del ejercicio económico, la cuota inicial (desde el primer día del tercer mes posterior a la fecha de depósito del instrumento de ratificación, aceptación o adhesión hasta el final del ejercicio económico) se determinará en forma prorrateada sobre la base de las cuotas de las demás Partes al mismo nivel que la escala de cuotas de las Naciones Unidas, tal como se aplica de tanto en tanto. No obstante, si la cuota de una nueva Parte determinada sobre esta base supera el 22% del presupuesto, la cuota de esa Parte será del 22% del presupuesto para el ejercicio económico del año en el que se adhiere (o en forma prorrateada para la parte correspondiente del año). La escala de cuotas para todas las Partes será revisada luego por la Secretaría el 1º de enero del año siguiente. Las cuotas se pagarán en plazos anuales. Las cuotas deberán abonarse el 1º de enero de</w:t>
      </w:r>
      <w:r w:rsidR="001203A0" w:rsidRPr="0003740B">
        <w:rPr>
          <w:lang w:val="es-ES"/>
        </w:rPr>
        <w:t xml:space="preserve"> 2024, 2025 and 2026.</w:t>
      </w:r>
    </w:p>
    <w:p w14:paraId="7059254F" w14:textId="77777777" w:rsidR="001203A0" w:rsidRPr="0003740B" w:rsidRDefault="001203A0" w:rsidP="0003740B">
      <w:pPr>
        <w:pStyle w:val="BodyText"/>
        <w:tabs>
          <w:tab w:val="left" w:pos="0"/>
        </w:tabs>
        <w:ind w:left="567" w:right="-42" w:hanging="567"/>
        <w:rPr>
          <w:lang w:val="es-ES"/>
        </w:rPr>
      </w:pPr>
    </w:p>
    <w:p w14:paraId="415CDC4A" w14:textId="2EE31948" w:rsidR="001203A0" w:rsidRPr="00200008" w:rsidRDefault="00641242" w:rsidP="00AE3621">
      <w:pPr>
        <w:pStyle w:val="ListParagraph"/>
        <w:widowControl w:val="0"/>
        <w:numPr>
          <w:ilvl w:val="0"/>
          <w:numId w:val="16"/>
        </w:numPr>
        <w:tabs>
          <w:tab w:val="left" w:pos="0"/>
        </w:tabs>
        <w:autoSpaceDE w:val="0"/>
        <w:autoSpaceDN w:val="0"/>
        <w:spacing w:after="0" w:line="240" w:lineRule="auto"/>
        <w:ind w:left="567" w:right="-42"/>
        <w:contextualSpacing w:val="0"/>
        <w:jc w:val="both"/>
        <w:rPr>
          <w:lang w:val="es-ES"/>
        </w:rPr>
      </w:pPr>
      <w:r w:rsidRPr="00200008">
        <w:rPr>
          <w:lang w:val="es-ES"/>
        </w:rPr>
        <w:t xml:space="preserve">Las cuotas se abonarán a la cuenta bancaria de la Organización de las Naciones Unidas con arreglo a la factura que presente el Programa de las Naciones Unidas para el </w:t>
      </w:r>
      <w:r w:rsidR="008F75DE" w:rsidRPr="00200008">
        <w:rPr>
          <w:lang w:val="es-ES"/>
        </w:rPr>
        <w:t>Medio Ambiente</w:t>
      </w:r>
      <w:r w:rsidR="00200008" w:rsidRPr="00200008">
        <w:rPr>
          <w:lang w:val="es-ES"/>
        </w:rPr>
        <w:t>.</w:t>
      </w:r>
    </w:p>
    <w:p w14:paraId="044B84E7" w14:textId="77777777" w:rsidR="00257512" w:rsidRPr="0003740B" w:rsidRDefault="00257512" w:rsidP="0003740B">
      <w:pPr>
        <w:pStyle w:val="BodyText"/>
        <w:tabs>
          <w:tab w:val="left" w:pos="0"/>
        </w:tabs>
        <w:ind w:left="567" w:right="-42" w:hanging="567"/>
        <w:rPr>
          <w:lang w:val="es-ES"/>
        </w:rPr>
      </w:pPr>
    </w:p>
    <w:p w14:paraId="227BE08C" w14:textId="0388CED3" w:rsidR="001203A0" w:rsidRPr="0003740B" w:rsidRDefault="009113FB" w:rsidP="0003740B">
      <w:pPr>
        <w:pStyle w:val="ListParagraph"/>
        <w:widowControl w:val="0"/>
        <w:numPr>
          <w:ilvl w:val="0"/>
          <w:numId w:val="16"/>
        </w:numPr>
        <w:tabs>
          <w:tab w:val="left" w:pos="0"/>
        </w:tabs>
        <w:autoSpaceDE w:val="0"/>
        <w:autoSpaceDN w:val="0"/>
        <w:spacing w:after="0" w:line="240" w:lineRule="auto"/>
        <w:ind w:left="567" w:right="-42"/>
        <w:contextualSpacing w:val="0"/>
        <w:jc w:val="both"/>
        <w:rPr>
          <w:lang w:val="es-ES"/>
        </w:rPr>
      </w:pPr>
      <w:r w:rsidRPr="0003740B">
        <w:rPr>
          <w:lang w:val="es-ES"/>
        </w:rPr>
        <w:t>Para comodidad de las Partes, el Director Ejecutivo de la ONU Medio Ambiente notificará lo antes posible a las Partes en la Convención las cuotas asignadas correspondientes a cada uno de los años del ejercicio económico.</w:t>
      </w:r>
    </w:p>
    <w:p w14:paraId="0ECA7F5D" w14:textId="77777777" w:rsidR="00AF5F39" w:rsidRPr="0003740B" w:rsidRDefault="00AF5F39" w:rsidP="0003740B">
      <w:pPr>
        <w:pStyle w:val="ListParagraph"/>
        <w:spacing w:after="0" w:line="240" w:lineRule="auto"/>
        <w:ind w:left="567" w:hanging="567"/>
        <w:rPr>
          <w:lang w:val="es-ES"/>
        </w:rPr>
      </w:pPr>
    </w:p>
    <w:p w14:paraId="0562104A" w14:textId="45C3547B" w:rsidR="001203A0" w:rsidRPr="0003740B" w:rsidRDefault="00AF5F39" w:rsidP="0003740B">
      <w:pPr>
        <w:pStyle w:val="ListParagraph"/>
        <w:widowControl w:val="0"/>
        <w:numPr>
          <w:ilvl w:val="0"/>
          <w:numId w:val="16"/>
        </w:numPr>
        <w:autoSpaceDE w:val="0"/>
        <w:autoSpaceDN w:val="0"/>
        <w:spacing w:after="0" w:line="240" w:lineRule="auto"/>
        <w:ind w:left="567" w:right="-42"/>
        <w:contextualSpacing w:val="0"/>
        <w:jc w:val="both"/>
        <w:rPr>
          <w:lang w:val="es-ES"/>
        </w:rPr>
      </w:pPr>
      <w:r w:rsidRPr="0003740B">
        <w:rPr>
          <w:lang w:val="es-ES"/>
        </w:rPr>
        <w:t>Las cuotas que se reciban en el Fondo Fiduciario y no se necesiten inmediatamente para financiar actividades se invertirán a discreción de las Naciones Unidas, y los posibles ingresos se acreditarán al Fondo Fiduciario.</w:t>
      </w:r>
    </w:p>
    <w:p w14:paraId="1E17878E" w14:textId="77777777" w:rsidR="001203A0" w:rsidRPr="0003740B" w:rsidRDefault="001203A0" w:rsidP="0003740B">
      <w:pPr>
        <w:pStyle w:val="BodyText"/>
        <w:ind w:left="567" w:right="-42" w:hanging="567"/>
        <w:rPr>
          <w:lang w:val="es-ES"/>
        </w:rPr>
      </w:pPr>
    </w:p>
    <w:p w14:paraId="07B80D8F" w14:textId="7F03899D" w:rsidR="001203A0" w:rsidRPr="0003740B" w:rsidRDefault="00006A5D" w:rsidP="0003740B">
      <w:pPr>
        <w:pStyle w:val="ListParagraph"/>
        <w:widowControl w:val="0"/>
        <w:numPr>
          <w:ilvl w:val="0"/>
          <w:numId w:val="16"/>
        </w:numPr>
        <w:autoSpaceDE w:val="0"/>
        <w:autoSpaceDN w:val="0"/>
        <w:spacing w:after="0" w:line="240" w:lineRule="auto"/>
        <w:ind w:left="567" w:right="-42"/>
        <w:contextualSpacing w:val="0"/>
        <w:jc w:val="both"/>
        <w:rPr>
          <w:lang w:val="es-ES"/>
        </w:rPr>
      </w:pPr>
      <w:r w:rsidRPr="0003740B">
        <w:rPr>
          <w:lang w:val="es-ES"/>
        </w:rPr>
        <w:t>El Fondo Fiduciario estará sujeto a auditoría de cuentas por la Junta de Auditores de las Naciones Unidas.</w:t>
      </w:r>
    </w:p>
    <w:p w14:paraId="3AECD88D" w14:textId="77777777" w:rsidR="001203A0" w:rsidRPr="0003740B" w:rsidRDefault="001203A0" w:rsidP="0003740B">
      <w:pPr>
        <w:pStyle w:val="BodyText"/>
        <w:ind w:left="567" w:right="-42" w:hanging="567"/>
        <w:rPr>
          <w:lang w:val="es-ES"/>
        </w:rPr>
      </w:pPr>
    </w:p>
    <w:p w14:paraId="2B3C7C81" w14:textId="7CB48B59" w:rsidR="001203A0" w:rsidRPr="0003740B" w:rsidRDefault="00006A5D" w:rsidP="0003740B">
      <w:pPr>
        <w:pStyle w:val="ListParagraph"/>
        <w:widowControl w:val="0"/>
        <w:numPr>
          <w:ilvl w:val="0"/>
          <w:numId w:val="16"/>
        </w:numPr>
        <w:autoSpaceDE w:val="0"/>
        <w:autoSpaceDN w:val="0"/>
        <w:spacing w:after="0" w:line="240" w:lineRule="auto"/>
        <w:ind w:left="567" w:right="-42"/>
        <w:contextualSpacing w:val="0"/>
        <w:jc w:val="both"/>
        <w:rPr>
          <w:lang w:val="es-ES"/>
        </w:rPr>
      </w:pPr>
      <w:r w:rsidRPr="0003740B">
        <w:rPr>
          <w:lang w:val="es-ES"/>
        </w:rPr>
        <w:t xml:space="preserve">Las estimaciones presupuestarias que cubren los ingresos y gastos para cada uno de los tres años </w:t>
      </w:r>
      <w:r w:rsidR="000B5E89">
        <w:rPr>
          <w:lang w:val="es-ES"/>
        </w:rPr>
        <w:t>calendario</w:t>
      </w:r>
      <w:r w:rsidRPr="0003740B">
        <w:rPr>
          <w:lang w:val="es-ES"/>
        </w:rPr>
        <w:t xml:space="preserve"> que constituyen el ejercicio económico, elaboradas en euros, se someterán a examen en la reunión de la Conferencia de las Partes en la Convención</w:t>
      </w:r>
      <w:r w:rsidR="00EB153E" w:rsidRPr="0003740B">
        <w:rPr>
          <w:lang w:val="es-ES"/>
        </w:rPr>
        <w:t>.</w:t>
      </w:r>
    </w:p>
    <w:p w14:paraId="4A812E30" w14:textId="77777777" w:rsidR="001203A0" w:rsidRPr="0003740B" w:rsidRDefault="001203A0" w:rsidP="0003740B">
      <w:pPr>
        <w:pStyle w:val="BodyText"/>
        <w:ind w:left="567" w:right="-42" w:hanging="567"/>
        <w:rPr>
          <w:sz w:val="21"/>
          <w:lang w:val="es-ES"/>
        </w:rPr>
      </w:pPr>
    </w:p>
    <w:p w14:paraId="58D5D2A9" w14:textId="76555946" w:rsidR="001203A0" w:rsidRPr="0003740B" w:rsidRDefault="00A542D6" w:rsidP="0003740B">
      <w:pPr>
        <w:pStyle w:val="ListParagraph"/>
        <w:widowControl w:val="0"/>
        <w:numPr>
          <w:ilvl w:val="0"/>
          <w:numId w:val="16"/>
        </w:numPr>
        <w:autoSpaceDE w:val="0"/>
        <w:autoSpaceDN w:val="0"/>
        <w:spacing w:after="0" w:line="240" w:lineRule="auto"/>
        <w:ind w:left="567" w:right="-42"/>
        <w:contextualSpacing w:val="0"/>
        <w:jc w:val="both"/>
        <w:rPr>
          <w:lang w:val="es-ES"/>
        </w:rPr>
      </w:pPr>
      <w:r w:rsidRPr="0003740B">
        <w:rPr>
          <w:lang w:val="es-ES"/>
        </w:rPr>
        <w:t xml:space="preserve">Las estimaciones para cada uno de los años </w:t>
      </w:r>
      <w:r w:rsidR="000B5E89">
        <w:rPr>
          <w:lang w:val="es-ES"/>
        </w:rPr>
        <w:t>calendario</w:t>
      </w:r>
      <w:r w:rsidRPr="0003740B">
        <w:rPr>
          <w:lang w:val="es-ES"/>
        </w:rPr>
        <w:t xml:space="preserve"> pertenecientes al ejercicio económico se dividirán en secciones y objetos de gasto, y se incluirán referencias a los programas de trabajo a los que se refieren, e irán acompañadas de la información que pueda ser requerida por los contribuyentes o en su nombre y cualquier otra información que el Director Ejecutivo de la ONU Medio Ambiente considere útil y aconsejable. En particular, se prepararán también estimaciones para cada programa de trabajo correspondiente a cada uno de los años naturales, con la descripción detallada de los gastos relativos a cada programa, de manera que correspondan a las secciones y objetos de gastos descritos en la primera frase del presente párrafo.</w:t>
      </w:r>
    </w:p>
    <w:p w14:paraId="1DFF7477" w14:textId="77777777" w:rsidR="001203A0" w:rsidRPr="0003740B" w:rsidRDefault="001203A0" w:rsidP="0003740B">
      <w:pPr>
        <w:pStyle w:val="BodyText"/>
        <w:ind w:left="567" w:right="-42" w:hanging="567"/>
        <w:rPr>
          <w:lang w:val="es-ES"/>
        </w:rPr>
      </w:pPr>
    </w:p>
    <w:p w14:paraId="6C23AF40" w14:textId="40B5381B" w:rsidR="001203A0" w:rsidRPr="0003740B" w:rsidRDefault="00312357" w:rsidP="0003740B">
      <w:pPr>
        <w:pStyle w:val="ListParagraph"/>
        <w:widowControl w:val="0"/>
        <w:numPr>
          <w:ilvl w:val="0"/>
          <w:numId w:val="16"/>
        </w:numPr>
        <w:autoSpaceDE w:val="0"/>
        <w:autoSpaceDN w:val="0"/>
        <w:spacing w:after="0" w:line="240" w:lineRule="auto"/>
        <w:ind w:left="567" w:right="-42"/>
        <w:contextualSpacing w:val="0"/>
        <w:jc w:val="both"/>
        <w:rPr>
          <w:lang w:val="es-ES"/>
        </w:rPr>
      </w:pPr>
      <w:r w:rsidRPr="0003740B">
        <w:rPr>
          <w:lang w:val="es-ES"/>
        </w:rPr>
        <w:t xml:space="preserve">El presupuesto propuesto, junto con toda la información necesaria, </w:t>
      </w:r>
      <w:r w:rsidR="00E52C7B">
        <w:rPr>
          <w:lang w:val="es-ES"/>
        </w:rPr>
        <w:t>incluida una plantilla de</w:t>
      </w:r>
      <w:r w:rsidR="00543923">
        <w:rPr>
          <w:lang w:val="es-ES"/>
        </w:rPr>
        <w:t xml:space="preserve">l personal de la Secretaría a efectos de cálculo de costes para establecer un presupuesto global </w:t>
      </w:r>
      <w:r w:rsidRPr="0003740B">
        <w:rPr>
          <w:lang w:val="es-ES"/>
        </w:rPr>
        <w:t>será remitido por la Secretaría a todas las Partes al menos 90 días antes de la fecha fijada para la apertura de la reunión ordinaria de la Conferencia de las Partes en la que deberán examinarse.</w:t>
      </w:r>
    </w:p>
    <w:p w14:paraId="30072908" w14:textId="77777777" w:rsidR="001203A0" w:rsidRPr="0003740B" w:rsidRDefault="001203A0" w:rsidP="0003740B">
      <w:pPr>
        <w:pStyle w:val="BodyText"/>
        <w:ind w:left="567" w:right="-42" w:hanging="567"/>
        <w:rPr>
          <w:lang w:val="es-ES"/>
        </w:rPr>
      </w:pPr>
    </w:p>
    <w:p w14:paraId="1DBDD846" w14:textId="2D2A1830" w:rsidR="001203A0" w:rsidRPr="0003740B" w:rsidRDefault="009B3981" w:rsidP="0003740B">
      <w:pPr>
        <w:pStyle w:val="ListParagraph"/>
        <w:widowControl w:val="0"/>
        <w:numPr>
          <w:ilvl w:val="0"/>
          <w:numId w:val="16"/>
        </w:numPr>
        <w:autoSpaceDE w:val="0"/>
        <w:autoSpaceDN w:val="0"/>
        <w:spacing w:after="0" w:line="240" w:lineRule="auto"/>
        <w:ind w:left="567" w:right="-42"/>
        <w:contextualSpacing w:val="0"/>
        <w:jc w:val="both"/>
        <w:rPr>
          <w:lang w:val="es-ES"/>
        </w:rPr>
      </w:pPr>
      <w:r w:rsidRPr="0003740B">
        <w:rPr>
          <w:lang w:val="es-ES"/>
        </w:rPr>
        <w:t>El presupuesto se adoptará por voto unánime de las Partes presentes y votantes en esa Conferencia de las Partes</w:t>
      </w:r>
    </w:p>
    <w:p w14:paraId="171EAA08" w14:textId="77777777" w:rsidR="001203A0" w:rsidRPr="0003740B" w:rsidRDefault="001203A0" w:rsidP="0003740B">
      <w:pPr>
        <w:pStyle w:val="BodyText"/>
        <w:ind w:left="567" w:right="-42" w:hanging="567"/>
        <w:rPr>
          <w:sz w:val="21"/>
          <w:lang w:val="es-ES"/>
        </w:rPr>
      </w:pPr>
    </w:p>
    <w:p w14:paraId="0E6DBC04" w14:textId="600C58FB" w:rsidR="001203A0" w:rsidRPr="0003740B" w:rsidRDefault="003B2667" w:rsidP="0003740B">
      <w:pPr>
        <w:pStyle w:val="ListParagraph"/>
        <w:widowControl w:val="0"/>
        <w:numPr>
          <w:ilvl w:val="0"/>
          <w:numId w:val="16"/>
        </w:numPr>
        <w:autoSpaceDE w:val="0"/>
        <w:autoSpaceDN w:val="0"/>
        <w:spacing w:after="0" w:line="240" w:lineRule="auto"/>
        <w:ind w:left="567" w:right="-42"/>
        <w:contextualSpacing w:val="0"/>
        <w:jc w:val="both"/>
        <w:rPr>
          <w:lang w:val="es-ES"/>
        </w:rPr>
      </w:pPr>
      <w:r w:rsidRPr="0003740B">
        <w:rPr>
          <w:lang w:val="es-ES"/>
        </w:rPr>
        <w:t>En el caso de que el Director Ejecutivo de la ONU Medio Ambiente prevea que puede haber un déficit de recursos en el ejercicio económico en su conjunto, el Director Ejecutivo deberá consultar con la Secretaría, que recabará el asesoramiento del Comité Permanente respecto a sus prioridades de gastos.</w:t>
      </w:r>
    </w:p>
    <w:p w14:paraId="22D2A764" w14:textId="77777777" w:rsidR="001203A0" w:rsidRPr="0003740B" w:rsidRDefault="001203A0" w:rsidP="0003740B">
      <w:pPr>
        <w:pStyle w:val="BodyText"/>
        <w:ind w:left="567" w:right="-42" w:hanging="567"/>
        <w:rPr>
          <w:lang w:val="es-ES"/>
        </w:rPr>
      </w:pPr>
    </w:p>
    <w:p w14:paraId="0ABE2AA5" w14:textId="167376FA" w:rsidR="001203A0" w:rsidRPr="0003740B" w:rsidRDefault="00F86D02" w:rsidP="0003740B">
      <w:pPr>
        <w:pStyle w:val="ListParagraph"/>
        <w:widowControl w:val="0"/>
        <w:numPr>
          <w:ilvl w:val="0"/>
          <w:numId w:val="16"/>
        </w:numPr>
        <w:autoSpaceDE w:val="0"/>
        <w:autoSpaceDN w:val="0"/>
        <w:spacing w:after="0" w:line="240" w:lineRule="auto"/>
        <w:ind w:left="567" w:right="-42"/>
        <w:contextualSpacing w:val="0"/>
        <w:jc w:val="both"/>
        <w:rPr>
          <w:sz w:val="21"/>
          <w:lang w:val="es-ES"/>
        </w:rPr>
      </w:pPr>
      <w:r w:rsidRPr="0003740B">
        <w:rPr>
          <w:lang w:val="es-ES"/>
        </w:rPr>
        <w:t>Se asumirán compromisos con cargo a los recursos del Fondo Fiduciario solo si están cubiertos por los ingresos necesarios de la Convención.</w:t>
      </w:r>
    </w:p>
    <w:p w14:paraId="00958864" w14:textId="77777777" w:rsidR="00F86D02" w:rsidRPr="0003740B" w:rsidRDefault="00F86D02" w:rsidP="0003740B">
      <w:pPr>
        <w:widowControl w:val="0"/>
        <w:autoSpaceDE w:val="0"/>
        <w:autoSpaceDN w:val="0"/>
        <w:spacing w:after="0" w:line="240" w:lineRule="auto"/>
        <w:ind w:left="567" w:right="-42" w:hanging="567"/>
        <w:jc w:val="both"/>
        <w:rPr>
          <w:sz w:val="21"/>
          <w:lang w:val="es-ES"/>
        </w:rPr>
      </w:pPr>
    </w:p>
    <w:p w14:paraId="3C769F62" w14:textId="7B2584E4" w:rsidR="001203A0" w:rsidRPr="0003740B" w:rsidRDefault="008C43E8" w:rsidP="0003740B">
      <w:pPr>
        <w:pStyle w:val="ListParagraph"/>
        <w:widowControl w:val="0"/>
        <w:numPr>
          <w:ilvl w:val="0"/>
          <w:numId w:val="16"/>
        </w:numPr>
        <w:autoSpaceDE w:val="0"/>
        <w:autoSpaceDN w:val="0"/>
        <w:spacing w:after="0" w:line="240" w:lineRule="auto"/>
        <w:ind w:left="567" w:right="-42"/>
        <w:contextualSpacing w:val="0"/>
        <w:jc w:val="both"/>
        <w:rPr>
          <w:lang w:val="es-ES"/>
        </w:rPr>
      </w:pPr>
      <w:r w:rsidRPr="0003740B">
        <w:rPr>
          <w:lang w:val="es-ES"/>
        </w:rPr>
        <w:t xml:space="preserve">A petición de la Secretaría de la Convención, tras solicitar el asesoramiento del Comité Permanente, el Director Ejecutivo de la ONU Medio Ambiente deberá, en la medida que sea compatible con el Reglamento Financiero y la Reglamentación Financiera Detallada de las Naciones Unidas, efectuar transferencias de una partida presupuestaria a otra. Al final del primer año </w:t>
      </w:r>
      <w:r w:rsidR="00D11A60">
        <w:rPr>
          <w:lang w:val="es-ES"/>
        </w:rPr>
        <w:t>calendario</w:t>
      </w:r>
      <w:r w:rsidRPr="0003740B">
        <w:rPr>
          <w:lang w:val="es-ES"/>
        </w:rPr>
        <w:t xml:space="preserve"> del ejercicio económico, el Director Ejecutivo de la ONU Medio Ambiente podrá proceder a transferir cualquier saldo no utilizado de las consignaciones al segundo año </w:t>
      </w:r>
      <w:r w:rsidR="00D11A60">
        <w:rPr>
          <w:lang w:val="es-ES"/>
        </w:rPr>
        <w:t>calendario</w:t>
      </w:r>
      <w:r w:rsidRPr="0003740B">
        <w:rPr>
          <w:lang w:val="es-ES"/>
        </w:rPr>
        <w:t>, a condición de que no se supere el presupuesto total aprobado por las Partes, salvo que sea autorizado expresamente por escrito por el Comité Permanente.</w:t>
      </w:r>
    </w:p>
    <w:p w14:paraId="2DCD4938" w14:textId="77777777" w:rsidR="001203A0" w:rsidRPr="0003740B" w:rsidRDefault="001203A0" w:rsidP="0003740B">
      <w:pPr>
        <w:pStyle w:val="BodyText"/>
        <w:ind w:left="567" w:right="-42" w:hanging="567"/>
        <w:rPr>
          <w:sz w:val="20"/>
          <w:szCs w:val="20"/>
          <w:lang w:val="es-ES"/>
        </w:rPr>
      </w:pPr>
    </w:p>
    <w:p w14:paraId="45A1D2CF" w14:textId="77777777" w:rsidR="00E44E01" w:rsidRPr="00E40018" w:rsidRDefault="00E44E01" w:rsidP="00CE2ECC">
      <w:pPr>
        <w:pStyle w:val="ListParagraph"/>
        <w:numPr>
          <w:ilvl w:val="0"/>
          <w:numId w:val="16"/>
        </w:numPr>
        <w:spacing w:after="0" w:line="240" w:lineRule="auto"/>
        <w:ind w:left="567"/>
        <w:jc w:val="both"/>
        <w:rPr>
          <w:rFonts w:ascii="Times New Roman" w:hAnsi="Times New Roman" w:cs="Times New Roman"/>
          <w:sz w:val="24"/>
          <w:szCs w:val="24"/>
          <w:lang w:val="es-ES"/>
        </w:rPr>
      </w:pPr>
      <w:r w:rsidRPr="0003740B">
        <w:rPr>
          <w:lang w:val="es-ES"/>
        </w:rPr>
        <w:lastRenderedPageBreak/>
        <w:t>Al final de cada año natural del ejercicio económico</w:t>
      </w:r>
      <w:r w:rsidRPr="0003740B">
        <w:rPr>
          <w:rStyle w:val="FootnoteReference"/>
          <w:vertAlign w:val="superscript"/>
          <w:lang w:val="es-ES"/>
        </w:rPr>
        <w:footnoteReference w:id="6"/>
      </w:r>
      <w:r w:rsidRPr="0003740B">
        <w:rPr>
          <w:lang w:val="es-ES"/>
        </w:rPr>
        <w:t xml:space="preserve"> el Director Ejecutivo de la ONU Medio Ambiente presentará a las Partes, a través de la Secretaría de la CMS, las cuentas de fin de año. El Director Ejecutivo presentará también, tan pronto como sea factible, las cuentas auditadas correspondientes al ejercicio económico. Esas cuentas deberán incluir los detalles relativos a los gastos efectivos en comparación con las consignaciones originales para cada objeto de gastos.</w:t>
      </w:r>
      <w:r w:rsidRPr="00E40018">
        <w:rPr>
          <w:rFonts w:ascii="Times New Roman" w:hAnsi="Times New Roman" w:cs="Times New Roman"/>
          <w:sz w:val="24"/>
          <w:szCs w:val="24"/>
          <w:lang w:val="es-ES"/>
        </w:rPr>
        <w:t xml:space="preserve"> </w:t>
      </w:r>
    </w:p>
    <w:p w14:paraId="377EC249" w14:textId="08732D69" w:rsidR="001203A0" w:rsidRPr="0003740B" w:rsidRDefault="001203A0" w:rsidP="00CE2ECC">
      <w:pPr>
        <w:pStyle w:val="ListParagraph"/>
        <w:widowControl w:val="0"/>
        <w:autoSpaceDE w:val="0"/>
        <w:autoSpaceDN w:val="0"/>
        <w:spacing w:after="0" w:line="240" w:lineRule="auto"/>
        <w:ind w:left="567" w:right="-42" w:hanging="567"/>
        <w:contextualSpacing w:val="0"/>
        <w:jc w:val="both"/>
        <w:rPr>
          <w:lang w:val="es-ES"/>
        </w:rPr>
      </w:pPr>
    </w:p>
    <w:p w14:paraId="14F0354D" w14:textId="77AEE64D" w:rsidR="001203A0" w:rsidRPr="0003740B" w:rsidRDefault="00624E8D" w:rsidP="00CE2ECC">
      <w:pPr>
        <w:pStyle w:val="ListParagraph"/>
        <w:widowControl w:val="0"/>
        <w:numPr>
          <w:ilvl w:val="0"/>
          <w:numId w:val="16"/>
        </w:numPr>
        <w:autoSpaceDE w:val="0"/>
        <w:autoSpaceDN w:val="0"/>
        <w:spacing w:after="0" w:line="240" w:lineRule="auto"/>
        <w:ind w:left="567" w:right="108"/>
        <w:contextualSpacing w:val="0"/>
        <w:jc w:val="both"/>
        <w:rPr>
          <w:sz w:val="20"/>
          <w:lang w:val="es-ES"/>
        </w:rPr>
      </w:pPr>
      <w:r w:rsidRPr="0003740B">
        <w:rPr>
          <w:lang w:val="es-ES"/>
        </w:rPr>
        <w:t>Aquellos informes financieros que deberán ser presentados por el Director Ejecutivo de la ONU Medio Ambiente serán transmitidos simultáneamente por la Secretaría de la Convención a los miembros del Comité Permanente.</w:t>
      </w:r>
    </w:p>
    <w:p w14:paraId="5E398916" w14:textId="77777777" w:rsidR="001203A0" w:rsidRPr="0003740B" w:rsidRDefault="001203A0" w:rsidP="0003740B">
      <w:pPr>
        <w:pStyle w:val="BodyText"/>
        <w:ind w:left="567" w:hanging="567"/>
        <w:rPr>
          <w:lang w:val="es-ES"/>
        </w:rPr>
      </w:pPr>
    </w:p>
    <w:p w14:paraId="604D0115" w14:textId="4394C89A" w:rsidR="001203A0" w:rsidRPr="0003740B" w:rsidRDefault="001D4158" w:rsidP="0003740B">
      <w:pPr>
        <w:pStyle w:val="ListParagraph"/>
        <w:widowControl w:val="0"/>
        <w:numPr>
          <w:ilvl w:val="0"/>
          <w:numId w:val="16"/>
        </w:numPr>
        <w:autoSpaceDE w:val="0"/>
        <w:autoSpaceDN w:val="0"/>
        <w:spacing w:after="0" w:line="240" w:lineRule="auto"/>
        <w:ind w:left="567" w:right="112"/>
        <w:contextualSpacing w:val="0"/>
        <w:jc w:val="both"/>
        <w:rPr>
          <w:lang w:val="es-ES"/>
        </w:rPr>
      </w:pPr>
      <w:r w:rsidRPr="0003740B">
        <w:rPr>
          <w:lang w:val="es-ES"/>
        </w:rPr>
        <w:t>La Secretaría de la Convención proporcionará al Comité Permanente una estimación de los gastos propuestos para el siguiente año, simultáneamente, o tan pronto como sea posible después de la distribución de las cuentas y los informes previstos en los párrafos anteriores.</w:t>
      </w:r>
    </w:p>
    <w:p w14:paraId="052F78A5" w14:textId="77777777" w:rsidR="001203A0" w:rsidRPr="0003740B" w:rsidRDefault="001203A0" w:rsidP="0003740B">
      <w:pPr>
        <w:pStyle w:val="BodyText"/>
        <w:ind w:left="567" w:hanging="567"/>
        <w:rPr>
          <w:lang w:val="es-ES"/>
        </w:rPr>
      </w:pPr>
    </w:p>
    <w:p w14:paraId="093408A5" w14:textId="36F3274F" w:rsidR="001203A0" w:rsidRPr="0003740B" w:rsidRDefault="000F7AD8" w:rsidP="0003740B">
      <w:pPr>
        <w:pStyle w:val="ListParagraph"/>
        <w:widowControl w:val="0"/>
        <w:numPr>
          <w:ilvl w:val="0"/>
          <w:numId w:val="16"/>
        </w:numPr>
        <w:autoSpaceDE w:val="0"/>
        <w:autoSpaceDN w:val="0"/>
        <w:spacing w:after="0" w:line="240" w:lineRule="auto"/>
        <w:ind w:left="567"/>
        <w:contextualSpacing w:val="0"/>
        <w:jc w:val="both"/>
        <w:rPr>
          <w:lang w:val="es-ES"/>
        </w:rPr>
      </w:pPr>
      <w:r w:rsidRPr="0003740B">
        <w:rPr>
          <w:spacing w:val="-6"/>
          <w:lang w:val="es-ES"/>
        </w:rPr>
        <w:t xml:space="preserve">El presente mandato estará en vigor desde el 1º de enero de </w:t>
      </w:r>
      <w:r w:rsidR="001203A0" w:rsidRPr="0003740B">
        <w:rPr>
          <w:spacing w:val="-6"/>
          <w:lang w:val="es-ES"/>
        </w:rPr>
        <w:t>2024</w:t>
      </w:r>
      <w:r w:rsidR="001203A0" w:rsidRPr="0003740B">
        <w:rPr>
          <w:spacing w:val="-12"/>
          <w:lang w:val="es-ES"/>
        </w:rPr>
        <w:t xml:space="preserve"> </w:t>
      </w:r>
      <w:r w:rsidR="0003740B" w:rsidRPr="0003740B">
        <w:rPr>
          <w:spacing w:val="-6"/>
          <w:lang w:val="es-ES"/>
        </w:rPr>
        <w:t>hasta el 31 de diciembre de</w:t>
      </w:r>
      <w:r w:rsidR="001203A0" w:rsidRPr="0003740B">
        <w:rPr>
          <w:spacing w:val="-7"/>
          <w:lang w:val="es-ES"/>
        </w:rPr>
        <w:t xml:space="preserve"> </w:t>
      </w:r>
      <w:r w:rsidR="001203A0" w:rsidRPr="0003740B">
        <w:rPr>
          <w:spacing w:val="-6"/>
          <w:lang w:val="es-ES"/>
        </w:rPr>
        <w:t>2026.</w:t>
      </w:r>
    </w:p>
    <w:p w14:paraId="73DBF15E" w14:textId="77777777" w:rsidR="00FC42A9" w:rsidRPr="00C765F6" w:rsidRDefault="00FC42A9" w:rsidP="0003740B">
      <w:pPr>
        <w:widowControl w:val="0"/>
        <w:autoSpaceDE w:val="0"/>
        <w:autoSpaceDN w:val="0"/>
        <w:spacing w:after="0" w:line="240" w:lineRule="auto"/>
        <w:ind w:left="567" w:hanging="567"/>
        <w:rPr>
          <w:rFonts w:eastAsia="Arial" w:cs="Arial"/>
          <w:lang w:val="es-ES"/>
        </w:rPr>
      </w:pPr>
    </w:p>
    <w:p w14:paraId="018EB632" w14:textId="77777777" w:rsidR="002E2962" w:rsidRDefault="002E2962">
      <w:pPr>
        <w:rPr>
          <w:rFonts w:eastAsia="Times New Roman" w:cs="Arial"/>
          <w:szCs w:val="24"/>
          <w:lang w:val="es-ES" w:eastAsia="es-ES"/>
        </w:rPr>
      </w:pPr>
    </w:p>
    <w:p w14:paraId="485A0E07" w14:textId="77777777" w:rsidR="00CE484F" w:rsidRDefault="00CE484F">
      <w:pPr>
        <w:rPr>
          <w:rFonts w:eastAsia="Times New Roman" w:cs="Arial"/>
          <w:szCs w:val="24"/>
          <w:lang w:val="es-ES" w:eastAsia="es-ES"/>
        </w:rPr>
        <w:sectPr w:rsidR="00CE484F" w:rsidSect="00323406">
          <w:headerReference w:type="even" r:id="rId34"/>
          <w:headerReference w:type="default" r:id="rId35"/>
          <w:headerReference w:type="first" r:id="rId36"/>
          <w:pgSz w:w="11906" w:h="16838" w:code="9"/>
          <w:pgMar w:top="1440" w:right="1440" w:bottom="1440" w:left="1440" w:header="720" w:footer="720" w:gutter="0"/>
          <w:cols w:space="720"/>
          <w:titlePg/>
          <w:docGrid w:linePitch="360"/>
        </w:sectPr>
      </w:pPr>
    </w:p>
    <w:p w14:paraId="7F89BC09" w14:textId="377E37A5" w:rsidR="001F2CCF" w:rsidRPr="00E40018" w:rsidRDefault="001F2CCF" w:rsidP="001F2CCF">
      <w:pPr>
        <w:spacing w:before="94"/>
        <w:ind w:right="109"/>
        <w:jc w:val="right"/>
        <w:rPr>
          <w:b/>
          <w:lang w:val="es-ES"/>
        </w:rPr>
      </w:pPr>
      <w:r w:rsidRPr="00E40018">
        <w:rPr>
          <w:b/>
          <w:lang w:val="es-ES"/>
        </w:rPr>
        <w:lastRenderedPageBreak/>
        <w:t>ANEXO</w:t>
      </w:r>
      <w:r w:rsidRPr="00E40018">
        <w:rPr>
          <w:b/>
          <w:spacing w:val="-5"/>
          <w:lang w:val="es-ES"/>
        </w:rPr>
        <w:t xml:space="preserve"> </w:t>
      </w:r>
      <w:r w:rsidRPr="00E40018">
        <w:rPr>
          <w:b/>
          <w:lang w:val="es-ES"/>
        </w:rPr>
        <w:t>5</w:t>
      </w:r>
      <w:r w:rsidRPr="00E40018">
        <w:rPr>
          <w:b/>
          <w:spacing w:val="-3"/>
          <w:lang w:val="es-ES"/>
        </w:rPr>
        <w:t xml:space="preserve"> </w:t>
      </w:r>
      <w:r w:rsidRPr="00E40018">
        <w:rPr>
          <w:b/>
          <w:spacing w:val="-5"/>
          <w:lang w:val="es-ES"/>
        </w:rPr>
        <w:t>(E)</w:t>
      </w:r>
    </w:p>
    <w:p w14:paraId="61FFAC37" w14:textId="77777777" w:rsidR="001F2CCF" w:rsidRPr="00E40018" w:rsidRDefault="001F2CCF" w:rsidP="001F2CCF">
      <w:pPr>
        <w:pStyle w:val="BodyText"/>
        <w:spacing w:before="10"/>
        <w:rPr>
          <w:b/>
          <w:lang w:val="es-ES"/>
        </w:rPr>
      </w:pPr>
    </w:p>
    <w:p w14:paraId="67D9EEC7" w14:textId="77777777" w:rsidR="00451C5C" w:rsidRPr="002F0E79" w:rsidRDefault="001F2CCF" w:rsidP="00451C5C">
      <w:pPr>
        <w:spacing w:after="0" w:line="240" w:lineRule="auto"/>
        <w:ind w:right="-43"/>
        <w:jc w:val="center"/>
        <w:rPr>
          <w:b/>
          <w:lang w:val="es-ES"/>
        </w:rPr>
      </w:pPr>
      <w:r w:rsidRPr="002F0E79">
        <w:rPr>
          <w:b/>
          <w:lang w:val="es-ES"/>
        </w:rPr>
        <w:t>PROGRAMA DE TRABAJO PARA EL PERIODO ENTRE SESIONES</w:t>
      </w:r>
      <w:r w:rsidR="00451C5C" w:rsidRPr="002F0E79">
        <w:rPr>
          <w:b/>
          <w:lang w:val="es-ES"/>
        </w:rPr>
        <w:t xml:space="preserve"> </w:t>
      </w:r>
    </w:p>
    <w:p w14:paraId="1BC2E7E9" w14:textId="6C63DF66" w:rsidR="001F2CCF" w:rsidRPr="002F0E79" w:rsidRDefault="00451C5C" w:rsidP="00451C5C">
      <w:pPr>
        <w:spacing w:after="0" w:line="240" w:lineRule="auto"/>
        <w:ind w:right="-43"/>
        <w:jc w:val="center"/>
        <w:rPr>
          <w:b/>
          <w:lang w:val="es-ES"/>
        </w:rPr>
      </w:pPr>
      <w:r w:rsidRPr="002F0E79">
        <w:rPr>
          <w:b/>
          <w:lang w:val="es-ES"/>
        </w:rPr>
        <w:t xml:space="preserve">ENTRE LA </w:t>
      </w:r>
      <w:r w:rsidR="001F2CCF" w:rsidRPr="002F0E79">
        <w:rPr>
          <w:b/>
          <w:lang w:val="es-ES"/>
        </w:rPr>
        <w:t>COP14 AND COP15</w:t>
      </w:r>
    </w:p>
    <w:p w14:paraId="1F479B1B" w14:textId="77777777" w:rsidR="001F2CCF" w:rsidRPr="002F0E79" w:rsidRDefault="001F2CCF" w:rsidP="001F2CCF">
      <w:pPr>
        <w:pStyle w:val="BodyText"/>
        <w:spacing w:before="11"/>
        <w:rPr>
          <w:b/>
          <w:lang w:val="es-ES"/>
        </w:rPr>
      </w:pPr>
    </w:p>
    <w:p w14:paraId="19161CE6" w14:textId="77777777" w:rsidR="001F2CCF" w:rsidRPr="002F0E79" w:rsidRDefault="001F2CCF" w:rsidP="001F2CCF">
      <w:pPr>
        <w:pStyle w:val="BodyText"/>
        <w:spacing w:before="11"/>
        <w:rPr>
          <w:b/>
          <w:highlight w:val="yellow"/>
          <w:lang w:val="es-ES"/>
        </w:rPr>
      </w:pPr>
    </w:p>
    <w:p w14:paraId="42BA2877" w14:textId="77777777" w:rsidR="002F0E79" w:rsidRDefault="002F0E79" w:rsidP="002F0E79">
      <w:pPr>
        <w:widowControl w:val="0"/>
        <w:autoSpaceDE w:val="0"/>
        <w:autoSpaceDN w:val="0"/>
        <w:spacing w:after="0" w:line="240" w:lineRule="auto"/>
        <w:ind w:left="192"/>
        <w:rPr>
          <w:rFonts w:eastAsia="Arial" w:cs="Arial"/>
          <w:spacing w:val="-2"/>
          <w:lang w:val="es-ES"/>
        </w:rPr>
      </w:pPr>
      <w:r w:rsidRPr="00C765F6">
        <w:rPr>
          <w:rFonts w:eastAsia="Arial" w:cs="Arial"/>
          <w:lang w:val="es-ES"/>
        </w:rPr>
        <w:t>[</w:t>
      </w:r>
      <w:r w:rsidRPr="00920DC2">
        <w:rPr>
          <w:rFonts w:eastAsia="Arial" w:cs="Arial"/>
          <w:lang w:val="es-ES"/>
        </w:rPr>
        <w:t>A completar tras la aprobación del presupuesto</w:t>
      </w:r>
      <w:r w:rsidRPr="00C765F6">
        <w:rPr>
          <w:rFonts w:eastAsia="Arial" w:cs="Arial"/>
          <w:spacing w:val="-2"/>
          <w:lang w:val="es-ES"/>
        </w:rPr>
        <w:t>]</w:t>
      </w:r>
    </w:p>
    <w:p w14:paraId="005F5EFA" w14:textId="308A3FB1" w:rsidR="001F2CCF" w:rsidRPr="002F0E79" w:rsidRDefault="001F2CCF" w:rsidP="001F2CCF">
      <w:pPr>
        <w:pStyle w:val="BodyText"/>
        <w:ind w:left="192"/>
        <w:rPr>
          <w:lang w:val="es-ES"/>
        </w:rPr>
      </w:pPr>
    </w:p>
    <w:p w14:paraId="672A0F17" w14:textId="77777777" w:rsidR="00CE484F" w:rsidRDefault="00CE484F">
      <w:pPr>
        <w:rPr>
          <w:rFonts w:eastAsia="Times New Roman" w:cs="Arial"/>
          <w:szCs w:val="24"/>
          <w:lang w:val="es-ES" w:eastAsia="es-ES"/>
        </w:rPr>
      </w:pPr>
    </w:p>
    <w:p w14:paraId="1D2AE9D4" w14:textId="77777777" w:rsidR="007629B7" w:rsidRDefault="007629B7">
      <w:pPr>
        <w:rPr>
          <w:rFonts w:eastAsia="Times New Roman" w:cs="Arial"/>
          <w:szCs w:val="24"/>
          <w:lang w:val="es-ES" w:eastAsia="es-ES"/>
        </w:rPr>
        <w:sectPr w:rsidR="007629B7" w:rsidSect="00323406">
          <w:headerReference w:type="first" r:id="rId37"/>
          <w:pgSz w:w="11906" w:h="16838" w:code="9"/>
          <w:pgMar w:top="1440" w:right="1440" w:bottom="1440" w:left="1440" w:header="720" w:footer="720" w:gutter="0"/>
          <w:cols w:space="720"/>
          <w:titlePg/>
          <w:docGrid w:linePitch="360"/>
        </w:sectPr>
      </w:pPr>
    </w:p>
    <w:p w14:paraId="12592643" w14:textId="2AA18C0F" w:rsidR="007629B7" w:rsidRPr="00E041F5" w:rsidRDefault="007629B7" w:rsidP="00E041F5">
      <w:pPr>
        <w:spacing w:after="0" w:line="240" w:lineRule="auto"/>
        <w:ind w:right="-42"/>
        <w:jc w:val="right"/>
        <w:rPr>
          <w:b/>
          <w:lang w:val="es-ES"/>
        </w:rPr>
      </w:pPr>
      <w:r w:rsidRPr="00E041F5">
        <w:rPr>
          <w:b/>
          <w:lang w:val="es-ES"/>
        </w:rPr>
        <w:lastRenderedPageBreak/>
        <w:t xml:space="preserve">ANEXO </w:t>
      </w:r>
      <w:r w:rsidRPr="00E041F5">
        <w:rPr>
          <w:b/>
          <w:spacing w:val="-10"/>
          <w:lang w:val="es-ES"/>
        </w:rPr>
        <w:t>6</w:t>
      </w:r>
    </w:p>
    <w:p w14:paraId="011D8D51" w14:textId="77777777" w:rsidR="007629B7" w:rsidRDefault="007629B7" w:rsidP="00E041F5">
      <w:pPr>
        <w:spacing w:after="0" w:line="240" w:lineRule="auto"/>
        <w:ind w:right="-42"/>
        <w:jc w:val="center"/>
        <w:rPr>
          <w:b/>
          <w:lang w:val="es-ES"/>
        </w:rPr>
      </w:pPr>
    </w:p>
    <w:p w14:paraId="0A8D2EDE" w14:textId="77777777" w:rsidR="00E041F5" w:rsidRPr="00E041F5" w:rsidRDefault="00E041F5" w:rsidP="00E041F5">
      <w:pPr>
        <w:spacing w:after="0" w:line="240" w:lineRule="auto"/>
        <w:ind w:right="-42"/>
        <w:jc w:val="center"/>
        <w:rPr>
          <w:b/>
          <w:lang w:val="es-ES"/>
        </w:rPr>
      </w:pPr>
    </w:p>
    <w:p w14:paraId="51358D51" w14:textId="4EF66EB2" w:rsidR="00E041F5" w:rsidRPr="00E041F5" w:rsidRDefault="00E041F5" w:rsidP="00E041F5">
      <w:pPr>
        <w:pStyle w:val="BodyText"/>
        <w:jc w:val="center"/>
        <w:rPr>
          <w:rFonts w:eastAsiaTheme="minorHAnsi" w:cstheme="minorBidi"/>
          <w:b/>
          <w:lang w:val="es-ES"/>
        </w:rPr>
      </w:pPr>
      <w:r w:rsidRPr="00E041F5">
        <w:rPr>
          <w:rFonts w:eastAsiaTheme="minorHAnsi" w:cstheme="minorBidi"/>
          <w:b/>
          <w:lang w:val="es-ES"/>
        </w:rPr>
        <w:t>PROGRAMA DE TRABAJO</w:t>
      </w:r>
      <w:r w:rsidR="00B67E24">
        <w:rPr>
          <w:rFonts w:eastAsiaTheme="minorHAnsi" w:cstheme="minorBidi"/>
          <w:b/>
          <w:lang w:val="es-ES"/>
        </w:rPr>
        <w:t xml:space="preserve"> PROPUESTO</w:t>
      </w:r>
    </w:p>
    <w:p w14:paraId="3C358E34" w14:textId="0E7B4B53" w:rsidR="007629B7" w:rsidRPr="00E041F5" w:rsidRDefault="00E041F5" w:rsidP="00E041F5">
      <w:pPr>
        <w:pStyle w:val="BodyText"/>
        <w:jc w:val="center"/>
        <w:rPr>
          <w:b/>
          <w:lang w:val="es-ES"/>
        </w:rPr>
      </w:pPr>
      <w:r w:rsidRPr="00E041F5">
        <w:rPr>
          <w:rFonts w:eastAsiaTheme="minorHAnsi" w:cstheme="minorBidi"/>
          <w:b/>
          <w:lang w:val="es-ES"/>
        </w:rPr>
        <w:t>PARA EL PERIODO ENTRE SESIONES COP14 Y COP15</w:t>
      </w:r>
    </w:p>
    <w:p w14:paraId="6D9D2AEB" w14:textId="77777777" w:rsidR="007629B7" w:rsidRPr="00E041F5" w:rsidRDefault="007629B7" w:rsidP="00E041F5">
      <w:pPr>
        <w:pStyle w:val="BodyText"/>
        <w:jc w:val="center"/>
        <w:rPr>
          <w:b/>
          <w:lang w:val="es-ES"/>
        </w:rPr>
      </w:pPr>
    </w:p>
    <w:p w14:paraId="418464E5" w14:textId="11CAA99A" w:rsidR="007629B7" w:rsidRDefault="007629B7" w:rsidP="00E041F5">
      <w:pPr>
        <w:pStyle w:val="BodyText"/>
      </w:pPr>
      <w:r w:rsidRPr="00E041F5">
        <w:t>[</w:t>
      </w:r>
      <w:r w:rsidR="00E40018">
        <w:t>publicado</w:t>
      </w:r>
      <w:r w:rsidR="00A01839" w:rsidRPr="00A01839">
        <w:t xml:space="preserve"> por separado</w:t>
      </w:r>
      <w:r w:rsidRPr="00E041F5">
        <w:rPr>
          <w:spacing w:val="-2"/>
        </w:rPr>
        <w:t>]</w:t>
      </w:r>
    </w:p>
    <w:p w14:paraId="0F1F71D9" w14:textId="77777777" w:rsidR="007629B7" w:rsidRDefault="007629B7" w:rsidP="00E041F5">
      <w:pPr>
        <w:spacing w:after="0" w:line="240" w:lineRule="auto"/>
        <w:ind w:right="1373"/>
      </w:pPr>
    </w:p>
    <w:p w14:paraId="42038C51" w14:textId="77777777" w:rsidR="007629B7" w:rsidRPr="002F0E79" w:rsidRDefault="007629B7">
      <w:pPr>
        <w:rPr>
          <w:rFonts w:eastAsia="Times New Roman" w:cs="Arial"/>
          <w:szCs w:val="24"/>
          <w:lang w:val="es-ES" w:eastAsia="es-ES"/>
        </w:rPr>
      </w:pPr>
    </w:p>
    <w:sectPr w:rsidR="007629B7" w:rsidRPr="002F0E79" w:rsidSect="00323406">
      <w:headerReference w:type="first" r:id="rId38"/>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77969" w14:textId="77777777" w:rsidR="006F53D5" w:rsidRDefault="006F53D5" w:rsidP="00002A97">
      <w:pPr>
        <w:spacing w:after="0" w:line="240" w:lineRule="auto"/>
      </w:pPr>
      <w:r>
        <w:separator/>
      </w:r>
    </w:p>
  </w:endnote>
  <w:endnote w:type="continuationSeparator" w:id="0">
    <w:p w14:paraId="0F402924" w14:textId="77777777" w:rsidR="006F53D5" w:rsidRDefault="006F53D5" w:rsidP="00002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5858933"/>
      <w:docPartObj>
        <w:docPartGallery w:val="Page Numbers (Bottom of Page)"/>
        <w:docPartUnique/>
      </w:docPartObj>
    </w:sdtPr>
    <w:sdtEndPr>
      <w:rPr>
        <w:noProof/>
        <w:sz w:val="18"/>
        <w:szCs w:val="18"/>
      </w:rPr>
    </w:sdtEndPr>
    <w:sdtContent>
      <w:p w14:paraId="602E550D" w14:textId="4A028FE9"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702069"/>
      <w:docPartObj>
        <w:docPartGallery w:val="Page Numbers (Bottom of Page)"/>
        <w:docPartUnique/>
      </w:docPartObj>
    </w:sdtPr>
    <w:sdtEndPr>
      <w:rPr>
        <w:noProof/>
        <w:sz w:val="18"/>
        <w:szCs w:val="18"/>
      </w:rPr>
    </w:sdtEndPr>
    <w:sdtContent>
      <w:p w14:paraId="301D92B9" w14:textId="0535CE5A"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1958C" w14:textId="5507F29E" w:rsidR="00D70275" w:rsidRPr="00D70275" w:rsidRDefault="00D70275">
    <w:pPr>
      <w:pStyle w:val="Footer"/>
      <w:jc w:val="cen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5932715"/>
      <w:docPartObj>
        <w:docPartGallery w:val="Page Numbers (Bottom of Page)"/>
        <w:docPartUnique/>
      </w:docPartObj>
    </w:sdtPr>
    <w:sdtEndPr>
      <w:rPr>
        <w:noProof/>
        <w:sz w:val="18"/>
        <w:szCs w:val="18"/>
      </w:rPr>
    </w:sdtEndPr>
    <w:sdtContent>
      <w:p w14:paraId="2DEBAB44" w14:textId="0507CDBC" w:rsidR="008554CA" w:rsidRPr="008554CA" w:rsidRDefault="008554CA">
        <w:pPr>
          <w:pStyle w:val="Footer"/>
          <w:jc w:val="center"/>
          <w:rPr>
            <w:sz w:val="18"/>
            <w:szCs w:val="18"/>
          </w:rPr>
        </w:pPr>
        <w:r w:rsidRPr="008554CA">
          <w:rPr>
            <w:sz w:val="18"/>
            <w:szCs w:val="18"/>
          </w:rPr>
          <w:fldChar w:fldCharType="begin"/>
        </w:r>
        <w:r w:rsidRPr="008554CA">
          <w:rPr>
            <w:sz w:val="18"/>
            <w:szCs w:val="18"/>
          </w:rPr>
          <w:instrText xml:space="preserve"> PAGE   \* MERGEFORMAT </w:instrText>
        </w:r>
        <w:r w:rsidRPr="008554CA">
          <w:rPr>
            <w:sz w:val="18"/>
            <w:szCs w:val="18"/>
          </w:rPr>
          <w:fldChar w:fldCharType="separate"/>
        </w:r>
        <w:r w:rsidRPr="008554CA">
          <w:rPr>
            <w:noProof/>
            <w:sz w:val="18"/>
            <w:szCs w:val="18"/>
          </w:rPr>
          <w:t>2</w:t>
        </w:r>
        <w:r w:rsidRPr="008554CA">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AF576" w14:textId="77777777" w:rsidR="006F53D5" w:rsidRDefault="006F53D5" w:rsidP="00002A97">
      <w:pPr>
        <w:spacing w:after="0" w:line="240" w:lineRule="auto"/>
      </w:pPr>
      <w:r>
        <w:separator/>
      </w:r>
    </w:p>
  </w:footnote>
  <w:footnote w:type="continuationSeparator" w:id="0">
    <w:p w14:paraId="17E57311" w14:textId="77777777" w:rsidR="006F53D5" w:rsidRDefault="006F53D5" w:rsidP="00002A97">
      <w:pPr>
        <w:spacing w:after="0" w:line="240" w:lineRule="auto"/>
      </w:pPr>
      <w:r>
        <w:continuationSeparator/>
      </w:r>
    </w:p>
  </w:footnote>
  <w:footnote w:id="1">
    <w:p w14:paraId="2516B29A" w14:textId="77777777" w:rsidR="00CC3B53" w:rsidRPr="00B4608A" w:rsidRDefault="00CC3B53" w:rsidP="0078179F">
      <w:pPr>
        <w:pStyle w:val="FootnoteText"/>
        <w:jc w:val="both"/>
        <w:rPr>
          <w:sz w:val="16"/>
          <w:szCs w:val="16"/>
          <w:lang w:val="es-ES"/>
        </w:rPr>
      </w:pPr>
      <w:r w:rsidRPr="00F764E8">
        <w:rPr>
          <w:rStyle w:val="FootnoteReference"/>
          <w:sz w:val="16"/>
          <w:szCs w:val="16"/>
        </w:rPr>
        <w:footnoteRef/>
      </w:r>
      <w:r w:rsidRPr="00B4608A">
        <w:rPr>
          <w:sz w:val="16"/>
          <w:szCs w:val="16"/>
          <w:lang w:val="es-ES"/>
        </w:rPr>
        <w:t xml:space="preserve"> Memorando de Entendimiento sobre la Conservación y Gestión de las Tortugas Marinas y sus Hábitats del Océano Índico y el Sudeste Asiático</w:t>
      </w:r>
    </w:p>
  </w:footnote>
  <w:footnote w:id="2">
    <w:p w14:paraId="72CE849A" w14:textId="77777777" w:rsidR="00CC3B53" w:rsidRPr="00B4608A" w:rsidRDefault="00CC3B53" w:rsidP="0078179F">
      <w:pPr>
        <w:pStyle w:val="FootnoteText"/>
        <w:jc w:val="both"/>
        <w:rPr>
          <w:sz w:val="16"/>
          <w:szCs w:val="16"/>
          <w:lang w:val="es-ES"/>
        </w:rPr>
      </w:pPr>
      <w:r w:rsidRPr="00F764E8">
        <w:rPr>
          <w:rStyle w:val="FootnoteReference"/>
          <w:sz w:val="16"/>
          <w:szCs w:val="16"/>
        </w:rPr>
        <w:footnoteRef/>
      </w:r>
      <w:r w:rsidRPr="00B4608A">
        <w:rPr>
          <w:sz w:val="16"/>
          <w:szCs w:val="16"/>
          <w:lang w:val="es-ES"/>
        </w:rPr>
        <w:t xml:space="preserve"> Memorando de Entendimiento sobre la Conservación de los Tiburones Migratorios</w:t>
      </w:r>
    </w:p>
  </w:footnote>
  <w:footnote w:id="3">
    <w:p w14:paraId="77C1ECCC" w14:textId="77777777" w:rsidR="00CC3B53" w:rsidRPr="00B4608A" w:rsidRDefault="00CC3B53" w:rsidP="0078179F">
      <w:pPr>
        <w:pStyle w:val="FootnoteText"/>
        <w:jc w:val="both"/>
        <w:rPr>
          <w:sz w:val="16"/>
          <w:szCs w:val="16"/>
          <w:lang w:val="es-ES"/>
        </w:rPr>
      </w:pPr>
      <w:r w:rsidRPr="00F764E8">
        <w:rPr>
          <w:rStyle w:val="FootnoteReference"/>
          <w:sz w:val="16"/>
          <w:szCs w:val="16"/>
        </w:rPr>
        <w:footnoteRef/>
      </w:r>
      <w:r w:rsidRPr="00B4608A">
        <w:rPr>
          <w:sz w:val="16"/>
          <w:szCs w:val="16"/>
          <w:lang w:val="es-ES"/>
        </w:rPr>
        <w:t xml:space="preserve"> Acuerdo sobre la Conservación de los Pequeños Cetáceos del Mar Báltico, el Atlántico Nordeste, el Mar de Irlanda y el Mar del Norte</w:t>
      </w:r>
    </w:p>
  </w:footnote>
  <w:footnote w:id="4">
    <w:p w14:paraId="7FA90ED8" w14:textId="0E9E5CA6" w:rsidR="007F35E2" w:rsidRPr="0028746B" w:rsidRDefault="007F35E2" w:rsidP="0028746B">
      <w:pPr>
        <w:pStyle w:val="FootnoteText"/>
        <w:jc w:val="both"/>
        <w:rPr>
          <w:sz w:val="16"/>
          <w:szCs w:val="16"/>
          <w:lang w:val="es-ES"/>
        </w:rPr>
      </w:pPr>
      <w:r w:rsidRPr="002A77D1">
        <w:rPr>
          <w:rStyle w:val="FootnoteReference"/>
          <w:sz w:val="16"/>
          <w:szCs w:val="16"/>
        </w:rPr>
        <w:footnoteRef/>
      </w:r>
      <w:r w:rsidRPr="0028746B">
        <w:rPr>
          <w:sz w:val="16"/>
          <w:szCs w:val="16"/>
          <w:lang w:val="es-ES"/>
        </w:rPr>
        <w:t xml:space="preserve"> </w:t>
      </w:r>
      <w:r w:rsidR="0028746B" w:rsidRPr="0028746B">
        <w:rPr>
          <w:sz w:val="16"/>
          <w:szCs w:val="16"/>
          <w:lang w:val="es-ES"/>
        </w:rPr>
        <w:t>Fondo Fiduciario General de apoyo a la Convención sobre la Conservación de las Especies Migratorias de Animales Silvestres (CMS)</w:t>
      </w:r>
    </w:p>
  </w:footnote>
  <w:footnote w:id="5">
    <w:p w14:paraId="7B6BDD16" w14:textId="77777777" w:rsidR="006A50C3" w:rsidRPr="00527D15" w:rsidRDefault="006A50C3" w:rsidP="006A50C3">
      <w:pPr>
        <w:pStyle w:val="FootnoteText"/>
        <w:rPr>
          <w:lang w:val="es-ES"/>
        </w:rPr>
      </w:pPr>
      <w:r w:rsidRPr="00F61A1C">
        <w:rPr>
          <w:rStyle w:val="FootnoteReference"/>
          <w:rFonts w:cs="Arial"/>
          <w:sz w:val="16"/>
          <w:szCs w:val="16"/>
        </w:rPr>
        <w:footnoteRef/>
      </w:r>
      <w:r w:rsidRPr="00527D15">
        <w:rPr>
          <w:lang w:val="es-ES"/>
        </w:rPr>
        <w:t xml:space="preserve"> </w:t>
      </w:r>
      <w:r w:rsidRPr="00160EEF">
        <w:rPr>
          <w:rFonts w:cs="Arial"/>
          <w:sz w:val="16"/>
          <w:szCs w:val="16"/>
          <w:lang w:val="es-ES"/>
        </w:rPr>
        <w:t>Fondo Fiduciario para la la Convención sobre la Conservación de las Especies Migratorias de Animales Silvestres (CMS)</w:t>
      </w:r>
    </w:p>
  </w:footnote>
  <w:footnote w:id="6">
    <w:p w14:paraId="6C213BD8" w14:textId="0AECA160" w:rsidR="00E44E01" w:rsidRDefault="00E44E01" w:rsidP="00E44E01">
      <w:pPr>
        <w:tabs>
          <w:tab w:val="left" w:pos="284"/>
        </w:tabs>
        <w:ind w:left="284" w:hanging="284"/>
        <w:jc w:val="both"/>
        <w:rPr>
          <w:lang w:val="es-ES"/>
        </w:rPr>
      </w:pPr>
      <w:r>
        <w:rPr>
          <w:rStyle w:val="FootnoteReference"/>
          <w:sz w:val="16"/>
          <w:vertAlign w:val="superscript"/>
        </w:rPr>
        <w:footnoteRef/>
      </w:r>
      <w:r>
        <w:rPr>
          <w:sz w:val="16"/>
          <w:lang w:val="es-ES"/>
        </w:rPr>
        <w:t xml:space="preserve"> </w:t>
      </w:r>
      <w:r>
        <w:rPr>
          <w:lang w:val="es-ES"/>
        </w:rPr>
        <w:tab/>
      </w:r>
      <w:r>
        <w:rPr>
          <w:sz w:val="16"/>
          <w:lang w:val="es-ES"/>
        </w:rPr>
        <w:t xml:space="preserve">El año </w:t>
      </w:r>
      <w:r w:rsidR="00EB4766">
        <w:rPr>
          <w:sz w:val="16"/>
          <w:lang w:val="es-ES"/>
        </w:rPr>
        <w:t>calendario</w:t>
      </w:r>
      <w:r>
        <w:rPr>
          <w:sz w:val="16"/>
          <w:lang w:val="es-ES"/>
        </w:rPr>
        <w:t xml:space="preserve"> desde el 1º de enero hasta el 31 de diciembre es el año de contabilidad y ejercicio económico, pero la fecha de cierre oficial de la contabilidad es el 31 de marzo del año siguiente. En consecuencia, el 31 de marzo deben cerrarse las cuentas del año anterior, y solo entonces el Director Ejecutivo podrá presentar las cuentas del año natural anterior.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C902E" w14:textId="574B5A21" w:rsidR="00D70275" w:rsidRPr="003C3F92" w:rsidRDefault="00D70275" w:rsidP="00002A97">
    <w:pPr>
      <w:pStyle w:val="Header"/>
      <w:pBdr>
        <w:bottom w:val="single" w:sz="4" w:space="1" w:color="auto"/>
      </w:pBdr>
      <w:rPr>
        <w:i/>
        <w:sz w:val="18"/>
        <w:szCs w:val="18"/>
      </w:rPr>
    </w:pPr>
    <w:bookmarkStart w:id="0" w:name="_Hlk124847022"/>
    <w:bookmarkStart w:id="1" w:name="_Hlk124847023"/>
    <w:bookmarkStart w:id="2" w:name="_Hlk124847024"/>
    <w:bookmarkStart w:id="3" w:name="_Hlk124847025"/>
    <w:bookmarkStart w:id="4" w:name="_Hlk124847026"/>
    <w:bookmarkStart w:id="5" w:name="_Hlk124847027"/>
    <w:bookmarkStart w:id="6" w:name="_Hlk124847217"/>
    <w:bookmarkStart w:id="7" w:name="_Hlk124847218"/>
    <w:r w:rsidRPr="003C3F92">
      <w:rPr>
        <w:rFonts w:eastAsia="Times New Roman" w:cs="Arial"/>
        <w:i/>
        <w:sz w:val="18"/>
        <w:szCs w:val="18"/>
        <w:lang w:eastAsia="es-ES"/>
      </w:rPr>
      <w:t>UNEP/CMS/COP1</w:t>
    </w:r>
    <w:r w:rsidR="000F4BDA" w:rsidRPr="003C3F92">
      <w:rPr>
        <w:rFonts w:eastAsia="Times New Roman" w:cs="Arial"/>
        <w:i/>
        <w:sz w:val="18"/>
        <w:szCs w:val="18"/>
        <w:lang w:eastAsia="es-ES"/>
      </w:rPr>
      <w:t>4</w:t>
    </w:r>
    <w:r w:rsidRPr="003C3F92">
      <w:rPr>
        <w:rFonts w:eastAsia="Times New Roman" w:cs="Arial"/>
        <w:i/>
        <w:sz w:val="18"/>
        <w:szCs w:val="18"/>
        <w:lang w:eastAsia="es-ES"/>
      </w:rPr>
      <w:t>/Doc.</w:t>
    </w:r>
    <w:bookmarkEnd w:id="0"/>
    <w:bookmarkEnd w:id="1"/>
    <w:bookmarkEnd w:id="2"/>
    <w:bookmarkEnd w:id="3"/>
    <w:bookmarkEnd w:id="4"/>
    <w:bookmarkEnd w:id="5"/>
    <w:bookmarkEnd w:id="6"/>
    <w:bookmarkEnd w:id="7"/>
    <w:r w:rsidR="00CC0F4F" w:rsidRPr="003C3F92">
      <w:rPr>
        <w:rFonts w:eastAsia="Times New Roman" w:cs="Arial"/>
        <w:i/>
        <w:sz w:val="18"/>
        <w:szCs w:val="18"/>
        <w:lang w:eastAsia="es-ES"/>
      </w:rPr>
      <w:t>13.2</w:t>
    </w:r>
    <w:r w:rsidR="003C3F92" w:rsidRPr="003C3F92">
      <w:rPr>
        <w:rFonts w:eastAsia="Times New Roman" w:cs="Arial"/>
        <w:i/>
        <w:sz w:val="18"/>
        <w:szCs w:val="18"/>
        <w:lang w:eastAsia="es-ES"/>
      </w:rPr>
      <w:t>/Rev.</w:t>
    </w:r>
    <w:r w:rsidR="003C3F92">
      <w:rPr>
        <w:rFonts w:eastAsia="Times New Roman" w:cs="Arial"/>
        <w:i/>
        <w:sz w:val="18"/>
        <w:szCs w:val="18"/>
        <w:lang w:eastAsia="es-ES"/>
      </w:rPr>
      <w:t>1</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301D8" w14:textId="5DFC95CF" w:rsidR="004E53BC" w:rsidRPr="002E2962" w:rsidRDefault="004E53BC" w:rsidP="000F4BDA">
    <w:pPr>
      <w:pStyle w:val="Header"/>
      <w:pBdr>
        <w:bottom w:val="single" w:sz="4" w:space="1" w:color="auto"/>
      </w:pBdr>
      <w:jc w:val="right"/>
      <w:rPr>
        <w:i/>
        <w:sz w:val="18"/>
        <w:szCs w:val="18"/>
      </w:rPr>
    </w:pPr>
    <w:r w:rsidRPr="002E2962">
      <w:rPr>
        <w:rFonts w:eastAsia="Times New Roman" w:cs="Arial"/>
        <w:i/>
        <w:sz w:val="18"/>
        <w:szCs w:val="18"/>
        <w:lang w:eastAsia="es-ES"/>
      </w:rPr>
      <w:t>UNEP/CMS/COP14/</w:t>
    </w:r>
    <w:r w:rsidR="002E2962" w:rsidRPr="002E2962">
      <w:rPr>
        <w:rFonts w:eastAsia="Times New Roman" w:cs="Arial"/>
        <w:i/>
        <w:sz w:val="18"/>
        <w:szCs w:val="18"/>
        <w:lang w:eastAsia="es-ES"/>
      </w:rPr>
      <w:t>Doc.13.2/</w:t>
    </w:r>
    <w:r w:rsidR="003C3F92">
      <w:rPr>
        <w:rFonts w:eastAsia="Times New Roman" w:cs="Arial"/>
        <w:i/>
        <w:sz w:val="18"/>
        <w:szCs w:val="18"/>
        <w:lang w:eastAsia="es-ES"/>
      </w:rPr>
      <w:t>Rev.1/</w:t>
    </w:r>
    <w:r w:rsidR="002E2962" w:rsidRPr="002E2962">
      <w:rPr>
        <w:rFonts w:eastAsia="Times New Roman" w:cs="Arial"/>
        <w:i/>
        <w:sz w:val="18"/>
        <w:szCs w:val="18"/>
        <w:lang w:eastAsia="es-ES"/>
      </w:rPr>
      <w:t>An</w:t>
    </w:r>
    <w:r w:rsidR="002E2962">
      <w:rPr>
        <w:rFonts w:eastAsia="Times New Roman" w:cs="Arial"/>
        <w:i/>
        <w:sz w:val="18"/>
        <w:szCs w:val="18"/>
        <w:lang w:eastAsia="es-ES"/>
      </w:rPr>
      <w:t>exo 4</w:t>
    </w:r>
  </w:p>
  <w:p w14:paraId="06BA9191" w14:textId="77777777" w:rsidR="004E53BC" w:rsidRDefault="004E53B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9EAD0" w14:textId="00E85E7D" w:rsidR="004E53BC" w:rsidRPr="00DC55BE" w:rsidRDefault="004E53BC" w:rsidP="00FF042C">
    <w:pPr>
      <w:pStyle w:val="Header"/>
      <w:pBdr>
        <w:bottom w:val="single" w:sz="4" w:space="1" w:color="auto"/>
      </w:pBdr>
      <w:rPr>
        <w:i/>
        <w:sz w:val="18"/>
        <w:szCs w:val="18"/>
      </w:rPr>
    </w:pPr>
    <w:r w:rsidRPr="00DC55BE">
      <w:rPr>
        <w:rFonts w:eastAsia="Times New Roman" w:cs="Arial"/>
        <w:i/>
        <w:sz w:val="18"/>
        <w:szCs w:val="18"/>
        <w:lang w:eastAsia="es-ES"/>
      </w:rPr>
      <w:t>UNEP/CMS/COP14/Doc.13.2/</w:t>
    </w:r>
    <w:r w:rsidR="003C3F92">
      <w:rPr>
        <w:rFonts w:eastAsia="Times New Roman" w:cs="Arial"/>
        <w:i/>
        <w:sz w:val="18"/>
        <w:szCs w:val="18"/>
        <w:lang w:eastAsia="es-ES"/>
      </w:rPr>
      <w:t>Rev.1/</w:t>
    </w:r>
    <w:r w:rsidRPr="00DC55BE">
      <w:rPr>
        <w:rFonts w:eastAsia="Times New Roman" w:cs="Arial"/>
        <w:i/>
        <w:sz w:val="18"/>
        <w:szCs w:val="18"/>
        <w:lang w:eastAsia="es-ES"/>
      </w:rPr>
      <w:t xml:space="preserve">Anexo </w:t>
    </w:r>
    <w:r>
      <w:rPr>
        <w:rFonts w:eastAsia="Times New Roman" w:cs="Arial"/>
        <w:i/>
        <w:sz w:val="18"/>
        <w:szCs w:val="18"/>
        <w:lang w:eastAsia="es-ES"/>
      </w:rPr>
      <w:t>4</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3313A" w14:textId="2D6E3CA7" w:rsidR="00BA428E" w:rsidRPr="00002A97" w:rsidRDefault="00BA428E" w:rsidP="00002A97">
    <w:pPr>
      <w:pStyle w:val="Header"/>
      <w:pBdr>
        <w:bottom w:val="single" w:sz="4" w:space="1" w:color="auto"/>
      </w:pBdr>
      <w:rPr>
        <w:i/>
        <w:sz w:val="18"/>
        <w:szCs w:val="18"/>
      </w:rPr>
    </w:pPr>
    <w:r w:rsidRPr="003C3F92">
      <w:rPr>
        <w:rFonts w:eastAsia="Times New Roman" w:cs="Arial"/>
        <w:i/>
        <w:sz w:val="18"/>
        <w:szCs w:val="18"/>
        <w:lang w:eastAsia="es-ES"/>
      </w:rPr>
      <w:t>UNEP/CMS/COP14/Doc.13.2</w:t>
    </w:r>
    <w:r w:rsidR="00E07AB0" w:rsidRPr="003C3F92">
      <w:rPr>
        <w:rFonts w:eastAsia="Times New Roman" w:cs="Arial"/>
        <w:i/>
        <w:sz w:val="18"/>
        <w:szCs w:val="18"/>
        <w:lang w:eastAsia="es-ES"/>
      </w:rPr>
      <w:t>/</w:t>
    </w:r>
    <w:r w:rsidR="003C3F92" w:rsidRPr="003C3F92">
      <w:rPr>
        <w:rFonts w:eastAsia="Times New Roman" w:cs="Arial"/>
        <w:i/>
        <w:sz w:val="18"/>
        <w:szCs w:val="18"/>
        <w:lang w:eastAsia="es-ES"/>
      </w:rPr>
      <w:t>Rev.1/</w:t>
    </w:r>
    <w:r w:rsidR="00E07AB0" w:rsidRPr="003C3F92">
      <w:rPr>
        <w:rFonts w:eastAsia="Times New Roman" w:cs="Arial"/>
        <w:i/>
        <w:sz w:val="18"/>
        <w:szCs w:val="18"/>
        <w:lang w:eastAsia="es-ES"/>
      </w:rPr>
      <w:t>Anexo 5</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76D22" w14:textId="203B7477" w:rsidR="002E2962" w:rsidRPr="002E2962" w:rsidRDefault="002E2962" w:rsidP="000F4BDA">
    <w:pPr>
      <w:pStyle w:val="Header"/>
      <w:pBdr>
        <w:bottom w:val="single" w:sz="4" w:space="1" w:color="auto"/>
      </w:pBdr>
      <w:jc w:val="right"/>
      <w:rPr>
        <w:i/>
        <w:sz w:val="18"/>
        <w:szCs w:val="18"/>
      </w:rPr>
    </w:pPr>
    <w:r w:rsidRPr="002E2962">
      <w:rPr>
        <w:rFonts w:eastAsia="Times New Roman" w:cs="Arial"/>
        <w:i/>
        <w:sz w:val="18"/>
        <w:szCs w:val="18"/>
        <w:lang w:eastAsia="es-ES"/>
      </w:rPr>
      <w:t>UNEP/CMS/COP14/Doc.13.2/</w:t>
    </w:r>
    <w:r w:rsidR="003C3F92">
      <w:rPr>
        <w:rFonts w:eastAsia="Times New Roman" w:cs="Arial"/>
        <w:i/>
        <w:sz w:val="18"/>
        <w:szCs w:val="18"/>
        <w:lang w:eastAsia="es-ES"/>
      </w:rPr>
      <w:t>Rev.1/</w:t>
    </w:r>
    <w:r w:rsidRPr="002E2962">
      <w:rPr>
        <w:rFonts w:eastAsia="Times New Roman" w:cs="Arial"/>
        <w:i/>
        <w:sz w:val="18"/>
        <w:szCs w:val="18"/>
        <w:lang w:eastAsia="es-ES"/>
      </w:rPr>
      <w:t>An</w:t>
    </w:r>
    <w:r>
      <w:rPr>
        <w:rFonts w:eastAsia="Times New Roman" w:cs="Arial"/>
        <w:i/>
        <w:sz w:val="18"/>
        <w:szCs w:val="18"/>
        <w:lang w:eastAsia="es-ES"/>
      </w:rPr>
      <w:t>exo 5</w:t>
    </w:r>
  </w:p>
  <w:p w14:paraId="6E3282A5" w14:textId="77777777" w:rsidR="002E2962" w:rsidRDefault="002E2962">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0DDB3" w14:textId="66284C24" w:rsidR="00CC0F4F" w:rsidRPr="00002A97" w:rsidRDefault="00CC0F4F" w:rsidP="00CC0F4F">
    <w:pPr>
      <w:pStyle w:val="Header"/>
      <w:pBdr>
        <w:bottom w:val="single" w:sz="4" w:space="1" w:color="auto"/>
      </w:pBdr>
      <w:rPr>
        <w:i/>
        <w:sz w:val="18"/>
        <w:szCs w:val="18"/>
      </w:rPr>
    </w:pPr>
    <w:r w:rsidRPr="003C3F92">
      <w:rPr>
        <w:rFonts w:eastAsia="Times New Roman" w:cs="Arial"/>
        <w:i/>
        <w:sz w:val="18"/>
        <w:szCs w:val="18"/>
        <w:lang w:eastAsia="es-ES"/>
      </w:rPr>
      <w:t>UNEP/CMS/COP14/Doc.13.2</w:t>
    </w:r>
    <w:r w:rsidR="008C5FCA" w:rsidRPr="003C3F92">
      <w:rPr>
        <w:rFonts w:eastAsia="Times New Roman" w:cs="Arial"/>
        <w:i/>
        <w:sz w:val="18"/>
        <w:szCs w:val="18"/>
        <w:lang w:eastAsia="es-ES"/>
      </w:rPr>
      <w:t>/</w:t>
    </w:r>
    <w:r w:rsidR="003C3F92" w:rsidRPr="003C3F92">
      <w:rPr>
        <w:rFonts w:eastAsia="Times New Roman" w:cs="Arial"/>
        <w:i/>
        <w:sz w:val="18"/>
        <w:szCs w:val="18"/>
        <w:lang w:eastAsia="es-ES"/>
      </w:rPr>
      <w:t>Rev.1/</w:t>
    </w:r>
    <w:r w:rsidR="008C5FCA" w:rsidRPr="003C3F92">
      <w:rPr>
        <w:rFonts w:eastAsia="Times New Roman" w:cs="Arial"/>
        <w:i/>
        <w:sz w:val="18"/>
        <w:szCs w:val="18"/>
        <w:lang w:eastAsia="es-ES"/>
      </w:rPr>
      <w:t>Anexo 5</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16D47" w14:textId="542E7C02" w:rsidR="007E0887" w:rsidRPr="007E0887" w:rsidRDefault="007E0887" w:rsidP="00CC0F4F">
    <w:pPr>
      <w:pStyle w:val="Header"/>
      <w:pBdr>
        <w:bottom w:val="single" w:sz="4" w:space="1" w:color="auto"/>
      </w:pBdr>
      <w:rPr>
        <w:i/>
        <w:sz w:val="18"/>
        <w:szCs w:val="18"/>
      </w:rPr>
    </w:pPr>
    <w:r w:rsidRPr="007E0887">
      <w:rPr>
        <w:rFonts w:eastAsia="Times New Roman" w:cs="Arial"/>
        <w:i/>
        <w:sz w:val="18"/>
        <w:szCs w:val="18"/>
        <w:lang w:eastAsia="es-ES"/>
      </w:rPr>
      <w:t>UNEP/CMS/COP14/Doc.13.2/</w:t>
    </w:r>
    <w:r w:rsidR="003C3F92">
      <w:rPr>
        <w:rFonts w:eastAsia="Times New Roman" w:cs="Arial"/>
        <w:i/>
        <w:sz w:val="18"/>
        <w:szCs w:val="18"/>
        <w:lang w:eastAsia="es-ES"/>
      </w:rPr>
      <w:t>Rev.1/</w:t>
    </w:r>
    <w:r w:rsidRPr="007E0887">
      <w:rPr>
        <w:rFonts w:eastAsia="Times New Roman" w:cs="Arial"/>
        <w:i/>
        <w:sz w:val="18"/>
        <w:szCs w:val="18"/>
        <w:lang w:eastAsia="es-ES"/>
      </w:rPr>
      <w:t>Anexo 5(A</w:t>
    </w:r>
    <w:r>
      <w:rPr>
        <w:rFonts w:eastAsia="Times New Roman" w:cs="Arial"/>
        <w:i/>
        <w:sz w:val="18"/>
        <w:szCs w:val="18"/>
        <w:lang w:eastAsia="es-ES"/>
      </w:rPr>
      <w:t>)</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D9497" w14:textId="1E8C417A" w:rsidR="007E2CF8" w:rsidRPr="007E0887" w:rsidRDefault="007E2CF8" w:rsidP="004C1528">
    <w:pPr>
      <w:pStyle w:val="Header"/>
      <w:pBdr>
        <w:bottom w:val="single" w:sz="4" w:space="1" w:color="auto"/>
      </w:pBdr>
      <w:jc w:val="right"/>
      <w:rPr>
        <w:i/>
        <w:sz w:val="18"/>
        <w:szCs w:val="18"/>
      </w:rPr>
    </w:pPr>
    <w:r w:rsidRPr="007E0887">
      <w:rPr>
        <w:rFonts w:eastAsia="Times New Roman" w:cs="Arial"/>
        <w:i/>
        <w:sz w:val="18"/>
        <w:szCs w:val="18"/>
        <w:lang w:eastAsia="es-ES"/>
      </w:rPr>
      <w:t>UNEP/CMS/COP14/Doc.13.2/</w:t>
    </w:r>
    <w:r w:rsidR="003C3F92">
      <w:rPr>
        <w:rFonts w:eastAsia="Times New Roman" w:cs="Arial"/>
        <w:i/>
        <w:sz w:val="18"/>
        <w:szCs w:val="18"/>
        <w:lang w:eastAsia="es-ES"/>
      </w:rPr>
      <w:t>Rev.1/</w:t>
    </w:r>
    <w:r w:rsidRPr="007E0887">
      <w:rPr>
        <w:rFonts w:eastAsia="Times New Roman" w:cs="Arial"/>
        <w:i/>
        <w:sz w:val="18"/>
        <w:szCs w:val="18"/>
        <w:lang w:eastAsia="es-ES"/>
      </w:rPr>
      <w:t>Anexo 5(</w:t>
    </w:r>
    <w:r>
      <w:rPr>
        <w:rFonts w:eastAsia="Times New Roman" w:cs="Arial"/>
        <w:i/>
        <w:sz w:val="18"/>
        <w:szCs w:val="18"/>
        <w:lang w:eastAsia="es-ES"/>
      </w:rPr>
      <w:t>B)</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C06E5" w14:textId="7C6458CD" w:rsidR="00500216" w:rsidRPr="002E2962" w:rsidRDefault="00500216" w:rsidP="000F4BDA">
    <w:pPr>
      <w:pStyle w:val="Header"/>
      <w:pBdr>
        <w:bottom w:val="single" w:sz="4" w:space="1" w:color="auto"/>
      </w:pBdr>
      <w:jc w:val="right"/>
      <w:rPr>
        <w:i/>
        <w:sz w:val="18"/>
        <w:szCs w:val="18"/>
      </w:rPr>
    </w:pPr>
    <w:r w:rsidRPr="002E2962">
      <w:rPr>
        <w:rFonts w:eastAsia="Times New Roman" w:cs="Arial"/>
        <w:i/>
        <w:sz w:val="18"/>
        <w:szCs w:val="18"/>
        <w:lang w:eastAsia="es-ES"/>
      </w:rPr>
      <w:t>UNEP/CMS/COP14/Doc.13.2/</w:t>
    </w:r>
    <w:r w:rsidR="003C3F92">
      <w:rPr>
        <w:rFonts w:eastAsia="Times New Roman" w:cs="Arial"/>
        <w:i/>
        <w:sz w:val="18"/>
        <w:szCs w:val="18"/>
        <w:lang w:eastAsia="es-ES"/>
      </w:rPr>
      <w:t>Rev.1/</w:t>
    </w:r>
    <w:r w:rsidRPr="002E2962">
      <w:rPr>
        <w:rFonts w:eastAsia="Times New Roman" w:cs="Arial"/>
        <w:i/>
        <w:sz w:val="18"/>
        <w:szCs w:val="18"/>
        <w:lang w:eastAsia="es-ES"/>
      </w:rPr>
      <w:t>An</w:t>
    </w:r>
    <w:r>
      <w:rPr>
        <w:rFonts w:eastAsia="Times New Roman" w:cs="Arial"/>
        <w:i/>
        <w:sz w:val="18"/>
        <w:szCs w:val="18"/>
        <w:lang w:eastAsia="es-ES"/>
      </w:rPr>
      <w:t xml:space="preserve">exo 5 </w:t>
    </w:r>
    <w:r w:rsidR="00FC42A9">
      <w:rPr>
        <w:rFonts w:eastAsia="Times New Roman" w:cs="Arial"/>
        <w:i/>
        <w:sz w:val="18"/>
        <w:szCs w:val="18"/>
        <w:lang w:eastAsia="es-ES"/>
      </w:rPr>
      <w:t>(C)</w:t>
    </w:r>
  </w:p>
  <w:p w14:paraId="412158F5" w14:textId="77777777" w:rsidR="00500216" w:rsidRDefault="00500216">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0EF40" w14:textId="7908553A" w:rsidR="00500216" w:rsidRPr="007E0887" w:rsidRDefault="00500216" w:rsidP="00CC0F4F">
    <w:pPr>
      <w:pStyle w:val="Header"/>
      <w:pBdr>
        <w:bottom w:val="single" w:sz="4" w:space="1" w:color="auto"/>
      </w:pBdr>
      <w:rPr>
        <w:i/>
        <w:sz w:val="18"/>
        <w:szCs w:val="18"/>
      </w:rPr>
    </w:pPr>
    <w:r w:rsidRPr="007E0887">
      <w:rPr>
        <w:rFonts w:eastAsia="Times New Roman" w:cs="Arial"/>
        <w:i/>
        <w:sz w:val="18"/>
        <w:szCs w:val="18"/>
        <w:lang w:eastAsia="es-ES"/>
      </w:rPr>
      <w:t>UNEP/CMS/COP14/Doc.13.2/</w:t>
    </w:r>
    <w:r w:rsidR="003C3F92">
      <w:rPr>
        <w:rFonts w:eastAsia="Times New Roman" w:cs="Arial"/>
        <w:i/>
        <w:sz w:val="18"/>
        <w:szCs w:val="18"/>
        <w:lang w:eastAsia="es-ES"/>
      </w:rPr>
      <w:t>Rev.1/</w:t>
    </w:r>
    <w:r w:rsidRPr="007E0887">
      <w:rPr>
        <w:rFonts w:eastAsia="Times New Roman" w:cs="Arial"/>
        <w:i/>
        <w:sz w:val="18"/>
        <w:szCs w:val="18"/>
        <w:lang w:eastAsia="es-ES"/>
      </w:rPr>
      <w:t>Anexo 5(</w:t>
    </w:r>
    <w:r>
      <w:rPr>
        <w:rFonts w:eastAsia="Times New Roman" w:cs="Arial"/>
        <w:i/>
        <w:sz w:val="18"/>
        <w:szCs w:val="18"/>
        <w:lang w:eastAsia="es-ES"/>
      </w:rPr>
      <w:t>C)</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64E80" w14:textId="5BCE6DA1" w:rsidR="00793C7C" w:rsidRPr="00002A97" w:rsidRDefault="00793C7C" w:rsidP="00002A97">
    <w:pPr>
      <w:pStyle w:val="Header"/>
      <w:pBdr>
        <w:bottom w:val="single" w:sz="4" w:space="1" w:color="auto"/>
      </w:pBdr>
      <w:rPr>
        <w:i/>
        <w:sz w:val="18"/>
        <w:szCs w:val="18"/>
      </w:rPr>
    </w:pPr>
    <w:r w:rsidRPr="00F3487D">
      <w:rPr>
        <w:rFonts w:eastAsia="Times New Roman" w:cs="Arial"/>
        <w:i/>
        <w:sz w:val="18"/>
        <w:szCs w:val="18"/>
        <w:lang w:eastAsia="es-ES"/>
      </w:rPr>
      <w:t>UNEP/CMS/COP14/Doc.13.2/</w:t>
    </w:r>
    <w:r w:rsidR="00F3487D" w:rsidRPr="00F3487D">
      <w:rPr>
        <w:rFonts w:eastAsia="Times New Roman" w:cs="Arial"/>
        <w:i/>
        <w:sz w:val="18"/>
        <w:szCs w:val="18"/>
        <w:lang w:eastAsia="es-ES"/>
      </w:rPr>
      <w:t>Rev.1/</w:t>
    </w:r>
    <w:r w:rsidRPr="00F3487D">
      <w:rPr>
        <w:rFonts w:eastAsia="Times New Roman" w:cs="Arial"/>
        <w:i/>
        <w:sz w:val="18"/>
        <w:szCs w:val="18"/>
        <w:lang w:eastAsia="es-ES"/>
      </w:rPr>
      <w:t>Anexo 5 (D)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B8442" w14:textId="481A50FA" w:rsidR="000F4BDA" w:rsidRPr="003C3F92" w:rsidRDefault="000F4BDA" w:rsidP="000F4BDA">
    <w:pPr>
      <w:pStyle w:val="Header"/>
      <w:pBdr>
        <w:bottom w:val="single" w:sz="4" w:space="1" w:color="auto"/>
      </w:pBdr>
      <w:jc w:val="right"/>
      <w:rPr>
        <w:i/>
        <w:sz w:val="18"/>
        <w:szCs w:val="18"/>
      </w:rPr>
    </w:pPr>
    <w:r w:rsidRPr="003C3F92">
      <w:rPr>
        <w:rFonts w:eastAsia="Times New Roman" w:cs="Arial"/>
        <w:i/>
        <w:sz w:val="18"/>
        <w:szCs w:val="18"/>
        <w:lang w:eastAsia="es-ES"/>
      </w:rPr>
      <w:t>UNEP/CMS/COP14/</w:t>
    </w:r>
    <w:r w:rsidR="007B53CC" w:rsidRPr="003C3F92">
      <w:rPr>
        <w:rFonts w:eastAsia="Times New Roman" w:cs="Arial"/>
        <w:i/>
        <w:sz w:val="18"/>
        <w:szCs w:val="18"/>
        <w:lang w:eastAsia="es-ES"/>
      </w:rPr>
      <w:t>Doc</w:t>
    </w:r>
    <w:r w:rsidR="00430A25" w:rsidRPr="003C3F92">
      <w:rPr>
        <w:rFonts w:eastAsia="Times New Roman" w:cs="Arial"/>
        <w:i/>
        <w:sz w:val="18"/>
        <w:szCs w:val="18"/>
        <w:lang w:eastAsia="es-ES"/>
      </w:rPr>
      <w:t>.</w:t>
    </w:r>
    <w:r w:rsidR="00CA0A38" w:rsidRPr="003C3F92">
      <w:rPr>
        <w:rFonts w:eastAsia="Times New Roman" w:cs="Arial"/>
        <w:i/>
        <w:sz w:val="18"/>
        <w:szCs w:val="18"/>
        <w:lang w:eastAsia="es-ES"/>
      </w:rPr>
      <w:t>13.2</w:t>
    </w:r>
    <w:r w:rsidR="003C3F92" w:rsidRPr="003C3F92">
      <w:rPr>
        <w:rFonts w:eastAsia="Times New Roman" w:cs="Arial"/>
        <w:i/>
        <w:sz w:val="18"/>
        <w:szCs w:val="18"/>
        <w:lang w:eastAsia="es-ES"/>
      </w:rPr>
      <w:t>/Rev.</w:t>
    </w:r>
    <w:r w:rsidR="003C3F92">
      <w:rPr>
        <w:rFonts w:eastAsia="Times New Roman" w:cs="Arial"/>
        <w:i/>
        <w:sz w:val="18"/>
        <w:szCs w:val="18"/>
        <w:lang w:eastAsia="es-ES"/>
      </w:rPr>
      <w:t>1</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3C187" w14:textId="34AF0C3C" w:rsidR="00793C7C" w:rsidRPr="002E2962" w:rsidRDefault="00793C7C" w:rsidP="000F4BDA">
    <w:pPr>
      <w:pStyle w:val="Header"/>
      <w:pBdr>
        <w:bottom w:val="single" w:sz="4" w:space="1" w:color="auto"/>
      </w:pBdr>
      <w:jc w:val="right"/>
      <w:rPr>
        <w:i/>
        <w:sz w:val="18"/>
        <w:szCs w:val="18"/>
      </w:rPr>
    </w:pPr>
    <w:r w:rsidRPr="002E2962">
      <w:rPr>
        <w:rFonts w:eastAsia="Times New Roman" w:cs="Arial"/>
        <w:i/>
        <w:sz w:val="18"/>
        <w:szCs w:val="18"/>
        <w:lang w:eastAsia="es-ES"/>
      </w:rPr>
      <w:t>UNEP/CMS/COP14/Doc.13.2/</w:t>
    </w:r>
    <w:r w:rsidR="003C3F92">
      <w:rPr>
        <w:rFonts w:eastAsia="Times New Roman" w:cs="Arial"/>
        <w:i/>
        <w:sz w:val="18"/>
        <w:szCs w:val="18"/>
        <w:lang w:eastAsia="es-ES"/>
      </w:rPr>
      <w:t>Rev.1/</w:t>
    </w:r>
    <w:r w:rsidRPr="002E2962">
      <w:rPr>
        <w:rFonts w:eastAsia="Times New Roman" w:cs="Arial"/>
        <w:i/>
        <w:sz w:val="18"/>
        <w:szCs w:val="18"/>
        <w:lang w:eastAsia="es-ES"/>
      </w:rPr>
      <w:t>An</w:t>
    </w:r>
    <w:r>
      <w:rPr>
        <w:rFonts w:eastAsia="Times New Roman" w:cs="Arial"/>
        <w:i/>
        <w:sz w:val="18"/>
        <w:szCs w:val="18"/>
        <w:lang w:eastAsia="es-ES"/>
      </w:rPr>
      <w:t>exo 5 (D)</w:t>
    </w:r>
  </w:p>
  <w:p w14:paraId="4FD4219F" w14:textId="77777777" w:rsidR="00793C7C" w:rsidRDefault="00793C7C">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39E1A" w14:textId="4FDB1D51" w:rsidR="008250E7" w:rsidRPr="007E0887" w:rsidRDefault="008250E7" w:rsidP="00CC0F4F">
    <w:pPr>
      <w:pStyle w:val="Header"/>
      <w:pBdr>
        <w:bottom w:val="single" w:sz="4" w:space="1" w:color="auto"/>
      </w:pBdr>
      <w:rPr>
        <w:i/>
        <w:sz w:val="18"/>
        <w:szCs w:val="18"/>
      </w:rPr>
    </w:pPr>
    <w:r w:rsidRPr="007E0887">
      <w:rPr>
        <w:rFonts w:eastAsia="Times New Roman" w:cs="Arial"/>
        <w:i/>
        <w:sz w:val="18"/>
        <w:szCs w:val="18"/>
        <w:lang w:eastAsia="es-ES"/>
      </w:rPr>
      <w:t>UNEP/CMS/COP14/Doc.13.2/</w:t>
    </w:r>
    <w:r w:rsidR="003C3F92">
      <w:rPr>
        <w:rFonts w:eastAsia="Times New Roman" w:cs="Arial"/>
        <w:i/>
        <w:sz w:val="18"/>
        <w:szCs w:val="18"/>
        <w:lang w:eastAsia="es-ES"/>
      </w:rPr>
      <w:t>Rev.1/</w:t>
    </w:r>
    <w:r w:rsidRPr="007E0887">
      <w:rPr>
        <w:rFonts w:eastAsia="Times New Roman" w:cs="Arial"/>
        <w:i/>
        <w:sz w:val="18"/>
        <w:szCs w:val="18"/>
        <w:lang w:eastAsia="es-ES"/>
      </w:rPr>
      <w:t>Anexo 5(</w:t>
    </w:r>
    <w:r>
      <w:rPr>
        <w:rFonts w:eastAsia="Times New Roman" w:cs="Arial"/>
        <w:i/>
        <w:sz w:val="18"/>
        <w:szCs w:val="18"/>
        <w:lang w:eastAsia="es-ES"/>
      </w:rPr>
      <w:t>D)</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FFB99" w14:textId="1B572C2F" w:rsidR="002F0E79" w:rsidRPr="007629B7" w:rsidRDefault="002F0E79" w:rsidP="00AB35E8">
    <w:pPr>
      <w:pStyle w:val="Header"/>
      <w:pBdr>
        <w:bottom w:val="single" w:sz="4" w:space="1" w:color="auto"/>
      </w:pBdr>
      <w:jc w:val="right"/>
      <w:rPr>
        <w:i/>
        <w:sz w:val="18"/>
        <w:szCs w:val="18"/>
        <w:lang w:val="es-ES"/>
      </w:rPr>
    </w:pPr>
    <w:r w:rsidRPr="007629B7">
      <w:rPr>
        <w:rFonts w:eastAsia="Times New Roman" w:cs="Arial"/>
        <w:i/>
        <w:sz w:val="18"/>
        <w:szCs w:val="18"/>
        <w:lang w:val="es-ES" w:eastAsia="es-ES"/>
      </w:rPr>
      <w:t>UNEP/CMS/COP14/Doc.13.2/</w:t>
    </w:r>
    <w:r w:rsidR="00F3487D">
      <w:rPr>
        <w:rFonts w:eastAsia="Times New Roman" w:cs="Arial"/>
        <w:i/>
        <w:sz w:val="18"/>
        <w:szCs w:val="18"/>
        <w:lang w:val="es-ES" w:eastAsia="es-ES"/>
      </w:rPr>
      <w:t>Rev.1/</w:t>
    </w:r>
    <w:r w:rsidRPr="007629B7">
      <w:rPr>
        <w:rFonts w:eastAsia="Times New Roman" w:cs="Arial"/>
        <w:i/>
        <w:sz w:val="18"/>
        <w:szCs w:val="18"/>
        <w:lang w:val="es-ES" w:eastAsia="es-ES"/>
      </w:rPr>
      <w:t>Anexo 5(E)</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C48FA" w14:textId="34F8D224" w:rsidR="00AB35E8" w:rsidRPr="007629B7" w:rsidRDefault="00AB35E8" w:rsidP="00AB35E8">
    <w:pPr>
      <w:pStyle w:val="Header"/>
      <w:pBdr>
        <w:bottom w:val="single" w:sz="4" w:space="1" w:color="auto"/>
      </w:pBdr>
      <w:rPr>
        <w:i/>
        <w:sz w:val="18"/>
        <w:szCs w:val="18"/>
        <w:lang w:val="es-ES"/>
      </w:rPr>
    </w:pPr>
    <w:r w:rsidRPr="007629B7">
      <w:rPr>
        <w:rFonts w:eastAsia="Times New Roman" w:cs="Arial"/>
        <w:i/>
        <w:sz w:val="18"/>
        <w:szCs w:val="18"/>
        <w:lang w:val="es-ES" w:eastAsia="es-ES"/>
      </w:rPr>
      <w:t>UNEP/CMS/COP14/Doc.13.2/</w:t>
    </w:r>
    <w:r w:rsidR="00F3487D">
      <w:rPr>
        <w:rFonts w:eastAsia="Times New Roman" w:cs="Arial"/>
        <w:i/>
        <w:sz w:val="18"/>
        <w:szCs w:val="18"/>
        <w:lang w:val="es-ES" w:eastAsia="es-ES"/>
      </w:rPr>
      <w:t>Rev.1/</w:t>
    </w:r>
    <w:r w:rsidRPr="007629B7">
      <w:rPr>
        <w:rFonts w:eastAsia="Times New Roman" w:cs="Arial"/>
        <w:i/>
        <w:sz w:val="18"/>
        <w:szCs w:val="18"/>
        <w:lang w:val="es-ES" w:eastAsia="es-ES"/>
      </w:rPr>
      <w:t xml:space="preserve">Anexo </w:t>
    </w:r>
    <w:r>
      <w:rPr>
        <w:rFonts w:eastAsia="Times New Roman" w:cs="Arial"/>
        <w:i/>
        <w:sz w:val="18"/>
        <w:szCs w:val="18"/>
        <w:lang w:val="es-ES" w:eastAsia="es-ES"/>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9BB20" w14:textId="2192B564" w:rsidR="006F22B0" w:rsidRPr="00002A97" w:rsidRDefault="00457C8A" w:rsidP="006F22B0">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61824" behindDoc="1" locked="0" layoutInCell="1" allowOverlap="1" wp14:anchorId="0CFECFDF" wp14:editId="557917C4">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1086132897" name="Picture 1086132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006F22B0" w:rsidRPr="00002A97">
      <w:rPr>
        <w:rFonts w:eastAsia="Times New Roman" w:cs="Times New Roman"/>
        <w:noProof/>
        <w:sz w:val="18"/>
        <w:szCs w:val="20"/>
        <w:lang w:val="es-ES" w:eastAsia="es-ES"/>
      </w:rPr>
      <w:drawing>
        <wp:anchor distT="0" distB="0" distL="114300" distR="114300" simplePos="0" relativeHeight="251658752" behindDoc="0" locked="0" layoutInCell="1" allowOverlap="1" wp14:anchorId="5BB0F591" wp14:editId="7CD9231B">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484061464" name="Picture 48406146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006F22B0" w:rsidRPr="00002A97">
      <w:rPr>
        <w:rFonts w:eastAsia="Times New Roman" w:cs="Times New Roman"/>
        <w:noProof/>
        <w:sz w:val="18"/>
        <w:szCs w:val="20"/>
      </w:rPr>
      <w:drawing>
        <wp:anchor distT="0" distB="0" distL="114300" distR="114300" simplePos="0" relativeHeight="251655680" behindDoc="0" locked="0" layoutInCell="1" allowOverlap="1" wp14:anchorId="09063D46" wp14:editId="6FDC4C4C">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490115304" name="Picture 49011530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50FCC012" w14:textId="77777777" w:rsidR="00B40E07" w:rsidRPr="006F22B0" w:rsidRDefault="00B40E07" w:rsidP="006F22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5C46E" w14:textId="24142524" w:rsidR="00FB67E4" w:rsidRPr="00002A97" w:rsidRDefault="00FB67E4" w:rsidP="00FB67E4">
    <w:pPr>
      <w:pStyle w:val="Header"/>
      <w:pBdr>
        <w:bottom w:val="single" w:sz="4" w:space="1" w:color="auto"/>
      </w:pBdr>
      <w:jc w:val="right"/>
      <w:rPr>
        <w:i/>
        <w:sz w:val="18"/>
        <w:szCs w:val="18"/>
      </w:rPr>
    </w:pPr>
    <w:r w:rsidRPr="003C3F92">
      <w:rPr>
        <w:rFonts w:eastAsia="Times New Roman" w:cs="Arial"/>
        <w:i/>
        <w:sz w:val="18"/>
        <w:szCs w:val="18"/>
        <w:lang w:eastAsia="es-ES"/>
      </w:rPr>
      <w:t>UNEP/CMS/COP14/Doc.13.2/</w:t>
    </w:r>
    <w:r w:rsidR="003C3F92" w:rsidRPr="003C3F92">
      <w:rPr>
        <w:rFonts w:eastAsia="Times New Roman" w:cs="Arial"/>
        <w:i/>
        <w:sz w:val="18"/>
        <w:szCs w:val="18"/>
        <w:lang w:eastAsia="es-ES"/>
      </w:rPr>
      <w:t>Rev.1/</w:t>
    </w:r>
    <w:r w:rsidRPr="003C3F92">
      <w:rPr>
        <w:rFonts w:eastAsia="Times New Roman" w:cs="Arial"/>
        <w:i/>
        <w:sz w:val="18"/>
        <w:szCs w:val="18"/>
        <w:lang w:eastAsia="es-ES"/>
      </w:rPr>
      <w:t>Anexo 1</w:t>
    </w:r>
  </w:p>
  <w:p w14:paraId="1C8EA196" w14:textId="77777777" w:rsidR="006A201B" w:rsidRPr="006F22B0" w:rsidRDefault="006A201B" w:rsidP="006F22B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D06E4" w14:textId="0A370377" w:rsidR="00C21712" w:rsidRPr="00002A97" w:rsidRDefault="00C21712" w:rsidP="008554CA">
    <w:pPr>
      <w:pStyle w:val="Header"/>
      <w:pBdr>
        <w:bottom w:val="single" w:sz="4" w:space="1" w:color="auto"/>
      </w:pBdr>
      <w:rPr>
        <w:i/>
        <w:sz w:val="18"/>
        <w:szCs w:val="18"/>
      </w:rPr>
    </w:pPr>
    <w:r w:rsidRPr="003C3F92">
      <w:rPr>
        <w:rFonts w:eastAsia="Times New Roman" w:cs="Arial"/>
        <w:i/>
        <w:sz w:val="18"/>
        <w:szCs w:val="18"/>
        <w:lang w:eastAsia="es-ES"/>
      </w:rPr>
      <w:t>UNEP/CMS/COP14/Doc.13.2/</w:t>
    </w:r>
    <w:r w:rsidR="003C3F92" w:rsidRPr="003C3F92">
      <w:rPr>
        <w:rFonts w:eastAsia="Times New Roman" w:cs="Arial"/>
        <w:i/>
        <w:sz w:val="18"/>
        <w:szCs w:val="18"/>
        <w:lang w:eastAsia="es-ES"/>
      </w:rPr>
      <w:t>Rev.1/</w:t>
    </w:r>
    <w:r w:rsidRPr="003C3F92">
      <w:rPr>
        <w:rFonts w:eastAsia="Times New Roman" w:cs="Arial"/>
        <w:i/>
        <w:sz w:val="18"/>
        <w:szCs w:val="18"/>
        <w:lang w:eastAsia="es-ES"/>
      </w:rPr>
      <w:t>Anexo 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ED788" w14:textId="55194D3E" w:rsidR="001B6B91" w:rsidRPr="001613CE" w:rsidRDefault="001B6B91" w:rsidP="00FB67E4">
    <w:pPr>
      <w:pStyle w:val="Header"/>
      <w:pBdr>
        <w:bottom w:val="single" w:sz="4" w:space="1" w:color="auto"/>
      </w:pBdr>
      <w:jc w:val="right"/>
      <w:rPr>
        <w:i/>
        <w:sz w:val="18"/>
        <w:szCs w:val="18"/>
      </w:rPr>
    </w:pPr>
    <w:r w:rsidRPr="001613CE">
      <w:rPr>
        <w:rFonts w:eastAsia="Times New Roman" w:cs="Arial"/>
        <w:i/>
        <w:sz w:val="18"/>
        <w:szCs w:val="18"/>
        <w:lang w:eastAsia="es-ES"/>
      </w:rPr>
      <w:t>UNEP/CMS/COP14/Doc.13.2/</w:t>
    </w:r>
    <w:r w:rsidR="003C3F92">
      <w:rPr>
        <w:rFonts w:eastAsia="Times New Roman" w:cs="Arial"/>
        <w:i/>
        <w:sz w:val="18"/>
        <w:szCs w:val="18"/>
        <w:lang w:eastAsia="es-ES"/>
      </w:rPr>
      <w:t>Rev.1/</w:t>
    </w:r>
    <w:r w:rsidRPr="001613CE">
      <w:rPr>
        <w:rFonts w:eastAsia="Times New Roman" w:cs="Arial"/>
        <w:i/>
        <w:sz w:val="18"/>
        <w:szCs w:val="18"/>
        <w:lang w:eastAsia="es-ES"/>
      </w:rPr>
      <w:t xml:space="preserve">Anexo </w:t>
    </w:r>
    <w:r w:rsidR="001613CE" w:rsidRPr="001613CE">
      <w:rPr>
        <w:rFonts w:eastAsia="Times New Roman" w:cs="Arial"/>
        <w:i/>
        <w:sz w:val="18"/>
        <w:szCs w:val="18"/>
        <w:lang w:eastAsia="es-ES"/>
      </w:rPr>
      <w:t>3</w:t>
    </w:r>
    <w:r w:rsidR="005F4402">
      <w:rPr>
        <w:rFonts w:eastAsia="Times New Roman" w:cs="Arial"/>
        <w:i/>
        <w:sz w:val="18"/>
        <w:szCs w:val="18"/>
        <w:lang w:eastAsia="es-ES"/>
      </w:rPr>
      <w:t>(</w:t>
    </w:r>
    <w:r w:rsidR="001613CE">
      <w:rPr>
        <w:rFonts w:eastAsia="Times New Roman" w:cs="Arial"/>
        <w:i/>
        <w:sz w:val="18"/>
        <w:szCs w:val="18"/>
        <w:lang w:eastAsia="es-ES"/>
      </w:rPr>
      <w:t>A</w:t>
    </w:r>
    <w:r w:rsidR="005F4402">
      <w:rPr>
        <w:rFonts w:eastAsia="Times New Roman" w:cs="Arial"/>
        <w:i/>
        <w:sz w:val="18"/>
        <w:szCs w:val="18"/>
        <w:lang w:eastAsia="es-ES"/>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FD438" w14:textId="6B8E7B91" w:rsidR="001B6B91" w:rsidRPr="00DC55BE" w:rsidRDefault="001B6B91" w:rsidP="00BD53D8">
    <w:pPr>
      <w:pStyle w:val="Header"/>
      <w:pBdr>
        <w:bottom w:val="single" w:sz="4" w:space="1" w:color="auto"/>
      </w:pBdr>
      <w:rPr>
        <w:i/>
        <w:sz w:val="18"/>
        <w:szCs w:val="18"/>
      </w:rPr>
    </w:pPr>
    <w:r w:rsidRPr="00DC55BE">
      <w:rPr>
        <w:rFonts w:eastAsia="Times New Roman" w:cs="Arial"/>
        <w:i/>
        <w:sz w:val="18"/>
        <w:szCs w:val="18"/>
        <w:lang w:eastAsia="es-ES"/>
      </w:rPr>
      <w:t>UNEP/CMS/COP14/Doc.13.2/</w:t>
    </w:r>
    <w:r w:rsidR="003C3F92">
      <w:rPr>
        <w:rFonts w:eastAsia="Times New Roman" w:cs="Arial"/>
        <w:i/>
        <w:sz w:val="18"/>
        <w:szCs w:val="18"/>
        <w:lang w:eastAsia="es-ES"/>
      </w:rPr>
      <w:t>Rev.1/</w:t>
    </w:r>
    <w:r w:rsidRPr="00DC55BE">
      <w:rPr>
        <w:rFonts w:eastAsia="Times New Roman" w:cs="Arial"/>
        <w:i/>
        <w:sz w:val="18"/>
        <w:szCs w:val="18"/>
        <w:lang w:eastAsia="es-ES"/>
      </w:rPr>
      <w:t xml:space="preserve">Anexo </w:t>
    </w:r>
    <w:r w:rsidR="007708C1" w:rsidRPr="00DC55BE">
      <w:rPr>
        <w:rFonts w:eastAsia="Times New Roman" w:cs="Arial"/>
        <w:i/>
        <w:sz w:val="18"/>
        <w:szCs w:val="18"/>
        <w:lang w:eastAsia="es-ES"/>
      </w:rPr>
      <w:t>3</w:t>
    </w:r>
    <w:r w:rsidR="005F4402">
      <w:rPr>
        <w:rFonts w:eastAsia="Times New Roman" w:cs="Arial"/>
        <w:i/>
        <w:sz w:val="18"/>
        <w:szCs w:val="18"/>
        <w:lang w:eastAsia="es-ES"/>
      </w:rPr>
      <w:t>(</w:t>
    </w:r>
    <w:r w:rsidR="00DC55BE" w:rsidRPr="00DC55BE">
      <w:rPr>
        <w:rFonts w:eastAsia="Times New Roman" w:cs="Arial"/>
        <w:i/>
        <w:sz w:val="18"/>
        <w:szCs w:val="18"/>
        <w:lang w:eastAsia="es-ES"/>
      </w:rPr>
      <w:t>B</w:t>
    </w:r>
    <w:r w:rsidR="005F4402">
      <w:rPr>
        <w:rFonts w:eastAsia="Times New Roman" w:cs="Arial"/>
        <w:i/>
        <w:sz w:val="18"/>
        <w:szCs w:val="18"/>
        <w:lang w:eastAsia="es-ES"/>
      </w:rPr>
      <w: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23403" w14:textId="79C84548" w:rsidR="00BF0D46" w:rsidRPr="00DC55BE" w:rsidRDefault="00BF0D46" w:rsidP="00FB67E4">
    <w:pPr>
      <w:pStyle w:val="Header"/>
      <w:pBdr>
        <w:bottom w:val="single" w:sz="4" w:space="1" w:color="auto"/>
      </w:pBdr>
      <w:jc w:val="right"/>
      <w:rPr>
        <w:i/>
        <w:sz w:val="18"/>
        <w:szCs w:val="18"/>
      </w:rPr>
    </w:pPr>
    <w:r w:rsidRPr="00DC55BE">
      <w:rPr>
        <w:rFonts w:eastAsia="Times New Roman" w:cs="Arial"/>
        <w:i/>
        <w:sz w:val="18"/>
        <w:szCs w:val="18"/>
        <w:lang w:eastAsia="es-ES"/>
      </w:rPr>
      <w:t>UNEP/CMS/COP14/Doc.13.2/</w:t>
    </w:r>
    <w:r w:rsidR="003C3F92">
      <w:rPr>
        <w:rFonts w:eastAsia="Times New Roman" w:cs="Arial"/>
        <w:i/>
        <w:sz w:val="18"/>
        <w:szCs w:val="18"/>
        <w:lang w:eastAsia="es-ES"/>
      </w:rPr>
      <w:t>Rev.1/</w:t>
    </w:r>
    <w:r w:rsidRPr="00DC55BE">
      <w:rPr>
        <w:rFonts w:eastAsia="Times New Roman" w:cs="Arial"/>
        <w:i/>
        <w:sz w:val="18"/>
        <w:szCs w:val="18"/>
        <w:lang w:eastAsia="es-ES"/>
      </w:rPr>
      <w:t>Anexo 3</w:t>
    </w:r>
    <w:r w:rsidR="00F350CB">
      <w:rPr>
        <w:rFonts w:eastAsia="Times New Roman" w:cs="Arial"/>
        <w:i/>
        <w:sz w:val="18"/>
        <w:szCs w:val="18"/>
        <w:lang w:eastAsia="es-ES"/>
      </w:rPr>
      <w:t>(C)</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E658B" w14:textId="39827FDD" w:rsidR="002E2962" w:rsidRPr="00002A97" w:rsidRDefault="002E2962" w:rsidP="00002A97">
    <w:pPr>
      <w:pStyle w:val="Header"/>
      <w:pBdr>
        <w:bottom w:val="single" w:sz="4" w:space="1" w:color="auto"/>
      </w:pBdr>
      <w:rPr>
        <w:i/>
        <w:sz w:val="18"/>
        <w:szCs w:val="18"/>
      </w:rPr>
    </w:pPr>
    <w:r w:rsidRPr="003C3F92">
      <w:rPr>
        <w:rFonts w:eastAsia="Times New Roman" w:cs="Arial"/>
        <w:i/>
        <w:sz w:val="18"/>
        <w:szCs w:val="18"/>
        <w:lang w:eastAsia="es-ES"/>
      </w:rPr>
      <w:t>UNEP/CMS/COP14/Doc.13.2/</w:t>
    </w:r>
    <w:r w:rsidR="003C3F92" w:rsidRPr="003C3F92">
      <w:rPr>
        <w:rFonts w:eastAsia="Times New Roman" w:cs="Arial"/>
        <w:i/>
        <w:sz w:val="18"/>
        <w:szCs w:val="18"/>
        <w:lang w:eastAsia="es-ES"/>
      </w:rPr>
      <w:t>Rev.1/</w:t>
    </w:r>
    <w:r w:rsidRPr="003C3F92">
      <w:rPr>
        <w:rFonts w:eastAsia="Times New Roman" w:cs="Arial"/>
        <w:i/>
        <w:sz w:val="18"/>
        <w:szCs w:val="18"/>
        <w:lang w:eastAsia="es-ES"/>
      </w:rPr>
      <w:t>Anexo 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409"/>
    <w:multiLevelType w:val="hybridMultilevel"/>
    <w:tmpl w:val="9078CAB6"/>
    <w:lvl w:ilvl="0" w:tplc="3D6816F8">
      <w:start w:val="1"/>
      <w:numFmt w:val="decimal"/>
      <w:pStyle w:val="Firstnumbering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F22C7"/>
    <w:multiLevelType w:val="hybridMultilevel"/>
    <w:tmpl w:val="80DAB9C6"/>
    <w:lvl w:ilvl="0" w:tplc="87DEB022">
      <w:start w:val="1"/>
      <w:numFmt w:val="lowerLetter"/>
      <w:pStyle w:val="Second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61C7F"/>
    <w:multiLevelType w:val="hybridMultilevel"/>
    <w:tmpl w:val="00BA1968"/>
    <w:lvl w:ilvl="0" w:tplc="EE1E7ABA">
      <w:start w:val="1"/>
      <w:numFmt w:val="lowerRoman"/>
      <w:pStyle w:val="Thirdnumberingi"/>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2A4942"/>
    <w:multiLevelType w:val="singleLevel"/>
    <w:tmpl w:val="47B68E82"/>
    <w:lvl w:ilvl="0">
      <w:start w:val="1"/>
      <w:numFmt w:val="decimal"/>
      <w:lvlText w:val="%1."/>
      <w:lvlJc w:val="left"/>
      <w:pPr>
        <w:tabs>
          <w:tab w:val="num" w:pos="648"/>
        </w:tabs>
        <w:ind w:hanging="504"/>
      </w:pPr>
      <w:rPr>
        <w:rFonts w:ascii="Arial" w:hAnsi="Arial" w:cs="Times New Roman"/>
        <w:i w:val="0"/>
        <w:iCs/>
        <w:spacing w:val="-1"/>
        <w:sz w:val="22"/>
      </w:rPr>
    </w:lvl>
  </w:abstractNum>
  <w:abstractNum w:abstractNumId="4" w15:restartNumberingAfterBreak="0">
    <w:nsid w:val="06CCFDF3"/>
    <w:multiLevelType w:val="singleLevel"/>
    <w:tmpl w:val="60853EA6"/>
    <w:lvl w:ilvl="0">
      <w:start w:val="1"/>
      <w:numFmt w:val="lowerRoman"/>
      <w:lvlText w:val="%1)"/>
      <w:lvlJc w:val="left"/>
      <w:pPr>
        <w:tabs>
          <w:tab w:val="num" w:pos="1152"/>
        </w:tabs>
        <w:ind w:hanging="576"/>
      </w:pPr>
      <w:rPr>
        <w:rFonts w:ascii="Arial" w:hAnsi="Arial" w:cs="Times New Roman"/>
        <w:sz w:val="22"/>
      </w:rPr>
    </w:lvl>
  </w:abstractNum>
  <w:abstractNum w:abstractNumId="5" w15:restartNumberingAfterBreak="0">
    <w:nsid w:val="0A2F56BF"/>
    <w:multiLevelType w:val="hybridMultilevel"/>
    <w:tmpl w:val="6FAC9B26"/>
    <w:lvl w:ilvl="0" w:tplc="71229CC2">
      <w:start w:val="1"/>
      <w:numFmt w:val="lowerLetter"/>
      <w:lvlText w:val="%1)"/>
      <w:lvlJc w:val="left"/>
      <w:pPr>
        <w:ind w:left="1386" w:hanging="567"/>
      </w:pPr>
      <w:rPr>
        <w:rFonts w:ascii="Arial" w:eastAsia="Arial" w:hAnsi="Arial" w:cs="Arial" w:hint="default"/>
        <w:b w:val="0"/>
        <w:bCs w:val="0"/>
        <w:i w:val="0"/>
        <w:iCs w:val="0"/>
        <w:spacing w:val="-1"/>
        <w:w w:val="100"/>
        <w:sz w:val="22"/>
        <w:szCs w:val="22"/>
        <w:lang w:val="en-US" w:eastAsia="en-US" w:bidi="ar-SA"/>
      </w:rPr>
    </w:lvl>
    <w:lvl w:ilvl="1" w:tplc="32009A80">
      <w:numFmt w:val="bullet"/>
      <w:lvlText w:val="•"/>
      <w:lvlJc w:val="left"/>
      <w:pPr>
        <w:ind w:left="2254" w:hanging="567"/>
      </w:pPr>
      <w:rPr>
        <w:rFonts w:hint="default"/>
        <w:lang w:val="en-US" w:eastAsia="en-US" w:bidi="ar-SA"/>
      </w:rPr>
    </w:lvl>
    <w:lvl w:ilvl="2" w:tplc="91F873CA">
      <w:numFmt w:val="bullet"/>
      <w:lvlText w:val="•"/>
      <w:lvlJc w:val="left"/>
      <w:pPr>
        <w:ind w:left="3129" w:hanging="567"/>
      </w:pPr>
      <w:rPr>
        <w:rFonts w:hint="default"/>
        <w:lang w:val="en-US" w:eastAsia="en-US" w:bidi="ar-SA"/>
      </w:rPr>
    </w:lvl>
    <w:lvl w:ilvl="3" w:tplc="6646F454">
      <w:numFmt w:val="bullet"/>
      <w:lvlText w:val="•"/>
      <w:lvlJc w:val="left"/>
      <w:pPr>
        <w:ind w:left="4003" w:hanging="567"/>
      </w:pPr>
      <w:rPr>
        <w:rFonts w:hint="default"/>
        <w:lang w:val="en-US" w:eastAsia="en-US" w:bidi="ar-SA"/>
      </w:rPr>
    </w:lvl>
    <w:lvl w:ilvl="4" w:tplc="DEBEA8A8">
      <w:numFmt w:val="bullet"/>
      <w:lvlText w:val="•"/>
      <w:lvlJc w:val="left"/>
      <w:pPr>
        <w:ind w:left="4878" w:hanging="567"/>
      </w:pPr>
      <w:rPr>
        <w:rFonts w:hint="default"/>
        <w:lang w:val="en-US" w:eastAsia="en-US" w:bidi="ar-SA"/>
      </w:rPr>
    </w:lvl>
    <w:lvl w:ilvl="5" w:tplc="E62E1C20">
      <w:numFmt w:val="bullet"/>
      <w:lvlText w:val="•"/>
      <w:lvlJc w:val="left"/>
      <w:pPr>
        <w:ind w:left="5753" w:hanging="567"/>
      </w:pPr>
      <w:rPr>
        <w:rFonts w:hint="default"/>
        <w:lang w:val="en-US" w:eastAsia="en-US" w:bidi="ar-SA"/>
      </w:rPr>
    </w:lvl>
    <w:lvl w:ilvl="6" w:tplc="818A1A64">
      <w:numFmt w:val="bullet"/>
      <w:lvlText w:val="•"/>
      <w:lvlJc w:val="left"/>
      <w:pPr>
        <w:ind w:left="6627" w:hanging="567"/>
      </w:pPr>
      <w:rPr>
        <w:rFonts w:hint="default"/>
        <w:lang w:val="en-US" w:eastAsia="en-US" w:bidi="ar-SA"/>
      </w:rPr>
    </w:lvl>
    <w:lvl w:ilvl="7" w:tplc="AE5C7EDA">
      <w:numFmt w:val="bullet"/>
      <w:lvlText w:val="•"/>
      <w:lvlJc w:val="left"/>
      <w:pPr>
        <w:ind w:left="7502" w:hanging="567"/>
      </w:pPr>
      <w:rPr>
        <w:rFonts w:hint="default"/>
        <w:lang w:val="en-US" w:eastAsia="en-US" w:bidi="ar-SA"/>
      </w:rPr>
    </w:lvl>
    <w:lvl w:ilvl="8" w:tplc="F1F4A960">
      <w:numFmt w:val="bullet"/>
      <w:lvlText w:val="•"/>
      <w:lvlJc w:val="left"/>
      <w:pPr>
        <w:ind w:left="8377" w:hanging="567"/>
      </w:pPr>
      <w:rPr>
        <w:rFonts w:hint="default"/>
        <w:lang w:val="en-US" w:eastAsia="en-US" w:bidi="ar-SA"/>
      </w:rPr>
    </w:lvl>
  </w:abstractNum>
  <w:abstractNum w:abstractNumId="6" w15:restartNumberingAfterBreak="0">
    <w:nsid w:val="0BEE6921"/>
    <w:multiLevelType w:val="hybridMultilevel"/>
    <w:tmpl w:val="EBAA6B80"/>
    <w:lvl w:ilvl="0" w:tplc="9A4CC044">
      <w:start w:val="1"/>
      <w:numFmt w:val="lowerLetter"/>
      <w:lvlText w:val="%1)"/>
      <w:lvlJc w:val="left"/>
      <w:pPr>
        <w:ind w:left="1179" w:hanging="360"/>
      </w:pPr>
      <w:rPr>
        <w:rFonts w:ascii="Arial" w:eastAsia="Arial" w:hAnsi="Arial" w:cs="Arial" w:hint="default"/>
        <w:b w:val="0"/>
        <w:bCs w:val="0"/>
        <w:i w:val="0"/>
        <w:iCs w:val="0"/>
        <w:spacing w:val="-1"/>
        <w:w w:val="100"/>
        <w:sz w:val="22"/>
        <w:szCs w:val="22"/>
        <w:lang w:val="en-US" w:eastAsia="en-US" w:bidi="ar-SA"/>
      </w:rPr>
    </w:lvl>
    <w:lvl w:ilvl="1" w:tplc="782A4A3C">
      <w:numFmt w:val="bullet"/>
      <w:lvlText w:val="•"/>
      <w:lvlJc w:val="left"/>
      <w:pPr>
        <w:ind w:left="2074" w:hanging="360"/>
      </w:pPr>
      <w:rPr>
        <w:rFonts w:hint="default"/>
        <w:lang w:val="en-US" w:eastAsia="en-US" w:bidi="ar-SA"/>
      </w:rPr>
    </w:lvl>
    <w:lvl w:ilvl="2" w:tplc="4F4A42BC">
      <w:numFmt w:val="bullet"/>
      <w:lvlText w:val="•"/>
      <w:lvlJc w:val="left"/>
      <w:pPr>
        <w:ind w:left="2969" w:hanging="360"/>
      </w:pPr>
      <w:rPr>
        <w:rFonts w:hint="default"/>
        <w:lang w:val="en-US" w:eastAsia="en-US" w:bidi="ar-SA"/>
      </w:rPr>
    </w:lvl>
    <w:lvl w:ilvl="3" w:tplc="7EE47816">
      <w:numFmt w:val="bullet"/>
      <w:lvlText w:val="•"/>
      <w:lvlJc w:val="left"/>
      <w:pPr>
        <w:ind w:left="3863" w:hanging="360"/>
      </w:pPr>
      <w:rPr>
        <w:rFonts w:hint="default"/>
        <w:lang w:val="en-US" w:eastAsia="en-US" w:bidi="ar-SA"/>
      </w:rPr>
    </w:lvl>
    <w:lvl w:ilvl="4" w:tplc="55003F40">
      <w:numFmt w:val="bullet"/>
      <w:lvlText w:val="•"/>
      <w:lvlJc w:val="left"/>
      <w:pPr>
        <w:ind w:left="4758" w:hanging="360"/>
      </w:pPr>
      <w:rPr>
        <w:rFonts w:hint="default"/>
        <w:lang w:val="en-US" w:eastAsia="en-US" w:bidi="ar-SA"/>
      </w:rPr>
    </w:lvl>
    <w:lvl w:ilvl="5" w:tplc="E66E96DA">
      <w:numFmt w:val="bullet"/>
      <w:lvlText w:val="•"/>
      <w:lvlJc w:val="left"/>
      <w:pPr>
        <w:ind w:left="5653" w:hanging="360"/>
      </w:pPr>
      <w:rPr>
        <w:rFonts w:hint="default"/>
        <w:lang w:val="en-US" w:eastAsia="en-US" w:bidi="ar-SA"/>
      </w:rPr>
    </w:lvl>
    <w:lvl w:ilvl="6" w:tplc="B172E9AA">
      <w:numFmt w:val="bullet"/>
      <w:lvlText w:val="•"/>
      <w:lvlJc w:val="left"/>
      <w:pPr>
        <w:ind w:left="6547" w:hanging="360"/>
      </w:pPr>
      <w:rPr>
        <w:rFonts w:hint="default"/>
        <w:lang w:val="en-US" w:eastAsia="en-US" w:bidi="ar-SA"/>
      </w:rPr>
    </w:lvl>
    <w:lvl w:ilvl="7" w:tplc="C3D43802">
      <w:numFmt w:val="bullet"/>
      <w:lvlText w:val="•"/>
      <w:lvlJc w:val="left"/>
      <w:pPr>
        <w:ind w:left="7442" w:hanging="360"/>
      </w:pPr>
      <w:rPr>
        <w:rFonts w:hint="default"/>
        <w:lang w:val="en-US" w:eastAsia="en-US" w:bidi="ar-SA"/>
      </w:rPr>
    </w:lvl>
    <w:lvl w:ilvl="8" w:tplc="03C2AD26">
      <w:numFmt w:val="bullet"/>
      <w:lvlText w:val="•"/>
      <w:lvlJc w:val="left"/>
      <w:pPr>
        <w:ind w:left="8337" w:hanging="360"/>
      </w:pPr>
      <w:rPr>
        <w:rFonts w:hint="default"/>
        <w:lang w:val="en-US" w:eastAsia="en-US" w:bidi="ar-SA"/>
      </w:rPr>
    </w:lvl>
  </w:abstractNum>
  <w:abstractNum w:abstractNumId="7" w15:restartNumberingAfterBreak="0">
    <w:nsid w:val="10A11872"/>
    <w:multiLevelType w:val="hybridMultilevel"/>
    <w:tmpl w:val="E56C19C6"/>
    <w:lvl w:ilvl="0" w:tplc="09DC766C">
      <w:start w:val="1"/>
      <w:numFmt w:val="decimal"/>
      <w:lvlText w:val="%1."/>
      <w:lvlJc w:val="left"/>
      <w:pPr>
        <w:ind w:left="759" w:hanging="567"/>
      </w:pPr>
      <w:rPr>
        <w:rFonts w:ascii="Arial" w:eastAsia="Arial" w:hAnsi="Arial" w:cs="Arial" w:hint="default"/>
        <w:b w:val="0"/>
        <w:bCs w:val="0"/>
        <w:i w:val="0"/>
        <w:iCs w:val="0"/>
        <w:spacing w:val="-1"/>
        <w:w w:val="100"/>
        <w:sz w:val="22"/>
        <w:szCs w:val="22"/>
        <w:lang w:val="en-US" w:eastAsia="en-US" w:bidi="ar-SA"/>
      </w:rPr>
    </w:lvl>
    <w:lvl w:ilvl="1" w:tplc="ADC87D8A">
      <w:start w:val="1"/>
      <w:numFmt w:val="lowerLetter"/>
      <w:lvlText w:val="%2)"/>
      <w:lvlJc w:val="left"/>
      <w:pPr>
        <w:ind w:left="1326" w:hanging="567"/>
      </w:pPr>
      <w:rPr>
        <w:rFonts w:ascii="Arial" w:eastAsia="Arial" w:hAnsi="Arial" w:cs="Arial" w:hint="default"/>
        <w:b w:val="0"/>
        <w:bCs w:val="0"/>
        <w:i w:val="0"/>
        <w:iCs w:val="0"/>
        <w:spacing w:val="-1"/>
        <w:w w:val="100"/>
        <w:sz w:val="22"/>
        <w:szCs w:val="22"/>
        <w:lang w:val="en-US" w:eastAsia="en-US" w:bidi="ar-SA"/>
      </w:rPr>
    </w:lvl>
    <w:lvl w:ilvl="2" w:tplc="75ACA1DA">
      <w:start w:val="1"/>
      <w:numFmt w:val="decimal"/>
      <w:lvlText w:val="%3."/>
      <w:lvlJc w:val="left"/>
      <w:pPr>
        <w:ind w:left="1611" w:hanging="711"/>
      </w:pPr>
      <w:rPr>
        <w:rFonts w:ascii="Arial" w:eastAsia="Arial" w:hAnsi="Arial" w:cs="Arial" w:hint="default"/>
        <w:b w:val="0"/>
        <w:bCs w:val="0"/>
        <w:i w:val="0"/>
        <w:iCs w:val="0"/>
        <w:spacing w:val="-1"/>
        <w:w w:val="100"/>
        <w:sz w:val="22"/>
        <w:szCs w:val="22"/>
        <w:lang w:val="en-US" w:eastAsia="en-US" w:bidi="ar-SA"/>
      </w:rPr>
    </w:lvl>
    <w:lvl w:ilvl="3" w:tplc="AE7A1D0E">
      <w:numFmt w:val="bullet"/>
      <w:lvlText w:val="•"/>
      <w:lvlJc w:val="left"/>
      <w:pPr>
        <w:ind w:left="2660" w:hanging="711"/>
      </w:pPr>
      <w:rPr>
        <w:rFonts w:hint="default"/>
        <w:lang w:val="en-US" w:eastAsia="en-US" w:bidi="ar-SA"/>
      </w:rPr>
    </w:lvl>
    <w:lvl w:ilvl="4" w:tplc="E152B20A">
      <w:numFmt w:val="bullet"/>
      <w:lvlText w:val="•"/>
      <w:lvlJc w:val="left"/>
      <w:pPr>
        <w:ind w:left="3701" w:hanging="711"/>
      </w:pPr>
      <w:rPr>
        <w:rFonts w:hint="default"/>
        <w:lang w:val="en-US" w:eastAsia="en-US" w:bidi="ar-SA"/>
      </w:rPr>
    </w:lvl>
    <w:lvl w:ilvl="5" w:tplc="9C4218B6">
      <w:numFmt w:val="bullet"/>
      <w:lvlText w:val="•"/>
      <w:lvlJc w:val="left"/>
      <w:pPr>
        <w:ind w:left="4742" w:hanging="711"/>
      </w:pPr>
      <w:rPr>
        <w:rFonts w:hint="default"/>
        <w:lang w:val="en-US" w:eastAsia="en-US" w:bidi="ar-SA"/>
      </w:rPr>
    </w:lvl>
    <w:lvl w:ilvl="6" w:tplc="5824BF76">
      <w:numFmt w:val="bullet"/>
      <w:lvlText w:val="•"/>
      <w:lvlJc w:val="left"/>
      <w:pPr>
        <w:ind w:left="5783" w:hanging="711"/>
      </w:pPr>
      <w:rPr>
        <w:rFonts w:hint="default"/>
        <w:lang w:val="en-US" w:eastAsia="en-US" w:bidi="ar-SA"/>
      </w:rPr>
    </w:lvl>
    <w:lvl w:ilvl="7" w:tplc="A71C58CA">
      <w:numFmt w:val="bullet"/>
      <w:lvlText w:val="•"/>
      <w:lvlJc w:val="left"/>
      <w:pPr>
        <w:ind w:left="6824" w:hanging="711"/>
      </w:pPr>
      <w:rPr>
        <w:rFonts w:hint="default"/>
        <w:lang w:val="en-US" w:eastAsia="en-US" w:bidi="ar-SA"/>
      </w:rPr>
    </w:lvl>
    <w:lvl w:ilvl="8" w:tplc="907C759A">
      <w:numFmt w:val="bullet"/>
      <w:lvlText w:val="•"/>
      <w:lvlJc w:val="left"/>
      <w:pPr>
        <w:ind w:left="7864" w:hanging="711"/>
      </w:pPr>
      <w:rPr>
        <w:rFonts w:hint="default"/>
        <w:lang w:val="en-US" w:eastAsia="en-US" w:bidi="ar-SA"/>
      </w:rPr>
    </w:lvl>
  </w:abstractNum>
  <w:abstractNum w:abstractNumId="8" w15:restartNumberingAfterBreak="0">
    <w:nsid w:val="15DE2C92"/>
    <w:multiLevelType w:val="hybridMultilevel"/>
    <w:tmpl w:val="3D3A58F4"/>
    <w:lvl w:ilvl="0" w:tplc="04090001">
      <w:start w:val="1"/>
      <w:numFmt w:val="bullet"/>
      <w:lvlText w:val=""/>
      <w:lvlJc w:val="left"/>
      <w:pPr>
        <w:ind w:left="1539" w:hanging="360"/>
      </w:pPr>
      <w:rPr>
        <w:rFonts w:ascii="Symbol" w:hAnsi="Symbol" w:hint="default"/>
      </w:rPr>
    </w:lvl>
    <w:lvl w:ilvl="1" w:tplc="04090003" w:tentative="1">
      <w:start w:val="1"/>
      <w:numFmt w:val="bullet"/>
      <w:lvlText w:val="o"/>
      <w:lvlJc w:val="left"/>
      <w:pPr>
        <w:ind w:left="2259" w:hanging="360"/>
      </w:pPr>
      <w:rPr>
        <w:rFonts w:ascii="Courier New" w:hAnsi="Courier New" w:cs="Courier New" w:hint="default"/>
      </w:rPr>
    </w:lvl>
    <w:lvl w:ilvl="2" w:tplc="04090005" w:tentative="1">
      <w:start w:val="1"/>
      <w:numFmt w:val="bullet"/>
      <w:lvlText w:val=""/>
      <w:lvlJc w:val="left"/>
      <w:pPr>
        <w:ind w:left="2979" w:hanging="360"/>
      </w:pPr>
      <w:rPr>
        <w:rFonts w:ascii="Wingdings" w:hAnsi="Wingdings" w:hint="default"/>
      </w:rPr>
    </w:lvl>
    <w:lvl w:ilvl="3" w:tplc="04090001" w:tentative="1">
      <w:start w:val="1"/>
      <w:numFmt w:val="bullet"/>
      <w:lvlText w:val=""/>
      <w:lvlJc w:val="left"/>
      <w:pPr>
        <w:ind w:left="3699" w:hanging="360"/>
      </w:pPr>
      <w:rPr>
        <w:rFonts w:ascii="Symbol" w:hAnsi="Symbol" w:hint="default"/>
      </w:rPr>
    </w:lvl>
    <w:lvl w:ilvl="4" w:tplc="04090003" w:tentative="1">
      <w:start w:val="1"/>
      <w:numFmt w:val="bullet"/>
      <w:lvlText w:val="o"/>
      <w:lvlJc w:val="left"/>
      <w:pPr>
        <w:ind w:left="4419" w:hanging="360"/>
      </w:pPr>
      <w:rPr>
        <w:rFonts w:ascii="Courier New" w:hAnsi="Courier New" w:cs="Courier New" w:hint="default"/>
      </w:rPr>
    </w:lvl>
    <w:lvl w:ilvl="5" w:tplc="04090005" w:tentative="1">
      <w:start w:val="1"/>
      <w:numFmt w:val="bullet"/>
      <w:lvlText w:val=""/>
      <w:lvlJc w:val="left"/>
      <w:pPr>
        <w:ind w:left="5139" w:hanging="360"/>
      </w:pPr>
      <w:rPr>
        <w:rFonts w:ascii="Wingdings" w:hAnsi="Wingdings" w:hint="default"/>
      </w:rPr>
    </w:lvl>
    <w:lvl w:ilvl="6" w:tplc="04090001" w:tentative="1">
      <w:start w:val="1"/>
      <w:numFmt w:val="bullet"/>
      <w:lvlText w:val=""/>
      <w:lvlJc w:val="left"/>
      <w:pPr>
        <w:ind w:left="5859" w:hanging="360"/>
      </w:pPr>
      <w:rPr>
        <w:rFonts w:ascii="Symbol" w:hAnsi="Symbol" w:hint="default"/>
      </w:rPr>
    </w:lvl>
    <w:lvl w:ilvl="7" w:tplc="04090003" w:tentative="1">
      <w:start w:val="1"/>
      <w:numFmt w:val="bullet"/>
      <w:lvlText w:val="o"/>
      <w:lvlJc w:val="left"/>
      <w:pPr>
        <w:ind w:left="6579" w:hanging="360"/>
      </w:pPr>
      <w:rPr>
        <w:rFonts w:ascii="Courier New" w:hAnsi="Courier New" w:cs="Courier New" w:hint="default"/>
      </w:rPr>
    </w:lvl>
    <w:lvl w:ilvl="8" w:tplc="04090005" w:tentative="1">
      <w:start w:val="1"/>
      <w:numFmt w:val="bullet"/>
      <w:lvlText w:val=""/>
      <w:lvlJc w:val="left"/>
      <w:pPr>
        <w:ind w:left="7299" w:hanging="360"/>
      </w:pPr>
      <w:rPr>
        <w:rFonts w:ascii="Wingdings" w:hAnsi="Wingdings" w:hint="default"/>
      </w:rPr>
    </w:lvl>
  </w:abstractNum>
  <w:abstractNum w:abstractNumId="9" w15:restartNumberingAfterBreak="0">
    <w:nsid w:val="1F8C7150"/>
    <w:multiLevelType w:val="hybridMultilevel"/>
    <w:tmpl w:val="94FC0B64"/>
    <w:lvl w:ilvl="0" w:tplc="499A03F4">
      <w:start w:val="1"/>
      <w:numFmt w:val="lowerLetter"/>
      <w:lvlText w:val="%1."/>
      <w:lvlJc w:val="left"/>
      <w:pPr>
        <w:ind w:left="1386" w:hanging="567"/>
      </w:pPr>
      <w:rPr>
        <w:rFonts w:ascii="Arial" w:eastAsia="Arial" w:hAnsi="Arial" w:cs="Arial" w:hint="default"/>
        <w:b w:val="0"/>
        <w:bCs w:val="0"/>
        <w:i w:val="0"/>
        <w:iCs w:val="0"/>
        <w:spacing w:val="-1"/>
        <w:w w:val="100"/>
        <w:sz w:val="22"/>
        <w:szCs w:val="22"/>
        <w:lang w:val="en-US" w:eastAsia="en-US" w:bidi="ar-SA"/>
      </w:rPr>
    </w:lvl>
    <w:lvl w:ilvl="1" w:tplc="1C820480">
      <w:numFmt w:val="bullet"/>
      <w:lvlText w:val="•"/>
      <w:lvlJc w:val="left"/>
      <w:pPr>
        <w:ind w:left="2254" w:hanging="567"/>
      </w:pPr>
      <w:rPr>
        <w:rFonts w:hint="default"/>
        <w:lang w:val="en-US" w:eastAsia="en-US" w:bidi="ar-SA"/>
      </w:rPr>
    </w:lvl>
    <w:lvl w:ilvl="2" w:tplc="FBE88AA6">
      <w:numFmt w:val="bullet"/>
      <w:lvlText w:val="•"/>
      <w:lvlJc w:val="left"/>
      <w:pPr>
        <w:ind w:left="3129" w:hanging="567"/>
      </w:pPr>
      <w:rPr>
        <w:rFonts w:hint="default"/>
        <w:lang w:val="en-US" w:eastAsia="en-US" w:bidi="ar-SA"/>
      </w:rPr>
    </w:lvl>
    <w:lvl w:ilvl="3" w:tplc="A3F44BC2">
      <w:numFmt w:val="bullet"/>
      <w:lvlText w:val="•"/>
      <w:lvlJc w:val="left"/>
      <w:pPr>
        <w:ind w:left="4003" w:hanging="567"/>
      </w:pPr>
      <w:rPr>
        <w:rFonts w:hint="default"/>
        <w:lang w:val="en-US" w:eastAsia="en-US" w:bidi="ar-SA"/>
      </w:rPr>
    </w:lvl>
    <w:lvl w:ilvl="4" w:tplc="C56E942A">
      <w:numFmt w:val="bullet"/>
      <w:lvlText w:val="•"/>
      <w:lvlJc w:val="left"/>
      <w:pPr>
        <w:ind w:left="4878" w:hanging="567"/>
      </w:pPr>
      <w:rPr>
        <w:rFonts w:hint="default"/>
        <w:lang w:val="en-US" w:eastAsia="en-US" w:bidi="ar-SA"/>
      </w:rPr>
    </w:lvl>
    <w:lvl w:ilvl="5" w:tplc="854C36D2">
      <w:numFmt w:val="bullet"/>
      <w:lvlText w:val="•"/>
      <w:lvlJc w:val="left"/>
      <w:pPr>
        <w:ind w:left="5753" w:hanging="567"/>
      </w:pPr>
      <w:rPr>
        <w:rFonts w:hint="default"/>
        <w:lang w:val="en-US" w:eastAsia="en-US" w:bidi="ar-SA"/>
      </w:rPr>
    </w:lvl>
    <w:lvl w:ilvl="6" w:tplc="8DFC61E4">
      <w:numFmt w:val="bullet"/>
      <w:lvlText w:val="•"/>
      <w:lvlJc w:val="left"/>
      <w:pPr>
        <w:ind w:left="6627" w:hanging="567"/>
      </w:pPr>
      <w:rPr>
        <w:rFonts w:hint="default"/>
        <w:lang w:val="en-US" w:eastAsia="en-US" w:bidi="ar-SA"/>
      </w:rPr>
    </w:lvl>
    <w:lvl w:ilvl="7" w:tplc="04FEC02E">
      <w:numFmt w:val="bullet"/>
      <w:lvlText w:val="•"/>
      <w:lvlJc w:val="left"/>
      <w:pPr>
        <w:ind w:left="7502" w:hanging="567"/>
      </w:pPr>
      <w:rPr>
        <w:rFonts w:hint="default"/>
        <w:lang w:val="en-US" w:eastAsia="en-US" w:bidi="ar-SA"/>
      </w:rPr>
    </w:lvl>
    <w:lvl w:ilvl="8" w:tplc="33302E9E">
      <w:numFmt w:val="bullet"/>
      <w:lvlText w:val="•"/>
      <w:lvlJc w:val="left"/>
      <w:pPr>
        <w:ind w:left="8377" w:hanging="567"/>
      </w:pPr>
      <w:rPr>
        <w:rFonts w:hint="default"/>
        <w:lang w:val="en-US" w:eastAsia="en-US" w:bidi="ar-SA"/>
      </w:rPr>
    </w:lvl>
  </w:abstractNum>
  <w:abstractNum w:abstractNumId="10" w15:restartNumberingAfterBreak="0">
    <w:nsid w:val="1FA8209C"/>
    <w:multiLevelType w:val="hybridMultilevel"/>
    <w:tmpl w:val="78469D8E"/>
    <w:lvl w:ilvl="0" w:tplc="C42C3F5A">
      <w:start w:val="1"/>
      <w:numFmt w:val="lowerRoman"/>
      <w:lvlText w:val="%1)"/>
      <w:lvlJc w:val="righ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1" w15:restartNumberingAfterBreak="0">
    <w:nsid w:val="235E0293"/>
    <w:multiLevelType w:val="multilevel"/>
    <w:tmpl w:val="6562E0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E2748D7"/>
    <w:multiLevelType w:val="hybridMultilevel"/>
    <w:tmpl w:val="3506AB86"/>
    <w:lvl w:ilvl="0" w:tplc="70E2F8DC">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EEB2917"/>
    <w:multiLevelType w:val="hybridMultilevel"/>
    <w:tmpl w:val="0C1CD5EA"/>
    <w:lvl w:ilvl="0" w:tplc="EB281F1E">
      <w:start w:val="1"/>
      <w:numFmt w:val="bullet"/>
      <w:lvlText w:val=""/>
      <w:lvlJc w:val="left"/>
      <w:pPr>
        <w:ind w:left="720" w:hanging="360"/>
      </w:pPr>
      <w:rPr>
        <w:rFonts w:ascii="Symbol" w:hAnsi="Symbol" w:hint="default"/>
        <w:sz w:val="22"/>
        <w:szCs w:val="22"/>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301308A1"/>
    <w:multiLevelType w:val="hybridMultilevel"/>
    <w:tmpl w:val="23967EE0"/>
    <w:lvl w:ilvl="0" w:tplc="FFFFFFFF">
      <w:start w:val="1"/>
      <w:numFmt w:val="decimal"/>
      <w:lvlText w:val="%1."/>
      <w:lvlJc w:val="left"/>
      <w:pPr>
        <w:ind w:left="819" w:hanging="567"/>
      </w:pPr>
      <w:rPr>
        <w:rFonts w:ascii="Arial" w:eastAsia="Arial" w:hAnsi="Arial" w:cs="Arial" w:hint="default"/>
        <w:b w:val="0"/>
        <w:bCs w:val="0"/>
        <w:i w:val="0"/>
        <w:iCs w:val="0"/>
        <w:spacing w:val="-1"/>
        <w:w w:val="100"/>
        <w:sz w:val="22"/>
        <w:szCs w:val="22"/>
        <w:lang w:val="en-US" w:eastAsia="en-US" w:bidi="ar-SA"/>
      </w:rPr>
    </w:lvl>
    <w:lvl w:ilvl="1" w:tplc="FFFFFFFF">
      <w:numFmt w:val="bullet"/>
      <w:lvlText w:val=""/>
      <w:lvlJc w:val="left"/>
      <w:pPr>
        <w:ind w:left="1105" w:hanging="286"/>
      </w:pPr>
      <w:rPr>
        <w:rFonts w:ascii="Symbol" w:eastAsia="Symbol" w:hAnsi="Symbol" w:cs="Symbol" w:hint="default"/>
        <w:b w:val="0"/>
        <w:bCs w:val="0"/>
        <w:i w:val="0"/>
        <w:iCs w:val="0"/>
        <w:spacing w:val="0"/>
        <w:w w:val="100"/>
        <w:sz w:val="22"/>
        <w:szCs w:val="22"/>
        <w:lang w:val="en-US" w:eastAsia="en-US" w:bidi="ar-SA"/>
      </w:rPr>
    </w:lvl>
    <w:lvl w:ilvl="2" w:tplc="FFFFFFFF">
      <w:numFmt w:val="bullet"/>
      <w:lvlText w:val="•"/>
      <w:lvlJc w:val="left"/>
      <w:pPr>
        <w:ind w:left="2102" w:hanging="286"/>
      </w:pPr>
      <w:rPr>
        <w:rFonts w:hint="default"/>
        <w:lang w:val="en-US" w:eastAsia="en-US" w:bidi="ar-SA"/>
      </w:rPr>
    </w:lvl>
    <w:lvl w:ilvl="3" w:tplc="FFFFFFFF">
      <w:numFmt w:val="bullet"/>
      <w:lvlText w:val="•"/>
      <w:lvlJc w:val="left"/>
      <w:pPr>
        <w:ind w:left="3105" w:hanging="286"/>
      </w:pPr>
      <w:rPr>
        <w:rFonts w:hint="default"/>
        <w:lang w:val="en-US" w:eastAsia="en-US" w:bidi="ar-SA"/>
      </w:rPr>
    </w:lvl>
    <w:lvl w:ilvl="4" w:tplc="FFFFFFFF">
      <w:numFmt w:val="bullet"/>
      <w:lvlText w:val="•"/>
      <w:lvlJc w:val="left"/>
      <w:pPr>
        <w:ind w:left="4108" w:hanging="286"/>
      </w:pPr>
      <w:rPr>
        <w:rFonts w:hint="default"/>
        <w:lang w:val="en-US" w:eastAsia="en-US" w:bidi="ar-SA"/>
      </w:rPr>
    </w:lvl>
    <w:lvl w:ilvl="5" w:tplc="FFFFFFFF">
      <w:numFmt w:val="bullet"/>
      <w:lvlText w:val="•"/>
      <w:lvlJc w:val="left"/>
      <w:pPr>
        <w:ind w:left="5111" w:hanging="286"/>
      </w:pPr>
      <w:rPr>
        <w:rFonts w:hint="default"/>
        <w:lang w:val="en-US" w:eastAsia="en-US" w:bidi="ar-SA"/>
      </w:rPr>
    </w:lvl>
    <w:lvl w:ilvl="6" w:tplc="FFFFFFFF">
      <w:numFmt w:val="bullet"/>
      <w:lvlText w:val="•"/>
      <w:lvlJc w:val="left"/>
      <w:pPr>
        <w:ind w:left="6114" w:hanging="286"/>
      </w:pPr>
      <w:rPr>
        <w:rFonts w:hint="default"/>
        <w:lang w:val="en-US" w:eastAsia="en-US" w:bidi="ar-SA"/>
      </w:rPr>
    </w:lvl>
    <w:lvl w:ilvl="7" w:tplc="FFFFFFFF">
      <w:numFmt w:val="bullet"/>
      <w:lvlText w:val="•"/>
      <w:lvlJc w:val="left"/>
      <w:pPr>
        <w:ind w:left="7117" w:hanging="286"/>
      </w:pPr>
      <w:rPr>
        <w:rFonts w:hint="default"/>
        <w:lang w:val="en-US" w:eastAsia="en-US" w:bidi="ar-SA"/>
      </w:rPr>
    </w:lvl>
    <w:lvl w:ilvl="8" w:tplc="FFFFFFFF">
      <w:numFmt w:val="bullet"/>
      <w:lvlText w:val="•"/>
      <w:lvlJc w:val="left"/>
      <w:pPr>
        <w:ind w:left="8120" w:hanging="286"/>
      </w:pPr>
      <w:rPr>
        <w:rFonts w:hint="default"/>
        <w:lang w:val="en-US" w:eastAsia="en-US" w:bidi="ar-SA"/>
      </w:rPr>
    </w:lvl>
  </w:abstractNum>
  <w:abstractNum w:abstractNumId="15" w15:restartNumberingAfterBreak="0">
    <w:nsid w:val="30933BFE"/>
    <w:multiLevelType w:val="hybridMultilevel"/>
    <w:tmpl w:val="C33EC9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7A0372A"/>
    <w:multiLevelType w:val="multilevel"/>
    <w:tmpl w:val="D9926594"/>
    <w:lvl w:ilvl="0">
      <w:start w:val="1"/>
      <w:numFmt w:val="decimal"/>
      <w:lvlText w:val="%1."/>
      <w:lvlJc w:val="left"/>
      <w:pPr>
        <w:ind w:left="502"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7" w15:restartNumberingAfterBreak="0">
    <w:nsid w:val="39D57185"/>
    <w:multiLevelType w:val="hybridMultilevel"/>
    <w:tmpl w:val="1444C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A2396F"/>
    <w:multiLevelType w:val="hybridMultilevel"/>
    <w:tmpl w:val="F3465B90"/>
    <w:lvl w:ilvl="0" w:tplc="AD5C193A">
      <w:start w:val="1"/>
      <w:numFmt w:val="decimal"/>
      <w:lvlText w:val="%1."/>
      <w:lvlJc w:val="left"/>
      <w:pPr>
        <w:ind w:left="819" w:hanging="567"/>
      </w:pPr>
      <w:rPr>
        <w:rFonts w:ascii="Arial" w:eastAsia="Arial" w:hAnsi="Arial" w:cs="Arial" w:hint="default"/>
        <w:b w:val="0"/>
        <w:bCs w:val="0"/>
        <w:i w:val="0"/>
        <w:iCs w:val="0"/>
        <w:color w:val="000000" w:themeColor="text1"/>
        <w:spacing w:val="-1"/>
        <w:w w:val="100"/>
        <w:sz w:val="22"/>
        <w:szCs w:val="22"/>
        <w:lang w:val="en-US" w:eastAsia="en-US" w:bidi="ar-SA"/>
      </w:rPr>
    </w:lvl>
    <w:lvl w:ilvl="1" w:tplc="5BA8B1BE">
      <w:numFmt w:val="bullet"/>
      <w:lvlText w:val=""/>
      <w:lvlJc w:val="left"/>
      <w:pPr>
        <w:ind w:left="1105" w:hanging="286"/>
      </w:pPr>
      <w:rPr>
        <w:rFonts w:ascii="Symbol" w:eastAsia="Symbol" w:hAnsi="Symbol" w:cs="Symbol" w:hint="default"/>
        <w:b w:val="0"/>
        <w:bCs w:val="0"/>
        <w:i w:val="0"/>
        <w:iCs w:val="0"/>
        <w:spacing w:val="0"/>
        <w:w w:val="100"/>
        <w:sz w:val="22"/>
        <w:szCs w:val="22"/>
        <w:lang w:val="en-US" w:eastAsia="en-US" w:bidi="ar-SA"/>
      </w:rPr>
    </w:lvl>
    <w:lvl w:ilvl="2" w:tplc="3436521C">
      <w:numFmt w:val="bullet"/>
      <w:lvlText w:val="•"/>
      <w:lvlJc w:val="left"/>
      <w:pPr>
        <w:ind w:left="2102" w:hanging="286"/>
      </w:pPr>
      <w:rPr>
        <w:rFonts w:hint="default"/>
        <w:lang w:val="en-US" w:eastAsia="en-US" w:bidi="ar-SA"/>
      </w:rPr>
    </w:lvl>
    <w:lvl w:ilvl="3" w:tplc="8F624562">
      <w:numFmt w:val="bullet"/>
      <w:lvlText w:val="•"/>
      <w:lvlJc w:val="left"/>
      <w:pPr>
        <w:ind w:left="3105" w:hanging="286"/>
      </w:pPr>
      <w:rPr>
        <w:rFonts w:hint="default"/>
        <w:lang w:val="en-US" w:eastAsia="en-US" w:bidi="ar-SA"/>
      </w:rPr>
    </w:lvl>
    <w:lvl w:ilvl="4" w:tplc="30B03508">
      <w:numFmt w:val="bullet"/>
      <w:lvlText w:val="•"/>
      <w:lvlJc w:val="left"/>
      <w:pPr>
        <w:ind w:left="4108" w:hanging="286"/>
      </w:pPr>
      <w:rPr>
        <w:rFonts w:hint="default"/>
        <w:lang w:val="en-US" w:eastAsia="en-US" w:bidi="ar-SA"/>
      </w:rPr>
    </w:lvl>
    <w:lvl w:ilvl="5" w:tplc="F44CAD50">
      <w:numFmt w:val="bullet"/>
      <w:lvlText w:val="•"/>
      <w:lvlJc w:val="left"/>
      <w:pPr>
        <w:ind w:left="5111" w:hanging="286"/>
      </w:pPr>
      <w:rPr>
        <w:rFonts w:hint="default"/>
        <w:lang w:val="en-US" w:eastAsia="en-US" w:bidi="ar-SA"/>
      </w:rPr>
    </w:lvl>
    <w:lvl w:ilvl="6" w:tplc="61881F4C">
      <w:numFmt w:val="bullet"/>
      <w:lvlText w:val="•"/>
      <w:lvlJc w:val="left"/>
      <w:pPr>
        <w:ind w:left="6114" w:hanging="286"/>
      </w:pPr>
      <w:rPr>
        <w:rFonts w:hint="default"/>
        <w:lang w:val="en-US" w:eastAsia="en-US" w:bidi="ar-SA"/>
      </w:rPr>
    </w:lvl>
    <w:lvl w:ilvl="7" w:tplc="27DC869A">
      <w:numFmt w:val="bullet"/>
      <w:lvlText w:val="•"/>
      <w:lvlJc w:val="left"/>
      <w:pPr>
        <w:ind w:left="7117" w:hanging="286"/>
      </w:pPr>
      <w:rPr>
        <w:rFonts w:hint="default"/>
        <w:lang w:val="en-US" w:eastAsia="en-US" w:bidi="ar-SA"/>
      </w:rPr>
    </w:lvl>
    <w:lvl w:ilvl="8" w:tplc="43E2AA80">
      <w:numFmt w:val="bullet"/>
      <w:lvlText w:val="•"/>
      <w:lvlJc w:val="left"/>
      <w:pPr>
        <w:ind w:left="8120" w:hanging="286"/>
      </w:pPr>
      <w:rPr>
        <w:rFonts w:hint="default"/>
        <w:lang w:val="en-US" w:eastAsia="en-US" w:bidi="ar-SA"/>
      </w:rPr>
    </w:lvl>
  </w:abstractNum>
  <w:abstractNum w:abstractNumId="19" w15:restartNumberingAfterBreak="0">
    <w:nsid w:val="4100561B"/>
    <w:multiLevelType w:val="hybridMultilevel"/>
    <w:tmpl w:val="30569C40"/>
    <w:lvl w:ilvl="0" w:tplc="04090001">
      <w:start w:val="1"/>
      <w:numFmt w:val="bullet"/>
      <w:lvlText w:val=""/>
      <w:lvlJc w:val="left"/>
      <w:pPr>
        <w:ind w:left="1539" w:hanging="360"/>
      </w:pPr>
      <w:rPr>
        <w:rFonts w:ascii="Symbol" w:hAnsi="Symbol" w:hint="default"/>
      </w:rPr>
    </w:lvl>
    <w:lvl w:ilvl="1" w:tplc="04090003" w:tentative="1">
      <w:start w:val="1"/>
      <w:numFmt w:val="bullet"/>
      <w:lvlText w:val="o"/>
      <w:lvlJc w:val="left"/>
      <w:pPr>
        <w:ind w:left="2259" w:hanging="360"/>
      </w:pPr>
      <w:rPr>
        <w:rFonts w:ascii="Courier New" w:hAnsi="Courier New" w:cs="Courier New" w:hint="default"/>
      </w:rPr>
    </w:lvl>
    <w:lvl w:ilvl="2" w:tplc="04090005" w:tentative="1">
      <w:start w:val="1"/>
      <w:numFmt w:val="bullet"/>
      <w:lvlText w:val=""/>
      <w:lvlJc w:val="left"/>
      <w:pPr>
        <w:ind w:left="2979" w:hanging="360"/>
      </w:pPr>
      <w:rPr>
        <w:rFonts w:ascii="Wingdings" w:hAnsi="Wingdings" w:hint="default"/>
      </w:rPr>
    </w:lvl>
    <w:lvl w:ilvl="3" w:tplc="04090001" w:tentative="1">
      <w:start w:val="1"/>
      <w:numFmt w:val="bullet"/>
      <w:lvlText w:val=""/>
      <w:lvlJc w:val="left"/>
      <w:pPr>
        <w:ind w:left="3699" w:hanging="360"/>
      </w:pPr>
      <w:rPr>
        <w:rFonts w:ascii="Symbol" w:hAnsi="Symbol" w:hint="default"/>
      </w:rPr>
    </w:lvl>
    <w:lvl w:ilvl="4" w:tplc="04090003" w:tentative="1">
      <w:start w:val="1"/>
      <w:numFmt w:val="bullet"/>
      <w:lvlText w:val="o"/>
      <w:lvlJc w:val="left"/>
      <w:pPr>
        <w:ind w:left="4419" w:hanging="360"/>
      </w:pPr>
      <w:rPr>
        <w:rFonts w:ascii="Courier New" w:hAnsi="Courier New" w:cs="Courier New" w:hint="default"/>
      </w:rPr>
    </w:lvl>
    <w:lvl w:ilvl="5" w:tplc="04090005" w:tentative="1">
      <w:start w:val="1"/>
      <w:numFmt w:val="bullet"/>
      <w:lvlText w:val=""/>
      <w:lvlJc w:val="left"/>
      <w:pPr>
        <w:ind w:left="5139" w:hanging="360"/>
      </w:pPr>
      <w:rPr>
        <w:rFonts w:ascii="Wingdings" w:hAnsi="Wingdings" w:hint="default"/>
      </w:rPr>
    </w:lvl>
    <w:lvl w:ilvl="6" w:tplc="04090001" w:tentative="1">
      <w:start w:val="1"/>
      <w:numFmt w:val="bullet"/>
      <w:lvlText w:val=""/>
      <w:lvlJc w:val="left"/>
      <w:pPr>
        <w:ind w:left="5859" w:hanging="360"/>
      </w:pPr>
      <w:rPr>
        <w:rFonts w:ascii="Symbol" w:hAnsi="Symbol" w:hint="default"/>
      </w:rPr>
    </w:lvl>
    <w:lvl w:ilvl="7" w:tplc="04090003" w:tentative="1">
      <w:start w:val="1"/>
      <w:numFmt w:val="bullet"/>
      <w:lvlText w:val="o"/>
      <w:lvlJc w:val="left"/>
      <w:pPr>
        <w:ind w:left="6579" w:hanging="360"/>
      </w:pPr>
      <w:rPr>
        <w:rFonts w:ascii="Courier New" w:hAnsi="Courier New" w:cs="Courier New" w:hint="default"/>
      </w:rPr>
    </w:lvl>
    <w:lvl w:ilvl="8" w:tplc="04090005" w:tentative="1">
      <w:start w:val="1"/>
      <w:numFmt w:val="bullet"/>
      <w:lvlText w:val=""/>
      <w:lvlJc w:val="left"/>
      <w:pPr>
        <w:ind w:left="7299" w:hanging="360"/>
      </w:pPr>
      <w:rPr>
        <w:rFonts w:ascii="Wingdings" w:hAnsi="Wingdings" w:hint="default"/>
      </w:rPr>
    </w:lvl>
  </w:abstractNum>
  <w:abstractNum w:abstractNumId="20" w15:restartNumberingAfterBreak="0">
    <w:nsid w:val="423520E6"/>
    <w:multiLevelType w:val="hybridMultilevel"/>
    <w:tmpl w:val="FBF6CD04"/>
    <w:lvl w:ilvl="0" w:tplc="46CC6668">
      <w:start w:val="1"/>
      <w:numFmt w:val="lowerLetter"/>
      <w:lvlText w:val="%1)"/>
      <w:lvlJc w:val="left"/>
      <w:pPr>
        <w:ind w:left="1065" w:hanging="705"/>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3333736"/>
    <w:multiLevelType w:val="hybridMultilevel"/>
    <w:tmpl w:val="9DCE9322"/>
    <w:lvl w:ilvl="0" w:tplc="EBC81C70">
      <w:start w:val="1"/>
      <w:numFmt w:val="decimal"/>
      <w:lvlText w:val="%1."/>
      <w:lvlJc w:val="left"/>
      <w:pPr>
        <w:ind w:left="706" w:hanging="567"/>
        <w:jc w:val="left"/>
      </w:pPr>
      <w:rPr>
        <w:rFonts w:ascii="Arial" w:eastAsia="Arial" w:hAnsi="Arial" w:cs="Arial" w:hint="default"/>
        <w:b w:val="0"/>
        <w:bCs w:val="0"/>
        <w:i w:val="0"/>
        <w:iCs w:val="0"/>
        <w:spacing w:val="-1"/>
        <w:w w:val="100"/>
        <w:sz w:val="22"/>
        <w:szCs w:val="22"/>
        <w:lang w:val="fr-FR" w:eastAsia="en-US" w:bidi="ar-SA"/>
      </w:rPr>
    </w:lvl>
    <w:lvl w:ilvl="1" w:tplc="7DC685FE">
      <w:numFmt w:val="bullet"/>
      <w:lvlText w:val="•"/>
      <w:lvlJc w:val="left"/>
      <w:pPr>
        <w:ind w:left="1563" w:hanging="567"/>
      </w:pPr>
      <w:rPr>
        <w:rFonts w:hint="default"/>
        <w:lang w:val="fr-FR" w:eastAsia="en-US" w:bidi="ar-SA"/>
      </w:rPr>
    </w:lvl>
    <w:lvl w:ilvl="2" w:tplc="D200BFF4">
      <w:numFmt w:val="bullet"/>
      <w:lvlText w:val="•"/>
      <w:lvlJc w:val="left"/>
      <w:pPr>
        <w:ind w:left="2426" w:hanging="567"/>
      </w:pPr>
      <w:rPr>
        <w:rFonts w:hint="default"/>
        <w:lang w:val="fr-FR" w:eastAsia="en-US" w:bidi="ar-SA"/>
      </w:rPr>
    </w:lvl>
    <w:lvl w:ilvl="3" w:tplc="7AE047BC">
      <w:numFmt w:val="bullet"/>
      <w:lvlText w:val="•"/>
      <w:lvlJc w:val="left"/>
      <w:pPr>
        <w:ind w:left="3289" w:hanging="567"/>
      </w:pPr>
      <w:rPr>
        <w:rFonts w:hint="default"/>
        <w:lang w:val="fr-FR" w:eastAsia="en-US" w:bidi="ar-SA"/>
      </w:rPr>
    </w:lvl>
    <w:lvl w:ilvl="4" w:tplc="5C42D7CE">
      <w:numFmt w:val="bullet"/>
      <w:lvlText w:val="•"/>
      <w:lvlJc w:val="left"/>
      <w:pPr>
        <w:ind w:left="4152" w:hanging="567"/>
      </w:pPr>
      <w:rPr>
        <w:rFonts w:hint="default"/>
        <w:lang w:val="fr-FR" w:eastAsia="en-US" w:bidi="ar-SA"/>
      </w:rPr>
    </w:lvl>
    <w:lvl w:ilvl="5" w:tplc="A358FD52">
      <w:numFmt w:val="bullet"/>
      <w:lvlText w:val="•"/>
      <w:lvlJc w:val="left"/>
      <w:pPr>
        <w:ind w:left="5015" w:hanging="567"/>
      </w:pPr>
      <w:rPr>
        <w:rFonts w:hint="default"/>
        <w:lang w:val="fr-FR" w:eastAsia="en-US" w:bidi="ar-SA"/>
      </w:rPr>
    </w:lvl>
    <w:lvl w:ilvl="6" w:tplc="B910213C">
      <w:numFmt w:val="bullet"/>
      <w:lvlText w:val="•"/>
      <w:lvlJc w:val="left"/>
      <w:pPr>
        <w:ind w:left="5878" w:hanging="567"/>
      </w:pPr>
      <w:rPr>
        <w:rFonts w:hint="default"/>
        <w:lang w:val="fr-FR" w:eastAsia="en-US" w:bidi="ar-SA"/>
      </w:rPr>
    </w:lvl>
    <w:lvl w:ilvl="7" w:tplc="6BC873D0">
      <w:numFmt w:val="bullet"/>
      <w:lvlText w:val="•"/>
      <w:lvlJc w:val="left"/>
      <w:pPr>
        <w:ind w:left="6741" w:hanging="567"/>
      </w:pPr>
      <w:rPr>
        <w:rFonts w:hint="default"/>
        <w:lang w:val="fr-FR" w:eastAsia="en-US" w:bidi="ar-SA"/>
      </w:rPr>
    </w:lvl>
    <w:lvl w:ilvl="8" w:tplc="7E3AE790">
      <w:numFmt w:val="bullet"/>
      <w:lvlText w:val="•"/>
      <w:lvlJc w:val="left"/>
      <w:pPr>
        <w:ind w:left="7604" w:hanging="567"/>
      </w:pPr>
      <w:rPr>
        <w:rFonts w:hint="default"/>
        <w:lang w:val="fr-FR" w:eastAsia="en-US" w:bidi="ar-SA"/>
      </w:rPr>
    </w:lvl>
  </w:abstractNum>
  <w:abstractNum w:abstractNumId="22" w15:restartNumberingAfterBreak="0">
    <w:nsid w:val="46270E54"/>
    <w:multiLevelType w:val="hybridMultilevel"/>
    <w:tmpl w:val="BCD253DA"/>
    <w:lvl w:ilvl="0" w:tplc="04090001">
      <w:start w:val="1"/>
      <w:numFmt w:val="bullet"/>
      <w:lvlText w:val=""/>
      <w:lvlJc w:val="left"/>
      <w:pPr>
        <w:ind w:left="1539" w:hanging="360"/>
      </w:pPr>
      <w:rPr>
        <w:rFonts w:ascii="Symbol" w:hAnsi="Symbol" w:hint="default"/>
      </w:rPr>
    </w:lvl>
    <w:lvl w:ilvl="1" w:tplc="04090003" w:tentative="1">
      <w:start w:val="1"/>
      <w:numFmt w:val="bullet"/>
      <w:lvlText w:val="o"/>
      <w:lvlJc w:val="left"/>
      <w:pPr>
        <w:ind w:left="2259" w:hanging="360"/>
      </w:pPr>
      <w:rPr>
        <w:rFonts w:ascii="Courier New" w:hAnsi="Courier New" w:cs="Courier New" w:hint="default"/>
      </w:rPr>
    </w:lvl>
    <w:lvl w:ilvl="2" w:tplc="04090005" w:tentative="1">
      <w:start w:val="1"/>
      <w:numFmt w:val="bullet"/>
      <w:lvlText w:val=""/>
      <w:lvlJc w:val="left"/>
      <w:pPr>
        <w:ind w:left="2979" w:hanging="360"/>
      </w:pPr>
      <w:rPr>
        <w:rFonts w:ascii="Wingdings" w:hAnsi="Wingdings" w:hint="default"/>
      </w:rPr>
    </w:lvl>
    <w:lvl w:ilvl="3" w:tplc="04090001" w:tentative="1">
      <w:start w:val="1"/>
      <w:numFmt w:val="bullet"/>
      <w:lvlText w:val=""/>
      <w:lvlJc w:val="left"/>
      <w:pPr>
        <w:ind w:left="3699" w:hanging="360"/>
      </w:pPr>
      <w:rPr>
        <w:rFonts w:ascii="Symbol" w:hAnsi="Symbol" w:hint="default"/>
      </w:rPr>
    </w:lvl>
    <w:lvl w:ilvl="4" w:tplc="04090003" w:tentative="1">
      <w:start w:val="1"/>
      <w:numFmt w:val="bullet"/>
      <w:lvlText w:val="o"/>
      <w:lvlJc w:val="left"/>
      <w:pPr>
        <w:ind w:left="4419" w:hanging="360"/>
      </w:pPr>
      <w:rPr>
        <w:rFonts w:ascii="Courier New" w:hAnsi="Courier New" w:cs="Courier New" w:hint="default"/>
      </w:rPr>
    </w:lvl>
    <w:lvl w:ilvl="5" w:tplc="04090005" w:tentative="1">
      <w:start w:val="1"/>
      <w:numFmt w:val="bullet"/>
      <w:lvlText w:val=""/>
      <w:lvlJc w:val="left"/>
      <w:pPr>
        <w:ind w:left="5139" w:hanging="360"/>
      </w:pPr>
      <w:rPr>
        <w:rFonts w:ascii="Wingdings" w:hAnsi="Wingdings" w:hint="default"/>
      </w:rPr>
    </w:lvl>
    <w:lvl w:ilvl="6" w:tplc="04090001" w:tentative="1">
      <w:start w:val="1"/>
      <w:numFmt w:val="bullet"/>
      <w:lvlText w:val=""/>
      <w:lvlJc w:val="left"/>
      <w:pPr>
        <w:ind w:left="5859" w:hanging="360"/>
      </w:pPr>
      <w:rPr>
        <w:rFonts w:ascii="Symbol" w:hAnsi="Symbol" w:hint="default"/>
      </w:rPr>
    </w:lvl>
    <w:lvl w:ilvl="7" w:tplc="04090003" w:tentative="1">
      <w:start w:val="1"/>
      <w:numFmt w:val="bullet"/>
      <w:lvlText w:val="o"/>
      <w:lvlJc w:val="left"/>
      <w:pPr>
        <w:ind w:left="6579" w:hanging="360"/>
      </w:pPr>
      <w:rPr>
        <w:rFonts w:ascii="Courier New" w:hAnsi="Courier New" w:cs="Courier New" w:hint="default"/>
      </w:rPr>
    </w:lvl>
    <w:lvl w:ilvl="8" w:tplc="04090005" w:tentative="1">
      <w:start w:val="1"/>
      <w:numFmt w:val="bullet"/>
      <w:lvlText w:val=""/>
      <w:lvlJc w:val="left"/>
      <w:pPr>
        <w:ind w:left="7299" w:hanging="360"/>
      </w:pPr>
      <w:rPr>
        <w:rFonts w:ascii="Wingdings" w:hAnsi="Wingdings" w:hint="default"/>
      </w:rPr>
    </w:lvl>
  </w:abstractNum>
  <w:abstractNum w:abstractNumId="23" w15:restartNumberingAfterBreak="0">
    <w:nsid w:val="4B3F7345"/>
    <w:multiLevelType w:val="hybridMultilevel"/>
    <w:tmpl w:val="D75C8D50"/>
    <w:lvl w:ilvl="0" w:tplc="C96494C4">
      <w:start w:val="1"/>
      <w:numFmt w:val="decimal"/>
      <w:lvlText w:val="%1."/>
      <w:lvlJc w:val="left"/>
      <w:pPr>
        <w:ind w:left="720" w:hanging="360"/>
      </w:pPr>
      <w:rPr>
        <w:rFonts w:ascii="Arial" w:hAnsi="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9D4FA4"/>
    <w:multiLevelType w:val="hybridMultilevel"/>
    <w:tmpl w:val="CDE69C9E"/>
    <w:lvl w:ilvl="0" w:tplc="D0E21E14">
      <w:start w:val="1"/>
      <w:numFmt w:val="upperLetter"/>
      <w:pStyle w:val="Fourth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9D1E50"/>
    <w:multiLevelType w:val="hybridMultilevel"/>
    <w:tmpl w:val="271238F6"/>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4F4688C"/>
    <w:multiLevelType w:val="hybridMultilevel"/>
    <w:tmpl w:val="049C569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577E5686"/>
    <w:multiLevelType w:val="hybridMultilevel"/>
    <w:tmpl w:val="42623D6E"/>
    <w:lvl w:ilvl="0" w:tplc="EDA2E6D2">
      <w:start w:val="1"/>
      <w:numFmt w:val="decimal"/>
      <w:lvlText w:val="%1."/>
      <w:lvlJc w:val="left"/>
      <w:pPr>
        <w:ind w:left="613" w:hanging="361"/>
      </w:pPr>
      <w:rPr>
        <w:rFonts w:ascii="Arial" w:eastAsia="Arial" w:hAnsi="Arial" w:cs="Arial" w:hint="default"/>
        <w:b/>
        <w:bCs/>
        <w:i/>
        <w:iCs/>
        <w:spacing w:val="-1"/>
        <w:w w:val="100"/>
        <w:sz w:val="22"/>
        <w:szCs w:val="22"/>
        <w:lang w:val="en-US" w:eastAsia="en-US" w:bidi="ar-SA"/>
      </w:rPr>
    </w:lvl>
    <w:lvl w:ilvl="1" w:tplc="CA86FA7C">
      <w:numFmt w:val="bullet"/>
      <w:lvlText w:val="•"/>
      <w:lvlJc w:val="left"/>
      <w:pPr>
        <w:ind w:left="1570" w:hanging="361"/>
      </w:pPr>
      <w:rPr>
        <w:rFonts w:hint="default"/>
        <w:lang w:val="en-US" w:eastAsia="en-US" w:bidi="ar-SA"/>
      </w:rPr>
    </w:lvl>
    <w:lvl w:ilvl="2" w:tplc="035C41CC">
      <w:numFmt w:val="bullet"/>
      <w:lvlText w:val="•"/>
      <w:lvlJc w:val="left"/>
      <w:pPr>
        <w:ind w:left="2521" w:hanging="361"/>
      </w:pPr>
      <w:rPr>
        <w:rFonts w:hint="default"/>
        <w:lang w:val="en-US" w:eastAsia="en-US" w:bidi="ar-SA"/>
      </w:rPr>
    </w:lvl>
    <w:lvl w:ilvl="3" w:tplc="B728FAEA">
      <w:numFmt w:val="bullet"/>
      <w:lvlText w:val="•"/>
      <w:lvlJc w:val="left"/>
      <w:pPr>
        <w:ind w:left="3471" w:hanging="361"/>
      </w:pPr>
      <w:rPr>
        <w:rFonts w:hint="default"/>
        <w:lang w:val="en-US" w:eastAsia="en-US" w:bidi="ar-SA"/>
      </w:rPr>
    </w:lvl>
    <w:lvl w:ilvl="4" w:tplc="72D0076E">
      <w:numFmt w:val="bullet"/>
      <w:lvlText w:val="•"/>
      <w:lvlJc w:val="left"/>
      <w:pPr>
        <w:ind w:left="4422" w:hanging="361"/>
      </w:pPr>
      <w:rPr>
        <w:rFonts w:hint="default"/>
        <w:lang w:val="en-US" w:eastAsia="en-US" w:bidi="ar-SA"/>
      </w:rPr>
    </w:lvl>
    <w:lvl w:ilvl="5" w:tplc="5B040AA8">
      <w:numFmt w:val="bullet"/>
      <w:lvlText w:val="•"/>
      <w:lvlJc w:val="left"/>
      <w:pPr>
        <w:ind w:left="5373" w:hanging="361"/>
      </w:pPr>
      <w:rPr>
        <w:rFonts w:hint="default"/>
        <w:lang w:val="en-US" w:eastAsia="en-US" w:bidi="ar-SA"/>
      </w:rPr>
    </w:lvl>
    <w:lvl w:ilvl="6" w:tplc="1A9879CA">
      <w:numFmt w:val="bullet"/>
      <w:lvlText w:val="•"/>
      <w:lvlJc w:val="left"/>
      <w:pPr>
        <w:ind w:left="6323" w:hanging="361"/>
      </w:pPr>
      <w:rPr>
        <w:rFonts w:hint="default"/>
        <w:lang w:val="en-US" w:eastAsia="en-US" w:bidi="ar-SA"/>
      </w:rPr>
    </w:lvl>
    <w:lvl w:ilvl="7" w:tplc="B8D6782E">
      <w:numFmt w:val="bullet"/>
      <w:lvlText w:val="•"/>
      <w:lvlJc w:val="left"/>
      <w:pPr>
        <w:ind w:left="7274" w:hanging="361"/>
      </w:pPr>
      <w:rPr>
        <w:rFonts w:hint="default"/>
        <w:lang w:val="en-US" w:eastAsia="en-US" w:bidi="ar-SA"/>
      </w:rPr>
    </w:lvl>
    <w:lvl w:ilvl="8" w:tplc="F0CC4F9E">
      <w:numFmt w:val="bullet"/>
      <w:lvlText w:val="•"/>
      <w:lvlJc w:val="left"/>
      <w:pPr>
        <w:ind w:left="8225" w:hanging="361"/>
      </w:pPr>
      <w:rPr>
        <w:rFonts w:hint="default"/>
        <w:lang w:val="en-US" w:eastAsia="en-US" w:bidi="ar-SA"/>
      </w:rPr>
    </w:lvl>
  </w:abstractNum>
  <w:abstractNum w:abstractNumId="28" w15:restartNumberingAfterBreak="0">
    <w:nsid w:val="591B2A54"/>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FD10FF5"/>
    <w:multiLevelType w:val="hybridMultilevel"/>
    <w:tmpl w:val="95984EB6"/>
    <w:lvl w:ilvl="0" w:tplc="1A082288">
      <w:start w:val="1"/>
      <w:numFmt w:val="decimal"/>
      <w:lvlText w:val="%1."/>
      <w:lvlJc w:val="left"/>
      <w:pPr>
        <w:ind w:left="759" w:hanging="567"/>
      </w:pPr>
      <w:rPr>
        <w:rFonts w:ascii="Arial" w:eastAsia="Arial" w:hAnsi="Arial" w:cs="Arial" w:hint="default"/>
        <w:b w:val="0"/>
        <w:bCs w:val="0"/>
        <w:i w:val="0"/>
        <w:iCs w:val="0"/>
        <w:spacing w:val="-1"/>
        <w:w w:val="100"/>
        <w:sz w:val="22"/>
        <w:szCs w:val="22"/>
        <w:lang w:val="en-US" w:eastAsia="en-US" w:bidi="ar-SA"/>
      </w:rPr>
    </w:lvl>
    <w:lvl w:ilvl="1" w:tplc="40847F22">
      <w:start w:val="1"/>
      <w:numFmt w:val="lowerLetter"/>
      <w:lvlText w:val="(%2)"/>
      <w:lvlJc w:val="left"/>
      <w:pPr>
        <w:ind w:left="1326" w:hanging="567"/>
      </w:pPr>
      <w:rPr>
        <w:rFonts w:ascii="Arial" w:eastAsia="Arial" w:hAnsi="Arial" w:cs="Arial" w:hint="default"/>
        <w:b w:val="0"/>
        <w:bCs w:val="0"/>
        <w:i w:val="0"/>
        <w:iCs w:val="0"/>
        <w:spacing w:val="0"/>
        <w:w w:val="100"/>
        <w:sz w:val="22"/>
        <w:szCs w:val="22"/>
        <w:lang w:val="en-US" w:eastAsia="en-US" w:bidi="ar-SA"/>
      </w:rPr>
    </w:lvl>
    <w:lvl w:ilvl="2" w:tplc="D3E45CE2">
      <w:numFmt w:val="bullet"/>
      <w:lvlText w:val="•"/>
      <w:lvlJc w:val="left"/>
      <w:pPr>
        <w:ind w:left="2278" w:hanging="567"/>
      </w:pPr>
      <w:rPr>
        <w:rFonts w:hint="default"/>
        <w:lang w:val="en-US" w:eastAsia="en-US" w:bidi="ar-SA"/>
      </w:rPr>
    </w:lvl>
    <w:lvl w:ilvl="3" w:tplc="CFA8FDE0">
      <w:numFmt w:val="bullet"/>
      <w:lvlText w:val="•"/>
      <w:lvlJc w:val="left"/>
      <w:pPr>
        <w:ind w:left="3236" w:hanging="567"/>
      </w:pPr>
      <w:rPr>
        <w:rFonts w:hint="default"/>
        <w:lang w:val="en-US" w:eastAsia="en-US" w:bidi="ar-SA"/>
      </w:rPr>
    </w:lvl>
    <w:lvl w:ilvl="4" w:tplc="25FC7C1C">
      <w:numFmt w:val="bullet"/>
      <w:lvlText w:val="•"/>
      <w:lvlJc w:val="left"/>
      <w:pPr>
        <w:ind w:left="4195" w:hanging="567"/>
      </w:pPr>
      <w:rPr>
        <w:rFonts w:hint="default"/>
        <w:lang w:val="en-US" w:eastAsia="en-US" w:bidi="ar-SA"/>
      </w:rPr>
    </w:lvl>
    <w:lvl w:ilvl="5" w:tplc="B9463242">
      <w:numFmt w:val="bullet"/>
      <w:lvlText w:val="•"/>
      <w:lvlJc w:val="left"/>
      <w:pPr>
        <w:ind w:left="5153" w:hanging="567"/>
      </w:pPr>
      <w:rPr>
        <w:rFonts w:hint="default"/>
        <w:lang w:val="en-US" w:eastAsia="en-US" w:bidi="ar-SA"/>
      </w:rPr>
    </w:lvl>
    <w:lvl w:ilvl="6" w:tplc="9798131C">
      <w:numFmt w:val="bullet"/>
      <w:lvlText w:val="•"/>
      <w:lvlJc w:val="left"/>
      <w:pPr>
        <w:ind w:left="6112" w:hanging="567"/>
      </w:pPr>
      <w:rPr>
        <w:rFonts w:hint="default"/>
        <w:lang w:val="en-US" w:eastAsia="en-US" w:bidi="ar-SA"/>
      </w:rPr>
    </w:lvl>
    <w:lvl w:ilvl="7" w:tplc="646621A0">
      <w:numFmt w:val="bullet"/>
      <w:lvlText w:val="•"/>
      <w:lvlJc w:val="left"/>
      <w:pPr>
        <w:ind w:left="7070" w:hanging="567"/>
      </w:pPr>
      <w:rPr>
        <w:rFonts w:hint="default"/>
        <w:lang w:val="en-US" w:eastAsia="en-US" w:bidi="ar-SA"/>
      </w:rPr>
    </w:lvl>
    <w:lvl w:ilvl="8" w:tplc="4A7A9E64">
      <w:numFmt w:val="bullet"/>
      <w:lvlText w:val="•"/>
      <w:lvlJc w:val="left"/>
      <w:pPr>
        <w:ind w:left="8029" w:hanging="567"/>
      </w:pPr>
      <w:rPr>
        <w:rFonts w:hint="default"/>
        <w:lang w:val="en-US" w:eastAsia="en-US" w:bidi="ar-SA"/>
      </w:rPr>
    </w:lvl>
  </w:abstractNum>
  <w:abstractNum w:abstractNumId="30" w15:restartNumberingAfterBreak="0">
    <w:nsid w:val="609A504C"/>
    <w:multiLevelType w:val="hybridMultilevel"/>
    <w:tmpl w:val="7CA8C5C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15:restartNumberingAfterBreak="0">
    <w:nsid w:val="61176E72"/>
    <w:multiLevelType w:val="hybridMultilevel"/>
    <w:tmpl w:val="5CEC3454"/>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3CA1566"/>
    <w:multiLevelType w:val="hybridMultilevel"/>
    <w:tmpl w:val="4F68A00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3" w15:restartNumberingAfterBreak="0">
    <w:nsid w:val="64C1090E"/>
    <w:multiLevelType w:val="hybridMultilevel"/>
    <w:tmpl w:val="2AC40542"/>
    <w:lvl w:ilvl="0" w:tplc="04090001">
      <w:start w:val="1"/>
      <w:numFmt w:val="bullet"/>
      <w:lvlText w:val=""/>
      <w:lvlJc w:val="left"/>
      <w:pPr>
        <w:ind w:left="912" w:hanging="360"/>
      </w:pPr>
      <w:rPr>
        <w:rFonts w:ascii="Symbol" w:hAnsi="Symbol"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34" w15:restartNumberingAfterBreak="0">
    <w:nsid w:val="666B726F"/>
    <w:multiLevelType w:val="hybridMultilevel"/>
    <w:tmpl w:val="B0D46562"/>
    <w:lvl w:ilvl="0" w:tplc="FDB4AF8C">
      <w:start w:val="1"/>
      <w:numFmt w:val="lowerRoman"/>
      <w:lvlText w:val="%1)"/>
      <w:lvlJc w:val="left"/>
      <w:pPr>
        <w:ind w:left="1894" w:hanging="569"/>
      </w:pPr>
      <w:rPr>
        <w:rFonts w:ascii="Arial" w:eastAsia="Arial" w:hAnsi="Arial" w:cs="Arial" w:hint="default"/>
        <w:b w:val="0"/>
        <w:bCs w:val="0"/>
        <w:i w:val="0"/>
        <w:iCs w:val="0"/>
        <w:spacing w:val="-2"/>
        <w:w w:val="100"/>
        <w:sz w:val="22"/>
        <w:szCs w:val="22"/>
        <w:lang w:val="en-US" w:eastAsia="en-US" w:bidi="ar-SA"/>
      </w:rPr>
    </w:lvl>
    <w:lvl w:ilvl="1" w:tplc="02AE1CD8">
      <w:numFmt w:val="bullet"/>
      <w:lvlText w:val="•"/>
      <w:lvlJc w:val="left"/>
      <w:pPr>
        <w:ind w:left="2704" w:hanging="569"/>
      </w:pPr>
      <w:rPr>
        <w:rFonts w:hint="default"/>
        <w:lang w:val="en-US" w:eastAsia="en-US" w:bidi="ar-SA"/>
      </w:rPr>
    </w:lvl>
    <w:lvl w:ilvl="2" w:tplc="E6C6E8E8">
      <w:numFmt w:val="bullet"/>
      <w:lvlText w:val="•"/>
      <w:lvlJc w:val="left"/>
      <w:pPr>
        <w:ind w:left="3509" w:hanging="569"/>
      </w:pPr>
      <w:rPr>
        <w:rFonts w:hint="default"/>
        <w:lang w:val="en-US" w:eastAsia="en-US" w:bidi="ar-SA"/>
      </w:rPr>
    </w:lvl>
    <w:lvl w:ilvl="3" w:tplc="A7C24D5E">
      <w:numFmt w:val="bullet"/>
      <w:lvlText w:val="•"/>
      <w:lvlJc w:val="left"/>
      <w:pPr>
        <w:ind w:left="4313" w:hanging="569"/>
      </w:pPr>
      <w:rPr>
        <w:rFonts w:hint="default"/>
        <w:lang w:val="en-US" w:eastAsia="en-US" w:bidi="ar-SA"/>
      </w:rPr>
    </w:lvl>
    <w:lvl w:ilvl="4" w:tplc="84C601BC">
      <w:numFmt w:val="bullet"/>
      <w:lvlText w:val="•"/>
      <w:lvlJc w:val="left"/>
      <w:pPr>
        <w:ind w:left="5118" w:hanging="569"/>
      </w:pPr>
      <w:rPr>
        <w:rFonts w:hint="default"/>
        <w:lang w:val="en-US" w:eastAsia="en-US" w:bidi="ar-SA"/>
      </w:rPr>
    </w:lvl>
    <w:lvl w:ilvl="5" w:tplc="E0E68B92">
      <w:numFmt w:val="bullet"/>
      <w:lvlText w:val="•"/>
      <w:lvlJc w:val="left"/>
      <w:pPr>
        <w:ind w:left="5923" w:hanging="569"/>
      </w:pPr>
      <w:rPr>
        <w:rFonts w:hint="default"/>
        <w:lang w:val="en-US" w:eastAsia="en-US" w:bidi="ar-SA"/>
      </w:rPr>
    </w:lvl>
    <w:lvl w:ilvl="6" w:tplc="FCBC4D0C">
      <w:numFmt w:val="bullet"/>
      <w:lvlText w:val="•"/>
      <w:lvlJc w:val="left"/>
      <w:pPr>
        <w:ind w:left="6727" w:hanging="569"/>
      </w:pPr>
      <w:rPr>
        <w:rFonts w:hint="default"/>
        <w:lang w:val="en-US" w:eastAsia="en-US" w:bidi="ar-SA"/>
      </w:rPr>
    </w:lvl>
    <w:lvl w:ilvl="7" w:tplc="322C2426">
      <w:numFmt w:val="bullet"/>
      <w:lvlText w:val="•"/>
      <w:lvlJc w:val="left"/>
      <w:pPr>
        <w:ind w:left="7532" w:hanging="569"/>
      </w:pPr>
      <w:rPr>
        <w:rFonts w:hint="default"/>
        <w:lang w:val="en-US" w:eastAsia="en-US" w:bidi="ar-SA"/>
      </w:rPr>
    </w:lvl>
    <w:lvl w:ilvl="8" w:tplc="46D0F15A">
      <w:numFmt w:val="bullet"/>
      <w:lvlText w:val="•"/>
      <w:lvlJc w:val="left"/>
      <w:pPr>
        <w:ind w:left="8337" w:hanging="569"/>
      </w:pPr>
      <w:rPr>
        <w:rFonts w:hint="default"/>
        <w:lang w:val="en-US" w:eastAsia="en-US" w:bidi="ar-SA"/>
      </w:rPr>
    </w:lvl>
  </w:abstractNum>
  <w:abstractNum w:abstractNumId="35" w15:restartNumberingAfterBreak="0">
    <w:nsid w:val="67903B67"/>
    <w:multiLevelType w:val="hybridMultilevel"/>
    <w:tmpl w:val="1BDAF9B6"/>
    <w:lvl w:ilvl="0" w:tplc="70E2F8DC">
      <w:start w:val="1"/>
      <w:numFmt w:val="lowerLetter"/>
      <w:lvlText w:val="(%1)"/>
      <w:lvlJc w:val="left"/>
      <w:pPr>
        <w:tabs>
          <w:tab w:val="num" w:pos="1065"/>
        </w:tabs>
        <w:ind w:left="1065" w:hanging="705"/>
      </w:pPr>
    </w:lvl>
    <w:lvl w:ilvl="1" w:tplc="9FA874C2">
      <w:start w:val="1"/>
      <w:numFmt w:val="lowerRoman"/>
      <w:lvlText w:val="%2)"/>
      <w:lvlJc w:val="left"/>
      <w:pPr>
        <w:tabs>
          <w:tab w:val="num" w:pos="1800"/>
        </w:tabs>
        <w:ind w:left="1800" w:hanging="720"/>
      </w:pPr>
    </w:lvl>
    <w:lvl w:ilvl="2" w:tplc="3AAE734A">
      <w:start w:val="1"/>
      <w:numFmt w:val="lowerLetter"/>
      <w:lvlText w:val="%3)"/>
      <w:lvlJc w:val="left"/>
      <w:pPr>
        <w:tabs>
          <w:tab w:val="num" w:pos="2340"/>
        </w:tabs>
        <w:ind w:left="2340" w:hanging="360"/>
      </w:pPr>
    </w:lvl>
    <w:lvl w:ilvl="3" w:tplc="69B84244">
      <w:start w:val="1"/>
      <w:numFmt w:val="decimal"/>
      <w:lvlText w:val="%4."/>
      <w:lvlJc w:val="left"/>
      <w:pPr>
        <w:ind w:left="3240" w:hanging="72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36" w15:restartNumberingAfterBreak="0">
    <w:nsid w:val="6ADD5D4F"/>
    <w:multiLevelType w:val="hybridMultilevel"/>
    <w:tmpl w:val="F4BEB1D0"/>
    <w:lvl w:ilvl="0" w:tplc="0A800EFC">
      <w:start w:val="1"/>
      <w:numFmt w:val="decimal"/>
      <w:lvlText w:val="%1."/>
      <w:lvlJc w:val="left"/>
      <w:pPr>
        <w:ind w:left="759" w:hanging="567"/>
      </w:pPr>
      <w:rPr>
        <w:rFonts w:ascii="Arial" w:eastAsia="Arial" w:hAnsi="Arial" w:cs="Arial" w:hint="default"/>
        <w:b w:val="0"/>
        <w:bCs w:val="0"/>
        <w:i w:val="0"/>
        <w:iCs w:val="0"/>
        <w:spacing w:val="-1"/>
        <w:w w:val="100"/>
        <w:sz w:val="22"/>
        <w:szCs w:val="22"/>
        <w:lang w:val="en-US" w:eastAsia="en-US" w:bidi="ar-SA"/>
      </w:rPr>
    </w:lvl>
    <w:lvl w:ilvl="1" w:tplc="50CC3A5A">
      <w:start w:val="1"/>
      <w:numFmt w:val="lowerRoman"/>
      <w:lvlText w:val="%2)"/>
      <w:lvlJc w:val="left"/>
      <w:pPr>
        <w:ind w:left="1093" w:hanging="540"/>
      </w:pPr>
      <w:rPr>
        <w:rFonts w:ascii="Arial" w:eastAsia="Arial" w:hAnsi="Arial" w:cs="Arial" w:hint="default"/>
        <w:b w:val="0"/>
        <w:bCs w:val="0"/>
        <w:i w:val="0"/>
        <w:iCs w:val="0"/>
        <w:spacing w:val="-2"/>
        <w:w w:val="100"/>
        <w:sz w:val="22"/>
        <w:szCs w:val="22"/>
        <w:lang w:val="en-US" w:eastAsia="en-US" w:bidi="ar-SA"/>
      </w:rPr>
    </w:lvl>
    <w:lvl w:ilvl="2" w:tplc="F14C9C5C">
      <w:numFmt w:val="bullet"/>
      <w:lvlText w:val="•"/>
      <w:lvlJc w:val="left"/>
      <w:pPr>
        <w:ind w:left="2082" w:hanging="540"/>
      </w:pPr>
      <w:rPr>
        <w:rFonts w:hint="default"/>
        <w:lang w:val="en-US" w:eastAsia="en-US" w:bidi="ar-SA"/>
      </w:rPr>
    </w:lvl>
    <w:lvl w:ilvl="3" w:tplc="E0FCBB40">
      <w:numFmt w:val="bullet"/>
      <w:lvlText w:val="•"/>
      <w:lvlJc w:val="left"/>
      <w:pPr>
        <w:ind w:left="3065" w:hanging="540"/>
      </w:pPr>
      <w:rPr>
        <w:rFonts w:hint="default"/>
        <w:lang w:val="en-US" w:eastAsia="en-US" w:bidi="ar-SA"/>
      </w:rPr>
    </w:lvl>
    <w:lvl w:ilvl="4" w:tplc="03CCF40C">
      <w:numFmt w:val="bullet"/>
      <w:lvlText w:val="•"/>
      <w:lvlJc w:val="left"/>
      <w:pPr>
        <w:ind w:left="4048" w:hanging="540"/>
      </w:pPr>
      <w:rPr>
        <w:rFonts w:hint="default"/>
        <w:lang w:val="en-US" w:eastAsia="en-US" w:bidi="ar-SA"/>
      </w:rPr>
    </w:lvl>
    <w:lvl w:ilvl="5" w:tplc="3984E8C4">
      <w:numFmt w:val="bullet"/>
      <w:lvlText w:val="•"/>
      <w:lvlJc w:val="left"/>
      <w:pPr>
        <w:ind w:left="5031" w:hanging="540"/>
      </w:pPr>
      <w:rPr>
        <w:rFonts w:hint="default"/>
        <w:lang w:val="en-US" w:eastAsia="en-US" w:bidi="ar-SA"/>
      </w:rPr>
    </w:lvl>
    <w:lvl w:ilvl="6" w:tplc="6A0A9606">
      <w:numFmt w:val="bullet"/>
      <w:lvlText w:val="•"/>
      <w:lvlJc w:val="left"/>
      <w:pPr>
        <w:ind w:left="6014" w:hanging="540"/>
      </w:pPr>
      <w:rPr>
        <w:rFonts w:hint="default"/>
        <w:lang w:val="en-US" w:eastAsia="en-US" w:bidi="ar-SA"/>
      </w:rPr>
    </w:lvl>
    <w:lvl w:ilvl="7" w:tplc="E9E21BC2">
      <w:numFmt w:val="bullet"/>
      <w:lvlText w:val="•"/>
      <w:lvlJc w:val="left"/>
      <w:pPr>
        <w:ind w:left="6997" w:hanging="540"/>
      </w:pPr>
      <w:rPr>
        <w:rFonts w:hint="default"/>
        <w:lang w:val="en-US" w:eastAsia="en-US" w:bidi="ar-SA"/>
      </w:rPr>
    </w:lvl>
    <w:lvl w:ilvl="8" w:tplc="32C64AF8">
      <w:numFmt w:val="bullet"/>
      <w:lvlText w:val="•"/>
      <w:lvlJc w:val="left"/>
      <w:pPr>
        <w:ind w:left="7980" w:hanging="540"/>
      </w:pPr>
      <w:rPr>
        <w:rFonts w:hint="default"/>
        <w:lang w:val="en-US" w:eastAsia="en-US" w:bidi="ar-SA"/>
      </w:rPr>
    </w:lvl>
  </w:abstractNum>
  <w:abstractNum w:abstractNumId="37" w15:restartNumberingAfterBreak="0">
    <w:nsid w:val="709F4D84"/>
    <w:multiLevelType w:val="hybridMultilevel"/>
    <w:tmpl w:val="246EF864"/>
    <w:lvl w:ilvl="0" w:tplc="3DE259DE">
      <w:start w:val="1"/>
      <w:numFmt w:val="lowerLetter"/>
      <w:lvlText w:val="%1)"/>
      <w:lvlJc w:val="left"/>
      <w:pPr>
        <w:ind w:left="705" w:hanging="705"/>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8" w15:restartNumberingAfterBreak="0">
    <w:nsid w:val="732360EF"/>
    <w:multiLevelType w:val="hybridMultilevel"/>
    <w:tmpl w:val="7C8EC210"/>
    <w:lvl w:ilvl="0" w:tplc="9E26C080">
      <w:start w:val="7"/>
      <w:numFmt w:val="decimal"/>
      <w:lvlText w:val="%1"/>
      <w:lvlJc w:val="left"/>
      <w:pPr>
        <w:ind w:left="504" w:hanging="144"/>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7E206986"/>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14625602">
    <w:abstractNumId w:val="0"/>
  </w:num>
  <w:num w:numId="2" w16cid:durableId="598490445">
    <w:abstractNumId w:val="1"/>
  </w:num>
  <w:num w:numId="3" w16cid:durableId="1481076609">
    <w:abstractNumId w:val="2"/>
  </w:num>
  <w:num w:numId="4" w16cid:durableId="2146239410">
    <w:abstractNumId w:val="24"/>
  </w:num>
  <w:num w:numId="5" w16cid:durableId="37974177">
    <w:abstractNumId w:val="15"/>
  </w:num>
  <w:num w:numId="6" w16cid:durableId="1958830237">
    <w:abstractNumId w:val="25"/>
  </w:num>
  <w:num w:numId="7" w16cid:durableId="396439182">
    <w:abstractNumId w:val="31"/>
  </w:num>
  <w:num w:numId="8" w16cid:durableId="260603560">
    <w:abstractNumId w:val="23"/>
  </w:num>
  <w:num w:numId="9" w16cid:durableId="1356272424">
    <w:abstractNumId w:val="17"/>
  </w:num>
  <w:num w:numId="10" w16cid:durableId="630594039">
    <w:abstractNumId w:val="39"/>
  </w:num>
  <w:num w:numId="11" w16cid:durableId="2069759870">
    <w:abstractNumId w:val="28"/>
  </w:num>
  <w:num w:numId="12" w16cid:durableId="904724938">
    <w:abstractNumId w:val="32"/>
  </w:num>
  <w:num w:numId="13" w16cid:durableId="1259875279">
    <w:abstractNumId w:val="3"/>
  </w:num>
  <w:num w:numId="14" w16cid:durableId="809634324">
    <w:abstractNumId w:val="4"/>
  </w:num>
  <w:num w:numId="15" w16cid:durableId="527839253">
    <w:abstractNumId w:val="4"/>
    <w:lvlOverride w:ilvl="0">
      <w:lvl w:ilvl="0">
        <w:numFmt w:val="lowerRoman"/>
        <w:lvlText w:val="%1)"/>
        <w:lvlJc w:val="left"/>
        <w:pPr>
          <w:tabs>
            <w:tab w:val="num" w:pos="1152"/>
          </w:tabs>
          <w:ind w:hanging="576"/>
        </w:pPr>
        <w:rPr>
          <w:rFonts w:ascii="Arial" w:hAnsi="Arial" w:cs="Times New Roman"/>
          <w:sz w:val="22"/>
        </w:rPr>
      </w:lvl>
    </w:lvlOverride>
  </w:num>
  <w:num w:numId="16" w16cid:durableId="1367490949">
    <w:abstractNumId w:val="29"/>
  </w:num>
  <w:num w:numId="17" w16cid:durableId="1996572193">
    <w:abstractNumId w:val="34"/>
  </w:num>
  <w:num w:numId="18" w16cid:durableId="1490057818">
    <w:abstractNumId w:val="7"/>
  </w:num>
  <w:num w:numId="19" w16cid:durableId="276835747">
    <w:abstractNumId w:val="36"/>
  </w:num>
  <w:num w:numId="20" w16cid:durableId="1767919701">
    <w:abstractNumId w:val="27"/>
  </w:num>
  <w:num w:numId="21" w16cid:durableId="998462739">
    <w:abstractNumId w:val="6"/>
  </w:num>
  <w:num w:numId="22" w16cid:durableId="1613050129">
    <w:abstractNumId w:val="5"/>
  </w:num>
  <w:num w:numId="23" w16cid:durableId="220408976">
    <w:abstractNumId w:val="9"/>
  </w:num>
  <w:num w:numId="24" w16cid:durableId="1083451869">
    <w:abstractNumId w:val="18"/>
  </w:num>
  <w:num w:numId="25" w16cid:durableId="937062379">
    <w:abstractNumId w:val="33"/>
  </w:num>
  <w:num w:numId="26" w16cid:durableId="1321619406">
    <w:abstractNumId w:val="22"/>
  </w:num>
  <w:num w:numId="27" w16cid:durableId="1266811673">
    <w:abstractNumId w:val="14"/>
  </w:num>
  <w:num w:numId="28" w16cid:durableId="1092894261">
    <w:abstractNumId w:val="19"/>
  </w:num>
  <w:num w:numId="29" w16cid:durableId="509417476">
    <w:abstractNumId w:val="8"/>
  </w:num>
  <w:num w:numId="30" w16cid:durableId="11743705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40435087">
    <w:abstractNumId w:val="30"/>
  </w:num>
  <w:num w:numId="32" w16cid:durableId="1002052677">
    <w:abstractNumId w:val="13"/>
  </w:num>
  <w:num w:numId="33" w16cid:durableId="238902923">
    <w:abstractNumId w:val="26"/>
  </w:num>
  <w:num w:numId="34" w16cid:durableId="701903462">
    <w:abstractNumId w:val="21"/>
  </w:num>
  <w:num w:numId="35" w16cid:durableId="183888588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2269679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2385825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9050320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9791116">
    <w:abstractNumId w:val="3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07865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689927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97"/>
    <w:rsid w:val="00002A97"/>
    <w:rsid w:val="00002B5E"/>
    <w:rsid w:val="00006A5D"/>
    <w:rsid w:val="00023BC7"/>
    <w:rsid w:val="0003740B"/>
    <w:rsid w:val="00037AA2"/>
    <w:rsid w:val="00044E3D"/>
    <w:rsid w:val="000511A1"/>
    <w:rsid w:val="000547E4"/>
    <w:rsid w:val="00056DD2"/>
    <w:rsid w:val="0005792A"/>
    <w:rsid w:val="00080F23"/>
    <w:rsid w:val="000B5E89"/>
    <w:rsid w:val="000D08CB"/>
    <w:rsid w:val="000E10CC"/>
    <w:rsid w:val="000E192F"/>
    <w:rsid w:val="000E6A34"/>
    <w:rsid w:val="000F14E7"/>
    <w:rsid w:val="000F2170"/>
    <w:rsid w:val="000F2887"/>
    <w:rsid w:val="000F4BDA"/>
    <w:rsid w:val="000F6C4A"/>
    <w:rsid w:val="000F7AD8"/>
    <w:rsid w:val="0010460A"/>
    <w:rsid w:val="001203A0"/>
    <w:rsid w:val="00127CCF"/>
    <w:rsid w:val="00142CA3"/>
    <w:rsid w:val="00146010"/>
    <w:rsid w:val="00152AEC"/>
    <w:rsid w:val="001561CF"/>
    <w:rsid w:val="001613CE"/>
    <w:rsid w:val="00166C59"/>
    <w:rsid w:val="0017231C"/>
    <w:rsid w:val="00175334"/>
    <w:rsid w:val="00192411"/>
    <w:rsid w:val="001A4235"/>
    <w:rsid w:val="001B0BBC"/>
    <w:rsid w:val="001B6B91"/>
    <w:rsid w:val="001D0E03"/>
    <w:rsid w:val="001D221B"/>
    <w:rsid w:val="001D4158"/>
    <w:rsid w:val="001D779C"/>
    <w:rsid w:val="001E6CDF"/>
    <w:rsid w:val="001F2CCF"/>
    <w:rsid w:val="001F7F23"/>
    <w:rsid w:val="00200008"/>
    <w:rsid w:val="00210C3B"/>
    <w:rsid w:val="00233E04"/>
    <w:rsid w:val="0024152C"/>
    <w:rsid w:val="00243F46"/>
    <w:rsid w:val="00257512"/>
    <w:rsid w:val="002675A1"/>
    <w:rsid w:val="0028746B"/>
    <w:rsid w:val="002A3532"/>
    <w:rsid w:val="002A40B8"/>
    <w:rsid w:val="002A5ABE"/>
    <w:rsid w:val="002B0162"/>
    <w:rsid w:val="002B06DD"/>
    <w:rsid w:val="002B198E"/>
    <w:rsid w:val="002C19B2"/>
    <w:rsid w:val="002D5F2A"/>
    <w:rsid w:val="002D6719"/>
    <w:rsid w:val="002D6B52"/>
    <w:rsid w:val="002E064C"/>
    <w:rsid w:val="002E2962"/>
    <w:rsid w:val="002E4CDC"/>
    <w:rsid w:val="002F0E79"/>
    <w:rsid w:val="002F1BF6"/>
    <w:rsid w:val="002F7EC2"/>
    <w:rsid w:val="003039AD"/>
    <w:rsid w:val="003057D9"/>
    <w:rsid w:val="00310A8B"/>
    <w:rsid w:val="00312357"/>
    <w:rsid w:val="00312515"/>
    <w:rsid w:val="003133A7"/>
    <w:rsid w:val="00323406"/>
    <w:rsid w:val="0032372F"/>
    <w:rsid w:val="00323998"/>
    <w:rsid w:val="00330F33"/>
    <w:rsid w:val="0038751F"/>
    <w:rsid w:val="00391F33"/>
    <w:rsid w:val="00396A3D"/>
    <w:rsid w:val="00396BA8"/>
    <w:rsid w:val="003B019A"/>
    <w:rsid w:val="003B2667"/>
    <w:rsid w:val="003B587D"/>
    <w:rsid w:val="003B7A6E"/>
    <w:rsid w:val="003C236F"/>
    <w:rsid w:val="003C2A8D"/>
    <w:rsid w:val="003C3F92"/>
    <w:rsid w:val="004130A9"/>
    <w:rsid w:val="00430521"/>
    <w:rsid w:val="00430A25"/>
    <w:rsid w:val="00432A52"/>
    <w:rsid w:val="00434468"/>
    <w:rsid w:val="00451C5C"/>
    <w:rsid w:val="00457C8A"/>
    <w:rsid w:val="00463861"/>
    <w:rsid w:val="00476270"/>
    <w:rsid w:val="00484968"/>
    <w:rsid w:val="00486E63"/>
    <w:rsid w:val="00487007"/>
    <w:rsid w:val="00492A67"/>
    <w:rsid w:val="004C042B"/>
    <w:rsid w:val="004C1008"/>
    <w:rsid w:val="004C1528"/>
    <w:rsid w:val="004C7808"/>
    <w:rsid w:val="004D4092"/>
    <w:rsid w:val="004E21AD"/>
    <w:rsid w:val="004E5399"/>
    <w:rsid w:val="004E53BC"/>
    <w:rsid w:val="00500216"/>
    <w:rsid w:val="00523E64"/>
    <w:rsid w:val="005330F7"/>
    <w:rsid w:val="005339CC"/>
    <w:rsid w:val="00543923"/>
    <w:rsid w:val="005459DB"/>
    <w:rsid w:val="00545A89"/>
    <w:rsid w:val="00554B94"/>
    <w:rsid w:val="00562C45"/>
    <w:rsid w:val="00563598"/>
    <w:rsid w:val="0057584E"/>
    <w:rsid w:val="0058664C"/>
    <w:rsid w:val="00591364"/>
    <w:rsid w:val="005925FA"/>
    <w:rsid w:val="005B6444"/>
    <w:rsid w:val="005C3267"/>
    <w:rsid w:val="005C376C"/>
    <w:rsid w:val="005D5475"/>
    <w:rsid w:val="005E6548"/>
    <w:rsid w:val="005F4402"/>
    <w:rsid w:val="00624E8D"/>
    <w:rsid w:val="006363BF"/>
    <w:rsid w:val="00641242"/>
    <w:rsid w:val="00676172"/>
    <w:rsid w:val="006928AF"/>
    <w:rsid w:val="00697888"/>
    <w:rsid w:val="006A201B"/>
    <w:rsid w:val="006A50C3"/>
    <w:rsid w:val="006C0821"/>
    <w:rsid w:val="006C2EF5"/>
    <w:rsid w:val="006D2160"/>
    <w:rsid w:val="006D34EE"/>
    <w:rsid w:val="006F22B0"/>
    <w:rsid w:val="006F2BEF"/>
    <w:rsid w:val="006F53D5"/>
    <w:rsid w:val="00701079"/>
    <w:rsid w:val="007045C5"/>
    <w:rsid w:val="00713CA2"/>
    <w:rsid w:val="0072646D"/>
    <w:rsid w:val="007357B5"/>
    <w:rsid w:val="00746DAF"/>
    <w:rsid w:val="007629B7"/>
    <w:rsid w:val="0076341C"/>
    <w:rsid w:val="00763B68"/>
    <w:rsid w:val="007700D9"/>
    <w:rsid w:val="007708C1"/>
    <w:rsid w:val="0078179F"/>
    <w:rsid w:val="00790422"/>
    <w:rsid w:val="00792336"/>
    <w:rsid w:val="0079244B"/>
    <w:rsid w:val="00793C7C"/>
    <w:rsid w:val="007941C7"/>
    <w:rsid w:val="007B53CC"/>
    <w:rsid w:val="007C212E"/>
    <w:rsid w:val="007E0887"/>
    <w:rsid w:val="007E1BDF"/>
    <w:rsid w:val="007E2CF8"/>
    <w:rsid w:val="007E3713"/>
    <w:rsid w:val="007E514B"/>
    <w:rsid w:val="007E5A82"/>
    <w:rsid w:val="007E5B66"/>
    <w:rsid w:val="007F35E2"/>
    <w:rsid w:val="007F5079"/>
    <w:rsid w:val="007F6304"/>
    <w:rsid w:val="00800CB3"/>
    <w:rsid w:val="0080195C"/>
    <w:rsid w:val="0080745F"/>
    <w:rsid w:val="00810C64"/>
    <w:rsid w:val="008161B0"/>
    <w:rsid w:val="008250E7"/>
    <w:rsid w:val="00831791"/>
    <w:rsid w:val="0084663E"/>
    <w:rsid w:val="00847CA2"/>
    <w:rsid w:val="008554CA"/>
    <w:rsid w:val="008643FF"/>
    <w:rsid w:val="008B1CAD"/>
    <w:rsid w:val="008C2799"/>
    <w:rsid w:val="008C43E8"/>
    <w:rsid w:val="008C5FCA"/>
    <w:rsid w:val="008D1937"/>
    <w:rsid w:val="008F2F55"/>
    <w:rsid w:val="008F75DE"/>
    <w:rsid w:val="009059D0"/>
    <w:rsid w:val="00905C20"/>
    <w:rsid w:val="009113FB"/>
    <w:rsid w:val="00912981"/>
    <w:rsid w:val="00916A22"/>
    <w:rsid w:val="00920DC2"/>
    <w:rsid w:val="00924A38"/>
    <w:rsid w:val="009264BB"/>
    <w:rsid w:val="00943D15"/>
    <w:rsid w:val="009570C3"/>
    <w:rsid w:val="0096669F"/>
    <w:rsid w:val="00984CB6"/>
    <w:rsid w:val="009927E4"/>
    <w:rsid w:val="00995B3E"/>
    <w:rsid w:val="009B3981"/>
    <w:rsid w:val="009B3FD9"/>
    <w:rsid w:val="009B66DD"/>
    <w:rsid w:val="009F0C19"/>
    <w:rsid w:val="009F2103"/>
    <w:rsid w:val="00A00EF3"/>
    <w:rsid w:val="00A01839"/>
    <w:rsid w:val="00A134D6"/>
    <w:rsid w:val="00A16CC3"/>
    <w:rsid w:val="00A30AA6"/>
    <w:rsid w:val="00A528F7"/>
    <w:rsid w:val="00A542D6"/>
    <w:rsid w:val="00A57846"/>
    <w:rsid w:val="00A65A0E"/>
    <w:rsid w:val="00A91D33"/>
    <w:rsid w:val="00AA0AA1"/>
    <w:rsid w:val="00AB35E8"/>
    <w:rsid w:val="00AB7645"/>
    <w:rsid w:val="00AC0373"/>
    <w:rsid w:val="00AC09AE"/>
    <w:rsid w:val="00AD0064"/>
    <w:rsid w:val="00AE44B9"/>
    <w:rsid w:val="00AF5F39"/>
    <w:rsid w:val="00B01F87"/>
    <w:rsid w:val="00B104EC"/>
    <w:rsid w:val="00B40E07"/>
    <w:rsid w:val="00B46BE6"/>
    <w:rsid w:val="00B5514A"/>
    <w:rsid w:val="00B656AC"/>
    <w:rsid w:val="00B6595D"/>
    <w:rsid w:val="00B67E24"/>
    <w:rsid w:val="00B77017"/>
    <w:rsid w:val="00B77DD3"/>
    <w:rsid w:val="00B85B08"/>
    <w:rsid w:val="00B86E40"/>
    <w:rsid w:val="00BA25F6"/>
    <w:rsid w:val="00BA428E"/>
    <w:rsid w:val="00BC12CB"/>
    <w:rsid w:val="00BC5707"/>
    <w:rsid w:val="00BD53D8"/>
    <w:rsid w:val="00BF0D46"/>
    <w:rsid w:val="00BF7838"/>
    <w:rsid w:val="00C1261F"/>
    <w:rsid w:val="00C16F38"/>
    <w:rsid w:val="00C21712"/>
    <w:rsid w:val="00C30134"/>
    <w:rsid w:val="00C37845"/>
    <w:rsid w:val="00C41DAD"/>
    <w:rsid w:val="00C65C49"/>
    <w:rsid w:val="00C664E8"/>
    <w:rsid w:val="00C75F52"/>
    <w:rsid w:val="00C765F6"/>
    <w:rsid w:val="00C81DD7"/>
    <w:rsid w:val="00C946B8"/>
    <w:rsid w:val="00CA0A38"/>
    <w:rsid w:val="00CA0D4B"/>
    <w:rsid w:val="00CA5B57"/>
    <w:rsid w:val="00CB5149"/>
    <w:rsid w:val="00CC0F4F"/>
    <w:rsid w:val="00CC1B40"/>
    <w:rsid w:val="00CC1F1F"/>
    <w:rsid w:val="00CC3B53"/>
    <w:rsid w:val="00CC659A"/>
    <w:rsid w:val="00CC77EC"/>
    <w:rsid w:val="00CD0043"/>
    <w:rsid w:val="00CE2ECC"/>
    <w:rsid w:val="00CE484F"/>
    <w:rsid w:val="00CF0FC2"/>
    <w:rsid w:val="00CF623A"/>
    <w:rsid w:val="00D11A60"/>
    <w:rsid w:val="00D13331"/>
    <w:rsid w:val="00D139D9"/>
    <w:rsid w:val="00D267B5"/>
    <w:rsid w:val="00D46AE6"/>
    <w:rsid w:val="00D70275"/>
    <w:rsid w:val="00D75212"/>
    <w:rsid w:val="00D83999"/>
    <w:rsid w:val="00D84650"/>
    <w:rsid w:val="00D95099"/>
    <w:rsid w:val="00DA608E"/>
    <w:rsid w:val="00DB29B4"/>
    <w:rsid w:val="00DB3AE8"/>
    <w:rsid w:val="00DB4CE5"/>
    <w:rsid w:val="00DC55BE"/>
    <w:rsid w:val="00DD6397"/>
    <w:rsid w:val="00DE133B"/>
    <w:rsid w:val="00DF6D80"/>
    <w:rsid w:val="00E041F5"/>
    <w:rsid w:val="00E07AB0"/>
    <w:rsid w:val="00E10883"/>
    <w:rsid w:val="00E20DF3"/>
    <w:rsid w:val="00E24C7B"/>
    <w:rsid w:val="00E2638C"/>
    <w:rsid w:val="00E37296"/>
    <w:rsid w:val="00E40018"/>
    <w:rsid w:val="00E44E01"/>
    <w:rsid w:val="00E47F80"/>
    <w:rsid w:val="00E5225E"/>
    <w:rsid w:val="00E52C7B"/>
    <w:rsid w:val="00E607BD"/>
    <w:rsid w:val="00E77A9F"/>
    <w:rsid w:val="00E81B4A"/>
    <w:rsid w:val="00E836BE"/>
    <w:rsid w:val="00E83B8B"/>
    <w:rsid w:val="00E91536"/>
    <w:rsid w:val="00E97687"/>
    <w:rsid w:val="00EA39C4"/>
    <w:rsid w:val="00EB153E"/>
    <w:rsid w:val="00EB4766"/>
    <w:rsid w:val="00ED0B87"/>
    <w:rsid w:val="00ED53A3"/>
    <w:rsid w:val="00EF1D13"/>
    <w:rsid w:val="00EF2477"/>
    <w:rsid w:val="00EF6C8B"/>
    <w:rsid w:val="00F02285"/>
    <w:rsid w:val="00F147ED"/>
    <w:rsid w:val="00F3487D"/>
    <w:rsid w:val="00F350CB"/>
    <w:rsid w:val="00F44430"/>
    <w:rsid w:val="00F4496C"/>
    <w:rsid w:val="00F86D02"/>
    <w:rsid w:val="00FB02FD"/>
    <w:rsid w:val="00FB1767"/>
    <w:rsid w:val="00FB67E4"/>
    <w:rsid w:val="00FC42A9"/>
    <w:rsid w:val="00FD3F37"/>
    <w:rsid w:val="00FD61EF"/>
    <w:rsid w:val="00FE031D"/>
    <w:rsid w:val="00FE12DD"/>
    <w:rsid w:val="00FF01DC"/>
    <w:rsid w:val="00FF0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5060B"/>
  <w15:chartTrackingRefBased/>
  <w15:docId w15:val="{7F5A1F93-24F7-4A43-8283-27B66827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83999"/>
    <w:pPr>
      <w:widowControl w:val="0"/>
      <w:autoSpaceDE w:val="0"/>
      <w:autoSpaceDN w:val="0"/>
      <w:spacing w:after="0" w:line="240" w:lineRule="auto"/>
      <w:ind w:left="252"/>
      <w:outlineLvl w:val="0"/>
    </w:pPr>
    <w:rPr>
      <w:rFonts w:eastAsia="Arial" w:cs="Arial"/>
      <w:b/>
      <w:bCs/>
    </w:rPr>
  </w:style>
  <w:style w:type="paragraph" w:styleId="Heading2">
    <w:name w:val="heading 2"/>
    <w:basedOn w:val="Normal"/>
    <w:link w:val="Heading2Char"/>
    <w:uiPriority w:val="9"/>
    <w:unhideWhenUsed/>
    <w:qFormat/>
    <w:rsid w:val="00D83999"/>
    <w:pPr>
      <w:widowControl w:val="0"/>
      <w:autoSpaceDE w:val="0"/>
      <w:autoSpaceDN w:val="0"/>
      <w:spacing w:after="0" w:line="240" w:lineRule="auto"/>
      <w:ind w:left="611" w:hanging="359"/>
      <w:outlineLvl w:val="1"/>
    </w:pPr>
    <w:rPr>
      <w:rFonts w:eastAsia="Arial" w:cs="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02A97"/>
    <w:pPr>
      <w:tabs>
        <w:tab w:val="center" w:pos="4680"/>
        <w:tab w:val="right" w:pos="9360"/>
      </w:tabs>
      <w:spacing w:after="0" w:line="240" w:lineRule="auto"/>
    </w:pPr>
  </w:style>
  <w:style w:type="character" w:customStyle="1" w:styleId="HeaderChar">
    <w:name w:val="Header Char"/>
    <w:basedOn w:val="DefaultParagraphFont"/>
    <w:link w:val="Header"/>
    <w:rsid w:val="00002A97"/>
  </w:style>
  <w:style w:type="paragraph" w:styleId="Footer">
    <w:name w:val="footer"/>
    <w:basedOn w:val="Normal"/>
    <w:link w:val="FooterChar"/>
    <w:uiPriority w:val="99"/>
    <w:unhideWhenUsed/>
    <w:rsid w:val="00002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97"/>
  </w:style>
  <w:style w:type="paragraph" w:styleId="BalloonText">
    <w:name w:val="Balloon Text"/>
    <w:basedOn w:val="Normal"/>
    <w:link w:val="BalloonTextChar"/>
    <w:uiPriority w:val="99"/>
    <w:semiHidden/>
    <w:unhideWhenUsed/>
    <w:rsid w:val="00E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4A"/>
    <w:rPr>
      <w:rFonts w:ascii="Segoe UI" w:hAnsi="Segoe UI" w:cs="Segoe UI"/>
      <w:sz w:val="18"/>
      <w:szCs w:val="18"/>
    </w:rPr>
  </w:style>
  <w:style w:type="paragraph" w:customStyle="1" w:styleId="Title1">
    <w:name w:val="Title1"/>
    <w:basedOn w:val="Normal"/>
    <w:link w:val="TITLEChar"/>
    <w:qFormat/>
    <w:rsid w:val="00F147E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pPr>
    <w:rPr>
      <w:rFonts w:eastAsia="Times New Roman" w:cs="Arial"/>
      <w:b/>
      <w:bCs/>
      <w:caps/>
      <w:sz w:val="24"/>
      <w:szCs w:val="24"/>
      <w:lang w:val="es-ES" w:eastAsia="es-ES"/>
    </w:rPr>
  </w:style>
  <w:style w:type="paragraph" w:styleId="ListParagraph">
    <w:name w:val="List Paragraph"/>
    <w:basedOn w:val="Normal"/>
    <w:link w:val="ListParagraphChar"/>
    <w:uiPriority w:val="1"/>
    <w:qFormat/>
    <w:rsid w:val="00F147ED"/>
    <w:pPr>
      <w:ind w:left="720"/>
      <w:contextualSpacing/>
    </w:pPr>
  </w:style>
  <w:style w:type="character" w:customStyle="1" w:styleId="TITLEChar">
    <w:name w:val="TITLE Char"/>
    <w:basedOn w:val="DefaultParagraphFont"/>
    <w:link w:val="Title1"/>
    <w:rsid w:val="00F147ED"/>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0E192F"/>
    <w:pPr>
      <w:widowControl w:val="0"/>
      <w:numPr>
        <w:numId w:val="1"/>
      </w:numPr>
      <w:suppressAutoHyphens/>
      <w:autoSpaceDE w:val="0"/>
      <w:autoSpaceDN w:val="0"/>
      <w:spacing w:after="0" w:line="240" w:lineRule="auto"/>
      <w:ind w:left="567" w:hanging="567"/>
      <w:jc w:val="both"/>
      <w:textAlignment w:val="baseline"/>
    </w:pPr>
    <w:rPr>
      <w:rFonts w:eastAsia="Times New Roman" w:cs="Arial"/>
      <w:lang w:val="es-ES" w:eastAsia="es-ES"/>
    </w:rPr>
  </w:style>
  <w:style w:type="paragraph" w:customStyle="1" w:styleId="Secondnumberinga">
    <w:name w:val="Second numbering a)."/>
    <w:basedOn w:val="ListParagraph"/>
    <w:link w:val="SecondnumberingaChar"/>
    <w:qFormat/>
    <w:rsid w:val="000E192F"/>
    <w:pPr>
      <w:numPr>
        <w:numId w:val="2"/>
      </w:numPr>
      <w:spacing w:after="0" w:line="240" w:lineRule="auto"/>
      <w:ind w:left="1134" w:hanging="283"/>
      <w:jc w:val="both"/>
    </w:pPr>
    <w:rPr>
      <w:lang w:val="es-ES"/>
    </w:rPr>
  </w:style>
  <w:style w:type="character" w:customStyle="1" w:styleId="ListParagraphChar">
    <w:name w:val="List Paragraph Char"/>
    <w:basedOn w:val="DefaultParagraphFont"/>
    <w:link w:val="ListParagraph"/>
    <w:uiPriority w:val="34"/>
    <w:rsid w:val="00F147ED"/>
  </w:style>
  <w:style w:type="character" w:customStyle="1" w:styleId="Firstnumbering1Char">
    <w:name w:val="First numbering 1. Char"/>
    <w:basedOn w:val="ListParagraphChar"/>
    <w:link w:val="Firstnumbering1"/>
    <w:rsid w:val="000E192F"/>
    <w:rPr>
      <w:rFonts w:eastAsia="Times New Roman" w:cs="Arial"/>
      <w:lang w:val="es-ES" w:eastAsia="es-ES"/>
    </w:rPr>
  </w:style>
  <w:style w:type="character" w:customStyle="1" w:styleId="SecondnumberingaChar">
    <w:name w:val="Second numbering a). Char"/>
    <w:basedOn w:val="ListParagraphChar"/>
    <w:link w:val="Secondnumberinga"/>
    <w:rsid w:val="000E192F"/>
    <w:rPr>
      <w:lang w:val="es-ES"/>
    </w:rPr>
  </w:style>
  <w:style w:type="paragraph" w:customStyle="1" w:styleId="Thirdnumberingi">
    <w:name w:val="Third numbering i)."/>
    <w:basedOn w:val="ListParagraph"/>
    <w:link w:val="ThirdnumberingiChar"/>
    <w:qFormat/>
    <w:rsid w:val="00943D15"/>
    <w:pPr>
      <w:numPr>
        <w:numId w:val="3"/>
      </w:numPr>
      <w:spacing w:after="0" w:line="240" w:lineRule="auto"/>
      <w:ind w:left="1560" w:hanging="284"/>
    </w:pPr>
    <w:rPr>
      <w:lang w:val="es-ES"/>
    </w:rPr>
  </w:style>
  <w:style w:type="paragraph" w:customStyle="1" w:styleId="FourthnumberingA">
    <w:name w:val="Fourth numbering A."/>
    <w:basedOn w:val="ListParagraph"/>
    <w:link w:val="FourthnumberingAChar"/>
    <w:qFormat/>
    <w:rsid w:val="00943D15"/>
    <w:pPr>
      <w:numPr>
        <w:numId w:val="4"/>
      </w:numPr>
      <w:spacing w:after="0" w:line="240" w:lineRule="auto"/>
      <w:ind w:left="1985" w:hanging="284"/>
    </w:pPr>
    <w:rPr>
      <w:lang w:val="es-ES"/>
    </w:rPr>
  </w:style>
  <w:style w:type="character" w:customStyle="1" w:styleId="ThirdnumberingiChar">
    <w:name w:val="Third numbering i). Char"/>
    <w:basedOn w:val="ListParagraphChar"/>
    <w:link w:val="Thirdnumberingi"/>
    <w:rsid w:val="00943D15"/>
    <w:rPr>
      <w:lang w:val="es-ES"/>
    </w:rPr>
  </w:style>
  <w:style w:type="character" w:customStyle="1" w:styleId="FourthnumberingAChar">
    <w:name w:val="Fourth numbering A. Char"/>
    <w:basedOn w:val="ListParagraphChar"/>
    <w:link w:val="FourthnumberingA"/>
    <w:rsid w:val="00943D15"/>
    <w:rPr>
      <w:lang w:val="es-ES"/>
    </w:rPr>
  </w:style>
  <w:style w:type="character" w:styleId="Hyperlink">
    <w:name w:val="Hyperlink"/>
    <w:basedOn w:val="DefaultParagraphFont"/>
    <w:uiPriority w:val="99"/>
    <w:unhideWhenUsed/>
    <w:rsid w:val="00AC09AE"/>
    <w:rPr>
      <w:color w:val="0563C1" w:themeColor="hyperlink"/>
      <w:u w:val="single"/>
    </w:rPr>
  </w:style>
  <w:style w:type="character" w:styleId="FootnoteReference">
    <w:name w:val="footnote reference"/>
    <w:uiPriority w:val="99"/>
    <w:semiHidden/>
    <w:rsid w:val="00810C64"/>
    <w:rPr>
      <w:rFonts w:cs="Times New Roman"/>
    </w:rPr>
  </w:style>
  <w:style w:type="paragraph" w:styleId="FootnoteText">
    <w:name w:val="footnote text"/>
    <w:basedOn w:val="Normal"/>
    <w:link w:val="FootnoteTextChar"/>
    <w:uiPriority w:val="99"/>
    <w:semiHidden/>
    <w:unhideWhenUsed/>
    <w:rsid w:val="006A50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A50C3"/>
    <w:rPr>
      <w:sz w:val="20"/>
      <w:szCs w:val="20"/>
    </w:rPr>
  </w:style>
  <w:style w:type="paragraph" w:customStyle="1" w:styleId="TableParagraph">
    <w:name w:val="Table Paragraph"/>
    <w:basedOn w:val="Normal"/>
    <w:uiPriority w:val="1"/>
    <w:qFormat/>
    <w:rsid w:val="00E37296"/>
    <w:pPr>
      <w:widowControl w:val="0"/>
      <w:autoSpaceDE w:val="0"/>
      <w:autoSpaceDN w:val="0"/>
      <w:spacing w:before="23" w:after="0" w:line="240" w:lineRule="auto"/>
      <w:ind w:right="93"/>
      <w:jc w:val="right"/>
    </w:pPr>
    <w:rPr>
      <w:rFonts w:eastAsia="Arial" w:cs="Arial"/>
    </w:rPr>
  </w:style>
  <w:style w:type="paragraph" w:styleId="BodyText">
    <w:name w:val="Body Text"/>
    <w:basedOn w:val="Normal"/>
    <w:link w:val="BodyTextChar"/>
    <w:uiPriority w:val="1"/>
    <w:qFormat/>
    <w:rsid w:val="001D0E03"/>
    <w:pPr>
      <w:widowControl w:val="0"/>
      <w:autoSpaceDE w:val="0"/>
      <w:autoSpaceDN w:val="0"/>
      <w:spacing w:after="0" w:line="240" w:lineRule="auto"/>
    </w:pPr>
    <w:rPr>
      <w:rFonts w:eastAsia="Arial" w:cs="Arial"/>
    </w:rPr>
  </w:style>
  <w:style w:type="character" w:customStyle="1" w:styleId="BodyTextChar">
    <w:name w:val="Body Text Char"/>
    <w:basedOn w:val="DefaultParagraphFont"/>
    <w:link w:val="BodyText"/>
    <w:uiPriority w:val="1"/>
    <w:rsid w:val="001D0E03"/>
    <w:rPr>
      <w:rFonts w:eastAsia="Arial" w:cs="Arial"/>
    </w:rPr>
  </w:style>
  <w:style w:type="character" w:customStyle="1" w:styleId="Heading1Char">
    <w:name w:val="Heading 1 Char"/>
    <w:basedOn w:val="DefaultParagraphFont"/>
    <w:link w:val="Heading1"/>
    <w:uiPriority w:val="9"/>
    <w:rsid w:val="00D83999"/>
    <w:rPr>
      <w:rFonts w:eastAsia="Arial" w:cs="Arial"/>
      <w:b/>
      <w:bCs/>
    </w:rPr>
  </w:style>
  <w:style w:type="character" w:customStyle="1" w:styleId="Heading2Char">
    <w:name w:val="Heading 2 Char"/>
    <w:basedOn w:val="DefaultParagraphFont"/>
    <w:link w:val="Heading2"/>
    <w:uiPriority w:val="9"/>
    <w:rsid w:val="00D83999"/>
    <w:rPr>
      <w:rFonts w:eastAsia="Arial" w:cs="Arial"/>
      <w:b/>
      <w:bCs/>
      <w:i/>
      <w:iCs/>
    </w:rPr>
  </w:style>
  <w:style w:type="numbering" w:customStyle="1" w:styleId="NoList1">
    <w:name w:val="No List1"/>
    <w:next w:val="NoList"/>
    <w:uiPriority w:val="99"/>
    <w:semiHidden/>
    <w:unhideWhenUsed/>
    <w:rsid w:val="00D83999"/>
  </w:style>
  <w:style w:type="paragraph" w:styleId="NormalWeb">
    <w:name w:val="Normal (Web)"/>
    <w:basedOn w:val="Normal"/>
    <w:uiPriority w:val="99"/>
    <w:semiHidden/>
    <w:unhideWhenUsed/>
    <w:rsid w:val="00D83999"/>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83999"/>
    <w:rPr>
      <w:sz w:val="16"/>
      <w:szCs w:val="16"/>
    </w:rPr>
  </w:style>
  <w:style w:type="paragraph" w:styleId="CommentText">
    <w:name w:val="annotation text"/>
    <w:basedOn w:val="Normal"/>
    <w:link w:val="CommentTextChar"/>
    <w:uiPriority w:val="99"/>
    <w:unhideWhenUsed/>
    <w:rsid w:val="00D83999"/>
    <w:pPr>
      <w:widowControl w:val="0"/>
      <w:autoSpaceDE w:val="0"/>
      <w:autoSpaceDN w:val="0"/>
      <w:spacing w:after="0" w:line="240" w:lineRule="auto"/>
    </w:pPr>
    <w:rPr>
      <w:rFonts w:eastAsia="Arial" w:cs="Arial"/>
      <w:sz w:val="20"/>
      <w:szCs w:val="20"/>
    </w:rPr>
  </w:style>
  <w:style w:type="character" w:customStyle="1" w:styleId="CommentTextChar">
    <w:name w:val="Comment Text Char"/>
    <w:basedOn w:val="DefaultParagraphFont"/>
    <w:link w:val="CommentText"/>
    <w:uiPriority w:val="99"/>
    <w:rsid w:val="00D83999"/>
    <w:rPr>
      <w:rFonts w:eastAsia="Arial" w:cs="Arial"/>
      <w:sz w:val="20"/>
      <w:szCs w:val="20"/>
    </w:rPr>
  </w:style>
  <w:style w:type="paragraph" w:styleId="CommentSubject">
    <w:name w:val="annotation subject"/>
    <w:basedOn w:val="CommentText"/>
    <w:next w:val="CommentText"/>
    <w:link w:val="CommentSubjectChar"/>
    <w:uiPriority w:val="99"/>
    <w:semiHidden/>
    <w:unhideWhenUsed/>
    <w:rsid w:val="00D83999"/>
    <w:rPr>
      <w:b/>
      <w:bCs/>
    </w:rPr>
  </w:style>
  <w:style w:type="character" w:customStyle="1" w:styleId="CommentSubjectChar">
    <w:name w:val="Comment Subject Char"/>
    <w:basedOn w:val="CommentTextChar"/>
    <w:link w:val="CommentSubject"/>
    <w:uiPriority w:val="99"/>
    <w:semiHidden/>
    <w:rsid w:val="00D83999"/>
    <w:rPr>
      <w:rFonts w:eastAsia="Arial" w:cs="Arial"/>
      <w:b/>
      <w:bCs/>
      <w:sz w:val="20"/>
      <w:szCs w:val="20"/>
    </w:rPr>
  </w:style>
  <w:style w:type="paragraph" w:styleId="Revision">
    <w:name w:val="Revision"/>
    <w:hidden/>
    <w:uiPriority w:val="99"/>
    <w:semiHidden/>
    <w:rsid w:val="00D83999"/>
    <w:pPr>
      <w:spacing w:after="0" w:line="240" w:lineRule="auto"/>
    </w:pPr>
    <w:rPr>
      <w:rFonts w:eastAsia="Arial" w:cs="Arial"/>
    </w:rPr>
  </w:style>
  <w:style w:type="paragraph" w:customStyle="1" w:styleId="Default">
    <w:name w:val="Default"/>
    <w:rsid w:val="00D83999"/>
    <w:pPr>
      <w:autoSpaceDE w:val="0"/>
      <w:autoSpaceDN w:val="0"/>
      <w:adjustRightInd w:val="0"/>
      <w:spacing w:after="0" w:line="240" w:lineRule="auto"/>
    </w:pPr>
    <w:rPr>
      <w:rFonts w:cs="Arial"/>
      <w:color w:val="000000"/>
      <w:sz w:val="24"/>
      <w:szCs w:val="24"/>
    </w:rPr>
  </w:style>
  <w:style w:type="character" w:styleId="Emphasis">
    <w:name w:val="Emphasis"/>
    <w:basedOn w:val="DefaultParagraphFont"/>
    <w:uiPriority w:val="20"/>
    <w:qFormat/>
    <w:rsid w:val="00D83999"/>
    <w:rPr>
      <w:i/>
      <w:iCs/>
    </w:rPr>
  </w:style>
  <w:style w:type="character" w:styleId="Strong">
    <w:name w:val="Strong"/>
    <w:basedOn w:val="DefaultParagraphFont"/>
    <w:uiPriority w:val="22"/>
    <w:qFormat/>
    <w:rsid w:val="00D83999"/>
    <w:rPr>
      <w:b/>
      <w:bCs/>
    </w:rPr>
  </w:style>
  <w:style w:type="character" w:styleId="FollowedHyperlink">
    <w:name w:val="FollowedHyperlink"/>
    <w:basedOn w:val="DefaultParagraphFont"/>
    <w:uiPriority w:val="99"/>
    <w:semiHidden/>
    <w:unhideWhenUsed/>
    <w:rsid w:val="00D83999"/>
    <w:rPr>
      <w:color w:val="954F72"/>
      <w:u w:val="single"/>
    </w:rPr>
  </w:style>
  <w:style w:type="paragraph" w:customStyle="1" w:styleId="msonormal0">
    <w:name w:val="msonormal"/>
    <w:basedOn w:val="Normal"/>
    <w:rsid w:val="00D839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al"/>
    <w:rsid w:val="00D83999"/>
    <w:pP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72">
    <w:name w:val="xl72"/>
    <w:basedOn w:val="Normal"/>
    <w:rsid w:val="00D83999"/>
    <w:pP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3">
    <w:name w:val="xl73"/>
    <w:basedOn w:val="Normal"/>
    <w:rsid w:val="00D83999"/>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Normal"/>
    <w:rsid w:val="00D83999"/>
    <w:pP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75">
    <w:name w:val="xl75"/>
    <w:basedOn w:val="Normal"/>
    <w:rsid w:val="00D83999"/>
    <w:pPr>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76">
    <w:name w:val="xl76"/>
    <w:basedOn w:val="Normal"/>
    <w:rsid w:val="00D83999"/>
    <w:pPr>
      <w:pBdr>
        <w:left w:val="single" w:sz="8" w:space="0" w:color="808080"/>
        <w:right w:val="single" w:sz="8" w:space="0" w:color="808080"/>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7">
    <w:name w:val="xl77"/>
    <w:basedOn w:val="Normal"/>
    <w:rsid w:val="00D83999"/>
    <w:pPr>
      <w:pBdr>
        <w:top w:val="single" w:sz="8" w:space="0" w:color="808080"/>
      </w:pBdr>
      <w:shd w:val="clear" w:color="000000" w:fill="DDEBF7"/>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78">
    <w:name w:val="xl78"/>
    <w:basedOn w:val="Normal"/>
    <w:rsid w:val="00D83999"/>
    <w:pPr>
      <w:pBdr>
        <w:top w:val="single" w:sz="8" w:space="0" w:color="808080"/>
      </w:pBdr>
      <w:shd w:val="clear" w:color="000000" w:fill="DDEBF7"/>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79">
    <w:name w:val="xl79"/>
    <w:basedOn w:val="Normal"/>
    <w:rsid w:val="00D83999"/>
    <w:pPr>
      <w:pBdr>
        <w:bottom w:val="single" w:sz="8" w:space="0" w:color="808080"/>
      </w:pBdr>
      <w:shd w:val="clear" w:color="000000" w:fill="DDEBF7"/>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80">
    <w:name w:val="xl80"/>
    <w:basedOn w:val="Normal"/>
    <w:rsid w:val="00D83999"/>
    <w:pPr>
      <w:pBdr>
        <w:bottom w:val="single" w:sz="8" w:space="0" w:color="808080"/>
      </w:pBdr>
      <w:shd w:val="clear" w:color="000000" w:fill="DDEBF7"/>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81">
    <w:name w:val="xl81"/>
    <w:basedOn w:val="Normal"/>
    <w:rsid w:val="00D83999"/>
    <w:pPr>
      <w:pBdr>
        <w:top w:val="single" w:sz="8" w:space="0" w:color="808080"/>
        <w:left w:val="single" w:sz="8" w:space="0" w:color="808080"/>
        <w:bottom w:val="single" w:sz="8" w:space="0" w:color="808080"/>
      </w:pBdr>
      <w:shd w:val="clear" w:color="000000" w:fill="DDEBF7"/>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Normal"/>
    <w:rsid w:val="00D83999"/>
    <w:pPr>
      <w:pBdr>
        <w:top w:val="single" w:sz="8" w:space="0" w:color="808080"/>
        <w:bottom w:val="single" w:sz="8" w:space="0" w:color="808080"/>
      </w:pBdr>
      <w:shd w:val="clear" w:color="000000" w:fill="DDEBF7"/>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3">
    <w:name w:val="xl83"/>
    <w:basedOn w:val="Normal"/>
    <w:rsid w:val="00D83999"/>
    <w:pPr>
      <w:pBdr>
        <w:top w:val="single" w:sz="8" w:space="0" w:color="808080"/>
        <w:left w:val="single" w:sz="8" w:space="0" w:color="808080"/>
        <w:bottom w:val="single" w:sz="8" w:space="0" w:color="808080"/>
        <w:right w:val="single" w:sz="4" w:space="0" w:color="808080"/>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84">
    <w:name w:val="xl84"/>
    <w:basedOn w:val="Normal"/>
    <w:rsid w:val="00D83999"/>
    <w:pPr>
      <w:pBdr>
        <w:top w:val="single" w:sz="8" w:space="0" w:color="808080"/>
        <w:left w:val="single" w:sz="4" w:space="0" w:color="808080"/>
        <w:bottom w:val="single" w:sz="8" w:space="0" w:color="808080"/>
        <w:right w:val="single" w:sz="4" w:space="0" w:color="808080"/>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85">
    <w:name w:val="xl85"/>
    <w:basedOn w:val="Normal"/>
    <w:rsid w:val="00D83999"/>
    <w:pPr>
      <w:pBdr>
        <w:top w:val="single" w:sz="8" w:space="0" w:color="808080"/>
        <w:left w:val="single" w:sz="4" w:space="0" w:color="808080"/>
        <w:bottom w:val="single" w:sz="8" w:space="0" w:color="808080"/>
        <w:right w:val="single" w:sz="8" w:space="0" w:color="808080"/>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86">
    <w:name w:val="xl86"/>
    <w:basedOn w:val="Normal"/>
    <w:rsid w:val="00D83999"/>
    <w:pPr>
      <w:shd w:val="clear" w:color="000000" w:fill="EDEDED"/>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87">
    <w:name w:val="xl87"/>
    <w:basedOn w:val="Normal"/>
    <w:rsid w:val="00D83999"/>
    <w:pPr>
      <w:pBdr>
        <w:left w:val="single" w:sz="8" w:space="0" w:color="808080"/>
        <w:right w:val="single" w:sz="4" w:space="0" w:color="808080"/>
      </w:pBdr>
      <w:shd w:val="clear" w:color="000000" w:fill="EDEDED"/>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8">
    <w:name w:val="xl88"/>
    <w:basedOn w:val="Normal"/>
    <w:rsid w:val="00D83999"/>
    <w:pPr>
      <w:pBdr>
        <w:left w:val="single" w:sz="4" w:space="0" w:color="808080"/>
        <w:right w:val="single" w:sz="4" w:space="0" w:color="808080"/>
      </w:pBdr>
      <w:shd w:val="clear" w:color="000000" w:fill="EDEDED"/>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89">
    <w:name w:val="xl89"/>
    <w:basedOn w:val="Normal"/>
    <w:rsid w:val="00D83999"/>
    <w:pPr>
      <w:pBdr>
        <w:left w:val="single" w:sz="4" w:space="0" w:color="808080"/>
        <w:right w:val="single" w:sz="8" w:space="0" w:color="808080"/>
      </w:pBdr>
      <w:shd w:val="clear" w:color="000000" w:fill="EDEDED"/>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90">
    <w:name w:val="xl90"/>
    <w:basedOn w:val="Normal"/>
    <w:rsid w:val="00D83999"/>
    <w:pPr>
      <w:pBdr>
        <w:left w:val="single" w:sz="8" w:space="0" w:color="808080"/>
        <w:right w:val="single" w:sz="4" w:space="0" w:color="808080"/>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91">
    <w:name w:val="xl91"/>
    <w:basedOn w:val="Normal"/>
    <w:rsid w:val="00D83999"/>
    <w:pPr>
      <w:pBdr>
        <w:left w:val="single" w:sz="4" w:space="0" w:color="808080"/>
        <w:right w:val="single" w:sz="4" w:space="0" w:color="808080"/>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92">
    <w:name w:val="xl92"/>
    <w:basedOn w:val="Normal"/>
    <w:rsid w:val="00D83999"/>
    <w:pPr>
      <w:pBdr>
        <w:left w:val="single" w:sz="4" w:space="0" w:color="808080"/>
        <w:right w:val="single" w:sz="8" w:space="0" w:color="808080"/>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93">
    <w:name w:val="xl93"/>
    <w:basedOn w:val="Normal"/>
    <w:rsid w:val="00D83999"/>
    <w:pPr>
      <w:pBdr>
        <w:top w:val="single" w:sz="8" w:space="0" w:color="808080"/>
        <w:bottom w:val="single" w:sz="8" w:space="0" w:color="808080"/>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4">
    <w:name w:val="xl94"/>
    <w:basedOn w:val="Normal"/>
    <w:rsid w:val="00D83999"/>
    <w:pP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95">
    <w:name w:val="xl95"/>
    <w:basedOn w:val="Normal"/>
    <w:rsid w:val="00D83999"/>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6">
    <w:name w:val="xl96"/>
    <w:basedOn w:val="Normal"/>
    <w:rsid w:val="00D83999"/>
    <w:pP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97">
    <w:name w:val="xl97"/>
    <w:basedOn w:val="Normal"/>
    <w:rsid w:val="00D83999"/>
    <w:pPr>
      <w:pBdr>
        <w:top w:val="single" w:sz="8" w:space="0" w:color="808080"/>
        <w:right w:val="single" w:sz="8" w:space="0" w:color="808080"/>
      </w:pBdr>
      <w:shd w:val="clear" w:color="000000" w:fill="DDEBF7"/>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98">
    <w:name w:val="xl98"/>
    <w:basedOn w:val="Normal"/>
    <w:rsid w:val="00D83999"/>
    <w:pPr>
      <w:pBdr>
        <w:bottom w:val="single" w:sz="8" w:space="0" w:color="808080"/>
        <w:right w:val="single" w:sz="8" w:space="0" w:color="808080"/>
      </w:pBdr>
      <w:shd w:val="clear" w:color="000000" w:fill="DDEBF7"/>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99">
    <w:name w:val="xl99"/>
    <w:basedOn w:val="Normal"/>
    <w:rsid w:val="00D83999"/>
    <w:pPr>
      <w:pBdr>
        <w:right w:val="single" w:sz="8" w:space="0" w:color="808080"/>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0">
    <w:name w:val="xl100"/>
    <w:basedOn w:val="Normal"/>
    <w:rsid w:val="00D83999"/>
    <w:pPr>
      <w:pBdr>
        <w:right w:val="single" w:sz="8" w:space="0" w:color="808080"/>
      </w:pBdr>
      <w:shd w:val="clear" w:color="000000" w:fill="EDEDED"/>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1">
    <w:name w:val="xl101"/>
    <w:basedOn w:val="Normal"/>
    <w:rsid w:val="00D83999"/>
    <w:pPr>
      <w:pBdr>
        <w:top w:val="single" w:sz="8" w:space="0" w:color="808080"/>
        <w:bottom w:val="single" w:sz="8" w:space="0" w:color="808080"/>
        <w:right w:val="single" w:sz="8" w:space="0" w:color="808080"/>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02">
    <w:name w:val="xl102"/>
    <w:basedOn w:val="Normal"/>
    <w:rsid w:val="00D83999"/>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3">
    <w:name w:val="xl103"/>
    <w:basedOn w:val="Normal"/>
    <w:rsid w:val="00D83999"/>
    <w:pPr>
      <w:pBdr>
        <w:top w:val="single" w:sz="8" w:space="0" w:color="808080"/>
        <w:left w:val="single" w:sz="4" w:space="0" w:color="808080"/>
        <w:bottom w:val="single" w:sz="8" w:space="0" w:color="808080"/>
        <w:right w:val="single" w:sz="8" w:space="0" w:color="808080"/>
      </w:pBdr>
      <w:shd w:val="clear" w:color="000000" w:fill="FFD966"/>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04">
    <w:name w:val="xl104"/>
    <w:basedOn w:val="Normal"/>
    <w:rsid w:val="00D83999"/>
    <w:pPr>
      <w:pBdr>
        <w:top w:val="single" w:sz="8" w:space="0" w:color="808080"/>
        <w:left w:val="single" w:sz="8" w:space="0" w:color="808080"/>
        <w:right w:val="single" w:sz="8" w:space="0" w:color="808080"/>
      </w:pBdr>
      <w:shd w:val="clear" w:color="000000" w:fill="DDEBF7"/>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105">
    <w:name w:val="xl105"/>
    <w:basedOn w:val="Normal"/>
    <w:rsid w:val="00D83999"/>
    <w:pPr>
      <w:pBdr>
        <w:left w:val="single" w:sz="8" w:space="0" w:color="808080"/>
        <w:bottom w:val="single" w:sz="8" w:space="0" w:color="808080"/>
        <w:right w:val="single" w:sz="8" w:space="0" w:color="808080"/>
      </w:pBdr>
      <w:shd w:val="clear" w:color="000000" w:fill="DDEBF7"/>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106">
    <w:name w:val="xl106"/>
    <w:basedOn w:val="Normal"/>
    <w:rsid w:val="00D83999"/>
    <w:pPr>
      <w:pBdr>
        <w:top w:val="single" w:sz="8" w:space="0" w:color="808080"/>
        <w:left w:val="single" w:sz="8" w:space="0" w:color="808080"/>
        <w:right w:val="single" w:sz="4" w:space="0" w:color="808080"/>
      </w:pBdr>
      <w:shd w:val="clear" w:color="000000" w:fill="DDEBF7"/>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107">
    <w:name w:val="xl107"/>
    <w:basedOn w:val="Normal"/>
    <w:rsid w:val="00D83999"/>
    <w:pPr>
      <w:pBdr>
        <w:left w:val="single" w:sz="8" w:space="0" w:color="808080"/>
        <w:bottom w:val="single" w:sz="8" w:space="0" w:color="808080"/>
        <w:right w:val="single" w:sz="4" w:space="0" w:color="808080"/>
      </w:pBdr>
      <w:shd w:val="clear" w:color="000000" w:fill="DDEBF7"/>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108">
    <w:name w:val="xl108"/>
    <w:basedOn w:val="Normal"/>
    <w:rsid w:val="00D83999"/>
    <w:pPr>
      <w:pBdr>
        <w:top w:val="single" w:sz="8" w:space="0" w:color="808080"/>
        <w:left w:val="single" w:sz="4" w:space="0" w:color="808080"/>
        <w:right w:val="single" w:sz="4" w:space="0" w:color="808080"/>
      </w:pBdr>
      <w:shd w:val="clear" w:color="000000" w:fill="DDEBF7"/>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109">
    <w:name w:val="xl109"/>
    <w:basedOn w:val="Normal"/>
    <w:rsid w:val="00D83999"/>
    <w:pPr>
      <w:pBdr>
        <w:left w:val="single" w:sz="4" w:space="0" w:color="808080"/>
        <w:bottom w:val="single" w:sz="8" w:space="0" w:color="808080"/>
        <w:right w:val="single" w:sz="4" w:space="0" w:color="808080"/>
      </w:pBdr>
      <w:shd w:val="clear" w:color="000000" w:fill="DDEBF7"/>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110">
    <w:name w:val="xl110"/>
    <w:basedOn w:val="Normal"/>
    <w:rsid w:val="00D83999"/>
    <w:pPr>
      <w:pBdr>
        <w:top w:val="single" w:sz="8" w:space="0" w:color="808080"/>
        <w:left w:val="single" w:sz="4" w:space="0" w:color="808080"/>
        <w:right w:val="single" w:sz="8" w:space="0" w:color="808080"/>
      </w:pBdr>
      <w:shd w:val="clear" w:color="000000" w:fill="DDEBF7"/>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111">
    <w:name w:val="xl111"/>
    <w:basedOn w:val="Normal"/>
    <w:rsid w:val="00D83999"/>
    <w:pPr>
      <w:pBdr>
        <w:left w:val="single" w:sz="4" w:space="0" w:color="808080"/>
        <w:bottom w:val="single" w:sz="8" w:space="0" w:color="808080"/>
        <w:right w:val="single" w:sz="8" w:space="0" w:color="808080"/>
      </w:pBdr>
      <w:shd w:val="clear" w:color="000000" w:fill="DDEBF7"/>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112">
    <w:name w:val="xl112"/>
    <w:basedOn w:val="Normal"/>
    <w:rsid w:val="00D83999"/>
    <w:pPr>
      <w:pBdr>
        <w:top w:val="single" w:sz="8" w:space="0" w:color="808080"/>
        <w:left w:val="single" w:sz="4" w:space="0" w:color="808080"/>
      </w:pBdr>
      <w:shd w:val="clear" w:color="000000" w:fill="FFD966"/>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113">
    <w:name w:val="xl113"/>
    <w:basedOn w:val="Normal"/>
    <w:rsid w:val="00D83999"/>
    <w:pPr>
      <w:pBdr>
        <w:left w:val="single" w:sz="4" w:space="0" w:color="808080"/>
        <w:bottom w:val="single" w:sz="8" w:space="0" w:color="808080"/>
      </w:pBdr>
      <w:shd w:val="clear" w:color="000000" w:fill="FFD966"/>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114">
    <w:name w:val="xl114"/>
    <w:basedOn w:val="Normal"/>
    <w:rsid w:val="00D83999"/>
    <w:pPr>
      <w:pBdr>
        <w:top w:val="single" w:sz="8" w:space="0" w:color="808080"/>
        <w:left w:val="single" w:sz="8" w:space="0" w:color="808080"/>
        <w:bottom w:val="single" w:sz="8" w:space="0" w:color="808080"/>
      </w:pBdr>
      <w:shd w:val="clear" w:color="000000" w:fill="DDEBF7"/>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115">
    <w:name w:val="xl115"/>
    <w:basedOn w:val="Normal"/>
    <w:rsid w:val="00D83999"/>
    <w:pPr>
      <w:pBdr>
        <w:top w:val="single" w:sz="8" w:space="0" w:color="808080"/>
        <w:bottom w:val="single" w:sz="8" w:space="0" w:color="808080"/>
      </w:pBdr>
      <w:shd w:val="clear" w:color="000000" w:fill="DDEBF7"/>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116">
    <w:name w:val="xl116"/>
    <w:basedOn w:val="Normal"/>
    <w:rsid w:val="00D83999"/>
    <w:pPr>
      <w:pBdr>
        <w:top w:val="single" w:sz="8" w:space="0" w:color="808080"/>
        <w:bottom w:val="single" w:sz="8" w:space="0" w:color="808080"/>
        <w:right w:val="single" w:sz="8" w:space="0" w:color="808080"/>
      </w:pBdr>
      <w:shd w:val="clear" w:color="000000" w:fill="DDEBF7"/>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numbering" w:customStyle="1" w:styleId="NoList2">
    <w:name w:val="No List2"/>
    <w:next w:val="NoList"/>
    <w:uiPriority w:val="99"/>
    <w:semiHidden/>
    <w:unhideWhenUsed/>
    <w:rsid w:val="00CC659A"/>
  </w:style>
  <w:style w:type="paragraph" w:styleId="NoSpacing">
    <w:name w:val="No Spacing"/>
    <w:uiPriority w:val="1"/>
    <w:qFormat/>
    <w:rsid w:val="00CC659A"/>
    <w:pPr>
      <w:spacing w:after="0" w:line="240" w:lineRule="auto"/>
    </w:pPr>
    <w:rPr>
      <w:rFonts w:ascii="Palatino Linotype" w:eastAsia="Palatino Linotype" w:hAnsi="Palatino Linotype"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875167">
      <w:bodyDiv w:val="1"/>
      <w:marLeft w:val="0"/>
      <w:marRight w:val="0"/>
      <w:marTop w:val="0"/>
      <w:marBottom w:val="0"/>
      <w:divBdr>
        <w:top w:val="none" w:sz="0" w:space="0" w:color="auto"/>
        <w:left w:val="none" w:sz="0" w:space="0" w:color="auto"/>
        <w:bottom w:val="none" w:sz="0" w:space="0" w:color="auto"/>
        <w:right w:val="none" w:sz="0" w:space="0" w:color="auto"/>
      </w:divBdr>
    </w:div>
    <w:div w:id="1128084963">
      <w:bodyDiv w:val="1"/>
      <w:marLeft w:val="0"/>
      <w:marRight w:val="0"/>
      <w:marTop w:val="0"/>
      <w:marBottom w:val="0"/>
      <w:divBdr>
        <w:top w:val="none" w:sz="0" w:space="0" w:color="auto"/>
        <w:left w:val="none" w:sz="0" w:space="0" w:color="auto"/>
        <w:bottom w:val="none" w:sz="0" w:space="0" w:color="auto"/>
        <w:right w:val="none" w:sz="0" w:space="0" w:color="auto"/>
      </w:divBdr>
    </w:div>
    <w:div w:id="1269463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11.xml"/><Relationship Id="rId39" Type="http://schemas.openxmlformats.org/officeDocument/2006/relationships/fontTable" Target="fontTable.xml"/><Relationship Id="rId21" Type="http://schemas.openxmlformats.org/officeDocument/2006/relationships/header" Target="header6.xml"/><Relationship Id="rId34" Type="http://schemas.openxmlformats.org/officeDocument/2006/relationships/header" Target="header19.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10.xml"/><Relationship Id="rId33" Type="http://schemas.openxmlformats.org/officeDocument/2006/relationships/header" Target="header18.xml"/><Relationship Id="rId38" Type="http://schemas.openxmlformats.org/officeDocument/2006/relationships/header" Target="header2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9.xml"/><Relationship Id="rId32" Type="http://schemas.openxmlformats.org/officeDocument/2006/relationships/header" Target="header17.xml"/><Relationship Id="rId37" Type="http://schemas.openxmlformats.org/officeDocument/2006/relationships/header" Target="header22.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eader" Target="header13.xml"/><Relationship Id="rId36" Type="http://schemas.openxmlformats.org/officeDocument/2006/relationships/header" Target="header21.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eader" Target="header1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header" Target="header20.xml"/><Relationship Id="rId8" Type="http://schemas.openxmlformats.org/officeDocument/2006/relationships/webSettings" Target="webSetting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8370bde3526d8f4f091c6e50b038ed07">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19981f3cc8a8926fa36e23e2c1e4629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documentManagement>
</p:properties>
</file>

<file path=customXml/itemProps1.xml><?xml version="1.0" encoding="utf-8"?>
<ds:datastoreItem xmlns:ds="http://schemas.openxmlformats.org/officeDocument/2006/customXml" ds:itemID="{32D31A09-9336-4BDA-A396-44ED1E003CDA}">
  <ds:schemaRefs>
    <ds:schemaRef ds:uri="http://schemas.microsoft.com/sharepoint/v3/contenttype/forms"/>
  </ds:schemaRefs>
</ds:datastoreItem>
</file>

<file path=customXml/itemProps2.xml><?xml version="1.0" encoding="utf-8"?>
<ds:datastoreItem xmlns:ds="http://schemas.openxmlformats.org/officeDocument/2006/customXml" ds:itemID="{F8BC2C02-DD80-4220-B9AC-2BD8676916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D73FA1-BF34-46ED-ACEA-890967853F1B}">
  <ds:schemaRefs>
    <ds:schemaRef ds:uri="http://schemas.openxmlformats.org/officeDocument/2006/bibliography"/>
  </ds:schemaRefs>
</ds:datastoreItem>
</file>

<file path=customXml/itemProps4.xml><?xml version="1.0" encoding="utf-8"?>
<ds:datastoreItem xmlns:ds="http://schemas.openxmlformats.org/officeDocument/2006/customXml" ds:itemID="{48907917-C27C-4920-BCC6-5C06DA29E76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docProps/app.xml><?xml version="1.0" encoding="utf-8"?>
<Properties xmlns="http://schemas.openxmlformats.org/officeDocument/2006/extended-properties" xmlns:vt="http://schemas.openxmlformats.org/officeDocument/2006/docPropsVTypes">
  <Template>Normal</Template>
  <TotalTime>574</TotalTime>
  <Pages>32</Pages>
  <Words>11929</Words>
  <Characters>67997</Characters>
  <Application>Microsoft Office Word</Application>
  <DocSecurity>0</DocSecurity>
  <Lines>566</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298</cp:revision>
  <dcterms:created xsi:type="dcterms:W3CDTF">2023-05-17T14:28:00Z</dcterms:created>
  <dcterms:modified xsi:type="dcterms:W3CDTF">2024-02-01T11:47:00Z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