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D5587" w14:textId="77777777" w:rsidR="001A0A76" w:rsidRPr="001A0A76" w:rsidRDefault="001A0A76" w:rsidP="00A059C3">
      <w:pPr>
        <w:spacing w:after="120"/>
        <w:jc w:val="center"/>
        <w:rPr>
          <w:rFonts w:ascii="Arial" w:hAnsi="Arial" w:cs="Arial"/>
          <w:b/>
          <w:bCs/>
          <w:sz w:val="22"/>
          <w:szCs w:val="22"/>
          <w:lang w:val="fr-FR"/>
        </w:rPr>
      </w:pPr>
      <w:r w:rsidRPr="001A0A76">
        <w:rPr>
          <w:rFonts w:ascii="Arial" w:hAnsi="Arial" w:cs="Arial"/>
          <w:b/>
          <w:bCs/>
          <w:sz w:val="22"/>
          <w:szCs w:val="22"/>
          <w:lang w:val="fr-FR"/>
        </w:rPr>
        <w:t>ÉNERGIES RENOUVELABLES ET ESPÈCES MIGRATRICES</w:t>
      </w:r>
    </w:p>
    <w:p w14:paraId="48F82B79" w14:textId="1768930F" w:rsidR="00D82C56" w:rsidRPr="002B3E88" w:rsidRDefault="005D43E4" w:rsidP="00A059C3">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3D7AA4">
        <w:rPr>
          <w:rFonts w:ascii="Arial" w:hAnsi="Arial" w:cs="Arial"/>
          <w:sz w:val="22"/>
          <w:szCs w:val="22"/>
          <w:lang w:val="fr-FR"/>
        </w:rPr>
        <w:t>30.3.2</w:t>
      </w:r>
    </w:p>
    <w:p w14:paraId="73A89732" w14:textId="2ED2EA34" w:rsidR="00D82C56" w:rsidRPr="00A048E3" w:rsidRDefault="005D43E4" w:rsidP="005D465D">
      <w:pPr>
        <w:jc w:val="center"/>
        <w:rPr>
          <w:rFonts w:ascii="Arial" w:hAnsi="Arial" w:cs="Arial"/>
          <w:i/>
          <w:sz w:val="22"/>
          <w:szCs w:val="22"/>
          <w:lang w:val="fr-FR"/>
        </w:rPr>
      </w:pPr>
      <w:r w:rsidRPr="00A048E3">
        <w:rPr>
          <w:rFonts w:ascii="Arial" w:hAnsi="Arial" w:cs="Arial"/>
          <w:i/>
          <w:sz w:val="22"/>
          <w:szCs w:val="22"/>
          <w:lang w:val="fr-FR"/>
        </w:rPr>
        <w:t>(</w:t>
      </w:r>
      <w:r w:rsidR="006A45AB"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6A45AB">
        <w:rPr>
          <w:rFonts w:ascii="Arial" w:hAnsi="Arial" w:cs="Arial"/>
          <w:i/>
          <w:sz w:val="22"/>
          <w:szCs w:val="22"/>
          <w:lang w:val="fr-FR"/>
        </w:rPr>
        <w:t>le Comité plénier</w:t>
      </w:r>
      <w:r w:rsidRPr="00A048E3">
        <w:rPr>
          <w:rFonts w:ascii="Arial" w:hAnsi="Arial" w:cs="Arial"/>
          <w:i/>
          <w:sz w:val="22"/>
          <w:szCs w:val="22"/>
          <w:lang w:val="fr-FR"/>
        </w:rPr>
        <w:t>)</w:t>
      </w:r>
    </w:p>
    <w:p w14:paraId="25BD5BFE" w14:textId="77777777" w:rsidR="00D82C56" w:rsidRPr="00A048E3" w:rsidRDefault="00D82C56" w:rsidP="005D465D">
      <w:pPr>
        <w:rPr>
          <w:rFonts w:ascii="Arial" w:hAnsi="Arial" w:cs="Arial"/>
          <w:sz w:val="22"/>
          <w:szCs w:val="22"/>
          <w:lang w:val="fr-FR"/>
        </w:rPr>
      </w:pPr>
    </w:p>
    <w:p w14:paraId="6C7ED871" w14:textId="77777777" w:rsidR="00D82C56" w:rsidRPr="00A048E3" w:rsidRDefault="00D82C56" w:rsidP="005D465D">
      <w:pPr>
        <w:rPr>
          <w:rFonts w:ascii="Arial" w:hAnsi="Arial" w:cs="Arial"/>
          <w:sz w:val="22"/>
          <w:szCs w:val="22"/>
          <w:lang w:val="fr-FR"/>
        </w:rPr>
      </w:pPr>
    </w:p>
    <w:p w14:paraId="5CD49333" w14:textId="33263F43" w:rsidR="00D82C56" w:rsidRPr="00A048E3" w:rsidRDefault="00A048E3" w:rsidP="005D465D">
      <w:pPr>
        <w:jc w:val="center"/>
        <w:rPr>
          <w:rFonts w:ascii="Arial" w:hAnsi="Arial" w:cs="Arial"/>
          <w:sz w:val="22"/>
          <w:szCs w:val="22"/>
          <w:lang w:val="fr-FR"/>
        </w:rPr>
      </w:pPr>
      <w:r w:rsidRPr="00A048E3">
        <w:rPr>
          <w:rFonts w:ascii="Arial" w:hAnsi="Arial" w:cs="Arial"/>
          <w:sz w:val="22"/>
          <w:szCs w:val="22"/>
          <w:lang w:val="fr-FR"/>
        </w:rPr>
        <w:t>PROJET</w:t>
      </w:r>
      <w:r w:rsidR="00A059C3">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A059C3">
        <w:rPr>
          <w:rFonts w:ascii="Arial" w:hAnsi="Arial" w:cs="Arial"/>
          <w:sz w:val="22"/>
          <w:szCs w:val="22"/>
          <w:lang w:val="fr-FR"/>
        </w:rPr>
        <w:t>S</w:t>
      </w:r>
    </w:p>
    <w:p w14:paraId="621FE7FD" w14:textId="77777777" w:rsidR="00D82C56" w:rsidRPr="00A048E3" w:rsidRDefault="00D82C56" w:rsidP="005D465D">
      <w:pPr>
        <w:rPr>
          <w:rFonts w:ascii="Arial" w:hAnsi="Arial" w:cs="Arial"/>
          <w:sz w:val="22"/>
          <w:szCs w:val="22"/>
          <w:lang w:val="fr-FR"/>
        </w:rPr>
      </w:pPr>
    </w:p>
    <w:p w14:paraId="6089644D" w14:textId="77777777" w:rsidR="00557B6E" w:rsidRPr="00557B6E" w:rsidRDefault="00557B6E" w:rsidP="005D465D">
      <w:pPr>
        <w:widowControl/>
        <w:autoSpaceDE/>
        <w:autoSpaceDN/>
        <w:jc w:val="center"/>
        <w:textAlignment w:val="auto"/>
        <w:rPr>
          <w:rFonts w:ascii="Arial" w:eastAsiaTheme="minorHAnsi" w:hAnsi="Arial" w:cstheme="minorBidi"/>
          <w:b/>
          <w:bCs/>
          <w:sz w:val="22"/>
          <w:szCs w:val="22"/>
          <w:lang w:val="fr-FR"/>
        </w:rPr>
      </w:pPr>
      <w:r w:rsidRPr="00557B6E">
        <w:rPr>
          <w:rFonts w:ascii="Arial" w:eastAsiaTheme="minorHAnsi" w:hAnsi="Arial" w:cstheme="minorBidi"/>
          <w:b/>
          <w:bCs/>
          <w:sz w:val="22"/>
          <w:szCs w:val="22"/>
          <w:lang w:val="fr-FR"/>
        </w:rPr>
        <w:t>ÉNERGIES RENOUVELABLES ET ESPÈCES MIGRATRICES</w:t>
      </w:r>
    </w:p>
    <w:p w14:paraId="11D9CB99" w14:textId="77777777" w:rsidR="00557B6E" w:rsidRPr="00557B6E" w:rsidRDefault="00557B6E" w:rsidP="00A059C3">
      <w:pPr>
        <w:widowControl/>
        <w:autoSpaceDE/>
        <w:autoSpaceDN/>
        <w:textAlignment w:val="auto"/>
        <w:rPr>
          <w:rFonts w:ascii="Arial" w:eastAsiaTheme="minorHAnsi" w:hAnsi="Arial" w:cs="Arial"/>
          <w:sz w:val="22"/>
          <w:szCs w:val="22"/>
          <w:lang w:val="fr-FR"/>
        </w:rPr>
      </w:pPr>
    </w:p>
    <w:p w14:paraId="6B645617" w14:textId="77777777" w:rsidR="00557B6E" w:rsidRPr="00557B6E" w:rsidRDefault="00557B6E" w:rsidP="005D465D">
      <w:pPr>
        <w:widowControl/>
        <w:autoSpaceDE/>
        <w:autoSpaceDN/>
        <w:ind w:left="851" w:hanging="851"/>
        <w:jc w:val="both"/>
        <w:textAlignment w:val="auto"/>
        <w:rPr>
          <w:rFonts w:ascii="Arial" w:eastAsiaTheme="minorHAnsi" w:hAnsi="Arial" w:cs="Arial"/>
          <w:sz w:val="22"/>
          <w:szCs w:val="22"/>
          <w:lang w:val="fr-FR"/>
        </w:rPr>
      </w:pPr>
    </w:p>
    <w:p w14:paraId="0347A253" w14:textId="7636B1B9" w:rsidR="00557B6E" w:rsidRPr="00557B6E" w:rsidRDefault="006A45AB" w:rsidP="005D465D">
      <w:pPr>
        <w:widowControl/>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À l’adresse des</w:t>
      </w:r>
      <w:r w:rsidR="00557B6E" w:rsidRPr="00557B6E">
        <w:rPr>
          <w:rFonts w:ascii="Arial" w:eastAsiaTheme="minorHAnsi" w:hAnsi="Arial" w:cstheme="minorBidi"/>
          <w:b/>
          <w:bCs/>
          <w:i/>
          <w:iCs/>
          <w:sz w:val="22"/>
          <w:szCs w:val="22"/>
          <w:lang w:val="fr-FR"/>
        </w:rPr>
        <w:t xml:space="preserve"> Parties</w:t>
      </w:r>
    </w:p>
    <w:p w14:paraId="6E2B0844" w14:textId="77777777" w:rsidR="00557B6E" w:rsidRPr="00557B6E" w:rsidRDefault="00557B6E" w:rsidP="005D465D">
      <w:pPr>
        <w:widowControl/>
        <w:autoSpaceDE/>
        <w:autoSpaceDN/>
        <w:ind w:left="851" w:hanging="851"/>
        <w:jc w:val="both"/>
        <w:textAlignment w:val="auto"/>
        <w:rPr>
          <w:rFonts w:ascii="Arial" w:eastAsiaTheme="minorHAnsi" w:hAnsi="Arial" w:cs="Arial"/>
          <w:sz w:val="22"/>
          <w:szCs w:val="22"/>
          <w:lang w:val="fr-FR"/>
        </w:rPr>
      </w:pPr>
    </w:p>
    <w:p w14:paraId="03E908CD" w14:textId="77777777" w:rsidR="00557B6E" w:rsidRPr="00557B6E" w:rsidRDefault="00557B6E" w:rsidP="005D465D">
      <w:pPr>
        <w:widowControl/>
        <w:autoSpaceDE/>
        <w:autoSpaceDN/>
        <w:ind w:left="851" w:hanging="851"/>
        <w:jc w:val="both"/>
        <w:textAlignment w:val="auto"/>
        <w:rPr>
          <w:rFonts w:ascii="Arial" w:eastAsiaTheme="minorHAnsi" w:hAnsi="Arial" w:cs="Arial"/>
          <w:sz w:val="22"/>
          <w:szCs w:val="22"/>
          <w:lang w:val="fr-FR"/>
        </w:rPr>
      </w:pPr>
      <w:r w:rsidRPr="00557B6E">
        <w:rPr>
          <w:rFonts w:ascii="Arial" w:eastAsiaTheme="minorHAnsi" w:hAnsi="Arial" w:cs="Arial"/>
          <w:sz w:val="22"/>
          <w:szCs w:val="22"/>
          <w:lang w:val="fr-FR"/>
        </w:rPr>
        <w:t>14.AA</w:t>
      </w:r>
      <w:r w:rsidRPr="00557B6E">
        <w:rPr>
          <w:rFonts w:ascii="Arial" w:eastAsiaTheme="minorHAnsi" w:hAnsi="Arial" w:cs="Arial"/>
          <w:sz w:val="22"/>
          <w:szCs w:val="22"/>
          <w:lang w:val="fr-FR"/>
        </w:rPr>
        <w:tab/>
        <w:t xml:space="preserve">Les Parties sont : </w:t>
      </w:r>
    </w:p>
    <w:p w14:paraId="1E0360D7" w14:textId="77777777" w:rsidR="00557B6E" w:rsidRPr="00557B6E" w:rsidRDefault="00557B6E" w:rsidP="005D465D">
      <w:pPr>
        <w:widowControl/>
        <w:autoSpaceDE/>
        <w:autoSpaceDN/>
        <w:ind w:left="851" w:hanging="57"/>
        <w:jc w:val="both"/>
        <w:textAlignment w:val="auto"/>
        <w:rPr>
          <w:rFonts w:ascii="Arial" w:eastAsiaTheme="minorHAnsi" w:hAnsi="Arial" w:cs="Arial"/>
          <w:sz w:val="22"/>
          <w:szCs w:val="22"/>
          <w:lang w:val="fr-FR"/>
        </w:rPr>
      </w:pPr>
    </w:p>
    <w:p w14:paraId="02A6CCB6" w14:textId="2D878354" w:rsidR="00557B6E" w:rsidRDefault="006A45AB" w:rsidP="005D465D">
      <w:pPr>
        <w:widowControl/>
        <w:numPr>
          <w:ilvl w:val="0"/>
          <w:numId w:val="1"/>
        </w:numPr>
        <w:autoSpaceDE/>
        <w:autoSpaceDN/>
        <w:ind w:left="1260" w:hanging="409"/>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Invitées à i</w:t>
      </w:r>
      <w:r w:rsidRPr="00557B6E">
        <w:rPr>
          <w:rFonts w:ascii="Arial" w:eastAsiaTheme="minorHAnsi" w:hAnsi="Arial" w:cstheme="minorBidi"/>
          <w:sz w:val="22"/>
          <w:szCs w:val="22"/>
          <w:lang w:val="fr-FR"/>
        </w:rPr>
        <w:t>ntégrer</w:t>
      </w:r>
      <w:r w:rsidR="00557B6E" w:rsidRPr="00557B6E">
        <w:rPr>
          <w:rFonts w:ascii="Arial" w:eastAsiaTheme="minorHAnsi" w:hAnsi="Arial" w:cstheme="minorBidi"/>
          <w:sz w:val="22"/>
          <w:szCs w:val="22"/>
          <w:lang w:val="fr-FR"/>
        </w:rPr>
        <w:t xml:space="preserve"> les </w:t>
      </w:r>
      <w:r>
        <w:rPr>
          <w:rFonts w:ascii="Arial" w:eastAsiaTheme="minorHAnsi" w:hAnsi="Arial" w:cstheme="minorBidi"/>
          <w:sz w:val="22"/>
          <w:szCs w:val="22"/>
          <w:lang w:val="fr-FR"/>
        </w:rPr>
        <w:t xml:space="preserve">besoins en matière </w:t>
      </w:r>
      <w:r w:rsidRPr="006A45AB">
        <w:rPr>
          <w:rFonts w:ascii="Arial" w:eastAsiaTheme="minorHAnsi" w:hAnsi="Arial" w:cstheme="minorBidi"/>
          <w:sz w:val="22"/>
          <w:szCs w:val="22"/>
          <w:lang w:val="fr-FR"/>
        </w:rPr>
        <w:t>de conservation de la biodiversité et des espèces migratrices</w:t>
      </w:r>
      <w:r w:rsidRPr="00557B6E">
        <w:rPr>
          <w:rFonts w:ascii="Arial" w:eastAsiaTheme="minorHAnsi" w:hAnsi="Arial" w:cstheme="minorBidi"/>
          <w:sz w:val="22"/>
          <w:szCs w:val="22"/>
          <w:lang w:val="fr-FR"/>
        </w:rPr>
        <w:t xml:space="preserve"> </w:t>
      </w:r>
      <w:r w:rsidR="00557B6E" w:rsidRPr="00557B6E">
        <w:rPr>
          <w:rFonts w:ascii="Arial" w:eastAsiaTheme="minorHAnsi" w:hAnsi="Arial" w:cstheme="minorBidi"/>
          <w:sz w:val="22"/>
          <w:szCs w:val="22"/>
          <w:lang w:val="fr-FR"/>
        </w:rPr>
        <w:t xml:space="preserve">dans les politiques et les plans d’action nationaux </w:t>
      </w:r>
      <w:r>
        <w:rPr>
          <w:rFonts w:ascii="Arial" w:eastAsiaTheme="minorHAnsi" w:hAnsi="Arial" w:cstheme="minorBidi"/>
          <w:sz w:val="22"/>
          <w:szCs w:val="22"/>
          <w:lang w:val="fr-FR"/>
        </w:rPr>
        <w:t>relatifs à l</w:t>
      </w:r>
      <w:r w:rsidR="00557B6E" w:rsidRPr="00557B6E">
        <w:rPr>
          <w:rFonts w:ascii="Arial" w:eastAsiaTheme="minorHAnsi" w:hAnsi="Arial" w:cstheme="minorBidi"/>
          <w:sz w:val="22"/>
          <w:szCs w:val="22"/>
          <w:lang w:val="fr-FR"/>
        </w:rPr>
        <w:t xml:space="preserve">’énergie et </w:t>
      </w:r>
      <w:r>
        <w:rPr>
          <w:rFonts w:ascii="Arial" w:eastAsiaTheme="minorHAnsi" w:hAnsi="Arial" w:cstheme="minorBidi"/>
          <w:sz w:val="22"/>
          <w:szCs w:val="22"/>
          <w:lang w:val="fr-FR"/>
        </w:rPr>
        <w:t>au</w:t>
      </w:r>
      <w:r w:rsidR="00557B6E" w:rsidRPr="00557B6E">
        <w:rPr>
          <w:rFonts w:ascii="Arial" w:eastAsiaTheme="minorHAnsi" w:hAnsi="Arial" w:cstheme="minorBidi"/>
          <w:sz w:val="22"/>
          <w:szCs w:val="22"/>
          <w:lang w:val="fr-FR"/>
        </w:rPr>
        <w:t xml:space="preserve"> climat, </w:t>
      </w:r>
      <w:r w:rsidR="00273BBD">
        <w:rPr>
          <w:rFonts w:ascii="Arial" w:eastAsiaTheme="minorHAnsi" w:hAnsi="Arial" w:cstheme="minorBidi"/>
          <w:sz w:val="22"/>
          <w:szCs w:val="22"/>
          <w:lang w:val="fr-FR"/>
        </w:rPr>
        <w:t>à</w:t>
      </w:r>
      <w:r w:rsidRPr="006A45AB">
        <w:rPr>
          <w:rFonts w:ascii="Arial" w:eastAsiaTheme="minorHAnsi" w:hAnsi="Arial" w:cstheme="minorBidi"/>
          <w:sz w:val="22"/>
          <w:szCs w:val="22"/>
          <w:lang w:val="fr-FR"/>
        </w:rPr>
        <w:t xml:space="preserve"> l'aménagement du territoire terrestre et maritime</w:t>
      </w:r>
      <w:r w:rsidR="00273BBD">
        <w:rPr>
          <w:rFonts w:ascii="Arial" w:eastAsiaTheme="minorHAnsi" w:hAnsi="Arial" w:cstheme="minorBidi"/>
          <w:sz w:val="22"/>
          <w:szCs w:val="22"/>
          <w:lang w:val="fr-FR"/>
        </w:rPr>
        <w:t xml:space="preserve">, ainsi que </w:t>
      </w:r>
      <w:r w:rsidRPr="006A45AB">
        <w:rPr>
          <w:rFonts w:ascii="Arial" w:eastAsiaTheme="minorHAnsi" w:hAnsi="Arial" w:cstheme="minorBidi"/>
          <w:sz w:val="22"/>
          <w:szCs w:val="22"/>
          <w:lang w:val="fr-FR"/>
        </w:rPr>
        <w:t>dans la législation et l</w:t>
      </w:r>
      <w:r>
        <w:rPr>
          <w:rFonts w:ascii="Arial" w:eastAsiaTheme="minorHAnsi" w:hAnsi="Arial" w:cstheme="minorBidi"/>
          <w:sz w:val="22"/>
          <w:szCs w:val="22"/>
          <w:lang w:val="fr-FR"/>
        </w:rPr>
        <w:t>es</w:t>
      </w:r>
      <w:r w:rsidRPr="006A45AB">
        <w:rPr>
          <w:rFonts w:ascii="Arial" w:eastAsiaTheme="minorHAnsi" w:hAnsi="Arial" w:cstheme="minorBidi"/>
          <w:sz w:val="22"/>
          <w:szCs w:val="22"/>
          <w:lang w:val="fr-FR"/>
        </w:rPr>
        <w:t xml:space="preserve"> réglementation</w:t>
      </w:r>
      <w:r>
        <w:rPr>
          <w:rFonts w:ascii="Arial" w:eastAsiaTheme="minorHAnsi" w:hAnsi="Arial" w:cstheme="minorBidi"/>
          <w:sz w:val="22"/>
          <w:szCs w:val="22"/>
          <w:lang w:val="fr-FR"/>
        </w:rPr>
        <w:t>s</w:t>
      </w:r>
      <w:r w:rsidRPr="006A45AB">
        <w:rPr>
          <w:rFonts w:ascii="Arial" w:eastAsiaTheme="minorHAnsi" w:hAnsi="Arial" w:cstheme="minorBidi"/>
          <w:sz w:val="22"/>
          <w:szCs w:val="22"/>
          <w:lang w:val="fr-FR"/>
        </w:rPr>
        <w:t xml:space="preserve"> </w:t>
      </w:r>
      <w:r w:rsidR="00273BBD">
        <w:rPr>
          <w:rFonts w:ascii="Arial" w:eastAsiaTheme="minorHAnsi" w:hAnsi="Arial" w:cstheme="minorBidi"/>
          <w:sz w:val="22"/>
          <w:szCs w:val="22"/>
          <w:lang w:val="fr-FR"/>
        </w:rPr>
        <w:t xml:space="preserve">applicables </w:t>
      </w:r>
      <w:r w:rsidRPr="006A45AB">
        <w:rPr>
          <w:rFonts w:ascii="Arial" w:eastAsiaTheme="minorHAnsi" w:hAnsi="Arial" w:cstheme="minorBidi"/>
          <w:sz w:val="22"/>
          <w:szCs w:val="22"/>
          <w:lang w:val="fr-FR"/>
        </w:rPr>
        <w:t>à l'implantation de nouvelles infrastructures énergétiques, dans le but d'éviter les i</w:t>
      </w:r>
      <w:r>
        <w:rPr>
          <w:rFonts w:ascii="Arial" w:eastAsiaTheme="minorHAnsi" w:hAnsi="Arial" w:cstheme="minorBidi"/>
          <w:sz w:val="22"/>
          <w:szCs w:val="22"/>
          <w:lang w:val="fr-FR"/>
        </w:rPr>
        <w:t>mpacts</w:t>
      </w:r>
      <w:r w:rsidRPr="006A45AB">
        <w:rPr>
          <w:rFonts w:ascii="Arial" w:eastAsiaTheme="minorHAnsi" w:hAnsi="Arial" w:cstheme="minorBidi"/>
          <w:sz w:val="22"/>
          <w:szCs w:val="22"/>
          <w:lang w:val="fr-FR"/>
        </w:rPr>
        <w:t xml:space="preserve"> négati</w:t>
      </w:r>
      <w:r>
        <w:rPr>
          <w:rFonts w:ascii="Arial" w:eastAsiaTheme="minorHAnsi" w:hAnsi="Arial" w:cstheme="minorBidi"/>
          <w:sz w:val="22"/>
          <w:szCs w:val="22"/>
          <w:lang w:val="fr-FR"/>
        </w:rPr>
        <w:t>f</w:t>
      </w:r>
      <w:r w:rsidRPr="006A45AB">
        <w:rPr>
          <w:rFonts w:ascii="Arial" w:eastAsiaTheme="minorHAnsi" w:hAnsi="Arial" w:cstheme="minorBidi"/>
          <w:sz w:val="22"/>
          <w:szCs w:val="22"/>
          <w:lang w:val="fr-FR"/>
        </w:rPr>
        <w:t xml:space="preserve">s sur les espèces migratrices, et conformément au </w:t>
      </w:r>
      <w:r>
        <w:rPr>
          <w:rFonts w:ascii="Arial" w:eastAsiaTheme="minorHAnsi" w:hAnsi="Arial" w:cstheme="minorBidi"/>
          <w:sz w:val="22"/>
          <w:szCs w:val="22"/>
          <w:lang w:val="fr-FR"/>
        </w:rPr>
        <w:t>C</w:t>
      </w:r>
      <w:r w:rsidRPr="006A45AB">
        <w:rPr>
          <w:rFonts w:ascii="Arial" w:eastAsiaTheme="minorHAnsi" w:hAnsi="Arial" w:cstheme="minorBidi"/>
          <w:sz w:val="22"/>
          <w:szCs w:val="22"/>
          <w:lang w:val="fr-FR"/>
        </w:rPr>
        <w:t xml:space="preserve">adre mondial </w:t>
      </w:r>
      <w:r>
        <w:rPr>
          <w:rFonts w:ascii="Arial" w:eastAsiaTheme="minorHAnsi" w:hAnsi="Arial" w:cstheme="minorBidi"/>
          <w:sz w:val="22"/>
          <w:szCs w:val="22"/>
          <w:lang w:val="fr-FR"/>
        </w:rPr>
        <w:t>de</w:t>
      </w:r>
      <w:r w:rsidRPr="006A45AB">
        <w:rPr>
          <w:rFonts w:ascii="Arial" w:eastAsiaTheme="minorHAnsi" w:hAnsi="Arial" w:cstheme="minorBidi"/>
          <w:sz w:val="22"/>
          <w:szCs w:val="22"/>
          <w:lang w:val="fr-FR"/>
        </w:rPr>
        <w:t xml:space="preserve"> la biodiversité de Kunming-Montréal</w:t>
      </w:r>
      <w:r w:rsidR="00273BBD">
        <w:rPr>
          <w:rFonts w:ascii="Arial" w:eastAsiaTheme="minorHAnsi" w:hAnsi="Arial" w:cstheme="minorBidi"/>
          <w:sz w:val="22"/>
          <w:szCs w:val="22"/>
          <w:lang w:val="fr-FR"/>
        </w:rPr>
        <w:t> ;</w:t>
      </w:r>
    </w:p>
    <w:p w14:paraId="584D388F" w14:textId="77777777" w:rsidR="006A45AB" w:rsidRDefault="006A45AB" w:rsidP="006A45AB">
      <w:pPr>
        <w:widowControl/>
        <w:autoSpaceDE/>
        <w:autoSpaceDN/>
        <w:ind w:left="1260"/>
        <w:jc w:val="both"/>
        <w:textAlignment w:val="auto"/>
        <w:rPr>
          <w:rFonts w:ascii="Arial" w:eastAsiaTheme="minorHAnsi" w:hAnsi="Arial" w:cstheme="minorBidi"/>
          <w:sz w:val="22"/>
          <w:szCs w:val="22"/>
          <w:lang w:val="fr-FR"/>
        </w:rPr>
      </w:pPr>
    </w:p>
    <w:p w14:paraId="52629A39" w14:textId="57FDC5AB" w:rsidR="00557B6E" w:rsidRDefault="00557B6E" w:rsidP="006A45AB">
      <w:pPr>
        <w:widowControl/>
        <w:numPr>
          <w:ilvl w:val="0"/>
          <w:numId w:val="1"/>
        </w:numPr>
        <w:autoSpaceDE/>
        <w:autoSpaceDN/>
        <w:ind w:left="1260" w:hanging="409"/>
        <w:jc w:val="both"/>
        <w:textAlignment w:val="auto"/>
        <w:rPr>
          <w:rFonts w:ascii="Arial" w:eastAsiaTheme="minorHAnsi" w:hAnsi="Arial" w:cstheme="minorBidi"/>
          <w:sz w:val="22"/>
          <w:szCs w:val="22"/>
          <w:lang w:val="fr-FR"/>
        </w:rPr>
      </w:pPr>
      <w:r w:rsidRPr="006A45AB">
        <w:rPr>
          <w:rFonts w:ascii="Arial" w:eastAsiaTheme="minorHAnsi" w:hAnsi="Arial" w:cstheme="minorBidi"/>
          <w:sz w:val="22"/>
          <w:szCs w:val="22"/>
          <w:lang w:val="fr-FR"/>
        </w:rPr>
        <w:t>encouragées à soutenir un bouquet d’énergies renouvelables fondé sur des données probantes lors de la conception et de la mise en œuvre de politiques en matière d’énergies renouvelables</w:t>
      </w:r>
      <w:r w:rsidR="00273BBD">
        <w:rPr>
          <w:rFonts w:ascii="Arial" w:eastAsiaTheme="minorHAnsi" w:hAnsi="Arial" w:cstheme="minorBidi"/>
          <w:sz w:val="22"/>
          <w:szCs w:val="22"/>
          <w:lang w:val="fr-FR"/>
        </w:rPr>
        <w:t>,</w:t>
      </w:r>
      <w:r w:rsidRPr="006A45AB">
        <w:rPr>
          <w:rFonts w:ascii="Arial" w:eastAsiaTheme="minorHAnsi" w:hAnsi="Arial" w:cstheme="minorBidi"/>
          <w:sz w:val="22"/>
          <w:szCs w:val="22"/>
          <w:lang w:val="fr-FR"/>
        </w:rPr>
        <w:t xml:space="preserve"> telles que les Contributions déterminées au niveau national (CDN) et les Plans nationaux sur l'énergie et le climat, et à intégrer les évaluations environnementales stratégiques et la cartographie de la sensibilité des espèces </w:t>
      </w:r>
      <w:r w:rsidR="00273BBD">
        <w:rPr>
          <w:rFonts w:ascii="Arial" w:eastAsiaTheme="minorHAnsi" w:hAnsi="Arial" w:cstheme="minorBidi"/>
          <w:sz w:val="22"/>
          <w:szCs w:val="22"/>
          <w:lang w:val="fr-FR"/>
        </w:rPr>
        <w:t xml:space="preserve">migratrices, </w:t>
      </w:r>
      <w:r w:rsidR="00273BBD" w:rsidRPr="00273BBD">
        <w:rPr>
          <w:rFonts w:ascii="Arial" w:eastAsiaTheme="minorHAnsi" w:hAnsi="Arial" w:cstheme="minorBidi"/>
          <w:sz w:val="22"/>
          <w:szCs w:val="22"/>
          <w:lang w:val="fr-FR"/>
        </w:rPr>
        <w:t>en particulier celles qui sont protégées au niveau national ou international,</w:t>
      </w:r>
      <w:r w:rsidR="00273BBD">
        <w:rPr>
          <w:rFonts w:ascii="Arial" w:eastAsiaTheme="minorHAnsi" w:hAnsi="Arial" w:cstheme="minorBidi"/>
          <w:sz w:val="22"/>
          <w:szCs w:val="22"/>
          <w:lang w:val="fr-FR"/>
        </w:rPr>
        <w:t xml:space="preserve"> </w:t>
      </w:r>
      <w:r w:rsidRPr="006A45AB">
        <w:rPr>
          <w:rFonts w:ascii="Arial" w:eastAsiaTheme="minorHAnsi" w:hAnsi="Arial" w:cstheme="minorBidi"/>
          <w:sz w:val="22"/>
          <w:szCs w:val="22"/>
          <w:lang w:val="fr-FR"/>
        </w:rPr>
        <w:t>dan</w:t>
      </w:r>
      <w:r w:rsidR="00273BBD">
        <w:rPr>
          <w:rFonts w:ascii="Arial" w:eastAsiaTheme="minorHAnsi" w:hAnsi="Arial" w:cstheme="minorBidi"/>
          <w:sz w:val="22"/>
          <w:szCs w:val="22"/>
          <w:lang w:val="fr-FR"/>
        </w:rPr>
        <w:t>s</w:t>
      </w:r>
      <w:r w:rsidRPr="006A45AB">
        <w:rPr>
          <w:rFonts w:ascii="Arial" w:eastAsiaTheme="minorHAnsi" w:hAnsi="Arial" w:cstheme="minorBidi"/>
          <w:sz w:val="22"/>
          <w:szCs w:val="22"/>
          <w:lang w:val="fr-FR"/>
        </w:rPr>
        <w:t xml:space="preserve"> les processus de prise de décision concernant les objectifs climatiques </w:t>
      </w:r>
      <w:r w:rsidR="00273BBD" w:rsidRPr="00273BBD">
        <w:rPr>
          <w:rFonts w:ascii="Arial" w:eastAsiaTheme="minorHAnsi" w:hAnsi="Arial" w:cstheme="minorBidi"/>
          <w:sz w:val="22"/>
          <w:szCs w:val="22"/>
          <w:lang w:val="fr-FR"/>
        </w:rPr>
        <w:t xml:space="preserve">et dans l'aménagement du territoire terrestre et maritime </w:t>
      </w:r>
      <w:r w:rsidRPr="006A45AB">
        <w:rPr>
          <w:rFonts w:ascii="Arial" w:eastAsiaTheme="minorHAnsi" w:hAnsi="Arial" w:cstheme="minorBidi"/>
          <w:sz w:val="22"/>
          <w:szCs w:val="22"/>
          <w:lang w:val="fr-FR"/>
        </w:rPr>
        <w:t xml:space="preserve">; </w:t>
      </w:r>
    </w:p>
    <w:p w14:paraId="2BC3678E" w14:textId="77777777" w:rsidR="00557B6E" w:rsidRPr="00557B6E" w:rsidRDefault="00557B6E" w:rsidP="00273BBD">
      <w:pPr>
        <w:widowControl/>
        <w:autoSpaceDE/>
        <w:autoSpaceDN/>
        <w:jc w:val="both"/>
        <w:textAlignment w:val="auto"/>
        <w:rPr>
          <w:rFonts w:ascii="Arial" w:eastAsiaTheme="minorHAnsi" w:hAnsi="Arial" w:cstheme="minorBidi"/>
          <w:sz w:val="22"/>
          <w:szCs w:val="22"/>
          <w:lang w:val="fr-FR"/>
        </w:rPr>
      </w:pPr>
    </w:p>
    <w:p w14:paraId="02688D2E" w14:textId="77777777" w:rsidR="00557B6E" w:rsidRPr="00557B6E" w:rsidRDefault="00557B6E" w:rsidP="005D465D">
      <w:pPr>
        <w:widowControl/>
        <w:numPr>
          <w:ilvl w:val="0"/>
          <w:numId w:val="1"/>
        </w:numPr>
        <w:autoSpaceDE/>
        <w:autoSpaceDN/>
        <w:ind w:left="1260"/>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 xml:space="preserve">invitées à fournir au groupe d’étude de l’énergie et au Secrétariat les informations et les indicateurs qui ont été intégrés dans les plans d'action nationaux pour le climat et les CDN ; </w:t>
      </w:r>
    </w:p>
    <w:p w14:paraId="7FFCC1F9" w14:textId="77777777" w:rsidR="00557B6E" w:rsidRPr="00557B6E" w:rsidRDefault="00557B6E" w:rsidP="005D465D">
      <w:pPr>
        <w:widowControl/>
        <w:autoSpaceDE/>
        <w:autoSpaceDN/>
        <w:ind w:left="1260"/>
        <w:jc w:val="both"/>
        <w:textAlignment w:val="auto"/>
        <w:rPr>
          <w:rFonts w:ascii="Arial" w:eastAsiaTheme="minorHAnsi" w:hAnsi="Arial" w:cstheme="minorBidi"/>
          <w:sz w:val="22"/>
          <w:szCs w:val="22"/>
          <w:lang w:val="fr-FR"/>
        </w:rPr>
      </w:pPr>
    </w:p>
    <w:p w14:paraId="1EAA6A5E" w14:textId="47A1FFEA" w:rsidR="00557B6E" w:rsidRDefault="00273BBD" w:rsidP="005D465D">
      <w:pPr>
        <w:widowControl/>
        <w:numPr>
          <w:ilvl w:val="0"/>
          <w:numId w:val="1"/>
        </w:numPr>
        <w:autoSpaceDE/>
        <w:autoSpaceDN/>
        <w:ind w:left="1260"/>
        <w:jc w:val="both"/>
        <w:textAlignment w:val="auto"/>
        <w:rPr>
          <w:rFonts w:ascii="Arial" w:eastAsiaTheme="minorHAnsi" w:hAnsi="Arial" w:cstheme="minorBidi"/>
          <w:sz w:val="22"/>
          <w:szCs w:val="22"/>
          <w:lang w:val="fr-FR"/>
        </w:rPr>
      </w:pPr>
      <w:r w:rsidRPr="00273BBD">
        <w:rPr>
          <w:rFonts w:ascii="Arial" w:eastAsiaTheme="minorHAnsi" w:hAnsi="Arial" w:cstheme="minorBidi"/>
          <w:sz w:val="22"/>
          <w:szCs w:val="22"/>
          <w:lang w:val="fr-FR"/>
        </w:rPr>
        <w:t>prié</w:t>
      </w:r>
      <w:r>
        <w:rPr>
          <w:rFonts w:ascii="Arial" w:eastAsiaTheme="minorHAnsi" w:hAnsi="Arial" w:cstheme="minorBidi"/>
          <w:sz w:val="22"/>
          <w:szCs w:val="22"/>
          <w:lang w:val="fr-FR"/>
        </w:rPr>
        <w:t>e</w:t>
      </w:r>
      <w:r w:rsidRPr="00273BBD">
        <w:rPr>
          <w:rFonts w:ascii="Arial" w:eastAsiaTheme="minorHAnsi" w:hAnsi="Arial" w:cstheme="minorBidi"/>
          <w:sz w:val="22"/>
          <w:szCs w:val="22"/>
          <w:lang w:val="fr-FR"/>
        </w:rPr>
        <w:t>s de rendre compte à la COP15 des activités susmentionnées dans leurs rapports nationaux ;</w:t>
      </w:r>
    </w:p>
    <w:p w14:paraId="1ACEAF63" w14:textId="77777777" w:rsidR="00273BBD" w:rsidRDefault="00273BBD" w:rsidP="00273BBD">
      <w:pPr>
        <w:pStyle w:val="ListParagraph"/>
        <w:rPr>
          <w:rFonts w:ascii="Arial" w:eastAsiaTheme="minorHAnsi" w:hAnsi="Arial" w:cstheme="minorBidi"/>
          <w:sz w:val="22"/>
          <w:szCs w:val="22"/>
          <w:lang w:val="fr-FR"/>
        </w:rPr>
      </w:pPr>
    </w:p>
    <w:p w14:paraId="2452E2AC" w14:textId="49E7D209" w:rsidR="00273BBD" w:rsidRPr="00557B6E" w:rsidRDefault="00B15A89" w:rsidP="005D465D">
      <w:pPr>
        <w:widowControl/>
        <w:numPr>
          <w:ilvl w:val="0"/>
          <w:numId w:val="1"/>
        </w:numPr>
        <w:autoSpaceDE/>
        <w:autoSpaceDN/>
        <w:ind w:left="1260"/>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conseillées</w:t>
      </w:r>
      <w:r w:rsidR="00273BBD">
        <w:rPr>
          <w:rFonts w:ascii="Arial" w:eastAsiaTheme="minorHAnsi" w:hAnsi="Arial" w:cstheme="minorBidi"/>
          <w:sz w:val="22"/>
          <w:szCs w:val="22"/>
          <w:lang w:val="fr-FR"/>
        </w:rPr>
        <w:t xml:space="preserve"> en outre</w:t>
      </w:r>
      <w:r w:rsidR="00273BBD" w:rsidRPr="00273BBD">
        <w:rPr>
          <w:rFonts w:ascii="Arial" w:eastAsiaTheme="minorHAnsi" w:hAnsi="Arial" w:cstheme="minorBidi"/>
          <w:sz w:val="22"/>
          <w:szCs w:val="22"/>
          <w:lang w:val="fr-FR"/>
        </w:rPr>
        <w:t xml:space="preserve"> de prendre des mesures juridiques, administratives ou politiques pour encourager et permettre au secteur de l'énergie de surveiller, d'évaluer et de divulguer de façon transparente les risques, dépendances et impacts sur la biodiversité </w:t>
      </w:r>
      <w:r w:rsidR="00273BBD">
        <w:rPr>
          <w:rFonts w:ascii="Arial" w:eastAsiaTheme="minorHAnsi" w:hAnsi="Arial" w:cstheme="minorBidi"/>
          <w:sz w:val="22"/>
          <w:szCs w:val="22"/>
          <w:lang w:val="fr-FR"/>
        </w:rPr>
        <w:t xml:space="preserve">qui lui sont associés </w:t>
      </w:r>
      <w:r w:rsidR="00273BBD" w:rsidRPr="00273BBD">
        <w:rPr>
          <w:rFonts w:ascii="Arial" w:eastAsiaTheme="minorHAnsi" w:hAnsi="Arial" w:cstheme="minorBidi"/>
          <w:sz w:val="22"/>
          <w:szCs w:val="22"/>
          <w:lang w:val="fr-FR"/>
        </w:rPr>
        <w:t>tout au long de</w:t>
      </w:r>
      <w:r w:rsidR="00273BBD">
        <w:rPr>
          <w:rFonts w:ascii="Arial" w:eastAsiaTheme="minorHAnsi" w:hAnsi="Arial" w:cstheme="minorBidi"/>
          <w:sz w:val="22"/>
          <w:szCs w:val="22"/>
          <w:lang w:val="fr-FR"/>
        </w:rPr>
        <w:t>s</w:t>
      </w:r>
      <w:r w:rsidR="00273BBD" w:rsidRPr="00273BBD">
        <w:rPr>
          <w:rFonts w:ascii="Arial" w:eastAsiaTheme="minorHAnsi" w:hAnsi="Arial" w:cstheme="minorBidi"/>
          <w:sz w:val="22"/>
          <w:szCs w:val="22"/>
          <w:lang w:val="fr-FR"/>
        </w:rPr>
        <w:t xml:space="preserve"> opérations, chaînes d'approvisionnement et de valeur, afin de réduire progressivement les impacts négatifs sur la biodiversité, d'augmenter les impacts positifs et de promouvoir des actions visant à assurer des modes de production durables.</w:t>
      </w:r>
    </w:p>
    <w:p w14:paraId="0ABF5AC3" w14:textId="77777777" w:rsidR="00557B6E" w:rsidRPr="00557B6E" w:rsidRDefault="00557B6E" w:rsidP="005D465D">
      <w:pPr>
        <w:widowControl/>
        <w:autoSpaceDE/>
        <w:autoSpaceDN/>
        <w:jc w:val="both"/>
        <w:textAlignment w:val="auto"/>
        <w:rPr>
          <w:rFonts w:ascii="Arial" w:eastAsiaTheme="minorHAnsi" w:hAnsi="Arial" w:cstheme="minorBidi"/>
          <w:b/>
          <w:bCs/>
          <w:i/>
          <w:iCs/>
          <w:sz w:val="22"/>
          <w:szCs w:val="22"/>
          <w:lang w:val="fr-FR"/>
        </w:rPr>
      </w:pPr>
    </w:p>
    <w:p w14:paraId="6A09B0AC" w14:textId="3B182BCD" w:rsidR="00A059C3" w:rsidRDefault="00A059C3" w:rsidP="005D465D">
      <w:pPr>
        <w:widowControl/>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br w:type="page"/>
      </w:r>
    </w:p>
    <w:p w14:paraId="10CB9B6A" w14:textId="2C53B628" w:rsidR="00557B6E" w:rsidRPr="00557B6E" w:rsidRDefault="00273BBD" w:rsidP="005D465D">
      <w:pPr>
        <w:widowControl/>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lastRenderedPageBreak/>
        <w:t xml:space="preserve">À l’adresse des </w:t>
      </w:r>
      <w:r w:rsidR="00557B6E" w:rsidRPr="00557B6E">
        <w:rPr>
          <w:rFonts w:ascii="Arial" w:eastAsiaTheme="minorHAnsi" w:hAnsi="Arial" w:cstheme="minorBidi"/>
          <w:b/>
          <w:bCs/>
          <w:i/>
          <w:iCs/>
          <w:sz w:val="22"/>
          <w:szCs w:val="22"/>
          <w:lang w:val="fr-FR"/>
        </w:rPr>
        <w:t>Parties, organisations intergouvernementales et non gouvernementales, et autres</w:t>
      </w:r>
    </w:p>
    <w:p w14:paraId="6E15FEAE" w14:textId="77777777" w:rsidR="00557B6E" w:rsidRPr="00557B6E" w:rsidRDefault="00557B6E" w:rsidP="005D465D">
      <w:pPr>
        <w:widowControl/>
        <w:autoSpaceDE/>
        <w:autoSpaceDN/>
        <w:ind w:left="851" w:hanging="851"/>
        <w:jc w:val="both"/>
        <w:textAlignment w:val="auto"/>
        <w:rPr>
          <w:rFonts w:ascii="Arial" w:eastAsiaTheme="minorHAnsi" w:hAnsi="Arial" w:cs="Arial"/>
          <w:sz w:val="22"/>
          <w:szCs w:val="22"/>
          <w:lang w:val="fr-FR"/>
        </w:rPr>
      </w:pPr>
    </w:p>
    <w:p w14:paraId="5CD85CDC" w14:textId="77777777" w:rsidR="00557B6E" w:rsidRPr="00557B6E" w:rsidRDefault="00557B6E" w:rsidP="005D465D">
      <w:pPr>
        <w:widowControl/>
        <w:autoSpaceDE/>
        <w:autoSpaceDN/>
        <w:ind w:left="851" w:hanging="851"/>
        <w:jc w:val="both"/>
        <w:textAlignment w:val="auto"/>
        <w:rPr>
          <w:rFonts w:ascii="Arial" w:eastAsiaTheme="minorHAnsi" w:hAnsi="Arial" w:cs="Arial"/>
          <w:sz w:val="22"/>
          <w:szCs w:val="22"/>
          <w:lang w:val="fr-FR"/>
        </w:rPr>
      </w:pPr>
      <w:r w:rsidRPr="00557B6E">
        <w:rPr>
          <w:rFonts w:ascii="Arial" w:eastAsiaTheme="minorHAnsi" w:hAnsi="Arial" w:cs="Arial"/>
          <w:sz w:val="22"/>
          <w:szCs w:val="22"/>
          <w:lang w:val="fr-FR"/>
        </w:rPr>
        <w:t>14.BB</w:t>
      </w:r>
      <w:r w:rsidRPr="00557B6E">
        <w:rPr>
          <w:rFonts w:ascii="Arial" w:eastAsiaTheme="minorHAnsi" w:hAnsi="Arial" w:cs="Arial"/>
          <w:sz w:val="22"/>
          <w:szCs w:val="22"/>
          <w:lang w:val="fr-FR"/>
        </w:rPr>
        <w:tab/>
        <w:t>Les Parties, notamment leurs représentants des ministères et autorités chargés de l’environnement et de l’énergie, les organisations intergouvernementales et non gouvernementales et les autres Parties prenantes du secteur de l’énergie sont encouragées à soutenir la mise en œuvre du Plan de travail du Groupe d’étude de l’énergie et les activités en cours du Groupe d’étude de l’énergie.</w:t>
      </w:r>
    </w:p>
    <w:p w14:paraId="736F434E" w14:textId="77777777" w:rsidR="00557B6E" w:rsidRPr="00557B6E" w:rsidRDefault="00557B6E" w:rsidP="005D465D">
      <w:pPr>
        <w:widowControl/>
        <w:autoSpaceDE/>
        <w:autoSpaceDN/>
        <w:jc w:val="both"/>
        <w:textAlignment w:val="auto"/>
        <w:rPr>
          <w:rFonts w:ascii="Arial" w:eastAsiaTheme="minorHAnsi" w:hAnsi="Arial" w:cstheme="minorBidi"/>
          <w:b/>
          <w:bCs/>
          <w:i/>
          <w:iCs/>
          <w:sz w:val="22"/>
          <w:szCs w:val="22"/>
          <w:lang w:val="fr-FR"/>
        </w:rPr>
      </w:pPr>
    </w:p>
    <w:p w14:paraId="0E75E9F2" w14:textId="77777777" w:rsidR="00557B6E" w:rsidRPr="00557B6E" w:rsidRDefault="00557B6E" w:rsidP="005D465D">
      <w:pPr>
        <w:widowControl/>
        <w:autoSpaceDE/>
        <w:autoSpaceDN/>
        <w:jc w:val="both"/>
        <w:textAlignment w:val="auto"/>
        <w:rPr>
          <w:rFonts w:ascii="Arial" w:eastAsiaTheme="minorHAnsi" w:hAnsi="Arial" w:cstheme="minorBidi"/>
          <w:b/>
          <w:bCs/>
          <w:i/>
          <w:iCs/>
          <w:sz w:val="22"/>
          <w:szCs w:val="22"/>
          <w:lang w:val="fr-FR"/>
        </w:rPr>
      </w:pPr>
    </w:p>
    <w:p w14:paraId="5C9C9DE3" w14:textId="76BB1861" w:rsidR="00557B6E" w:rsidRPr="00557B6E" w:rsidRDefault="00273BBD" w:rsidP="005D465D">
      <w:pPr>
        <w:widowControl/>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À l’a</w:t>
      </w:r>
      <w:r w:rsidR="00557B6E" w:rsidRPr="00557B6E">
        <w:rPr>
          <w:rFonts w:ascii="Arial" w:eastAsiaTheme="minorHAnsi" w:hAnsi="Arial" w:cstheme="minorBidi"/>
          <w:b/>
          <w:bCs/>
          <w:i/>
          <w:iCs/>
          <w:sz w:val="22"/>
          <w:szCs w:val="22"/>
          <w:lang w:val="fr-FR"/>
        </w:rPr>
        <w:t>dress</w:t>
      </w:r>
      <w:r>
        <w:rPr>
          <w:rFonts w:ascii="Arial" w:eastAsiaTheme="minorHAnsi" w:hAnsi="Arial" w:cstheme="minorBidi"/>
          <w:b/>
          <w:bCs/>
          <w:i/>
          <w:iCs/>
          <w:sz w:val="22"/>
          <w:szCs w:val="22"/>
          <w:lang w:val="fr-FR"/>
        </w:rPr>
        <w:t xml:space="preserve">e du </w:t>
      </w:r>
      <w:r w:rsidR="00557B6E" w:rsidRPr="00557B6E">
        <w:rPr>
          <w:rFonts w:ascii="Arial" w:eastAsiaTheme="minorHAnsi" w:hAnsi="Arial" w:cstheme="minorBidi"/>
          <w:b/>
          <w:bCs/>
          <w:i/>
          <w:iCs/>
          <w:sz w:val="22"/>
          <w:szCs w:val="22"/>
          <w:lang w:val="fr-FR"/>
        </w:rPr>
        <w:t>Groupe d’étude de l’énergie</w:t>
      </w:r>
    </w:p>
    <w:p w14:paraId="7F61F769" w14:textId="77777777" w:rsidR="00557B6E" w:rsidRPr="00557B6E" w:rsidRDefault="00557B6E" w:rsidP="005D465D">
      <w:pPr>
        <w:widowControl/>
        <w:autoSpaceDE/>
        <w:autoSpaceDN/>
        <w:jc w:val="both"/>
        <w:textAlignment w:val="auto"/>
        <w:rPr>
          <w:rFonts w:ascii="Arial" w:eastAsiaTheme="minorHAnsi" w:hAnsi="Arial" w:cstheme="minorBidi"/>
          <w:b/>
          <w:bCs/>
          <w:i/>
          <w:iCs/>
          <w:sz w:val="22"/>
          <w:szCs w:val="22"/>
          <w:lang w:val="fr-FR"/>
        </w:rPr>
      </w:pPr>
    </w:p>
    <w:p w14:paraId="6C5D7133" w14:textId="77777777" w:rsidR="00557B6E" w:rsidRPr="00557B6E" w:rsidRDefault="00557B6E" w:rsidP="005D465D">
      <w:pPr>
        <w:widowControl/>
        <w:autoSpaceDE/>
        <w:autoSpaceDN/>
        <w:ind w:left="851" w:hanging="851"/>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14. CC</w:t>
      </w:r>
      <w:r w:rsidRPr="00557B6E">
        <w:rPr>
          <w:rFonts w:ascii="Arial" w:eastAsiaTheme="minorHAnsi" w:hAnsi="Arial" w:cstheme="minorBidi"/>
          <w:sz w:val="22"/>
          <w:szCs w:val="22"/>
          <w:lang w:val="fr-FR"/>
        </w:rPr>
        <w:tab/>
        <w:t xml:space="preserve">Le Groupe d’étude de l’énergie est prié, sous réserve de la disponibilité des ressources : </w:t>
      </w:r>
    </w:p>
    <w:p w14:paraId="57CCADAF" w14:textId="77777777" w:rsidR="00557B6E" w:rsidRPr="00557B6E" w:rsidRDefault="00557B6E" w:rsidP="005D465D">
      <w:pPr>
        <w:widowControl/>
        <w:autoSpaceDE/>
        <w:autoSpaceDN/>
        <w:ind w:left="993" w:hanging="993"/>
        <w:jc w:val="both"/>
        <w:textAlignment w:val="auto"/>
        <w:rPr>
          <w:rFonts w:ascii="Arial" w:eastAsiaTheme="minorHAnsi" w:hAnsi="Arial" w:cstheme="minorBidi"/>
          <w:sz w:val="22"/>
          <w:szCs w:val="22"/>
          <w:lang w:val="fr-FR"/>
        </w:rPr>
      </w:pPr>
    </w:p>
    <w:p w14:paraId="622FEBAA" w14:textId="77777777" w:rsidR="00557B6E" w:rsidRPr="00557B6E" w:rsidRDefault="00557B6E" w:rsidP="005D465D">
      <w:pPr>
        <w:widowControl/>
        <w:numPr>
          <w:ilvl w:val="0"/>
          <w:numId w:val="2"/>
        </w:numPr>
        <w:autoSpaceDE/>
        <w:autoSpaceDN/>
        <w:ind w:left="1418" w:hanging="567"/>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d’examiner les outils et fournir des orientations pour évaluer et atténuer les impacts des énergies renouvelables et des développements de lignes électriques sur les espèces migratrices le long des voies de migration et dans l’ensemble des aires de répartition des espèces, notamment, dans les zones situées au-delà de la juridiction nationale ; cela comprend des approches normalisées pour la surveillance post-construction des projets d’énergie renouvelable, et un examen des outils existants, tels que l’AVISTEP ;</w:t>
      </w:r>
    </w:p>
    <w:p w14:paraId="6370B179" w14:textId="77777777" w:rsidR="00557B6E" w:rsidRPr="00557B6E" w:rsidRDefault="00557B6E" w:rsidP="005D465D">
      <w:pPr>
        <w:widowControl/>
        <w:autoSpaceDE/>
        <w:autoSpaceDN/>
        <w:ind w:left="1418" w:hanging="567"/>
        <w:jc w:val="both"/>
        <w:textAlignment w:val="auto"/>
        <w:rPr>
          <w:rFonts w:ascii="Arial" w:eastAsiaTheme="minorHAnsi" w:hAnsi="Arial" w:cstheme="minorBidi"/>
          <w:sz w:val="22"/>
          <w:szCs w:val="22"/>
          <w:lang w:val="fr-FR"/>
        </w:rPr>
      </w:pPr>
    </w:p>
    <w:p w14:paraId="75554B31" w14:textId="77777777" w:rsidR="00557B6E" w:rsidRPr="00557B6E" w:rsidRDefault="00557B6E" w:rsidP="005D465D">
      <w:pPr>
        <w:widowControl/>
        <w:numPr>
          <w:ilvl w:val="0"/>
          <w:numId w:val="2"/>
        </w:numPr>
        <w:autoSpaceDE/>
        <w:autoSpaceDN/>
        <w:ind w:left="1418" w:hanging="567"/>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 xml:space="preserve">de produire des orientations sur le format et la portée d’une base de données sur la mortalité des espèces inscrites à l’Annexe I de la CMS causée par le développement des énergies renouvelables ; </w:t>
      </w:r>
    </w:p>
    <w:p w14:paraId="643287A4" w14:textId="77777777" w:rsidR="00557B6E" w:rsidRPr="00557B6E" w:rsidRDefault="00557B6E" w:rsidP="005D465D">
      <w:pPr>
        <w:widowControl/>
        <w:autoSpaceDE/>
        <w:autoSpaceDN/>
        <w:ind w:left="1418" w:hanging="567"/>
        <w:jc w:val="both"/>
        <w:textAlignment w:val="auto"/>
        <w:rPr>
          <w:rFonts w:ascii="Arial" w:eastAsiaTheme="minorHAnsi" w:hAnsi="Arial" w:cstheme="minorBidi"/>
          <w:sz w:val="22"/>
          <w:szCs w:val="22"/>
          <w:lang w:val="fr-FR"/>
        </w:rPr>
      </w:pPr>
    </w:p>
    <w:p w14:paraId="018A8DB3" w14:textId="77777777" w:rsidR="00557B6E" w:rsidRPr="00273BBD" w:rsidRDefault="00557B6E" w:rsidP="005D465D">
      <w:pPr>
        <w:widowControl/>
        <w:numPr>
          <w:ilvl w:val="0"/>
          <w:numId w:val="2"/>
        </w:numPr>
        <w:autoSpaceDE/>
        <w:autoSpaceDN/>
        <w:ind w:left="1418" w:hanging="567"/>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 xml:space="preserve">de coordonner la collecte des données sur la mortalité des oiseaux et des chauves-souris avec d’autres groupes d’étude de la CMS travaillant sur des initiatives similaires, tels que le Groupe d’étude sur le faucon sacre de la CMS, le Groupe d’étude intergouvernemental de la CMS sur l’abattage, le prélèvement et le commerce illégaux d’oiseaux migrateurs en Méditerranée (MIKT) et le Groupe d’étude intergouvernemental de la CMS </w:t>
      </w:r>
      <w:r w:rsidRPr="00557B6E">
        <w:rPr>
          <w:rFonts w:ascii="Arial" w:eastAsiaTheme="minorHAnsi" w:hAnsi="Arial" w:cstheme="minorBidi"/>
          <w:bCs/>
          <w:iCs/>
          <w:sz w:val="22"/>
          <w:szCs w:val="22"/>
          <w:lang w:val="fr-FR"/>
        </w:rPr>
        <w:t>Asie-Pacifique sur la prise illégale d’oiseaux migrateurs ;</w:t>
      </w:r>
    </w:p>
    <w:p w14:paraId="6BFDA8DF" w14:textId="77777777" w:rsidR="00273BBD" w:rsidRDefault="00273BBD" w:rsidP="00273BBD">
      <w:pPr>
        <w:pStyle w:val="ListParagraph"/>
        <w:rPr>
          <w:rFonts w:ascii="Arial" w:eastAsiaTheme="minorHAnsi" w:hAnsi="Arial" w:cstheme="minorBidi"/>
          <w:sz w:val="22"/>
          <w:szCs w:val="22"/>
          <w:lang w:val="fr-FR"/>
        </w:rPr>
      </w:pPr>
    </w:p>
    <w:p w14:paraId="4B1B28EB" w14:textId="503A781C" w:rsidR="00273BBD" w:rsidRPr="00273BBD" w:rsidRDefault="00273BBD" w:rsidP="00273BBD">
      <w:pPr>
        <w:widowControl/>
        <w:autoSpaceDE/>
        <w:autoSpaceDN/>
        <w:ind w:left="1418" w:hanging="578"/>
        <w:jc w:val="both"/>
        <w:textAlignment w:val="auto"/>
        <w:rPr>
          <w:rFonts w:ascii="Arial" w:eastAsiaTheme="minorHAnsi" w:hAnsi="Arial" w:cstheme="minorBidi"/>
          <w:sz w:val="22"/>
          <w:szCs w:val="22"/>
          <w:lang w:val="fr-FR"/>
        </w:rPr>
      </w:pPr>
      <w:r w:rsidRPr="00273BBD">
        <w:rPr>
          <w:rFonts w:ascii="Arial" w:eastAsiaTheme="minorHAnsi" w:hAnsi="Arial" w:cstheme="minorBidi"/>
          <w:sz w:val="22"/>
          <w:szCs w:val="22"/>
          <w:lang w:val="fr-FR"/>
        </w:rPr>
        <w:t xml:space="preserve">c. </w:t>
      </w:r>
      <w:r w:rsidRPr="00273BBD">
        <w:rPr>
          <w:rFonts w:ascii="Arial" w:eastAsiaTheme="minorHAnsi" w:hAnsi="Arial" w:cstheme="minorBidi"/>
          <w:i/>
          <w:iCs/>
          <w:sz w:val="22"/>
          <w:szCs w:val="22"/>
          <w:lang w:val="fr-FR"/>
        </w:rPr>
        <w:t>bis</w:t>
      </w:r>
      <w:r>
        <w:rPr>
          <w:rFonts w:ascii="Arial" w:eastAsiaTheme="minorHAnsi" w:hAnsi="Arial" w:cstheme="minorBidi"/>
          <w:sz w:val="22"/>
          <w:szCs w:val="22"/>
          <w:lang w:val="fr-FR"/>
        </w:rPr>
        <w:t>)</w:t>
      </w:r>
      <w:r>
        <w:rPr>
          <w:rFonts w:ascii="Arial" w:eastAsiaTheme="minorHAnsi" w:hAnsi="Arial" w:cstheme="minorBidi"/>
          <w:sz w:val="22"/>
          <w:szCs w:val="22"/>
          <w:lang w:val="fr-FR"/>
        </w:rPr>
        <w:tab/>
        <w:t xml:space="preserve"> de réunir</w:t>
      </w:r>
      <w:r w:rsidRPr="00273BBD">
        <w:rPr>
          <w:rFonts w:ascii="Arial" w:eastAsiaTheme="minorHAnsi" w:hAnsi="Arial" w:cstheme="minorBidi"/>
          <w:sz w:val="22"/>
          <w:szCs w:val="22"/>
          <w:lang w:val="fr-FR"/>
        </w:rPr>
        <w:t xml:space="preserve"> des informations sur les risques et les impacts négatifs sur les espèces migratrices du secteur de l'énergie tout au long de </w:t>
      </w:r>
      <w:r>
        <w:rPr>
          <w:rFonts w:ascii="Arial" w:eastAsiaTheme="minorHAnsi" w:hAnsi="Arial" w:cstheme="minorBidi"/>
          <w:sz w:val="22"/>
          <w:szCs w:val="22"/>
          <w:lang w:val="fr-FR"/>
        </w:rPr>
        <w:t>ses</w:t>
      </w:r>
      <w:r w:rsidRPr="00273BBD">
        <w:rPr>
          <w:rFonts w:ascii="Arial" w:eastAsiaTheme="minorHAnsi" w:hAnsi="Arial" w:cstheme="minorBidi"/>
          <w:sz w:val="22"/>
          <w:szCs w:val="22"/>
          <w:lang w:val="fr-FR"/>
        </w:rPr>
        <w:t xml:space="preserve"> opérations, de </w:t>
      </w:r>
      <w:r>
        <w:rPr>
          <w:rFonts w:ascii="Arial" w:eastAsiaTheme="minorHAnsi" w:hAnsi="Arial" w:cstheme="minorBidi"/>
          <w:sz w:val="22"/>
          <w:szCs w:val="22"/>
          <w:lang w:val="fr-FR"/>
        </w:rPr>
        <w:t xml:space="preserve">ses </w:t>
      </w:r>
      <w:r w:rsidRPr="00273BBD">
        <w:rPr>
          <w:rFonts w:ascii="Arial" w:eastAsiaTheme="minorHAnsi" w:hAnsi="Arial" w:cstheme="minorBidi"/>
          <w:sz w:val="22"/>
          <w:szCs w:val="22"/>
          <w:lang w:val="fr-FR"/>
        </w:rPr>
        <w:t xml:space="preserve">chaînes d'approvisionnement et de valeur, afin de réduire progressivement les impacts négatifs sur la biodiversité, d'augmenter les </w:t>
      </w:r>
      <w:r>
        <w:rPr>
          <w:rFonts w:ascii="Arial" w:eastAsiaTheme="minorHAnsi" w:hAnsi="Arial" w:cstheme="minorBidi"/>
          <w:sz w:val="22"/>
          <w:szCs w:val="22"/>
          <w:lang w:val="fr-FR"/>
        </w:rPr>
        <w:t>effets</w:t>
      </w:r>
      <w:r w:rsidRPr="00273BBD">
        <w:rPr>
          <w:rFonts w:ascii="Arial" w:eastAsiaTheme="minorHAnsi" w:hAnsi="Arial" w:cstheme="minorBidi"/>
          <w:sz w:val="22"/>
          <w:szCs w:val="22"/>
          <w:lang w:val="fr-FR"/>
        </w:rPr>
        <w:t xml:space="preserve"> positifs et de promouvoir des actions visant à garantir des modèles de production durables ;</w:t>
      </w:r>
    </w:p>
    <w:p w14:paraId="3B6ACDD1" w14:textId="77777777" w:rsidR="00557B6E" w:rsidRPr="00557B6E" w:rsidRDefault="00557B6E" w:rsidP="00273BBD">
      <w:pPr>
        <w:widowControl/>
        <w:autoSpaceDE/>
        <w:autoSpaceDN/>
        <w:jc w:val="both"/>
        <w:textAlignment w:val="auto"/>
        <w:rPr>
          <w:rFonts w:ascii="Arial" w:eastAsiaTheme="minorHAnsi" w:hAnsi="Arial" w:cstheme="minorBidi"/>
          <w:sz w:val="22"/>
          <w:szCs w:val="22"/>
          <w:lang w:val="fr-FR"/>
        </w:rPr>
      </w:pPr>
    </w:p>
    <w:p w14:paraId="0B6690D7" w14:textId="72FBCD4A" w:rsidR="00557B6E" w:rsidRPr="00557B6E" w:rsidRDefault="00557B6E" w:rsidP="005D465D">
      <w:pPr>
        <w:widowControl/>
        <w:numPr>
          <w:ilvl w:val="0"/>
          <w:numId w:val="2"/>
        </w:numPr>
        <w:autoSpaceDE/>
        <w:autoSpaceDN/>
        <w:ind w:left="1418" w:hanging="567"/>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 xml:space="preserve">d’élargir la portée de l’ETF afin </w:t>
      </w:r>
      <w:r w:rsidR="00273BBD" w:rsidRPr="00273BBD">
        <w:rPr>
          <w:rFonts w:ascii="Arial" w:eastAsiaTheme="minorHAnsi" w:hAnsi="Arial" w:cstheme="minorBidi"/>
          <w:sz w:val="22"/>
          <w:szCs w:val="22"/>
          <w:lang w:val="fr-FR"/>
        </w:rPr>
        <w:t xml:space="preserve">de prendre en compte les </w:t>
      </w:r>
      <w:r w:rsidR="00273BBD">
        <w:rPr>
          <w:rFonts w:ascii="Arial" w:eastAsiaTheme="minorHAnsi" w:hAnsi="Arial" w:cstheme="minorBidi"/>
          <w:sz w:val="22"/>
          <w:szCs w:val="22"/>
          <w:lang w:val="fr-FR"/>
        </w:rPr>
        <w:t xml:space="preserve">aires </w:t>
      </w:r>
      <w:r w:rsidR="00273BBD" w:rsidRPr="00273BBD">
        <w:rPr>
          <w:rFonts w:ascii="Arial" w:eastAsiaTheme="minorHAnsi" w:hAnsi="Arial" w:cstheme="minorBidi"/>
          <w:sz w:val="22"/>
          <w:szCs w:val="22"/>
          <w:lang w:val="fr-FR"/>
        </w:rPr>
        <w:t xml:space="preserve">importantes pour les mammifères marins (IMMA) et les </w:t>
      </w:r>
      <w:r w:rsidR="00273BBD">
        <w:rPr>
          <w:rFonts w:ascii="Arial" w:eastAsiaTheme="minorHAnsi" w:hAnsi="Arial" w:cstheme="minorBidi"/>
          <w:sz w:val="22"/>
          <w:szCs w:val="22"/>
          <w:lang w:val="fr-FR"/>
        </w:rPr>
        <w:t>aires</w:t>
      </w:r>
      <w:r w:rsidR="00273BBD" w:rsidRPr="00273BBD">
        <w:rPr>
          <w:rFonts w:ascii="Arial" w:eastAsiaTheme="minorHAnsi" w:hAnsi="Arial" w:cstheme="minorBidi"/>
          <w:sz w:val="22"/>
          <w:szCs w:val="22"/>
          <w:lang w:val="fr-FR"/>
        </w:rPr>
        <w:t xml:space="preserve"> importantes pour les requins et les raies (ISRA), ainsi que</w:t>
      </w:r>
      <w:r w:rsidR="00273BBD">
        <w:rPr>
          <w:rFonts w:ascii="Arial" w:eastAsiaTheme="minorHAnsi" w:hAnsi="Arial" w:cstheme="minorBidi"/>
          <w:sz w:val="22"/>
          <w:szCs w:val="22"/>
          <w:lang w:val="fr-FR"/>
        </w:rPr>
        <w:t xml:space="preserve"> </w:t>
      </w:r>
      <w:r w:rsidRPr="00557B6E">
        <w:rPr>
          <w:rFonts w:ascii="Arial" w:eastAsiaTheme="minorHAnsi" w:hAnsi="Arial" w:cstheme="minorBidi"/>
          <w:sz w:val="22"/>
          <w:szCs w:val="22"/>
          <w:lang w:val="fr-FR"/>
        </w:rPr>
        <w:t>les impacts sur les cétacés des énergies renouvelables au large des côtes ;</w:t>
      </w:r>
    </w:p>
    <w:p w14:paraId="78CF32BD" w14:textId="77777777" w:rsidR="00557B6E" w:rsidRPr="00557B6E" w:rsidRDefault="00557B6E" w:rsidP="005D465D">
      <w:pPr>
        <w:widowControl/>
        <w:autoSpaceDE/>
        <w:autoSpaceDN/>
        <w:ind w:left="1418" w:hanging="567"/>
        <w:jc w:val="both"/>
        <w:textAlignment w:val="auto"/>
        <w:rPr>
          <w:rFonts w:ascii="Arial" w:eastAsiaTheme="minorHAnsi" w:hAnsi="Arial" w:cstheme="minorBidi"/>
          <w:sz w:val="22"/>
          <w:szCs w:val="22"/>
          <w:lang w:val="fr-FR"/>
        </w:rPr>
      </w:pPr>
    </w:p>
    <w:p w14:paraId="3FDA6410" w14:textId="12069002" w:rsidR="00557B6E" w:rsidRPr="00557B6E" w:rsidRDefault="00557B6E" w:rsidP="005D465D">
      <w:pPr>
        <w:widowControl/>
        <w:numPr>
          <w:ilvl w:val="0"/>
          <w:numId w:val="2"/>
        </w:numPr>
        <w:autoSpaceDE/>
        <w:autoSpaceDN/>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de collaborer avec des entreprises et du secteur financier international en vue de soutenir l’intégration des meilleures pratiques et la conservation des espèces migratrices dans les politiques et les mesures de protection du secteur</w:t>
      </w:r>
      <w:r w:rsidR="00A059C3">
        <w:rPr>
          <w:rFonts w:ascii="Arial" w:eastAsiaTheme="minorHAnsi" w:hAnsi="Arial" w:cstheme="minorBidi"/>
          <w:sz w:val="22"/>
          <w:szCs w:val="22"/>
          <w:lang w:val="fr-FR"/>
        </w:rPr>
        <w:t> ;</w:t>
      </w:r>
    </w:p>
    <w:p w14:paraId="383D86C4" w14:textId="77777777" w:rsidR="00557B6E" w:rsidRPr="00557B6E" w:rsidRDefault="00557B6E" w:rsidP="005D465D">
      <w:pPr>
        <w:widowControl/>
        <w:autoSpaceDE/>
        <w:autoSpaceDN/>
        <w:jc w:val="both"/>
        <w:textAlignment w:val="auto"/>
        <w:rPr>
          <w:rFonts w:ascii="Arial" w:eastAsiaTheme="minorHAnsi" w:hAnsi="Arial" w:cstheme="minorBidi"/>
          <w:sz w:val="22"/>
          <w:szCs w:val="22"/>
          <w:lang w:val="fr-FR"/>
        </w:rPr>
      </w:pPr>
    </w:p>
    <w:p w14:paraId="2B67D596" w14:textId="77777777" w:rsidR="00557B6E" w:rsidRPr="00557B6E" w:rsidRDefault="00557B6E" w:rsidP="005D465D">
      <w:pPr>
        <w:widowControl/>
        <w:numPr>
          <w:ilvl w:val="0"/>
          <w:numId w:val="2"/>
        </w:numPr>
        <w:autoSpaceDE/>
        <w:autoSpaceDN/>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d’encourager la communauté internationale des donateurs à intégrer la biodiversité dans les stratégies de financement liées à la transition vers les énergies renouvelables.</w:t>
      </w:r>
    </w:p>
    <w:p w14:paraId="4979A0CD" w14:textId="77777777" w:rsidR="00557B6E" w:rsidRPr="00557B6E" w:rsidRDefault="00557B6E" w:rsidP="005D465D">
      <w:pPr>
        <w:widowControl/>
        <w:autoSpaceDE/>
        <w:autoSpaceDN/>
        <w:jc w:val="both"/>
        <w:textAlignment w:val="auto"/>
        <w:rPr>
          <w:rFonts w:ascii="Arial" w:eastAsiaTheme="minorHAnsi" w:hAnsi="Arial" w:cstheme="minorBidi"/>
          <w:sz w:val="22"/>
          <w:szCs w:val="22"/>
          <w:lang w:val="fr-FR"/>
        </w:rPr>
      </w:pPr>
    </w:p>
    <w:p w14:paraId="5A1AB2FC" w14:textId="77777777" w:rsidR="00557B6E" w:rsidRPr="00557B6E" w:rsidRDefault="00557B6E" w:rsidP="005D465D">
      <w:pPr>
        <w:widowControl/>
        <w:autoSpaceDE/>
        <w:autoSpaceDN/>
        <w:jc w:val="both"/>
        <w:textAlignment w:val="auto"/>
        <w:rPr>
          <w:rFonts w:ascii="Arial" w:eastAsiaTheme="minorHAnsi" w:hAnsi="Arial" w:cstheme="minorBidi"/>
          <w:sz w:val="22"/>
          <w:szCs w:val="22"/>
          <w:lang w:val="fr-FR"/>
        </w:rPr>
      </w:pPr>
    </w:p>
    <w:p w14:paraId="4D515792" w14:textId="21DB323C" w:rsidR="00557B6E" w:rsidRPr="00557B6E" w:rsidRDefault="00273BBD" w:rsidP="005D465D">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lastRenderedPageBreak/>
        <w:t xml:space="preserve">À l’adresse du </w:t>
      </w:r>
      <w:r w:rsidR="00557B6E" w:rsidRPr="00557B6E">
        <w:rPr>
          <w:rFonts w:ascii="Arial" w:eastAsiaTheme="minorHAnsi" w:hAnsi="Arial" w:cs="Arial"/>
          <w:b/>
          <w:i/>
          <w:sz w:val="22"/>
          <w:szCs w:val="22"/>
          <w:lang w:val="fr-FR"/>
        </w:rPr>
        <w:t>Secrétariat</w:t>
      </w:r>
    </w:p>
    <w:p w14:paraId="449956B4" w14:textId="77777777" w:rsidR="00557B6E" w:rsidRPr="00557B6E" w:rsidRDefault="00557B6E" w:rsidP="005D465D">
      <w:pPr>
        <w:widowControl/>
        <w:autoSpaceDE/>
        <w:autoSpaceDN/>
        <w:jc w:val="both"/>
        <w:textAlignment w:val="auto"/>
        <w:rPr>
          <w:rFonts w:ascii="Arial" w:eastAsiaTheme="minorHAnsi" w:hAnsi="Arial" w:cstheme="minorBidi"/>
          <w:sz w:val="22"/>
          <w:szCs w:val="22"/>
          <w:lang w:val="fr-FR"/>
        </w:rPr>
      </w:pPr>
    </w:p>
    <w:p w14:paraId="49A008FD" w14:textId="77777777" w:rsidR="00557B6E" w:rsidRPr="00557B6E" w:rsidRDefault="00557B6E" w:rsidP="005D465D">
      <w:pPr>
        <w:widowControl/>
        <w:autoSpaceDE/>
        <w:autoSpaceDN/>
        <w:ind w:left="851" w:hanging="851"/>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 xml:space="preserve">14. DD </w:t>
      </w:r>
      <w:r w:rsidRPr="00557B6E">
        <w:rPr>
          <w:rFonts w:ascii="Arial" w:eastAsiaTheme="minorHAnsi" w:hAnsi="Arial" w:cstheme="minorBidi"/>
          <w:sz w:val="22"/>
          <w:szCs w:val="22"/>
          <w:lang w:val="fr-FR"/>
        </w:rPr>
        <w:tab/>
        <w:t>Le Secrétariat, sous réserve de la disponibilité des ressources :</w:t>
      </w:r>
    </w:p>
    <w:p w14:paraId="1B85A455" w14:textId="77777777" w:rsidR="00557B6E" w:rsidRPr="00557B6E" w:rsidRDefault="00557B6E" w:rsidP="005D465D">
      <w:pPr>
        <w:widowControl/>
        <w:autoSpaceDE/>
        <w:autoSpaceDN/>
        <w:ind w:left="851" w:hanging="851"/>
        <w:jc w:val="both"/>
        <w:textAlignment w:val="auto"/>
        <w:rPr>
          <w:rFonts w:ascii="Arial" w:eastAsiaTheme="minorHAnsi" w:hAnsi="Arial" w:cstheme="minorBidi"/>
          <w:sz w:val="22"/>
          <w:szCs w:val="22"/>
          <w:lang w:val="fr-FR"/>
        </w:rPr>
      </w:pPr>
    </w:p>
    <w:p w14:paraId="70FE2339" w14:textId="77777777" w:rsidR="00557B6E" w:rsidRPr="00557B6E" w:rsidRDefault="00557B6E" w:rsidP="005D465D">
      <w:pPr>
        <w:widowControl/>
        <w:numPr>
          <w:ilvl w:val="0"/>
          <w:numId w:val="3"/>
        </w:numPr>
        <w:autoSpaceDE/>
        <w:autoSpaceDN/>
        <w:ind w:left="1418" w:hanging="567"/>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inclut dans sa stratégie de communication les orientations et les outils produits par l’ETF, ainsi que la collaboration avec les institutions financière internationales et l’ensemble des agents du secteur des énergies renouvelables ;</w:t>
      </w:r>
    </w:p>
    <w:p w14:paraId="609A3372" w14:textId="77777777" w:rsidR="00557B6E" w:rsidRPr="00557B6E" w:rsidRDefault="00557B6E" w:rsidP="005D465D">
      <w:pPr>
        <w:widowControl/>
        <w:autoSpaceDE/>
        <w:autoSpaceDN/>
        <w:ind w:left="1418" w:hanging="567"/>
        <w:jc w:val="both"/>
        <w:textAlignment w:val="auto"/>
        <w:rPr>
          <w:rFonts w:ascii="Arial" w:eastAsiaTheme="minorHAnsi" w:hAnsi="Arial" w:cstheme="minorBidi"/>
          <w:sz w:val="22"/>
          <w:szCs w:val="22"/>
          <w:lang w:val="fr-FR"/>
        </w:rPr>
      </w:pPr>
    </w:p>
    <w:p w14:paraId="16B4926E" w14:textId="77777777" w:rsidR="00557B6E" w:rsidRPr="00557B6E" w:rsidRDefault="00557B6E" w:rsidP="005D465D">
      <w:pPr>
        <w:widowControl/>
        <w:numPr>
          <w:ilvl w:val="0"/>
          <w:numId w:val="3"/>
        </w:numPr>
        <w:autoSpaceDE/>
        <w:autoSpaceDN/>
        <w:ind w:left="1418" w:hanging="567"/>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soutient l’ETF et veille à ce que le nombre de ses membres augmente et que sa portée soit régulièrement revue pour faire face à toutes les menaces potentielles des infrastructures d’énergie renouvelable pour les espèces migratrices ;</w:t>
      </w:r>
    </w:p>
    <w:p w14:paraId="28623CA9" w14:textId="77777777" w:rsidR="00557B6E" w:rsidRPr="00557B6E" w:rsidRDefault="00557B6E" w:rsidP="005D465D">
      <w:pPr>
        <w:widowControl/>
        <w:autoSpaceDE/>
        <w:autoSpaceDN/>
        <w:ind w:left="1418" w:hanging="567"/>
        <w:jc w:val="both"/>
        <w:textAlignment w:val="auto"/>
        <w:rPr>
          <w:rFonts w:ascii="Arial" w:eastAsiaTheme="minorHAnsi" w:hAnsi="Arial" w:cstheme="minorBidi"/>
          <w:sz w:val="22"/>
          <w:szCs w:val="22"/>
          <w:lang w:val="fr-FR"/>
        </w:rPr>
      </w:pPr>
    </w:p>
    <w:p w14:paraId="5BBDE9CC" w14:textId="77777777" w:rsidR="00557B6E" w:rsidRPr="00557B6E" w:rsidRDefault="00557B6E" w:rsidP="005D465D">
      <w:pPr>
        <w:widowControl/>
        <w:numPr>
          <w:ilvl w:val="0"/>
          <w:numId w:val="3"/>
        </w:numPr>
        <w:autoSpaceDE/>
        <w:autoSpaceDN/>
        <w:ind w:left="1418" w:hanging="567"/>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recherche des partenariats avec la Convention-cadre des Nations Unies sur les changements climatiques (CCNUCC) et d'autres entités concernées, afin d'étendre le rôle et la sensibilisation de l’ ETF et la mise en œuvre de mesures de protection, d’outils d’aménagement du territoire et d’orientations pour éviter les impacts négatifs des infrastructures d’énergie renouvelable sur les espèces migratrices ;</w:t>
      </w:r>
    </w:p>
    <w:p w14:paraId="1FBF1F1D" w14:textId="77777777" w:rsidR="00557B6E" w:rsidRPr="00557B6E" w:rsidRDefault="00557B6E" w:rsidP="005D465D">
      <w:pPr>
        <w:widowControl/>
        <w:autoSpaceDE/>
        <w:autoSpaceDN/>
        <w:ind w:left="1418" w:hanging="567"/>
        <w:jc w:val="both"/>
        <w:textAlignment w:val="auto"/>
        <w:rPr>
          <w:rFonts w:ascii="Arial" w:eastAsiaTheme="minorHAnsi" w:hAnsi="Arial" w:cstheme="minorBidi"/>
          <w:sz w:val="22"/>
          <w:szCs w:val="22"/>
          <w:lang w:val="fr-FR"/>
        </w:rPr>
      </w:pPr>
    </w:p>
    <w:p w14:paraId="02195383" w14:textId="77777777" w:rsidR="00557B6E" w:rsidRPr="00557B6E" w:rsidRDefault="00557B6E" w:rsidP="005D465D">
      <w:pPr>
        <w:widowControl/>
        <w:numPr>
          <w:ilvl w:val="0"/>
          <w:numId w:val="3"/>
        </w:numPr>
        <w:autoSpaceDE/>
        <w:autoSpaceDN/>
        <w:ind w:left="1418" w:hanging="567"/>
        <w:jc w:val="both"/>
        <w:textAlignment w:val="auto"/>
        <w:rPr>
          <w:rFonts w:ascii="Arial" w:eastAsiaTheme="minorHAnsi" w:hAnsi="Arial" w:cstheme="minorBidi"/>
          <w:sz w:val="22"/>
          <w:szCs w:val="22"/>
          <w:lang w:val="fr-FR"/>
        </w:rPr>
      </w:pPr>
      <w:r w:rsidRPr="00557B6E">
        <w:rPr>
          <w:rFonts w:ascii="Arial" w:eastAsiaTheme="minorHAnsi" w:hAnsi="Arial" w:cstheme="minorBidi"/>
          <w:sz w:val="22"/>
          <w:szCs w:val="22"/>
          <w:lang w:val="fr-FR"/>
        </w:rPr>
        <w:t>soutient l’organisation d’ateliers de l’ETF pour sensibiliser et renforcer les capacités des représentants gouvernementaux qui travaillent dans les domaines des énergies renouvelables et des espèces migratrices.</w:t>
      </w:r>
    </w:p>
    <w:p w14:paraId="7D13B44A" w14:textId="77777777" w:rsidR="00D82C56" w:rsidRPr="00A048E3" w:rsidRDefault="00D82C56" w:rsidP="005D465D">
      <w:pPr>
        <w:rPr>
          <w:rFonts w:ascii="Arial" w:hAnsi="Arial" w:cs="Arial"/>
          <w:sz w:val="22"/>
          <w:szCs w:val="22"/>
          <w:lang w:val="fr-FR"/>
        </w:rPr>
      </w:pPr>
    </w:p>
    <w:p w14:paraId="1EEE6BE9" w14:textId="77777777" w:rsidR="00CB22BB" w:rsidRPr="00A048E3" w:rsidRDefault="00CB22BB" w:rsidP="005D465D">
      <w:pPr>
        <w:rPr>
          <w:rFonts w:ascii="Arial" w:hAnsi="Arial" w:cs="Arial"/>
          <w:lang w:val="fr-FR"/>
        </w:rPr>
      </w:pPr>
    </w:p>
    <w:sectPr w:rsidR="00CB22BB" w:rsidRPr="00A048E3" w:rsidSect="00A059C3">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87886" w14:textId="77777777" w:rsidR="00583AD0" w:rsidRDefault="00583AD0">
      <w:r>
        <w:separator/>
      </w:r>
    </w:p>
  </w:endnote>
  <w:endnote w:type="continuationSeparator" w:id="0">
    <w:p w14:paraId="12B31D11" w14:textId="77777777" w:rsidR="00583AD0" w:rsidRDefault="00583AD0">
      <w:r>
        <w:continuationSeparator/>
      </w:r>
    </w:p>
  </w:endnote>
  <w:endnote w:type="continuationNotice" w:id="1">
    <w:p w14:paraId="4198BA64" w14:textId="77777777" w:rsidR="00583AD0" w:rsidRDefault="00583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6D7F6" w14:textId="77777777" w:rsidR="00583AD0" w:rsidRDefault="00583AD0">
      <w:r>
        <w:rPr>
          <w:color w:val="000000"/>
        </w:rPr>
        <w:separator/>
      </w:r>
    </w:p>
  </w:footnote>
  <w:footnote w:type="continuationSeparator" w:id="0">
    <w:p w14:paraId="314097BC" w14:textId="77777777" w:rsidR="00583AD0" w:rsidRDefault="00583AD0">
      <w:r>
        <w:continuationSeparator/>
      </w:r>
    </w:p>
  </w:footnote>
  <w:footnote w:type="continuationNotice" w:id="1">
    <w:p w14:paraId="137CEBEF" w14:textId="77777777" w:rsidR="00583AD0" w:rsidRDefault="00583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63BB6F29" w:rsidR="002B3E88" w:rsidRPr="00B15A89"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B15A89">
      <w:rPr>
        <w:rFonts w:ascii="Arial" w:hAnsi="Arial" w:cs="Arial"/>
        <w:i/>
        <w:sz w:val="18"/>
        <w:szCs w:val="18"/>
      </w:rPr>
      <w:t>UNEP/CMS/COP1</w:t>
    </w:r>
    <w:r w:rsidR="00CB22BB" w:rsidRPr="00B15A89">
      <w:rPr>
        <w:rFonts w:ascii="Arial" w:hAnsi="Arial" w:cs="Arial"/>
        <w:i/>
        <w:sz w:val="18"/>
        <w:szCs w:val="18"/>
      </w:rPr>
      <w:t>4</w:t>
    </w:r>
    <w:r w:rsidRPr="00B15A89">
      <w:rPr>
        <w:rFonts w:ascii="Arial" w:hAnsi="Arial" w:cs="Arial"/>
        <w:i/>
        <w:sz w:val="18"/>
        <w:szCs w:val="18"/>
      </w:rPr>
      <w:t>/CRP</w:t>
    </w:r>
    <w:r w:rsidR="00557B6E" w:rsidRPr="00B15A89">
      <w:rPr>
        <w:rFonts w:ascii="Arial" w:hAnsi="Arial" w:cs="Arial"/>
        <w:i/>
        <w:sz w:val="18"/>
        <w:szCs w:val="18"/>
      </w:rPr>
      <w:t>30.3.2</w:t>
    </w:r>
    <w:r w:rsidR="00B15A89" w:rsidRPr="00B15A89">
      <w:rPr>
        <w:rFonts w:ascii="Arial" w:hAnsi="Arial" w:cs="Arial"/>
        <w:i/>
        <w:sz w:val="18"/>
        <w:szCs w:val="18"/>
      </w:rPr>
      <w:t>/Rev</w:t>
    </w:r>
    <w:r w:rsidR="00B15A89">
      <w:rPr>
        <w:rFonts w:ascii="Arial" w:hAnsi="Arial" w:cs="Arial"/>
        <w:i/>
        <w:sz w:val="18"/>
        <w:szCs w:val="18"/>
      </w:rPr>
      <w:t>.1</w:t>
    </w:r>
  </w:p>
  <w:p w14:paraId="50B9F4CC" w14:textId="77777777" w:rsidR="002B3E88" w:rsidRPr="00B15A89"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D5A8F26" w:rsidR="002B3E88" w:rsidRPr="00B15A89"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B15A89">
      <w:rPr>
        <w:rFonts w:ascii="Arial" w:hAnsi="Arial" w:cs="Arial"/>
        <w:i/>
        <w:sz w:val="18"/>
        <w:szCs w:val="18"/>
      </w:rPr>
      <w:t>UNEP/CMS/COP1</w:t>
    </w:r>
    <w:r w:rsidR="00CB22BB" w:rsidRPr="00B15A89">
      <w:rPr>
        <w:rFonts w:ascii="Arial" w:hAnsi="Arial" w:cs="Arial"/>
        <w:i/>
        <w:sz w:val="18"/>
        <w:szCs w:val="18"/>
      </w:rPr>
      <w:t>4</w:t>
    </w:r>
    <w:r w:rsidRPr="00B15A89">
      <w:rPr>
        <w:rFonts w:ascii="Arial" w:hAnsi="Arial" w:cs="Arial"/>
        <w:i/>
        <w:sz w:val="18"/>
        <w:szCs w:val="18"/>
      </w:rPr>
      <w:t>/CRP</w:t>
    </w:r>
    <w:r w:rsidR="00557B6E" w:rsidRPr="00B15A89">
      <w:rPr>
        <w:rFonts w:ascii="Arial" w:hAnsi="Arial" w:cs="Arial"/>
        <w:i/>
        <w:sz w:val="18"/>
        <w:szCs w:val="18"/>
      </w:rPr>
      <w:t>30.3.2</w:t>
    </w:r>
    <w:r w:rsidR="00B15A89" w:rsidRPr="00B15A89">
      <w:rPr>
        <w:rFonts w:ascii="Arial" w:hAnsi="Arial" w:cs="Arial"/>
        <w:i/>
        <w:sz w:val="18"/>
        <w:szCs w:val="18"/>
      </w:rPr>
      <w:t>/Rev</w:t>
    </w:r>
    <w:r w:rsidR="00B15A89">
      <w:rPr>
        <w:rFonts w:ascii="Arial" w:hAnsi="Arial" w:cs="Arial"/>
        <w:i/>
        <w:sz w:val="18"/>
        <w:szCs w:val="18"/>
      </w:rPr>
      <w:t>.1</w:t>
    </w:r>
  </w:p>
  <w:p w14:paraId="75025A37" w14:textId="77777777" w:rsidR="002B3E88" w:rsidRPr="00B15A89"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747BF660" w:rsidR="007A1066" w:rsidRPr="00B15A8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B15A89">
      <w:rPr>
        <w:rFonts w:ascii="Arial" w:hAnsi="Arial" w:cs="Arial"/>
        <w:bCs/>
        <w:i/>
        <w:iCs/>
        <w:sz w:val="18"/>
        <w:szCs w:val="18"/>
      </w:rPr>
      <w:t>UNEP/CMS/COP1</w:t>
    </w:r>
    <w:r w:rsidR="002B3E88" w:rsidRPr="00B15A89">
      <w:rPr>
        <w:rFonts w:ascii="Arial" w:hAnsi="Arial" w:cs="Arial"/>
        <w:bCs/>
        <w:i/>
        <w:iCs/>
        <w:sz w:val="18"/>
        <w:szCs w:val="18"/>
      </w:rPr>
      <w:t>4</w:t>
    </w:r>
    <w:r w:rsidRPr="00B15A89">
      <w:rPr>
        <w:rFonts w:ascii="Arial" w:hAnsi="Arial" w:cs="Arial"/>
        <w:bCs/>
        <w:i/>
        <w:iCs/>
        <w:sz w:val="18"/>
        <w:szCs w:val="18"/>
      </w:rPr>
      <w:t>/CRP</w:t>
    </w:r>
    <w:r w:rsidR="003D7AA4" w:rsidRPr="00B15A89">
      <w:rPr>
        <w:rFonts w:ascii="Arial" w:hAnsi="Arial" w:cs="Arial"/>
        <w:bCs/>
        <w:i/>
        <w:iCs/>
        <w:sz w:val="18"/>
        <w:szCs w:val="18"/>
      </w:rPr>
      <w:t>30.3.2</w:t>
    </w:r>
    <w:r w:rsidR="00B15A89" w:rsidRPr="00B15A89">
      <w:rPr>
        <w:rFonts w:ascii="Arial" w:hAnsi="Arial" w:cs="Arial"/>
        <w:bCs/>
        <w:i/>
        <w:iCs/>
        <w:sz w:val="18"/>
        <w:szCs w:val="18"/>
      </w:rPr>
      <w:t>/Rev</w:t>
    </w:r>
    <w:r w:rsidR="00B15A89">
      <w:rPr>
        <w:rFonts w:ascii="Arial" w:hAnsi="Arial" w:cs="Arial"/>
        <w:bCs/>
        <w:i/>
        <w:iCs/>
        <w:sz w:val="18"/>
        <w:szCs w:val="18"/>
      </w:rPr>
      <w:t>.1</w:t>
    </w:r>
  </w:p>
  <w:p w14:paraId="117A266F" w14:textId="77777777" w:rsidR="007A1066" w:rsidRPr="00B15A89"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1C7F7242"/>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 w15:restartNumberingAfterBreak="0">
    <w:nsid w:val="5F190484"/>
    <w:multiLevelType w:val="hybridMultilevel"/>
    <w:tmpl w:val="ED30037A"/>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617758150">
    <w:abstractNumId w:val="2"/>
  </w:num>
  <w:num w:numId="2" w16cid:durableId="664359621">
    <w:abstractNumId w:val="1"/>
  </w:num>
  <w:num w:numId="3" w16cid:durableId="203996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2DC7"/>
    <w:rsid w:val="001648A3"/>
    <w:rsid w:val="00193C07"/>
    <w:rsid w:val="001A0A76"/>
    <w:rsid w:val="002223BB"/>
    <w:rsid w:val="00273BBD"/>
    <w:rsid w:val="002B3E88"/>
    <w:rsid w:val="003D7AA4"/>
    <w:rsid w:val="003F1AD8"/>
    <w:rsid w:val="0043102F"/>
    <w:rsid w:val="00487D0A"/>
    <w:rsid w:val="00557B6E"/>
    <w:rsid w:val="005645C4"/>
    <w:rsid w:val="00583AD0"/>
    <w:rsid w:val="005D43E4"/>
    <w:rsid w:val="005D465D"/>
    <w:rsid w:val="005F0639"/>
    <w:rsid w:val="006A45AB"/>
    <w:rsid w:val="007906F0"/>
    <w:rsid w:val="007A1066"/>
    <w:rsid w:val="00A048E3"/>
    <w:rsid w:val="00A059C3"/>
    <w:rsid w:val="00B15A89"/>
    <w:rsid w:val="00B50BC0"/>
    <w:rsid w:val="00BA3240"/>
    <w:rsid w:val="00C32FF1"/>
    <w:rsid w:val="00CB22BB"/>
    <w:rsid w:val="00D82C56"/>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273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2024-02-16T17:25:00Z</dcterms:created>
  <dcterms:modified xsi:type="dcterms:W3CDTF">2024-02-16T17:25:00Z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