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51BE" w14:textId="77777777" w:rsidR="00143879" w:rsidRPr="00143879" w:rsidRDefault="00143879" w:rsidP="003D458E">
      <w:pPr>
        <w:jc w:val="center"/>
        <w:rPr>
          <w:rFonts w:ascii="Arial" w:hAnsi="Arial" w:cs="Arial"/>
          <w:b/>
          <w:bCs/>
          <w:sz w:val="22"/>
          <w:szCs w:val="22"/>
          <w:lang w:val="es-ES"/>
        </w:rPr>
      </w:pPr>
      <w:r w:rsidRPr="00143879">
        <w:rPr>
          <w:rFonts w:ascii="Arial" w:hAnsi="Arial" w:cs="Arial"/>
          <w:b/>
          <w:bCs/>
          <w:sz w:val="22"/>
          <w:szCs w:val="22"/>
          <w:lang w:val="es-ES"/>
        </w:rPr>
        <w:t xml:space="preserve">CARNE DE ANIMALES SALVAJES ACUÁTICOS </w:t>
      </w:r>
    </w:p>
    <w:p w14:paraId="4D1AA124" w14:textId="77777777" w:rsidR="00143879" w:rsidRPr="00143879" w:rsidRDefault="00143879" w:rsidP="0077761D">
      <w:pPr>
        <w:spacing w:after="120"/>
        <w:jc w:val="center"/>
        <w:rPr>
          <w:rFonts w:ascii="Arial" w:hAnsi="Arial" w:cs="Arial"/>
          <w:b/>
          <w:bCs/>
          <w:sz w:val="22"/>
          <w:szCs w:val="22"/>
          <w:lang w:val="es-ES"/>
        </w:rPr>
      </w:pPr>
      <w:r w:rsidRPr="00143879">
        <w:rPr>
          <w:rFonts w:ascii="Arial" w:hAnsi="Arial" w:cs="Arial"/>
          <w:b/>
          <w:bCs/>
          <w:sz w:val="22"/>
          <w:szCs w:val="22"/>
          <w:lang w:val="es-ES"/>
        </w:rPr>
        <w:t xml:space="preserve">Y </w:t>
      </w:r>
      <w:bookmarkStart w:id="0" w:name="_Hlk134435489"/>
      <w:r w:rsidRPr="00143879">
        <w:rPr>
          <w:rFonts w:ascii="Arial" w:hAnsi="Arial" w:cs="Arial"/>
          <w:b/>
          <w:bCs/>
          <w:sz w:val="22"/>
          <w:szCs w:val="22"/>
          <w:lang w:val="es-ES"/>
        </w:rPr>
        <w:t>PLAN DE ACCIÓN PARA ABORDAR LA CAPTURA DE CARNE DE ANIMALES SALVAJES ACUÁTICOS EN ÁFRICA OCCIDENTAL</w:t>
      </w:r>
      <w:bookmarkEnd w:id="0"/>
    </w:p>
    <w:p w14:paraId="77BA811D" w14:textId="29021E6A" w:rsidR="00D82C56" w:rsidRPr="00143879" w:rsidRDefault="005D43E4" w:rsidP="0077761D">
      <w:pPr>
        <w:spacing w:after="120"/>
        <w:jc w:val="center"/>
        <w:rPr>
          <w:rFonts w:ascii="Arial" w:hAnsi="Arial" w:cs="Arial"/>
          <w:sz w:val="22"/>
          <w:szCs w:val="22"/>
          <w:lang w:val="en-GB"/>
        </w:rPr>
      </w:pPr>
      <w:r w:rsidRPr="00143879">
        <w:rPr>
          <w:rFonts w:ascii="Arial" w:hAnsi="Arial" w:cs="Arial"/>
          <w:sz w:val="22"/>
          <w:szCs w:val="22"/>
          <w:lang w:val="en-GB"/>
        </w:rPr>
        <w:t>UNEP/CMS/COP1</w:t>
      </w:r>
      <w:r w:rsidR="001125D7" w:rsidRPr="00143879">
        <w:rPr>
          <w:rFonts w:ascii="Arial" w:hAnsi="Arial" w:cs="Arial"/>
          <w:sz w:val="22"/>
          <w:szCs w:val="22"/>
          <w:lang w:val="en-GB"/>
        </w:rPr>
        <w:t>4</w:t>
      </w:r>
      <w:r w:rsidRPr="00143879">
        <w:rPr>
          <w:rFonts w:ascii="Arial" w:hAnsi="Arial" w:cs="Arial"/>
          <w:sz w:val="22"/>
          <w:szCs w:val="22"/>
          <w:lang w:val="en-GB"/>
        </w:rPr>
        <w:t>/Doc.</w:t>
      </w:r>
      <w:r w:rsidR="00143879" w:rsidRPr="00143879">
        <w:rPr>
          <w:rFonts w:ascii="Arial" w:hAnsi="Arial" w:cs="Arial"/>
          <w:sz w:val="22"/>
          <w:szCs w:val="22"/>
          <w:lang w:val="en-GB"/>
        </w:rPr>
        <w:t>30.1.2/R</w:t>
      </w:r>
      <w:r w:rsidR="00143879">
        <w:rPr>
          <w:rFonts w:ascii="Arial" w:hAnsi="Arial" w:cs="Arial"/>
          <w:sz w:val="22"/>
          <w:szCs w:val="22"/>
          <w:lang w:val="en-GB"/>
        </w:rPr>
        <w:t>ev.3</w:t>
      </w:r>
    </w:p>
    <w:p w14:paraId="73A89732" w14:textId="28AE66FE" w:rsidR="00D82C56" w:rsidRPr="00FD2360" w:rsidRDefault="005D43E4" w:rsidP="003D458E">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CA186E">
        <w:rPr>
          <w:rFonts w:ascii="Arial" w:hAnsi="Arial" w:cs="Arial"/>
          <w:i/>
          <w:sz w:val="22"/>
          <w:szCs w:val="22"/>
          <w:lang w:val="es-ES"/>
        </w:rPr>
        <w:t>el Comité Plenario</w:t>
      </w:r>
      <w:r w:rsidRPr="00FD2360">
        <w:rPr>
          <w:rFonts w:ascii="Arial" w:hAnsi="Arial" w:cs="Arial"/>
          <w:i/>
          <w:sz w:val="22"/>
          <w:szCs w:val="22"/>
          <w:lang w:val="es-ES"/>
        </w:rPr>
        <w:t>)</w:t>
      </w:r>
    </w:p>
    <w:p w14:paraId="25BD5BFE" w14:textId="77777777" w:rsidR="00D82C56" w:rsidRPr="00FD2360" w:rsidRDefault="00D82C56" w:rsidP="003D458E">
      <w:pPr>
        <w:rPr>
          <w:rFonts w:ascii="Arial" w:hAnsi="Arial" w:cs="Arial"/>
          <w:sz w:val="22"/>
          <w:szCs w:val="22"/>
          <w:lang w:val="es-ES"/>
        </w:rPr>
      </w:pPr>
    </w:p>
    <w:p w14:paraId="6C7ED871" w14:textId="77777777" w:rsidR="00D82C56" w:rsidRPr="00FD2360" w:rsidRDefault="00D82C56" w:rsidP="003D458E">
      <w:pPr>
        <w:rPr>
          <w:rFonts w:ascii="Arial" w:hAnsi="Arial" w:cs="Arial"/>
          <w:sz w:val="22"/>
          <w:szCs w:val="22"/>
          <w:lang w:val="es-ES"/>
        </w:rPr>
      </w:pPr>
    </w:p>
    <w:p w14:paraId="59425798" w14:textId="29BC9C45" w:rsidR="00D82C56" w:rsidRPr="00FD2360" w:rsidRDefault="00FD2360" w:rsidP="003D458E">
      <w:pPr>
        <w:jc w:val="center"/>
        <w:rPr>
          <w:rFonts w:ascii="Arial" w:hAnsi="Arial" w:cs="Arial"/>
          <w:sz w:val="22"/>
          <w:szCs w:val="22"/>
          <w:lang w:val="es-ES"/>
        </w:rPr>
      </w:pPr>
      <w:r w:rsidRPr="00CA186E">
        <w:rPr>
          <w:rFonts w:ascii="Arial" w:hAnsi="Arial" w:cs="Arial"/>
          <w:sz w:val="22"/>
          <w:szCs w:val="22"/>
          <w:lang w:val="es-ES"/>
        </w:rPr>
        <w:t>PROYECTO DE RESOLUCIÓN</w:t>
      </w:r>
    </w:p>
    <w:p w14:paraId="61273576" w14:textId="77777777" w:rsidR="00D82C56" w:rsidRPr="00FD2360" w:rsidRDefault="00D82C56" w:rsidP="003D458E">
      <w:pPr>
        <w:rPr>
          <w:rFonts w:ascii="Arial" w:hAnsi="Arial" w:cs="Arial"/>
          <w:sz w:val="22"/>
          <w:szCs w:val="22"/>
          <w:lang w:val="es-ES"/>
        </w:rPr>
      </w:pPr>
    </w:p>
    <w:p w14:paraId="01E98D25" w14:textId="77777777" w:rsidR="00D503A8" w:rsidRPr="00D503A8" w:rsidRDefault="00D503A8" w:rsidP="003D458E">
      <w:pPr>
        <w:adjustRightInd w:val="0"/>
        <w:jc w:val="center"/>
        <w:textAlignment w:val="auto"/>
        <w:rPr>
          <w:rFonts w:ascii="Arial" w:eastAsia="MS Mincho" w:hAnsi="Arial" w:cs="Arial"/>
          <w:b/>
          <w:sz w:val="22"/>
          <w:szCs w:val="22"/>
          <w:lang w:val="es-ES"/>
        </w:rPr>
      </w:pPr>
      <w:r w:rsidRPr="00D503A8">
        <w:rPr>
          <w:rFonts w:ascii="Arial" w:hAnsi="Arial" w:cs="Arial"/>
          <w:b/>
          <w:bCs/>
          <w:sz w:val="22"/>
          <w:szCs w:val="22"/>
          <w:lang w:val="es-ES"/>
        </w:rPr>
        <w:t>PLAN DE ACCIÓN PARA ABORDAR LA CAPTURA DE CARNE DE ANIMALES SALVAJES ACUÁTICOS EN ÁFRICA OCCIDENTAL</w:t>
      </w:r>
    </w:p>
    <w:p w14:paraId="77D879DD" w14:textId="77777777" w:rsidR="00D503A8" w:rsidRPr="00D503A8" w:rsidRDefault="00D503A8" w:rsidP="003D458E">
      <w:pPr>
        <w:adjustRightInd w:val="0"/>
        <w:jc w:val="both"/>
        <w:textAlignment w:val="auto"/>
        <w:rPr>
          <w:rFonts w:ascii="Arial" w:eastAsia="MS Mincho" w:hAnsi="Arial" w:cs="Arial"/>
          <w:sz w:val="22"/>
          <w:szCs w:val="22"/>
          <w:lang w:val="es-ES"/>
        </w:rPr>
      </w:pPr>
    </w:p>
    <w:p w14:paraId="46C800AF" w14:textId="77777777" w:rsidR="00D503A8" w:rsidRPr="00D503A8" w:rsidRDefault="00D503A8" w:rsidP="003D458E">
      <w:pPr>
        <w:adjustRightInd w:val="0"/>
        <w:jc w:val="both"/>
        <w:textAlignment w:val="auto"/>
        <w:rPr>
          <w:rFonts w:ascii="Arial" w:eastAsia="MS Mincho" w:hAnsi="Arial" w:cs="Arial"/>
          <w:sz w:val="22"/>
          <w:szCs w:val="22"/>
          <w:lang w:val="es-ES"/>
        </w:rPr>
      </w:pPr>
    </w:p>
    <w:p w14:paraId="01CF0BA0" w14:textId="77777777" w:rsidR="00D503A8" w:rsidRPr="00D503A8" w:rsidRDefault="00D503A8" w:rsidP="003D458E">
      <w:pPr>
        <w:adjustRightInd w:val="0"/>
        <w:jc w:val="both"/>
        <w:textAlignment w:val="auto"/>
        <w:rPr>
          <w:rFonts w:ascii="Arial" w:hAnsi="Arial" w:cs="Arial"/>
          <w:iCs/>
          <w:sz w:val="22"/>
          <w:szCs w:val="22"/>
          <w:lang w:val="es-ES"/>
        </w:rPr>
      </w:pPr>
      <w:r w:rsidRPr="00D503A8">
        <w:rPr>
          <w:rFonts w:ascii="Arial" w:hAnsi="Arial" w:cs="Arial"/>
          <w:i/>
          <w:sz w:val="22"/>
          <w:szCs w:val="22"/>
          <w:lang w:val="es-ES"/>
        </w:rPr>
        <w:t xml:space="preserve">Conscientes </w:t>
      </w:r>
      <w:r w:rsidRPr="00D503A8">
        <w:rPr>
          <w:rFonts w:ascii="Arial" w:hAnsi="Arial" w:cs="Arial"/>
          <w:iCs/>
          <w:sz w:val="22"/>
          <w:szCs w:val="22"/>
          <w:lang w:val="es-ES"/>
        </w:rPr>
        <w:t xml:space="preserve">de que, en la mayor parte de África Occidental, los animales salvajes acuáticos, como los </w:t>
      </w:r>
      <w:r w:rsidRPr="00D503A8">
        <w:rPr>
          <w:rFonts w:ascii="Arial" w:eastAsiaTheme="minorHAnsi" w:hAnsi="Arial" w:cstheme="minorBidi"/>
          <w:sz w:val="22"/>
          <w:szCs w:val="22"/>
          <w:lang w:val="es-ES"/>
        </w:rPr>
        <w:t>mamíferos marinos, las tortugas marinas, los cocodrilos y los tiburones y las rayas incluidos en el Apéndice I,</w:t>
      </w:r>
      <w:r w:rsidRPr="00D503A8">
        <w:rPr>
          <w:rFonts w:ascii="Arial" w:hAnsi="Arial" w:cs="Arial"/>
          <w:iCs/>
          <w:sz w:val="22"/>
          <w:szCs w:val="22"/>
          <w:lang w:val="es-ES"/>
        </w:rPr>
        <w:t xml:space="preserve"> son cazados o capturados de manera oportunista, y de que la carne, las partes del cuerpo y/o los huevos se consumen para la subsistencia local, se utilizan por tradición o como fuente de ingresos,</w:t>
      </w:r>
    </w:p>
    <w:p w14:paraId="7EFDA8A0" w14:textId="77777777" w:rsidR="00D503A8" w:rsidRPr="00D503A8" w:rsidRDefault="00D503A8" w:rsidP="003D458E">
      <w:pPr>
        <w:adjustRightInd w:val="0"/>
        <w:jc w:val="both"/>
        <w:textAlignment w:val="auto"/>
        <w:rPr>
          <w:rFonts w:ascii="Arial" w:hAnsi="Arial" w:cs="Arial"/>
          <w:iCs/>
          <w:sz w:val="22"/>
          <w:szCs w:val="22"/>
          <w:lang w:val="es-ES"/>
        </w:rPr>
      </w:pPr>
    </w:p>
    <w:p w14:paraId="643B0879" w14:textId="77777777" w:rsidR="00D503A8" w:rsidRPr="00D503A8" w:rsidRDefault="00D503A8" w:rsidP="003D458E">
      <w:pPr>
        <w:adjustRightInd w:val="0"/>
        <w:jc w:val="both"/>
        <w:textAlignment w:val="auto"/>
        <w:rPr>
          <w:rFonts w:ascii="Arial" w:hAnsi="Arial" w:cs="Arial"/>
          <w:iCs/>
          <w:sz w:val="22"/>
          <w:szCs w:val="22"/>
          <w:lang w:val="es-ES"/>
        </w:rPr>
      </w:pPr>
      <w:r w:rsidRPr="00D503A8">
        <w:rPr>
          <w:rFonts w:ascii="Arial" w:hAnsi="Arial" w:cs="Arial"/>
          <w:i/>
          <w:sz w:val="22"/>
          <w:szCs w:val="22"/>
          <w:lang w:val="es-ES"/>
        </w:rPr>
        <w:t>Preocupados</w:t>
      </w:r>
      <w:r w:rsidRPr="00D503A8">
        <w:rPr>
          <w:rFonts w:ascii="Arial" w:hAnsi="Arial" w:cs="Arial"/>
          <w:iCs/>
          <w:sz w:val="22"/>
          <w:szCs w:val="22"/>
          <w:lang w:val="es-ES"/>
        </w:rPr>
        <w:t xml:space="preserve"> porque, a pesar de que algunas capturas de carne de animales salvajes se han mantenido durante milenios, constituyendo una importante fuente de nutrición, ingresos e identidad cultural para algunas comunidades, la explotación de la vida salvaje a niveles más altos haya provocado la explotación no sostenible y/o ilegal de algunas especies catalogadas en la CMS,</w:t>
      </w:r>
    </w:p>
    <w:p w14:paraId="47C0EE96" w14:textId="77777777" w:rsidR="00D503A8" w:rsidRPr="00D503A8" w:rsidRDefault="00D503A8" w:rsidP="003D458E">
      <w:pPr>
        <w:adjustRightInd w:val="0"/>
        <w:jc w:val="both"/>
        <w:textAlignment w:val="auto"/>
        <w:rPr>
          <w:rFonts w:ascii="Arial" w:hAnsi="Arial" w:cs="Arial"/>
          <w:i/>
          <w:sz w:val="22"/>
          <w:szCs w:val="22"/>
          <w:lang w:val="es-ES"/>
        </w:rPr>
      </w:pPr>
    </w:p>
    <w:p w14:paraId="4F8DC828" w14:textId="35378768" w:rsidR="00D503A8" w:rsidRPr="00D503A8" w:rsidRDefault="00D503A8" w:rsidP="003D458E">
      <w:pPr>
        <w:adjustRightInd w:val="0"/>
        <w:jc w:val="both"/>
        <w:textAlignment w:val="auto"/>
        <w:rPr>
          <w:rFonts w:ascii="Arial" w:hAnsi="Arial" w:cs="Arial"/>
          <w:iCs/>
          <w:sz w:val="22"/>
          <w:szCs w:val="22"/>
          <w:lang w:val="es-ES"/>
        </w:rPr>
      </w:pPr>
      <w:r w:rsidRPr="00D503A8">
        <w:rPr>
          <w:rFonts w:ascii="Arial" w:hAnsi="Arial" w:cs="Arial"/>
          <w:i/>
          <w:sz w:val="22"/>
          <w:szCs w:val="22"/>
          <w:lang w:val="es-ES"/>
        </w:rPr>
        <w:t>Recordando</w:t>
      </w:r>
      <w:r w:rsidRPr="00D503A8">
        <w:rPr>
          <w:rFonts w:ascii="Arial" w:hAnsi="Arial" w:cs="Arial"/>
          <w:iCs/>
          <w:sz w:val="22"/>
          <w:szCs w:val="22"/>
          <w:lang w:val="es-ES"/>
        </w:rPr>
        <w:t xml:space="preserve"> la Resolución 12.15</w:t>
      </w:r>
      <w:r w:rsidR="00CA186E">
        <w:rPr>
          <w:rFonts w:ascii="Arial" w:hAnsi="Arial" w:cs="Arial"/>
          <w:iCs/>
          <w:sz w:val="22"/>
          <w:szCs w:val="22"/>
          <w:lang w:val="es-ES"/>
        </w:rPr>
        <w:t xml:space="preserve"> </w:t>
      </w:r>
      <w:r w:rsidRPr="00D503A8">
        <w:rPr>
          <w:rFonts w:ascii="Arial" w:hAnsi="Arial" w:cs="Arial"/>
          <w:i/>
          <w:sz w:val="22"/>
          <w:szCs w:val="22"/>
          <w:lang w:val="es-ES"/>
        </w:rPr>
        <w:t>Carne de animales salvajes acuáticos</w:t>
      </w:r>
      <w:r w:rsidRPr="00D503A8">
        <w:rPr>
          <w:rFonts w:ascii="Arial" w:hAnsi="Arial" w:cs="Arial"/>
          <w:iCs/>
          <w:sz w:val="22"/>
          <w:szCs w:val="22"/>
          <w:lang w:val="es-ES"/>
        </w:rPr>
        <w:t>, que recomienda que haya una mayor cooperación entre las Partes, los Estados del área de distribución no-Partes y otras partes interesadas, como las organizaciones no gubernamentales, para aumentar la colaboración y el intercambio de información con el propósito de comprender y controlar mejor la captura de carne de animales salvajes acuáticos y de aumentar el conocimiento científico y la comprensión de los impactos que ejerce el uso de subsistencia de las especies catalogadas por la CMS como carne de animales salvajes acuáticos sobre la supervivencia y la regeneración de estas especies, en el contexto de las poblaciones humanas en crecimiento y las presiones sobre los recursos de la fauna salvaje y los ecosistemas,</w:t>
      </w:r>
    </w:p>
    <w:p w14:paraId="0D44944E" w14:textId="77777777" w:rsidR="00D503A8" w:rsidRPr="00D503A8" w:rsidRDefault="00D503A8" w:rsidP="003D458E">
      <w:pPr>
        <w:adjustRightInd w:val="0"/>
        <w:jc w:val="both"/>
        <w:textAlignment w:val="auto"/>
        <w:rPr>
          <w:rFonts w:ascii="Arial" w:hAnsi="Arial" w:cs="Arial"/>
          <w:iCs/>
          <w:sz w:val="22"/>
          <w:szCs w:val="22"/>
          <w:lang w:val="es-ES"/>
        </w:rPr>
      </w:pPr>
    </w:p>
    <w:p w14:paraId="1AFA2BC9" w14:textId="77777777" w:rsidR="00D503A8" w:rsidRPr="00D503A8" w:rsidRDefault="00D503A8" w:rsidP="003D458E">
      <w:pPr>
        <w:adjustRightInd w:val="0"/>
        <w:jc w:val="both"/>
        <w:textAlignment w:val="auto"/>
        <w:rPr>
          <w:rFonts w:ascii="Arial" w:hAnsi="Arial" w:cs="Arial"/>
          <w:iCs/>
          <w:sz w:val="22"/>
          <w:szCs w:val="22"/>
          <w:lang w:val="es-ES"/>
        </w:rPr>
      </w:pPr>
      <w:r w:rsidRPr="00D503A8">
        <w:rPr>
          <w:rFonts w:ascii="Arial" w:hAnsi="Arial" w:cs="Arial"/>
          <w:i/>
          <w:sz w:val="22"/>
          <w:szCs w:val="22"/>
          <w:lang w:val="es-ES"/>
        </w:rPr>
        <w:t>Recordando, además,</w:t>
      </w:r>
      <w:r w:rsidRPr="00D503A8">
        <w:rPr>
          <w:rFonts w:ascii="Arial" w:hAnsi="Arial" w:cs="Arial"/>
          <w:iCs/>
          <w:sz w:val="22"/>
          <w:szCs w:val="22"/>
          <w:lang w:val="es-ES"/>
        </w:rPr>
        <w:t xml:space="preserve"> la solicitud al Grupo de Trabajo sobre la Carne de Animales Salvajes Acuáticos del Consejo Científico para que desarrolle un Plan de Acción Subregional sobre la Carne de Animales Salvajes Acuáticos del Golfo de Guinea, para que lo consideren las Partes que son Estados del área de distribución de la región, y </w:t>
      </w:r>
      <w:r w:rsidRPr="00D503A8">
        <w:rPr>
          <w:rFonts w:ascii="Arial" w:hAnsi="Arial" w:cs="Arial"/>
          <w:i/>
          <w:sz w:val="22"/>
          <w:szCs w:val="22"/>
          <w:lang w:val="es-ES"/>
        </w:rPr>
        <w:t>agradeciendo</w:t>
      </w:r>
      <w:r w:rsidRPr="00D503A8">
        <w:rPr>
          <w:rFonts w:ascii="Arial" w:hAnsi="Arial" w:cs="Arial"/>
          <w:iCs/>
          <w:sz w:val="22"/>
          <w:szCs w:val="22"/>
          <w:lang w:val="es-ES"/>
        </w:rPr>
        <w:t xml:space="preserve"> al Grupo de Trabajo sobre la Carne de Animales Salvajes Acuáticos que cumpla este mandato,</w:t>
      </w:r>
    </w:p>
    <w:p w14:paraId="0A6E8162" w14:textId="77777777" w:rsidR="00D503A8" w:rsidRPr="00D503A8" w:rsidRDefault="00D503A8" w:rsidP="003D458E">
      <w:pPr>
        <w:adjustRightInd w:val="0"/>
        <w:jc w:val="both"/>
        <w:textAlignment w:val="auto"/>
        <w:rPr>
          <w:rFonts w:ascii="Arial" w:hAnsi="Arial" w:cs="Arial"/>
          <w:iCs/>
          <w:sz w:val="22"/>
          <w:szCs w:val="22"/>
          <w:lang w:val="es-ES"/>
        </w:rPr>
      </w:pPr>
    </w:p>
    <w:p w14:paraId="4C664B64" w14:textId="77777777" w:rsidR="00D503A8" w:rsidRPr="00D503A8" w:rsidRDefault="00D503A8" w:rsidP="003D458E">
      <w:pPr>
        <w:adjustRightInd w:val="0"/>
        <w:jc w:val="both"/>
        <w:textAlignment w:val="auto"/>
        <w:rPr>
          <w:rFonts w:ascii="Arial" w:hAnsi="Arial" w:cs="Arial"/>
          <w:iCs/>
          <w:sz w:val="22"/>
          <w:szCs w:val="22"/>
          <w:lang w:val="es-ES"/>
        </w:rPr>
      </w:pPr>
      <w:r w:rsidRPr="00D503A8">
        <w:rPr>
          <w:rFonts w:ascii="Arial" w:hAnsi="Arial" w:cs="Arial"/>
          <w:i/>
          <w:iCs/>
          <w:sz w:val="22"/>
          <w:szCs w:val="22"/>
          <w:lang w:val="es-ES"/>
        </w:rPr>
        <w:t>Reconociendo</w:t>
      </w:r>
      <w:r w:rsidRPr="00D503A8">
        <w:rPr>
          <w:rFonts w:ascii="Arial" w:hAnsi="Arial" w:cs="Arial"/>
          <w:sz w:val="22"/>
          <w:szCs w:val="22"/>
          <w:lang w:val="es-ES"/>
        </w:rPr>
        <w:t xml:space="preserve"> el apoyo de </w:t>
      </w:r>
      <w:proofErr w:type="spellStart"/>
      <w:r w:rsidRPr="00D503A8">
        <w:rPr>
          <w:rFonts w:ascii="Arial" w:hAnsi="Arial" w:cs="Arial"/>
          <w:sz w:val="22"/>
          <w:szCs w:val="22"/>
          <w:lang w:val="es-ES"/>
        </w:rPr>
        <w:t>OceanCare</w:t>
      </w:r>
      <w:proofErr w:type="spellEnd"/>
      <w:r w:rsidRPr="00D503A8">
        <w:rPr>
          <w:rFonts w:ascii="Arial" w:hAnsi="Arial" w:cs="Arial"/>
          <w:sz w:val="22"/>
          <w:szCs w:val="22"/>
          <w:lang w:val="es-ES"/>
        </w:rPr>
        <w:t xml:space="preserve"> para el cumplimiento de los mandatos de la COP relacionados con la carne de animales salvajes acuáticos, incluida la dirección del proceso de diálogo con los gobiernos de los Estados del área de distribución para culminar este Plan de Acción,</w:t>
      </w:r>
    </w:p>
    <w:p w14:paraId="0B671D6A" w14:textId="77777777" w:rsidR="00D503A8" w:rsidRPr="00D503A8" w:rsidRDefault="00D503A8" w:rsidP="003D458E">
      <w:pPr>
        <w:adjustRightInd w:val="0"/>
        <w:jc w:val="both"/>
        <w:textAlignment w:val="auto"/>
        <w:rPr>
          <w:rFonts w:ascii="Arial" w:hAnsi="Arial" w:cs="Arial"/>
          <w:iCs/>
          <w:sz w:val="22"/>
          <w:szCs w:val="22"/>
          <w:lang w:val="es-ES"/>
        </w:rPr>
      </w:pPr>
    </w:p>
    <w:p w14:paraId="0DE01612" w14:textId="77777777" w:rsidR="00D503A8" w:rsidRPr="00D503A8" w:rsidRDefault="00D503A8" w:rsidP="003D458E">
      <w:pPr>
        <w:adjustRightInd w:val="0"/>
        <w:jc w:val="both"/>
        <w:textAlignment w:val="auto"/>
        <w:rPr>
          <w:rFonts w:ascii="Arial" w:hAnsi="Arial" w:cs="Arial"/>
          <w:iCs/>
          <w:sz w:val="22"/>
          <w:szCs w:val="22"/>
          <w:lang w:val="es-ES"/>
        </w:rPr>
      </w:pPr>
      <w:r w:rsidRPr="00D503A8">
        <w:rPr>
          <w:rFonts w:ascii="Arial" w:hAnsi="Arial" w:cs="Arial"/>
          <w:i/>
          <w:sz w:val="22"/>
          <w:szCs w:val="22"/>
          <w:lang w:val="es-ES"/>
        </w:rPr>
        <w:t>Destacando</w:t>
      </w:r>
      <w:r w:rsidRPr="00D503A8">
        <w:rPr>
          <w:rFonts w:ascii="Arial" w:hAnsi="Arial" w:cs="Arial"/>
          <w:iCs/>
          <w:sz w:val="22"/>
          <w:szCs w:val="22"/>
          <w:lang w:val="es-ES"/>
        </w:rPr>
        <w:t xml:space="preserve"> los vínculos existentes entre el Plan de Acción y otros instrumentos de la CMS en la región, en particular, el Memorando de Entendimiento sobre las Medidas de Conservación de las Tortugas Marinas de la Costa Atlántica de África, el Memorando de Entendimiento sobre la Conservación del Manatí y los Pequeños Cetáceos de África Occidental y </w:t>
      </w:r>
      <w:proofErr w:type="spellStart"/>
      <w:r w:rsidRPr="00D503A8">
        <w:rPr>
          <w:rFonts w:ascii="Arial" w:hAnsi="Arial" w:cs="Arial"/>
          <w:iCs/>
          <w:sz w:val="22"/>
          <w:szCs w:val="22"/>
          <w:lang w:val="es-ES"/>
        </w:rPr>
        <w:t>Macaronesia</w:t>
      </w:r>
      <w:proofErr w:type="spellEnd"/>
      <w:r w:rsidRPr="00D503A8">
        <w:rPr>
          <w:rFonts w:ascii="Arial" w:hAnsi="Arial" w:cs="Arial"/>
          <w:iCs/>
          <w:sz w:val="22"/>
          <w:szCs w:val="22"/>
          <w:lang w:val="es-ES"/>
        </w:rPr>
        <w:t>, y el Plan de Acción para la Especie Única del Delfín Jorobado del Atlántico (</w:t>
      </w:r>
      <w:r w:rsidRPr="00D503A8">
        <w:rPr>
          <w:rFonts w:ascii="Arial" w:hAnsi="Arial" w:cs="Arial"/>
          <w:bCs/>
          <w:i/>
          <w:iCs/>
          <w:sz w:val="22"/>
          <w:szCs w:val="22"/>
          <w:lang w:val="es-ES"/>
        </w:rPr>
        <w:t xml:space="preserve">Sousa </w:t>
      </w:r>
      <w:proofErr w:type="spellStart"/>
      <w:r w:rsidRPr="00D503A8">
        <w:rPr>
          <w:rFonts w:ascii="Arial" w:hAnsi="Arial" w:cs="Arial"/>
          <w:bCs/>
          <w:i/>
          <w:iCs/>
          <w:sz w:val="22"/>
          <w:szCs w:val="22"/>
          <w:lang w:val="es-ES"/>
        </w:rPr>
        <w:t>teuszii</w:t>
      </w:r>
      <w:proofErr w:type="spellEnd"/>
      <w:r w:rsidRPr="00D503A8">
        <w:rPr>
          <w:rFonts w:ascii="Arial" w:hAnsi="Arial" w:cs="Arial"/>
          <w:iCs/>
          <w:sz w:val="22"/>
          <w:szCs w:val="22"/>
          <w:lang w:val="es-ES"/>
        </w:rPr>
        <w:t>),</w:t>
      </w:r>
    </w:p>
    <w:p w14:paraId="68BB6A9B" w14:textId="77777777" w:rsidR="00D503A8" w:rsidRPr="00D503A8" w:rsidRDefault="00D503A8" w:rsidP="003D458E">
      <w:pPr>
        <w:adjustRightInd w:val="0"/>
        <w:jc w:val="both"/>
        <w:textAlignment w:val="auto"/>
        <w:rPr>
          <w:rFonts w:ascii="Arial" w:hAnsi="Arial" w:cs="Arial"/>
          <w:iCs/>
          <w:sz w:val="22"/>
          <w:szCs w:val="22"/>
          <w:lang w:val="es-ES"/>
        </w:rPr>
      </w:pPr>
    </w:p>
    <w:p w14:paraId="52620CD2" w14:textId="77777777" w:rsidR="0077761D" w:rsidRDefault="0077761D" w:rsidP="003D458E">
      <w:pPr>
        <w:adjustRightInd w:val="0"/>
        <w:jc w:val="both"/>
        <w:textAlignment w:val="auto"/>
        <w:rPr>
          <w:rFonts w:ascii="Arial" w:hAnsi="Arial" w:cs="Arial"/>
          <w:i/>
          <w:sz w:val="22"/>
          <w:szCs w:val="22"/>
          <w:lang w:val="es-ES"/>
        </w:rPr>
      </w:pPr>
    </w:p>
    <w:p w14:paraId="78F5B3BE" w14:textId="7A315A4C" w:rsidR="00D503A8" w:rsidRPr="00D503A8" w:rsidRDefault="00D503A8" w:rsidP="003D458E">
      <w:pPr>
        <w:adjustRightInd w:val="0"/>
        <w:jc w:val="both"/>
        <w:textAlignment w:val="auto"/>
        <w:rPr>
          <w:rFonts w:ascii="Arial" w:hAnsi="Arial" w:cs="Arial"/>
          <w:iCs/>
          <w:sz w:val="22"/>
          <w:szCs w:val="22"/>
          <w:lang w:val="es-ES"/>
        </w:rPr>
      </w:pPr>
      <w:r w:rsidRPr="00D503A8">
        <w:rPr>
          <w:rFonts w:ascii="Arial" w:hAnsi="Arial" w:cs="Arial"/>
          <w:i/>
          <w:sz w:val="22"/>
          <w:szCs w:val="22"/>
          <w:lang w:val="es-ES"/>
        </w:rPr>
        <w:lastRenderedPageBreak/>
        <w:t>Destacando, asimismo,</w:t>
      </w:r>
      <w:r w:rsidRPr="00D503A8">
        <w:rPr>
          <w:rFonts w:ascii="Arial" w:hAnsi="Arial" w:cs="Arial"/>
          <w:iCs/>
          <w:sz w:val="22"/>
          <w:szCs w:val="22"/>
          <w:lang w:val="es-ES"/>
        </w:rPr>
        <w:t xml:space="preserve"> el vínculo con la labor del Convenio sobre la carne de animales salvajes terrestres y aviares, y con las cuestiones más amplias de la explotación ilegal y no sostenible de las especies catalogadas por la CMS, </w:t>
      </w:r>
    </w:p>
    <w:p w14:paraId="04FD6E66" w14:textId="77777777" w:rsidR="00D503A8" w:rsidRPr="00D503A8" w:rsidRDefault="00D503A8" w:rsidP="003D458E">
      <w:pPr>
        <w:adjustRightInd w:val="0"/>
        <w:jc w:val="both"/>
        <w:textAlignment w:val="auto"/>
        <w:rPr>
          <w:rFonts w:ascii="Arial" w:hAnsi="Arial" w:cs="Arial"/>
          <w:iCs/>
          <w:sz w:val="22"/>
          <w:szCs w:val="22"/>
          <w:lang w:val="es-ES"/>
        </w:rPr>
      </w:pPr>
    </w:p>
    <w:p w14:paraId="305B7A4F" w14:textId="77777777" w:rsidR="00D503A8" w:rsidRPr="00D503A8" w:rsidRDefault="00D503A8" w:rsidP="003D458E">
      <w:pPr>
        <w:adjustRightInd w:val="0"/>
        <w:jc w:val="both"/>
        <w:textAlignment w:val="auto"/>
        <w:rPr>
          <w:rFonts w:ascii="Arial" w:hAnsi="Arial" w:cs="Arial"/>
          <w:sz w:val="22"/>
          <w:szCs w:val="22"/>
          <w:lang w:val="es-ES"/>
        </w:rPr>
      </w:pPr>
      <w:r w:rsidRPr="00D503A8">
        <w:rPr>
          <w:rFonts w:ascii="Arial" w:hAnsi="Arial" w:cs="Arial"/>
          <w:i/>
          <w:iCs/>
          <w:sz w:val="22"/>
          <w:szCs w:val="22"/>
          <w:lang w:val="es-ES"/>
        </w:rPr>
        <w:t>Afirmando</w:t>
      </w:r>
      <w:r w:rsidRPr="00D503A8">
        <w:rPr>
          <w:rFonts w:ascii="Arial" w:hAnsi="Arial" w:cs="Arial"/>
          <w:sz w:val="22"/>
          <w:szCs w:val="22"/>
          <w:lang w:val="es-ES"/>
        </w:rPr>
        <w:t xml:space="preserve"> la necesidad de abordar la amenaza que representa para las especies catalogadas por la CMS su uso como carne de animales salvajes acuáticos en estrecha colaboración con el Convenio de Cooperación para la Protección y el Desarrollo del Medioambiente Marino y Costero de la Región de África Occidental y Central (Convenio de Abiyán),</w:t>
      </w:r>
    </w:p>
    <w:p w14:paraId="406FE65E" w14:textId="77777777" w:rsidR="00D503A8" w:rsidRPr="00D503A8" w:rsidRDefault="00D503A8" w:rsidP="003D458E">
      <w:pPr>
        <w:adjustRightInd w:val="0"/>
        <w:jc w:val="both"/>
        <w:textAlignment w:val="auto"/>
        <w:rPr>
          <w:rFonts w:ascii="Arial" w:hAnsi="Arial" w:cs="Arial"/>
          <w:sz w:val="22"/>
          <w:szCs w:val="22"/>
          <w:lang w:val="es-ES"/>
        </w:rPr>
      </w:pPr>
    </w:p>
    <w:p w14:paraId="1FE56A6F" w14:textId="77777777" w:rsidR="00D503A8" w:rsidRPr="00D503A8" w:rsidRDefault="00D503A8" w:rsidP="003D458E">
      <w:pPr>
        <w:adjustRightInd w:val="0"/>
        <w:jc w:val="both"/>
        <w:textAlignment w:val="auto"/>
        <w:rPr>
          <w:rFonts w:ascii="Arial" w:hAnsi="Arial" w:cs="Arial"/>
          <w:sz w:val="22"/>
          <w:szCs w:val="22"/>
          <w:lang w:val="es-ES"/>
        </w:rPr>
      </w:pPr>
    </w:p>
    <w:p w14:paraId="3F30E656" w14:textId="77777777" w:rsidR="00D503A8" w:rsidRPr="00D503A8" w:rsidRDefault="00D503A8" w:rsidP="003D458E">
      <w:pPr>
        <w:adjustRightInd w:val="0"/>
        <w:jc w:val="center"/>
        <w:textAlignment w:val="auto"/>
        <w:rPr>
          <w:rFonts w:ascii="Arial" w:hAnsi="Arial" w:cs="Arial"/>
          <w:i/>
          <w:sz w:val="22"/>
          <w:szCs w:val="22"/>
          <w:lang w:val="es-ES"/>
        </w:rPr>
      </w:pPr>
      <w:r w:rsidRPr="00D503A8">
        <w:rPr>
          <w:rFonts w:ascii="Arial" w:hAnsi="Arial" w:cs="Arial"/>
          <w:i/>
          <w:sz w:val="22"/>
          <w:szCs w:val="22"/>
          <w:lang w:val="es-ES"/>
        </w:rPr>
        <w:t>La Conferencia de las Partes de la</w:t>
      </w:r>
    </w:p>
    <w:p w14:paraId="52014C0E" w14:textId="77777777" w:rsidR="00D503A8" w:rsidRPr="00D503A8" w:rsidRDefault="00D503A8" w:rsidP="003D458E">
      <w:pPr>
        <w:adjustRightInd w:val="0"/>
        <w:jc w:val="center"/>
        <w:textAlignment w:val="auto"/>
        <w:rPr>
          <w:rFonts w:ascii="Arial" w:hAnsi="Arial" w:cs="Arial"/>
          <w:i/>
          <w:sz w:val="22"/>
          <w:szCs w:val="22"/>
          <w:lang w:val="es-ES"/>
        </w:rPr>
      </w:pPr>
      <w:r w:rsidRPr="00D503A8">
        <w:rPr>
          <w:rFonts w:ascii="Arial" w:hAnsi="Arial" w:cs="Arial"/>
          <w:i/>
          <w:sz w:val="22"/>
          <w:szCs w:val="22"/>
          <w:lang w:val="es-ES"/>
        </w:rPr>
        <w:t>Convención sobre la Conservación de las Especies Migratorias de Animales Salvajes</w:t>
      </w:r>
    </w:p>
    <w:p w14:paraId="16CF949F" w14:textId="77777777" w:rsidR="00D503A8" w:rsidRPr="00D503A8" w:rsidRDefault="00D503A8" w:rsidP="003D458E">
      <w:pPr>
        <w:adjustRightInd w:val="0"/>
        <w:jc w:val="both"/>
        <w:textAlignment w:val="auto"/>
        <w:rPr>
          <w:rFonts w:ascii="Arial" w:hAnsi="Arial" w:cs="Arial"/>
          <w:sz w:val="22"/>
          <w:szCs w:val="22"/>
          <w:lang w:val="es-ES"/>
        </w:rPr>
      </w:pPr>
    </w:p>
    <w:p w14:paraId="348561F1" w14:textId="77777777" w:rsidR="00D503A8" w:rsidRPr="00D503A8" w:rsidRDefault="00D503A8" w:rsidP="003D458E">
      <w:pPr>
        <w:adjustRightInd w:val="0"/>
        <w:jc w:val="both"/>
        <w:textAlignment w:val="auto"/>
        <w:rPr>
          <w:rFonts w:ascii="Arial" w:hAnsi="Arial" w:cs="Arial"/>
          <w:sz w:val="22"/>
          <w:szCs w:val="22"/>
          <w:lang w:val="es-ES"/>
        </w:rPr>
      </w:pPr>
    </w:p>
    <w:p w14:paraId="7C0B2DA5" w14:textId="2532E2ED" w:rsidR="00D503A8" w:rsidRPr="00D503A8" w:rsidRDefault="00D503A8" w:rsidP="003D458E">
      <w:pPr>
        <w:widowControl/>
        <w:numPr>
          <w:ilvl w:val="0"/>
          <w:numId w:val="1"/>
        </w:numPr>
        <w:autoSpaceDE/>
        <w:autoSpaceDN/>
        <w:adjustRightInd w:val="0"/>
        <w:ind w:left="567" w:hanging="567"/>
        <w:jc w:val="both"/>
        <w:textAlignment w:val="auto"/>
        <w:rPr>
          <w:rFonts w:ascii="Arial" w:hAnsi="Arial" w:cs="Arial"/>
          <w:sz w:val="22"/>
          <w:szCs w:val="22"/>
          <w:lang w:val="es-ES"/>
        </w:rPr>
      </w:pPr>
      <w:r w:rsidRPr="00D503A8">
        <w:rPr>
          <w:rFonts w:ascii="Arial" w:hAnsi="Arial" w:cs="Arial"/>
          <w:i/>
          <w:sz w:val="22"/>
          <w:szCs w:val="22"/>
          <w:lang w:val="es-ES"/>
        </w:rPr>
        <w:t>Aprueba</w:t>
      </w:r>
      <w:r w:rsidRPr="00D503A8">
        <w:rPr>
          <w:rFonts w:ascii="Arial" w:hAnsi="Arial" w:cs="Arial"/>
          <w:sz w:val="22"/>
          <w:szCs w:val="22"/>
          <w:lang w:val="es-ES"/>
        </w:rPr>
        <w:t xml:space="preserve"> el Plan de Acción para abordar la Captura de Carne de Animales Salvajes Acuáticos en África Occidental contenido en el Anexo, con el objetivo de lograr avances tangibles hacia la gestión sostenible de la captura de carne de animales salvajes acuáticos en África Occidental y de garantizar el estado de conservación de todas las especies animales afectadas que están catalogadas por la CMS;</w:t>
      </w:r>
    </w:p>
    <w:p w14:paraId="53E2FDA3" w14:textId="77777777" w:rsidR="00D503A8" w:rsidRPr="00D503A8" w:rsidRDefault="00D503A8" w:rsidP="003D458E">
      <w:pPr>
        <w:adjustRightInd w:val="0"/>
        <w:ind w:left="567" w:hanging="567"/>
        <w:jc w:val="both"/>
        <w:textAlignment w:val="auto"/>
        <w:rPr>
          <w:rFonts w:ascii="Arial" w:hAnsi="Arial" w:cs="Arial"/>
          <w:sz w:val="22"/>
          <w:szCs w:val="22"/>
          <w:lang w:val="es-ES"/>
        </w:rPr>
      </w:pPr>
    </w:p>
    <w:p w14:paraId="4629493B" w14:textId="77777777" w:rsidR="00D503A8" w:rsidRPr="00D503A8" w:rsidRDefault="00D503A8" w:rsidP="003D458E">
      <w:pPr>
        <w:widowControl/>
        <w:numPr>
          <w:ilvl w:val="0"/>
          <w:numId w:val="1"/>
        </w:numPr>
        <w:autoSpaceDE/>
        <w:autoSpaceDN/>
        <w:adjustRightInd w:val="0"/>
        <w:ind w:left="567" w:hanging="567"/>
        <w:jc w:val="both"/>
        <w:textAlignment w:val="auto"/>
        <w:rPr>
          <w:rFonts w:ascii="Arial" w:hAnsi="Arial" w:cs="Arial"/>
          <w:sz w:val="22"/>
          <w:szCs w:val="22"/>
          <w:lang w:val="es-ES"/>
        </w:rPr>
      </w:pPr>
      <w:r w:rsidRPr="00D503A8">
        <w:rPr>
          <w:rFonts w:ascii="Arial" w:hAnsi="Arial" w:cs="Arial"/>
          <w:i/>
          <w:sz w:val="22"/>
          <w:szCs w:val="22"/>
          <w:lang w:val="es-ES"/>
        </w:rPr>
        <w:t xml:space="preserve">Insta a las </w:t>
      </w:r>
      <w:r w:rsidRPr="00D503A8">
        <w:rPr>
          <w:rFonts w:ascii="Arial" w:hAnsi="Arial" w:cs="Arial"/>
          <w:iCs/>
          <w:sz w:val="22"/>
          <w:szCs w:val="22"/>
          <w:lang w:val="es-ES"/>
        </w:rPr>
        <w:t xml:space="preserve">Partes e </w:t>
      </w:r>
      <w:r w:rsidRPr="00D503A8">
        <w:rPr>
          <w:rFonts w:ascii="Arial" w:hAnsi="Arial" w:cs="Arial"/>
          <w:i/>
          <w:sz w:val="22"/>
          <w:szCs w:val="22"/>
          <w:lang w:val="es-ES"/>
        </w:rPr>
        <w:t>invita</w:t>
      </w:r>
      <w:r w:rsidRPr="00D503A8">
        <w:rPr>
          <w:rFonts w:ascii="Arial" w:hAnsi="Arial" w:cs="Arial"/>
          <w:iCs/>
          <w:sz w:val="22"/>
          <w:szCs w:val="22"/>
          <w:lang w:val="es-ES"/>
        </w:rPr>
        <w:t xml:space="preserve"> a los Estados del área de distribución no-Partes a aplicar sus disposiciones pertinentes</w:t>
      </w:r>
      <w:r w:rsidRPr="00D503A8">
        <w:rPr>
          <w:rFonts w:ascii="Arial" w:hAnsi="Arial" w:cs="Arial"/>
          <w:sz w:val="22"/>
          <w:szCs w:val="22"/>
          <w:lang w:val="es-ES"/>
        </w:rPr>
        <w:t>;</w:t>
      </w:r>
    </w:p>
    <w:p w14:paraId="38EB2F4E" w14:textId="77777777" w:rsidR="00D503A8" w:rsidRPr="00D503A8" w:rsidRDefault="00D503A8" w:rsidP="003D458E">
      <w:pPr>
        <w:adjustRightInd w:val="0"/>
        <w:ind w:left="567"/>
        <w:jc w:val="both"/>
        <w:textAlignment w:val="auto"/>
        <w:rPr>
          <w:rFonts w:ascii="Arial" w:hAnsi="Arial" w:cs="Arial"/>
          <w:sz w:val="22"/>
          <w:szCs w:val="22"/>
          <w:lang w:val="es-ES"/>
        </w:rPr>
      </w:pPr>
    </w:p>
    <w:p w14:paraId="31829921" w14:textId="77777777" w:rsidR="00D503A8" w:rsidRPr="00D503A8" w:rsidRDefault="00D503A8" w:rsidP="003D458E">
      <w:pPr>
        <w:widowControl/>
        <w:numPr>
          <w:ilvl w:val="0"/>
          <w:numId w:val="1"/>
        </w:numPr>
        <w:autoSpaceDE/>
        <w:autoSpaceDN/>
        <w:adjustRightInd w:val="0"/>
        <w:ind w:left="567" w:hanging="567"/>
        <w:jc w:val="both"/>
        <w:textAlignment w:val="auto"/>
        <w:rPr>
          <w:rFonts w:ascii="Arial" w:hAnsi="Arial" w:cs="Arial"/>
          <w:sz w:val="22"/>
          <w:szCs w:val="22"/>
          <w:lang w:val="es-ES"/>
        </w:rPr>
      </w:pPr>
      <w:r w:rsidRPr="00D503A8">
        <w:rPr>
          <w:rFonts w:ascii="Arial" w:hAnsi="Arial" w:cs="Arial"/>
          <w:i/>
          <w:iCs/>
          <w:sz w:val="22"/>
          <w:szCs w:val="22"/>
          <w:lang w:val="es-ES"/>
        </w:rPr>
        <w:t>Solicita a las</w:t>
      </w:r>
      <w:r w:rsidRPr="00D503A8">
        <w:rPr>
          <w:rFonts w:ascii="Arial" w:hAnsi="Arial" w:cs="Arial"/>
          <w:sz w:val="22"/>
          <w:szCs w:val="22"/>
          <w:lang w:val="es-ES"/>
        </w:rPr>
        <w:t xml:space="preserve"> Partes que hagan lo posible por colaborar activamente con las partes interesadas gubernamentales y no gubernamentales de cada país del área de distribución para maximizar el uso eficaz de los recursos y la experiencia, con el propósito de garantizar que los resultados de las actividades de investigación y sensibilización puedan contribuir al diseño y la aplicación de una política y una gestión eficaces;</w:t>
      </w:r>
    </w:p>
    <w:p w14:paraId="7A396000" w14:textId="77777777" w:rsidR="00D503A8" w:rsidRPr="00D503A8" w:rsidRDefault="00D503A8" w:rsidP="003D458E">
      <w:pPr>
        <w:adjustRightInd w:val="0"/>
        <w:ind w:left="567"/>
        <w:jc w:val="both"/>
        <w:textAlignment w:val="auto"/>
        <w:rPr>
          <w:rFonts w:ascii="Arial" w:hAnsi="Arial" w:cs="Arial"/>
          <w:sz w:val="22"/>
          <w:szCs w:val="22"/>
          <w:lang w:val="es-ES"/>
        </w:rPr>
      </w:pPr>
    </w:p>
    <w:p w14:paraId="0624D81D" w14:textId="77777777" w:rsidR="00D503A8" w:rsidRPr="00D503A8" w:rsidRDefault="00D503A8" w:rsidP="003D458E">
      <w:pPr>
        <w:widowControl/>
        <w:numPr>
          <w:ilvl w:val="0"/>
          <w:numId w:val="1"/>
        </w:numPr>
        <w:autoSpaceDE/>
        <w:autoSpaceDN/>
        <w:adjustRightInd w:val="0"/>
        <w:ind w:left="567" w:hanging="567"/>
        <w:jc w:val="both"/>
        <w:textAlignment w:val="auto"/>
        <w:rPr>
          <w:rFonts w:ascii="Arial" w:hAnsi="Arial" w:cs="Arial"/>
          <w:sz w:val="22"/>
          <w:szCs w:val="22"/>
          <w:lang w:val="es-ES"/>
        </w:rPr>
      </w:pPr>
      <w:r w:rsidRPr="00D503A8">
        <w:rPr>
          <w:rFonts w:ascii="Arial" w:hAnsi="Arial" w:cs="Arial"/>
          <w:i/>
          <w:iCs/>
          <w:sz w:val="22"/>
          <w:szCs w:val="22"/>
          <w:lang w:val="es-ES"/>
        </w:rPr>
        <w:t>Solicita, asimismo,</w:t>
      </w:r>
      <w:r w:rsidRPr="00D503A8">
        <w:rPr>
          <w:rFonts w:ascii="Arial" w:hAnsi="Arial" w:cs="Arial"/>
          <w:sz w:val="22"/>
          <w:szCs w:val="22"/>
          <w:lang w:val="es-ES"/>
        </w:rPr>
        <w:t xml:space="preserve"> a las Partes y a otras partes interesadas que faciliten la colaboración regional entre las partes interesadas de toda el área de aplicación del Plan de Acción, para garantizar que el conocimiento y la experiencia obtenidos en un país puedan utilizarse para ejecutar en otro las acciones de conservación de manera más eficaz;</w:t>
      </w:r>
    </w:p>
    <w:p w14:paraId="4E838A9B" w14:textId="77777777" w:rsidR="00D503A8" w:rsidRPr="00D503A8" w:rsidRDefault="00D503A8" w:rsidP="003D458E">
      <w:pPr>
        <w:adjustRightInd w:val="0"/>
        <w:ind w:left="567"/>
        <w:jc w:val="both"/>
        <w:textAlignment w:val="auto"/>
        <w:rPr>
          <w:rFonts w:ascii="Arial" w:hAnsi="Arial" w:cs="Arial"/>
          <w:sz w:val="22"/>
          <w:szCs w:val="22"/>
          <w:lang w:val="es-ES"/>
        </w:rPr>
      </w:pPr>
    </w:p>
    <w:p w14:paraId="27692D62" w14:textId="77777777" w:rsidR="00D503A8" w:rsidRPr="00D503A8" w:rsidRDefault="00D503A8" w:rsidP="003D458E">
      <w:pPr>
        <w:widowControl/>
        <w:numPr>
          <w:ilvl w:val="0"/>
          <w:numId w:val="1"/>
        </w:numPr>
        <w:autoSpaceDE/>
        <w:autoSpaceDN/>
        <w:adjustRightInd w:val="0"/>
        <w:ind w:left="567" w:hanging="567"/>
        <w:jc w:val="both"/>
        <w:textAlignment w:val="auto"/>
        <w:rPr>
          <w:rFonts w:ascii="Arial" w:hAnsi="Arial" w:cs="Arial"/>
          <w:iCs/>
          <w:sz w:val="22"/>
          <w:szCs w:val="22"/>
          <w:lang w:val="es-ES"/>
        </w:rPr>
      </w:pPr>
      <w:r w:rsidRPr="00D503A8">
        <w:rPr>
          <w:rFonts w:ascii="Arial" w:hAnsi="Arial" w:cs="Arial"/>
          <w:i/>
          <w:sz w:val="22"/>
          <w:szCs w:val="22"/>
          <w:lang w:val="es-ES"/>
        </w:rPr>
        <w:t xml:space="preserve">Alienta a las </w:t>
      </w:r>
      <w:r w:rsidRPr="00D503A8">
        <w:rPr>
          <w:rFonts w:ascii="Arial" w:hAnsi="Arial" w:cs="Arial"/>
          <w:iCs/>
          <w:sz w:val="22"/>
          <w:szCs w:val="22"/>
          <w:lang w:val="es-ES"/>
        </w:rPr>
        <w:t>Partes y a los Estados no- Partes a prestar apoyo técnico y/o financiero a las actividades descritas en el Plan de Acción;</w:t>
      </w:r>
    </w:p>
    <w:p w14:paraId="08FED09D" w14:textId="77777777" w:rsidR="00D503A8" w:rsidRPr="00D503A8" w:rsidRDefault="00D503A8" w:rsidP="003D458E">
      <w:pPr>
        <w:adjustRightInd w:val="0"/>
        <w:ind w:left="567"/>
        <w:jc w:val="both"/>
        <w:textAlignment w:val="auto"/>
        <w:rPr>
          <w:rFonts w:ascii="Arial" w:hAnsi="Arial" w:cs="Arial"/>
          <w:iCs/>
          <w:sz w:val="22"/>
          <w:szCs w:val="22"/>
          <w:lang w:val="es-ES"/>
        </w:rPr>
      </w:pPr>
    </w:p>
    <w:p w14:paraId="3295B981" w14:textId="77777777" w:rsidR="00D503A8" w:rsidRPr="00D503A8" w:rsidRDefault="00D503A8" w:rsidP="003D458E">
      <w:pPr>
        <w:widowControl/>
        <w:numPr>
          <w:ilvl w:val="0"/>
          <w:numId w:val="1"/>
        </w:numPr>
        <w:autoSpaceDE/>
        <w:autoSpaceDN/>
        <w:adjustRightInd w:val="0"/>
        <w:ind w:left="567" w:hanging="567"/>
        <w:jc w:val="both"/>
        <w:textAlignment w:val="auto"/>
        <w:rPr>
          <w:rFonts w:ascii="Arial" w:hAnsi="Arial" w:cs="Arial"/>
          <w:iCs/>
          <w:sz w:val="22"/>
          <w:szCs w:val="22"/>
          <w:lang w:val="es-ES"/>
        </w:rPr>
      </w:pPr>
      <w:r w:rsidRPr="00D503A8">
        <w:rPr>
          <w:rFonts w:ascii="Arial" w:hAnsi="Arial" w:cs="Arial"/>
          <w:i/>
          <w:sz w:val="22"/>
          <w:szCs w:val="22"/>
          <w:lang w:val="es-ES"/>
        </w:rPr>
        <w:t xml:space="preserve">Invita </w:t>
      </w:r>
      <w:r w:rsidRPr="00D503A8">
        <w:rPr>
          <w:rFonts w:ascii="Arial" w:hAnsi="Arial" w:cs="Arial"/>
          <w:iCs/>
          <w:sz w:val="22"/>
          <w:szCs w:val="22"/>
          <w:lang w:val="es-ES"/>
        </w:rPr>
        <w:t xml:space="preserve">a otros marcos intergubernamentales relevantes, en particular, </w:t>
      </w:r>
      <w:r w:rsidRPr="00D503A8">
        <w:rPr>
          <w:rFonts w:ascii="Arial" w:hAnsi="Arial" w:cs="Arial"/>
          <w:sz w:val="22"/>
          <w:szCs w:val="22"/>
          <w:lang w:val="es-ES"/>
        </w:rPr>
        <w:t xml:space="preserve">al Convenio de Cooperación para la Protección y el Desarrollo del Medioambiente Marino y Costero de la Región de África Occidental y Central (Convenio de Abiyán) y la Unión Africana </w:t>
      </w:r>
      <w:r w:rsidRPr="00D503A8">
        <w:rPr>
          <w:rFonts w:ascii="Arial" w:hAnsi="Arial" w:cs="Arial"/>
          <w:iCs/>
          <w:sz w:val="22"/>
          <w:szCs w:val="22"/>
          <w:lang w:val="es-ES"/>
        </w:rPr>
        <w:t xml:space="preserve">a que tengan en cuenta las disposiciones del Plan de Acción en la consideración de sus actividades y a que apoyen la ejecución de las actividades relevantes del Plan de Acción que tengan lugar dentro de su mandato, cuando proceda; </w:t>
      </w:r>
    </w:p>
    <w:p w14:paraId="34FA529F" w14:textId="77777777" w:rsidR="00D503A8" w:rsidRPr="00D503A8" w:rsidRDefault="00D503A8" w:rsidP="003D458E">
      <w:pPr>
        <w:adjustRightInd w:val="0"/>
        <w:ind w:left="567"/>
        <w:jc w:val="both"/>
        <w:textAlignment w:val="auto"/>
        <w:rPr>
          <w:rFonts w:ascii="Arial" w:hAnsi="Arial" w:cs="Arial"/>
          <w:iCs/>
          <w:sz w:val="22"/>
          <w:szCs w:val="22"/>
          <w:lang w:val="es-ES"/>
        </w:rPr>
      </w:pPr>
    </w:p>
    <w:p w14:paraId="02405F8E" w14:textId="77777777" w:rsidR="00D503A8" w:rsidRPr="00D503A8" w:rsidRDefault="00D503A8" w:rsidP="003D458E">
      <w:pPr>
        <w:widowControl/>
        <w:numPr>
          <w:ilvl w:val="0"/>
          <w:numId w:val="1"/>
        </w:numPr>
        <w:autoSpaceDE/>
        <w:autoSpaceDN/>
        <w:adjustRightInd w:val="0"/>
        <w:ind w:left="567" w:hanging="567"/>
        <w:jc w:val="both"/>
        <w:textAlignment w:val="auto"/>
        <w:rPr>
          <w:rFonts w:ascii="Arial" w:hAnsi="Arial" w:cs="Arial"/>
          <w:iCs/>
          <w:sz w:val="22"/>
          <w:szCs w:val="22"/>
          <w:lang w:val="es-ES"/>
        </w:rPr>
      </w:pPr>
      <w:r w:rsidRPr="00D503A8">
        <w:rPr>
          <w:rFonts w:ascii="Arial" w:hAnsi="Arial" w:cs="Arial"/>
          <w:i/>
          <w:sz w:val="22"/>
          <w:szCs w:val="22"/>
          <w:lang w:val="es-ES"/>
        </w:rPr>
        <w:t xml:space="preserve">Da instrucciones </w:t>
      </w:r>
      <w:r w:rsidRPr="00D503A8">
        <w:rPr>
          <w:rFonts w:ascii="Arial" w:hAnsi="Arial" w:cs="Arial"/>
          <w:iCs/>
          <w:sz w:val="22"/>
          <w:szCs w:val="22"/>
          <w:lang w:val="es-ES"/>
        </w:rPr>
        <w:t>a la Secretaría para que transmita el Plan de Acción a todos los Estados del área de distribución y de las organizaciones intergubernamentales correspondientes y supervise la ejecución del mismo.</w:t>
      </w:r>
    </w:p>
    <w:p w14:paraId="383AE881" w14:textId="77777777" w:rsidR="00D82C56" w:rsidRPr="00FD2360" w:rsidRDefault="00D82C56" w:rsidP="003D458E">
      <w:pPr>
        <w:rPr>
          <w:rFonts w:ascii="Arial" w:hAnsi="Arial" w:cs="Arial"/>
          <w:sz w:val="22"/>
          <w:szCs w:val="22"/>
          <w:lang w:val="es-ES"/>
        </w:rPr>
      </w:pPr>
    </w:p>
    <w:p w14:paraId="46F66146" w14:textId="77777777" w:rsidR="00D82C56" w:rsidRPr="00FD2360" w:rsidRDefault="00D82C56" w:rsidP="003D458E">
      <w:pPr>
        <w:rPr>
          <w:rFonts w:ascii="Arial" w:hAnsi="Arial" w:cs="Arial"/>
          <w:sz w:val="22"/>
          <w:szCs w:val="22"/>
          <w:lang w:val="es-ES"/>
        </w:rPr>
      </w:pPr>
    </w:p>
    <w:p w14:paraId="74FE8E0C" w14:textId="0A6F9CC3" w:rsidR="00A9592B" w:rsidRDefault="00A9592B">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259FEE00" w:rsidR="00D82C56" w:rsidRPr="00FD2360" w:rsidRDefault="00FD2360" w:rsidP="003D458E">
      <w:pPr>
        <w:jc w:val="center"/>
        <w:rPr>
          <w:rFonts w:ascii="Arial" w:hAnsi="Arial" w:cs="Arial"/>
          <w:sz w:val="22"/>
          <w:szCs w:val="22"/>
          <w:lang w:val="es-ES"/>
        </w:rPr>
      </w:pPr>
      <w:r w:rsidRPr="00FD2360">
        <w:rPr>
          <w:rFonts w:ascii="Arial" w:hAnsi="Arial" w:cs="Arial"/>
          <w:sz w:val="22"/>
          <w:szCs w:val="22"/>
          <w:lang w:val="es-ES"/>
        </w:rPr>
        <w:lastRenderedPageBreak/>
        <w:t>PROYECTO DE DECISI</w:t>
      </w:r>
      <w:r w:rsidR="00263E3C">
        <w:rPr>
          <w:rFonts w:ascii="Arial" w:hAnsi="Arial" w:cs="Arial"/>
          <w:sz w:val="22"/>
          <w:szCs w:val="22"/>
          <w:lang w:val="es-ES"/>
        </w:rPr>
        <w:t>ONES</w:t>
      </w:r>
    </w:p>
    <w:p w14:paraId="621FE7FD" w14:textId="77777777" w:rsidR="00D82C56" w:rsidRDefault="00D82C56" w:rsidP="003D458E">
      <w:pPr>
        <w:rPr>
          <w:rFonts w:ascii="Arial" w:hAnsi="Arial" w:cs="Arial"/>
          <w:sz w:val="22"/>
          <w:szCs w:val="22"/>
          <w:lang w:val="es-ES"/>
        </w:rPr>
      </w:pPr>
    </w:p>
    <w:p w14:paraId="49274739" w14:textId="77777777" w:rsidR="001F2BA3" w:rsidRPr="00FD2360" w:rsidRDefault="001F2BA3" w:rsidP="003D458E">
      <w:pPr>
        <w:rPr>
          <w:rFonts w:ascii="Arial" w:hAnsi="Arial" w:cs="Arial"/>
          <w:sz w:val="22"/>
          <w:szCs w:val="22"/>
          <w:lang w:val="es-ES"/>
        </w:rPr>
      </w:pPr>
    </w:p>
    <w:p w14:paraId="2FD326D7" w14:textId="77777777" w:rsidR="008438FA" w:rsidRPr="008438FA" w:rsidRDefault="008438FA" w:rsidP="003D458E">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bCs/>
          <w:caps/>
          <w:sz w:val="22"/>
          <w:szCs w:val="22"/>
          <w:lang w:val="es-ES"/>
        </w:rPr>
      </w:pPr>
      <w:r w:rsidRPr="008438FA">
        <w:rPr>
          <w:rFonts w:ascii="Arial" w:eastAsiaTheme="minorHAnsi" w:hAnsi="Arial" w:cs="Arial"/>
          <w:b/>
          <w:bCs/>
          <w:caps/>
          <w:sz w:val="22"/>
          <w:szCs w:val="22"/>
          <w:lang w:val="es-ES"/>
        </w:rPr>
        <w:t xml:space="preserve">CARNE DE ANIMALES SALVAJES ACUÁTICOS </w:t>
      </w:r>
    </w:p>
    <w:p w14:paraId="5285D60E"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7371A9A7" w14:textId="77777777" w:rsidR="008438FA" w:rsidRPr="008438FA" w:rsidRDefault="008438FA" w:rsidP="003D458E">
      <w:pPr>
        <w:widowControl/>
        <w:autoSpaceDE/>
        <w:autoSpaceDN/>
        <w:jc w:val="both"/>
        <w:textAlignment w:val="auto"/>
        <w:rPr>
          <w:rFonts w:ascii="Arial" w:eastAsiaTheme="minorHAnsi" w:hAnsi="Arial" w:cs="Arial"/>
          <w:b/>
          <w:i/>
          <w:sz w:val="22"/>
          <w:szCs w:val="22"/>
          <w:lang w:val="es-ES"/>
        </w:rPr>
      </w:pPr>
    </w:p>
    <w:p w14:paraId="6A867250" w14:textId="77777777" w:rsidR="008438FA" w:rsidRPr="008438FA" w:rsidRDefault="008438FA" w:rsidP="003D458E">
      <w:pPr>
        <w:widowControl/>
        <w:autoSpaceDE/>
        <w:autoSpaceDN/>
        <w:jc w:val="both"/>
        <w:textAlignment w:val="auto"/>
        <w:rPr>
          <w:rFonts w:ascii="Arial" w:eastAsiaTheme="minorHAnsi" w:hAnsi="Arial" w:cs="Arial"/>
          <w:b/>
          <w:i/>
          <w:sz w:val="22"/>
          <w:szCs w:val="22"/>
          <w:lang w:val="es-ES"/>
        </w:rPr>
      </w:pPr>
      <w:r w:rsidRPr="008438FA">
        <w:rPr>
          <w:rFonts w:ascii="Arial" w:eastAsiaTheme="minorHAnsi" w:hAnsi="Arial" w:cs="Arial"/>
          <w:b/>
          <w:i/>
          <w:sz w:val="22"/>
          <w:szCs w:val="22"/>
          <w:lang w:val="es-ES"/>
        </w:rPr>
        <w:t xml:space="preserve">Dirigido a las Partes </w:t>
      </w:r>
    </w:p>
    <w:p w14:paraId="42DC50A3"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190E546F" w14:textId="77777777" w:rsidR="008438FA" w:rsidRPr="008438FA" w:rsidRDefault="008438FA" w:rsidP="0074293D">
      <w:pPr>
        <w:autoSpaceDE/>
        <w:autoSpaceDN/>
        <w:ind w:left="720" w:hanging="720"/>
        <w:jc w:val="both"/>
        <w:textAlignment w:val="auto"/>
        <w:rPr>
          <w:rFonts w:ascii="Arial" w:eastAsiaTheme="minorHAnsi" w:hAnsi="Arial" w:cs="Arial"/>
          <w:iCs/>
          <w:sz w:val="22"/>
          <w:szCs w:val="22"/>
          <w:lang w:val="es-ES"/>
        </w:rPr>
      </w:pPr>
      <w:r w:rsidRPr="008438FA">
        <w:rPr>
          <w:rFonts w:ascii="Arial" w:eastAsiaTheme="minorHAnsi" w:hAnsi="Arial" w:cs="Arial"/>
          <w:sz w:val="22"/>
          <w:szCs w:val="22"/>
          <w:lang w:val="es-ES"/>
        </w:rPr>
        <w:t>14.AA</w:t>
      </w:r>
      <w:r w:rsidRPr="008438FA">
        <w:rPr>
          <w:rFonts w:ascii="Arial" w:eastAsiaTheme="minorHAnsi" w:hAnsi="Arial" w:cs="Arial"/>
          <w:sz w:val="22"/>
          <w:szCs w:val="22"/>
          <w:lang w:val="es-ES"/>
        </w:rPr>
        <w:tab/>
      </w:r>
      <w:r w:rsidRPr="008438FA">
        <w:rPr>
          <w:rFonts w:ascii="Arial" w:eastAsiaTheme="minorHAnsi" w:hAnsi="Arial" w:cs="Arial"/>
          <w:iCs/>
          <w:sz w:val="22"/>
          <w:szCs w:val="22"/>
          <w:lang w:val="es-ES"/>
        </w:rPr>
        <w:t>Se solicita a las Partes:</w:t>
      </w:r>
    </w:p>
    <w:p w14:paraId="55C9EA48" w14:textId="77777777" w:rsidR="008438FA" w:rsidRPr="008438FA" w:rsidRDefault="008438FA" w:rsidP="003D458E">
      <w:pPr>
        <w:autoSpaceDE/>
        <w:autoSpaceDN/>
        <w:ind w:left="851" w:hanging="851"/>
        <w:jc w:val="both"/>
        <w:textAlignment w:val="auto"/>
        <w:rPr>
          <w:rFonts w:ascii="Arial" w:eastAsiaTheme="minorHAnsi" w:hAnsi="Arial" w:cs="Arial"/>
          <w:iCs/>
          <w:sz w:val="22"/>
          <w:szCs w:val="22"/>
          <w:lang w:val="es-ES"/>
        </w:rPr>
      </w:pPr>
    </w:p>
    <w:p w14:paraId="3E2DC2B1" w14:textId="77777777" w:rsidR="008438FA" w:rsidRPr="008438FA" w:rsidRDefault="008438FA" w:rsidP="0074293D">
      <w:pPr>
        <w:widowControl/>
        <w:numPr>
          <w:ilvl w:val="0"/>
          <w:numId w:val="15"/>
        </w:numPr>
        <w:autoSpaceDE/>
        <w:autoSpaceDN/>
        <w:ind w:left="1260" w:hanging="540"/>
        <w:contextualSpacing/>
        <w:jc w:val="both"/>
        <w:textAlignment w:val="auto"/>
        <w:rPr>
          <w:rFonts w:ascii="Arial" w:eastAsiaTheme="minorHAnsi" w:hAnsi="Arial" w:cs="Arial"/>
          <w:iCs/>
          <w:sz w:val="22"/>
          <w:szCs w:val="22"/>
          <w:lang w:val="es-ES"/>
        </w:rPr>
      </w:pPr>
      <w:r w:rsidRPr="008438FA">
        <w:rPr>
          <w:rFonts w:ascii="Arial" w:eastAsiaTheme="minorHAnsi" w:hAnsi="Arial" w:cs="Arial"/>
          <w:iCs/>
          <w:sz w:val="22"/>
          <w:szCs w:val="22"/>
          <w:lang w:val="es-ES"/>
        </w:rPr>
        <w:t>prestar apoyo técnico y de desarrollo de competencias a los Estados del área de distribución afectados por el Plan de Acción para abordar la Captura de Carne de Animales Salvajes Acuáticos en África Occidental para poner en marcha las actividades descritas en el Plan de Acción, así como ofrecer el apoyo necesario para la realización de las actividades del Grupo de Trabajo sobre la Carne de Animales Salvajes Acuáticos.</w:t>
      </w:r>
    </w:p>
    <w:p w14:paraId="7C92E7C6" w14:textId="77777777" w:rsidR="008438FA" w:rsidRPr="008438FA" w:rsidRDefault="008438FA" w:rsidP="0074293D">
      <w:pPr>
        <w:autoSpaceDE/>
        <w:autoSpaceDN/>
        <w:ind w:left="1260" w:hanging="540"/>
        <w:contextualSpacing/>
        <w:jc w:val="both"/>
        <w:textAlignment w:val="auto"/>
        <w:rPr>
          <w:rFonts w:ascii="Arial" w:eastAsiaTheme="minorHAnsi" w:hAnsi="Arial" w:cs="Arial"/>
          <w:iCs/>
          <w:sz w:val="22"/>
          <w:szCs w:val="22"/>
          <w:lang w:val="es-ES"/>
        </w:rPr>
      </w:pPr>
    </w:p>
    <w:p w14:paraId="2AD29137" w14:textId="77777777" w:rsidR="008438FA" w:rsidRPr="008438FA" w:rsidRDefault="008438FA" w:rsidP="0074293D">
      <w:pPr>
        <w:widowControl/>
        <w:numPr>
          <w:ilvl w:val="0"/>
          <w:numId w:val="15"/>
        </w:numPr>
        <w:autoSpaceDE/>
        <w:autoSpaceDN/>
        <w:ind w:left="1260" w:hanging="540"/>
        <w:contextualSpacing/>
        <w:jc w:val="both"/>
        <w:textAlignment w:val="auto"/>
        <w:rPr>
          <w:rFonts w:ascii="Arial" w:eastAsiaTheme="minorHAnsi" w:hAnsi="Arial" w:cs="Arial"/>
          <w:iCs/>
          <w:sz w:val="22"/>
          <w:szCs w:val="22"/>
          <w:lang w:val="es-ES"/>
        </w:rPr>
      </w:pPr>
      <w:r w:rsidRPr="008438FA">
        <w:rPr>
          <w:rFonts w:ascii="Arial" w:eastAsiaTheme="minorHAnsi" w:hAnsi="Arial" w:cs="Arial"/>
          <w:iCs/>
          <w:sz w:val="22"/>
          <w:szCs w:val="22"/>
          <w:lang w:val="es-ES"/>
        </w:rPr>
        <w:t>considerar el desarrollo de planes de acción para reducir la caza y el consumo de carne salvaje acuática en Asia Oriental, Sudoriental y Meridional, América Latina y la Región de las Islas del Pacífico.</w:t>
      </w:r>
    </w:p>
    <w:p w14:paraId="6B19AF3D"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5364A335"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r w:rsidRPr="008438FA">
        <w:rPr>
          <w:rFonts w:ascii="Arial" w:eastAsiaTheme="minorHAnsi" w:hAnsi="Arial" w:cs="Arial"/>
          <w:b/>
          <w:i/>
          <w:sz w:val="22"/>
          <w:szCs w:val="22"/>
          <w:lang w:val="es-ES"/>
        </w:rPr>
        <w:t xml:space="preserve">Dirigido al Consejo Científico a través de su Grupo de Trabajo sobre la Carne de Animales Salvajes Acuáticos </w:t>
      </w:r>
    </w:p>
    <w:p w14:paraId="56D5FF65"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6AB3A90B" w14:textId="77777777" w:rsidR="008438FA" w:rsidRPr="008438FA" w:rsidRDefault="008438FA" w:rsidP="0074293D">
      <w:pPr>
        <w:widowControl/>
        <w:autoSpaceDE/>
        <w:autoSpaceDN/>
        <w:ind w:left="720" w:hanging="72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14.BB</w:t>
      </w:r>
      <w:r w:rsidRPr="008438FA">
        <w:rPr>
          <w:rFonts w:ascii="Arial" w:eastAsiaTheme="minorHAnsi" w:hAnsi="Arial" w:cs="Arial"/>
          <w:sz w:val="22"/>
          <w:szCs w:val="22"/>
          <w:lang w:val="es-ES"/>
        </w:rPr>
        <w:tab/>
        <w:t>Se le solicita al Consejo Científico a través de su Grupo de Trabajo sobre la Carne de Animales Salvajes Acuáticos:</w:t>
      </w:r>
    </w:p>
    <w:p w14:paraId="096905A8" w14:textId="77777777" w:rsidR="008438FA" w:rsidRPr="008438FA" w:rsidRDefault="008438FA" w:rsidP="003D458E">
      <w:pPr>
        <w:widowControl/>
        <w:autoSpaceDE/>
        <w:autoSpaceDN/>
        <w:jc w:val="both"/>
        <w:textAlignment w:val="auto"/>
        <w:rPr>
          <w:rFonts w:ascii="Arial" w:eastAsiaTheme="minorHAnsi" w:hAnsi="Arial" w:cstheme="minorBidi"/>
          <w:sz w:val="22"/>
          <w:szCs w:val="22"/>
          <w:lang w:val="es-ES"/>
        </w:rPr>
      </w:pPr>
    </w:p>
    <w:p w14:paraId="1D0ABEC6" w14:textId="77777777" w:rsidR="008438FA" w:rsidRPr="008438FA" w:rsidRDefault="008438FA" w:rsidP="00876E16">
      <w:pPr>
        <w:widowControl/>
        <w:numPr>
          <w:ilvl w:val="0"/>
          <w:numId w:val="10"/>
        </w:numPr>
        <w:autoSpaceDE/>
        <w:autoSpaceDN/>
        <w:ind w:left="1267" w:hanging="547"/>
        <w:contextualSpacing/>
        <w:jc w:val="both"/>
        <w:textAlignment w:val="auto"/>
        <w:rPr>
          <w:rFonts w:ascii="Arial" w:eastAsiaTheme="minorHAnsi" w:hAnsi="Arial" w:cs="Arial"/>
          <w:sz w:val="22"/>
          <w:szCs w:val="22"/>
          <w:lang w:val="es-ES"/>
        </w:rPr>
      </w:pPr>
      <w:r w:rsidRPr="008438FA">
        <w:rPr>
          <w:rFonts w:ascii="Arial" w:eastAsiaTheme="minorHAnsi" w:hAnsi="Arial" w:cstheme="minorBidi"/>
          <w:sz w:val="22"/>
          <w:szCs w:val="22"/>
          <w:lang w:val="es-ES"/>
        </w:rPr>
        <w:t>desarrollar criterios para considerar si algunos tiburones y rayas catalogados en el Apéndice II deben incluirse dentro del campo de acción del Grupo de Trabajo;</w:t>
      </w:r>
    </w:p>
    <w:p w14:paraId="40456302" w14:textId="77777777" w:rsidR="008438FA" w:rsidRPr="008438FA" w:rsidRDefault="008438FA" w:rsidP="00876E16">
      <w:pPr>
        <w:autoSpaceDE/>
        <w:autoSpaceDN/>
        <w:ind w:left="1267" w:hanging="547"/>
        <w:jc w:val="both"/>
        <w:textAlignment w:val="auto"/>
        <w:rPr>
          <w:rFonts w:ascii="Arial" w:eastAsiaTheme="minorHAnsi" w:hAnsi="Arial" w:cs="Arial"/>
          <w:sz w:val="22"/>
          <w:szCs w:val="22"/>
          <w:lang w:val="es-ES"/>
        </w:rPr>
      </w:pPr>
    </w:p>
    <w:p w14:paraId="40F41C97" w14:textId="77777777" w:rsidR="008438FA" w:rsidRPr="008438FA" w:rsidRDefault="008438FA" w:rsidP="00876E16">
      <w:pPr>
        <w:widowControl/>
        <w:numPr>
          <w:ilvl w:val="0"/>
          <w:numId w:val="10"/>
        </w:numPr>
        <w:autoSpaceDE/>
        <w:autoSpaceDN/>
        <w:ind w:left="1267" w:hanging="547"/>
        <w:jc w:val="both"/>
        <w:textAlignment w:val="auto"/>
        <w:rPr>
          <w:rFonts w:ascii="Arial" w:eastAsiaTheme="minorHAnsi" w:hAnsi="Arial" w:cs="Arial"/>
          <w:sz w:val="22"/>
          <w:szCs w:val="22"/>
          <w:lang w:val="es-ES"/>
        </w:rPr>
      </w:pPr>
      <w:r w:rsidRPr="008438FA">
        <w:rPr>
          <w:rFonts w:ascii="Arial" w:eastAsiaTheme="minorHAnsi" w:hAnsi="Arial" w:cstheme="minorBidi"/>
          <w:sz w:val="22"/>
          <w:szCs w:val="22"/>
          <w:lang w:val="es-ES"/>
        </w:rPr>
        <w:t xml:space="preserve">recopilar y presentar información sobre la captura de aves marinas como carne de animales salvajes acuáticos en colaboración con los Grupos de Trabajo sobre la captura ilegal establecidos por la Resolución 11.16 (Rev.COP13); </w:t>
      </w:r>
    </w:p>
    <w:p w14:paraId="6FF9B707" w14:textId="77777777" w:rsidR="008438FA" w:rsidRPr="008438FA" w:rsidRDefault="008438FA" w:rsidP="00876E16">
      <w:pPr>
        <w:autoSpaceDE/>
        <w:autoSpaceDN/>
        <w:ind w:left="1267" w:hanging="547"/>
        <w:jc w:val="both"/>
        <w:textAlignment w:val="auto"/>
        <w:rPr>
          <w:rFonts w:ascii="Arial" w:eastAsiaTheme="minorHAnsi" w:hAnsi="Arial" w:cs="Arial"/>
          <w:sz w:val="22"/>
          <w:szCs w:val="22"/>
          <w:lang w:val="es-ES"/>
        </w:rPr>
      </w:pPr>
    </w:p>
    <w:p w14:paraId="59EF7024" w14:textId="77777777" w:rsidR="008438FA" w:rsidRPr="008438FA" w:rsidRDefault="008438FA" w:rsidP="00876E16">
      <w:pPr>
        <w:widowControl/>
        <w:numPr>
          <w:ilvl w:val="0"/>
          <w:numId w:val="10"/>
        </w:numPr>
        <w:autoSpaceDE/>
        <w:autoSpaceDN/>
        <w:ind w:left="1267" w:hanging="547"/>
        <w:jc w:val="both"/>
        <w:textAlignment w:val="auto"/>
        <w:rPr>
          <w:rFonts w:ascii="Arial" w:eastAsiaTheme="minorHAnsi" w:hAnsi="Arial" w:cs="Arial"/>
          <w:sz w:val="22"/>
          <w:szCs w:val="22"/>
          <w:lang w:val="es-ES"/>
        </w:rPr>
      </w:pPr>
      <w:r w:rsidRPr="008438FA">
        <w:rPr>
          <w:rFonts w:ascii="Arial" w:eastAsiaTheme="minorHAnsi" w:hAnsi="Arial" w:cstheme="minorBidi"/>
          <w:sz w:val="22"/>
          <w:szCs w:val="22"/>
          <w:lang w:val="es-ES"/>
        </w:rPr>
        <w:t xml:space="preserve">colaborar con los grupos pertinentes de especialistas de la Unión Internacional para la Conservación de la Naturaleza (UICN) para presentar el asunto ante el Consejo Científico para la evaluación de la naturaleza migratoria de los cocodrilianos (Géneros: </w:t>
      </w:r>
      <w:proofErr w:type="spellStart"/>
      <w:r w:rsidRPr="008438FA">
        <w:rPr>
          <w:rFonts w:ascii="Arial" w:eastAsiaTheme="minorHAnsi" w:hAnsi="Arial" w:cstheme="minorBidi"/>
          <w:sz w:val="22"/>
          <w:szCs w:val="22"/>
          <w:lang w:val="es-ES"/>
        </w:rPr>
        <w:t>Gavialis</w:t>
      </w:r>
      <w:proofErr w:type="spellEnd"/>
      <w:r w:rsidRPr="008438FA">
        <w:rPr>
          <w:rFonts w:ascii="Arial" w:eastAsiaTheme="minorHAnsi" w:hAnsi="Arial" w:cstheme="minorBidi"/>
          <w:sz w:val="22"/>
          <w:szCs w:val="22"/>
          <w:lang w:val="es-ES"/>
        </w:rPr>
        <w:t xml:space="preserve">, </w:t>
      </w:r>
      <w:proofErr w:type="spellStart"/>
      <w:r w:rsidRPr="008438FA">
        <w:rPr>
          <w:rFonts w:ascii="Arial" w:eastAsiaTheme="minorHAnsi" w:hAnsi="Arial" w:cstheme="minorBidi"/>
          <w:sz w:val="22"/>
          <w:szCs w:val="22"/>
          <w:lang w:val="es-ES"/>
        </w:rPr>
        <w:t>Crocodylus</w:t>
      </w:r>
      <w:proofErr w:type="spellEnd"/>
      <w:r w:rsidRPr="008438FA">
        <w:rPr>
          <w:rFonts w:ascii="Arial" w:eastAsiaTheme="minorHAnsi" w:hAnsi="Arial" w:cstheme="minorBidi"/>
          <w:sz w:val="22"/>
          <w:szCs w:val="22"/>
          <w:lang w:val="es-ES"/>
        </w:rPr>
        <w:t xml:space="preserve">, </w:t>
      </w:r>
      <w:proofErr w:type="spellStart"/>
      <w:r w:rsidRPr="008438FA">
        <w:rPr>
          <w:rFonts w:ascii="Arial" w:eastAsiaTheme="minorHAnsi" w:hAnsi="Arial" w:cstheme="minorBidi"/>
          <w:sz w:val="22"/>
          <w:szCs w:val="22"/>
          <w:lang w:val="es-ES"/>
        </w:rPr>
        <w:t>Mecistops</w:t>
      </w:r>
      <w:proofErr w:type="spellEnd"/>
      <w:r w:rsidRPr="008438FA">
        <w:rPr>
          <w:rFonts w:ascii="Arial" w:eastAsiaTheme="minorHAnsi" w:hAnsi="Arial" w:cstheme="minorBidi"/>
          <w:sz w:val="22"/>
          <w:szCs w:val="22"/>
          <w:lang w:val="es-ES"/>
        </w:rPr>
        <w:t xml:space="preserve">, </w:t>
      </w:r>
      <w:proofErr w:type="spellStart"/>
      <w:r w:rsidRPr="008438FA">
        <w:rPr>
          <w:rFonts w:ascii="Arial" w:eastAsiaTheme="minorHAnsi" w:hAnsi="Arial" w:cstheme="minorBidi"/>
          <w:sz w:val="22"/>
          <w:szCs w:val="22"/>
          <w:lang w:val="es-ES"/>
        </w:rPr>
        <w:t>Caiman</w:t>
      </w:r>
      <w:proofErr w:type="spellEnd"/>
      <w:r w:rsidRPr="008438FA">
        <w:rPr>
          <w:rFonts w:ascii="Arial" w:eastAsiaTheme="minorHAnsi" w:hAnsi="Arial" w:cstheme="minorBidi"/>
          <w:sz w:val="22"/>
          <w:szCs w:val="22"/>
          <w:lang w:val="es-ES"/>
        </w:rPr>
        <w:t xml:space="preserve">, </w:t>
      </w:r>
      <w:proofErr w:type="spellStart"/>
      <w:r w:rsidRPr="008438FA">
        <w:rPr>
          <w:rFonts w:ascii="Arial" w:eastAsiaTheme="minorHAnsi" w:hAnsi="Arial" w:cstheme="minorBidi"/>
          <w:sz w:val="22"/>
          <w:szCs w:val="22"/>
          <w:lang w:val="es-ES"/>
        </w:rPr>
        <w:t>Melanosuchus</w:t>
      </w:r>
      <w:proofErr w:type="spellEnd"/>
      <w:r w:rsidRPr="008438FA">
        <w:rPr>
          <w:rFonts w:ascii="Arial" w:eastAsiaTheme="minorHAnsi" w:hAnsi="Arial" w:cstheme="minorBidi"/>
          <w:sz w:val="22"/>
          <w:szCs w:val="22"/>
          <w:lang w:val="es-ES"/>
        </w:rPr>
        <w:t xml:space="preserve">) y quelonios de agua dulce y la relevancia de la CMS para la conservación y gestión de los mismos, incluso si cumplirían o no los criterios de inclusión en los Apéndices; </w:t>
      </w:r>
    </w:p>
    <w:p w14:paraId="51AE04CC" w14:textId="77777777" w:rsidR="008438FA" w:rsidRPr="008438FA" w:rsidRDefault="008438FA" w:rsidP="00876E16">
      <w:pPr>
        <w:autoSpaceDE/>
        <w:autoSpaceDN/>
        <w:ind w:left="1267" w:hanging="547"/>
        <w:jc w:val="both"/>
        <w:textAlignment w:val="auto"/>
        <w:rPr>
          <w:rFonts w:ascii="Arial" w:eastAsiaTheme="minorHAnsi" w:hAnsi="Arial" w:cs="Arial"/>
          <w:sz w:val="22"/>
          <w:szCs w:val="22"/>
          <w:lang w:val="es-ES"/>
        </w:rPr>
      </w:pPr>
    </w:p>
    <w:p w14:paraId="1BFAD948" w14:textId="77777777" w:rsidR="008438FA" w:rsidRPr="008438FA" w:rsidRDefault="008438FA" w:rsidP="00752559">
      <w:pPr>
        <w:widowControl/>
        <w:numPr>
          <w:ilvl w:val="0"/>
          <w:numId w:val="10"/>
        </w:numPr>
        <w:autoSpaceDE/>
        <w:autoSpaceDN/>
        <w:spacing w:after="80"/>
        <w:ind w:left="1267" w:hanging="547"/>
        <w:jc w:val="both"/>
        <w:textAlignment w:val="auto"/>
        <w:rPr>
          <w:rFonts w:ascii="Arial" w:eastAsiaTheme="minorHAnsi" w:hAnsi="Arial" w:cs="Arial"/>
          <w:sz w:val="22"/>
          <w:szCs w:val="22"/>
          <w:lang w:val="es-ES"/>
        </w:rPr>
      </w:pPr>
      <w:r w:rsidRPr="008438FA">
        <w:rPr>
          <w:rFonts w:ascii="Arial" w:eastAsiaTheme="minorHAnsi" w:hAnsi="Arial" w:cstheme="minorBidi"/>
          <w:sz w:val="22"/>
          <w:szCs w:val="22"/>
          <w:lang w:val="es-ES"/>
        </w:rPr>
        <w:t>promover, según lo permitan las competencias:</w:t>
      </w:r>
    </w:p>
    <w:p w14:paraId="016E6A77" w14:textId="77777777" w:rsidR="008438FA" w:rsidRPr="008438FA" w:rsidRDefault="008438FA" w:rsidP="00752559">
      <w:pPr>
        <w:widowControl/>
        <w:numPr>
          <w:ilvl w:val="1"/>
          <w:numId w:val="3"/>
        </w:numPr>
        <w:tabs>
          <w:tab w:val="left" w:pos="1710"/>
        </w:tabs>
        <w:autoSpaceDE/>
        <w:autoSpaceDN/>
        <w:spacing w:after="80"/>
        <w:ind w:left="1620"/>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t xml:space="preserve">estudios de las dimensiones humanas del </w:t>
      </w:r>
      <w:bookmarkStart w:id="1" w:name="_Hlk158750585"/>
      <w:r w:rsidRPr="008438FA">
        <w:rPr>
          <w:rFonts w:ascii="Arial" w:eastAsiaTheme="minorHAnsi" w:hAnsi="Arial" w:cstheme="minorBidi"/>
          <w:sz w:val="22"/>
          <w:szCs w:val="22"/>
          <w:lang w:val="es-ES"/>
        </w:rPr>
        <w:t>uso de la carne de animales salvajes acuáticos</w:t>
      </w:r>
      <w:bookmarkEnd w:id="1"/>
      <w:r w:rsidRPr="008438FA">
        <w:rPr>
          <w:rFonts w:ascii="Arial" w:eastAsiaTheme="minorHAnsi" w:hAnsi="Arial" w:cstheme="minorBidi"/>
          <w:sz w:val="22"/>
          <w:szCs w:val="22"/>
          <w:lang w:val="es-ES"/>
        </w:rPr>
        <w:t>, que son fundamentales para diseñar programas eficaces de conservación y gestión que favorezcan los usos sostenibles por encima de los no sostenibles, a saber:</w:t>
      </w:r>
    </w:p>
    <w:p w14:paraId="03F6F967" w14:textId="77777777" w:rsidR="008438FA" w:rsidRPr="008438FA" w:rsidRDefault="008438FA" w:rsidP="00752559">
      <w:pPr>
        <w:widowControl/>
        <w:numPr>
          <w:ilvl w:val="2"/>
          <w:numId w:val="4"/>
        </w:numPr>
        <w:autoSpaceDE/>
        <w:autoSpaceDN/>
        <w:spacing w:after="80"/>
        <w:ind w:left="1980" w:hanging="360"/>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t>los aspectos socioculturales históricos y contemporáneos de la captura y el consumo de carne de animales salvajes acuáticos, incluido el papel de los sistemas de tabúes, para ofrecer puntos de vista o medidas de gestión que puedan respetar las prácticas culturales de los pueblos indígenas y las comunidades locales;</w:t>
      </w:r>
    </w:p>
    <w:p w14:paraId="34CA914D" w14:textId="77777777" w:rsidR="008438FA" w:rsidRPr="008438FA" w:rsidRDefault="008438FA" w:rsidP="00752559">
      <w:pPr>
        <w:widowControl/>
        <w:numPr>
          <w:ilvl w:val="2"/>
          <w:numId w:val="5"/>
        </w:numPr>
        <w:autoSpaceDE/>
        <w:autoSpaceDN/>
        <w:ind w:left="1980" w:hanging="360"/>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lastRenderedPageBreak/>
        <w:t>los factores de la captura y el consumo de carne de animales salvajes acuáticos;</w:t>
      </w:r>
    </w:p>
    <w:p w14:paraId="5A3514BD" w14:textId="77777777" w:rsidR="008438FA" w:rsidRDefault="008438FA" w:rsidP="00752559">
      <w:pPr>
        <w:widowControl/>
        <w:numPr>
          <w:ilvl w:val="2"/>
          <w:numId w:val="6"/>
        </w:numPr>
        <w:autoSpaceDE/>
        <w:autoSpaceDN/>
        <w:spacing w:after="80"/>
        <w:ind w:left="1980" w:hanging="360"/>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t>las funciones nutricionales que proporciona la carne de animales salvajes acuáticos, las fortalezas y debilidades de las alternativas y los riesgos de ambas para la salud;</w:t>
      </w:r>
    </w:p>
    <w:p w14:paraId="7A90A759" w14:textId="502181A9" w:rsidR="00CA186E" w:rsidRPr="00DC32A1" w:rsidRDefault="00DC32A1" w:rsidP="00752559">
      <w:pPr>
        <w:pStyle w:val="ListParagraph"/>
        <w:widowControl/>
        <w:numPr>
          <w:ilvl w:val="2"/>
          <w:numId w:val="6"/>
        </w:numPr>
        <w:autoSpaceDE/>
        <w:autoSpaceDN/>
        <w:ind w:left="1980" w:hanging="360"/>
        <w:jc w:val="both"/>
        <w:textAlignment w:val="auto"/>
        <w:rPr>
          <w:rFonts w:ascii="Arial" w:eastAsiaTheme="minorHAnsi" w:hAnsi="Arial" w:cstheme="minorBidi"/>
          <w:sz w:val="22"/>
          <w:szCs w:val="22"/>
          <w:lang w:val="es-ES"/>
        </w:rPr>
      </w:pPr>
      <w:r w:rsidRPr="00DC32A1">
        <w:rPr>
          <w:rFonts w:ascii="Arial" w:eastAsiaTheme="minorHAnsi" w:hAnsi="Arial" w:cstheme="minorBidi"/>
          <w:sz w:val="22"/>
          <w:szCs w:val="22"/>
          <w:lang w:val="es-ES"/>
        </w:rPr>
        <w:t>seguridad alimentaria</w:t>
      </w:r>
      <w:r>
        <w:rPr>
          <w:rFonts w:ascii="Arial" w:eastAsiaTheme="minorHAnsi" w:hAnsi="Arial" w:cstheme="minorBidi"/>
          <w:sz w:val="22"/>
          <w:szCs w:val="22"/>
          <w:lang w:val="es-ES"/>
        </w:rPr>
        <w:t xml:space="preserve"> e</w:t>
      </w:r>
      <w:r w:rsidRPr="00DC32A1">
        <w:rPr>
          <w:rFonts w:ascii="Arial" w:eastAsiaTheme="minorHAnsi" w:hAnsi="Arial" w:cstheme="minorBidi"/>
          <w:sz w:val="22"/>
          <w:szCs w:val="22"/>
          <w:lang w:val="es-ES"/>
        </w:rPr>
        <w:t xml:space="preserve"> inocuidad de los alimentos</w:t>
      </w:r>
      <w:r>
        <w:rPr>
          <w:rFonts w:ascii="Arial" w:eastAsiaTheme="minorHAnsi" w:hAnsi="Arial" w:cstheme="minorBidi"/>
          <w:sz w:val="22"/>
          <w:szCs w:val="22"/>
          <w:lang w:val="es-ES"/>
        </w:rPr>
        <w:t xml:space="preserve"> del </w:t>
      </w:r>
      <w:r w:rsidRPr="008438FA">
        <w:rPr>
          <w:rFonts w:ascii="Arial" w:eastAsiaTheme="minorHAnsi" w:hAnsi="Arial" w:cstheme="minorBidi"/>
          <w:sz w:val="22"/>
          <w:szCs w:val="22"/>
          <w:lang w:val="es-ES"/>
        </w:rPr>
        <w:t>uso de la carne de animales salvajes acuáticos</w:t>
      </w:r>
      <w:r>
        <w:rPr>
          <w:rFonts w:ascii="Arial" w:eastAsiaTheme="minorHAnsi" w:hAnsi="Arial" w:cstheme="minorBidi"/>
          <w:sz w:val="22"/>
          <w:szCs w:val="22"/>
          <w:lang w:val="es-ES"/>
        </w:rPr>
        <w:t>;</w:t>
      </w:r>
    </w:p>
    <w:p w14:paraId="41698870" w14:textId="77777777" w:rsidR="008438FA" w:rsidRPr="008438FA" w:rsidRDefault="008438FA" w:rsidP="00034047">
      <w:pPr>
        <w:widowControl/>
        <w:numPr>
          <w:ilvl w:val="1"/>
          <w:numId w:val="7"/>
        </w:numPr>
        <w:autoSpaceDE/>
        <w:autoSpaceDN/>
        <w:spacing w:after="80"/>
        <w:ind w:left="1627"/>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t>más evaluaciones cuantitativas del consumo y el comercio de carne de animales salvajes acuáticos para comprender mejor la demanda y las rutas comerciales;</w:t>
      </w:r>
    </w:p>
    <w:p w14:paraId="08A416E5" w14:textId="77777777" w:rsidR="008438FA" w:rsidRPr="008438FA" w:rsidRDefault="008438FA" w:rsidP="00034047">
      <w:pPr>
        <w:widowControl/>
        <w:numPr>
          <w:ilvl w:val="1"/>
          <w:numId w:val="8"/>
        </w:numPr>
        <w:autoSpaceDE/>
        <w:autoSpaceDN/>
        <w:spacing w:after="80"/>
        <w:ind w:left="1627"/>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t>más iniciativas de evaluación de la eficacia de la legislación existente con respecto a los usos específicos de la carne de animales salvajes acuáticos, y del grado en que la capacidad de cumplimiento, por sí sola, puede abordar la captura no sostenible de carne de animales salvajes acuáticos;</w:t>
      </w:r>
    </w:p>
    <w:p w14:paraId="1A0EF961" w14:textId="77777777" w:rsidR="008438FA" w:rsidRDefault="008438FA" w:rsidP="00034047">
      <w:pPr>
        <w:widowControl/>
        <w:numPr>
          <w:ilvl w:val="1"/>
          <w:numId w:val="9"/>
        </w:numPr>
        <w:autoSpaceDE/>
        <w:autoSpaceDN/>
        <w:spacing w:after="80"/>
        <w:ind w:left="1627"/>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t>la puesta en marcha de programas de educación medioambiental para sensibilizar sobre la importancia y las ventajas de la megafauna migratoria, y las leyes vigentes al respecto;</w:t>
      </w:r>
    </w:p>
    <w:p w14:paraId="4B81BBD4" w14:textId="7ECB6EF0" w:rsidR="008438FA" w:rsidRPr="00034047" w:rsidRDefault="00DC32A1" w:rsidP="00034047">
      <w:pPr>
        <w:pStyle w:val="ListParagraph"/>
        <w:widowControl/>
        <w:numPr>
          <w:ilvl w:val="1"/>
          <w:numId w:val="9"/>
        </w:numPr>
        <w:tabs>
          <w:tab w:val="left" w:pos="1985"/>
        </w:tabs>
        <w:autoSpaceDE/>
        <w:autoSpaceDN/>
        <w:ind w:left="1627"/>
        <w:jc w:val="both"/>
        <w:textAlignment w:val="auto"/>
        <w:rPr>
          <w:rFonts w:ascii="Arial" w:eastAsiaTheme="minorHAnsi" w:hAnsi="Arial" w:cs="Arial"/>
          <w:sz w:val="22"/>
          <w:szCs w:val="22"/>
          <w:lang w:val="es-ES"/>
        </w:rPr>
      </w:pPr>
      <w:r w:rsidRPr="00DC32A1">
        <w:rPr>
          <w:rFonts w:ascii="Arial" w:eastAsiaTheme="minorHAnsi" w:hAnsi="Arial" w:cstheme="minorBidi"/>
          <w:sz w:val="22"/>
          <w:szCs w:val="22"/>
          <w:lang w:val="es-ES"/>
        </w:rPr>
        <w:t>análisis de</w:t>
      </w:r>
      <w:r>
        <w:rPr>
          <w:rFonts w:ascii="Arial" w:eastAsiaTheme="minorHAnsi" w:hAnsi="Arial" w:cstheme="minorBidi"/>
          <w:sz w:val="22"/>
          <w:szCs w:val="22"/>
          <w:lang w:val="es-ES"/>
        </w:rPr>
        <w:t xml:space="preserve"> la</w:t>
      </w:r>
      <w:r w:rsidRPr="00DC32A1">
        <w:rPr>
          <w:rFonts w:ascii="Arial" w:eastAsiaTheme="minorHAnsi" w:hAnsi="Arial" w:cstheme="minorBidi"/>
          <w:sz w:val="22"/>
          <w:szCs w:val="22"/>
          <w:lang w:val="es-ES"/>
        </w:rPr>
        <w:t xml:space="preserve"> magnitud de los casos de descarte y su repercusión en la disponibilidad de carne de animales salvajes acuáticos.</w:t>
      </w:r>
    </w:p>
    <w:p w14:paraId="70E26A9F" w14:textId="77777777" w:rsidR="00034047" w:rsidRPr="00DC32A1" w:rsidRDefault="00034047" w:rsidP="00034047">
      <w:pPr>
        <w:pStyle w:val="ListParagraph"/>
        <w:widowControl/>
        <w:tabs>
          <w:tab w:val="left" w:pos="1985"/>
        </w:tabs>
        <w:autoSpaceDE/>
        <w:autoSpaceDN/>
        <w:ind w:left="1620"/>
        <w:jc w:val="both"/>
        <w:textAlignment w:val="auto"/>
        <w:rPr>
          <w:rFonts w:ascii="Arial" w:eastAsiaTheme="minorHAnsi" w:hAnsi="Arial" w:cs="Arial"/>
          <w:sz w:val="22"/>
          <w:szCs w:val="22"/>
          <w:lang w:val="es-ES"/>
        </w:rPr>
      </w:pPr>
    </w:p>
    <w:p w14:paraId="4B0F99B1" w14:textId="77777777" w:rsidR="008438FA" w:rsidRPr="008438FA" w:rsidRDefault="008438FA" w:rsidP="00034047">
      <w:pPr>
        <w:widowControl/>
        <w:numPr>
          <w:ilvl w:val="0"/>
          <w:numId w:val="10"/>
        </w:numPr>
        <w:autoSpaceDE/>
        <w:autoSpaceDN/>
        <w:ind w:left="1080" w:hanging="54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alentar el establecimiento de redes de expertos competentes que fomenten iniciativas de colaboración para desarrollar planes de acción regionales que reduzcan la captura no sostenible de carne de animales salvajes acuáticos;</w:t>
      </w:r>
    </w:p>
    <w:p w14:paraId="308807CC" w14:textId="77777777" w:rsidR="008438FA" w:rsidRPr="008438FA" w:rsidRDefault="008438FA" w:rsidP="003D458E">
      <w:pPr>
        <w:autoSpaceDE/>
        <w:autoSpaceDN/>
        <w:ind w:left="1418"/>
        <w:jc w:val="both"/>
        <w:textAlignment w:val="auto"/>
        <w:rPr>
          <w:rFonts w:ascii="Arial" w:eastAsiaTheme="minorHAnsi" w:hAnsi="Arial" w:cs="Arial"/>
          <w:sz w:val="22"/>
          <w:szCs w:val="22"/>
          <w:lang w:val="es-ES"/>
        </w:rPr>
      </w:pPr>
    </w:p>
    <w:p w14:paraId="6D9FF78C" w14:textId="77777777" w:rsidR="008438FA" w:rsidRPr="008438FA" w:rsidRDefault="008438FA" w:rsidP="00034047">
      <w:pPr>
        <w:widowControl/>
        <w:numPr>
          <w:ilvl w:val="0"/>
          <w:numId w:val="10"/>
        </w:numPr>
        <w:autoSpaceDE/>
        <w:autoSpaceDN/>
        <w:spacing w:after="80"/>
        <w:ind w:left="1080" w:hanging="54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asegurar la diseminación de información sobre su trabajo en carne silvestre acuática y las recomendaciones resultantes mediante:</w:t>
      </w:r>
    </w:p>
    <w:p w14:paraId="2CE898EB" w14:textId="77777777" w:rsidR="008438FA" w:rsidRPr="008438FA" w:rsidRDefault="008438FA" w:rsidP="00034047">
      <w:pPr>
        <w:widowControl/>
        <w:numPr>
          <w:ilvl w:val="5"/>
          <w:numId w:val="9"/>
        </w:numPr>
        <w:autoSpaceDE/>
        <w:autoSpaceDN/>
        <w:spacing w:after="80"/>
        <w:ind w:left="1620" w:hanging="36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 xml:space="preserve">compartiendo información con la Comisión Ballenera Internacional y participando en futuras reuniones del Subcomité de Pequeños Cetáceos centradas en la carne silvestre acuática; </w:t>
      </w:r>
    </w:p>
    <w:p w14:paraId="723F27F0" w14:textId="77777777" w:rsidR="008438FA" w:rsidRPr="008438FA" w:rsidRDefault="008438FA" w:rsidP="00034047">
      <w:pPr>
        <w:widowControl/>
        <w:numPr>
          <w:ilvl w:val="5"/>
          <w:numId w:val="9"/>
        </w:numPr>
        <w:autoSpaceDE/>
        <w:autoSpaceDN/>
        <w:spacing w:after="80"/>
        <w:ind w:left="1620" w:hanging="36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continuando proporcionando asesoramiento a la Secretaría de la CMS para contribuir a la Asociación de Colaboración sobre la Gestión Sostenible de la Vida Silvestre;</w:t>
      </w:r>
    </w:p>
    <w:p w14:paraId="7BEC27B5" w14:textId="77777777" w:rsidR="008438FA" w:rsidRPr="008438FA" w:rsidRDefault="008438FA" w:rsidP="00034047">
      <w:pPr>
        <w:widowControl/>
        <w:numPr>
          <w:ilvl w:val="5"/>
          <w:numId w:val="9"/>
        </w:numPr>
        <w:autoSpaceDE/>
        <w:autoSpaceDN/>
        <w:spacing w:after="80"/>
        <w:ind w:left="1620" w:hanging="36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ampliando la colaboración para incluir COMFAUNA, CIMFAUNA, el Programa de Gestión Sostenible de la Vida Silvestre (SWM), y el Proyecto WILDMEAT;</w:t>
      </w:r>
    </w:p>
    <w:p w14:paraId="2DBC3EF8" w14:textId="77777777" w:rsidR="008438FA" w:rsidRPr="008438FA" w:rsidRDefault="008438FA" w:rsidP="00034047">
      <w:pPr>
        <w:widowControl/>
        <w:numPr>
          <w:ilvl w:val="5"/>
          <w:numId w:val="9"/>
        </w:numPr>
        <w:autoSpaceDE/>
        <w:autoSpaceDN/>
        <w:spacing w:after="80"/>
        <w:ind w:left="1620" w:hanging="36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apoyando los esfuerzos de coordinación entre la CMS y CITES para mejorar la regulación y la gestión sostenible del comercio de especies acuáticas de carne silvestre;</w:t>
      </w:r>
    </w:p>
    <w:p w14:paraId="29C87F72" w14:textId="77777777" w:rsidR="008438FA" w:rsidRPr="008438FA" w:rsidRDefault="008438FA" w:rsidP="00034047">
      <w:pPr>
        <w:widowControl/>
        <w:numPr>
          <w:ilvl w:val="5"/>
          <w:numId w:val="9"/>
        </w:numPr>
        <w:autoSpaceDE/>
        <w:autoSpaceDN/>
        <w:ind w:left="1620" w:hanging="360"/>
        <w:contextualSpacing/>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publicando documentos consolidados en su calidad de expertos individuales sobre las capturas de carne de animales acuáticos silvestres, y señalándolos a la atención del Consejo Científico.</w:t>
      </w:r>
    </w:p>
    <w:p w14:paraId="0BCDF99B" w14:textId="77777777" w:rsidR="008438FA" w:rsidRPr="008438FA" w:rsidRDefault="008438FA" w:rsidP="003D458E">
      <w:pPr>
        <w:widowControl/>
        <w:autoSpaceDE/>
        <w:autoSpaceDN/>
        <w:jc w:val="both"/>
        <w:textAlignment w:val="auto"/>
        <w:rPr>
          <w:rFonts w:ascii="Arial" w:eastAsiaTheme="minorHAnsi" w:hAnsi="Arial" w:cs="Arial"/>
          <w:b/>
          <w:i/>
          <w:sz w:val="22"/>
          <w:szCs w:val="22"/>
          <w:lang w:val="es-ES"/>
        </w:rPr>
      </w:pPr>
    </w:p>
    <w:p w14:paraId="77ED63D5"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r w:rsidRPr="008438FA">
        <w:rPr>
          <w:rFonts w:ascii="Arial" w:eastAsiaTheme="minorHAnsi" w:hAnsi="Arial" w:cs="Arial"/>
          <w:b/>
          <w:i/>
          <w:sz w:val="22"/>
          <w:szCs w:val="22"/>
          <w:lang w:val="es-ES"/>
        </w:rPr>
        <w:t xml:space="preserve">Dirigido al Consejo Científico </w:t>
      </w:r>
    </w:p>
    <w:p w14:paraId="691BC8E1"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69F64C28" w14:textId="77777777" w:rsidR="008438FA" w:rsidRPr="008438FA" w:rsidRDefault="008438FA" w:rsidP="00034047">
      <w:pPr>
        <w:widowControl/>
        <w:autoSpaceDE/>
        <w:autoSpaceDN/>
        <w:ind w:left="720" w:hanging="72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14.CC</w:t>
      </w:r>
      <w:r w:rsidRPr="008438FA">
        <w:rPr>
          <w:rFonts w:ascii="Arial" w:eastAsiaTheme="minorHAnsi" w:hAnsi="Arial" w:cs="Arial"/>
          <w:sz w:val="22"/>
          <w:szCs w:val="22"/>
          <w:lang w:val="es-ES"/>
        </w:rPr>
        <w:tab/>
        <w:t>Se solicita al Consejo Científico:</w:t>
      </w:r>
    </w:p>
    <w:p w14:paraId="28D4945E" w14:textId="77777777" w:rsidR="008438FA" w:rsidRPr="008438FA" w:rsidRDefault="008438FA" w:rsidP="003D458E">
      <w:pPr>
        <w:widowControl/>
        <w:autoSpaceDE/>
        <w:autoSpaceDN/>
        <w:ind w:left="720" w:hanging="720"/>
        <w:jc w:val="both"/>
        <w:textAlignment w:val="auto"/>
        <w:rPr>
          <w:rFonts w:ascii="Arial" w:eastAsiaTheme="minorHAnsi" w:hAnsi="Arial" w:cs="Arial"/>
          <w:sz w:val="22"/>
          <w:szCs w:val="22"/>
          <w:lang w:val="es-ES"/>
        </w:rPr>
      </w:pPr>
    </w:p>
    <w:p w14:paraId="7E4C9AF5" w14:textId="77777777" w:rsidR="008438FA" w:rsidRPr="008438FA" w:rsidRDefault="008438FA" w:rsidP="00034047">
      <w:pPr>
        <w:widowControl/>
        <w:numPr>
          <w:ilvl w:val="0"/>
          <w:numId w:val="2"/>
        </w:numPr>
        <w:autoSpaceDE/>
        <w:autoSpaceDN/>
        <w:ind w:left="1260" w:hanging="54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tener en cuenta las recomendaciones del Grupo de Trabajo sobre la Carne de Animales Salvajes Acuáticos presentados ante la 7.</w:t>
      </w:r>
      <w:r w:rsidRPr="008438FA">
        <w:rPr>
          <w:rFonts w:ascii="Arial" w:eastAsiaTheme="minorHAnsi" w:hAnsi="Arial" w:cs="Arial"/>
          <w:sz w:val="22"/>
          <w:szCs w:val="22"/>
          <w:vertAlign w:val="superscript"/>
          <w:lang w:val="es-ES"/>
        </w:rPr>
        <w:t>a</w:t>
      </w:r>
      <w:r w:rsidRPr="008438FA">
        <w:rPr>
          <w:rFonts w:ascii="Arial" w:eastAsiaTheme="minorHAnsi" w:hAnsi="Arial" w:cs="Arial"/>
          <w:sz w:val="22"/>
          <w:szCs w:val="22"/>
          <w:lang w:val="es-ES"/>
        </w:rPr>
        <w:t xml:space="preserve"> reunión del Comité del Período de Sesiones y abordar los asuntos que requieran una atención más amplia por parte del Consejo Científico;</w:t>
      </w:r>
    </w:p>
    <w:p w14:paraId="5BE1ADC7" w14:textId="77777777" w:rsidR="008438FA" w:rsidRPr="008438FA" w:rsidRDefault="008438FA" w:rsidP="00034047">
      <w:pPr>
        <w:autoSpaceDE/>
        <w:autoSpaceDN/>
        <w:ind w:left="1260" w:hanging="540"/>
        <w:jc w:val="both"/>
        <w:textAlignment w:val="auto"/>
        <w:rPr>
          <w:rFonts w:ascii="Arial" w:eastAsiaTheme="minorHAnsi" w:hAnsi="Arial" w:cs="Arial"/>
          <w:sz w:val="22"/>
          <w:szCs w:val="22"/>
          <w:lang w:val="es-ES"/>
        </w:rPr>
      </w:pPr>
    </w:p>
    <w:p w14:paraId="7BD48009" w14:textId="77777777" w:rsidR="008438FA" w:rsidRPr="008438FA" w:rsidRDefault="008438FA" w:rsidP="00034047">
      <w:pPr>
        <w:widowControl/>
        <w:numPr>
          <w:ilvl w:val="0"/>
          <w:numId w:val="2"/>
        </w:numPr>
        <w:autoSpaceDE/>
        <w:autoSpaceDN/>
        <w:ind w:left="1260" w:hanging="540"/>
        <w:jc w:val="both"/>
        <w:textAlignment w:val="auto"/>
        <w:rPr>
          <w:rFonts w:ascii="Arial" w:eastAsiaTheme="minorHAnsi" w:hAnsi="Arial" w:cstheme="minorBidi"/>
          <w:sz w:val="22"/>
          <w:szCs w:val="22"/>
          <w:lang w:val="es-ES"/>
        </w:rPr>
      </w:pPr>
      <w:r w:rsidRPr="008438FA">
        <w:rPr>
          <w:rFonts w:ascii="Arial" w:eastAsiaTheme="minorHAnsi" w:hAnsi="Arial" w:cs="Arial"/>
          <w:sz w:val="22"/>
          <w:szCs w:val="22"/>
          <w:lang w:val="es-ES"/>
        </w:rPr>
        <w:lastRenderedPageBreak/>
        <w:t>tener en cuenta las recomendaciones del Grupo de Trabajo sobre la Carne de Animales Salvajes Acuáticos presentados ante la 8.</w:t>
      </w:r>
      <w:r w:rsidRPr="008438FA">
        <w:rPr>
          <w:rFonts w:ascii="Arial" w:eastAsiaTheme="minorHAnsi" w:hAnsi="Arial" w:cs="Arial"/>
          <w:sz w:val="22"/>
          <w:szCs w:val="22"/>
          <w:vertAlign w:val="superscript"/>
          <w:lang w:val="es-ES"/>
        </w:rPr>
        <w:t xml:space="preserve">a </w:t>
      </w:r>
      <w:r w:rsidRPr="008438FA">
        <w:rPr>
          <w:rFonts w:ascii="Arial" w:eastAsiaTheme="minorHAnsi" w:hAnsi="Arial" w:cs="Arial"/>
          <w:sz w:val="22"/>
          <w:szCs w:val="22"/>
          <w:lang w:val="es-ES"/>
        </w:rPr>
        <w:t>reunión del Comité del Período de Sesiones y prestar asesoramiento a la 15.</w:t>
      </w:r>
      <w:r w:rsidRPr="008438FA">
        <w:rPr>
          <w:rFonts w:ascii="Arial" w:eastAsiaTheme="minorHAnsi" w:hAnsi="Arial" w:cs="Arial"/>
          <w:sz w:val="22"/>
          <w:szCs w:val="22"/>
          <w:vertAlign w:val="superscript"/>
          <w:lang w:val="es-ES"/>
        </w:rPr>
        <w:t>a</w:t>
      </w:r>
      <w:r w:rsidRPr="008438FA">
        <w:rPr>
          <w:rFonts w:ascii="Arial" w:eastAsiaTheme="minorHAnsi" w:hAnsi="Arial" w:cs="Arial"/>
          <w:sz w:val="22"/>
          <w:szCs w:val="22"/>
          <w:lang w:val="es-ES"/>
        </w:rPr>
        <w:t xml:space="preserve"> reunión de la Conferencia de las Partes.</w:t>
      </w:r>
    </w:p>
    <w:p w14:paraId="2240C3D2" w14:textId="77777777" w:rsidR="008438FA" w:rsidRPr="008438FA" w:rsidRDefault="008438FA" w:rsidP="003D458E">
      <w:pPr>
        <w:widowControl/>
        <w:autoSpaceDE/>
        <w:autoSpaceDN/>
        <w:jc w:val="both"/>
        <w:textAlignment w:val="auto"/>
        <w:rPr>
          <w:rFonts w:ascii="Arial" w:eastAsiaTheme="minorHAnsi" w:hAnsi="Arial" w:cs="Arial"/>
          <w:b/>
          <w:i/>
          <w:sz w:val="22"/>
          <w:szCs w:val="22"/>
          <w:lang w:val="es-ES"/>
        </w:rPr>
      </w:pPr>
    </w:p>
    <w:p w14:paraId="29A50E28" w14:textId="77777777" w:rsidR="008438FA" w:rsidRPr="008438FA" w:rsidRDefault="008438FA" w:rsidP="003D458E">
      <w:pPr>
        <w:widowControl/>
        <w:autoSpaceDE/>
        <w:autoSpaceDN/>
        <w:jc w:val="both"/>
        <w:textAlignment w:val="auto"/>
        <w:rPr>
          <w:rFonts w:ascii="Arial" w:eastAsiaTheme="minorHAnsi" w:hAnsi="Arial" w:cs="Arial"/>
          <w:b/>
          <w:i/>
          <w:sz w:val="22"/>
          <w:szCs w:val="22"/>
          <w:lang w:val="es-ES"/>
        </w:rPr>
      </w:pPr>
      <w:r w:rsidRPr="008438FA">
        <w:rPr>
          <w:rFonts w:ascii="Arial" w:eastAsiaTheme="minorHAnsi" w:hAnsi="Arial" w:cs="Arial"/>
          <w:b/>
          <w:i/>
          <w:sz w:val="22"/>
          <w:szCs w:val="22"/>
          <w:lang w:val="es-ES"/>
        </w:rPr>
        <w:t>Dirigido a la Secretaría</w:t>
      </w:r>
    </w:p>
    <w:p w14:paraId="3C1CD738"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39794C25" w14:textId="77777777" w:rsidR="008438FA" w:rsidRPr="008438FA" w:rsidRDefault="008438FA" w:rsidP="00034047">
      <w:pPr>
        <w:widowControl/>
        <w:autoSpaceDE/>
        <w:autoSpaceDN/>
        <w:ind w:left="720" w:hanging="720"/>
        <w:jc w:val="both"/>
        <w:textAlignment w:val="auto"/>
        <w:rPr>
          <w:rFonts w:ascii="Arial" w:eastAsiaTheme="minorHAnsi" w:hAnsi="Arial" w:cs="Arial"/>
          <w:iCs/>
          <w:sz w:val="22"/>
          <w:szCs w:val="22"/>
          <w:lang w:val="es-ES"/>
        </w:rPr>
      </w:pPr>
      <w:r w:rsidRPr="008438FA">
        <w:rPr>
          <w:rFonts w:ascii="Arial" w:eastAsiaTheme="minorHAnsi" w:hAnsi="Arial" w:cs="Arial"/>
          <w:sz w:val="22"/>
          <w:szCs w:val="22"/>
          <w:lang w:val="es-ES"/>
        </w:rPr>
        <w:t>14.DD</w:t>
      </w:r>
      <w:r w:rsidRPr="008438FA">
        <w:rPr>
          <w:rFonts w:ascii="Arial" w:eastAsiaTheme="minorHAnsi" w:hAnsi="Arial" w:cs="Arial"/>
          <w:sz w:val="22"/>
          <w:szCs w:val="22"/>
          <w:lang w:val="es-ES"/>
        </w:rPr>
        <w:tab/>
        <w:t xml:space="preserve">La Secretaría deberá: </w:t>
      </w:r>
    </w:p>
    <w:p w14:paraId="7D6B083F" w14:textId="77777777" w:rsidR="008438FA" w:rsidRPr="008438FA" w:rsidRDefault="008438FA" w:rsidP="003D458E">
      <w:pPr>
        <w:widowControl/>
        <w:autoSpaceDE/>
        <w:autoSpaceDN/>
        <w:textAlignment w:val="auto"/>
        <w:rPr>
          <w:rFonts w:ascii="Arial" w:eastAsiaTheme="minorHAnsi" w:hAnsi="Arial" w:cstheme="minorBidi"/>
          <w:sz w:val="22"/>
          <w:szCs w:val="22"/>
          <w:lang w:val="es-ES"/>
        </w:rPr>
      </w:pPr>
    </w:p>
    <w:p w14:paraId="0E284CCE" w14:textId="77777777" w:rsidR="008438FA" w:rsidRPr="008438FA" w:rsidRDefault="008438FA" w:rsidP="00034047">
      <w:pPr>
        <w:widowControl/>
        <w:numPr>
          <w:ilvl w:val="0"/>
          <w:numId w:val="14"/>
        </w:numPr>
        <w:autoSpaceDE/>
        <w:autoSpaceDN/>
        <w:ind w:left="1260" w:hanging="540"/>
        <w:contextualSpacing/>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t>consultar al Grupo de Trabajo sobre la Carne de Animales Salvajes Acuáticos del Consejo Científico con respecto a la información que deba compartirse con otros foros internacionales, como la Asociación de colaboración para la gestión sostenible de la fauna y flora silvestres y la CITES;</w:t>
      </w:r>
    </w:p>
    <w:p w14:paraId="3B172E50" w14:textId="77777777" w:rsidR="008438FA" w:rsidRPr="008438FA" w:rsidRDefault="008438FA" w:rsidP="00034047">
      <w:pPr>
        <w:widowControl/>
        <w:autoSpaceDE/>
        <w:autoSpaceDN/>
        <w:ind w:left="1260" w:hanging="540"/>
        <w:jc w:val="both"/>
        <w:textAlignment w:val="auto"/>
        <w:rPr>
          <w:rFonts w:ascii="Arial" w:eastAsiaTheme="minorHAnsi" w:hAnsi="Arial" w:cstheme="minorBidi"/>
          <w:sz w:val="22"/>
          <w:szCs w:val="22"/>
          <w:lang w:val="es-ES"/>
        </w:rPr>
      </w:pPr>
    </w:p>
    <w:p w14:paraId="035884BD" w14:textId="77777777" w:rsidR="008438FA" w:rsidRPr="008438FA" w:rsidRDefault="008438FA" w:rsidP="00034047">
      <w:pPr>
        <w:widowControl/>
        <w:numPr>
          <w:ilvl w:val="0"/>
          <w:numId w:val="14"/>
        </w:numPr>
        <w:autoSpaceDE/>
        <w:autoSpaceDN/>
        <w:ind w:left="1260" w:hanging="540"/>
        <w:contextualSpacing/>
        <w:jc w:val="both"/>
        <w:textAlignment w:val="auto"/>
        <w:rPr>
          <w:rFonts w:ascii="Arial" w:eastAsiaTheme="minorHAnsi" w:hAnsi="Arial" w:cstheme="minorBidi"/>
          <w:sz w:val="22"/>
          <w:szCs w:val="22"/>
          <w:lang w:val="es-ES"/>
        </w:rPr>
      </w:pPr>
      <w:r w:rsidRPr="008438FA">
        <w:rPr>
          <w:rFonts w:ascii="Arial" w:eastAsiaTheme="minorHAnsi" w:hAnsi="Arial" w:cstheme="minorBidi"/>
          <w:sz w:val="22"/>
          <w:szCs w:val="22"/>
          <w:lang w:val="es-ES"/>
        </w:rPr>
        <w:t>apoyar la labor del Grupo de Trabajo sobre la Carne de Animales Salvajes Acuáticos.</w:t>
      </w:r>
    </w:p>
    <w:p w14:paraId="75E8F9AF" w14:textId="77777777" w:rsidR="008438FA" w:rsidRPr="008438FA" w:rsidRDefault="008438FA" w:rsidP="003D458E">
      <w:pPr>
        <w:autoSpaceDE/>
        <w:autoSpaceDN/>
        <w:jc w:val="both"/>
        <w:textAlignment w:val="auto"/>
        <w:rPr>
          <w:rFonts w:ascii="Arial" w:eastAsiaTheme="minorHAnsi" w:hAnsi="Arial" w:cs="Arial"/>
          <w:iCs/>
          <w:sz w:val="22"/>
          <w:szCs w:val="22"/>
          <w:lang w:val="es-ES"/>
        </w:rPr>
      </w:pPr>
    </w:p>
    <w:p w14:paraId="05BFA32B" w14:textId="77777777" w:rsidR="008438FA" w:rsidRPr="008438FA" w:rsidRDefault="008438FA" w:rsidP="003D458E">
      <w:pPr>
        <w:autoSpaceDE/>
        <w:autoSpaceDN/>
        <w:jc w:val="both"/>
        <w:textAlignment w:val="auto"/>
        <w:rPr>
          <w:rFonts w:ascii="Arial" w:eastAsiaTheme="minorHAnsi" w:hAnsi="Arial" w:cs="Arial"/>
          <w:iCs/>
          <w:sz w:val="22"/>
          <w:szCs w:val="22"/>
          <w:lang w:val="es-ES"/>
        </w:rPr>
      </w:pPr>
    </w:p>
    <w:p w14:paraId="23E34E03" w14:textId="77777777" w:rsidR="008438FA" w:rsidRPr="008438FA" w:rsidRDefault="008438FA" w:rsidP="003D458E">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s-ES"/>
        </w:rPr>
      </w:pPr>
      <w:r w:rsidRPr="008438FA">
        <w:rPr>
          <w:rFonts w:ascii="Arial" w:hAnsi="Arial" w:cs="Arial"/>
          <w:b/>
          <w:bCs/>
          <w:sz w:val="22"/>
          <w:szCs w:val="22"/>
          <w:lang w:val="es-ES"/>
        </w:rPr>
        <w:t>PLAN DE ACCIÓN PARA ABORDAR LA CAPTURA DE CARNE DE ANIMALES SALVAJES ACUÁTICOS EN ÁFRICA OCCIDENTAL</w:t>
      </w:r>
    </w:p>
    <w:p w14:paraId="62349511" w14:textId="77777777" w:rsidR="008438FA" w:rsidRPr="008438FA" w:rsidRDefault="008438FA" w:rsidP="003D458E">
      <w:pPr>
        <w:widowControl/>
        <w:autoSpaceDE/>
        <w:autoSpaceDN/>
        <w:textAlignment w:val="auto"/>
        <w:rPr>
          <w:rFonts w:ascii="Arial" w:eastAsiaTheme="minorHAnsi" w:hAnsi="Arial" w:cs="Arial"/>
          <w:sz w:val="22"/>
          <w:szCs w:val="22"/>
          <w:lang w:val="es-ES"/>
        </w:rPr>
      </w:pPr>
    </w:p>
    <w:p w14:paraId="16478E10" w14:textId="77777777" w:rsidR="008438FA" w:rsidRPr="008438FA" w:rsidRDefault="008438FA" w:rsidP="003D458E">
      <w:pPr>
        <w:widowControl/>
        <w:autoSpaceDE/>
        <w:autoSpaceDN/>
        <w:textAlignment w:val="auto"/>
        <w:rPr>
          <w:rFonts w:ascii="Arial" w:eastAsiaTheme="minorHAnsi" w:hAnsi="Arial" w:cs="Arial"/>
          <w:sz w:val="22"/>
          <w:szCs w:val="22"/>
          <w:lang w:val="es-ES"/>
        </w:rPr>
      </w:pPr>
    </w:p>
    <w:p w14:paraId="5221A9F8" w14:textId="77777777" w:rsidR="008438FA" w:rsidRPr="008438FA" w:rsidRDefault="008438FA" w:rsidP="003D458E">
      <w:pPr>
        <w:widowControl/>
        <w:autoSpaceDE/>
        <w:autoSpaceDN/>
        <w:jc w:val="both"/>
        <w:textAlignment w:val="auto"/>
        <w:rPr>
          <w:rFonts w:ascii="Arial" w:eastAsiaTheme="minorHAnsi" w:hAnsi="Arial" w:cs="Arial"/>
          <w:b/>
          <w:i/>
          <w:sz w:val="22"/>
          <w:szCs w:val="22"/>
          <w:lang w:val="es-ES"/>
        </w:rPr>
      </w:pPr>
      <w:r w:rsidRPr="008438FA">
        <w:rPr>
          <w:rFonts w:ascii="Arial" w:eastAsiaTheme="minorHAnsi" w:hAnsi="Arial" w:cs="Arial"/>
          <w:b/>
          <w:i/>
          <w:sz w:val="22"/>
          <w:szCs w:val="22"/>
          <w:lang w:val="es-ES"/>
        </w:rPr>
        <w:t>Dirigido a las Partes</w:t>
      </w:r>
    </w:p>
    <w:p w14:paraId="708264BC" w14:textId="77777777" w:rsidR="008438FA" w:rsidRPr="008438FA" w:rsidRDefault="008438FA" w:rsidP="003D458E">
      <w:pPr>
        <w:autoSpaceDE/>
        <w:autoSpaceDN/>
        <w:jc w:val="both"/>
        <w:textAlignment w:val="auto"/>
        <w:rPr>
          <w:rFonts w:ascii="Arial" w:eastAsiaTheme="minorHAnsi" w:hAnsi="Arial" w:cs="Arial"/>
          <w:sz w:val="22"/>
          <w:szCs w:val="22"/>
          <w:lang w:val="es-ES"/>
        </w:rPr>
      </w:pPr>
    </w:p>
    <w:p w14:paraId="555F71BD" w14:textId="77777777" w:rsidR="008438FA" w:rsidRPr="008438FA" w:rsidRDefault="008438FA" w:rsidP="00034047">
      <w:pPr>
        <w:widowControl/>
        <w:autoSpaceDE/>
        <w:autoSpaceDN/>
        <w:ind w:left="720" w:hanging="720"/>
        <w:jc w:val="both"/>
        <w:textAlignment w:val="auto"/>
        <w:rPr>
          <w:rFonts w:ascii="Arial" w:eastAsiaTheme="minorHAnsi" w:hAnsi="Arial" w:cs="Arial"/>
          <w:iCs/>
          <w:sz w:val="22"/>
          <w:szCs w:val="22"/>
          <w:lang w:val="es-ES"/>
        </w:rPr>
      </w:pPr>
      <w:r w:rsidRPr="008438FA">
        <w:rPr>
          <w:rFonts w:ascii="Arial" w:eastAsiaTheme="minorHAnsi" w:hAnsi="Arial" w:cs="Arial"/>
          <w:sz w:val="22"/>
          <w:szCs w:val="22"/>
          <w:lang w:val="es-ES"/>
        </w:rPr>
        <w:t>14.EE</w:t>
      </w:r>
      <w:r w:rsidRPr="008438FA">
        <w:rPr>
          <w:rFonts w:ascii="Arial" w:eastAsiaTheme="minorHAnsi" w:hAnsi="Arial" w:cs="Arial"/>
          <w:sz w:val="22"/>
          <w:szCs w:val="22"/>
          <w:lang w:val="es-ES"/>
        </w:rPr>
        <w:tab/>
      </w:r>
      <w:r w:rsidRPr="008438FA">
        <w:rPr>
          <w:rFonts w:ascii="Arial" w:eastAsiaTheme="minorHAnsi" w:hAnsi="Arial" w:cs="Arial"/>
          <w:iCs/>
          <w:sz w:val="22"/>
          <w:szCs w:val="22"/>
          <w:lang w:val="es-ES"/>
        </w:rPr>
        <w:t>Se solicita a las Partes que son Estados del área de distribución del Plan de Acción para abordar la Captura de Carne de Animales Salvajes Acuáticos en África Occidental que:</w:t>
      </w:r>
    </w:p>
    <w:p w14:paraId="499B39CC" w14:textId="77777777" w:rsidR="008438FA" w:rsidRPr="008438FA" w:rsidRDefault="008438FA" w:rsidP="003D458E">
      <w:pPr>
        <w:widowControl/>
        <w:autoSpaceDE/>
        <w:autoSpaceDN/>
        <w:ind w:left="720" w:hanging="720"/>
        <w:jc w:val="both"/>
        <w:textAlignment w:val="auto"/>
        <w:rPr>
          <w:rFonts w:ascii="Arial" w:eastAsiaTheme="minorHAnsi" w:hAnsi="Arial" w:cs="Arial"/>
          <w:iCs/>
          <w:sz w:val="22"/>
          <w:szCs w:val="22"/>
          <w:lang w:val="es-ES"/>
        </w:rPr>
      </w:pPr>
    </w:p>
    <w:p w14:paraId="630534A7" w14:textId="77777777" w:rsidR="008438FA" w:rsidRPr="008438FA" w:rsidRDefault="008438FA" w:rsidP="00034047">
      <w:pPr>
        <w:widowControl/>
        <w:numPr>
          <w:ilvl w:val="0"/>
          <w:numId w:val="11"/>
        </w:numPr>
        <w:autoSpaceDE/>
        <w:autoSpaceDN/>
        <w:adjustRightInd w:val="0"/>
        <w:ind w:left="1260" w:hanging="540"/>
        <w:jc w:val="both"/>
        <w:textAlignment w:val="auto"/>
        <w:rPr>
          <w:rFonts w:ascii="Arial" w:eastAsiaTheme="minorHAnsi" w:hAnsi="Arial" w:cs="Arial"/>
          <w:iCs/>
          <w:sz w:val="22"/>
          <w:szCs w:val="22"/>
          <w:lang w:val="es-ES"/>
        </w:rPr>
      </w:pPr>
      <w:r w:rsidRPr="008438FA">
        <w:rPr>
          <w:rFonts w:ascii="Arial" w:eastAsiaTheme="minorHAnsi" w:hAnsi="Arial" w:cs="Arial"/>
          <w:iCs/>
          <w:sz w:val="22"/>
          <w:szCs w:val="22"/>
          <w:lang w:val="es-ES"/>
        </w:rPr>
        <w:t>como cuestión prioritaria, aborden las acciones marcadas como de aplicación inmediata y aquellas que deban llevarse a cabo antes de 2025 y 2026;</w:t>
      </w:r>
    </w:p>
    <w:p w14:paraId="59C1D9EF" w14:textId="77777777" w:rsidR="008438FA" w:rsidRPr="008438FA" w:rsidRDefault="008438FA" w:rsidP="00034047">
      <w:pPr>
        <w:adjustRightInd w:val="0"/>
        <w:ind w:left="1260" w:hanging="540"/>
        <w:jc w:val="both"/>
        <w:textAlignment w:val="auto"/>
        <w:rPr>
          <w:rFonts w:ascii="Arial" w:eastAsiaTheme="minorHAnsi" w:hAnsi="Arial" w:cs="Arial"/>
          <w:iCs/>
          <w:sz w:val="22"/>
          <w:szCs w:val="22"/>
          <w:lang w:val="es-ES"/>
        </w:rPr>
      </w:pPr>
    </w:p>
    <w:p w14:paraId="7CD29BE8" w14:textId="77777777" w:rsidR="008438FA" w:rsidRPr="008438FA" w:rsidRDefault="008438FA" w:rsidP="00034047">
      <w:pPr>
        <w:widowControl/>
        <w:numPr>
          <w:ilvl w:val="0"/>
          <w:numId w:val="11"/>
        </w:numPr>
        <w:autoSpaceDE/>
        <w:autoSpaceDN/>
        <w:adjustRightInd w:val="0"/>
        <w:ind w:left="1260" w:hanging="540"/>
        <w:jc w:val="both"/>
        <w:textAlignment w:val="auto"/>
        <w:rPr>
          <w:rFonts w:ascii="Arial" w:eastAsiaTheme="minorHAnsi" w:hAnsi="Arial" w:cs="Arial"/>
          <w:iCs/>
          <w:sz w:val="22"/>
          <w:szCs w:val="22"/>
          <w:lang w:val="es-ES"/>
        </w:rPr>
      </w:pPr>
      <w:r w:rsidRPr="008438FA">
        <w:rPr>
          <w:rFonts w:ascii="Arial" w:eastAsiaTheme="minorHAnsi" w:hAnsi="Arial" w:cs="Arial"/>
          <w:iCs/>
          <w:sz w:val="22"/>
          <w:szCs w:val="22"/>
          <w:lang w:val="es-ES"/>
        </w:rPr>
        <w:t xml:space="preserve">creen las estructuras necesarias, por ejemplo, mediante la formación de grupos de trabajo nacionales, para garantizar la colaboración </w:t>
      </w:r>
      <w:r w:rsidRPr="008438FA">
        <w:rPr>
          <w:rFonts w:ascii="Arial" w:hAnsi="Arial" w:cs="Arial"/>
          <w:sz w:val="22"/>
          <w:szCs w:val="22"/>
          <w:lang w:val="es-ES"/>
        </w:rPr>
        <w:t>activa entre las partes interesadas dentro de cada país del área de distribución, con el fin de maximizar el uso eficaz de los recursos y la experiencia;</w:t>
      </w:r>
    </w:p>
    <w:p w14:paraId="36B41DAD" w14:textId="77777777" w:rsidR="008438FA" w:rsidRPr="008438FA" w:rsidRDefault="008438FA" w:rsidP="00034047">
      <w:pPr>
        <w:adjustRightInd w:val="0"/>
        <w:ind w:left="1260" w:hanging="540"/>
        <w:jc w:val="both"/>
        <w:textAlignment w:val="auto"/>
        <w:rPr>
          <w:rFonts w:ascii="Arial" w:eastAsiaTheme="minorHAnsi" w:hAnsi="Arial" w:cs="Arial"/>
          <w:iCs/>
          <w:sz w:val="22"/>
          <w:szCs w:val="22"/>
          <w:lang w:val="es-ES"/>
        </w:rPr>
      </w:pPr>
    </w:p>
    <w:p w14:paraId="36E33C35" w14:textId="77777777" w:rsidR="008438FA" w:rsidRPr="008438FA" w:rsidRDefault="008438FA" w:rsidP="00034047">
      <w:pPr>
        <w:widowControl/>
        <w:numPr>
          <w:ilvl w:val="0"/>
          <w:numId w:val="11"/>
        </w:numPr>
        <w:autoSpaceDE/>
        <w:autoSpaceDN/>
        <w:adjustRightInd w:val="0"/>
        <w:ind w:left="1260" w:hanging="540"/>
        <w:jc w:val="both"/>
        <w:textAlignment w:val="auto"/>
        <w:rPr>
          <w:rFonts w:ascii="Arial" w:eastAsiaTheme="minorHAnsi" w:hAnsi="Arial" w:cs="Arial"/>
          <w:iCs/>
          <w:sz w:val="22"/>
          <w:szCs w:val="22"/>
          <w:lang w:val="es-ES"/>
        </w:rPr>
      </w:pPr>
      <w:r w:rsidRPr="008438FA">
        <w:rPr>
          <w:rFonts w:ascii="Arial" w:eastAsiaTheme="minorHAnsi" w:hAnsi="Arial" w:cs="Arial"/>
          <w:iCs/>
          <w:sz w:val="22"/>
          <w:szCs w:val="22"/>
          <w:lang w:val="es-ES"/>
        </w:rPr>
        <w:t>proporcionen un breve informe sobre la ejecución del Plan de Acción que llegue a tiempo para la última reunión del Comité del Período de Sesiones antes de la 15.</w:t>
      </w:r>
      <w:r w:rsidRPr="008438FA">
        <w:rPr>
          <w:rFonts w:ascii="Arial" w:eastAsiaTheme="minorHAnsi" w:hAnsi="Arial" w:cs="Arial"/>
          <w:iCs/>
          <w:sz w:val="22"/>
          <w:szCs w:val="22"/>
          <w:vertAlign w:val="superscript"/>
          <w:lang w:val="es-ES"/>
        </w:rPr>
        <w:t>a</w:t>
      </w:r>
      <w:r w:rsidRPr="008438FA">
        <w:rPr>
          <w:rFonts w:ascii="Arial" w:eastAsiaTheme="minorHAnsi" w:hAnsi="Arial" w:cs="Arial"/>
          <w:iCs/>
          <w:sz w:val="22"/>
          <w:szCs w:val="22"/>
          <w:lang w:val="es-ES"/>
        </w:rPr>
        <w:t xml:space="preserve"> reunión de la Conferencia de las Partes (COP15) utilizando una plantilla proporcionada por la Secretaría.</w:t>
      </w:r>
    </w:p>
    <w:p w14:paraId="4689863C" w14:textId="77777777" w:rsidR="008438FA" w:rsidRPr="008438FA" w:rsidRDefault="008438FA" w:rsidP="003D458E">
      <w:pPr>
        <w:autoSpaceDE/>
        <w:autoSpaceDN/>
        <w:jc w:val="both"/>
        <w:textAlignment w:val="auto"/>
        <w:rPr>
          <w:rFonts w:ascii="Arial" w:eastAsiaTheme="minorHAnsi" w:hAnsi="Arial" w:cs="Arial"/>
          <w:sz w:val="22"/>
          <w:szCs w:val="22"/>
          <w:lang w:val="es-ES"/>
        </w:rPr>
      </w:pPr>
    </w:p>
    <w:p w14:paraId="24EF827E"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r w:rsidRPr="008438FA">
        <w:rPr>
          <w:rFonts w:ascii="Arial" w:eastAsiaTheme="minorHAnsi" w:hAnsi="Arial" w:cs="Arial"/>
          <w:b/>
          <w:i/>
          <w:sz w:val="22"/>
          <w:szCs w:val="22"/>
          <w:lang w:val="es-ES"/>
        </w:rPr>
        <w:t xml:space="preserve">Dirigido al Consejo Científico a través de su Grupo de Trabajo sobre la Carne de Animales Salvajes Acuáticos </w:t>
      </w:r>
    </w:p>
    <w:p w14:paraId="136DD552"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779D7172" w14:textId="77777777" w:rsidR="008438FA" w:rsidRPr="008438FA" w:rsidRDefault="008438FA" w:rsidP="00034047">
      <w:pPr>
        <w:widowControl/>
        <w:autoSpaceDE/>
        <w:autoSpaceDN/>
        <w:ind w:left="720" w:hanging="72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14.FF</w:t>
      </w:r>
      <w:r w:rsidRPr="008438FA">
        <w:rPr>
          <w:rFonts w:ascii="Arial" w:eastAsiaTheme="minorHAnsi" w:hAnsi="Arial" w:cs="Arial"/>
          <w:sz w:val="22"/>
          <w:szCs w:val="22"/>
          <w:lang w:val="es-ES"/>
        </w:rPr>
        <w:tab/>
        <w:t>Se solicita al Consejo Científico a través de su Grupo de Trabajo sobre la Carne de Animales Salvajes Acuáticos:</w:t>
      </w:r>
    </w:p>
    <w:p w14:paraId="6E160744" w14:textId="77777777" w:rsidR="008438FA" w:rsidRPr="008438FA" w:rsidRDefault="008438FA" w:rsidP="003D458E">
      <w:pPr>
        <w:widowControl/>
        <w:autoSpaceDE/>
        <w:autoSpaceDN/>
        <w:jc w:val="both"/>
        <w:textAlignment w:val="auto"/>
        <w:rPr>
          <w:rFonts w:ascii="Arial" w:eastAsiaTheme="minorHAnsi" w:hAnsi="Arial" w:cstheme="minorBidi"/>
          <w:sz w:val="22"/>
          <w:szCs w:val="22"/>
          <w:lang w:val="es-ES"/>
        </w:rPr>
      </w:pPr>
    </w:p>
    <w:p w14:paraId="5E21A86C" w14:textId="77777777" w:rsidR="008438FA" w:rsidRPr="008438FA" w:rsidRDefault="008438FA" w:rsidP="00034047">
      <w:pPr>
        <w:widowControl/>
        <w:numPr>
          <w:ilvl w:val="0"/>
          <w:numId w:val="12"/>
        </w:numPr>
        <w:autoSpaceDE/>
        <w:autoSpaceDN/>
        <w:ind w:left="1260" w:hanging="54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ayudar a la Secretaría a elaborar una plantilla de presentación de informes que sea sencilla y esté diseñada para recopilar información básica sobre la ejecución del Plan de Acción;</w:t>
      </w:r>
    </w:p>
    <w:p w14:paraId="4C4726A7" w14:textId="77777777" w:rsidR="008438FA" w:rsidRPr="008438FA" w:rsidRDefault="008438FA" w:rsidP="00034047">
      <w:pPr>
        <w:autoSpaceDE/>
        <w:autoSpaceDN/>
        <w:ind w:left="1260" w:hanging="540"/>
        <w:jc w:val="both"/>
        <w:textAlignment w:val="auto"/>
        <w:rPr>
          <w:rFonts w:ascii="Arial" w:eastAsiaTheme="minorHAnsi" w:hAnsi="Arial" w:cs="Arial"/>
          <w:sz w:val="22"/>
          <w:szCs w:val="22"/>
          <w:lang w:val="es-ES"/>
        </w:rPr>
      </w:pPr>
    </w:p>
    <w:p w14:paraId="60A2B254" w14:textId="77777777" w:rsidR="008438FA" w:rsidRPr="008438FA" w:rsidRDefault="008438FA" w:rsidP="00034047">
      <w:pPr>
        <w:widowControl/>
        <w:numPr>
          <w:ilvl w:val="0"/>
          <w:numId w:val="12"/>
        </w:numPr>
        <w:autoSpaceDE/>
        <w:autoSpaceDN/>
        <w:ind w:left="1260" w:hanging="54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analizar la información proporcionada por las Partes sobre la ejecución del Plan de Acción y preparar un breve resumen y análisis;</w:t>
      </w:r>
    </w:p>
    <w:p w14:paraId="5CA01C4D" w14:textId="77777777" w:rsidR="008438FA" w:rsidRPr="008438FA" w:rsidRDefault="008438FA" w:rsidP="00034047">
      <w:pPr>
        <w:widowControl/>
        <w:autoSpaceDE/>
        <w:autoSpaceDN/>
        <w:ind w:left="1260" w:hanging="540"/>
        <w:contextualSpacing/>
        <w:textAlignment w:val="auto"/>
        <w:rPr>
          <w:rFonts w:ascii="Arial" w:eastAsiaTheme="minorHAnsi" w:hAnsi="Arial" w:cs="Arial"/>
          <w:sz w:val="22"/>
          <w:szCs w:val="22"/>
          <w:lang w:val="es-ES"/>
        </w:rPr>
      </w:pPr>
    </w:p>
    <w:p w14:paraId="056AA35F" w14:textId="77777777" w:rsidR="008438FA" w:rsidRPr="008438FA" w:rsidRDefault="008438FA" w:rsidP="00034047">
      <w:pPr>
        <w:widowControl/>
        <w:numPr>
          <w:ilvl w:val="0"/>
          <w:numId w:val="12"/>
        </w:numPr>
        <w:autoSpaceDE/>
        <w:autoSpaceDN/>
        <w:ind w:left="1260" w:hanging="54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lastRenderedPageBreak/>
        <w:t>emitir recomendaciones sobre la ejecución futura del Plan de Acción en la última reunión del Comité del Período de Sesiones del Consejo Científico antes de la COP15.</w:t>
      </w:r>
    </w:p>
    <w:p w14:paraId="0CA5FCA7" w14:textId="77777777" w:rsidR="008438FA" w:rsidRPr="008438FA" w:rsidRDefault="008438FA" w:rsidP="003D458E">
      <w:pPr>
        <w:widowControl/>
        <w:autoSpaceDE/>
        <w:autoSpaceDN/>
        <w:textAlignment w:val="auto"/>
        <w:rPr>
          <w:rFonts w:ascii="Arial" w:eastAsiaTheme="minorHAnsi" w:hAnsi="Arial" w:cs="Arial"/>
          <w:b/>
          <w:i/>
          <w:sz w:val="22"/>
          <w:szCs w:val="22"/>
          <w:lang w:val="es-ES"/>
        </w:rPr>
      </w:pPr>
    </w:p>
    <w:p w14:paraId="56DA4F95"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r w:rsidRPr="008438FA">
        <w:rPr>
          <w:rFonts w:ascii="Arial" w:eastAsiaTheme="minorHAnsi" w:hAnsi="Arial" w:cs="Arial"/>
          <w:b/>
          <w:i/>
          <w:sz w:val="22"/>
          <w:szCs w:val="22"/>
          <w:lang w:val="es-ES"/>
        </w:rPr>
        <w:t xml:space="preserve">Dirigido al Consejo Científico </w:t>
      </w:r>
    </w:p>
    <w:p w14:paraId="102BFAD2"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02420F27" w14:textId="77777777" w:rsidR="008438FA" w:rsidRPr="008438FA" w:rsidRDefault="008438FA" w:rsidP="00034047">
      <w:pPr>
        <w:widowControl/>
        <w:autoSpaceDE/>
        <w:autoSpaceDN/>
        <w:ind w:left="720" w:hanging="72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14.GG</w:t>
      </w:r>
      <w:r w:rsidRPr="008438FA">
        <w:rPr>
          <w:rFonts w:ascii="Arial" w:eastAsiaTheme="minorHAnsi" w:hAnsi="Arial" w:cs="Arial"/>
          <w:sz w:val="22"/>
          <w:szCs w:val="22"/>
          <w:lang w:val="es-ES"/>
        </w:rPr>
        <w:tab/>
        <w:t>Se solicita al Consejo Científico:</w:t>
      </w:r>
    </w:p>
    <w:p w14:paraId="3B4BFBDF" w14:textId="77777777" w:rsidR="008438FA" w:rsidRPr="008438FA" w:rsidRDefault="008438FA" w:rsidP="003D458E">
      <w:pPr>
        <w:widowControl/>
        <w:autoSpaceDE/>
        <w:autoSpaceDN/>
        <w:ind w:left="720" w:hanging="720"/>
        <w:jc w:val="both"/>
        <w:textAlignment w:val="auto"/>
        <w:rPr>
          <w:rFonts w:ascii="Arial" w:eastAsiaTheme="minorHAnsi" w:hAnsi="Arial" w:cs="Arial"/>
          <w:sz w:val="22"/>
          <w:szCs w:val="22"/>
          <w:lang w:val="es-ES"/>
        </w:rPr>
      </w:pPr>
    </w:p>
    <w:p w14:paraId="6D0A7666" w14:textId="77777777" w:rsidR="008438FA" w:rsidRPr="008438FA" w:rsidRDefault="008438FA" w:rsidP="00034047">
      <w:pPr>
        <w:widowControl/>
        <w:numPr>
          <w:ilvl w:val="0"/>
          <w:numId w:val="13"/>
        </w:numPr>
        <w:autoSpaceDE/>
        <w:autoSpaceDN/>
        <w:ind w:left="1260" w:hanging="540"/>
        <w:jc w:val="both"/>
        <w:textAlignment w:val="auto"/>
        <w:rPr>
          <w:rFonts w:ascii="Arial" w:eastAsiaTheme="minorHAnsi" w:hAnsi="Arial" w:cstheme="minorBidi"/>
          <w:sz w:val="22"/>
          <w:szCs w:val="22"/>
          <w:lang w:val="es-ES"/>
        </w:rPr>
      </w:pPr>
      <w:r w:rsidRPr="008438FA">
        <w:rPr>
          <w:rFonts w:ascii="Arial" w:eastAsiaTheme="minorHAnsi" w:hAnsi="Arial" w:cs="Arial"/>
          <w:sz w:val="22"/>
          <w:szCs w:val="22"/>
          <w:lang w:val="es-ES"/>
        </w:rPr>
        <w:t>tener en cuenta la información proporcionada por las Partes sobre la ejecución del Plan de Acción, así como el resumen y el análisis y las recomendaciones resultantes del Grupo de Trabajo sobre la Carne de Animales Salvajes Acuáticos;</w:t>
      </w:r>
    </w:p>
    <w:p w14:paraId="456D1679" w14:textId="77777777" w:rsidR="008438FA" w:rsidRPr="008438FA" w:rsidRDefault="008438FA" w:rsidP="00034047">
      <w:pPr>
        <w:autoSpaceDE/>
        <w:autoSpaceDN/>
        <w:ind w:left="1260" w:hanging="540"/>
        <w:jc w:val="both"/>
        <w:textAlignment w:val="auto"/>
        <w:rPr>
          <w:rFonts w:ascii="Arial" w:eastAsiaTheme="minorHAnsi" w:hAnsi="Arial" w:cstheme="minorBidi"/>
          <w:sz w:val="22"/>
          <w:szCs w:val="22"/>
          <w:lang w:val="es-ES"/>
        </w:rPr>
      </w:pPr>
    </w:p>
    <w:p w14:paraId="0503FDB2" w14:textId="77777777" w:rsidR="008438FA" w:rsidRPr="008438FA" w:rsidRDefault="008438FA" w:rsidP="00034047">
      <w:pPr>
        <w:widowControl/>
        <w:numPr>
          <w:ilvl w:val="0"/>
          <w:numId w:val="13"/>
        </w:numPr>
        <w:autoSpaceDE/>
        <w:autoSpaceDN/>
        <w:ind w:left="1260" w:hanging="540"/>
        <w:jc w:val="both"/>
        <w:textAlignment w:val="auto"/>
        <w:rPr>
          <w:rFonts w:ascii="Arial" w:eastAsiaTheme="minorHAnsi" w:hAnsi="Arial" w:cstheme="minorBidi"/>
          <w:sz w:val="22"/>
          <w:szCs w:val="22"/>
          <w:lang w:val="es-ES"/>
        </w:rPr>
      </w:pPr>
      <w:r w:rsidRPr="008438FA">
        <w:rPr>
          <w:rFonts w:ascii="Arial" w:eastAsiaTheme="minorHAnsi" w:hAnsi="Arial" w:cs="Arial"/>
          <w:sz w:val="22"/>
          <w:szCs w:val="22"/>
          <w:lang w:val="es-ES"/>
        </w:rPr>
        <w:t>proporcionar directrices a la COP15 sobre los métodos de ejecución futura del Plan de Acción.</w:t>
      </w:r>
    </w:p>
    <w:p w14:paraId="0528520F" w14:textId="77777777" w:rsidR="008438FA" w:rsidRPr="008438FA" w:rsidRDefault="008438FA" w:rsidP="003D458E">
      <w:pPr>
        <w:widowControl/>
        <w:autoSpaceDE/>
        <w:autoSpaceDN/>
        <w:jc w:val="both"/>
        <w:textAlignment w:val="auto"/>
        <w:rPr>
          <w:rFonts w:ascii="Arial" w:eastAsiaTheme="minorHAnsi" w:hAnsi="Arial" w:cs="Arial"/>
          <w:b/>
          <w:i/>
          <w:sz w:val="22"/>
          <w:szCs w:val="22"/>
          <w:lang w:val="es-ES"/>
        </w:rPr>
      </w:pPr>
    </w:p>
    <w:p w14:paraId="76E0CC5B" w14:textId="77777777" w:rsidR="008438FA" w:rsidRPr="008438FA" w:rsidRDefault="008438FA" w:rsidP="003D458E">
      <w:pPr>
        <w:widowControl/>
        <w:autoSpaceDE/>
        <w:autoSpaceDN/>
        <w:jc w:val="both"/>
        <w:textAlignment w:val="auto"/>
        <w:rPr>
          <w:rFonts w:ascii="Arial" w:eastAsiaTheme="minorHAnsi" w:hAnsi="Arial" w:cs="Arial"/>
          <w:b/>
          <w:i/>
          <w:sz w:val="22"/>
          <w:szCs w:val="22"/>
          <w:lang w:val="es-ES"/>
        </w:rPr>
      </w:pPr>
      <w:r w:rsidRPr="008438FA">
        <w:rPr>
          <w:rFonts w:ascii="Arial" w:eastAsiaTheme="minorHAnsi" w:hAnsi="Arial" w:cs="Arial"/>
          <w:b/>
          <w:i/>
          <w:sz w:val="22"/>
          <w:szCs w:val="22"/>
          <w:lang w:val="es-ES"/>
        </w:rPr>
        <w:t>Dirigido a la Secretaría</w:t>
      </w:r>
    </w:p>
    <w:p w14:paraId="290CC721" w14:textId="77777777" w:rsidR="008438FA" w:rsidRPr="008438FA" w:rsidRDefault="008438FA" w:rsidP="003D458E">
      <w:pPr>
        <w:widowControl/>
        <w:autoSpaceDE/>
        <w:autoSpaceDN/>
        <w:jc w:val="both"/>
        <w:textAlignment w:val="auto"/>
        <w:rPr>
          <w:rFonts w:ascii="Arial" w:eastAsiaTheme="minorHAnsi" w:hAnsi="Arial" w:cs="Arial"/>
          <w:sz w:val="22"/>
          <w:szCs w:val="22"/>
          <w:lang w:val="es-ES"/>
        </w:rPr>
      </w:pPr>
    </w:p>
    <w:p w14:paraId="6A40116E" w14:textId="77777777" w:rsidR="008438FA" w:rsidRPr="008438FA" w:rsidRDefault="008438FA" w:rsidP="00034047">
      <w:pPr>
        <w:widowControl/>
        <w:autoSpaceDE/>
        <w:autoSpaceDN/>
        <w:ind w:left="720" w:hanging="720"/>
        <w:jc w:val="both"/>
        <w:textAlignment w:val="auto"/>
        <w:rPr>
          <w:rFonts w:ascii="Arial" w:eastAsiaTheme="minorHAnsi" w:hAnsi="Arial" w:cs="Arial"/>
          <w:sz w:val="22"/>
          <w:szCs w:val="22"/>
          <w:lang w:val="es-ES"/>
        </w:rPr>
      </w:pPr>
      <w:r w:rsidRPr="008438FA">
        <w:rPr>
          <w:rFonts w:ascii="Arial" w:eastAsiaTheme="minorHAnsi" w:hAnsi="Arial" w:cs="Arial"/>
          <w:sz w:val="22"/>
          <w:szCs w:val="22"/>
          <w:lang w:val="es-ES"/>
        </w:rPr>
        <w:t>14.HH</w:t>
      </w:r>
      <w:r w:rsidRPr="008438FA">
        <w:rPr>
          <w:rFonts w:ascii="Arial" w:eastAsiaTheme="minorHAnsi" w:hAnsi="Arial" w:cs="Arial"/>
          <w:sz w:val="22"/>
          <w:szCs w:val="22"/>
          <w:lang w:val="es-ES"/>
        </w:rPr>
        <w:tab/>
        <w:t xml:space="preserve">La Secretaría elaborará un sencillo formulario de presentación de informes en colaboración con el Consejo Científico a través de su Grupo de Trabajo sobre la Carne de Animales Salvajes Acuáticos que permita evaluar los avances de la ejecución del Plan de Acción, y lo difundirá a las Partes </w:t>
      </w:r>
      <w:r w:rsidRPr="008438FA">
        <w:rPr>
          <w:rFonts w:ascii="Arial" w:eastAsiaTheme="minorHAnsi" w:hAnsi="Arial" w:cs="Arial"/>
          <w:iCs/>
          <w:sz w:val="22"/>
          <w:szCs w:val="22"/>
          <w:lang w:val="es-ES"/>
        </w:rPr>
        <w:t xml:space="preserve">que son Estados del área de distribución del Plan de Acción para permitir la presentación de informes con suficiente antelación a </w:t>
      </w:r>
      <w:r w:rsidRPr="008438FA">
        <w:rPr>
          <w:rFonts w:ascii="Arial" w:eastAsiaTheme="minorHAnsi" w:hAnsi="Arial" w:cs="Arial"/>
          <w:sz w:val="22"/>
          <w:szCs w:val="22"/>
          <w:lang w:val="es-ES"/>
        </w:rPr>
        <w:t>la última reunión del Comité del Período de Sesiones del Consejo Científico antes de la COP15.</w:t>
      </w:r>
    </w:p>
    <w:p w14:paraId="7D13B44A" w14:textId="77777777" w:rsidR="00D82C56" w:rsidRPr="00FD2360" w:rsidRDefault="00D82C56" w:rsidP="003D458E">
      <w:pPr>
        <w:rPr>
          <w:rFonts w:ascii="Arial" w:hAnsi="Arial" w:cs="Arial"/>
          <w:sz w:val="22"/>
          <w:szCs w:val="22"/>
          <w:lang w:val="es-ES"/>
        </w:rPr>
      </w:pPr>
    </w:p>
    <w:sectPr w:rsidR="00D82C56" w:rsidRPr="00FD2360" w:rsidSect="0077761D">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D625" w14:textId="77777777" w:rsidR="000238EC" w:rsidRDefault="000238EC">
      <w:r>
        <w:separator/>
      </w:r>
    </w:p>
  </w:endnote>
  <w:endnote w:type="continuationSeparator" w:id="0">
    <w:p w14:paraId="7CB59D8B" w14:textId="77777777" w:rsidR="000238EC" w:rsidRDefault="000238EC">
      <w:r>
        <w:continuationSeparator/>
      </w:r>
    </w:p>
  </w:endnote>
  <w:endnote w:type="continuationNotice" w:id="1">
    <w:p w14:paraId="1CDE3FA0" w14:textId="77777777" w:rsidR="000238EC" w:rsidRDefault="00023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1C0E" w14:textId="77777777" w:rsidR="000238EC" w:rsidRDefault="000238EC">
      <w:r>
        <w:rPr>
          <w:color w:val="000000"/>
        </w:rPr>
        <w:separator/>
      </w:r>
    </w:p>
  </w:footnote>
  <w:footnote w:type="continuationSeparator" w:id="0">
    <w:p w14:paraId="11485CFE" w14:textId="77777777" w:rsidR="000238EC" w:rsidRDefault="000238EC">
      <w:r>
        <w:continuationSeparator/>
      </w:r>
    </w:p>
  </w:footnote>
  <w:footnote w:type="continuationNotice" w:id="1">
    <w:p w14:paraId="29B58E7D" w14:textId="77777777" w:rsidR="000238EC" w:rsidRDefault="00023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0FA5D399" w:rsidR="0041439A" w:rsidRPr="0077761D"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77761D">
      <w:rPr>
        <w:rFonts w:ascii="Arial" w:hAnsi="Arial" w:cs="Arial"/>
        <w:i/>
        <w:sz w:val="18"/>
        <w:szCs w:val="18"/>
        <w:lang w:val="en-GB"/>
      </w:rPr>
      <w:t>UNEP/CMS/COP1</w:t>
    </w:r>
    <w:r w:rsidR="00227282" w:rsidRPr="0077761D">
      <w:rPr>
        <w:rFonts w:ascii="Arial" w:hAnsi="Arial" w:cs="Arial"/>
        <w:i/>
        <w:sz w:val="18"/>
        <w:szCs w:val="18"/>
        <w:lang w:val="en-GB"/>
      </w:rPr>
      <w:t>4</w:t>
    </w:r>
    <w:r w:rsidRPr="0077761D">
      <w:rPr>
        <w:rFonts w:ascii="Arial" w:hAnsi="Arial" w:cs="Arial"/>
        <w:i/>
        <w:sz w:val="18"/>
        <w:szCs w:val="18"/>
        <w:lang w:val="en-GB"/>
      </w:rPr>
      <w:t>/CRP</w:t>
    </w:r>
    <w:r w:rsidR="008438FA" w:rsidRPr="0077761D">
      <w:rPr>
        <w:rFonts w:ascii="Arial" w:hAnsi="Arial" w:cs="Arial"/>
        <w:i/>
        <w:sz w:val="18"/>
        <w:szCs w:val="18"/>
        <w:lang w:val="en-GB"/>
      </w:rPr>
      <w:t>30.1.2</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3CB23E88" w:rsidR="0041439A" w:rsidRPr="003D47D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3D47DA">
      <w:rPr>
        <w:rFonts w:ascii="Arial" w:hAnsi="Arial" w:cs="Arial"/>
        <w:i/>
        <w:sz w:val="18"/>
        <w:szCs w:val="18"/>
        <w:lang w:val="en-GB"/>
      </w:rPr>
      <w:t>UNEP/CMS/COP1</w:t>
    </w:r>
    <w:r w:rsidR="00227282" w:rsidRPr="003D47DA">
      <w:rPr>
        <w:rFonts w:ascii="Arial" w:hAnsi="Arial" w:cs="Arial"/>
        <w:i/>
        <w:sz w:val="18"/>
        <w:szCs w:val="18"/>
        <w:lang w:val="en-GB"/>
      </w:rPr>
      <w:t>4</w:t>
    </w:r>
    <w:r w:rsidRPr="003D47DA">
      <w:rPr>
        <w:rFonts w:ascii="Arial" w:hAnsi="Arial" w:cs="Arial"/>
        <w:i/>
        <w:sz w:val="18"/>
        <w:szCs w:val="18"/>
        <w:lang w:val="en-GB"/>
      </w:rPr>
      <w:t>/CRP</w:t>
    </w:r>
    <w:r w:rsidR="008438FA" w:rsidRPr="003D47DA">
      <w:rPr>
        <w:rFonts w:ascii="Arial" w:hAnsi="Arial" w:cs="Arial"/>
        <w:i/>
        <w:sz w:val="18"/>
        <w:szCs w:val="18"/>
        <w:lang w:val="en-GB"/>
      </w:rPr>
      <w:t>30.1.2</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10D7B6AC" w:rsidR="007A1066" w:rsidRPr="0077761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77761D">
      <w:rPr>
        <w:rFonts w:ascii="Arial" w:hAnsi="Arial" w:cs="Arial"/>
        <w:bCs/>
        <w:i/>
        <w:iCs/>
        <w:sz w:val="18"/>
        <w:szCs w:val="18"/>
        <w:lang w:val="en-GB"/>
      </w:rPr>
      <w:t>UNEP/CMS/COP1</w:t>
    </w:r>
    <w:r w:rsidR="001125D7" w:rsidRPr="0077761D">
      <w:rPr>
        <w:rFonts w:ascii="Arial" w:hAnsi="Arial" w:cs="Arial"/>
        <w:bCs/>
        <w:i/>
        <w:iCs/>
        <w:sz w:val="18"/>
        <w:szCs w:val="18"/>
        <w:lang w:val="en-GB"/>
      </w:rPr>
      <w:t>4</w:t>
    </w:r>
    <w:r w:rsidRPr="0077761D">
      <w:rPr>
        <w:rFonts w:ascii="Arial" w:hAnsi="Arial" w:cs="Arial"/>
        <w:bCs/>
        <w:i/>
        <w:iCs/>
        <w:sz w:val="18"/>
        <w:szCs w:val="18"/>
        <w:lang w:val="en-GB"/>
      </w:rPr>
      <w:t>/CRP</w:t>
    </w:r>
    <w:r w:rsidR="00143879" w:rsidRPr="0077761D">
      <w:rPr>
        <w:rFonts w:ascii="Arial" w:hAnsi="Arial" w:cs="Arial"/>
        <w:bCs/>
        <w:i/>
        <w:iCs/>
        <w:sz w:val="18"/>
        <w:szCs w:val="18"/>
        <w:lang w:val="en-GB"/>
      </w:rPr>
      <w:t>30.1.2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2"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C613C2"/>
    <w:multiLevelType w:val="hybridMultilevel"/>
    <w:tmpl w:val="C7E651F8"/>
    <w:lvl w:ilvl="0" w:tplc="202C7B18">
      <w:start w:val="1"/>
      <w:numFmt w:val="lowerLetter"/>
      <w:lvlText w:val="%1)"/>
      <w:lvlJc w:val="left"/>
      <w:pPr>
        <w:ind w:left="2706" w:hanging="360"/>
      </w:pPr>
      <w:rPr>
        <w:rFonts w:cstheme="minorBidi" w:hint="default"/>
      </w:rPr>
    </w:lvl>
    <w:lvl w:ilvl="1" w:tplc="20000019" w:tentative="1">
      <w:start w:val="1"/>
      <w:numFmt w:val="lowerLetter"/>
      <w:lvlText w:val="%2."/>
      <w:lvlJc w:val="left"/>
      <w:pPr>
        <w:ind w:left="3426" w:hanging="360"/>
      </w:pPr>
    </w:lvl>
    <w:lvl w:ilvl="2" w:tplc="2000001B" w:tentative="1">
      <w:start w:val="1"/>
      <w:numFmt w:val="lowerRoman"/>
      <w:lvlText w:val="%3."/>
      <w:lvlJc w:val="right"/>
      <w:pPr>
        <w:ind w:left="4146" w:hanging="180"/>
      </w:pPr>
    </w:lvl>
    <w:lvl w:ilvl="3" w:tplc="2000000F" w:tentative="1">
      <w:start w:val="1"/>
      <w:numFmt w:val="decimal"/>
      <w:lvlText w:val="%4."/>
      <w:lvlJc w:val="left"/>
      <w:pPr>
        <w:ind w:left="4866" w:hanging="360"/>
      </w:pPr>
    </w:lvl>
    <w:lvl w:ilvl="4" w:tplc="20000019" w:tentative="1">
      <w:start w:val="1"/>
      <w:numFmt w:val="lowerLetter"/>
      <w:lvlText w:val="%5."/>
      <w:lvlJc w:val="left"/>
      <w:pPr>
        <w:ind w:left="5586" w:hanging="360"/>
      </w:pPr>
    </w:lvl>
    <w:lvl w:ilvl="5" w:tplc="2000001B" w:tentative="1">
      <w:start w:val="1"/>
      <w:numFmt w:val="lowerRoman"/>
      <w:lvlText w:val="%6."/>
      <w:lvlJc w:val="right"/>
      <w:pPr>
        <w:ind w:left="6306" w:hanging="180"/>
      </w:pPr>
    </w:lvl>
    <w:lvl w:ilvl="6" w:tplc="2000000F" w:tentative="1">
      <w:start w:val="1"/>
      <w:numFmt w:val="decimal"/>
      <w:lvlText w:val="%7."/>
      <w:lvlJc w:val="left"/>
      <w:pPr>
        <w:ind w:left="7026" w:hanging="360"/>
      </w:pPr>
    </w:lvl>
    <w:lvl w:ilvl="7" w:tplc="20000019" w:tentative="1">
      <w:start w:val="1"/>
      <w:numFmt w:val="lowerLetter"/>
      <w:lvlText w:val="%8."/>
      <w:lvlJc w:val="left"/>
      <w:pPr>
        <w:ind w:left="7746" w:hanging="360"/>
      </w:pPr>
    </w:lvl>
    <w:lvl w:ilvl="8" w:tplc="2000001B" w:tentative="1">
      <w:start w:val="1"/>
      <w:numFmt w:val="lowerRoman"/>
      <w:lvlText w:val="%9."/>
      <w:lvlJc w:val="right"/>
      <w:pPr>
        <w:ind w:left="8466" w:hanging="180"/>
      </w:pPr>
    </w:lvl>
  </w:abstractNum>
  <w:abstractNum w:abstractNumId="7"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F6C32B1"/>
    <w:multiLevelType w:val="hybridMultilevel"/>
    <w:tmpl w:val="CB368558"/>
    <w:lvl w:ilvl="0" w:tplc="10000017">
      <w:start w:val="1"/>
      <w:numFmt w:val="lowerLetter"/>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num w:numId="1" w16cid:durableId="1273828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194936">
    <w:abstractNumId w:val="2"/>
  </w:num>
  <w:num w:numId="3" w16cid:durableId="1160930513">
    <w:abstractNumId w:val="7"/>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4" w16cid:durableId="1697536106">
    <w:abstractNumId w:val="7"/>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5" w16cid:durableId="1832217184">
    <w:abstractNumId w:val="7"/>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6" w16cid:durableId="1889880282">
    <w:abstractNumId w:val="7"/>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7" w16cid:durableId="616642648">
    <w:abstractNumId w:val="7"/>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8" w16cid:durableId="1021322010">
    <w:abstractNumId w:val="7"/>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9" w16cid:durableId="1209731119">
    <w:abstractNumId w:val="7"/>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10" w16cid:durableId="929699110">
    <w:abstractNumId w:val="6"/>
  </w:num>
  <w:num w:numId="11" w16cid:durableId="2037846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985216">
    <w:abstractNumId w:val="1"/>
  </w:num>
  <w:num w:numId="13" w16cid:durableId="1579171818">
    <w:abstractNumId w:val="0"/>
  </w:num>
  <w:num w:numId="14" w16cid:durableId="686491228">
    <w:abstractNumId w:val="5"/>
  </w:num>
  <w:num w:numId="15" w16cid:durableId="2118452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38EC"/>
    <w:rsid w:val="00034047"/>
    <w:rsid w:val="00034B97"/>
    <w:rsid w:val="000935E8"/>
    <w:rsid w:val="000B0D60"/>
    <w:rsid w:val="001125D7"/>
    <w:rsid w:val="00143879"/>
    <w:rsid w:val="001F2BA3"/>
    <w:rsid w:val="002243FE"/>
    <w:rsid w:val="00227282"/>
    <w:rsid w:val="00263E3C"/>
    <w:rsid w:val="003D458E"/>
    <w:rsid w:val="003D47DA"/>
    <w:rsid w:val="003F1AD8"/>
    <w:rsid w:val="0041439A"/>
    <w:rsid w:val="0043102F"/>
    <w:rsid w:val="004427C4"/>
    <w:rsid w:val="005645C4"/>
    <w:rsid w:val="0058757D"/>
    <w:rsid w:val="005D43E4"/>
    <w:rsid w:val="005F0639"/>
    <w:rsid w:val="0074293D"/>
    <w:rsid w:val="00752559"/>
    <w:rsid w:val="00765064"/>
    <w:rsid w:val="0077761D"/>
    <w:rsid w:val="007A1066"/>
    <w:rsid w:val="008438FA"/>
    <w:rsid w:val="00876E16"/>
    <w:rsid w:val="008A7B76"/>
    <w:rsid w:val="00A9592B"/>
    <w:rsid w:val="00AA138B"/>
    <w:rsid w:val="00B93889"/>
    <w:rsid w:val="00BC4E4D"/>
    <w:rsid w:val="00BC6308"/>
    <w:rsid w:val="00CA186E"/>
    <w:rsid w:val="00D25DC3"/>
    <w:rsid w:val="00D503A8"/>
    <w:rsid w:val="00D50F95"/>
    <w:rsid w:val="00D60E95"/>
    <w:rsid w:val="00D82C56"/>
    <w:rsid w:val="00DC32A1"/>
    <w:rsid w:val="00E45B44"/>
    <w:rsid w:val="00E829C9"/>
    <w:rsid w:val="00ED41D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CA1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4" ma:contentTypeDescription="Crear nuevo documento." ma:contentTypeScope="" ma:versionID="b10b8329cee7da74f79d1d7c6425b46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e50823e68e9b511c68fae50299864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20895887-A077-4243-B5F2-70326C571C27}"/>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16</cp:revision>
  <cp:lastPrinted>2020-02-03T15:02:00Z</cp:lastPrinted>
  <dcterms:created xsi:type="dcterms:W3CDTF">2024-02-13T15:44:00Z</dcterms:created>
  <dcterms:modified xsi:type="dcterms:W3CDTF">2024-02-13T16:31:00Z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