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525A" w14:textId="77777777" w:rsidR="00E829C9" w:rsidRPr="00983323" w:rsidRDefault="00E829C9" w:rsidP="00983323">
      <w:pPr>
        <w:jc w:val="center"/>
        <w:rPr>
          <w:rFonts w:ascii="Arial" w:hAnsi="Arial" w:cs="Arial"/>
          <w:b/>
          <w:sz w:val="22"/>
          <w:szCs w:val="22"/>
        </w:rPr>
      </w:pPr>
    </w:p>
    <w:p w14:paraId="1D56B6B4" w14:textId="77777777" w:rsidR="00214B39" w:rsidRPr="00214B39" w:rsidRDefault="00214B39" w:rsidP="000B3472">
      <w:pPr>
        <w:spacing w:after="120"/>
        <w:jc w:val="center"/>
        <w:rPr>
          <w:rFonts w:ascii="Arial" w:hAnsi="Arial" w:cs="Arial"/>
          <w:b/>
          <w:bCs/>
          <w:sz w:val="22"/>
          <w:szCs w:val="22"/>
          <w:lang w:val="es-ES"/>
        </w:rPr>
      </w:pPr>
      <w:bookmarkStart w:id="0" w:name="_Hlk139286392"/>
      <w:r w:rsidRPr="00214B39">
        <w:rPr>
          <w:rFonts w:ascii="Arial" w:hAnsi="Arial" w:cs="Arial"/>
          <w:b/>
          <w:bCs/>
          <w:sz w:val="22"/>
          <w:szCs w:val="22"/>
          <w:lang w:val="es-ES"/>
        </w:rPr>
        <w:t>CONSERVACIÓN DE LOS BUITRES DE ÁFRICA-EURASIA</w:t>
      </w:r>
    </w:p>
    <w:bookmarkEnd w:id="0"/>
    <w:p w14:paraId="77BA811D" w14:textId="13AEA8E3" w:rsidR="00D82C56" w:rsidRPr="00983323" w:rsidRDefault="005D43E4" w:rsidP="000B3472">
      <w:pPr>
        <w:spacing w:after="120"/>
        <w:jc w:val="center"/>
        <w:rPr>
          <w:rFonts w:ascii="Arial" w:hAnsi="Arial" w:cs="Arial"/>
          <w:sz w:val="22"/>
          <w:szCs w:val="22"/>
        </w:rPr>
      </w:pPr>
      <w:r w:rsidRPr="00983323">
        <w:rPr>
          <w:rFonts w:ascii="Arial" w:hAnsi="Arial" w:cs="Arial"/>
          <w:sz w:val="22"/>
          <w:szCs w:val="22"/>
        </w:rPr>
        <w:t>UNEP/CMS/COP1</w:t>
      </w:r>
      <w:r w:rsidR="001125D7" w:rsidRPr="00983323">
        <w:rPr>
          <w:rFonts w:ascii="Arial" w:hAnsi="Arial" w:cs="Arial"/>
          <w:sz w:val="22"/>
          <w:szCs w:val="22"/>
        </w:rPr>
        <w:t>4</w:t>
      </w:r>
      <w:r w:rsidRPr="00983323">
        <w:rPr>
          <w:rFonts w:ascii="Arial" w:hAnsi="Arial" w:cs="Arial"/>
          <w:sz w:val="22"/>
          <w:szCs w:val="22"/>
        </w:rPr>
        <w:t>/Doc.</w:t>
      </w:r>
      <w:r w:rsidR="00C37344" w:rsidRPr="00983323">
        <w:rPr>
          <w:rFonts w:ascii="Arial" w:hAnsi="Arial" w:cs="Arial"/>
          <w:sz w:val="22"/>
          <w:szCs w:val="22"/>
        </w:rPr>
        <w:t>28.6</w:t>
      </w:r>
      <w:r w:rsidR="006C4A58" w:rsidRPr="00983323">
        <w:rPr>
          <w:rFonts w:ascii="Arial" w:hAnsi="Arial" w:cs="Arial"/>
          <w:sz w:val="22"/>
          <w:szCs w:val="22"/>
        </w:rPr>
        <w:t>/Rev.1</w:t>
      </w:r>
    </w:p>
    <w:p w14:paraId="73A89732" w14:textId="7942F400" w:rsidR="00D82C56" w:rsidRPr="00983323" w:rsidRDefault="005D43E4" w:rsidP="00983323">
      <w:pPr>
        <w:jc w:val="center"/>
        <w:rPr>
          <w:rFonts w:ascii="Arial" w:hAnsi="Arial" w:cs="Arial"/>
          <w:i/>
          <w:sz w:val="22"/>
          <w:szCs w:val="22"/>
          <w:lang w:val="es-ES"/>
        </w:rPr>
      </w:pPr>
      <w:r w:rsidRPr="00983323">
        <w:rPr>
          <w:rFonts w:ascii="Arial" w:hAnsi="Arial" w:cs="Arial"/>
          <w:i/>
          <w:sz w:val="22"/>
          <w:szCs w:val="22"/>
          <w:lang w:val="es-ES"/>
        </w:rPr>
        <w:t>(Prepar</w:t>
      </w:r>
      <w:r w:rsidR="00FD2360" w:rsidRPr="00983323">
        <w:rPr>
          <w:rFonts w:ascii="Arial" w:hAnsi="Arial" w:cs="Arial"/>
          <w:i/>
          <w:sz w:val="22"/>
          <w:szCs w:val="22"/>
          <w:lang w:val="es-ES"/>
        </w:rPr>
        <w:t xml:space="preserve">ado por </w:t>
      </w:r>
      <w:r w:rsidR="00702804">
        <w:rPr>
          <w:rFonts w:ascii="Arial" w:hAnsi="Arial" w:cs="Arial"/>
          <w:i/>
          <w:sz w:val="22"/>
          <w:szCs w:val="22"/>
          <w:lang w:val="es-ES"/>
        </w:rPr>
        <w:t>el Grupo de Trabajo sobre especies de aves</w:t>
      </w:r>
      <w:r w:rsidRPr="00983323">
        <w:rPr>
          <w:rFonts w:ascii="Arial" w:hAnsi="Arial" w:cs="Arial"/>
          <w:i/>
          <w:sz w:val="22"/>
          <w:szCs w:val="22"/>
          <w:lang w:val="es-ES"/>
        </w:rPr>
        <w:t>)</w:t>
      </w:r>
    </w:p>
    <w:p w14:paraId="25BD5BFE" w14:textId="77777777" w:rsidR="00D82C56" w:rsidRPr="00983323" w:rsidRDefault="00D82C56" w:rsidP="00983323">
      <w:pPr>
        <w:rPr>
          <w:rFonts w:ascii="Arial" w:hAnsi="Arial" w:cs="Arial"/>
          <w:sz w:val="22"/>
          <w:szCs w:val="22"/>
          <w:lang w:val="es-ES"/>
        </w:rPr>
      </w:pPr>
    </w:p>
    <w:p w14:paraId="6C7ED871" w14:textId="77777777" w:rsidR="00D82C56" w:rsidRPr="00983323" w:rsidRDefault="00D82C56" w:rsidP="00983323">
      <w:pPr>
        <w:rPr>
          <w:rFonts w:ascii="Arial" w:hAnsi="Arial" w:cs="Arial"/>
          <w:sz w:val="22"/>
          <w:szCs w:val="22"/>
          <w:lang w:val="es-ES"/>
        </w:rPr>
      </w:pPr>
    </w:p>
    <w:p w14:paraId="59425798" w14:textId="29BC9C45" w:rsidR="00D82C56" w:rsidRPr="00983323" w:rsidRDefault="00FD2360" w:rsidP="00983323">
      <w:pPr>
        <w:jc w:val="center"/>
        <w:rPr>
          <w:rFonts w:ascii="Arial" w:hAnsi="Arial" w:cs="Arial"/>
          <w:sz w:val="22"/>
          <w:szCs w:val="22"/>
          <w:lang w:val="es-ES"/>
        </w:rPr>
      </w:pPr>
      <w:r w:rsidRPr="000B3472">
        <w:rPr>
          <w:rFonts w:ascii="Arial" w:hAnsi="Arial" w:cs="Arial"/>
          <w:sz w:val="22"/>
          <w:szCs w:val="22"/>
          <w:lang w:val="es-ES"/>
        </w:rPr>
        <w:t>PROYECTO DE RESOLUCIÓN</w:t>
      </w:r>
    </w:p>
    <w:p w14:paraId="61273576" w14:textId="77777777" w:rsidR="00D82C56" w:rsidRPr="00983323" w:rsidRDefault="00D82C56" w:rsidP="00983323">
      <w:pPr>
        <w:rPr>
          <w:rFonts w:ascii="Arial" w:hAnsi="Arial" w:cs="Arial"/>
          <w:sz w:val="22"/>
          <w:szCs w:val="22"/>
          <w:lang w:val="es-ES"/>
        </w:rPr>
      </w:pPr>
    </w:p>
    <w:p w14:paraId="22CE17A7" w14:textId="77777777" w:rsidR="000B3472" w:rsidRDefault="000B3472" w:rsidP="00983323">
      <w:pPr>
        <w:pStyle w:val="Default"/>
        <w:suppressAutoHyphens/>
        <w:jc w:val="center"/>
        <w:rPr>
          <w:b/>
          <w:bCs/>
          <w:sz w:val="22"/>
          <w:szCs w:val="22"/>
          <w:lang w:val="es-ES"/>
        </w:rPr>
      </w:pPr>
      <w:bookmarkStart w:id="1" w:name="_Hlk139289338"/>
    </w:p>
    <w:p w14:paraId="3583F9F9" w14:textId="7F7E13E4" w:rsidR="00D714A3" w:rsidRPr="00983323" w:rsidRDefault="00D714A3" w:rsidP="00983323">
      <w:pPr>
        <w:pStyle w:val="Default"/>
        <w:suppressAutoHyphens/>
        <w:jc w:val="center"/>
        <w:rPr>
          <w:b/>
          <w:bCs/>
          <w:sz w:val="22"/>
          <w:szCs w:val="22"/>
          <w:lang w:val="es-ES"/>
        </w:rPr>
      </w:pPr>
      <w:r w:rsidRPr="00983323">
        <w:rPr>
          <w:b/>
          <w:bCs/>
          <w:sz w:val="22"/>
          <w:szCs w:val="22"/>
          <w:lang w:val="es-ES"/>
        </w:rPr>
        <w:t>CONSERVACIÓN DE LOS BUITRES DE ÁFRICA-EURASIA</w:t>
      </w:r>
    </w:p>
    <w:bookmarkEnd w:id="1"/>
    <w:p w14:paraId="383AE881" w14:textId="77777777" w:rsidR="00D82C56" w:rsidRPr="00983323" w:rsidRDefault="00D82C56" w:rsidP="00983323">
      <w:pPr>
        <w:rPr>
          <w:rFonts w:ascii="Arial" w:hAnsi="Arial" w:cs="Arial"/>
          <w:sz w:val="22"/>
          <w:szCs w:val="22"/>
          <w:lang w:val="es-ES"/>
        </w:rPr>
      </w:pPr>
    </w:p>
    <w:p w14:paraId="7F209EEE" w14:textId="77777777" w:rsidR="009F7DCC" w:rsidRPr="009F7DCC" w:rsidRDefault="009F7DCC" w:rsidP="00310062">
      <w:pPr>
        <w:widowControl/>
        <w:autoSpaceDE/>
        <w:autoSpaceDN/>
        <w:ind w:right="158"/>
        <w:jc w:val="both"/>
        <w:textAlignment w:val="auto"/>
        <w:rPr>
          <w:rFonts w:ascii="Arial" w:eastAsiaTheme="minorHAnsi" w:hAnsi="Arial" w:cs="Arial"/>
          <w:sz w:val="22"/>
          <w:szCs w:val="22"/>
          <w:highlight w:val="yellow"/>
          <w:lang w:val="es-ES"/>
        </w:rPr>
      </w:pPr>
      <w:r w:rsidRPr="009F7DCC">
        <w:rPr>
          <w:rFonts w:ascii="Arial" w:eastAsiaTheme="minorHAnsi" w:hAnsi="Arial" w:cs="Arial"/>
          <w:i/>
          <w:iCs/>
          <w:sz w:val="22"/>
          <w:szCs w:val="22"/>
          <w:lang w:val="es-ES"/>
        </w:rPr>
        <w:t>Afirmando</w:t>
      </w:r>
      <w:r w:rsidRPr="009F7DCC">
        <w:rPr>
          <w:rFonts w:ascii="Arial" w:eastAsiaTheme="minorHAnsi" w:hAnsi="Arial" w:cs="Arial"/>
          <w:sz w:val="22"/>
          <w:szCs w:val="22"/>
          <w:lang w:val="es-ES"/>
        </w:rPr>
        <w:t xml:space="preserve"> el compromiso de apoyar la realización de los Objetivos de Desarrollo Sostenible (ODS) para acabar con la pobreza, proteger el planeta y garantizar la prosperidad para todos,</w:t>
      </w:r>
      <w:r w:rsidRPr="009F7DCC">
        <w:rPr>
          <w:rFonts w:ascii="Arial" w:eastAsia="Arial" w:hAnsi="Arial" w:cs="Arial"/>
          <w:i/>
          <w:sz w:val="22"/>
          <w:szCs w:val="22"/>
          <w:highlight w:val="yellow"/>
          <w:lang w:val="es-ES"/>
        </w:rPr>
        <w:t xml:space="preserve"> </w:t>
      </w:r>
    </w:p>
    <w:p w14:paraId="217E00C8" w14:textId="77777777" w:rsidR="009F7DCC" w:rsidRPr="009F7DCC" w:rsidRDefault="009F7DCC" w:rsidP="00310062">
      <w:pPr>
        <w:widowControl/>
        <w:autoSpaceDE/>
        <w:autoSpaceDN/>
        <w:jc w:val="both"/>
        <w:textAlignment w:val="auto"/>
        <w:rPr>
          <w:rFonts w:ascii="Arial" w:eastAsiaTheme="minorHAnsi" w:hAnsi="Arial" w:cs="Arial"/>
          <w:sz w:val="22"/>
          <w:szCs w:val="22"/>
          <w:highlight w:val="yellow"/>
          <w:lang w:val="es-ES"/>
        </w:rPr>
      </w:pPr>
    </w:p>
    <w:p w14:paraId="79F0B6EB" w14:textId="65C509D4" w:rsidR="009F7DCC" w:rsidRPr="00553329" w:rsidRDefault="009F7DCC" w:rsidP="00310062">
      <w:pPr>
        <w:widowControl/>
        <w:autoSpaceDE/>
        <w:autoSpaceDN/>
        <w:ind w:right="164"/>
        <w:jc w:val="both"/>
        <w:textAlignment w:val="auto"/>
        <w:rPr>
          <w:rFonts w:ascii="Arial" w:eastAsiaTheme="minorHAnsi" w:hAnsi="Arial" w:cs="Arial"/>
          <w:sz w:val="22"/>
          <w:szCs w:val="22"/>
          <w:lang w:val="es-ES"/>
        </w:rPr>
      </w:pPr>
      <w:r w:rsidRPr="00553329">
        <w:rPr>
          <w:rFonts w:ascii="Arial" w:eastAsia="Arial" w:hAnsi="Arial" w:cs="Arial"/>
          <w:i/>
          <w:iCs/>
          <w:sz w:val="22"/>
          <w:szCs w:val="22"/>
          <w:lang w:val="es-ES"/>
        </w:rPr>
        <w:t xml:space="preserve">Reconociendo </w:t>
      </w:r>
      <w:r w:rsidRPr="00553329">
        <w:rPr>
          <w:rFonts w:ascii="Arial" w:eastAsia="Arial" w:hAnsi="Arial" w:cs="Arial"/>
          <w:sz w:val="22"/>
          <w:szCs w:val="22"/>
          <w:lang w:val="es-ES"/>
        </w:rPr>
        <w:t>la continua pérdida de biodiversidad, conforme se ha establecido en</w:t>
      </w:r>
      <w:r w:rsidRPr="00553329">
        <w:rPr>
          <w:rFonts w:ascii="Arial" w:eastAsiaTheme="minorHAnsi" w:hAnsi="Arial" w:cs="Arial"/>
          <w:sz w:val="22"/>
          <w:szCs w:val="22"/>
          <w:lang w:val="es-ES"/>
        </w:rPr>
        <w:t xml:space="preserve"> el </w:t>
      </w:r>
      <w:r w:rsidRPr="00553329">
        <w:rPr>
          <w:rFonts w:ascii="Arial" w:eastAsiaTheme="minorHAnsi" w:hAnsi="Arial" w:cs="Arial"/>
          <w:i/>
          <w:iCs/>
          <w:sz w:val="22"/>
          <w:szCs w:val="22"/>
          <w:lang w:val="es-ES"/>
        </w:rPr>
        <w:t xml:space="preserve">Informe de Evaluación Global sobre Biodiversidad y Servicios de los Ecosistemas </w:t>
      </w:r>
      <w:r w:rsidRPr="00553329">
        <w:rPr>
          <w:rFonts w:ascii="Arial" w:eastAsiaTheme="minorHAnsi" w:hAnsi="Arial" w:cs="Arial"/>
          <w:sz w:val="22"/>
          <w:szCs w:val="22"/>
          <w:lang w:val="es-ES"/>
        </w:rPr>
        <w:t>de 2019 de la Plataforma Intergubernamental sobre Diversidad y Servicios de los Ecosistemas (IPBES) y l</w:t>
      </w:r>
      <w:r w:rsidRPr="00553329">
        <w:rPr>
          <w:rFonts w:ascii="Arial" w:eastAsiaTheme="minorHAnsi" w:hAnsi="Arial" w:cs="Arial"/>
          <w:i/>
          <w:iCs/>
          <w:sz w:val="22"/>
          <w:szCs w:val="22"/>
          <w:lang w:val="es-ES"/>
        </w:rPr>
        <w:t>a Perspectiva Mundial sobre la Diversidad Biológica</w:t>
      </w:r>
      <w:r w:rsidRPr="00553329">
        <w:rPr>
          <w:rFonts w:ascii="Arial" w:eastAsiaTheme="minorHAnsi" w:hAnsi="Arial" w:cs="Arial"/>
          <w:sz w:val="22"/>
          <w:szCs w:val="22"/>
          <w:lang w:val="es-ES"/>
        </w:rPr>
        <w:t xml:space="preserve"> </w:t>
      </w:r>
      <w:r w:rsidRPr="00553329">
        <w:rPr>
          <w:rFonts w:ascii="Arial" w:eastAsiaTheme="minorHAnsi" w:hAnsi="Arial" w:cs="Arial"/>
          <w:i/>
          <w:iCs/>
          <w:sz w:val="22"/>
          <w:szCs w:val="22"/>
          <w:lang w:val="es-ES"/>
        </w:rPr>
        <w:t>5</w:t>
      </w:r>
      <w:r w:rsidRPr="00553329">
        <w:rPr>
          <w:rFonts w:ascii="Arial" w:eastAsiaTheme="minorHAnsi" w:hAnsi="Arial" w:cs="Arial"/>
          <w:sz w:val="22"/>
          <w:szCs w:val="22"/>
          <w:lang w:val="es-ES"/>
        </w:rPr>
        <w:t xml:space="preserve"> (2020)</w:t>
      </w:r>
      <w:r w:rsidR="00553329" w:rsidRPr="00553329">
        <w:rPr>
          <w:rFonts w:ascii="Arial" w:eastAsiaTheme="minorHAnsi" w:hAnsi="Arial" w:cs="Arial"/>
          <w:sz w:val="22"/>
          <w:szCs w:val="22"/>
          <w:lang w:val="es-ES"/>
        </w:rPr>
        <w:t>,</w:t>
      </w:r>
      <w:r w:rsidRPr="00553329">
        <w:rPr>
          <w:rFonts w:ascii="Arial" w:eastAsiaTheme="minorHAnsi" w:hAnsi="Arial" w:cs="Arial"/>
          <w:sz w:val="22"/>
          <w:szCs w:val="22"/>
          <w:lang w:val="es-ES"/>
        </w:rPr>
        <w:t xml:space="preserve"> </w:t>
      </w:r>
    </w:p>
    <w:p w14:paraId="22A65367" w14:textId="77777777" w:rsidR="009F7DCC" w:rsidRPr="00553329" w:rsidRDefault="009F7DCC" w:rsidP="00310062">
      <w:pPr>
        <w:widowControl/>
        <w:autoSpaceDE/>
        <w:autoSpaceDN/>
        <w:jc w:val="both"/>
        <w:textAlignment w:val="auto"/>
        <w:rPr>
          <w:rFonts w:ascii="Arial" w:eastAsiaTheme="minorHAnsi" w:hAnsi="Arial" w:cs="Arial"/>
          <w:sz w:val="22"/>
          <w:szCs w:val="22"/>
          <w:lang w:val="es-ES"/>
        </w:rPr>
      </w:pPr>
      <w:r w:rsidRPr="00553329">
        <w:rPr>
          <w:rFonts w:ascii="Arial" w:eastAsia="Arial" w:hAnsi="Arial" w:cs="Arial"/>
          <w:i/>
          <w:sz w:val="22"/>
          <w:szCs w:val="22"/>
          <w:lang w:val="es-ES"/>
        </w:rPr>
        <w:t xml:space="preserve"> </w:t>
      </w:r>
    </w:p>
    <w:p w14:paraId="61DA5DF9" w14:textId="3309FC09" w:rsidR="009F7DCC" w:rsidRPr="00553329" w:rsidRDefault="009F7DCC" w:rsidP="00310062">
      <w:pPr>
        <w:widowControl/>
        <w:autoSpaceDE/>
        <w:autoSpaceDN/>
        <w:ind w:right="164"/>
        <w:jc w:val="both"/>
        <w:textAlignment w:val="auto"/>
        <w:rPr>
          <w:rFonts w:ascii="Arial" w:eastAsiaTheme="minorHAnsi" w:hAnsi="Arial" w:cs="Arial"/>
          <w:sz w:val="22"/>
          <w:szCs w:val="22"/>
          <w:lang w:val="es-ES"/>
        </w:rPr>
      </w:pPr>
      <w:r w:rsidRPr="00553329">
        <w:rPr>
          <w:rFonts w:ascii="Arial" w:eastAsia="Arial" w:hAnsi="Arial" w:cs="Arial"/>
          <w:i/>
          <w:iCs/>
          <w:sz w:val="22"/>
          <w:szCs w:val="22"/>
          <w:lang w:val="es-ES"/>
        </w:rPr>
        <w:t xml:space="preserve">Reafirmando </w:t>
      </w:r>
      <w:r w:rsidRPr="00553329">
        <w:rPr>
          <w:rFonts w:ascii="Arial" w:eastAsia="Arial" w:hAnsi="Arial" w:cs="Arial"/>
          <w:sz w:val="22"/>
          <w:szCs w:val="22"/>
          <w:lang w:val="es-ES"/>
        </w:rPr>
        <w:t xml:space="preserve">el compromiso adquirido con respecto a la </w:t>
      </w:r>
      <w:r w:rsidR="00D635A2">
        <w:rPr>
          <w:rFonts w:ascii="Arial" w:eastAsia="Arial" w:hAnsi="Arial" w:cs="Arial"/>
          <w:sz w:val="22"/>
          <w:szCs w:val="22"/>
          <w:lang w:val="es-ES"/>
        </w:rPr>
        <w:t>aplicación</w:t>
      </w:r>
      <w:r w:rsidRPr="00553329">
        <w:rPr>
          <w:rFonts w:ascii="Arial" w:eastAsia="Arial" w:hAnsi="Arial" w:cs="Arial"/>
          <w:sz w:val="22"/>
          <w:szCs w:val="22"/>
          <w:lang w:val="es-ES"/>
        </w:rPr>
        <w:t xml:space="preserve"> de</w:t>
      </w:r>
      <w:r w:rsidR="00D635A2">
        <w:rPr>
          <w:rFonts w:ascii="Arial" w:eastAsia="Arial" w:hAnsi="Arial" w:cs="Arial"/>
          <w:sz w:val="22"/>
          <w:szCs w:val="22"/>
          <w:lang w:val="es-ES"/>
        </w:rPr>
        <w:t>l</w:t>
      </w:r>
      <w:r w:rsidRPr="00553329">
        <w:rPr>
          <w:rFonts w:ascii="Arial" w:eastAsiaTheme="minorHAnsi" w:hAnsi="Arial" w:cs="Arial"/>
          <w:sz w:val="22"/>
          <w:szCs w:val="22"/>
          <w:lang w:val="es-ES"/>
        </w:rPr>
        <w:t xml:space="preserve"> </w:t>
      </w:r>
      <w:r w:rsidRPr="00553329">
        <w:rPr>
          <w:rFonts w:ascii="Arial" w:eastAsiaTheme="minorHAnsi" w:hAnsi="Arial" w:cs="Arial"/>
          <w:color w:val="000000"/>
          <w:sz w:val="22"/>
          <w:szCs w:val="22"/>
          <w:shd w:val="clear" w:color="auto" w:fill="FFFFFF"/>
          <w:lang w:val="es-ES"/>
        </w:rPr>
        <w:t xml:space="preserve">El Marco Mundial para la Biodiversidad de Kunming-Montreal, adoptado </w:t>
      </w:r>
      <w:r w:rsidRPr="00553329">
        <w:rPr>
          <w:rFonts w:ascii="Arial" w:eastAsiaTheme="minorHAnsi" w:hAnsi="Arial" w:cs="Arial"/>
          <w:color w:val="000000" w:themeColor="text1"/>
          <w:sz w:val="22"/>
          <w:szCs w:val="22"/>
          <w:lang w:val="es-ES"/>
        </w:rPr>
        <w:t xml:space="preserve">en el marco del </w:t>
      </w:r>
      <w:r w:rsidRPr="00553329">
        <w:rPr>
          <w:rFonts w:ascii="Arial" w:eastAsiaTheme="minorHAnsi" w:hAnsi="Arial" w:cs="Arial"/>
          <w:color w:val="000000"/>
          <w:sz w:val="22"/>
          <w:szCs w:val="22"/>
          <w:shd w:val="clear" w:color="auto" w:fill="FFFFFF"/>
          <w:lang w:val="es-ES"/>
        </w:rPr>
        <w:t xml:space="preserve">Convenio sobre la Diversidad Biológica en 2022, y </w:t>
      </w:r>
      <w:r w:rsidRPr="00553329">
        <w:rPr>
          <w:rFonts w:ascii="Arial" w:eastAsiaTheme="minorHAnsi" w:hAnsi="Arial" w:cs="Arial"/>
          <w:color w:val="000000" w:themeColor="text1"/>
          <w:sz w:val="22"/>
          <w:szCs w:val="22"/>
          <w:lang w:val="es-ES"/>
        </w:rPr>
        <w:t>en particular el Objetivo 4, destinado a detener la extinción de las especies amenazadas, y el Objetivo 5, destinado a garantizar que el uso, la recolección y el comercio de especies silvestres sean sostenibles, seguros y legales,</w:t>
      </w:r>
    </w:p>
    <w:p w14:paraId="11540535" w14:textId="77777777" w:rsidR="009F7DCC" w:rsidRPr="009F7DCC" w:rsidRDefault="009F7DCC" w:rsidP="00310062">
      <w:pPr>
        <w:widowControl/>
        <w:autoSpaceDE/>
        <w:autoSpaceDN/>
        <w:jc w:val="both"/>
        <w:textAlignment w:val="auto"/>
        <w:rPr>
          <w:rFonts w:ascii="Arial" w:eastAsiaTheme="minorHAnsi" w:hAnsi="Arial" w:cs="Arial"/>
          <w:sz w:val="22"/>
          <w:szCs w:val="22"/>
          <w:lang w:val="es-ES"/>
        </w:rPr>
      </w:pPr>
    </w:p>
    <w:p w14:paraId="5F587D5F" w14:textId="3B318C59" w:rsidR="009F7DCC" w:rsidRPr="009F7DCC" w:rsidRDefault="009F7DCC" w:rsidP="00310062">
      <w:pPr>
        <w:widowControl/>
        <w:autoSpaceDE/>
        <w:autoSpaceDN/>
        <w:ind w:right="164"/>
        <w:jc w:val="both"/>
        <w:textAlignment w:val="auto"/>
        <w:rPr>
          <w:rFonts w:ascii="Arial" w:eastAsiaTheme="minorHAnsi" w:hAnsi="Arial" w:cs="Arial"/>
          <w:sz w:val="22"/>
          <w:szCs w:val="22"/>
          <w:highlight w:val="yellow"/>
          <w:lang w:val="es-ES"/>
        </w:rPr>
      </w:pPr>
      <w:r w:rsidRPr="009F7DCC">
        <w:rPr>
          <w:rFonts w:ascii="Arial" w:eastAsia="Arial" w:hAnsi="Arial" w:cs="Arial"/>
          <w:i/>
          <w:iCs/>
          <w:sz w:val="22"/>
          <w:szCs w:val="22"/>
          <w:lang w:val="es-ES"/>
        </w:rPr>
        <w:t xml:space="preserve">Preocupada </w:t>
      </w:r>
      <w:r w:rsidRPr="009F7DCC">
        <w:rPr>
          <w:rFonts w:ascii="Arial" w:eastAsia="Arial" w:hAnsi="Arial" w:cs="Arial"/>
          <w:sz w:val="22"/>
          <w:szCs w:val="22"/>
          <w:lang w:val="es-ES"/>
        </w:rPr>
        <w:t xml:space="preserve">por que las 15 especies de buitres africanos-euroasiáticos del Viejo Mundo (a saber, buitre quebrantahuesos </w:t>
      </w:r>
      <w:proofErr w:type="spellStart"/>
      <w:r w:rsidRPr="009F7DCC">
        <w:rPr>
          <w:rFonts w:ascii="Arial" w:eastAsia="Arial" w:hAnsi="Arial" w:cs="Arial"/>
          <w:sz w:val="22"/>
          <w:szCs w:val="22"/>
          <w:lang w:val="es-ES"/>
        </w:rPr>
        <w:t>Gypaetus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barbatus</w:t>
      </w:r>
      <w:proofErr w:type="spellEnd"/>
      <w:r w:rsidRPr="009F7DCC">
        <w:rPr>
          <w:rFonts w:ascii="Arial" w:eastAsia="Arial" w:hAnsi="Arial" w:cs="Arial"/>
          <w:sz w:val="22"/>
          <w:szCs w:val="22"/>
          <w:lang w:val="es-ES"/>
        </w:rPr>
        <w:t xml:space="preserve">, buitre egipcio </w:t>
      </w:r>
      <w:proofErr w:type="spellStart"/>
      <w:r w:rsidRPr="009F7DCC">
        <w:rPr>
          <w:rFonts w:ascii="Arial" w:eastAsia="Arial" w:hAnsi="Arial" w:cs="Arial"/>
          <w:sz w:val="22"/>
          <w:szCs w:val="22"/>
          <w:lang w:val="es-ES"/>
        </w:rPr>
        <w:t>Neophron</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percnopterus,buitre</w:t>
      </w:r>
      <w:proofErr w:type="spellEnd"/>
      <w:r w:rsidRPr="009F7DCC">
        <w:rPr>
          <w:rFonts w:ascii="Arial" w:eastAsia="Arial" w:hAnsi="Arial" w:cs="Arial"/>
          <w:sz w:val="22"/>
          <w:szCs w:val="22"/>
          <w:lang w:val="es-ES"/>
        </w:rPr>
        <w:t xml:space="preserve"> cabecirrojo </w:t>
      </w:r>
      <w:proofErr w:type="spellStart"/>
      <w:r w:rsidRPr="009F7DCC">
        <w:rPr>
          <w:rFonts w:ascii="Arial" w:eastAsia="Arial" w:hAnsi="Arial" w:cs="Arial"/>
          <w:sz w:val="22"/>
          <w:szCs w:val="22"/>
          <w:lang w:val="es-ES"/>
        </w:rPr>
        <w:t>Vulture</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Sarcogyps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calvus</w:t>
      </w:r>
      <w:proofErr w:type="spellEnd"/>
      <w:r w:rsidRPr="009F7DCC">
        <w:rPr>
          <w:rFonts w:ascii="Arial" w:eastAsia="Arial" w:hAnsi="Arial" w:cs="Arial"/>
          <w:sz w:val="22"/>
          <w:szCs w:val="22"/>
          <w:lang w:val="es-ES"/>
        </w:rPr>
        <w:t xml:space="preserve">, buitre cabeciblanco </w:t>
      </w:r>
      <w:proofErr w:type="spellStart"/>
      <w:r w:rsidRPr="009F7DCC">
        <w:rPr>
          <w:rFonts w:ascii="Arial" w:eastAsia="Arial" w:hAnsi="Arial" w:cs="Arial"/>
          <w:sz w:val="22"/>
          <w:szCs w:val="22"/>
          <w:lang w:val="es-ES"/>
        </w:rPr>
        <w:t>Trigonoceps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occipitalis</w:t>
      </w:r>
      <w:proofErr w:type="spellEnd"/>
      <w:r w:rsidRPr="009F7DCC">
        <w:rPr>
          <w:rFonts w:ascii="Arial" w:eastAsia="Arial" w:hAnsi="Arial" w:cs="Arial"/>
          <w:sz w:val="22"/>
          <w:szCs w:val="22"/>
          <w:lang w:val="es-ES"/>
        </w:rPr>
        <w:t xml:space="preserve">, Alimoche sombrío </w:t>
      </w:r>
      <w:proofErr w:type="spellStart"/>
      <w:r w:rsidRPr="009F7DCC">
        <w:rPr>
          <w:rFonts w:ascii="Arial" w:eastAsia="Arial" w:hAnsi="Arial" w:cs="Arial"/>
          <w:sz w:val="22"/>
          <w:szCs w:val="22"/>
          <w:lang w:val="es-ES"/>
        </w:rPr>
        <w:t>Necrosyrtes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monachus</w:t>
      </w:r>
      <w:proofErr w:type="spellEnd"/>
      <w:r w:rsidRPr="009F7DCC">
        <w:rPr>
          <w:rFonts w:ascii="Arial" w:eastAsia="Arial" w:hAnsi="Arial" w:cs="Arial"/>
          <w:sz w:val="22"/>
          <w:szCs w:val="22"/>
          <w:lang w:val="es-ES"/>
        </w:rPr>
        <w:t xml:space="preserve">, buitre del Himalaya </w:t>
      </w:r>
      <w:proofErr w:type="spellStart"/>
      <w:r w:rsidRPr="009F7DCC">
        <w:rPr>
          <w:rFonts w:ascii="Arial" w:eastAsia="Arial" w:hAnsi="Arial" w:cs="Arial"/>
          <w:sz w:val="22"/>
          <w:szCs w:val="22"/>
          <w:lang w:val="es-ES"/>
        </w:rPr>
        <w:t>Gyps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himalayensis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buitredorsiblanco</w:t>
      </w:r>
      <w:proofErr w:type="spellEnd"/>
      <w:r w:rsidRPr="009F7DCC">
        <w:rPr>
          <w:rFonts w:ascii="Arial" w:eastAsia="Arial" w:hAnsi="Arial" w:cs="Arial"/>
          <w:sz w:val="22"/>
          <w:szCs w:val="22"/>
          <w:lang w:val="es-ES"/>
        </w:rPr>
        <w:t xml:space="preserve"> bengalí </w:t>
      </w:r>
      <w:proofErr w:type="spellStart"/>
      <w:r w:rsidRPr="009F7DCC">
        <w:rPr>
          <w:rFonts w:ascii="Arial" w:eastAsia="Arial" w:hAnsi="Arial" w:cs="Arial"/>
          <w:sz w:val="22"/>
          <w:szCs w:val="22"/>
          <w:lang w:val="es-ES"/>
        </w:rPr>
        <w:t>Gyps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bengalensis</w:t>
      </w:r>
      <w:proofErr w:type="spellEnd"/>
      <w:r w:rsidRPr="009F7DCC">
        <w:rPr>
          <w:rFonts w:ascii="Arial" w:eastAsia="Arial" w:hAnsi="Arial" w:cs="Arial"/>
          <w:sz w:val="22"/>
          <w:szCs w:val="22"/>
          <w:lang w:val="es-ES"/>
        </w:rPr>
        <w:t xml:space="preserve">, buitre dorsiblanco africano </w:t>
      </w:r>
      <w:proofErr w:type="spellStart"/>
      <w:r w:rsidRPr="009F7DCC">
        <w:rPr>
          <w:rFonts w:ascii="Arial" w:eastAsia="Arial" w:hAnsi="Arial" w:cs="Arial"/>
          <w:sz w:val="22"/>
          <w:szCs w:val="22"/>
          <w:lang w:val="es-ES"/>
        </w:rPr>
        <w:t>Gyps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africanus</w:t>
      </w:r>
      <w:proofErr w:type="spellEnd"/>
      <w:r w:rsidRPr="009F7DCC">
        <w:rPr>
          <w:rFonts w:ascii="Arial" w:eastAsia="Arial" w:hAnsi="Arial" w:cs="Arial"/>
          <w:sz w:val="22"/>
          <w:szCs w:val="22"/>
          <w:lang w:val="es-ES"/>
        </w:rPr>
        <w:t xml:space="preserve">, buitre </w:t>
      </w:r>
      <w:proofErr w:type="spellStart"/>
      <w:r w:rsidRPr="009F7DCC">
        <w:rPr>
          <w:rFonts w:ascii="Arial" w:eastAsia="Arial" w:hAnsi="Arial" w:cs="Arial"/>
          <w:sz w:val="22"/>
          <w:szCs w:val="22"/>
          <w:lang w:val="es-ES"/>
        </w:rPr>
        <w:t>indioGyps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indicus</w:t>
      </w:r>
      <w:proofErr w:type="spellEnd"/>
      <w:r w:rsidRPr="009F7DCC">
        <w:rPr>
          <w:rFonts w:ascii="Arial" w:eastAsia="Arial" w:hAnsi="Arial" w:cs="Arial"/>
          <w:sz w:val="22"/>
          <w:szCs w:val="22"/>
          <w:lang w:val="es-ES"/>
        </w:rPr>
        <w:t xml:space="preserve">, buitre picofino </w:t>
      </w:r>
      <w:proofErr w:type="spellStart"/>
      <w:r w:rsidRPr="009F7DCC">
        <w:rPr>
          <w:rFonts w:ascii="Arial" w:eastAsia="Arial" w:hAnsi="Arial" w:cs="Arial"/>
          <w:sz w:val="22"/>
          <w:szCs w:val="22"/>
          <w:lang w:val="es-ES"/>
        </w:rPr>
        <w:t>Gyps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tenuirostris</w:t>
      </w:r>
      <w:proofErr w:type="spellEnd"/>
      <w:r w:rsidRPr="009F7DCC">
        <w:rPr>
          <w:rFonts w:ascii="Arial" w:eastAsia="Arial" w:hAnsi="Arial" w:cs="Arial"/>
          <w:sz w:val="22"/>
          <w:szCs w:val="22"/>
          <w:lang w:val="es-ES"/>
        </w:rPr>
        <w:t xml:space="preserve">, buitre del Cabo </w:t>
      </w:r>
      <w:proofErr w:type="spellStart"/>
      <w:r w:rsidRPr="009F7DCC">
        <w:rPr>
          <w:rFonts w:ascii="Arial" w:eastAsia="Arial" w:hAnsi="Arial" w:cs="Arial"/>
          <w:sz w:val="22"/>
          <w:szCs w:val="22"/>
          <w:lang w:val="es-ES"/>
        </w:rPr>
        <w:t>Gyps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coprotheres</w:t>
      </w:r>
      <w:proofErr w:type="spellEnd"/>
      <w:r w:rsidRPr="009F7DCC">
        <w:rPr>
          <w:rFonts w:ascii="Arial" w:eastAsia="Arial" w:hAnsi="Arial" w:cs="Arial"/>
          <w:sz w:val="22"/>
          <w:szCs w:val="22"/>
          <w:lang w:val="es-ES"/>
        </w:rPr>
        <w:t xml:space="preserve">, buitre de </w:t>
      </w:r>
      <w:proofErr w:type="spellStart"/>
      <w:r w:rsidRPr="009F7DCC">
        <w:rPr>
          <w:rFonts w:ascii="Arial" w:eastAsia="Arial" w:hAnsi="Arial" w:cs="Arial"/>
          <w:sz w:val="22"/>
          <w:szCs w:val="22"/>
          <w:lang w:val="es-ES"/>
        </w:rPr>
        <w:t>Ruppell</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Gyps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rueppelli</w:t>
      </w:r>
      <w:proofErr w:type="spellEnd"/>
      <w:r w:rsidRPr="009F7DCC">
        <w:rPr>
          <w:rFonts w:ascii="Arial" w:eastAsia="Arial" w:hAnsi="Arial" w:cs="Arial"/>
          <w:sz w:val="22"/>
          <w:szCs w:val="22"/>
          <w:lang w:val="es-ES"/>
        </w:rPr>
        <w:t xml:space="preserve">, buitre leonado </w:t>
      </w:r>
      <w:proofErr w:type="spellStart"/>
      <w:r w:rsidRPr="009F7DCC">
        <w:rPr>
          <w:rFonts w:ascii="Arial" w:eastAsia="Arial" w:hAnsi="Arial" w:cs="Arial"/>
          <w:sz w:val="22"/>
          <w:szCs w:val="22"/>
          <w:lang w:val="es-ES"/>
        </w:rPr>
        <w:t>Gyps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fulvus</w:t>
      </w:r>
      <w:proofErr w:type="spellEnd"/>
      <w:r w:rsidRPr="009F7DCC">
        <w:rPr>
          <w:rFonts w:ascii="Arial" w:eastAsia="Arial" w:hAnsi="Arial" w:cs="Arial"/>
          <w:sz w:val="22"/>
          <w:szCs w:val="22"/>
          <w:lang w:val="es-ES"/>
        </w:rPr>
        <w:t xml:space="preserve">, buitre negro </w:t>
      </w:r>
      <w:proofErr w:type="spellStart"/>
      <w:r w:rsidRPr="009F7DCC">
        <w:rPr>
          <w:rFonts w:ascii="Arial" w:eastAsia="Arial" w:hAnsi="Arial" w:cs="Arial"/>
          <w:sz w:val="22"/>
          <w:szCs w:val="22"/>
          <w:lang w:val="es-ES"/>
        </w:rPr>
        <w:t>Aegypius</w:t>
      </w:r>
      <w:proofErr w:type="spellEnd"/>
      <w:r w:rsidRPr="009F7DCC">
        <w:rPr>
          <w:rFonts w:ascii="Arial" w:eastAsia="Arial" w:hAnsi="Arial" w:cs="Arial"/>
          <w:sz w:val="22"/>
          <w:szCs w:val="22"/>
          <w:lang w:val="es-ES"/>
        </w:rPr>
        <w:t xml:space="preserve"> </w:t>
      </w:r>
      <w:proofErr w:type="spellStart"/>
      <w:r w:rsidRPr="009F7DCC">
        <w:rPr>
          <w:rFonts w:ascii="Arial" w:eastAsia="Arial" w:hAnsi="Arial" w:cs="Arial"/>
          <w:sz w:val="22"/>
          <w:szCs w:val="22"/>
          <w:lang w:val="es-ES"/>
        </w:rPr>
        <w:t>monachus</w:t>
      </w:r>
      <w:proofErr w:type="spellEnd"/>
      <w:r w:rsidRPr="009F7DCC">
        <w:rPr>
          <w:rFonts w:ascii="Arial" w:eastAsia="Arial" w:hAnsi="Arial" w:cs="Arial"/>
          <w:sz w:val="22"/>
          <w:szCs w:val="22"/>
          <w:lang w:val="es-ES"/>
        </w:rPr>
        <w:t xml:space="preserve">, y buitre orejudo Torgos </w:t>
      </w:r>
      <w:proofErr w:type="spellStart"/>
      <w:r w:rsidRPr="009F7DCC">
        <w:rPr>
          <w:rFonts w:ascii="Arial" w:eastAsia="Arial" w:hAnsi="Arial" w:cs="Arial"/>
          <w:sz w:val="22"/>
          <w:szCs w:val="22"/>
          <w:lang w:val="es-ES"/>
        </w:rPr>
        <w:t>tracheliotus</w:t>
      </w:r>
      <w:proofErr w:type="spellEnd"/>
      <w:r w:rsidRPr="009F7DCC">
        <w:rPr>
          <w:rFonts w:ascii="Arial" w:eastAsia="Arial" w:hAnsi="Arial" w:cs="Arial"/>
          <w:sz w:val="22"/>
          <w:szCs w:val="22"/>
          <w:lang w:val="es-ES"/>
        </w:rPr>
        <w:t xml:space="preserve"> constituyen uno de los grupos de aves migratorias más amenazados del mundo, ya que 11 de las especies están amenazadas a nivel mundial, ocho clasificadas como en peligro crítico, y tres como casi amenazadas, según la Lista Roja de la Unión Internacional para la Conservación de la Naturaleza (UICN</w:t>
      </w:r>
      <w:r w:rsidRPr="009D1136">
        <w:rPr>
          <w:rFonts w:ascii="Arial" w:eastAsia="Arial" w:hAnsi="Arial" w:cs="Arial"/>
          <w:sz w:val="22"/>
          <w:szCs w:val="22"/>
          <w:lang w:val="es-ES"/>
        </w:rPr>
        <w:t xml:space="preserve">), </w:t>
      </w:r>
      <w:r w:rsidR="009D1136" w:rsidRPr="009D1136">
        <w:rPr>
          <w:rFonts w:ascii="Arial" w:eastAsia="Arial" w:hAnsi="Arial" w:cs="Arial"/>
          <w:sz w:val="22"/>
          <w:szCs w:val="22"/>
          <w:lang w:val="es-ES"/>
        </w:rPr>
        <w:t xml:space="preserve">y </w:t>
      </w:r>
      <w:r w:rsidR="00E91729">
        <w:rPr>
          <w:rFonts w:ascii="Arial" w:eastAsia="Arial" w:hAnsi="Arial" w:cs="Arial"/>
          <w:sz w:val="22"/>
          <w:szCs w:val="22"/>
          <w:lang w:val="es-ES"/>
        </w:rPr>
        <w:t>diez</w:t>
      </w:r>
      <w:r w:rsidR="009D1136" w:rsidRPr="009D1136">
        <w:rPr>
          <w:rFonts w:ascii="Arial" w:eastAsia="Arial" w:hAnsi="Arial" w:cs="Arial"/>
          <w:sz w:val="22"/>
          <w:szCs w:val="22"/>
          <w:lang w:val="es-ES"/>
        </w:rPr>
        <w:t xml:space="preserve"> incluidas en el Apéndice I por la COP12</w:t>
      </w:r>
      <w:r w:rsidR="007B1BD7">
        <w:rPr>
          <w:rFonts w:ascii="Arial" w:eastAsia="Arial" w:hAnsi="Arial" w:cs="Arial"/>
          <w:sz w:val="22"/>
          <w:szCs w:val="22"/>
          <w:lang w:val="es-ES"/>
        </w:rPr>
        <w:t xml:space="preserve"> en 2017</w:t>
      </w:r>
      <w:r w:rsidR="009D1136" w:rsidRPr="009D1136">
        <w:rPr>
          <w:rFonts w:ascii="Arial" w:eastAsia="Arial" w:hAnsi="Arial" w:cs="Arial"/>
          <w:sz w:val="22"/>
          <w:szCs w:val="22"/>
          <w:lang w:val="es-ES"/>
        </w:rPr>
        <w:t>.</w:t>
      </w:r>
    </w:p>
    <w:p w14:paraId="60CE8B6A" w14:textId="77777777" w:rsidR="009F7DCC" w:rsidRPr="009F7DCC" w:rsidRDefault="009F7DCC" w:rsidP="00310062">
      <w:pPr>
        <w:widowControl/>
        <w:autoSpaceDE/>
        <w:autoSpaceDN/>
        <w:jc w:val="both"/>
        <w:textAlignment w:val="auto"/>
        <w:rPr>
          <w:rFonts w:ascii="Arial" w:eastAsia="Arial" w:hAnsi="Arial" w:cs="Arial"/>
          <w:i/>
          <w:sz w:val="22"/>
          <w:szCs w:val="22"/>
          <w:highlight w:val="yellow"/>
          <w:lang w:val="es-ES"/>
        </w:rPr>
      </w:pPr>
    </w:p>
    <w:p w14:paraId="6EC73C8B" w14:textId="21F78993" w:rsidR="009F7DCC" w:rsidRPr="007B1BD7" w:rsidRDefault="009F7DCC" w:rsidP="00310062">
      <w:pPr>
        <w:widowControl/>
        <w:autoSpaceDE/>
        <w:autoSpaceDN/>
        <w:jc w:val="both"/>
        <w:textAlignment w:val="auto"/>
        <w:rPr>
          <w:rFonts w:ascii="Arial" w:eastAsiaTheme="minorHAnsi" w:hAnsi="Arial" w:cs="Arial"/>
          <w:iCs/>
          <w:sz w:val="22"/>
          <w:szCs w:val="22"/>
          <w:highlight w:val="yellow"/>
          <w:lang w:val="es-ES"/>
        </w:rPr>
      </w:pPr>
      <w:r w:rsidRPr="007B1BD7">
        <w:rPr>
          <w:rFonts w:ascii="Arial" w:eastAsia="Arial" w:hAnsi="Arial" w:cs="Arial"/>
          <w:i/>
          <w:sz w:val="22"/>
          <w:szCs w:val="22"/>
          <w:lang w:val="es-ES"/>
        </w:rPr>
        <w:t xml:space="preserve">Consciente </w:t>
      </w:r>
      <w:r w:rsidRPr="007B1BD7">
        <w:rPr>
          <w:rFonts w:ascii="Arial" w:eastAsia="Arial" w:hAnsi="Arial" w:cs="Arial"/>
          <w:iCs/>
          <w:sz w:val="22"/>
          <w:szCs w:val="22"/>
          <w:lang w:val="es-ES"/>
        </w:rPr>
        <w:t xml:space="preserve">de que la rápida disminución de la población experimentada en los últimos años por la mayoría de las poblaciones de buitres de África y Eurasia se han debido a factores antropogénicos; principalmente </w:t>
      </w:r>
      <w:r w:rsidR="003A6133">
        <w:rPr>
          <w:rFonts w:ascii="Arial" w:eastAsia="Arial" w:hAnsi="Arial" w:cs="Arial"/>
          <w:iCs/>
          <w:sz w:val="22"/>
          <w:szCs w:val="22"/>
          <w:lang w:val="es-ES"/>
        </w:rPr>
        <w:t>la mortalidad causada</w:t>
      </w:r>
      <w:r w:rsidRPr="007B1BD7">
        <w:rPr>
          <w:rFonts w:ascii="Arial" w:eastAsia="Arial" w:hAnsi="Arial" w:cs="Arial"/>
          <w:iCs/>
          <w:sz w:val="22"/>
          <w:szCs w:val="22"/>
          <w:lang w:val="es-ES"/>
        </w:rPr>
        <w:t xml:space="preserve"> por ingestión de cebos envenenados utilizados ilegalmente: a) para proteger al ganado o especies de caza de los depredadores pero matando buitres involuntariamente; b) por cazadores furtivos, que cazan deliberadamente buitres para impedir que llamen la atención de los guar</w:t>
      </w:r>
      <w:r w:rsidR="009D1136" w:rsidRPr="007B1BD7">
        <w:rPr>
          <w:rFonts w:ascii="Arial" w:eastAsia="Arial" w:hAnsi="Arial" w:cs="Arial"/>
          <w:iCs/>
          <w:sz w:val="22"/>
          <w:szCs w:val="22"/>
          <w:lang w:val="es-ES"/>
        </w:rPr>
        <w:t>da</w:t>
      </w:r>
      <w:r w:rsidRPr="007B1BD7">
        <w:rPr>
          <w:rFonts w:ascii="Arial" w:eastAsia="Arial" w:hAnsi="Arial" w:cs="Arial"/>
          <w:iCs/>
          <w:sz w:val="22"/>
          <w:szCs w:val="22"/>
          <w:lang w:val="es-ES"/>
        </w:rPr>
        <w:t>s</w:t>
      </w:r>
      <w:r w:rsidR="009D1136" w:rsidRPr="007B1BD7">
        <w:rPr>
          <w:rFonts w:ascii="Arial" w:eastAsia="Arial" w:hAnsi="Arial" w:cs="Arial"/>
          <w:iCs/>
          <w:sz w:val="22"/>
          <w:szCs w:val="22"/>
          <w:lang w:val="es-ES"/>
        </w:rPr>
        <w:t xml:space="preserve"> forestales y/o responsables de los parques</w:t>
      </w:r>
      <w:r w:rsidRPr="007B1BD7">
        <w:rPr>
          <w:rFonts w:ascii="Arial" w:eastAsia="Arial" w:hAnsi="Arial" w:cs="Arial"/>
          <w:iCs/>
          <w:sz w:val="22"/>
          <w:szCs w:val="22"/>
          <w:lang w:val="es-ES"/>
        </w:rPr>
        <w:t xml:space="preserve"> hacia los elefantes o rinocerontes abatidos ilegalmente; y, c) para la recolección deliberada de buitres para el uso basado en creencias; y por buitres que se alimentan de cadáveres contaminados con el medicamento veterinario diclofenaco, pero debido también a una variedad de otras amenazas, tales como la pérdida o la degradación del hábitat, la disminución de la disponibilidad de alimentos, la mortalidad causada por electrocución en los postes eléctricos, colisión con turbinas eólicas y demás infraestructuras de generación y transmisión de energía, las perturbaciones causadas por el hombre y la fragmentación de las poblaciones restantes,</w:t>
      </w:r>
    </w:p>
    <w:p w14:paraId="6C6A94EF" w14:textId="77777777" w:rsidR="009F7DCC" w:rsidRPr="009F7DCC" w:rsidRDefault="009F7DCC" w:rsidP="00310062">
      <w:pPr>
        <w:widowControl/>
        <w:autoSpaceDE/>
        <w:autoSpaceDN/>
        <w:jc w:val="both"/>
        <w:textAlignment w:val="auto"/>
        <w:rPr>
          <w:rFonts w:ascii="Arial" w:eastAsiaTheme="minorHAnsi" w:hAnsi="Arial" w:cs="Arial"/>
          <w:sz w:val="22"/>
          <w:szCs w:val="22"/>
          <w:lang w:val="es-ES"/>
        </w:rPr>
      </w:pPr>
    </w:p>
    <w:p w14:paraId="4FE07927" w14:textId="4409A854" w:rsidR="009F7DCC" w:rsidRPr="007B1BD7" w:rsidRDefault="009F7DCC" w:rsidP="00310062">
      <w:pPr>
        <w:widowControl/>
        <w:autoSpaceDE/>
        <w:autoSpaceDN/>
        <w:ind w:right="164"/>
        <w:jc w:val="both"/>
        <w:textAlignment w:val="auto"/>
        <w:rPr>
          <w:rFonts w:ascii="Arial" w:eastAsiaTheme="minorHAnsi" w:hAnsi="Arial" w:cs="Arial"/>
          <w:sz w:val="22"/>
          <w:szCs w:val="22"/>
          <w:lang w:val="es-ES"/>
        </w:rPr>
      </w:pPr>
      <w:r w:rsidRPr="007B1BD7">
        <w:rPr>
          <w:rFonts w:ascii="Arial" w:eastAsiaTheme="minorHAnsi" w:hAnsi="Arial" w:cs="Arial"/>
          <w:i/>
          <w:iCs/>
          <w:sz w:val="22"/>
          <w:szCs w:val="22"/>
          <w:lang w:val="es-ES"/>
        </w:rPr>
        <w:lastRenderedPageBreak/>
        <w:t>Elogiando</w:t>
      </w:r>
      <w:r w:rsidRPr="007B1BD7">
        <w:rPr>
          <w:rFonts w:ascii="Arial" w:eastAsiaTheme="minorHAnsi" w:hAnsi="Arial" w:cs="Arial"/>
          <w:sz w:val="22"/>
          <w:szCs w:val="22"/>
          <w:lang w:val="es-ES"/>
        </w:rPr>
        <w:t xml:space="preserve"> </w:t>
      </w:r>
      <w:r w:rsidR="007B1BD7" w:rsidRPr="007B1BD7">
        <w:rPr>
          <w:rFonts w:ascii="Arial" w:eastAsiaTheme="minorHAnsi" w:hAnsi="Arial" w:cs="Arial"/>
          <w:sz w:val="22"/>
          <w:szCs w:val="22"/>
          <w:lang w:val="es-ES"/>
        </w:rPr>
        <w:t xml:space="preserve">a </w:t>
      </w:r>
      <w:r w:rsidRPr="007B1BD7">
        <w:rPr>
          <w:rFonts w:ascii="Arial" w:eastAsiaTheme="minorHAnsi" w:hAnsi="Arial" w:cs="Arial"/>
          <w:sz w:val="22"/>
          <w:szCs w:val="22"/>
          <w:lang w:val="es-ES"/>
        </w:rPr>
        <w:t xml:space="preserve">una gran cantidad de Estados del área de distribución de los buitres, entre ellos varios Estados miembros de la UE y varios países del sur de Asia y de África, que, gracias a sus intensos y constantes esfuerzos de conservación, han asegurado la recuperación de sus poblaciones nacionales de buitres, </w:t>
      </w:r>
      <w:r w:rsidR="003A6133">
        <w:rPr>
          <w:rFonts w:ascii="Arial" w:eastAsiaTheme="minorHAnsi" w:hAnsi="Arial" w:cs="Arial"/>
          <w:sz w:val="22"/>
          <w:szCs w:val="22"/>
          <w:lang w:val="es-ES"/>
        </w:rPr>
        <w:t xml:space="preserve">o </w:t>
      </w:r>
      <w:r w:rsidRPr="007B1BD7">
        <w:rPr>
          <w:rFonts w:ascii="Arial" w:eastAsiaTheme="minorHAnsi" w:hAnsi="Arial" w:cs="Arial"/>
          <w:sz w:val="22"/>
          <w:szCs w:val="22"/>
          <w:lang w:val="es-ES"/>
        </w:rPr>
        <w:t xml:space="preserve">detuvieron el colapso de sus poblaciones de buitres, así como a otros países que han elaborado ya y están aplicando planes de acción nacionales para los buitres, </w:t>
      </w:r>
    </w:p>
    <w:p w14:paraId="7194AF65" w14:textId="77777777" w:rsidR="009F7DCC" w:rsidRPr="009F7DCC" w:rsidRDefault="009F7DCC" w:rsidP="00310062">
      <w:pPr>
        <w:widowControl/>
        <w:autoSpaceDE/>
        <w:autoSpaceDN/>
        <w:jc w:val="both"/>
        <w:textAlignment w:val="auto"/>
        <w:rPr>
          <w:rFonts w:ascii="Arial" w:eastAsia="Arial" w:hAnsi="Arial" w:cs="Arial"/>
          <w:i/>
          <w:sz w:val="22"/>
          <w:szCs w:val="22"/>
          <w:lang w:val="es-ES"/>
        </w:rPr>
      </w:pPr>
      <w:r w:rsidRPr="009F7DCC">
        <w:rPr>
          <w:rFonts w:ascii="Arial" w:eastAsia="Arial" w:hAnsi="Arial" w:cs="Arial"/>
          <w:i/>
          <w:sz w:val="22"/>
          <w:szCs w:val="22"/>
          <w:lang w:val="es-ES"/>
        </w:rPr>
        <w:t xml:space="preserve"> </w:t>
      </w:r>
    </w:p>
    <w:p w14:paraId="7019BAE9" w14:textId="7CB4C3AF" w:rsidR="009F7DCC" w:rsidRPr="00E91729" w:rsidRDefault="009F7DCC" w:rsidP="00310062">
      <w:pPr>
        <w:widowControl/>
        <w:autoSpaceDE/>
        <w:autoSpaceDN/>
        <w:jc w:val="both"/>
        <w:textAlignment w:val="auto"/>
        <w:rPr>
          <w:rFonts w:ascii="Arial" w:eastAsiaTheme="minorHAnsi" w:hAnsi="Arial" w:cs="Arial"/>
          <w:iCs/>
          <w:sz w:val="22"/>
          <w:szCs w:val="22"/>
          <w:lang w:val="es-ES"/>
        </w:rPr>
      </w:pPr>
      <w:r w:rsidRPr="00E91729">
        <w:rPr>
          <w:rFonts w:ascii="Arial" w:eastAsiaTheme="minorHAnsi" w:hAnsi="Arial" w:cs="Arial"/>
          <w:i/>
          <w:sz w:val="22"/>
          <w:szCs w:val="22"/>
          <w:lang w:val="es-ES"/>
        </w:rPr>
        <w:t>Reconociendo</w:t>
      </w:r>
      <w:r w:rsidRPr="00E91729">
        <w:rPr>
          <w:rFonts w:ascii="Arial" w:eastAsiaTheme="minorHAnsi" w:hAnsi="Arial" w:cs="Arial"/>
          <w:iCs/>
          <w:sz w:val="22"/>
          <w:szCs w:val="22"/>
          <w:lang w:val="es-ES"/>
        </w:rPr>
        <w:t xml:space="preserve"> que los buitres proporcionan servicios ecosistémicos de importancia fundamental, ofreciendo considerables beneficios económicos y de salud al limpiar cadáveres y otros residuos orgánicos en el medio ambiente; </w:t>
      </w:r>
      <w:r w:rsidR="00E91729" w:rsidRPr="00E91729">
        <w:rPr>
          <w:rFonts w:ascii="Arial" w:eastAsiaTheme="minorHAnsi" w:hAnsi="Arial" w:cs="Arial"/>
          <w:iCs/>
          <w:sz w:val="22"/>
          <w:szCs w:val="22"/>
          <w:lang w:val="es-ES"/>
        </w:rPr>
        <w:t xml:space="preserve">y que </w:t>
      </w:r>
      <w:r w:rsidRPr="00E91729">
        <w:rPr>
          <w:rFonts w:ascii="Arial" w:eastAsiaTheme="minorHAnsi" w:hAnsi="Arial" w:cs="Arial"/>
          <w:iCs/>
          <w:sz w:val="22"/>
          <w:szCs w:val="22"/>
          <w:lang w:val="es-ES"/>
        </w:rPr>
        <w:t>donde no hay buitres, los cadáveres pueden tardar hasta 3-4 veces más tiempo en descomponerse, con la emisión de cantidades significativas de CO2 y consecuencias notables para la propagación de enfermedades tanto en animales silvestres como domésticos, así como de aumento de los riesgos patógenos para los seres humanos; y reconociendo también que los buitres encierran un especial valor cultural intrínseco en muchos países</w:t>
      </w:r>
    </w:p>
    <w:p w14:paraId="7E10624F" w14:textId="1B98C9A5" w:rsidR="009F7DCC" w:rsidRPr="009F7DCC" w:rsidRDefault="009F7DCC" w:rsidP="00310062">
      <w:pPr>
        <w:widowControl/>
        <w:autoSpaceDE/>
        <w:autoSpaceDN/>
        <w:jc w:val="both"/>
        <w:textAlignment w:val="auto"/>
        <w:rPr>
          <w:rFonts w:ascii="Arial" w:eastAsia="Arial" w:hAnsi="Arial" w:cs="Arial"/>
          <w:i/>
          <w:sz w:val="22"/>
          <w:szCs w:val="22"/>
          <w:lang w:val="es-ES"/>
        </w:rPr>
      </w:pPr>
    </w:p>
    <w:p w14:paraId="559859AC" w14:textId="17ACC4EC" w:rsidR="009F7DCC" w:rsidRPr="002470B9" w:rsidRDefault="009F7DCC" w:rsidP="00310062">
      <w:pPr>
        <w:widowControl/>
        <w:autoSpaceDE/>
        <w:autoSpaceDN/>
        <w:jc w:val="both"/>
        <w:textAlignment w:val="auto"/>
        <w:rPr>
          <w:rFonts w:ascii="Arial" w:eastAsiaTheme="minorHAnsi" w:hAnsi="Arial" w:cs="Arial"/>
          <w:sz w:val="22"/>
          <w:szCs w:val="22"/>
          <w:lang w:val="es-ES"/>
        </w:rPr>
      </w:pPr>
      <w:r w:rsidRPr="002470B9">
        <w:rPr>
          <w:rFonts w:ascii="Arial" w:eastAsiaTheme="minorHAnsi" w:hAnsi="Arial" w:cs="Arial"/>
          <w:sz w:val="22"/>
          <w:szCs w:val="22"/>
          <w:lang w:val="es-ES"/>
        </w:rPr>
        <w:t>Tomando nota de las iniciativas dirigidas por la CMS establecidas en la Resolución 11.15 (Rev.COP13)</w:t>
      </w:r>
      <w:r w:rsidRPr="002470B9">
        <w:rPr>
          <w:rFonts w:ascii="Arial" w:eastAsiaTheme="minorHAnsi" w:hAnsi="Arial" w:cs="Arial"/>
          <w:sz w:val="22"/>
          <w:szCs w:val="22"/>
          <w:vertAlign w:val="superscript"/>
          <w:lang w:val="es-ES"/>
        </w:rPr>
        <w:footnoteReference w:id="2"/>
      </w:r>
      <w:r w:rsidRPr="002470B9">
        <w:rPr>
          <w:rFonts w:ascii="Arial" w:eastAsiaTheme="minorHAnsi" w:hAnsi="Arial" w:cs="Arial"/>
          <w:sz w:val="22"/>
          <w:szCs w:val="22"/>
          <w:lang w:val="es-ES"/>
        </w:rPr>
        <w:t xml:space="preserve">  </w:t>
      </w:r>
      <w:r w:rsidRPr="002470B9">
        <w:rPr>
          <w:rFonts w:ascii="Arial" w:eastAsiaTheme="minorHAnsi" w:hAnsi="Arial" w:cs="Arial"/>
          <w:i/>
          <w:iCs/>
          <w:sz w:val="22"/>
          <w:szCs w:val="22"/>
          <w:lang w:val="es-ES"/>
        </w:rPr>
        <w:t>Prevención del riesgo de envenenamiento de aves migratorias</w:t>
      </w:r>
      <w:r w:rsidRPr="002470B9">
        <w:rPr>
          <w:rFonts w:ascii="Arial" w:eastAsiaTheme="minorHAnsi" w:hAnsi="Arial" w:cs="Arial"/>
          <w:sz w:val="22"/>
          <w:szCs w:val="22"/>
          <w:lang w:val="es-ES"/>
        </w:rPr>
        <w:t>, incluido el Grupo de trabajo asociado, la Resolución 11.16 (Rev.COP13)</w:t>
      </w:r>
      <w:r w:rsidRPr="002470B9">
        <w:rPr>
          <w:rFonts w:ascii="Arial" w:eastAsiaTheme="minorHAnsi" w:hAnsi="Arial" w:cs="Arial"/>
          <w:i/>
          <w:iCs/>
          <w:sz w:val="22"/>
          <w:szCs w:val="22"/>
          <w:vertAlign w:val="superscript"/>
          <w:lang w:val="es-ES"/>
        </w:rPr>
        <w:footnoteReference w:id="3"/>
      </w:r>
      <w:r w:rsidRPr="002470B9">
        <w:rPr>
          <w:rFonts w:ascii="Arial" w:eastAsiaTheme="minorHAnsi" w:hAnsi="Arial" w:cs="Arial"/>
          <w:sz w:val="22"/>
          <w:szCs w:val="22"/>
          <w:lang w:val="es-ES"/>
        </w:rPr>
        <w:t xml:space="preserve"> </w:t>
      </w:r>
      <w:r w:rsidR="00BB25EE" w:rsidRPr="002470B9">
        <w:rPr>
          <w:rFonts w:ascii="Arial" w:eastAsiaTheme="minorHAnsi" w:hAnsi="Arial" w:cs="Arial"/>
          <w:sz w:val="22"/>
          <w:szCs w:val="22"/>
          <w:lang w:val="es-ES"/>
        </w:rPr>
        <w:t xml:space="preserve">sobre la </w:t>
      </w:r>
      <w:r w:rsidRPr="002470B9">
        <w:rPr>
          <w:rFonts w:ascii="Arial" w:eastAsiaTheme="minorHAnsi" w:hAnsi="Arial" w:cs="Arial"/>
          <w:i/>
          <w:iCs/>
          <w:sz w:val="22"/>
          <w:szCs w:val="22"/>
          <w:lang w:val="es-ES"/>
        </w:rPr>
        <w:t>Prevención de la matanza, la captura y el comercio ilegales de aves migratorias</w:t>
      </w:r>
      <w:r w:rsidRPr="002470B9">
        <w:rPr>
          <w:rFonts w:ascii="Arial" w:eastAsiaTheme="minorHAnsi" w:hAnsi="Arial" w:cs="Arial"/>
          <w:sz w:val="22"/>
          <w:szCs w:val="22"/>
          <w:lang w:val="es-ES"/>
        </w:rPr>
        <w:t>, incluido</w:t>
      </w:r>
      <w:r w:rsidR="00BB25EE" w:rsidRPr="002470B9">
        <w:rPr>
          <w:rFonts w:ascii="Arial" w:eastAsiaTheme="minorHAnsi" w:hAnsi="Arial" w:cs="Arial"/>
          <w:sz w:val="22"/>
          <w:szCs w:val="22"/>
          <w:lang w:val="es-ES"/>
        </w:rPr>
        <w:t xml:space="preserve">s </w:t>
      </w:r>
      <w:r w:rsidRPr="002470B9">
        <w:rPr>
          <w:rFonts w:ascii="Arial" w:eastAsiaTheme="minorHAnsi" w:hAnsi="Arial" w:cs="Arial"/>
          <w:sz w:val="22"/>
          <w:szCs w:val="22"/>
          <w:lang w:val="es-ES"/>
        </w:rPr>
        <w:t>l</w:t>
      </w:r>
      <w:r w:rsidR="00BB25EE" w:rsidRPr="002470B9">
        <w:rPr>
          <w:rFonts w:ascii="Arial" w:eastAsiaTheme="minorHAnsi" w:hAnsi="Arial" w:cs="Arial"/>
          <w:sz w:val="22"/>
          <w:szCs w:val="22"/>
          <w:lang w:val="es-ES"/>
        </w:rPr>
        <w:t>os</w:t>
      </w:r>
      <w:r w:rsidRPr="002470B9">
        <w:rPr>
          <w:rFonts w:ascii="Arial" w:eastAsiaTheme="minorHAnsi" w:hAnsi="Arial" w:cs="Arial"/>
          <w:sz w:val="22"/>
          <w:szCs w:val="22"/>
          <w:lang w:val="es-ES"/>
        </w:rPr>
        <w:t xml:space="preserve"> Grupo</w:t>
      </w:r>
      <w:r w:rsidR="00BB25EE" w:rsidRPr="002470B9">
        <w:rPr>
          <w:rFonts w:ascii="Arial" w:eastAsiaTheme="minorHAnsi" w:hAnsi="Arial" w:cs="Arial"/>
          <w:sz w:val="22"/>
          <w:szCs w:val="22"/>
          <w:lang w:val="es-ES"/>
        </w:rPr>
        <w:t>s</w:t>
      </w:r>
      <w:r w:rsidRPr="002470B9">
        <w:rPr>
          <w:rFonts w:ascii="Arial" w:eastAsiaTheme="minorHAnsi" w:hAnsi="Arial" w:cs="Arial"/>
          <w:sz w:val="22"/>
          <w:szCs w:val="22"/>
          <w:lang w:val="es-ES"/>
        </w:rPr>
        <w:t xml:space="preserve"> intergubernamental</w:t>
      </w:r>
      <w:r w:rsidR="00BB25EE" w:rsidRPr="002470B9">
        <w:rPr>
          <w:rFonts w:ascii="Arial" w:eastAsiaTheme="minorHAnsi" w:hAnsi="Arial" w:cs="Arial"/>
          <w:sz w:val="22"/>
          <w:szCs w:val="22"/>
          <w:lang w:val="es-ES"/>
        </w:rPr>
        <w:t>es</w:t>
      </w:r>
      <w:r w:rsidRPr="002470B9">
        <w:rPr>
          <w:rFonts w:ascii="Arial" w:eastAsiaTheme="minorHAnsi" w:hAnsi="Arial" w:cs="Arial"/>
          <w:sz w:val="22"/>
          <w:szCs w:val="22"/>
          <w:lang w:val="es-ES"/>
        </w:rPr>
        <w:t xml:space="preserve"> </w:t>
      </w:r>
      <w:r w:rsidR="00BB25EE" w:rsidRPr="002470B9">
        <w:rPr>
          <w:rFonts w:ascii="Arial" w:eastAsiaTheme="minorHAnsi" w:hAnsi="Arial" w:cs="Arial"/>
          <w:sz w:val="22"/>
          <w:szCs w:val="22"/>
          <w:lang w:val="es-ES"/>
        </w:rPr>
        <w:t xml:space="preserve">regionales asociados </w:t>
      </w:r>
      <w:r w:rsidRPr="002470B9">
        <w:rPr>
          <w:rFonts w:ascii="Arial" w:eastAsiaTheme="minorHAnsi" w:hAnsi="Arial" w:cs="Arial"/>
          <w:sz w:val="22"/>
          <w:szCs w:val="22"/>
          <w:lang w:val="es-ES"/>
        </w:rPr>
        <w:t>sobre la matanza ilegal de aves, y la Resolución 11.27</w:t>
      </w:r>
      <w:r w:rsidR="00BB25EE" w:rsidRPr="002470B9">
        <w:rPr>
          <w:rFonts w:ascii="Arial" w:eastAsiaTheme="minorHAnsi" w:hAnsi="Arial" w:cs="Arial"/>
          <w:sz w:val="22"/>
          <w:szCs w:val="22"/>
          <w:lang w:val="es-ES"/>
        </w:rPr>
        <w:t xml:space="preserve"> </w:t>
      </w:r>
      <w:r w:rsidRPr="002470B9">
        <w:rPr>
          <w:rFonts w:ascii="Arial" w:eastAsiaTheme="minorHAnsi" w:hAnsi="Arial" w:cs="Arial"/>
          <w:sz w:val="22"/>
          <w:szCs w:val="22"/>
          <w:lang w:val="es-ES"/>
        </w:rPr>
        <w:t>(Rev.COP13)</w:t>
      </w:r>
      <w:r w:rsidRPr="002470B9">
        <w:rPr>
          <w:rFonts w:ascii="Arial" w:eastAsiaTheme="minorHAnsi" w:hAnsi="Arial" w:cs="Arial"/>
          <w:sz w:val="22"/>
          <w:szCs w:val="22"/>
          <w:vertAlign w:val="superscript"/>
          <w:lang w:val="es-ES"/>
        </w:rPr>
        <w:footnoteReference w:id="4"/>
      </w:r>
      <w:r w:rsidRPr="002470B9">
        <w:rPr>
          <w:rFonts w:ascii="Arial" w:eastAsiaTheme="minorHAnsi" w:hAnsi="Arial" w:cs="Arial"/>
          <w:sz w:val="22"/>
          <w:szCs w:val="22"/>
          <w:lang w:val="es-ES"/>
        </w:rPr>
        <w:t xml:space="preserve"> </w:t>
      </w:r>
      <w:r w:rsidR="00BB25EE" w:rsidRPr="002470B9">
        <w:rPr>
          <w:rFonts w:ascii="Arial" w:eastAsiaTheme="minorHAnsi" w:hAnsi="Arial" w:cs="Arial"/>
          <w:sz w:val="22"/>
          <w:szCs w:val="22"/>
          <w:lang w:val="es-ES"/>
        </w:rPr>
        <w:t xml:space="preserve">sobre </w:t>
      </w:r>
      <w:r w:rsidRPr="002470B9">
        <w:rPr>
          <w:rFonts w:ascii="Arial" w:eastAsiaTheme="minorHAnsi" w:hAnsi="Arial" w:cs="Arial"/>
          <w:i/>
          <w:iCs/>
          <w:sz w:val="22"/>
          <w:szCs w:val="22"/>
          <w:lang w:val="es-ES"/>
        </w:rPr>
        <w:t>Energías renovables y especies migratorias</w:t>
      </w:r>
      <w:r w:rsidRPr="002470B9">
        <w:rPr>
          <w:rFonts w:ascii="Arial" w:eastAsiaTheme="minorHAnsi" w:hAnsi="Arial" w:cs="Arial"/>
          <w:sz w:val="22"/>
          <w:szCs w:val="22"/>
          <w:lang w:val="es-ES"/>
        </w:rPr>
        <w:t>, incluido el correspondiente Equipo de tareas sobre la energía,</w:t>
      </w:r>
    </w:p>
    <w:p w14:paraId="50B507C1" w14:textId="77777777" w:rsidR="009F7DCC" w:rsidRPr="009F7DCC" w:rsidRDefault="009F7DCC" w:rsidP="00310062">
      <w:pPr>
        <w:widowControl/>
        <w:autoSpaceDE/>
        <w:autoSpaceDN/>
        <w:jc w:val="both"/>
        <w:textAlignment w:val="auto"/>
        <w:rPr>
          <w:rFonts w:ascii="Arial" w:eastAsiaTheme="minorHAnsi" w:hAnsi="Arial" w:cs="Arial"/>
          <w:sz w:val="22"/>
          <w:szCs w:val="22"/>
          <w:lang w:val="es-ES"/>
        </w:rPr>
      </w:pPr>
      <w:r w:rsidRPr="009F7DCC">
        <w:rPr>
          <w:rFonts w:ascii="Arial" w:eastAsia="Arial" w:hAnsi="Arial" w:cs="Arial"/>
          <w:i/>
          <w:sz w:val="22"/>
          <w:szCs w:val="22"/>
          <w:lang w:val="es-ES"/>
        </w:rPr>
        <w:t xml:space="preserve"> </w:t>
      </w:r>
    </w:p>
    <w:p w14:paraId="4BF76302" w14:textId="77777777" w:rsidR="009F7DCC" w:rsidRPr="009F7DCC" w:rsidRDefault="009F7DCC" w:rsidP="00310062">
      <w:pPr>
        <w:widowControl/>
        <w:autoSpaceDE/>
        <w:autoSpaceDN/>
        <w:jc w:val="both"/>
        <w:textAlignment w:val="auto"/>
        <w:rPr>
          <w:rFonts w:ascii="Arial" w:eastAsiaTheme="minorHAnsi" w:hAnsi="Arial" w:cs="Arial"/>
          <w:sz w:val="22"/>
          <w:szCs w:val="22"/>
          <w:highlight w:val="yellow"/>
          <w:lang w:val="es-ES"/>
        </w:rPr>
      </w:pPr>
      <w:r w:rsidRPr="009F7DCC">
        <w:rPr>
          <w:rFonts w:ascii="Arial" w:eastAsia="Arial" w:hAnsi="Arial" w:cs="Arial"/>
          <w:i/>
          <w:sz w:val="22"/>
          <w:szCs w:val="22"/>
          <w:lang w:val="es-ES"/>
        </w:rPr>
        <w:t xml:space="preserve">Reconociendo </w:t>
      </w:r>
      <w:r w:rsidRPr="009F7DCC">
        <w:rPr>
          <w:rFonts w:ascii="Arial" w:eastAsia="Arial" w:hAnsi="Arial" w:cs="Arial"/>
          <w:iCs/>
          <w:sz w:val="22"/>
          <w:szCs w:val="22"/>
          <w:lang w:val="es-ES"/>
        </w:rPr>
        <w:t>las Resoluciones del Congreso Mundial de la UICN sobre la Conservación, WCC-2016-Res-014, sobre la lucha contra el envenenamiento ilegal de fauna silvestre, WCC2016-Res-022, sobre medidas de conservación para los buitres, incluida la prohibición del uso veterinario de diclofenaco, y WCC-2016-Res-082, sobre el camino a seguir para hacer frente a las preocupaciones sobre el uso de municiones de plomo en la caza,</w:t>
      </w:r>
      <w:r w:rsidRPr="009F7DCC">
        <w:rPr>
          <w:rFonts w:ascii="Arial" w:eastAsia="Arial" w:hAnsi="Arial" w:cs="Arial"/>
          <w:iCs/>
          <w:sz w:val="22"/>
          <w:szCs w:val="22"/>
          <w:lang w:val="es-ES"/>
        </w:rPr>
        <w:cr/>
      </w:r>
      <w:r w:rsidRPr="009F7DCC">
        <w:rPr>
          <w:rFonts w:ascii="Arial" w:eastAsia="Arial" w:hAnsi="Arial" w:cs="Arial"/>
          <w:i/>
          <w:sz w:val="22"/>
          <w:szCs w:val="22"/>
          <w:highlight w:val="yellow"/>
          <w:lang w:val="es-ES"/>
        </w:rPr>
        <w:t xml:space="preserve"> </w:t>
      </w:r>
    </w:p>
    <w:p w14:paraId="6C9E3324" w14:textId="77777777" w:rsidR="009F7DCC" w:rsidRPr="009F7DCC" w:rsidRDefault="009F7DCC" w:rsidP="00310062">
      <w:pPr>
        <w:widowControl/>
        <w:autoSpaceDE/>
        <w:autoSpaceDN/>
        <w:jc w:val="both"/>
        <w:textAlignment w:val="auto"/>
        <w:rPr>
          <w:rFonts w:ascii="Arial" w:eastAsiaTheme="minorHAnsi" w:hAnsi="Arial" w:cs="Arial"/>
          <w:sz w:val="22"/>
          <w:szCs w:val="22"/>
          <w:highlight w:val="yellow"/>
          <w:lang w:val="es-ES"/>
        </w:rPr>
      </w:pPr>
      <w:r w:rsidRPr="009F7DCC">
        <w:rPr>
          <w:rFonts w:ascii="Arial" w:eastAsiaTheme="minorHAnsi" w:hAnsi="Arial" w:cs="Arial"/>
          <w:i/>
          <w:iCs/>
          <w:sz w:val="22"/>
          <w:szCs w:val="22"/>
          <w:lang w:val="es-ES"/>
        </w:rPr>
        <w:t>Tomando nota</w:t>
      </w:r>
      <w:r w:rsidRPr="009F7DCC">
        <w:rPr>
          <w:rFonts w:ascii="Arial" w:eastAsiaTheme="minorHAnsi" w:hAnsi="Arial" w:cs="Arial"/>
          <w:sz w:val="22"/>
          <w:szCs w:val="22"/>
          <w:lang w:val="es-ES"/>
        </w:rPr>
        <w:t xml:space="preserve"> de que en la segunda reunión de Signatarios (MOS2) del </w:t>
      </w:r>
      <w:proofErr w:type="spellStart"/>
      <w:r w:rsidRPr="009F7DCC">
        <w:rPr>
          <w:rFonts w:ascii="Arial" w:eastAsiaTheme="minorHAnsi" w:hAnsi="Arial" w:cs="Arial"/>
          <w:sz w:val="22"/>
          <w:szCs w:val="22"/>
          <w:lang w:val="es-ES"/>
        </w:rPr>
        <w:t>MdE</w:t>
      </w:r>
      <w:proofErr w:type="spellEnd"/>
      <w:r w:rsidRPr="009F7DCC">
        <w:rPr>
          <w:rFonts w:ascii="Arial" w:eastAsiaTheme="minorHAnsi" w:hAnsi="Arial" w:cs="Arial"/>
          <w:sz w:val="22"/>
          <w:szCs w:val="22"/>
          <w:lang w:val="es-ES"/>
        </w:rPr>
        <w:t xml:space="preserve"> de la CMS sobre las aves rapaces celebrada en Noruega en octubre de 2015 se reconoció formalmente a todos los buitres del Viejo Mundo (excepto el buitre palmero) como especies migratorias, incluyéndolas en el Cuadro 1 del Anexo 3 del </w:t>
      </w:r>
      <w:proofErr w:type="spellStart"/>
      <w:r w:rsidRPr="009F7DCC">
        <w:rPr>
          <w:rFonts w:ascii="Arial" w:eastAsiaTheme="minorHAnsi" w:hAnsi="Arial" w:cs="Arial"/>
          <w:sz w:val="22"/>
          <w:szCs w:val="22"/>
          <w:lang w:val="es-ES"/>
        </w:rPr>
        <w:t>MdE</w:t>
      </w:r>
      <w:proofErr w:type="spellEnd"/>
      <w:r w:rsidRPr="009F7DCC">
        <w:rPr>
          <w:rFonts w:ascii="Arial" w:eastAsiaTheme="minorHAnsi" w:hAnsi="Arial" w:cs="Arial"/>
          <w:sz w:val="22"/>
          <w:szCs w:val="22"/>
          <w:lang w:val="es-ES"/>
        </w:rPr>
        <w:t xml:space="preserve"> sobre las aves rapaces, y se encargó además, en la MOS2 al Grupo asesor técnico (GAT) del </w:t>
      </w:r>
      <w:proofErr w:type="spellStart"/>
      <w:r w:rsidRPr="009F7DCC">
        <w:rPr>
          <w:rFonts w:ascii="Arial" w:eastAsiaTheme="minorHAnsi" w:hAnsi="Arial" w:cs="Arial"/>
          <w:sz w:val="22"/>
          <w:szCs w:val="22"/>
          <w:lang w:val="es-ES"/>
        </w:rPr>
        <w:t>MdE</w:t>
      </w:r>
      <w:proofErr w:type="spellEnd"/>
      <w:r w:rsidRPr="009F7DCC">
        <w:rPr>
          <w:rFonts w:ascii="Arial" w:eastAsiaTheme="minorHAnsi" w:hAnsi="Arial" w:cs="Arial"/>
          <w:sz w:val="22"/>
          <w:szCs w:val="22"/>
          <w:lang w:val="es-ES"/>
        </w:rPr>
        <w:t xml:space="preserve"> sobre las aves rapaces que prestara apoyo a la Unidad de Coordinación para facilitar la elaboración de un PAME para los buitres, que abarcara las 15 especies que son carroñeros estrictos, </w:t>
      </w:r>
      <w:r w:rsidRPr="009F7DCC">
        <w:rPr>
          <w:rFonts w:ascii="Arial" w:eastAsia="Arial" w:hAnsi="Arial" w:cs="Arial"/>
          <w:i/>
          <w:sz w:val="22"/>
          <w:szCs w:val="22"/>
          <w:highlight w:val="yellow"/>
          <w:lang w:val="es-ES"/>
        </w:rPr>
        <w:t xml:space="preserve"> </w:t>
      </w:r>
    </w:p>
    <w:p w14:paraId="26FF6940" w14:textId="77777777" w:rsidR="00D93647" w:rsidRDefault="00D93647" w:rsidP="00310062">
      <w:pPr>
        <w:widowControl/>
        <w:autoSpaceDE/>
        <w:autoSpaceDN/>
        <w:jc w:val="both"/>
        <w:textAlignment w:val="auto"/>
        <w:rPr>
          <w:rFonts w:ascii="Arial" w:eastAsia="Arial" w:hAnsi="Arial" w:cs="Arial"/>
          <w:i/>
          <w:iCs/>
          <w:strike/>
          <w:sz w:val="22"/>
          <w:szCs w:val="22"/>
          <w:lang w:val="es-ES"/>
        </w:rPr>
      </w:pPr>
    </w:p>
    <w:p w14:paraId="2C3896A1" w14:textId="2F757F03" w:rsidR="009F7DCC" w:rsidRPr="00523D8D" w:rsidRDefault="009F7DCC" w:rsidP="00310062">
      <w:pPr>
        <w:widowControl/>
        <w:autoSpaceDE/>
        <w:autoSpaceDN/>
        <w:jc w:val="both"/>
        <w:textAlignment w:val="auto"/>
        <w:rPr>
          <w:rFonts w:ascii="Arial" w:eastAsia="Arial" w:hAnsi="Arial" w:cs="Arial"/>
          <w:i/>
          <w:iCs/>
          <w:sz w:val="22"/>
          <w:szCs w:val="22"/>
          <w:lang w:val="es-ES"/>
        </w:rPr>
      </w:pPr>
      <w:r w:rsidRPr="00523D8D">
        <w:rPr>
          <w:rFonts w:ascii="Arial" w:eastAsia="Arial" w:hAnsi="Arial" w:cs="Arial"/>
          <w:i/>
          <w:iCs/>
          <w:sz w:val="22"/>
          <w:szCs w:val="22"/>
          <w:lang w:val="es-ES"/>
        </w:rPr>
        <w:t xml:space="preserve">Acogiendo </w:t>
      </w:r>
      <w:r w:rsidRPr="00523D8D">
        <w:rPr>
          <w:rFonts w:ascii="Arial" w:eastAsia="Arial" w:hAnsi="Arial" w:cs="Arial"/>
          <w:sz w:val="22"/>
          <w:szCs w:val="22"/>
          <w:lang w:val="es-ES"/>
        </w:rPr>
        <w:t>la Revisión a medio plazo de la aplicación del Plan de Acción sobre la Ruta Migratoria del Alimoche común,</w:t>
      </w:r>
    </w:p>
    <w:p w14:paraId="11F7690C" w14:textId="77777777" w:rsidR="009F7DCC" w:rsidRPr="009F7DCC" w:rsidRDefault="009F7DCC" w:rsidP="00310062">
      <w:pPr>
        <w:widowControl/>
        <w:autoSpaceDE/>
        <w:autoSpaceDN/>
        <w:jc w:val="both"/>
        <w:textAlignment w:val="auto"/>
        <w:rPr>
          <w:rFonts w:ascii="Arial" w:eastAsia="Arial" w:hAnsi="Arial" w:cs="Arial"/>
          <w:i/>
          <w:sz w:val="22"/>
          <w:szCs w:val="22"/>
          <w:u w:val="single"/>
          <w:lang w:val="es-ES"/>
        </w:rPr>
      </w:pPr>
    </w:p>
    <w:p w14:paraId="5B859A92" w14:textId="27ED6E76" w:rsidR="009F7DCC" w:rsidRPr="00731B4D" w:rsidRDefault="009F7DCC" w:rsidP="00310062">
      <w:pPr>
        <w:widowControl/>
        <w:autoSpaceDE/>
        <w:autoSpaceDN/>
        <w:jc w:val="both"/>
        <w:textAlignment w:val="auto"/>
        <w:rPr>
          <w:rFonts w:ascii="Arial" w:eastAsiaTheme="minorHAnsi" w:hAnsi="Arial" w:cs="Arial"/>
          <w:sz w:val="22"/>
          <w:szCs w:val="22"/>
          <w:lang w:val="es-ES"/>
        </w:rPr>
      </w:pPr>
      <w:r w:rsidRPr="00731B4D">
        <w:rPr>
          <w:rFonts w:ascii="Arial" w:eastAsiaTheme="minorHAnsi" w:hAnsi="Arial" w:cs="Arial"/>
          <w:i/>
          <w:iCs/>
          <w:sz w:val="22"/>
          <w:szCs w:val="22"/>
          <w:lang w:val="es-ES"/>
        </w:rPr>
        <w:t>Acogiendo</w:t>
      </w:r>
      <w:r w:rsidRPr="00731B4D">
        <w:rPr>
          <w:rFonts w:ascii="Arial" w:eastAsiaTheme="minorHAnsi" w:hAnsi="Arial" w:cs="Arial"/>
          <w:sz w:val="22"/>
          <w:szCs w:val="22"/>
          <w:lang w:val="es-ES"/>
        </w:rPr>
        <w:t xml:space="preserve"> la prohibición impuesta a algunos de los antiinflamatorios no esteroideos (AINE) en Bangladesh, Camboya, India, Irán, Nepal, Omán, Pakistán y en parte de Yemen, y </w:t>
      </w:r>
      <w:r w:rsidRPr="00731B4D">
        <w:rPr>
          <w:rFonts w:ascii="Arial" w:eastAsiaTheme="minorHAnsi" w:hAnsi="Arial" w:cs="Arial"/>
          <w:i/>
          <w:iCs/>
          <w:sz w:val="22"/>
          <w:szCs w:val="22"/>
          <w:lang w:val="es-ES"/>
        </w:rPr>
        <w:t>tomando nota</w:t>
      </w:r>
      <w:r w:rsidRPr="00731B4D">
        <w:rPr>
          <w:rFonts w:ascii="Arial" w:eastAsiaTheme="minorHAnsi" w:hAnsi="Arial" w:cs="Arial"/>
          <w:sz w:val="22"/>
          <w:szCs w:val="22"/>
          <w:lang w:val="es-ES"/>
        </w:rPr>
        <w:t xml:space="preserve"> de las nuevas investigaciones que han señalado alternativas a los AINE más peligrosos, como el meloxicam y el ácido </w:t>
      </w:r>
      <w:proofErr w:type="spellStart"/>
      <w:r w:rsidRPr="00731B4D">
        <w:rPr>
          <w:rFonts w:ascii="Arial" w:eastAsiaTheme="minorHAnsi" w:hAnsi="Arial" w:cs="Arial"/>
          <w:sz w:val="22"/>
          <w:szCs w:val="22"/>
          <w:lang w:val="es-ES"/>
        </w:rPr>
        <w:t>tolfenámico</w:t>
      </w:r>
      <w:proofErr w:type="spellEnd"/>
      <w:r w:rsidRPr="00731B4D">
        <w:rPr>
          <w:rFonts w:ascii="Arial" w:eastAsiaTheme="minorHAnsi" w:hAnsi="Arial" w:cs="Arial"/>
          <w:sz w:val="22"/>
          <w:szCs w:val="22"/>
          <w:lang w:val="es-ES"/>
        </w:rPr>
        <w:t>,</w:t>
      </w:r>
    </w:p>
    <w:p w14:paraId="2F87A922" w14:textId="77777777" w:rsidR="009F7DCC" w:rsidRPr="009F7DCC" w:rsidRDefault="009F7DCC" w:rsidP="00310062">
      <w:pPr>
        <w:widowControl/>
        <w:autoSpaceDE/>
        <w:autoSpaceDN/>
        <w:jc w:val="both"/>
        <w:textAlignment w:val="auto"/>
        <w:rPr>
          <w:rFonts w:ascii="Arial" w:eastAsiaTheme="minorHAnsi" w:hAnsi="Arial" w:cs="Arial"/>
          <w:sz w:val="22"/>
          <w:szCs w:val="22"/>
          <w:u w:val="single"/>
          <w:lang w:val="es-ES"/>
        </w:rPr>
      </w:pPr>
    </w:p>
    <w:p w14:paraId="02704BE1" w14:textId="77777777" w:rsidR="009F7DCC" w:rsidRPr="00925FB6" w:rsidRDefault="009F7DCC" w:rsidP="00310062">
      <w:pPr>
        <w:widowControl/>
        <w:autoSpaceDE/>
        <w:autoSpaceDN/>
        <w:jc w:val="both"/>
        <w:textAlignment w:val="auto"/>
        <w:rPr>
          <w:rFonts w:ascii="Arial" w:eastAsiaTheme="minorHAnsi" w:hAnsi="Arial" w:cs="Arial"/>
          <w:sz w:val="22"/>
          <w:szCs w:val="22"/>
          <w:lang w:val="es-ES"/>
        </w:rPr>
      </w:pPr>
      <w:r w:rsidRPr="00925FB6">
        <w:rPr>
          <w:rFonts w:ascii="Arial" w:eastAsiaTheme="minorHAnsi" w:hAnsi="Arial" w:cs="Arial"/>
          <w:i/>
          <w:iCs/>
          <w:sz w:val="22"/>
          <w:szCs w:val="22"/>
          <w:lang w:val="es-ES"/>
        </w:rPr>
        <w:t>Felicitando</w:t>
      </w:r>
      <w:r w:rsidRPr="00925FB6">
        <w:rPr>
          <w:rFonts w:ascii="Arial" w:eastAsiaTheme="minorHAnsi" w:hAnsi="Arial" w:cs="Arial"/>
          <w:sz w:val="22"/>
          <w:szCs w:val="22"/>
          <w:lang w:val="es-ES"/>
        </w:rPr>
        <w:t xml:space="preserve"> a los Estados del área de distribución y a las organizaciones implicadas en detener con éxito el declive de la población de alimoche común que cría en los Balcanes, mediante acciones a nivel de corredor aéreo que abordan las amenazas en las zonas de cría, a lo largo de las rutas migratorias y en las zonas de invernada, </w:t>
      </w:r>
    </w:p>
    <w:p w14:paraId="291BB801" w14:textId="77777777" w:rsidR="009F7DCC" w:rsidRPr="00925FB6" w:rsidRDefault="009F7DCC" w:rsidP="00310062">
      <w:pPr>
        <w:widowControl/>
        <w:autoSpaceDE/>
        <w:autoSpaceDN/>
        <w:jc w:val="both"/>
        <w:textAlignment w:val="auto"/>
        <w:rPr>
          <w:rFonts w:ascii="Arial" w:eastAsiaTheme="minorHAnsi" w:hAnsi="Arial" w:cs="Arial"/>
          <w:sz w:val="22"/>
          <w:szCs w:val="22"/>
          <w:lang w:val="es-ES"/>
        </w:rPr>
      </w:pPr>
    </w:p>
    <w:p w14:paraId="276EB9DC" w14:textId="77777777" w:rsidR="009F7DCC" w:rsidRPr="009F7DCC" w:rsidRDefault="009F7DCC" w:rsidP="00310062">
      <w:pPr>
        <w:widowControl/>
        <w:autoSpaceDE/>
        <w:autoSpaceDN/>
        <w:ind w:right="164"/>
        <w:jc w:val="both"/>
        <w:textAlignment w:val="auto"/>
        <w:rPr>
          <w:rFonts w:ascii="Arial" w:eastAsia="Arial" w:hAnsi="Arial" w:cs="Arial"/>
          <w:i/>
          <w:sz w:val="22"/>
          <w:szCs w:val="22"/>
          <w:highlight w:val="yellow"/>
          <w:lang w:val="es-ES"/>
        </w:rPr>
      </w:pPr>
      <w:r w:rsidRPr="009F7DCC">
        <w:rPr>
          <w:rFonts w:ascii="Arial" w:eastAsiaTheme="minorHAnsi" w:hAnsi="Arial" w:cs="Arial"/>
          <w:sz w:val="22"/>
          <w:szCs w:val="22"/>
          <w:lang w:val="es-ES"/>
        </w:rPr>
        <w:lastRenderedPageBreak/>
        <w:t>Alentando la necesidad de una acción inmediata por parte de los gobiernos de los Estados del área de distribución, los asociados, los interesados directos y otras partes interesadas, para abordar las principales amenazas a las 15 especies de buitres de África y Eurasia en todas las fases de su ciclo de vida, y en los 128 países de su área de distribución.</w:t>
      </w:r>
    </w:p>
    <w:p w14:paraId="5DDCFFF1" w14:textId="77777777" w:rsidR="009F7DCC" w:rsidRPr="009F7DCC" w:rsidRDefault="009F7DCC" w:rsidP="00983323">
      <w:pPr>
        <w:widowControl/>
        <w:autoSpaceDE/>
        <w:autoSpaceDN/>
        <w:ind w:left="91"/>
        <w:textAlignment w:val="auto"/>
        <w:rPr>
          <w:rFonts w:ascii="Arial" w:eastAsiaTheme="minorHAnsi" w:hAnsi="Arial" w:cs="Arial"/>
          <w:sz w:val="22"/>
          <w:szCs w:val="22"/>
          <w:highlight w:val="yellow"/>
          <w:lang w:val="es-ES"/>
        </w:rPr>
      </w:pPr>
    </w:p>
    <w:p w14:paraId="0253A449" w14:textId="77777777" w:rsidR="009F7DCC" w:rsidRPr="009F7DCC" w:rsidRDefault="009F7DCC" w:rsidP="00983323">
      <w:pPr>
        <w:widowControl/>
        <w:autoSpaceDE/>
        <w:autoSpaceDN/>
        <w:ind w:left="91"/>
        <w:textAlignment w:val="auto"/>
        <w:rPr>
          <w:rFonts w:ascii="Arial" w:eastAsiaTheme="minorHAnsi" w:hAnsi="Arial" w:cs="Arial"/>
          <w:sz w:val="22"/>
          <w:szCs w:val="22"/>
          <w:highlight w:val="yellow"/>
          <w:lang w:val="es-ES"/>
        </w:rPr>
      </w:pPr>
    </w:p>
    <w:p w14:paraId="5DD22EED" w14:textId="77777777" w:rsidR="009F7DCC" w:rsidRPr="009F7DCC" w:rsidRDefault="009F7DCC" w:rsidP="00983323">
      <w:pPr>
        <w:widowControl/>
        <w:autoSpaceDE/>
        <w:autoSpaceDN/>
        <w:ind w:left="91"/>
        <w:jc w:val="center"/>
        <w:textAlignment w:val="auto"/>
        <w:rPr>
          <w:rFonts w:ascii="Arial" w:eastAsiaTheme="minorHAnsi" w:hAnsi="Arial" w:cs="Arial"/>
          <w:i/>
          <w:iCs/>
          <w:sz w:val="22"/>
          <w:szCs w:val="22"/>
          <w:lang w:val="es-ES"/>
        </w:rPr>
      </w:pPr>
      <w:r w:rsidRPr="002470B9">
        <w:rPr>
          <w:rFonts w:ascii="Arial" w:eastAsiaTheme="minorHAnsi" w:hAnsi="Arial" w:cs="Arial"/>
          <w:i/>
          <w:iCs/>
          <w:sz w:val="22"/>
          <w:szCs w:val="22"/>
          <w:lang w:val="es-ES"/>
        </w:rPr>
        <w:t>La Conferencia de las Partes en la Convención sobre la Conservación de las Especies Migratorias de Animales Silvestres</w:t>
      </w:r>
    </w:p>
    <w:p w14:paraId="635F32F5" w14:textId="77777777" w:rsidR="009F7DCC" w:rsidRDefault="009F7DCC" w:rsidP="00983323">
      <w:pPr>
        <w:widowControl/>
        <w:autoSpaceDE/>
        <w:autoSpaceDN/>
        <w:ind w:left="91"/>
        <w:jc w:val="center"/>
        <w:textAlignment w:val="auto"/>
        <w:rPr>
          <w:rFonts w:ascii="Arial" w:eastAsiaTheme="minorHAnsi" w:hAnsi="Arial" w:cs="Arial"/>
          <w:i/>
          <w:iCs/>
          <w:sz w:val="22"/>
          <w:szCs w:val="22"/>
          <w:lang w:val="es-ES"/>
        </w:rPr>
      </w:pPr>
    </w:p>
    <w:p w14:paraId="378F62B2" w14:textId="77777777" w:rsidR="000B3472" w:rsidRPr="009F7DCC" w:rsidRDefault="000B3472" w:rsidP="00983323">
      <w:pPr>
        <w:widowControl/>
        <w:autoSpaceDE/>
        <w:autoSpaceDN/>
        <w:ind w:left="91"/>
        <w:jc w:val="center"/>
        <w:textAlignment w:val="auto"/>
        <w:rPr>
          <w:rFonts w:ascii="Arial" w:eastAsiaTheme="minorHAnsi" w:hAnsi="Arial" w:cs="Arial"/>
          <w:i/>
          <w:iCs/>
          <w:sz w:val="22"/>
          <w:szCs w:val="22"/>
          <w:lang w:val="es-ES"/>
        </w:rPr>
      </w:pPr>
    </w:p>
    <w:p w14:paraId="5632D152" w14:textId="77777777" w:rsidR="009F7DCC" w:rsidRPr="009F7DCC" w:rsidRDefault="009F7DCC" w:rsidP="00310062">
      <w:pPr>
        <w:widowControl/>
        <w:numPr>
          <w:ilvl w:val="0"/>
          <w:numId w:val="1"/>
        </w:numPr>
        <w:autoSpaceDE/>
        <w:autoSpaceDN/>
        <w:ind w:left="720" w:right="164" w:hanging="720"/>
        <w:jc w:val="both"/>
        <w:textAlignment w:val="auto"/>
        <w:rPr>
          <w:rFonts w:ascii="Arial" w:eastAsiaTheme="minorHAnsi" w:hAnsi="Arial" w:cs="Arial"/>
          <w:sz w:val="22"/>
          <w:szCs w:val="22"/>
          <w:lang w:val="es-ES"/>
        </w:rPr>
      </w:pPr>
      <w:r w:rsidRPr="009F7DCC">
        <w:rPr>
          <w:rFonts w:ascii="Arial" w:eastAsiaTheme="minorHAnsi" w:hAnsi="Arial" w:cs="Arial"/>
          <w:i/>
          <w:iCs/>
          <w:sz w:val="22"/>
          <w:szCs w:val="22"/>
          <w:lang w:val="es-ES"/>
        </w:rPr>
        <w:t>Adopta</w:t>
      </w:r>
      <w:r w:rsidRPr="009F7DCC">
        <w:rPr>
          <w:rFonts w:ascii="Arial" w:eastAsiaTheme="minorHAnsi" w:hAnsi="Arial" w:cs="Arial"/>
          <w:sz w:val="22"/>
          <w:szCs w:val="22"/>
          <w:lang w:val="es-ES"/>
        </w:rPr>
        <w:t xml:space="preserve"> el Plan de acción de múltiples especies para la conservación de los buitres de África y Eurasia (PAME) de12 años de duración 2017-2029 [que se adjunta a esta Resolución], e insta a las Partes y alienta a los Estados del área de distribución que no son Partes, a los asociados y los interesados directos a aplicar el PAME para el buitre con carácter prioritario a nivel local, nacional y regional, así como a nivel de corredor aéreo; </w:t>
      </w:r>
    </w:p>
    <w:p w14:paraId="76951B57" w14:textId="77777777" w:rsidR="009F7DCC" w:rsidRPr="009F7DCC" w:rsidRDefault="009F7DCC" w:rsidP="00310062">
      <w:pPr>
        <w:widowControl/>
        <w:autoSpaceDE/>
        <w:autoSpaceDN/>
        <w:ind w:left="720" w:hanging="720"/>
        <w:textAlignment w:val="auto"/>
        <w:rPr>
          <w:rFonts w:ascii="Arial" w:eastAsiaTheme="minorHAnsi" w:hAnsi="Arial" w:cs="Arial"/>
          <w:sz w:val="22"/>
          <w:szCs w:val="22"/>
          <w:lang w:val="es-ES"/>
        </w:rPr>
      </w:pPr>
      <w:r w:rsidRPr="009F7DCC">
        <w:rPr>
          <w:rFonts w:ascii="Arial" w:eastAsiaTheme="minorHAnsi" w:hAnsi="Arial" w:cs="Arial"/>
          <w:sz w:val="22"/>
          <w:szCs w:val="22"/>
          <w:lang w:val="es-ES"/>
        </w:rPr>
        <w:t xml:space="preserve"> </w:t>
      </w:r>
    </w:p>
    <w:p w14:paraId="49A42E3D" w14:textId="0FD649FC" w:rsidR="00221775" w:rsidRPr="009D34DF" w:rsidRDefault="009F7DCC" w:rsidP="00310062">
      <w:pPr>
        <w:widowControl/>
        <w:numPr>
          <w:ilvl w:val="0"/>
          <w:numId w:val="1"/>
        </w:numPr>
        <w:autoSpaceDE/>
        <w:autoSpaceDN/>
        <w:ind w:left="720" w:right="164" w:hanging="720"/>
        <w:jc w:val="both"/>
        <w:textAlignment w:val="auto"/>
        <w:rPr>
          <w:rFonts w:ascii="Arial" w:eastAsiaTheme="minorHAnsi" w:hAnsi="Arial" w:cs="Arial"/>
          <w:sz w:val="22"/>
          <w:szCs w:val="22"/>
          <w:lang w:val="es-ES"/>
        </w:rPr>
      </w:pPr>
      <w:r w:rsidRPr="009D34DF">
        <w:rPr>
          <w:rFonts w:ascii="Arial" w:eastAsiaTheme="minorHAnsi" w:hAnsi="Arial" w:cs="Arial"/>
          <w:i/>
          <w:iCs/>
          <w:sz w:val="22"/>
          <w:szCs w:val="22"/>
          <w:lang w:val="es-ES"/>
        </w:rPr>
        <w:t>Insta</w:t>
      </w:r>
      <w:r w:rsidRPr="009D34DF">
        <w:rPr>
          <w:rFonts w:ascii="Arial" w:eastAsiaTheme="minorHAnsi" w:hAnsi="Arial" w:cs="Arial"/>
          <w:sz w:val="22"/>
          <w:szCs w:val="22"/>
          <w:lang w:val="es-ES"/>
        </w:rPr>
        <w:t xml:space="preserve"> a las Partes y </w:t>
      </w:r>
      <w:r w:rsidRPr="009D34DF">
        <w:rPr>
          <w:rFonts w:ascii="Arial" w:eastAsiaTheme="minorHAnsi" w:hAnsi="Arial" w:cs="Arial"/>
          <w:i/>
          <w:iCs/>
          <w:sz w:val="22"/>
          <w:szCs w:val="22"/>
          <w:lang w:val="es-ES"/>
        </w:rPr>
        <w:t>alienta</w:t>
      </w:r>
      <w:r w:rsidRPr="009D34DF">
        <w:rPr>
          <w:rFonts w:ascii="Arial" w:eastAsiaTheme="minorHAnsi" w:hAnsi="Arial" w:cs="Arial"/>
          <w:sz w:val="22"/>
          <w:szCs w:val="22"/>
          <w:lang w:val="es-ES"/>
        </w:rPr>
        <w:t xml:space="preserve"> a los Estados del área de distribución que no son Partes a que</w:t>
      </w:r>
      <w:r w:rsidR="00221775" w:rsidRPr="009D34DF">
        <w:rPr>
          <w:rFonts w:ascii="Arial" w:eastAsiaTheme="minorHAnsi" w:hAnsi="Arial" w:cs="Arial"/>
          <w:sz w:val="22"/>
          <w:szCs w:val="22"/>
          <w:lang w:val="es-ES"/>
        </w:rPr>
        <w:t xml:space="preserve"> a la hora de</w:t>
      </w:r>
      <w:r w:rsidRPr="009D34DF">
        <w:rPr>
          <w:rFonts w:ascii="Arial" w:eastAsiaTheme="minorHAnsi" w:hAnsi="Arial" w:cs="Arial"/>
          <w:sz w:val="22"/>
          <w:szCs w:val="22"/>
          <w:lang w:val="es-ES"/>
        </w:rPr>
        <w:t xml:space="preserve"> apli</w:t>
      </w:r>
      <w:r w:rsidR="00221775" w:rsidRPr="009D34DF">
        <w:rPr>
          <w:rFonts w:ascii="Arial" w:eastAsiaTheme="minorHAnsi" w:hAnsi="Arial" w:cs="Arial"/>
          <w:sz w:val="22"/>
          <w:szCs w:val="22"/>
          <w:lang w:val="es-ES"/>
        </w:rPr>
        <w:t>car</w:t>
      </w:r>
      <w:r w:rsidRPr="009D34DF">
        <w:rPr>
          <w:rFonts w:ascii="Arial" w:eastAsiaTheme="minorHAnsi" w:hAnsi="Arial" w:cs="Arial"/>
          <w:sz w:val="22"/>
          <w:szCs w:val="22"/>
          <w:lang w:val="es-ES"/>
        </w:rPr>
        <w:t xml:space="preserve"> el PAME para el buitre, </w:t>
      </w:r>
      <w:r w:rsidR="00221775" w:rsidRPr="009D34DF">
        <w:rPr>
          <w:rFonts w:ascii="Arial" w:eastAsiaTheme="minorHAnsi" w:hAnsi="Arial" w:cs="Arial"/>
          <w:sz w:val="22"/>
          <w:szCs w:val="22"/>
          <w:lang w:val="es-ES"/>
        </w:rPr>
        <w:t>teniendo</w:t>
      </w:r>
      <w:r w:rsidRPr="009D34DF">
        <w:rPr>
          <w:rFonts w:ascii="Arial" w:eastAsiaTheme="minorHAnsi" w:hAnsi="Arial" w:cs="Arial"/>
          <w:sz w:val="22"/>
          <w:szCs w:val="22"/>
          <w:lang w:val="es-ES"/>
        </w:rPr>
        <w:t xml:space="preserve"> en cuenta las prioridades revisadas resultantes de las revisiones a medio plazo de la aplicación del Plan de acción sobre la ruta migratoria del alimoche común, abord</w:t>
      </w:r>
      <w:r w:rsidR="00221775" w:rsidRPr="009D34DF">
        <w:rPr>
          <w:rFonts w:ascii="Arial" w:eastAsiaTheme="minorHAnsi" w:hAnsi="Arial" w:cs="Arial"/>
          <w:sz w:val="22"/>
          <w:szCs w:val="22"/>
          <w:lang w:val="es-ES"/>
        </w:rPr>
        <w:t>en</w:t>
      </w:r>
      <w:r w:rsidRPr="009D34DF">
        <w:rPr>
          <w:rFonts w:ascii="Arial" w:eastAsiaTheme="minorHAnsi" w:hAnsi="Arial" w:cs="Arial"/>
          <w:sz w:val="22"/>
          <w:szCs w:val="22"/>
          <w:lang w:val="es-ES"/>
        </w:rPr>
        <w:t xml:space="preserve"> urgentemente las siguientes situaciones problemáticas: a) el envenenamiento de buitres, en particular mediante el uso de cebos envenenados, el uso veterinario de diclofenaco y otros antiinflamatorios no esteroideos (AINE) que son tóxicos para los buitres, y el uso de municiones de plomo, conjuntamente con el Grupo de trabajo de la CMS sobre la prevención del envenenamiento y en consonancia con las Directrices para prevenir el envenenamiento de aves migratorias, adoptadas mediante la Resolución 11.15 (Rev.COP13) </w:t>
      </w:r>
      <w:r w:rsidRPr="009D34DF">
        <w:rPr>
          <w:rFonts w:ascii="Arial" w:eastAsiaTheme="minorHAnsi" w:hAnsi="Arial" w:cs="Arial"/>
          <w:i/>
          <w:iCs/>
          <w:sz w:val="22"/>
          <w:szCs w:val="22"/>
          <w:lang w:val="es-ES"/>
        </w:rPr>
        <w:t>Prevención del envenenamiento de las aves migratorias</w:t>
      </w:r>
      <w:r w:rsidRPr="009D34DF">
        <w:rPr>
          <w:rFonts w:ascii="Arial" w:eastAsiaTheme="minorHAnsi" w:hAnsi="Arial" w:cs="Arial"/>
          <w:sz w:val="22"/>
          <w:szCs w:val="22"/>
          <w:lang w:val="es-ES"/>
        </w:rPr>
        <w:t xml:space="preserve">, velando por que se aplique y se haga cumplir debidamente la legislación nacional sobre la conservación; b) los efectos de las colisiones y electrocuciones asociadas con las infraestructuras de producción de energía, conjuntamente con el Equipo de tareas de la CMS sobre la energía en consonancia con la Resolución 11.27 (Rev.COP13) </w:t>
      </w:r>
      <w:r w:rsidRPr="009D34DF">
        <w:rPr>
          <w:rFonts w:ascii="Arial" w:eastAsiaTheme="minorHAnsi" w:hAnsi="Arial" w:cs="Arial"/>
          <w:i/>
          <w:iCs/>
          <w:sz w:val="22"/>
          <w:szCs w:val="22"/>
          <w:lang w:val="es-ES"/>
        </w:rPr>
        <w:t>Energías renovables y especies migratorias</w:t>
      </w:r>
      <w:r w:rsidRPr="009D34DF">
        <w:rPr>
          <w:rFonts w:ascii="Arial" w:eastAsiaTheme="minorHAnsi" w:hAnsi="Arial" w:cs="Arial"/>
          <w:sz w:val="22"/>
          <w:szCs w:val="22"/>
          <w:lang w:val="es-ES"/>
        </w:rPr>
        <w:t xml:space="preserve"> y c) la matanza, la captura y el comercio ilegales de buitres y de partes de sus cuerpos, en consonancia con la Resolución 11.16 (Rev.COP13) </w:t>
      </w:r>
      <w:r w:rsidRPr="009D34DF">
        <w:rPr>
          <w:rFonts w:ascii="Arial" w:eastAsiaTheme="minorHAnsi" w:hAnsi="Arial" w:cs="Arial"/>
          <w:i/>
          <w:iCs/>
          <w:sz w:val="22"/>
          <w:szCs w:val="22"/>
          <w:lang w:val="es-ES"/>
        </w:rPr>
        <w:t>Prevención de la matanza, la captura y el comercio ilegales de aves migratorias</w:t>
      </w:r>
      <w:r w:rsidRPr="009D34DF">
        <w:rPr>
          <w:rFonts w:ascii="Arial" w:eastAsiaTheme="minorHAnsi" w:hAnsi="Arial" w:cs="Arial"/>
          <w:sz w:val="22"/>
          <w:szCs w:val="22"/>
          <w:lang w:val="es-ES"/>
        </w:rPr>
        <w:t xml:space="preserve">; </w:t>
      </w:r>
    </w:p>
    <w:p w14:paraId="24999EBA" w14:textId="77777777" w:rsidR="009F7DCC" w:rsidRPr="009F7DCC" w:rsidRDefault="009F7DCC" w:rsidP="00310062">
      <w:pPr>
        <w:widowControl/>
        <w:autoSpaceDE/>
        <w:autoSpaceDN/>
        <w:ind w:left="720" w:hanging="720"/>
        <w:textAlignment w:val="auto"/>
        <w:rPr>
          <w:rFonts w:ascii="Arial" w:eastAsiaTheme="minorHAnsi" w:hAnsi="Arial" w:cs="Arial"/>
          <w:sz w:val="22"/>
          <w:szCs w:val="22"/>
          <w:lang w:val="es-ES"/>
        </w:rPr>
      </w:pPr>
      <w:r w:rsidRPr="009F7DCC">
        <w:rPr>
          <w:rFonts w:ascii="Arial" w:eastAsiaTheme="minorHAnsi" w:hAnsi="Arial" w:cs="Arial"/>
          <w:sz w:val="22"/>
          <w:szCs w:val="22"/>
          <w:lang w:val="es-ES"/>
        </w:rPr>
        <w:t xml:space="preserve"> </w:t>
      </w:r>
    </w:p>
    <w:p w14:paraId="346B039D" w14:textId="77777777" w:rsidR="009F7DCC" w:rsidRPr="009F7DCC" w:rsidRDefault="009F7DCC" w:rsidP="00310062">
      <w:pPr>
        <w:widowControl/>
        <w:numPr>
          <w:ilvl w:val="0"/>
          <w:numId w:val="1"/>
        </w:numPr>
        <w:autoSpaceDE/>
        <w:autoSpaceDN/>
        <w:ind w:left="720" w:right="164" w:hanging="720"/>
        <w:jc w:val="both"/>
        <w:textAlignment w:val="auto"/>
        <w:rPr>
          <w:rFonts w:ascii="Arial" w:eastAsiaTheme="minorHAnsi" w:hAnsi="Arial" w:cs="Arial"/>
          <w:sz w:val="22"/>
          <w:szCs w:val="22"/>
          <w:lang w:val="es-ES"/>
        </w:rPr>
      </w:pPr>
      <w:r w:rsidRPr="009F7DCC">
        <w:rPr>
          <w:rFonts w:ascii="Arial" w:eastAsiaTheme="minorHAnsi" w:hAnsi="Arial" w:cs="Arial"/>
          <w:i/>
          <w:iCs/>
          <w:sz w:val="22"/>
          <w:szCs w:val="22"/>
          <w:lang w:val="es-ES"/>
        </w:rPr>
        <w:t>Insta</w:t>
      </w:r>
      <w:r w:rsidRPr="009F7DCC">
        <w:rPr>
          <w:rFonts w:ascii="Arial" w:eastAsiaTheme="minorHAnsi" w:hAnsi="Arial" w:cs="Arial"/>
          <w:sz w:val="22"/>
          <w:szCs w:val="22"/>
          <w:lang w:val="es-ES"/>
        </w:rPr>
        <w:t xml:space="preserve"> a las Partes y alienta a los Estados del área de distribución que no son Partes a implementar las medidas existentes en el marco de la CMS, el Acuerdo sobre la conservación de las aves acuáticas migratorias de África y Eurasia (AEWA), el </w:t>
      </w:r>
      <w:proofErr w:type="spellStart"/>
      <w:r w:rsidRPr="009F7DCC">
        <w:rPr>
          <w:rFonts w:ascii="Arial" w:eastAsiaTheme="minorHAnsi" w:hAnsi="Arial" w:cs="Arial"/>
          <w:sz w:val="22"/>
          <w:szCs w:val="22"/>
          <w:lang w:val="es-ES"/>
        </w:rPr>
        <w:t>MdE</w:t>
      </w:r>
      <w:proofErr w:type="spellEnd"/>
      <w:r w:rsidRPr="009F7DCC">
        <w:rPr>
          <w:rFonts w:ascii="Arial" w:eastAsiaTheme="minorHAnsi" w:hAnsi="Arial" w:cs="Arial"/>
          <w:sz w:val="22"/>
          <w:szCs w:val="22"/>
          <w:lang w:val="es-ES"/>
        </w:rPr>
        <w:t xml:space="preserve"> sobre las aves rapaces, en especial cuando estas contribuyen a los objetivos del PAME para los buitres, con el fin de aumentar la capacidad de recuperación de las poblaciones de los buitres de África y Eurasia así como su potencial para adaptarse a los cambios ambientales; </w:t>
      </w:r>
    </w:p>
    <w:p w14:paraId="087660CD" w14:textId="77777777" w:rsidR="009F7DCC" w:rsidRPr="009F7DCC" w:rsidRDefault="009F7DCC" w:rsidP="00310062">
      <w:pPr>
        <w:widowControl/>
        <w:autoSpaceDE/>
        <w:autoSpaceDN/>
        <w:ind w:left="720" w:hanging="720"/>
        <w:textAlignment w:val="auto"/>
        <w:rPr>
          <w:rFonts w:ascii="Arial" w:eastAsiaTheme="minorHAnsi" w:hAnsi="Arial" w:cs="Arial"/>
          <w:sz w:val="22"/>
          <w:szCs w:val="22"/>
          <w:lang w:val="es-ES"/>
        </w:rPr>
      </w:pPr>
    </w:p>
    <w:p w14:paraId="406C45E1" w14:textId="77777777" w:rsidR="009F7DCC" w:rsidRPr="009F7DCC" w:rsidRDefault="009F7DCC" w:rsidP="00310062">
      <w:pPr>
        <w:widowControl/>
        <w:numPr>
          <w:ilvl w:val="0"/>
          <w:numId w:val="1"/>
        </w:numPr>
        <w:autoSpaceDE/>
        <w:autoSpaceDN/>
        <w:ind w:left="720" w:right="164" w:hanging="720"/>
        <w:jc w:val="both"/>
        <w:textAlignment w:val="auto"/>
        <w:rPr>
          <w:rFonts w:ascii="Arial" w:eastAsiaTheme="minorHAnsi" w:hAnsi="Arial" w:cs="Arial"/>
          <w:sz w:val="22"/>
          <w:szCs w:val="22"/>
          <w:lang w:val="es-ES"/>
        </w:rPr>
      </w:pPr>
      <w:r w:rsidRPr="009F7DCC">
        <w:rPr>
          <w:rFonts w:ascii="Arial" w:eastAsiaTheme="minorHAnsi" w:hAnsi="Arial" w:cs="Arial"/>
          <w:i/>
          <w:iCs/>
          <w:sz w:val="22"/>
          <w:szCs w:val="22"/>
          <w:lang w:val="es-ES"/>
        </w:rPr>
        <w:t>Insta además</w:t>
      </w:r>
      <w:r w:rsidRPr="009F7DCC">
        <w:rPr>
          <w:rFonts w:ascii="Arial" w:eastAsiaTheme="minorHAnsi" w:hAnsi="Arial" w:cs="Arial"/>
          <w:sz w:val="22"/>
          <w:szCs w:val="22"/>
          <w:lang w:val="es-ES"/>
        </w:rPr>
        <w:t xml:space="preserve"> a las Partes, a los Estados del área de distribución que no son Partes y a los interesados directos e invita al Programa de las Naciones Unidas para el Medio Ambiente y otras organizaciones internacionales pertinentes, los donantes bilaterales y multilaterales, a trabajar en colaboración para comenzar inmediatamente a movilizar los considerables recursos necesarios para aplicar plenamente el PAME para el buitre; </w:t>
      </w:r>
    </w:p>
    <w:p w14:paraId="14C1A56D" w14:textId="77777777" w:rsidR="009F7DCC" w:rsidRPr="009F7DCC" w:rsidRDefault="009F7DCC" w:rsidP="00310062">
      <w:pPr>
        <w:widowControl/>
        <w:autoSpaceDE/>
        <w:autoSpaceDN/>
        <w:ind w:left="720" w:hanging="720"/>
        <w:textAlignment w:val="auto"/>
        <w:rPr>
          <w:rFonts w:ascii="Arial" w:eastAsiaTheme="minorHAnsi" w:hAnsi="Arial" w:cs="Arial"/>
          <w:sz w:val="22"/>
          <w:szCs w:val="22"/>
          <w:lang w:val="es-ES"/>
        </w:rPr>
      </w:pPr>
      <w:r w:rsidRPr="009F7DCC">
        <w:rPr>
          <w:rFonts w:ascii="Arial" w:eastAsiaTheme="minorHAnsi" w:hAnsi="Arial" w:cs="Arial"/>
          <w:sz w:val="22"/>
          <w:szCs w:val="22"/>
          <w:lang w:val="es-ES"/>
        </w:rPr>
        <w:t xml:space="preserve"> </w:t>
      </w:r>
    </w:p>
    <w:p w14:paraId="1B17E2C9" w14:textId="71BB6B12" w:rsidR="007A6D26" w:rsidRPr="007A6D26" w:rsidRDefault="009F7DCC" w:rsidP="00310062">
      <w:pPr>
        <w:widowControl/>
        <w:numPr>
          <w:ilvl w:val="0"/>
          <w:numId w:val="1"/>
        </w:numPr>
        <w:autoSpaceDE/>
        <w:autoSpaceDN/>
        <w:ind w:left="720" w:right="164" w:hanging="720"/>
        <w:jc w:val="both"/>
        <w:textAlignment w:val="auto"/>
        <w:rPr>
          <w:rFonts w:ascii="Arial" w:eastAsiaTheme="minorHAnsi" w:hAnsi="Arial" w:cs="Arial"/>
          <w:sz w:val="22"/>
          <w:szCs w:val="22"/>
          <w:lang w:val="es-ES"/>
        </w:rPr>
      </w:pPr>
      <w:r w:rsidRPr="009F7DCC">
        <w:rPr>
          <w:rFonts w:ascii="Arial" w:eastAsiaTheme="minorHAnsi" w:hAnsi="Arial" w:cs="Arial"/>
          <w:i/>
          <w:iCs/>
          <w:sz w:val="22"/>
          <w:szCs w:val="22"/>
          <w:lang w:val="es-ES"/>
        </w:rPr>
        <w:t>Solicita</w:t>
      </w:r>
      <w:r w:rsidRPr="009F7DCC">
        <w:rPr>
          <w:rFonts w:ascii="Arial" w:eastAsiaTheme="minorHAnsi" w:hAnsi="Arial" w:cs="Arial"/>
          <w:sz w:val="22"/>
          <w:szCs w:val="22"/>
          <w:lang w:val="es-ES"/>
        </w:rPr>
        <w:t xml:space="preserve"> a la Secretaría, </w:t>
      </w:r>
      <w:r w:rsidR="007A6D26">
        <w:rPr>
          <w:rFonts w:ascii="Arial" w:eastAsiaTheme="minorHAnsi" w:hAnsi="Arial" w:cs="Arial"/>
          <w:sz w:val="22"/>
          <w:szCs w:val="22"/>
          <w:lang w:val="es-ES"/>
        </w:rPr>
        <w:t>que facilite la continuación del Equipo de coordinación sobre buitres</w:t>
      </w:r>
      <w:r w:rsidRPr="009F7DCC">
        <w:rPr>
          <w:rFonts w:ascii="Arial" w:eastAsiaTheme="minorHAnsi" w:hAnsi="Arial" w:cs="Arial"/>
          <w:sz w:val="22"/>
          <w:szCs w:val="22"/>
          <w:lang w:val="es-ES"/>
        </w:rPr>
        <w:t xml:space="preserve"> </w:t>
      </w:r>
      <w:r w:rsidR="007A6D26">
        <w:rPr>
          <w:rFonts w:ascii="Arial" w:eastAsiaTheme="minorHAnsi" w:hAnsi="Arial" w:cs="Arial"/>
          <w:sz w:val="22"/>
          <w:szCs w:val="22"/>
          <w:lang w:val="es-ES"/>
        </w:rPr>
        <w:t xml:space="preserve">mientras tanto, hasta que pueda facilitar la puesta en funcionamiento del Grupo de Trabajo sobre buitres y sus estructuras asociadas </w:t>
      </w:r>
      <w:r w:rsidRPr="009F7DCC">
        <w:rPr>
          <w:rFonts w:ascii="Arial" w:eastAsiaTheme="minorHAnsi" w:hAnsi="Arial" w:cs="Arial"/>
          <w:sz w:val="22"/>
          <w:szCs w:val="22"/>
          <w:lang w:val="es-ES"/>
        </w:rPr>
        <w:t xml:space="preserve">(Grupo directivo sobre </w:t>
      </w:r>
      <w:r w:rsidRPr="009F7DCC">
        <w:rPr>
          <w:rFonts w:ascii="Arial" w:eastAsiaTheme="minorHAnsi" w:hAnsi="Arial" w:cs="Arial"/>
          <w:sz w:val="22"/>
          <w:szCs w:val="22"/>
          <w:lang w:val="es-ES"/>
        </w:rPr>
        <w:lastRenderedPageBreak/>
        <w:t xml:space="preserve">el buitre y los Comités regionales de aplicación propuestos) así como del equipo de coordinadores, incluso incentivando constantemente la participación, la comunicación, la cooperación y la colaboración entre las partes interesadas, por medio de talleres y reuniones (regionales), a reserva de la disponibilidad de fondos;  </w:t>
      </w:r>
    </w:p>
    <w:p w14:paraId="25C42EED" w14:textId="77777777" w:rsidR="009F7DCC" w:rsidRPr="009F7DCC" w:rsidRDefault="009F7DCC" w:rsidP="00310062">
      <w:pPr>
        <w:widowControl/>
        <w:autoSpaceDE/>
        <w:autoSpaceDN/>
        <w:ind w:left="720" w:hanging="720"/>
        <w:textAlignment w:val="auto"/>
        <w:rPr>
          <w:rFonts w:ascii="Arial" w:eastAsiaTheme="minorHAnsi" w:hAnsi="Arial" w:cs="Arial"/>
          <w:sz w:val="22"/>
          <w:szCs w:val="22"/>
          <w:lang w:val="es-ES"/>
        </w:rPr>
      </w:pPr>
      <w:r w:rsidRPr="009F7DCC">
        <w:rPr>
          <w:rFonts w:ascii="Arial" w:eastAsiaTheme="minorHAnsi" w:hAnsi="Arial" w:cs="Arial"/>
          <w:sz w:val="22"/>
          <w:szCs w:val="22"/>
          <w:lang w:val="es-ES"/>
        </w:rPr>
        <w:t xml:space="preserve"> </w:t>
      </w:r>
    </w:p>
    <w:p w14:paraId="7248F031" w14:textId="4CBC7893" w:rsidR="009F7DCC" w:rsidRPr="00CE30E6" w:rsidRDefault="009F7DCC" w:rsidP="00310062">
      <w:pPr>
        <w:widowControl/>
        <w:numPr>
          <w:ilvl w:val="0"/>
          <w:numId w:val="1"/>
        </w:numPr>
        <w:autoSpaceDE/>
        <w:autoSpaceDN/>
        <w:ind w:left="720" w:right="164" w:hanging="720"/>
        <w:jc w:val="both"/>
        <w:textAlignment w:val="auto"/>
        <w:rPr>
          <w:rFonts w:ascii="Arial" w:eastAsiaTheme="minorHAnsi" w:hAnsi="Arial" w:cs="Arial"/>
          <w:sz w:val="22"/>
          <w:szCs w:val="22"/>
          <w:lang w:val="es-ES"/>
        </w:rPr>
      </w:pPr>
      <w:r w:rsidRPr="00FB713C">
        <w:rPr>
          <w:rFonts w:ascii="Arial" w:eastAsiaTheme="minorHAnsi" w:hAnsi="Arial" w:cs="Arial"/>
          <w:i/>
          <w:iCs/>
          <w:sz w:val="22"/>
          <w:szCs w:val="22"/>
          <w:lang w:val="es-ES"/>
        </w:rPr>
        <w:t>Invita</w:t>
      </w:r>
      <w:r w:rsidRPr="009F7DCC">
        <w:rPr>
          <w:rFonts w:ascii="Arial" w:eastAsiaTheme="minorHAnsi" w:hAnsi="Arial" w:cs="Arial"/>
          <w:sz w:val="22"/>
          <w:szCs w:val="22"/>
          <w:lang w:val="es-ES"/>
        </w:rPr>
        <w:t xml:space="preserve"> a las Partes y a los Estados del área de distribución que no son Partes a establecer grupos nacionales de acción sobre los buitres u organismos equivalentes para elaborar PAME nacionales para los buitres, con el fin de asegurar la aplicación nacional del PAME </w:t>
      </w:r>
      <w:r w:rsidRPr="00CE30E6">
        <w:rPr>
          <w:rFonts w:ascii="Arial" w:eastAsiaTheme="minorHAnsi" w:hAnsi="Arial" w:cs="Arial"/>
          <w:sz w:val="22"/>
          <w:szCs w:val="22"/>
          <w:lang w:val="es-ES"/>
        </w:rPr>
        <w:t>para el buitre, integrándolos en sus Estrategia y planes de acción nacionales (revisados) en materia de biodiversidad (EPANB) elaborados en el ámbito del CDB, especialmente para lograr la</w:t>
      </w:r>
      <w:r w:rsidR="00CE30E6" w:rsidRPr="00CE30E6">
        <w:rPr>
          <w:rFonts w:ascii="Arial" w:eastAsiaTheme="minorHAnsi" w:hAnsi="Arial" w:cs="Arial"/>
          <w:sz w:val="22"/>
          <w:szCs w:val="22"/>
          <w:lang w:val="es-ES"/>
        </w:rPr>
        <w:t xml:space="preserve"> meta 4</w:t>
      </w:r>
      <w:r w:rsidRPr="00CE30E6">
        <w:rPr>
          <w:rFonts w:ascii="Arial" w:eastAsiaTheme="minorHAnsi" w:hAnsi="Arial" w:cs="Arial"/>
          <w:sz w:val="22"/>
          <w:szCs w:val="22"/>
          <w:lang w:val="es-ES"/>
        </w:rPr>
        <w:t xml:space="preserve"> </w:t>
      </w:r>
      <w:r w:rsidR="00CE30E6" w:rsidRPr="00CE30E6">
        <w:rPr>
          <w:rFonts w:ascii="Arial" w:eastAsiaTheme="minorHAnsi" w:hAnsi="Arial" w:cs="Arial"/>
          <w:sz w:val="22"/>
          <w:szCs w:val="22"/>
          <w:lang w:val="es-ES"/>
        </w:rPr>
        <w:t xml:space="preserve">del Marco Mundial de Biodiversidad de </w:t>
      </w:r>
      <w:r w:rsidRPr="00CE30E6">
        <w:rPr>
          <w:rFonts w:ascii="Arial" w:eastAsiaTheme="minorHAnsi" w:hAnsi="Arial" w:cs="Arial"/>
          <w:color w:val="000000" w:themeColor="text1"/>
          <w:sz w:val="22"/>
          <w:szCs w:val="22"/>
          <w:lang w:val="es-ES"/>
        </w:rPr>
        <w:t xml:space="preserve">Kunming-Montreal </w:t>
      </w:r>
      <w:r w:rsidR="00CE30E6" w:rsidRPr="00CE30E6">
        <w:rPr>
          <w:rFonts w:ascii="Arial" w:eastAsiaTheme="minorHAnsi" w:hAnsi="Arial" w:cs="Arial"/>
          <w:sz w:val="22"/>
          <w:szCs w:val="22"/>
          <w:lang w:val="es-ES"/>
        </w:rPr>
        <w:t>sobre</w:t>
      </w:r>
      <w:r w:rsidRPr="00CE30E6">
        <w:rPr>
          <w:rFonts w:ascii="Arial" w:eastAsiaTheme="minorHAnsi" w:hAnsi="Arial" w:cs="Arial"/>
          <w:sz w:val="22"/>
          <w:szCs w:val="22"/>
          <w:lang w:val="es-ES"/>
        </w:rPr>
        <w:t xml:space="preserve"> la prevención de extinciones inducid</w:t>
      </w:r>
      <w:r w:rsidR="00CE30E6" w:rsidRPr="00CE30E6">
        <w:rPr>
          <w:rFonts w:ascii="Arial" w:eastAsiaTheme="minorHAnsi" w:hAnsi="Arial" w:cs="Arial"/>
          <w:sz w:val="22"/>
          <w:szCs w:val="22"/>
          <w:lang w:val="es-ES"/>
        </w:rPr>
        <w:t>a</w:t>
      </w:r>
      <w:r w:rsidRPr="00CE30E6">
        <w:rPr>
          <w:rFonts w:ascii="Arial" w:eastAsiaTheme="minorHAnsi" w:hAnsi="Arial" w:cs="Arial"/>
          <w:sz w:val="22"/>
          <w:szCs w:val="22"/>
          <w:lang w:val="es-ES"/>
        </w:rPr>
        <w:t xml:space="preserve">s por el hombre y el Objetivo 5 sobre la prevención de la sobreexplotación y la reducción del riesgo de propagación de patógenos, y alcanzar también los objetivos de la CMS;  </w:t>
      </w:r>
    </w:p>
    <w:p w14:paraId="73338D8C" w14:textId="77777777" w:rsidR="009F7DCC" w:rsidRPr="00CE30E6" w:rsidRDefault="009F7DCC" w:rsidP="00310062">
      <w:pPr>
        <w:widowControl/>
        <w:autoSpaceDE/>
        <w:autoSpaceDN/>
        <w:ind w:left="720" w:hanging="720"/>
        <w:textAlignment w:val="auto"/>
        <w:rPr>
          <w:rFonts w:ascii="Arial" w:eastAsiaTheme="minorHAnsi" w:hAnsi="Arial" w:cs="Arial"/>
          <w:sz w:val="22"/>
          <w:szCs w:val="22"/>
          <w:lang w:val="es-ES"/>
        </w:rPr>
      </w:pPr>
      <w:r w:rsidRPr="00CE30E6">
        <w:rPr>
          <w:rFonts w:ascii="Arial" w:eastAsiaTheme="minorHAnsi" w:hAnsi="Arial" w:cs="Arial"/>
          <w:sz w:val="22"/>
          <w:szCs w:val="22"/>
          <w:lang w:val="es-ES"/>
        </w:rPr>
        <w:t xml:space="preserve"> </w:t>
      </w:r>
    </w:p>
    <w:p w14:paraId="1BCA168B" w14:textId="77777777" w:rsidR="009F7DCC" w:rsidRPr="009F7DCC" w:rsidRDefault="009F7DCC" w:rsidP="00310062">
      <w:pPr>
        <w:widowControl/>
        <w:numPr>
          <w:ilvl w:val="0"/>
          <w:numId w:val="1"/>
        </w:numPr>
        <w:autoSpaceDE/>
        <w:autoSpaceDN/>
        <w:ind w:left="720" w:right="164" w:hanging="720"/>
        <w:jc w:val="both"/>
        <w:textAlignment w:val="auto"/>
        <w:rPr>
          <w:rFonts w:ascii="Arial" w:eastAsiaTheme="minorHAnsi" w:hAnsi="Arial" w:cs="Arial"/>
          <w:sz w:val="22"/>
          <w:szCs w:val="22"/>
          <w:lang w:val="es-ES"/>
        </w:rPr>
      </w:pPr>
      <w:r w:rsidRPr="009F7DCC">
        <w:rPr>
          <w:rFonts w:ascii="Arial" w:eastAsiaTheme="minorHAnsi" w:hAnsi="Arial" w:cs="Arial"/>
          <w:i/>
          <w:iCs/>
          <w:sz w:val="22"/>
          <w:szCs w:val="22"/>
          <w:lang w:val="es-ES"/>
        </w:rPr>
        <w:t>Llama</w:t>
      </w:r>
      <w:r w:rsidRPr="009F7DCC">
        <w:rPr>
          <w:rFonts w:ascii="Arial" w:eastAsiaTheme="minorHAnsi" w:hAnsi="Arial" w:cs="Arial"/>
          <w:sz w:val="22"/>
          <w:szCs w:val="22"/>
          <w:lang w:val="es-ES"/>
        </w:rPr>
        <w:t xml:space="preserve"> a las Partes e invita a los estados del área de distribución no Partes a perseguir programas de reintroducción de buitres en ecosistemas potencialmente adecuados que históricamente estuvieron poblados por estas especies, siempre que dichos programas sean ejecutados de acuerdo con las “Directrices para la reintroducción y otras formas de UNEP/CMS/Resolución 12.10 4 t</w:t>
      </w:r>
      <w:r w:rsidRPr="009F7DCC">
        <w:rPr>
          <w:rFonts w:ascii="Arial" w:eastAsiaTheme="minorHAnsi" w:hAnsi="Arial" w:cs="Arial"/>
          <w:i/>
          <w:iCs/>
          <w:sz w:val="22"/>
          <w:szCs w:val="22"/>
          <w:lang w:val="es-ES"/>
        </w:rPr>
        <w:t>ranslocación para la conservación de la UICN</w:t>
      </w:r>
      <w:r w:rsidRPr="009F7DCC">
        <w:rPr>
          <w:rFonts w:ascii="Arial" w:eastAsiaTheme="minorHAnsi" w:hAnsi="Arial" w:cs="Arial"/>
          <w:sz w:val="22"/>
          <w:szCs w:val="22"/>
          <w:lang w:val="es-ES"/>
        </w:rPr>
        <w:t xml:space="preserve">” </w:t>
      </w:r>
    </w:p>
    <w:p w14:paraId="32CF8E84" w14:textId="77777777" w:rsidR="009F7DCC" w:rsidRPr="009F7DCC" w:rsidRDefault="009F7DCC" w:rsidP="00310062">
      <w:pPr>
        <w:widowControl/>
        <w:autoSpaceDE/>
        <w:autoSpaceDN/>
        <w:ind w:left="720" w:hanging="720"/>
        <w:textAlignment w:val="auto"/>
        <w:rPr>
          <w:rFonts w:ascii="Arial" w:eastAsiaTheme="minorHAnsi" w:hAnsi="Arial" w:cs="Arial"/>
          <w:sz w:val="22"/>
          <w:szCs w:val="22"/>
          <w:lang w:val="es-ES"/>
        </w:rPr>
      </w:pPr>
      <w:r w:rsidRPr="009F7DCC">
        <w:rPr>
          <w:rFonts w:ascii="Arial" w:eastAsiaTheme="minorHAnsi" w:hAnsi="Arial" w:cs="Arial"/>
          <w:sz w:val="22"/>
          <w:szCs w:val="22"/>
          <w:lang w:val="es-ES"/>
        </w:rPr>
        <w:t xml:space="preserve"> </w:t>
      </w:r>
    </w:p>
    <w:p w14:paraId="5F9B2462" w14:textId="77777777" w:rsidR="009F7DCC" w:rsidRPr="009F7DCC" w:rsidRDefault="009F7DCC" w:rsidP="00310062">
      <w:pPr>
        <w:widowControl/>
        <w:numPr>
          <w:ilvl w:val="0"/>
          <w:numId w:val="1"/>
        </w:numPr>
        <w:tabs>
          <w:tab w:val="left" w:pos="3780"/>
        </w:tabs>
        <w:autoSpaceDE/>
        <w:autoSpaceDN/>
        <w:ind w:left="720" w:right="164" w:hanging="720"/>
        <w:jc w:val="both"/>
        <w:textAlignment w:val="auto"/>
        <w:rPr>
          <w:rFonts w:ascii="Arial" w:eastAsiaTheme="minorHAnsi" w:hAnsi="Arial" w:cs="Arial"/>
          <w:sz w:val="22"/>
          <w:szCs w:val="22"/>
          <w:lang w:val="es-ES"/>
        </w:rPr>
      </w:pPr>
      <w:r w:rsidRPr="009F7DCC">
        <w:rPr>
          <w:rFonts w:ascii="Arial" w:eastAsiaTheme="minorHAnsi" w:hAnsi="Arial" w:cs="Arial"/>
          <w:i/>
          <w:iCs/>
          <w:sz w:val="22"/>
          <w:szCs w:val="22"/>
          <w:lang w:val="es-ES"/>
        </w:rPr>
        <w:t>Pide</w:t>
      </w:r>
      <w:r w:rsidRPr="009F7DCC">
        <w:rPr>
          <w:rFonts w:ascii="Arial" w:eastAsiaTheme="minorHAnsi" w:hAnsi="Arial" w:cs="Arial"/>
          <w:sz w:val="22"/>
          <w:szCs w:val="22"/>
          <w:lang w:val="es-ES"/>
        </w:rPr>
        <w:t xml:space="preserve"> a las Partes e</w:t>
      </w:r>
      <w:r w:rsidRPr="009F7DCC">
        <w:rPr>
          <w:rFonts w:ascii="Arial" w:eastAsiaTheme="minorHAnsi" w:hAnsi="Arial" w:cs="Arial"/>
          <w:i/>
          <w:iCs/>
          <w:sz w:val="22"/>
          <w:szCs w:val="22"/>
          <w:lang w:val="es-ES"/>
        </w:rPr>
        <w:t xml:space="preserve"> invita</w:t>
      </w:r>
      <w:r w:rsidRPr="009F7DCC">
        <w:rPr>
          <w:rFonts w:ascii="Arial" w:eastAsiaTheme="minorHAnsi" w:hAnsi="Arial" w:cs="Arial"/>
          <w:sz w:val="22"/>
          <w:szCs w:val="22"/>
          <w:lang w:val="es-ES"/>
        </w:rPr>
        <w:t xml:space="preserve"> a los Estados del área de distribución que no son Partes y los interesados directos, con el apoyo de la Secretaría, a fin de fortalecer la capacidad nacional y local, incluso mediante programas de hermanamiento entre países con experiencia en la conservación de buitres y otros con menor experiencia, tras haber identificado las necesidades de capacitación y de desarrollo de la capacidad para la aplicación del PAME para el buitre.; </w:t>
      </w:r>
    </w:p>
    <w:p w14:paraId="5DCFB9E9" w14:textId="77777777" w:rsidR="009F7DCC" w:rsidRPr="00561F4F" w:rsidRDefault="009F7DCC" w:rsidP="00310062">
      <w:pPr>
        <w:widowControl/>
        <w:tabs>
          <w:tab w:val="left" w:pos="3780"/>
        </w:tabs>
        <w:autoSpaceDE/>
        <w:autoSpaceDN/>
        <w:ind w:left="720" w:right="164" w:hanging="720"/>
        <w:jc w:val="both"/>
        <w:textAlignment w:val="auto"/>
        <w:rPr>
          <w:rFonts w:ascii="Arial" w:eastAsiaTheme="minorHAnsi" w:hAnsi="Arial" w:cs="Arial"/>
          <w:sz w:val="22"/>
          <w:szCs w:val="22"/>
          <w:lang w:val="es-ES"/>
        </w:rPr>
      </w:pPr>
    </w:p>
    <w:p w14:paraId="051C1895" w14:textId="631673D1" w:rsidR="009F7DCC" w:rsidRPr="00561F4F" w:rsidRDefault="009F7DCC" w:rsidP="00310062">
      <w:pPr>
        <w:widowControl/>
        <w:tabs>
          <w:tab w:val="left" w:pos="720"/>
        </w:tabs>
        <w:autoSpaceDE/>
        <w:autoSpaceDN/>
        <w:ind w:left="720" w:hanging="720"/>
        <w:jc w:val="both"/>
        <w:textAlignment w:val="auto"/>
        <w:rPr>
          <w:rFonts w:ascii="Arial" w:eastAsiaTheme="minorHAnsi" w:hAnsi="Arial" w:cs="Arial"/>
          <w:sz w:val="22"/>
          <w:szCs w:val="22"/>
          <w:lang w:val="es-ES"/>
        </w:rPr>
      </w:pPr>
      <w:r w:rsidRPr="00561F4F">
        <w:rPr>
          <w:rFonts w:ascii="Arial" w:eastAsia="Arial" w:hAnsi="Arial" w:cs="Arial"/>
          <w:sz w:val="22"/>
          <w:szCs w:val="22"/>
          <w:lang w:val="es-ES"/>
        </w:rPr>
        <w:t>8.bis</w:t>
      </w:r>
      <w:r w:rsidR="00310062">
        <w:rPr>
          <w:rFonts w:ascii="Arial" w:eastAsia="Arial" w:hAnsi="Arial" w:cs="Arial"/>
          <w:sz w:val="22"/>
          <w:szCs w:val="22"/>
          <w:lang w:val="es-ES"/>
        </w:rPr>
        <w:tab/>
      </w:r>
      <w:r w:rsidRPr="00561F4F">
        <w:rPr>
          <w:rFonts w:ascii="Arial" w:eastAsia="Arial" w:hAnsi="Arial" w:cs="Arial"/>
          <w:i/>
          <w:iCs/>
          <w:sz w:val="22"/>
          <w:szCs w:val="22"/>
          <w:lang w:val="es-ES"/>
        </w:rPr>
        <w:t xml:space="preserve">Pide a las </w:t>
      </w:r>
      <w:r w:rsidRPr="00561F4F">
        <w:rPr>
          <w:rFonts w:ascii="Arial" w:eastAsia="Arial" w:hAnsi="Arial" w:cs="Arial"/>
          <w:sz w:val="22"/>
          <w:szCs w:val="22"/>
          <w:lang w:val="es-ES"/>
        </w:rPr>
        <w:t xml:space="preserve">Partes e invita a los Estados del área de distribución no-Partes y a las partes interesadas, a que sean conscientes del posible riesgo que supone para las poblaciones de buitres la cepa </w:t>
      </w:r>
      <w:r w:rsidRPr="00561F4F">
        <w:rPr>
          <w:rFonts w:ascii="Arial" w:eastAsiaTheme="minorHAnsi" w:hAnsi="Arial" w:cs="Arial"/>
          <w:color w:val="000000" w:themeColor="text1"/>
          <w:sz w:val="22"/>
          <w:szCs w:val="22"/>
          <w:lang w:val="es-ES"/>
        </w:rPr>
        <w:t>altamente</w:t>
      </w:r>
      <w:r w:rsidRPr="00561F4F">
        <w:rPr>
          <w:rFonts w:ascii="Arial" w:eastAsiaTheme="minorHAnsi" w:hAnsi="Arial" w:cs="Arial"/>
          <w:sz w:val="22"/>
          <w:szCs w:val="22"/>
          <w:lang w:val="es-ES"/>
        </w:rPr>
        <w:t xml:space="preserve"> patógena H5N1 de </w:t>
      </w:r>
      <w:r w:rsidRPr="00561F4F">
        <w:rPr>
          <w:rFonts w:ascii="Arial" w:eastAsiaTheme="minorHAnsi" w:hAnsi="Arial" w:cs="Arial"/>
          <w:color w:val="121212"/>
          <w:sz w:val="22"/>
          <w:szCs w:val="22"/>
          <w:lang w:val="es-ES"/>
        </w:rPr>
        <w:t xml:space="preserve">la </w:t>
      </w:r>
      <w:r w:rsidRPr="00561F4F">
        <w:rPr>
          <w:rFonts w:ascii="Arial" w:eastAsiaTheme="minorHAnsi" w:hAnsi="Arial" w:cs="Arial"/>
          <w:sz w:val="22"/>
          <w:szCs w:val="22"/>
          <w:lang w:val="es-ES"/>
        </w:rPr>
        <w:t xml:space="preserve">gripe aviar, e </w:t>
      </w:r>
      <w:r w:rsidRPr="00561F4F">
        <w:rPr>
          <w:rFonts w:ascii="Arial" w:eastAsiaTheme="minorHAnsi" w:hAnsi="Arial" w:cs="Arial"/>
          <w:i/>
          <w:iCs/>
          <w:sz w:val="22"/>
          <w:szCs w:val="22"/>
          <w:lang w:val="es-ES"/>
        </w:rPr>
        <w:t>insta</w:t>
      </w:r>
      <w:r w:rsidRPr="00561F4F">
        <w:rPr>
          <w:rFonts w:ascii="Arial" w:eastAsiaTheme="minorHAnsi" w:hAnsi="Arial" w:cs="Arial"/>
          <w:sz w:val="22"/>
          <w:szCs w:val="22"/>
          <w:lang w:val="es-ES"/>
        </w:rPr>
        <w:t xml:space="preserve"> a las Partes a que adopten los pasos necesarios para prevenir o combatir esta enfermedad en los casos en que pueda tener repercusiones en los buitres.</w:t>
      </w:r>
    </w:p>
    <w:p w14:paraId="21E7C60D" w14:textId="77777777" w:rsidR="009F7DCC" w:rsidRPr="009F7DCC" w:rsidRDefault="009F7DCC" w:rsidP="00310062">
      <w:pPr>
        <w:widowControl/>
        <w:autoSpaceDE/>
        <w:autoSpaceDN/>
        <w:ind w:left="720" w:right="164" w:hanging="720"/>
        <w:jc w:val="both"/>
        <w:textAlignment w:val="auto"/>
        <w:rPr>
          <w:rFonts w:ascii="Arial" w:eastAsia="Arial" w:hAnsi="Arial" w:cs="Arial"/>
          <w:i/>
          <w:sz w:val="22"/>
          <w:szCs w:val="22"/>
          <w:u w:val="single"/>
          <w:lang w:val="es-ES"/>
        </w:rPr>
      </w:pPr>
    </w:p>
    <w:p w14:paraId="46F66146" w14:textId="7C465C9D" w:rsidR="00D82C56" w:rsidRPr="00983323" w:rsidRDefault="009F7DCC" w:rsidP="00310062">
      <w:pPr>
        <w:pStyle w:val="ListParagraph"/>
        <w:numPr>
          <w:ilvl w:val="0"/>
          <w:numId w:val="1"/>
        </w:numPr>
        <w:ind w:left="720" w:hanging="720"/>
        <w:jc w:val="both"/>
        <w:rPr>
          <w:rFonts w:ascii="Arial" w:hAnsi="Arial" w:cs="Arial"/>
          <w:sz w:val="22"/>
          <w:szCs w:val="22"/>
          <w:lang w:val="es-ES"/>
        </w:rPr>
      </w:pPr>
      <w:r w:rsidRPr="00983323">
        <w:rPr>
          <w:rFonts w:ascii="Arial" w:eastAsiaTheme="minorHAnsi" w:hAnsi="Arial" w:cs="Arial"/>
          <w:i/>
          <w:iCs/>
          <w:sz w:val="22"/>
          <w:szCs w:val="22"/>
          <w:lang w:val="es-ES"/>
        </w:rPr>
        <w:t>Solicita</w:t>
      </w:r>
      <w:r w:rsidRPr="00983323">
        <w:rPr>
          <w:rFonts w:ascii="Arial" w:eastAsiaTheme="minorHAnsi" w:hAnsi="Arial" w:cs="Arial"/>
          <w:sz w:val="22"/>
          <w:szCs w:val="22"/>
          <w:lang w:val="es-ES"/>
        </w:rPr>
        <w:t xml:space="preserve"> a las Partes que presenten informe de los progresos realizados en la aplicación del PAME para el buitre, y del seguimiento de la eficacia de las medidas adoptadas, a cada reunión de la Conferencia de las Partes en la CMS, incluso a través de sus informes nacionales.</w:t>
      </w:r>
    </w:p>
    <w:p w14:paraId="74FE8E0C" w14:textId="77777777" w:rsidR="00D82C56" w:rsidRPr="00983323" w:rsidRDefault="00D82C56" w:rsidP="00983323">
      <w:pPr>
        <w:rPr>
          <w:rFonts w:ascii="Arial" w:hAnsi="Arial" w:cs="Arial"/>
          <w:sz w:val="22"/>
          <w:szCs w:val="22"/>
          <w:lang w:val="es-ES"/>
        </w:rPr>
      </w:pPr>
    </w:p>
    <w:p w14:paraId="649C5778" w14:textId="5EB658EF" w:rsidR="00310062" w:rsidRDefault="00310062">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3971E70B" w:rsidR="00D82C56" w:rsidRPr="00983323" w:rsidRDefault="00FD2360" w:rsidP="00983323">
      <w:pPr>
        <w:jc w:val="center"/>
        <w:rPr>
          <w:rFonts w:ascii="Arial" w:hAnsi="Arial" w:cs="Arial"/>
          <w:sz w:val="22"/>
          <w:szCs w:val="22"/>
          <w:lang w:val="es-ES"/>
        </w:rPr>
      </w:pPr>
      <w:r w:rsidRPr="00983323">
        <w:rPr>
          <w:rFonts w:ascii="Arial" w:hAnsi="Arial" w:cs="Arial"/>
          <w:sz w:val="22"/>
          <w:szCs w:val="22"/>
          <w:lang w:val="es-ES"/>
        </w:rPr>
        <w:lastRenderedPageBreak/>
        <w:t>PROYECTO</w:t>
      </w:r>
      <w:r w:rsidR="00B97CD7">
        <w:rPr>
          <w:rFonts w:ascii="Arial" w:hAnsi="Arial" w:cs="Arial"/>
          <w:sz w:val="22"/>
          <w:szCs w:val="22"/>
          <w:lang w:val="es-ES"/>
        </w:rPr>
        <w:t>S</w:t>
      </w:r>
      <w:r w:rsidRPr="00983323">
        <w:rPr>
          <w:rFonts w:ascii="Arial" w:hAnsi="Arial" w:cs="Arial"/>
          <w:sz w:val="22"/>
          <w:szCs w:val="22"/>
          <w:lang w:val="es-ES"/>
        </w:rPr>
        <w:t xml:space="preserve"> DE DECISI</w:t>
      </w:r>
      <w:r w:rsidR="00310062">
        <w:rPr>
          <w:rFonts w:ascii="Arial" w:hAnsi="Arial" w:cs="Arial"/>
          <w:sz w:val="22"/>
          <w:szCs w:val="22"/>
          <w:lang w:val="es-ES"/>
        </w:rPr>
        <w:t>ONES</w:t>
      </w:r>
    </w:p>
    <w:p w14:paraId="621FE7FD" w14:textId="77777777" w:rsidR="00D82C56" w:rsidRDefault="00D82C56" w:rsidP="00983323">
      <w:pPr>
        <w:rPr>
          <w:rFonts w:ascii="Arial" w:hAnsi="Arial" w:cs="Arial"/>
          <w:sz w:val="22"/>
          <w:szCs w:val="22"/>
          <w:lang w:val="es-ES"/>
        </w:rPr>
      </w:pPr>
    </w:p>
    <w:p w14:paraId="2127A6B6" w14:textId="77777777" w:rsidR="00310062" w:rsidRPr="00983323" w:rsidRDefault="00310062" w:rsidP="00983323">
      <w:pPr>
        <w:rPr>
          <w:rFonts w:ascii="Arial" w:hAnsi="Arial" w:cs="Arial"/>
          <w:sz w:val="22"/>
          <w:szCs w:val="22"/>
          <w:lang w:val="es-ES"/>
        </w:rPr>
      </w:pPr>
    </w:p>
    <w:p w14:paraId="5B20F3CA" w14:textId="77777777" w:rsidR="00983323" w:rsidRPr="00983323" w:rsidRDefault="00983323" w:rsidP="00983323">
      <w:pPr>
        <w:widowControl/>
        <w:autoSpaceDE/>
        <w:jc w:val="center"/>
        <w:rPr>
          <w:rFonts w:ascii="Arial" w:eastAsiaTheme="minorHAnsi" w:hAnsi="Arial" w:cs="Arial"/>
          <w:b/>
          <w:bCs/>
          <w:sz w:val="22"/>
          <w:szCs w:val="22"/>
          <w:lang w:val="es-ES"/>
        </w:rPr>
      </w:pPr>
      <w:r w:rsidRPr="00983323">
        <w:rPr>
          <w:rFonts w:ascii="Arial" w:eastAsiaTheme="minorHAnsi" w:hAnsi="Arial" w:cs="Arial"/>
          <w:b/>
          <w:bCs/>
          <w:sz w:val="22"/>
          <w:szCs w:val="22"/>
          <w:lang w:val="es-ES"/>
        </w:rPr>
        <w:t>CONSERVACIÓN DE LOS BUITRES DE ÁFRICA-EURASIA</w:t>
      </w:r>
    </w:p>
    <w:p w14:paraId="1A3565A0" w14:textId="77777777" w:rsidR="00983323" w:rsidRPr="00983323" w:rsidRDefault="00983323" w:rsidP="00983323">
      <w:pPr>
        <w:widowControl/>
        <w:autoSpaceDE/>
        <w:jc w:val="center"/>
        <w:rPr>
          <w:rFonts w:ascii="Arial" w:eastAsiaTheme="minorHAnsi" w:hAnsi="Arial" w:cs="Arial"/>
          <w:b/>
          <w:bCs/>
          <w:sz w:val="22"/>
          <w:szCs w:val="22"/>
          <w:lang w:val="es-ES"/>
        </w:rPr>
      </w:pPr>
    </w:p>
    <w:p w14:paraId="0D886B6B" w14:textId="77777777" w:rsidR="00983323" w:rsidRPr="00983323" w:rsidRDefault="00983323" w:rsidP="00983323">
      <w:pPr>
        <w:widowControl/>
        <w:autoSpaceDE/>
        <w:autoSpaceDN/>
        <w:jc w:val="center"/>
        <w:textAlignment w:val="auto"/>
        <w:rPr>
          <w:rFonts w:ascii="Arial" w:eastAsiaTheme="minorHAnsi" w:hAnsi="Arial" w:cs="Arial"/>
          <w:sz w:val="22"/>
          <w:szCs w:val="22"/>
          <w:lang w:val="es-ES"/>
        </w:rPr>
      </w:pPr>
    </w:p>
    <w:p w14:paraId="458D9581" w14:textId="77777777" w:rsidR="00983323" w:rsidRPr="00983323" w:rsidRDefault="00983323" w:rsidP="00983323">
      <w:pPr>
        <w:widowControl/>
        <w:autoSpaceDE/>
        <w:autoSpaceDN/>
        <w:jc w:val="both"/>
        <w:textAlignment w:val="auto"/>
        <w:rPr>
          <w:rFonts w:ascii="Arial" w:eastAsiaTheme="minorHAnsi" w:hAnsi="Arial" w:cs="Arial"/>
          <w:b/>
          <w:bCs/>
          <w:i/>
          <w:iCs/>
          <w:sz w:val="22"/>
          <w:szCs w:val="22"/>
          <w:lang w:val="es-ES"/>
        </w:rPr>
      </w:pPr>
      <w:r w:rsidRPr="00983323">
        <w:rPr>
          <w:rFonts w:ascii="Arial" w:eastAsiaTheme="minorHAnsi" w:hAnsi="Arial" w:cs="Arial"/>
          <w:b/>
          <w:bCs/>
          <w:i/>
          <w:iCs/>
          <w:sz w:val="22"/>
          <w:szCs w:val="22"/>
          <w:lang w:val="es-ES"/>
        </w:rPr>
        <w:t xml:space="preserve">Dirigido a las Partes, OIGS y </w:t>
      </w:r>
      <w:proofErr w:type="spellStart"/>
      <w:r w:rsidRPr="00983323">
        <w:rPr>
          <w:rFonts w:ascii="Arial" w:eastAsiaTheme="minorHAnsi" w:hAnsi="Arial" w:cs="Arial"/>
          <w:b/>
          <w:bCs/>
          <w:i/>
          <w:iCs/>
          <w:sz w:val="22"/>
          <w:szCs w:val="22"/>
          <w:lang w:val="es-ES"/>
        </w:rPr>
        <w:t>ONGs</w:t>
      </w:r>
      <w:proofErr w:type="spellEnd"/>
    </w:p>
    <w:p w14:paraId="63AD4117" w14:textId="77777777" w:rsidR="00983323" w:rsidRPr="00983323" w:rsidRDefault="00983323" w:rsidP="00983323">
      <w:pPr>
        <w:widowControl/>
        <w:autoSpaceDE/>
        <w:autoSpaceDN/>
        <w:jc w:val="both"/>
        <w:textAlignment w:val="auto"/>
        <w:rPr>
          <w:rFonts w:ascii="Arial" w:eastAsiaTheme="minorHAnsi" w:hAnsi="Arial" w:cs="Arial"/>
          <w:sz w:val="22"/>
          <w:szCs w:val="22"/>
          <w:lang w:val="es-ES"/>
        </w:rPr>
      </w:pPr>
    </w:p>
    <w:p w14:paraId="41C3428B" w14:textId="2C65C4DF" w:rsidR="004F3539" w:rsidRPr="004F3539" w:rsidRDefault="00983323" w:rsidP="00310062">
      <w:pPr>
        <w:widowControl/>
        <w:autoSpaceDE/>
        <w:autoSpaceDN/>
        <w:ind w:left="1080" w:hanging="1080"/>
        <w:jc w:val="both"/>
        <w:textAlignment w:val="auto"/>
        <w:rPr>
          <w:rFonts w:ascii="Arial" w:hAnsi="Arial" w:cs="Arial"/>
          <w:i/>
          <w:iCs/>
          <w:color w:val="333333"/>
          <w:sz w:val="22"/>
          <w:szCs w:val="22"/>
          <w:lang w:val="es-ES"/>
        </w:rPr>
      </w:pPr>
      <w:r w:rsidRPr="00983323">
        <w:rPr>
          <w:rFonts w:ascii="Arial" w:eastAsiaTheme="minorHAnsi" w:hAnsi="Arial" w:cs="Arial"/>
          <w:sz w:val="22"/>
          <w:szCs w:val="22"/>
          <w:lang w:val="es-ES"/>
        </w:rPr>
        <w:t>14.AA</w:t>
      </w:r>
      <w:r w:rsidRPr="00983323">
        <w:rPr>
          <w:rFonts w:ascii="Arial" w:eastAsiaTheme="minorHAnsi" w:hAnsi="Arial" w:cs="Arial"/>
          <w:sz w:val="22"/>
          <w:szCs w:val="22"/>
          <w:lang w:val="es-ES"/>
        </w:rPr>
        <w:tab/>
      </w:r>
      <w:r w:rsidRPr="00983323">
        <w:rPr>
          <w:rFonts w:ascii="Arial" w:hAnsi="Arial" w:cs="Arial"/>
          <w:color w:val="333333"/>
          <w:sz w:val="22"/>
          <w:szCs w:val="22"/>
          <w:lang w:val="es-ES"/>
        </w:rPr>
        <w:t>Se alienta a las Partes, los Estados del área de distribución que no son Partes y a los interesados a</w:t>
      </w:r>
      <w:r w:rsidRPr="00983323">
        <w:rPr>
          <w:rFonts w:ascii="Arial" w:hAnsi="Arial" w:cs="Arial"/>
          <w:i/>
          <w:iCs/>
          <w:color w:val="333333"/>
          <w:sz w:val="22"/>
          <w:szCs w:val="22"/>
          <w:lang w:val="es-ES"/>
        </w:rPr>
        <w:t>:</w:t>
      </w:r>
    </w:p>
    <w:p w14:paraId="08695C87" w14:textId="77777777" w:rsidR="00983323" w:rsidRPr="00983323" w:rsidRDefault="00983323" w:rsidP="00983323">
      <w:pPr>
        <w:widowControl/>
        <w:autoSpaceDE/>
        <w:autoSpaceDN/>
        <w:ind w:left="851" w:hanging="851"/>
        <w:jc w:val="both"/>
        <w:textAlignment w:val="auto"/>
        <w:rPr>
          <w:rFonts w:ascii="Arial" w:eastAsiaTheme="minorHAnsi" w:hAnsi="Arial" w:cs="Arial"/>
          <w:sz w:val="22"/>
          <w:szCs w:val="22"/>
          <w:lang w:val="es-ES"/>
        </w:rPr>
      </w:pPr>
    </w:p>
    <w:p w14:paraId="4D0F5293" w14:textId="77777777" w:rsidR="00983323" w:rsidRPr="00983323" w:rsidRDefault="00983323" w:rsidP="00310062">
      <w:pPr>
        <w:widowControl/>
        <w:numPr>
          <w:ilvl w:val="0"/>
          <w:numId w:val="3"/>
        </w:numPr>
        <w:shd w:val="clear" w:color="auto" w:fill="FFFFFF" w:themeFill="background1"/>
        <w:autoSpaceDE/>
        <w:autoSpaceDN/>
        <w:ind w:left="1620" w:hanging="540"/>
        <w:contextualSpacing/>
        <w:jc w:val="both"/>
        <w:textAlignment w:val="auto"/>
        <w:rPr>
          <w:rFonts w:ascii="Arial" w:eastAsiaTheme="minorHAnsi" w:hAnsi="Arial" w:cs="Arial"/>
          <w:color w:val="333333"/>
          <w:sz w:val="22"/>
          <w:szCs w:val="22"/>
          <w:lang w:val="es-ES"/>
        </w:rPr>
      </w:pPr>
      <w:r w:rsidRPr="00983323">
        <w:rPr>
          <w:rFonts w:ascii="Arial" w:eastAsiaTheme="minorHAnsi" w:hAnsi="Arial" w:cs="Arial"/>
          <w:color w:val="333333"/>
          <w:sz w:val="22"/>
          <w:szCs w:val="22"/>
          <w:lang w:val="es-ES"/>
        </w:rPr>
        <w:t>crear asociaciones con las iniciativas de lucha contra la caza furtiva y con los grupos de conservación que se ocupan del envenenamiento de otros grupos taxonómicos, incluida la elaboración de cursos de capacitación, la traducción y difusión de ejemplos de mejores prácticas, el intercambio de protocolos y reglamentos, la transferencia de tecnología, y el fomento del uso de instrumentos en línea para abordar cuestiones específicas que son pertinentes para el Plan de Acción Multi-Especie para el buitre</w:t>
      </w:r>
    </w:p>
    <w:p w14:paraId="5FDFBFB2" w14:textId="77777777" w:rsidR="00983323" w:rsidRPr="00983323" w:rsidRDefault="00983323" w:rsidP="00310062">
      <w:pPr>
        <w:widowControl/>
        <w:shd w:val="clear" w:color="auto" w:fill="FFFFFF" w:themeFill="background1"/>
        <w:autoSpaceDE/>
        <w:autoSpaceDN/>
        <w:ind w:left="1620" w:hanging="540"/>
        <w:contextualSpacing/>
        <w:jc w:val="both"/>
        <w:textAlignment w:val="auto"/>
        <w:rPr>
          <w:rFonts w:ascii="Arial" w:eastAsiaTheme="minorHAnsi" w:hAnsi="Arial" w:cs="Arial"/>
          <w:color w:val="333333"/>
          <w:sz w:val="22"/>
          <w:szCs w:val="22"/>
          <w:lang w:val="es-ES"/>
        </w:rPr>
      </w:pPr>
    </w:p>
    <w:p w14:paraId="25C9F7E4" w14:textId="395CB3A5" w:rsidR="00983323" w:rsidRPr="00983323" w:rsidRDefault="00983323" w:rsidP="00310062">
      <w:pPr>
        <w:widowControl/>
        <w:numPr>
          <w:ilvl w:val="0"/>
          <w:numId w:val="3"/>
        </w:numPr>
        <w:shd w:val="clear" w:color="auto" w:fill="FFFFFF" w:themeFill="background1"/>
        <w:autoSpaceDE/>
        <w:autoSpaceDN/>
        <w:ind w:left="1620" w:hanging="540"/>
        <w:contextualSpacing/>
        <w:jc w:val="both"/>
        <w:textAlignment w:val="auto"/>
        <w:rPr>
          <w:rFonts w:ascii="Arial" w:eastAsiaTheme="minorHAnsi" w:hAnsi="Arial" w:cs="Arial"/>
          <w:color w:val="333333"/>
          <w:sz w:val="22"/>
          <w:szCs w:val="22"/>
          <w:lang w:val="es-ES"/>
        </w:rPr>
      </w:pPr>
      <w:r w:rsidRPr="00983323">
        <w:rPr>
          <w:rFonts w:ascii="Arial" w:eastAsiaTheme="minorHAnsi" w:hAnsi="Arial" w:cs="Arial"/>
          <w:color w:val="333333"/>
          <w:sz w:val="22"/>
          <w:szCs w:val="22"/>
          <w:lang w:val="es-ES"/>
        </w:rPr>
        <w:t>colaborar activamente con el grupo de trabajo sobre energía</w:t>
      </w:r>
      <w:r w:rsidR="004F3539">
        <w:rPr>
          <w:rFonts w:ascii="Arial" w:eastAsiaTheme="minorHAnsi" w:hAnsi="Arial" w:cs="Arial"/>
          <w:color w:val="333333"/>
          <w:sz w:val="22"/>
          <w:szCs w:val="22"/>
          <w:lang w:val="es-ES"/>
        </w:rPr>
        <w:t>, los grupos operativos regionales sobre matanza, captura y comercio ilegal de aves silvestres de la CMS, y</w:t>
      </w:r>
      <w:r w:rsidRPr="00983323">
        <w:rPr>
          <w:rFonts w:ascii="Arial" w:eastAsiaTheme="minorHAnsi" w:hAnsi="Arial" w:cs="Arial"/>
          <w:color w:val="333333"/>
          <w:sz w:val="22"/>
          <w:szCs w:val="22"/>
          <w:lang w:val="es-ES"/>
        </w:rPr>
        <w:t xml:space="preserve"> el </w:t>
      </w:r>
      <w:r w:rsidRPr="00983323">
        <w:rPr>
          <w:rFonts w:ascii="Arial" w:eastAsiaTheme="minorHAnsi" w:hAnsi="Arial" w:cs="Arial"/>
          <w:sz w:val="22"/>
          <w:szCs w:val="22"/>
          <w:lang w:val="es-ES"/>
        </w:rPr>
        <w:t>Grupo de trabajo intergubernamental para la eliminación progresiva del uso de municiones de plomo y plomos de pesca;</w:t>
      </w:r>
      <w:r w:rsidRPr="00983323">
        <w:rPr>
          <w:rFonts w:ascii="Arial" w:eastAsiaTheme="minorHAnsi" w:hAnsi="Arial" w:cs="Arial"/>
          <w:color w:val="333333"/>
          <w:sz w:val="22"/>
          <w:szCs w:val="22"/>
          <w:lang w:val="es-ES"/>
        </w:rPr>
        <w:t xml:space="preserve"> </w:t>
      </w:r>
    </w:p>
    <w:p w14:paraId="5037B2B4" w14:textId="77777777" w:rsidR="00983323" w:rsidRPr="00983323" w:rsidRDefault="00983323" w:rsidP="00310062">
      <w:pPr>
        <w:widowControl/>
        <w:autoSpaceDE/>
        <w:autoSpaceDN/>
        <w:ind w:left="1620" w:hanging="540"/>
        <w:contextualSpacing/>
        <w:textAlignment w:val="auto"/>
        <w:rPr>
          <w:rFonts w:ascii="Arial" w:eastAsiaTheme="minorHAnsi" w:hAnsi="Arial" w:cs="Arial"/>
          <w:color w:val="333333"/>
          <w:sz w:val="22"/>
          <w:szCs w:val="22"/>
          <w:lang w:val="es-ES"/>
        </w:rPr>
      </w:pPr>
    </w:p>
    <w:p w14:paraId="03CF8B2C" w14:textId="77777777" w:rsidR="00983323" w:rsidRPr="00983323" w:rsidRDefault="00983323" w:rsidP="00310062">
      <w:pPr>
        <w:widowControl/>
        <w:numPr>
          <w:ilvl w:val="0"/>
          <w:numId w:val="3"/>
        </w:numPr>
        <w:shd w:val="clear" w:color="auto" w:fill="FFFFFF" w:themeFill="background1"/>
        <w:autoSpaceDE/>
        <w:autoSpaceDN/>
        <w:ind w:left="1620" w:hanging="540"/>
        <w:contextualSpacing/>
        <w:jc w:val="both"/>
        <w:textAlignment w:val="auto"/>
        <w:rPr>
          <w:rFonts w:ascii="Arial" w:eastAsiaTheme="minorHAnsi" w:hAnsi="Arial" w:cs="Arial"/>
          <w:color w:val="333333"/>
          <w:sz w:val="22"/>
          <w:szCs w:val="22"/>
          <w:lang w:val="es-ES"/>
        </w:rPr>
      </w:pPr>
      <w:r w:rsidRPr="00983323">
        <w:rPr>
          <w:rFonts w:ascii="Arial" w:eastAsiaTheme="minorHAnsi" w:hAnsi="Arial" w:cs="Arial"/>
          <w:sz w:val="22"/>
          <w:szCs w:val="22"/>
          <w:lang w:val="es-ES"/>
        </w:rPr>
        <w:t>p</w:t>
      </w:r>
      <w:r w:rsidRPr="00983323">
        <w:rPr>
          <w:rFonts w:ascii="Arial" w:eastAsiaTheme="minorHAnsi" w:hAnsi="Arial" w:cs="Arial"/>
          <w:color w:val="333333"/>
          <w:sz w:val="22"/>
          <w:szCs w:val="22"/>
          <w:lang w:val="es-ES"/>
        </w:rPr>
        <w:t xml:space="preserve">articipar en el desarrollo en curso de la Revisión a medio plazo del Plan de Acción </w:t>
      </w:r>
      <w:proofErr w:type="spellStart"/>
      <w:r w:rsidRPr="00983323">
        <w:rPr>
          <w:rFonts w:ascii="Arial" w:eastAsiaTheme="minorHAnsi" w:hAnsi="Arial" w:cs="Arial"/>
          <w:color w:val="333333"/>
          <w:sz w:val="22"/>
          <w:szCs w:val="22"/>
          <w:lang w:val="es-ES"/>
        </w:rPr>
        <w:t>multiespecies</w:t>
      </w:r>
      <w:proofErr w:type="spellEnd"/>
      <w:r w:rsidRPr="00983323">
        <w:rPr>
          <w:rFonts w:ascii="Arial" w:eastAsiaTheme="minorHAnsi" w:hAnsi="Arial" w:cs="Arial"/>
          <w:color w:val="333333"/>
          <w:sz w:val="22"/>
          <w:szCs w:val="22"/>
          <w:lang w:val="es-ES"/>
        </w:rPr>
        <w:t xml:space="preserve"> para los buitres y tener en cuenta las conclusiones al aplicar el Plan de Acción; </w:t>
      </w:r>
    </w:p>
    <w:p w14:paraId="4C1ABA0D" w14:textId="77777777" w:rsidR="00983323" w:rsidRPr="00983323" w:rsidRDefault="00983323" w:rsidP="00310062">
      <w:pPr>
        <w:widowControl/>
        <w:shd w:val="clear" w:color="auto" w:fill="FFFFFF" w:themeFill="background1"/>
        <w:autoSpaceDE/>
        <w:autoSpaceDN/>
        <w:ind w:left="1620" w:hanging="540"/>
        <w:jc w:val="both"/>
        <w:textAlignment w:val="auto"/>
        <w:rPr>
          <w:rFonts w:ascii="Arial" w:eastAsiaTheme="minorHAnsi" w:hAnsi="Arial" w:cs="Arial"/>
          <w:color w:val="333333"/>
          <w:sz w:val="22"/>
          <w:szCs w:val="22"/>
          <w:lang w:val="es-ES"/>
        </w:rPr>
      </w:pPr>
    </w:p>
    <w:p w14:paraId="38605EDD" w14:textId="77777777" w:rsidR="00983323" w:rsidRPr="00983323" w:rsidRDefault="00983323" w:rsidP="00310062">
      <w:pPr>
        <w:widowControl/>
        <w:numPr>
          <w:ilvl w:val="0"/>
          <w:numId w:val="3"/>
        </w:numPr>
        <w:shd w:val="clear" w:color="auto" w:fill="FFFFFF" w:themeFill="background1"/>
        <w:autoSpaceDE/>
        <w:autoSpaceDN/>
        <w:ind w:left="1620" w:hanging="540"/>
        <w:contextualSpacing/>
        <w:jc w:val="both"/>
        <w:textAlignment w:val="auto"/>
        <w:rPr>
          <w:rFonts w:ascii="Arial" w:eastAsiaTheme="minorHAnsi" w:hAnsi="Arial" w:cs="Arial"/>
          <w:color w:val="333333"/>
          <w:sz w:val="22"/>
          <w:szCs w:val="22"/>
          <w:lang w:val="es-ES"/>
        </w:rPr>
      </w:pPr>
      <w:r w:rsidRPr="00983323">
        <w:rPr>
          <w:rFonts w:ascii="Arial" w:eastAsiaTheme="minorHAnsi" w:hAnsi="Arial" w:cs="Arial"/>
          <w:color w:val="333333"/>
          <w:sz w:val="22"/>
          <w:szCs w:val="22"/>
          <w:lang w:val="es-ES"/>
        </w:rPr>
        <w:t>apoyar la próxima revisión a medio plazo del Plan de Acción para la Ruta Migratoria del Buitre Negro;</w:t>
      </w:r>
      <w:r w:rsidRPr="00983323">
        <w:rPr>
          <w:rFonts w:ascii="Arial" w:eastAsiaTheme="minorHAnsi" w:hAnsi="Arial" w:cs="Arial"/>
          <w:sz w:val="22"/>
          <w:szCs w:val="22"/>
          <w:lang w:val="es-ES"/>
        </w:rPr>
        <w:t xml:space="preserve"> </w:t>
      </w:r>
    </w:p>
    <w:p w14:paraId="64240B77" w14:textId="77777777" w:rsidR="00983323" w:rsidRPr="00983323" w:rsidRDefault="00983323" w:rsidP="00310062">
      <w:pPr>
        <w:widowControl/>
        <w:autoSpaceDE/>
        <w:autoSpaceDN/>
        <w:ind w:left="1620" w:hanging="540"/>
        <w:contextualSpacing/>
        <w:textAlignment w:val="auto"/>
        <w:rPr>
          <w:rFonts w:ascii="Arial" w:eastAsiaTheme="minorHAnsi" w:hAnsi="Arial" w:cs="Arial"/>
          <w:color w:val="333333"/>
          <w:sz w:val="22"/>
          <w:szCs w:val="22"/>
          <w:lang w:val="es-ES"/>
        </w:rPr>
      </w:pPr>
    </w:p>
    <w:p w14:paraId="55D8C37F" w14:textId="77777777" w:rsidR="00983323" w:rsidRPr="00983323" w:rsidRDefault="00983323" w:rsidP="00310062">
      <w:pPr>
        <w:widowControl/>
        <w:numPr>
          <w:ilvl w:val="0"/>
          <w:numId w:val="3"/>
        </w:numPr>
        <w:shd w:val="clear" w:color="auto" w:fill="FFFFFF" w:themeFill="background1"/>
        <w:autoSpaceDE/>
        <w:autoSpaceDN/>
        <w:ind w:left="1620" w:hanging="540"/>
        <w:contextualSpacing/>
        <w:jc w:val="both"/>
        <w:textAlignment w:val="auto"/>
        <w:rPr>
          <w:rFonts w:ascii="Arial" w:eastAsia="Arial" w:hAnsi="Arial" w:cs="Arial"/>
          <w:color w:val="000000" w:themeColor="text1"/>
          <w:sz w:val="22"/>
          <w:szCs w:val="22"/>
          <w:lang w:val="es-ES"/>
        </w:rPr>
      </w:pPr>
      <w:r w:rsidRPr="00983323">
        <w:rPr>
          <w:rFonts w:ascii="Arial" w:eastAsia="Arial" w:hAnsi="Arial" w:cs="Arial"/>
          <w:color w:val="000000" w:themeColor="text1"/>
          <w:sz w:val="22"/>
          <w:szCs w:val="22"/>
          <w:lang w:val="es-ES"/>
        </w:rPr>
        <w:t xml:space="preserve">Garantizar que la aplicación nacional del </w:t>
      </w:r>
      <w:proofErr w:type="spellStart"/>
      <w:r w:rsidRPr="00983323">
        <w:rPr>
          <w:rFonts w:ascii="Arial" w:eastAsia="Arial" w:hAnsi="Arial" w:cs="Arial"/>
          <w:color w:val="000000" w:themeColor="text1"/>
          <w:sz w:val="22"/>
          <w:szCs w:val="22"/>
          <w:lang w:val="es-ES"/>
        </w:rPr>
        <w:t>Vulture</w:t>
      </w:r>
      <w:proofErr w:type="spellEnd"/>
      <w:r w:rsidRPr="00983323">
        <w:rPr>
          <w:rFonts w:ascii="Arial" w:eastAsia="Arial" w:hAnsi="Arial" w:cs="Arial"/>
          <w:color w:val="000000" w:themeColor="text1"/>
          <w:sz w:val="22"/>
          <w:szCs w:val="22"/>
          <w:lang w:val="es-ES"/>
        </w:rPr>
        <w:t xml:space="preserve"> </w:t>
      </w:r>
      <w:proofErr w:type="spellStart"/>
      <w:r w:rsidRPr="00983323">
        <w:rPr>
          <w:rFonts w:ascii="Arial" w:eastAsia="Arial" w:hAnsi="Arial" w:cs="Arial"/>
          <w:color w:val="000000" w:themeColor="text1"/>
          <w:sz w:val="22"/>
          <w:szCs w:val="22"/>
          <w:lang w:val="es-ES"/>
        </w:rPr>
        <w:t>MsAP</w:t>
      </w:r>
      <w:proofErr w:type="spellEnd"/>
      <w:r w:rsidRPr="00983323">
        <w:rPr>
          <w:rFonts w:ascii="Arial" w:eastAsia="Arial" w:hAnsi="Arial" w:cs="Arial"/>
          <w:color w:val="000000" w:themeColor="text1"/>
          <w:sz w:val="22"/>
          <w:szCs w:val="22"/>
          <w:lang w:val="es-ES"/>
        </w:rPr>
        <w:t xml:space="preserve"> integre las conclusiones de las revisiones intermedias en sus Estrategias y Planes de Acción Nacionales sobre Biodiversidad (EPANB) (revisados). </w:t>
      </w:r>
    </w:p>
    <w:p w14:paraId="77D0D538" w14:textId="77777777" w:rsidR="00983323" w:rsidRPr="00983323" w:rsidRDefault="00983323" w:rsidP="00983323">
      <w:pPr>
        <w:widowControl/>
        <w:autoSpaceDE/>
        <w:autoSpaceDN/>
        <w:ind w:left="851" w:hanging="851"/>
        <w:jc w:val="both"/>
        <w:textAlignment w:val="auto"/>
        <w:rPr>
          <w:rFonts w:ascii="Arial" w:eastAsiaTheme="minorHAnsi" w:hAnsi="Arial" w:cs="Arial"/>
          <w:iCs/>
          <w:sz w:val="22"/>
          <w:szCs w:val="22"/>
          <w:lang w:val="es-ES"/>
        </w:rPr>
      </w:pPr>
    </w:p>
    <w:p w14:paraId="2190CFBD" w14:textId="77777777" w:rsidR="00983323" w:rsidRPr="00983323" w:rsidRDefault="00983323" w:rsidP="00983323">
      <w:pPr>
        <w:widowControl/>
        <w:autoSpaceDE/>
        <w:autoSpaceDN/>
        <w:jc w:val="both"/>
        <w:textAlignment w:val="auto"/>
        <w:rPr>
          <w:rFonts w:ascii="Arial" w:eastAsiaTheme="minorHAnsi" w:hAnsi="Arial" w:cs="Arial"/>
          <w:b/>
          <w:i/>
          <w:sz w:val="22"/>
          <w:szCs w:val="22"/>
          <w:lang w:val="es-ES"/>
        </w:rPr>
      </w:pPr>
      <w:r w:rsidRPr="00983323">
        <w:rPr>
          <w:rFonts w:ascii="Arial" w:eastAsiaTheme="minorHAnsi" w:hAnsi="Arial" w:cs="Arial"/>
          <w:b/>
          <w:i/>
          <w:sz w:val="22"/>
          <w:szCs w:val="22"/>
          <w:lang w:val="es-ES"/>
        </w:rPr>
        <w:t xml:space="preserve">Dirigido a las Partes, </w:t>
      </w:r>
      <w:r w:rsidRPr="00983323">
        <w:rPr>
          <w:rFonts w:ascii="Arial" w:eastAsiaTheme="minorHAnsi" w:hAnsi="Arial" w:cs="Arial"/>
          <w:b/>
          <w:bCs/>
          <w:i/>
          <w:iCs/>
          <w:sz w:val="22"/>
          <w:szCs w:val="22"/>
          <w:lang w:val="es-ES"/>
        </w:rPr>
        <w:t>organizaciones intergubernamentales y no gubernamentales</w:t>
      </w:r>
    </w:p>
    <w:p w14:paraId="4B7E4C04" w14:textId="77777777" w:rsidR="00983323" w:rsidRPr="00983323" w:rsidRDefault="00983323" w:rsidP="00983323">
      <w:pPr>
        <w:widowControl/>
        <w:autoSpaceDE/>
        <w:autoSpaceDN/>
        <w:jc w:val="both"/>
        <w:textAlignment w:val="auto"/>
        <w:rPr>
          <w:rFonts w:ascii="Arial" w:eastAsiaTheme="minorHAnsi" w:hAnsi="Arial" w:cs="Arial"/>
          <w:sz w:val="22"/>
          <w:szCs w:val="22"/>
          <w:lang w:val="es-ES"/>
        </w:rPr>
      </w:pPr>
    </w:p>
    <w:p w14:paraId="473724CC" w14:textId="77777777" w:rsidR="00983323" w:rsidRPr="00983323" w:rsidRDefault="00983323" w:rsidP="00310062">
      <w:pPr>
        <w:adjustRightInd w:val="0"/>
        <w:ind w:left="1080" w:hanging="1080"/>
        <w:jc w:val="both"/>
        <w:textAlignment w:val="auto"/>
        <w:rPr>
          <w:rFonts w:ascii="Arial" w:eastAsiaTheme="minorHAnsi" w:hAnsi="Arial" w:cs="Arial"/>
          <w:sz w:val="22"/>
          <w:szCs w:val="22"/>
          <w:lang w:val="es-ES"/>
        </w:rPr>
      </w:pPr>
      <w:r w:rsidRPr="00983323">
        <w:rPr>
          <w:rFonts w:ascii="Arial" w:eastAsiaTheme="minorHAnsi" w:hAnsi="Arial" w:cs="Arial"/>
          <w:sz w:val="22"/>
          <w:szCs w:val="22"/>
          <w:lang w:val="es-ES"/>
        </w:rPr>
        <w:t>14.BB</w:t>
      </w:r>
      <w:r w:rsidRPr="00983323">
        <w:rPr>
          <w:rFonts w:ascii="Arial" w:eastAsiaTheme="minorHAnsi" w:hAnsi="Arial" w:cs="Arial"/>
          <w:sz w:val="22"/>
          <w:szCs w:val="22"/>
          <w:lang w:val="es-ES"/>
        </w:rPr>
        <w:tab/>
      </w:r>
      <w:r w:rsidRPr="00983323">
        <w:rPr>
          <w:rFonts w:ascii="Arial" w:hAnsi="Arial" w:cs="Arial"/>
          <w:color w:val="333333"/>
          <w:sz w:val="22"/>
          <w:szCs w:val="22"/>
          <w:lang w:val="es-ES"/>
        </w:rPr>
        <w:t xml:space="preserve">Se insta </w:t>
      </w:r>
      <w:r w:rsidRPr="00983323">
        <w:rPr>
          <w:rFonts w:ascii="Arial" w:eastAsiaTheme="minorHAnsi" w:hAnsi="Arial" w:cs="Arial"/>
          <w:color w:val="000000"/>
          <w:sz w:val="22"/>
          <w:szCs w:val="22"/>
          <w:bdr w:val="none" w:sz="0" w:space="0" w:color="auto" w:frame="1"/>
          <w:lang w:val="es-ES"/>
        </w:rPr>
        <w:t xml:space="preserve">a las Partes y a las organizaciones </w:t>
      </w:r>
      <w:r w:rsidRPr="00983323">
        <w:rPr>
          <w:rFonts w:ascii="Arial" w:hAnsi="Arial" w:cs="Arial"/>
          <w:color w:val="333333"/>
          <w:sz w:val="22"/>
          <w:szCs w:val="22"/>
          <w:lang w:val="es-ES"/>
        </w:rPr>
        <w:t>intergubernamentales y no gubernamentales</w:t>
      </w:r>
      <w:r w:rsidRPr="00983323">
        <w:rPr>
          <w:rFonts w:ascii="Arial" w:eastAsiaTheme="minorHAnsi" w:hAnsi="Arial" w:cs="Arial"/>
          <w:sz w:val="22"/>
          <w:szCs w:val="22"/>
          <w:lang w:val="es-ES"/>
        </w:rPr>
        <w:t xml:space="preserve"> a que proporcionen a la Secretaría información sobre las actividades llevadas a cabo para la aplicación del </w:t>
      </w:r>
      <w:proofErr w:type="spellStart"/>
      <w:r w:rsidRPr="00983323">
        <w:rPr>
          <w:rFonts w:ascii="Arial" w:eastAsiaTheme="minorHAnsi" w:hAnsi="Arial" w:cs="Arial"/>
          <w:sz w:val="22"/>
          <w:szCs w:val="22"/>
          <w:lang w:val="es-ES"/>
        </w:rPr>
        <w:t>Vulture</w:t>
      </w:r>
      <w:proofErr w:type="spellEnd"/>
      <w:r w:rsidRPr="00983323">
        <w:rPr>
          <w:rFonts w:ascii="Arial" w:eastAsiaTheme="minorHAnsi" w:hAnsi="Arial" w:cs="Arial"/>
          <w:sz w:val="22"/>
          <w:szCs w:val="22"/>
          <w:lang w:val="es-ES"/>
        </w:rPr>
        <w:t xml:space="preserve"> </w:t>
      </w:r>
      <w:proofErr w:type="spellStart"/>
      <w:r w:rsidRPr="00983323">
        <w:rPr>
          <w:rFonts w:ascii="Arial" w:eastAsiaTheme="minorHAnsi" w:hAnsi="Arial" w:cs="Arial"/>
          <w:sz w:val="22"/>
          <w:szCs w:val="22"/>
          <w:lang w:val="es-ES"/>
        </w:rPr>
        <w:t>MsAP</w:t>
      </w:r>
      <w:proofErr w:type="spellEnd"/>
      <w:r w:rsidRPr="00983323">
        <w:rPr>
          <w:rFonts w:ascii="Arial" w:eastAsiaTheme="minorHAnsi" w:hAnsi="Arial" w:cs="Arial"/>
          <w:sz w:val="22"/>
          <w:szCs w:val="22"/>
          <w:lang w:val="es-ES"/>
        </w:rPr>
        <w:t xml:space="preserve"> con tiempo suficiente para que la Secretaría pueda presentar un informe en la 15.</w:t>
      </w:r>
      <w:r w:rsidRPr="00983323">
        <w:rPr>
          <w:rFonts w:ascii="Arial" w:eastAsiaTheme="minorHAnsi" w:hAnsi="Arial" w:cs="Arial"/>
          <w:sz w:val="22"/>
          <w:szCs w:val="22"/>
          <w:vertAlign w:val="superscript"/>
          <w:lang w:val="es-ES"/>
        </w:rPr>
        <w:t>ª</w:t>
      </w:r>
      <w:r w:rsidRPr="00983323">
        <w:rPr>
          <w:rFonts w:ascii="Arial" w:eastAsiaTheme="minorHAnsi" w:hAnsi="Arial" w:cs="Arial"/>
          <w:sz w:val="22"/>
          <w:szCs w:val="22"/>
          <w:lang w:val="es-ES"/>
        </w:rPr>
        <w:t xml:space="preserve">Conferencia de las Partes. </w:t>
      </w:r>
    </w:p>
    <w:p w14:paraId="298B7CCE" w14:textId="77777777" w:rsidR="00983323" w:rsidRPr="00983323" w:rsidRDefault="00983323" w:rsidP="00983323">
      <w:pPr>
        <w:widowControl/>
        <w:autoSpaceDE/>
        <w:autoSpaceDN/>
        <w:ind w:left="994" w:hanging="994"/>
        <w:contextualSpacing/>
        <w:textAlignment w:val="auto"/>
        <w:rPr>
          <w:rFonts w:ascii="Arial" w:eastAsiaTheme="minorHAnsi" w:hAnsi="Arial" w:cs="Arial"/>
          <w:iCs/>
          <w:sz w:val="22"/>
          <w:szCs w:val="22"/>
          <w:lang w:val="es-ES"/>
        </w:rPr>
      </w:pPr>
    </w:p>
    <w:p w14:paraId="673FA461" w14:textId="77777777" w:rsidR="00983323" w:rsidRPr="00983323" w:rsidRDefault="00983323" w:rsidP="00983323">
      <w:pPr>
        <w:widowControl/>
        <w:autoSpaceDE/>
        <w:autoSpaceDN/>
        <w:jc w:val="both"/>
        <w:textAlignment w:val="auto"/>
        <w:rPr>
          <w:rFonts w:ascii="Arial" w:eastAsiaTheme="minorHAnsi" w:hAnsi="Arial" w:cs="Arial"/>
          <w:b/>
          <w:bCs/>
          <w:i/>
          <w:iCs/>
          <w:sz w:val="22"/>
          <w:szCs w:val="22"/>
          <w:lang w:val="es-ES"/>
        </w:rPr>
      </w:pPr>
      <w:r w:rsidRPr="00983323">
        <w:rPr>
          <w:rFonts w:ascii="Arial" w:eastAsiaTheme="minorHAnsi" w:hAnsi="Arial" w:cs="Arial"/>
          <w:b/>
          <w:bCs/>
          <w:i/>
          <w:iCs/>
          <w:sz w:val="22"/>
          <w:szCs w:val="22"/>
          <w:lang w:val="es-ES"/>
        </w:rPr>
        <w:t>Dirigido a las Partes de África Occidental y a los Estados del área de distribución (</w:t>
      </w:r>
      <w:r w:rsidRPr="00983323">
        <w:rPr>
          <w:rFonts w:ascii="Arial" w:eastAsiaTheme="minorHAnsi" w:hAnsi="Arial" w:cs="Arial"/>
          <w:b/>
          <w:bCs/>
          <w:i/>
          <w:iCs/>
          <w:color w:val="231F20"/>
          <w:sz w:val="22"/>
          <w:szCs w:val="22"/>
          <w:shd w:val="clear" w:color="auto" w:fill="FFFFFF"/>
          <w:lang w:val="es-ES"/>
        </w:rPr>
        <w:t xml:space="preserve">Benín, Burkina Faso, Camerún, Chad, Costa de Marfil, Gambia, Ghana, Guinea, Guinea-Bisáu, Liberia, Malí, Níger, Nigeria, Senegal, Sierra Leona y Togo) </w:t>
      </w:r>
    </w:p>
    <w:p w14:paraId="0F920A43" w14:textId="77777777" w:rsidR="00983323" w:rsidRPr="00983323" w:rsidRDefault="00983323" w:rsidP="00983323">
      <w:pPr>
        <w:widowControl/>
        <w:autoSpaceDE/>
        <w:autoSpaceDN/>
        <w:textAlignment w:val="auto"/>
        <w:rPr>
          <w:rFonts w:ascii="Arial" w:eastAsiaTheme="minorHAnsi" w:hAnsi="Arial" w:cs="Arial"/>
          <w:b/>
          <w:i/>
          <w:sz w:val="22"/>
          <w:szCs w:val="22"/>
          <w:lang w:val="es-ES"/>
        </w:rPr>
      </w:pPr>
    </w:p>
    <w:p w14:paraId="70A06AD4" w14:textId="77777777" w:rsidR="00983323" w:rsidRDefault="00983323" w:rsidP="00310062">
      <w:pPr>
        <w:widowControl/>
        <w:autoSpaceDE/>
        <w:autoSpaceDN/>
        <w:ind w:left="1080" w:hanging="1080"/>
        <w:jc w:val="both"/>
        <w:textAlignment w:val="auto"/>
        <w:rPr>
          <w:rFonts w:ascii="Arial" w:eastAsiaTheme="minorHAnsi" w:hAnsi="Arial" w:cs="Arial"/>
          <w:sz w:val="22"/>
          <w:szCs w:val="22"/>
          <w:lang w:val="es-ES"/>
        </w:rPr>
      </w:pPr>
      <w:r w:rsidRPr="00983323">
        <w:rPr>
          <w:rFonts w:ascii="Arial" w:eastAsiaTheme="minorHAnsi" w:hAnsi="Arial" w:cs="Arial"/>
          <w:sz w:val="22"/>
          <w:szCs w:val="22"/>
          <w:lang w:val="es-ES"/>
        </w:rPr>
        <w:t xml:space="preserve">14.CC </w:t>
      </w:r>
      <w:r w:rsidRPr="00983323">
        <w:rPr>
          <w:rFonts w:ascii="Arial" w:eastAsiaTheme="minorHAnsi" w:hAnsi="Arial" w:cs="Arial"/>
          <w:sz w:val="22"/>
          <w:szCs w:val="22"/>
          <w:lang w:val="es-ES"/>
        </w:rPr>
        <w:tab/>
        <w:t>Se insta a los Estados del área de distribución en África Occidental del buitre dorsiblanco africano (</w:t>
      </w:r>
      <w:proofErr w:type="spellStart"/>
      <w:r w:rsidRPr="00983323">
        <w:rPr>
          <w:rFonts w:ascii="Arial" w:eastAsiaTheme="minorHAnsi" w:hAnsi="Arial" w:cs="Arial"/>
          <w:i/>
          <w:iCs/>
          <w:sz w:val="22"/>
          <w:szCs w:val="22"/>
          <w:lang w:val="es-ES"/>
        </w:rPr>
        <w:t>Gyps</w:t>
      </w:r>
      <w:proofErr w:type="spellEnd"/>
      <w:r w:rsidRPr="00983323">
        <w:rPr>
          <w:rFonts w:ascii="Arial" w:eastAsiaTheme="minorHAnsi" w:hAnsi="Arial" w:cs="Arial"/>
          <w:i/>
          <w:iCs/>
          <w:sz w:val="22"/>
          <w:szCs w:val="22"/>
          <w:lang w:val="es-ES"/>
        </w:rPr>
        <w:t xml:space="preserve"> </w:t>
      </w:r>
      <w:proofErr w:type="spellStart"/>
      <w:r w:rsidRPr="00983323">
        <w:rPr>
          <w:rFonts w:ascii="Arial" w:eastAsiaTheme="minorHAnsi" w:hAnsi="Arial" w:cs="Arial"/>
          <w:i/>
          <w:iCs/>
          <w:sz w:val="22"/>
          <w:szCs w:val="22"/>
          <w:lang w:val="es-ES"/>
        </w:rPr>
        <w:t>africanus</w:t>
      </w:r>
      <w:proofErr w:type="spellEnd"/>
      <w:r w:rsidRPr="00983323">
        <w:rPr>
          <w:rFonts w:ascii="Arial" w:eastAsiaTheme="minorHAnsi" w:hAnsi="Arial" w:cs="Arial"/>
          <w:sz w:val="22"/>
          <w:szCs w:val="22"/>
          <w:lang w:val="es-ES"/>
        </w:rPr>
        <w:t>), el buitre leonado (</w:t>
      </w:r>
      <w:proofErr w:type="spellStart"/>
      <w:r w:rsidRPr="00983323">
        <w:rPr>
          <w:rFonts w:ascii="Arial" w:eastAsiaTheme="minorHAnsi" w:hAnsi="Arial" w:cs="Arial"/>
          <w:i/>
          <w:iCs/>
          <w:sz w:val="22"/>
          <w:szCs w:val="22"/>
          <w:lang w:val="es-ES"/>
        </w:rPr>
        <w:t>Gyps</w:t>
      </w:r>
      <w:proofErr w:type="spellEnd"/>
      <w:r w:rsidRPr="00983323">
        <w:rPr>
          <w:rFonts w:ascii="Arial" w:eastAsiaTheme="minorHAnsi" w:hAnsi="Arial" w:cs="Arial"/>
          <w:i/>
          <w:iCs/>
          <w:sz w:val="22"/>
          <w:szCs w:val="22"/>
          <w:lang w:val="es-ES"/>
        </w:rPr>
        <w:t xml:space="preserve"> </w:t>
      </w:r>
      <w:proofErr w:type="spellStart"/>
      <w:r w:rsidRPr="00983323">
        <w:rPr>
          <w:rFonts w:ascii="Arial" w:eastAsiaTheme="minorHAnsi" w:hAnsi="Arial" w:cs="Arial"/>
          <w:i/>
          <w:iCs/>
          <w:sz w:val="22"/>
          <w:szCs w:val="22"/>
          <w:lang w:val="es-ES"/>
        </w:rPr>
        <w:t>fulvus</w:t>
      </w:r>
      <w:proofErr w:type="spellEnd"/>
      <w:r w:rsidRPr="00983323">
        <w:rPr>
          <w:rFonts w:ascii="Arial" w:eastAsiaTheme="minorHAnsi" w:hAnsi="Arial" w:cs="Arial"/>
          <w:sz w:val="22"/>
          <w:szCs w:val="22"/>
          <w:lang w:val="es-ES"/>
        </w:rPr>
        <w:t>), el buitre moteado (</w:t>
      </w:r>
      <w:proofErr w:type="spellStart"/>
      <w:r w:rsidRPr="00983323">
        <w:rPr>
          <w:rFonts w:ascii="Arial" w:eastAsiaTheme="minorHAnsi" w:hAnsi="Arial" w:cs="Arial"/>
          <w:i/>
          <w:iCs/>
          <w:sz w:val="22"/>
          <w:szCs w:val="22"/>
          <w:lang w:val="es-ES"/>
        </w:rPr>
        <w:t>Gyps</w:t>
      </w:r>
      <w:proofErr w:type="spellEnd"/>
      <w:r w:rsidRPr="00983323">
        <w:rPr>
          <w:rFonts w:ascii="Arial" w:eastAsiaTheme="minorHAnsi" w:hAnsi="Arial" w:cs="Arial"/>
          <w:i/>
          <w:iCs/>
          <w:sz w:val="22"/>
          <w:szCs w:val="22"/>
          <w:lang w:val="es-ES"/>
        </w:rPr>
        <w:t xml:space="preserve"> </w:t>
      </w:r>
      <w:proofErr w:type="spellStart"/>
      <w:r w:rsidRPr="00983323">
        <w:rPr>
          <w:rFonts w:ascii="Arial" w:eastAsiaTheme="minorHAnsi" w:hAnsi="Arial" w:cs="Arial"/>
          <w:i/>
          <w:iCs/>
          <w:sz w:val="22"/>
          <w:szCs w:val="22"/>
          <w:lang w:val="es-ES"/>
        </w:rPr>
        <w:t>rueppelli</w:t>
      </w:r>
      <w:proofErr w:type="spellEnd"/>
      <w:r w:rsidRPr="00983323">
        <w:rPr>
          <w:rFonts w:ascii="Arial" w:eastAsiaTheme="minorHAnsi" w:hAnsi="Arial" w:cs="Arial"/>
          <w:sz w:val="22"/>
          <w:szCs w:val="22"/>
          <w:lang w:val="es-ES"/>
        </w:rPr>
        <w:t>), el alimoche sombrío (</w:t>
      </w:r>
      <w:proofErr w:type="spellStart"/>
      <w:r w:rsidRPr="00983323">
        <w:rPr>
          <w:rFonts w:ascii="Arial" w:eastAsiaTheme="minorHAnsi" w:hAnsi="Arial" w:cs="Arial"/>
          <w:i/>
          <w:iCs/>
          <w:sz w:val="22"/>
          <w:szCs w:val="22"/>
          <w:lang w:val="es-ES"/>
        </w:rPr>
        <w:t>Necrosyrtes</w:t>
      </w:r>
      <w:proofErr w:type="spellEnd"/>
      <w:r w:rsidRPr="00983323">
        <w:rPr>
          <w:rFonts w:ascii="Arial" w:eastAsiaTheme="minorHAnsi" w:hAnsi="Arial" w:cs="Arial"/>
          <w:i/>
          <w:iCs/>
          <w:sz w:val="22"/>
          <w:szCs w:val="22"/>
          <w:lang w:val="es-ES"/>
        </w:rPr>
        <w:t xml:space="preserve"> </w:t>
      </w:r>
      <w:proofErr w:type="spellStart"/>
      <w:r w:rsidRPr="00983323">
        <w:rPr>
          <w:rFonts w:ascii="Arial" w:eastAsiaTheme="minorHAnsi" w:hAnsi="Arial" w:cs="Arial"/>
          <w:i/>
          <w:iCs/>
          <w:sz w:val="22"/>
          <w:szCs w:val="22"/>
          <w:lang w:val="es-ES"/>
        </w:rPr>
        <w:t>monachus</w:t>
      </w:r>
      <w:proofErr w:type="spellEnd"/>
      <w:r w:rsidRPr="00983323">
        <w:rPr>
          <w:rFonts w:ascii="Arial" w:eastAsiaTheme="minorHAnsi" w:hAnsi="Arial" w:cs="Arial"/>
          <w:sz w:val="22"/>
          <w:szCs w:val="22"/>
          <w:lang w:val="es-ES"/>
        </w:rPr>
        <w:t>), el alimoche común (</w:t>
      </w:r>
      <w:proofErr w:type="spellStart"/>
      <w:r w:rsidRPr="00983323">
        <w:rPr>
          <w:rFonts w:ascii="Arial" w:eastAsiaTheme="minorHAnsi" w:hAnsi="Arial" w:cs="Arial"/>
          <w:i/>
          <w:iCs/>
          <w:sz w:val="22"/>
          <w:szCs w:val="22"/>
          <w:lang w:val="es-ES"/>
        </w:rPr>
        <w:t>Neophron</w:t>
      </w:r>
      <w:proofErr w:type="spellEnd"/>
      <w:r w:rsidRPr="00983323">
        <w:rPr>
          <w:rFonts w:ascii="Arial" w:eastAsiaTheme="minorHAnsi" w:hAnsi="Arial" w:cs="Arial"/>
          <w:i/>
          <w:iCs/>
          <w:sz w:val="22"/>
          <w:szCs w:val="22"/>
          <w:lang w:val="es-ES"/>
        </w:rPr>
        <w:t xml:space="preserve"> </w:t>
      </w:r>
      <w:proofErr w:type="spellStart"/>
      <w:r w:rsidRPr="00983323">
        <w:rPr>
          <w:rFonts w:ascii="Arial" w:eastAsiaTheme="minorHAnsi" w:hAnsi="Arial" w:cs="Arial"/>
          <w:i/>
          <w:iCs/>
          <w:sz w:val="22"/>
          <w:szCs w:val="22"/>
          <w:lang w:val="es-ES"/>
        </w:rPr>
        <w:t>percnopterus</w:t>
      </w:r>
      <w:proofErr w:type="spellEnd"/>
      <w:r w:rsidRPr="00983323">
        <w:rPr>
          <w:rFonts w:ascii="Arial" w:eastAsiaTheme="minorHAnsi" w:hAnsi="Arial" w:cs="Arial"/>
          <w:sz w:val="22"/>
          <w:szCs w:val="22"/>
          <w:lang w:val="es-ES"/>
        </w:rPr>
        <w:t>), el buitre orejudo (</w:t>
      </w:r>
      <w:r w:rsidRPr="00983323">
        <w:rPr>
          <w:rFonts w:ascii="Arial" w:eastAsiaTheme="minorHAnsi" w:hAnsi="Arial" w:cs="Arial"/>
          <w:i/>
          <w:iCs/>
          <w:sz w:val="22"/>
          <w:szCs w:val="22"/>
          <w:lang w:val="es-ES"/>
        </w:rPr>
        <w:t xml:space="preserve">Torgos </w:t>
      </w:r>
      <w:proofErr w:type="spellStart"/>
      <w:r w:rsidRPr="00983323">
        <w:rPr>
          <w:rFonts w:ascii="Arial" w:eastAsiaTheme="minorHAnsi" w:hAnsi="Arial" w:cs="Arial"/>
          <w:i/>
          <w:iCs/>
          <w:sz w:val="22"/>
          <w:szCs w:val="22"/>
          <w:lang w:val="es-ES"/>
        </w:rPr>
        <w:t>tracheliotos</w:t>
      </w:r>
      <w:proofErr w:type="spellEnd"/>
      <w:r w:rsidRPr="00983323">
        <w:rPr>
          <w:rFonts w:ascii="Arial" w:eastAsiaTheme="minorHAnsi" w:hAnsi="Arial" w:cs="Arial"/>
          <w:sz w:val="22"/>
          <w:szCs w:val="22"/>
          <w:lang w:val="es-ES"/>
        </w:rPr>
        <w:t>) y el buitre cabeciblanco (</w:t>
      </w:r>
      <w:proofErr w:type="spellStart"/>
      <w:r w:rsidRPr="00983323">
        <w:rPr>
          <w:rFonts w:ascii="Arial" w:eastAsiaTheme="minorHAnsi" w:hAnsi="Arial" w:cs="Arial"/>
          <w:i/>
          <w:iCs/>
          <w:sz w:val="22"/>
          <w:szCs w:val="22"/>
          <w:lang w:val="es-ES"/>
        </w:rPr>
        <w:t>Trigonoceps</w:t>
      </w:r>
      <w:proofErr w:type="spellEnd"/>
      <w:r w:rsidRPr="00983323">
        <w:rPr>
          <w:rFonts w:ascii="Arial" w:eastAsiaTheme="minorHAnsi" w:hAnsi="Arial" w:cs="Arial"/>
          <w:i/>
          <w:iCs/>
          <w:sz w:val="22"/>
          <w:szCs w:val="22"/>
          <w:lang w:val="es-ES"/>
        </w:rPr>
        <w:t xml:space="preserve"> </w:t>
      </w:r>
      <w:proofErr w:type="spellStart"/>
      <w:r w:rsidRPr="00983323">
        <w:rPr>
          <w:rFonts w:ascii="Arial" w:eastAsiaTheme="minorHAnsi" w:hAnsi="Arial" w:cs="Arial"/>
          <w:i/>
          <w:iCs/>
          <w:sz w:val="22"/>
          <w:szCs w:val="22"/>
          <w:lang w:val="es-ES"/>
        </w:rPr>
        <w:t>occipitalis</w:t>
      </w:r>
      <w:proofErr w:type="spellEnd"/>
      <w:r w:rsidRPr="00983323">
        <w:rPr>
          <w:rFonts w:ascii="Arial" w:eastAsiaTheme="minorHAnsi" w:hAnsi="Arial" w:cs="Arial"/>
          <w:sz w:val="22"/>
          <w:szCs w:val="22"/>
          <w:lang w:val="es-ES"/>
        </w:rPr>
        <w:t>) a:</w:t>
      </w:r>
    </w:p>
    <w:p w14:paraId="750E5EFA" w14:textId="77777777" w:rsidR="00310062" w:rsidRPr="00983323" w:rsidRDefault="00310062" w:rsidP="00310062">
      <w:pPr>
        <w:widowControl/>
        <w:autoSpaceDE/>
        <w:autoSpaceDN/>
        <w:ind w:left="1080" w:hanging="1080"/>
        <w:jc w:val="both"/>
        <w:textAlignment w:val="auto"/>
        <w:rPr>
          <w:rFonts w:ascii="Arial" w:eastAsiaTheme="minorHAnsi" w:hAnsi="Arial" w:cs="Arial"/>
          <w:sz w:val="22"/>
          <w:szCs w:val="22"/>
          <w:lang w:val="es-ES"/>
        </w:rPr>
      </w:pPr>
    </w:p>
    <w:p w14:paraId="552F3396" w14:textId="77777777" w:rsidR="00983323" w:rsidRPr="00983323" w:rsidRDefault="00983323" w:rsidP="00310062">
      <w:pPr>
        <w:widowControl/>
        <w:numPr>
          <w:ilvl w:val="1"/>
          <w:numId w:val="2"/>
        </w:numPr>
        <w:autoSpaceDE/>
        <w:autoSpaceDN/>
        <w:ind w:left="1620" w:hanging="540"/>
        <w:contextualSpacing/>
        <w:jc w:val="both"/>
        <w:textAlignment w:val="auto"/>
        <w:rPr>
          <w:rFonts w:ascii="Arial" w:eastAsiaTheme="minorHAnsi" w:hAnsi="Arial" w:cs="Arial"/>
          <w:color w:val="231F20"/>
          <w:sz w:val="22"/>
          <w:szCs w:val="22"/>
          <w:shd w:val="clear" w:color="auto" w:fill="FFFFFF"/>
          <w:lang w:val="es-ES"/>
        </w:rPr>
      </w:pPr>
      <w:r w:rsidRPr="00983323">
        <w:rPr>
          <w:rFonts w:ascii="Arial" w:eastAsiaTheme="minorHAnsi" w:hAnsi="Arial" w:cs="Arial"/>
          <w:color w:val="231F20"/>
          <w:sz w:val="22"/>
          <w:szCs w:val="22"/>
          <w:shd w:val="clear" w:color="auto" w:fill="FFFFFF"/>
          <w:lang w:val="es-ES"/>
        </w:rPr>
        <w:t xml:space="preserve"> Garantizar que las leyes nacionales para proteger a los buitres -en particular, a todas las especies de buitres incluidas en el Apéndice I- sean </w:t>
      </w:r>
      <w:r w:rsidRPr="00983323">
        <w:rPr>
          <w:rFonts w:ascii="Arial" w:eastAsiaTheme="minorHAnsi" w:hAnsi="Arial" w:cs="Arial"/>
          <w:color w:val="231F20"/>
          <w:sz w:val="22"/>
          <w:szCs w:val="22"/>
          <w:shd w:val="clear" w:color="auto" w:fill="FFFFFF"/>
          <w:lang w:val="es-ES"/>
        </w:rPr>
        <w:lastRenderedPageBreak/>
        <w:t>aplicadas de forma efectiva por fuerzas policiales debidamente formadas y equipadas, y garantizar que las sanciones por incumplimiento se apliquen de forma efectiva y sean suficientes para disuadir de las actividades ilegales;</w:t>
      </w:r>
    </w:p>
    <w:p w14:paraId="0EDAE2FA" w14:textId="77777777" w:rsidR="00983323" w:rsidRPr="00983323" w:rsidRDefault="00983323" w:rsidP="00310062">
      <w:pPr>
        <w:widowControl/>
        <w:autoSpaceDE/>
        <w:autoSpaceDN/>
        <w:ind w:left="1620" w:hanging="540"/>
        <w:contextualSpacing/>
        <w:jc w:val="both"/>
        <w:textAlignment w:val="auto"/>
        <w:rPr>
          <w:rFonts w:ascii="Arial" w:eastAsiaTheme="minorHAnsi" w:hAnsi="Arial" w:cs="Arial"/>
          <w:color w:val="231F20"/>
          <w:sz w:val="22"/>
          <w:szCs w:val="22"/>
          <w:shd w:val="clear" w:color="auto" w:fill="FFFFFF"/>
          <w:lang w:val="es-ES"/>
        </w:rPr>
      </w:pPr>
    </w:p>
    <w:p w14:paraId="7E42505B" w14:textId="77777777" w:rsidR="00983323" w:rsidRPr="00983323" w:rsidRDefault="00983323" w:rsidP="00310062">
      <w:pPr>
        <w:widowControl/>
        <w:numPr>
          <w:ilvl w:val="1"/>
          <w:numId w:val="2"/>
        </w:numPr>
        <w:autoSpaceDE/>
        <w:autoSpaceDN/>
        <w:ind w:left="1620" w:hanging="540"/>
        <w:contextualSpacing/>
        <w:jc w:val="both"/>
        <w:textAlignment w:val="auto"/>
        <w:rPr>
          <w:rFonts w:ascii="Arial" w:eastAsiaTheme="minorHAnsi" w:hAnsi="Arial" w:cs="Arial"/>
          <w:color w:val="231F20"/>
          <w:sz w:val="22"/>
          <w:szCs w:val="22"/>
          <w:shd w:val="clear" w:color="auto" w:fill="FFFFFF"/>
          <w:lang w:val="es-ES"/>
        </w:rPr>
      </w:pPr>
      <w:r w:rsidRPr="00983323">
        <w:rPr>
          <w:rFonts w:ascii="Arial" w:eastAsiaTheme="minorHAnsi" w:hAnsi="Arial" w:cs="Arial"/>
          <w:color w:val="231F20"/>
          <w:sz w:val="22"/>
          <w:szCs w:val="22"/>
          <w:shd w:val="clear" w:color="auto" w:fill="FFFFFF"/>
          <w:lang w:val="es-ES"/>
        </w:rPr>
        <w:t>colaborar con expertos y organizaciones pertinentes y con las partes interesadas para identificar y aplicar estrategias de reducción de la demanda de buitres y de sus partes y derivados, incluidos el uso y el consumo basados en creencias y, cuando proceda, ampliar la aplicación de las estrategias que hayan tenido éxito;</w:t>
      </w:r>
    </w:p>
    <w:p w14:paraId="5111B476" w14:textId="77777777" w:rsidR="00983323" w:rsidRPr="00983323" w:rsidRDefault="00983323" w:rsidP="00310062">
      <w:pPr>
        <w:widowControl/>
        <w:autoSpaceDE/>
        <w:autoSpaceDN/>
        <w:ind w:left="1620" w:hanging="540"/>
        <w:contextualSpacing/>
        <w:textAlignment w:val="auto"/>
        <w:rPr>
          <w:rFonts w:ascii="Arial" w:eastAsiaTheme="minorHAnsi" w:hAnsi="Arial" w:cs="Arial"/>
          <w:color w:val="231F20"/>
          <w:sz w:val="22"/>
          <w:szCs w:val="22"/>
          <w:shd w:val="clear" w:color="auto" w:fill="FFFFFF"/>
          <w:lang w:val="es-ES"/>
        </w:rPr>
      </w:pPr>
    </w:p>
    <w:p w14:paraId="2F44E105" w14:textId="77777777" w:rsidR="00983323" w:rsidRPr="00983323" w:rsidRDefault="00983323" w:rsidP="00310062">
      <w:pPr>
        <w:widowControl/>
        <w:numPr>
          <w:ilvl w:val="1"/>
          <w:numId w:val="2"/>
        </w:numPr>
        <w:autoSpaceDE/>
        <w:autoSpaceDN/>
        <w:ind w:left="1620" w:hanging="540"/>
        <w:contextualSpacing/>
        <w:jc w:val="both"/>
        <w:textAlignment w:val="auto"/>
        <w:rPr>
          <w:rFonts w:ascii="Arial" w:eastAsiaTheme="minorHAnsi" w:hAnsi="Arial" w:cs="Arial"/>
          <w:sz w:val="22"/>
          <w:szCs w:val="22"/>
          <w:lang w:val="es-ES"/>
        </w:rPr>
      </w:pPr>
      <w:r w:rsidRPr="00983323">
        <w:rPr>
          <w:rFonts w:ascii="Arial" w:eastAsiaTheme="minorHAnsi" w:hAnsi="Arial" w:cs="Arial"/>
          <w:color w:val="231F20"/>
          <w:sz w:val="22"/>
          <w:szCs w:val="22"/>
          <w:shd w:val="clear" w:color="auto" w:fill="FFFFFF"/>
          <w:lang w:val="es-ES"/>
        </w:rPr>
        <w:t>colaborar con las organizaciones pertinentes para iniciar campañas de concienciación pública a gran escala, a escala regional, nacional y local sobre las repercusiones del uso de partes del cuerpo de los buitres basado en creencias, incluida la importancia de estas especies para la ecología y la salud humana, y la legislación nacional e internacional vigente que protege a los buitres;</w:t>
      </w:r>
    </w:p>
    <w:p w14:paraId="0079419B" w14:textId="77777777" w:rsidR="00983323" w:rsidRPr="00983323" w:rsidRDefault="00983323" w:rsidP="00310062">
      <w:pPr>
        <w:widowControl/>
        <w:autoSpaceDE/>
        <w:autoSpaceDN/>
        <w:ind w:left="1620" w:hanging="540"/>
        <w:jc w:val="both"/>
        <w:textAlignment w:val="auto"/>
        <w:rPr>
          <w:rFonts w:ascii="Arial" w:eastAsiaTheme="minorHAnsi" w:hAnsi="Arial" w:cs="Arial"/>
          <w:sz w:val="22"/>
          <w:szCs w:val="22"/>
          <w:lang w:val="es-ES"/>
        </w:rPr>
      </w:pPr>
    </w:p>
    <w:p w14:paraId="46D6810B" w14:textId="77777777" w:rsidR="00983323" w:rsidRPr="00983323" w:rsidRDefault="00983323" w:rsidP="00310062">
      <w:pPr>
        <w:widowControl/>
        <w:numPr>
          <w:ilvl w:val="1"/>
          <w:numId w:val="2"/>
        </w:numPr>
        <w:autoSpaceDE/>
        <w:autoSpaceDN/>
        <w:ind w:left="1620" w:hanging="540"/>
        <w:contextualSpacing/>
        <w:jc w:val="both"/>
        <w:textAlignment w:val="auto"/>
        <w:rPr>
          <w:rFonts w:ascii="Arial" w:eastAsiaTheme="minorHAnsi" w:hAnsi="Arial" w:cs="Arial"/>
          <w:sz w:val="22"/>
          <w:szCs w:val="22"/>
          <w:lang w:val="es-ES"/>
        </w:rPr>
      </w:pPr>
      <w:r w:rsidRPr="00983323">
        <w:rPr>
          <w:rFonts w:ascii="Arial" w:eastAsiaTheme="minorHAnsi" w:hAnsi="Arial" w:cs="Arial"/>
          <w:color w:val="231F20"/>
          <w:sz w:val="22"/>
          <w:szCs w:val="22"/>
          <w:shd w:val="clear" w:color="auto" w:fill="FFFFFF"/>
          <w:lang w:val="es-ES"/>
        </w:rPr>
        <w:t>proporcionar información a la Secretaría de la CMS sobre la aplicación de la presente Decisión para ayudarla a informar a la 15.</w:t>
      </w:r>
      <w:r w:rsidRPr="00983323">
        <w:rPr>
          <w:rFonts w:ascii="Arial" w:eastAsiaTheme="minorHAnsi" w:hAnsi="Arial" w:cs="Arial"/>
          <w:color w:val="231F20"/>
          <w:sz w:val="22"/>
          <w:szCs w:val="22"/>
          <w:shd w:val="clear" w:color="auto" w:fill="FFFFFF"/>
          <w:vertAlign w:val="superscript"/>
          <w:lang w:val="es-ES"/>
        </w:rPr>
        <w:t>ª</w:t>
      </w:r>
      <w:r w:rsidRPr="00983323">
        <w:rPr>
          <w:rFonts w:ascii="Arial" w:eastAsiaTheme="minorHAnsi" w:hAnsi="Arial" w:cs="Arial"/>
          <w:color w:val="231F20"/>
          <w:sz w:val="22"/>
          <w:szCs w:val="22"/>
          <w:shd w:val="clear" w:color="auto" w:fill="FFFFFF"/>
          <w:lang w:val="es-ES"/>
        </w:rPr>
        <w:t xml:space="preserve"> reunión de la COP.</w:t>
      </w:r>
    </w:p>
    <w:p w14:paraId="2E216382" w14:textId="77777777" w:rsidR="00983323" w:rsidRPr="00983323" w:rsidRDefault="00983323" w:rsidP="00983323">
      <w:pPr>
        <w:widowControl/>
        <w:autoSpaceDE/>
        <w:autoSpaceDN/>
        <w:ind w:left="1440"/>
        <w:contextualSpacing/>
        <w:jc w:val="both"/>
        <w:textAlignment w:val="auto"/>
        <w:rPr>
          <w:rFonts w:ascii="Arial" w:eastAsiaTheme="minorHAnsi" w:hAnsi="Arial" w:cs="Arial"/>
          <w:color w:val="231F20"/>
          <w:sz w:val="22"/>
          <w:szCs w:val="22"/>
          <w:shd w:val="clear" w:color="auto" w:fill="FFFFFF"/>
          <w:lang w:val="es-ES"/>
        </w:rPr>
      </w:pPr>
    </w:p>
    <w:p w14:paraId="51F32F5E" w14:textId="77777777" w:rsidR="00983323" w:rsidRPr="00983323" w:rsidRDefault="00983323" w:rsidP="00983323">
      <w:pPr>
        <w:widowControl/>
        <w:autoSpaceDE/>
        <w:autoSpaceDN/>
        <w:jc w:val="both"/>
        <w:textAlignment w:val="auto"/>
        <w:rPr>
          <w:rFonts w:ascii="Arial" w:eastAsiaTheme="minorHAnsi" w:hAnsi="Arial" w:cs="Arial"/>
          <w:b/>
          <w:i/>
          <w:color w:val="231F20"/>
          <w:sz w:val="22"/>
          <w:szCs w:val="22"/>
          <w:shd w:val="clear" w:color="auto" w:fill="FFFFFF"/>
          <w:lang w:val="es-ES"/>
        </w:rPr>
      </w:pPr>
      <w:r w:rsidRPr="00983323">
        <w:rPr>
          <w:rFonts w:ascii="Arial" w:eastAsiaTheme="minorHAnsi" w:hAnsi="Arial" w:cs="Arial"/>
          <w:b/>
          <w:bCs/>
          <w:i/>
          <w:iCs/>
          <w:sz w:val="22"/>
          <w:szCs w:val="22"/>
          <w:lang w:val="es-ES"/>
        </w:rPr>
        <w:t xml:space="preserve">Dirigido a los </w:t>
      </w:r>
      <w:r w:rsidRPr="00983323">
        <w:rPr>
          <w:rFonts w:ascii="Arial" w:eastAsiaTheme="minorHAnsi" w:hAnsi="Arial" w:cs="Arial"/>
          <w:b/>
          <w:i/>
          <w:color w:val="231F20"/>
          <w:sz w:val="22"/>
          <w:szCs w:val="22"/>
          <w:shd w:val="clear" w:color="auto" w:fill="FFFFFF"/>
          <w:lang w:val="es-ES"/>
        </w:rPr>
        <w:t>Estados del área de distribución del África Occidental</w:t>
      </w:r>
      <w:r w:rsidRPr="00983323">
        <w:rPr>
          <w:rFonts w:ascii="Arial" w:eastAsiaTheme="minorHAnsi" w:hAnsi="Arial" w:cs="Arial"/>
          <w:b/>
          <w:bCs/>
          <w:i/>
          <w:iCs/>
          <w:sz w:val="22"/>
          <w:szCs w:val="22"/>
          <w:lang w:val="es-ES"/>
        </w:rPr>
        <w:t xml:space="preserve"> </w:t>
      </w:r>
      <w:r w:rsidRPr="00983323">
        <w:rPr>
          <w:rFonts w:ascii="Arial" w:eastAsiaTheme="minorHAnsi" w:hAnsi="Arial" w:cs="Arial"/>
          <w:b/>
          <w:i/>
          <w:color w:val="231F20"/>
          <w:sz w:val="22"/>
          <w:szCs w:val="22"/>
          <w:shd w:val="clear" w:color="auto" w:fill="FFFFFF"/>
          <w:lang w:val="es-ES"/>
        </w:rPr>
        <w:t>y a las organizaciones intergubernamentales y no gubernamentales pertinentes</w:t>
      </w:r>
    </w:p>
    <w:p w14:paraId="796D0B60" w14:textId="77777777" w:rsidR="00983323" w:rsidRPr="00983323" w:rsidRDefault="00983323" w:rsidP="00983323">
      <w:pPr>
        <w:widowControl/>
        <w:autoSpaceDE/>
        <w:autoSpaceDN/>
        <w:jc w:val="both"/>
        <w:textAlignment w:val="auto"/>
        <w:rPr>
          <w:rFonts w:ascii="Arial" w:eastAsiaTheme="minorHAnsi" w:hAnsi="Arial" w:cs="Arial"/>
          <w:sz w:val="22"/>
          <w:szCs w:val="22"/>
          <w:lang w:val="es-ES"/>
        </w:rPr>
      </w:pPr>
    </w:p>
    <w:p w14:paraId="675A6718" w14:textId="77777777" w:rsidR="00983323" w:rsidRPr="00983323" w:rsidRDefault="00983323" w:rsidP="00310062">
      <w:pPr>
        <w:widowControl/>
        <w:autoSpaceDE/>
        <w:autoSpaceDN/>
        <w:ind w:left="1080" w:hanging="1080"/>
        <w:jc w:val="both"/>
        <w:textAlignment w:val="auto"/>
        <w:rPr>
          <w:rFonts w:ascii="Arial" w:eastAsiaTheme="minorHAnsi" w:hAnsi="Arial" w:cs="Arial"/>
          <w:color w:val="231F20"/>
          <w:sz w:val="22"/>
          <w:szCs w:val="22"/>
          <w:shd w:val="clear" w:color="auto" w:fill="FFFFFF"/>
          <w:lang w:val="es-ES"/>
        </w:rPr>
      </w:pPr>
      <w:r w:rsidRPr="00983323">
        <w:rPr>
          <w:rFonts w:ascii="Arial" w:eastAsiaTheme="minorHAnsi" w:hAnsi="Arial" w:cs="Arial"/>
          <w:sz w:val="22"/>
          <w:szCs w:val="22"/>
          <w:lang w:val="es-ES"/>
        </w:rPr>
        <w:t xml:space="preserve">14.DD </w:t>
      </w:r>
      <w:r w:rsidRPr="00983323">
        <w:rPr>
          <w:rFonts w:ascii="Arial" w:eastAsiaTheme="minorHAnsi" w:hAnsi="Arial" w:cs="Arial"/>
          <w:sz w:val="22"/>
          <w:szCs w:val="22"/>
          <w:lang w:val="es-ES"/>
        </w:rPr>
        <w:tab/>
        <w:t xml:space="preserve">Se anima a los </w:t>
      </w:r>
      <w:r w:rsidRPr="00983323">
        <w:rPr>
          <w:rFonts w:ascii="Arial" w:eastAsiaTheme="minorHAnsi" w:hAnsi="Arial" w:cs="Arial"/>
          <w:color w:val="231F20"/>
          <w:sz w:val="22"/>
          <w:szCs w:val="22"/>
          <w:shd w:val="clear" w:color="auto" w:fill="FFFFFF"/>
          <w:lang w:val="es-ES"/>
        </w:rPr>
        <w:t xml:space="preserve">Estados del área de distribución de África Occidental y a las organizaciones intergubernamentales y no gubernamentales pertinentes a: </w:t>
      </w:r>
    </w:p>
    <w:p w14:paraId="1232026D" w14:textId="77777777" w:rsidR="00983323" w:rsidRPr="00983323" w:rsidRDefault="00983323" w:rsidP="00983323">
      <w:pPr>
        <w:widowControl/>
        <w:autoSpaceDE/>
        <w:autoSpaceDN/>
        <w:jc w:val="both"/>
        <w:textAlignment w:val="auto"/>
        <w:rPr>
          <w:rFonts w:ascii="Arial" w:eastAsiaTheme="minorHAnsi" w:hAnsi="Arial" w:cs="Arial"/>
          <w:color w:val="231F20"/>
          <w:sz w:val="22"/>
          <w:szCs w:val="22"/>
          <w:shd w:val="clear" w:color="auto" w:fill="FFFFFF"/>
          <w:lang w:val="es-ES"/>
        </w:rPr>
      </w:pPr>
    </w:p>
    <w:p w14:paraId="2393C8FF" w14:textId="77777777" w:rsidR="00983323" w:rsidRPr="00983323" w:rsidRDefault="00983323" w:rsidP="00310062">
      <w:pPr>
        <w:widowControl/>
        <w:numPr>
          <w:ilvl w:val="1"/>
          <w:numId w:val="4"/>
        </w:numPr>
        <w:autoSpaceDE/>
        <w:autoSpaceDN/>
        <w:ind w:left="1620" w:hanging="540"/>
        <w:contextualSpacing/>
        <w:jc w:val="both"/>
        <w:textAlignment w:val="auto"/>
        <w:rPr>
          <w:rFonts w:ascii="Arial" w:eastAsiaTheme="minorHAnsi" w:hAnsi="Arial" w:cs="Arial"/>
          <w:color w:val="231F20"/>
          <w:sz w:val="22"/>
          <w:szCs w:val="22"/>
          <w:shd w:val="clear" w:color="auto" w:fill="FFFFFF"/>
          <w:lang w:val="es-ES"/>
        </w:rPr>
      </w:pPr>
      <w:r w:rsidRPr="00983323">
        <w:rPr>
          <w:rFonts w:ascii="Arial" w:eastAsiaTheme="minorHAnsi" w:hAnsi="Arial" w:cs="Arial"/>
          <w:color w:val="231F20"/>
          <w:sz w:val="22"/>
          <w:szCs w:val="22"/>
          <w:shd w:val="clear" w:color="auto" w:fill="FFFFFF"/>
          <w:lang w:val="es-ES"/>
        </w:rPr>
        <w:t xml:space="preserve">apoyar la finalización y aplicación del </w:t>
      </w:r>
      <w:bookmarkStart w:id="2" w:name="_Hlk125540938"/>
      <w:r w:rsidRPr="00983323">
        <w:rPr>
          <w:rFonts w:ascii="Arial" w:eastAsiaTheme="minorHAnsi" w:hAnsi="Arial" w:cs="Arial"/>
          <w:color w:val="231F20"/>
          <w:sz w:val="22"/>
          <w:szCs w:val="22"/>
          <w:shd w:val="clear" w:color="auto" w:fill="FFFFFF"/>
          <w:lang w:val="es-ES"/>
        </w:rPr>
        <w:t>Plan de Acción para la Conservación de los Buitres de África Occidental 2023-2043</w:t>
      </w:r>
      <w:bookmarkEnd w:id="2"/>
      <w:r w:rsidRPr="00983323">
        <w:rPr>
          <w:rFonts w:ascii="Arial" w:eastAsiaTheme="minorHAnsi" w:hAnsi="Arial" w:cs="Arial"/>
          <w:color w:val="231F20"/>
          <w:sz w:val="22"/>
          <w:szCs w:val="22"/>
          <w:shd w:val="clear" w:color="auto" w:fill="FFFFFF"/>
          <w:lang w:val="es-ES"/>
        </w:rPr>
        <w:t xml:space="preserve"> y colaborar en la conservación y restauración de los buitres de África Occidental; </w:t>
      </w:r>
    </w:p>
    <w:p w14:paraId="7792975B" w14:textId="77777777" w:rsidR="00983323" w:rsidRPr="00983323" w:rsidRDefault="00983323" w:rsidP="00310062">
      <w:pPr>
        <w:widowControl/>
        <w:autoSpaceDE/>
        <w:autoSpaceDN/>
        <w:ind w:left="1620" w:hanging="540"/>
        <w:contextualSpacing/>
        <w:jc w:val="both"/>
        <w:textAlignment w:val="auto"/>
        <w:rPr>
          <w:rFonts w:ascii="Arial" w:eastAsiaTheme="minorHAnsi" w:hAnsi="Arial" w:cs="Arial"/>
          <w:color w:val="231F20"/>
          <w:sz w:val="22"/>
          <w:szCs w:val="22"/>
          <w:shd w:val="clear" w:color="auto" w:fill="FFFFFF"/>
          <w:lang w:val="es-ES"/>
        </w:rPr>
      </w:pPr>
    </w:p>
    <w:p w14:paraId="4DC56B27" w14:textId="77777777" w:rsidR="00983323" w:rsidRPr="00983323" w:rsidRDefault="00983323" w:rsidP="00310062">
      <w:pPr>
        <w:widowControl/>
        <w:numPr>
          <w:ilvl w:val="1"/>
          <w:numId w:val="4"/>
        </w:numPr>
        <w:autoSpaceDE/>
        <w:autoSpaceDN/>
        <w:ind w:left="1620" w:hanging="540"/>
        <w:contextualSpacing/>
        <w:jc w:val="both"/>
        <w:textAlignment w:val="auto"/>
        <w:rPr>
          <w:rFonts w:ascii="Arial" w:eastAsiaTheme="minorHAnsi" w:hAnsi="Arial" w:cs="Arial"/>
          <w:color w:val="231F20"/>
          <w:sz w:val="22"/>
          <w:szCs w:val="22"/>
          <w:shd w:val="clear" w:color="auto" w:fill="FFFFFF"/>
          <w:lang w:val="es-ES"/>
        </w:rPr>
      </w:pPr>
      <w:r w:rsidRPr="00983323">
        <w:rPr>
          <w:rFonts w:ascii="Arial" w:eastAsiaTheme="minorHAnsi" w:hAnsi="Arial" w:cs="Arial"/>
          <w:color w:val="231F20"/>
          <w:sz w:val="22"/>
          <w:szCs w:val="22"/>
          <w:shd w:val="clear" w:color="auto" w:fill="FFFFFF"/>
          <w:lang w:val="es-ES"/>
        </w:rPr>
        <w:t xml:space="preserve">reunir e intercambiar conocimientos científicos y experiencia sobre los buitres de África Occidental, haciendo especial hincapié en: i) documentar la escala del comercio interno de buitres mediante el estudio de los mercados y la identificación de las rutas comerciales nacionales; </w:t>
      </w:r>
      <w:proofErr w:type="spellStart"/>
      <w:r w:rsidRPr="00983323">
        <w:rPr>
          <w:rFonts w:ascii="Arial" w:eastAsiaTheme="minorHAnsi" w:hAnsi="Arial" w:cs="Arial"/>
          <w:color w:val="231F20"/>
          <w:sz w:val="22"/>
          <w:szCs w:val="22"/>
          <w:shd w:val="clear" w:color="auto" w:fill="FFFFFF"/>
          <w:lang w:val="es-ES"/>
        </w:rPr>
        <w:t>ii</w:t>
      </w:r>
      <w:proofErr w:type="spellEnd"/>
      <w:r w:rsidRPr="00983323">
        <w:rPr>
          <w:rFonts w:ascii="Arial" w:eastAsiaTheme="minorHAnsi" w:hAnsi="Arial" w:cs="Arial"/>
          <w:color w:val="231F20"/>
          <w:sz w:val="22"/>
          <w:szCs w:val="22"/>
          <w:shd w:val="clear" w:color="auto" w:fill="FFFFFF"/>
          <w:lang w:val="es-ES"/>
        </w:rPr>
        <w:t xml:space="preserve">) caracterizar los vínculos entre el envenenamiento y el comercio de buitres, y contribuir a la base de datos sobre envenenamiento de fauna salvaje africana; y </w:t>
      </w:r>
      <w:proofErr w:type="spellStart"/>
      <w:r w:rsidRPr="00983323">
        <w:rPr>
          <w:rFonts w:ascii="Arial" w:eastAsiaTheme="minorHAnsi" w:hAnsi="Arial" w:cs="Arial"/>
          <w:color w:val="231F20"/>
          <w:sz w:val="22"/>
          <w:szCs w:val="22"/>
          <w:shd w:val="clear" w:color="auto" w:fill="FFFFFF"/>
          <w:lang w:val="es-ES"/>
        </w:rPr>
        <w:t>iii</w:t>
      </w:r>
      <w:proofErr w:type="spellEnd"/>
      <w:r w:rsidRPr="00983323">
        <w:rPr>
          <w:rFonts w:ascii="Arial" w:eastAsiaTheme="minorHAnsi" w:hAnsi="Arial" w:cs="Arial"/>
          <w:color w:val="231F20"/>
          <w:sz w:val="22"/>
          <w:szCs w:val="22"/>
          <w:shd w:val="clear" w:color="auto" w:fill="FFFFFF"/>
          <w:lang w:val="es-ES"/>
        </w:rPr>
        <w:t xml:space="preserve">) actualizar la información sobre el estado de conservación y población de los buitres de África Occidental, y en particular al </w:t>
      </w:r>
      <w:proofErr w:type="spellStart"/>
      <w:r w:rsidRPr="00983323">
        <w:rPr>
          <w:rFonts w:ascii="Arial" w:eastAsiaTheme="minorHAnsi" w:hAnsi="Arial" w:cs="Arial"/>
          <w:color w:val="231F20"/>
          <w:sz w:val="22"/>
          <w:szCs w:val="22"/>
          <w:lang w:val="es-ES"/>
        </w:rPr>
        <w:t>Buitre</w:t>
      </w:r>
      <w:r w:rsidRPr="00983323">
        <w:rPr>
          <w:rFonts w:ascii="Arial" w:eastAsiaTheme="minorHAnsi" w:hAnsi="Arial" w:cs="Arial"/>
          <w:color w:val="231F20"/>
          <w:sz w:val="22"/>
          <w:szCs w:val="22"/>
          <w:shd w:val="clear" w:color="auto" w:fill="FFFFFF"/>
          <w:lang w:val="es-ES"/>
        </w:rPr>
        <w:t>dorsiblanco</w:t>
      </w:r>
      <w:proofErr w:type="spellEnd"/>
      <w:r w:rsidRPr="00983323">
        <w:rPr>
          <w:rFonts w:ascii="Arial" w:eastAsiaTheme="minorHAnsi" w:hAnsi="Arial" w:cs="Arial"/>
          <w:color w:val="231F20"/>
          <w:sz w:val="22"/>
          <w:szCs w:val="22"/>
          <w:shd w:val="clear" w:color="auto" w:fill="FFFFFF"/>
          <w:lang w:val="es-ES"/>
        </w:rPr>
        <w:t xml:space="preserve"> africano (</w:t>
      </w:r>
      <w:proofErr w:type="spellStart"/>
      <w:r w:rsidRPr="00983323">
        <w:rPr>
          <w:rFonts w:ascii="Arial" w:eastAsiaTheme="minorHAnsi" w:hAnsi="Arial" w:cs="Arial"/>
          <w:i/>
          <w:iCs/>
          <w:color w:val="231F20"/>
          <w:sz w:val="22"/>
          <w:szCs w:val="22"/>
          <w:shd w:val="clear" w:color="auto" w:fill="FFFFFF"/>
          <w:lang w:val="es-ES"/>
        </w:rPr>
        <w:t>Gyps</w:t>
      </w:r>
      <w:proofErr w:type="spellEnd"/>
      <w:r w:rsidRPr="00983323">
        <w:rPr>
          <w:rFonts w:ascii="Arial" w:eastAsiaTheme="minorHAnsi" w:hAnsi="Arial" w:cs="Arial"/>
          <w:i/>
          <w:iCs/>
          <w:color w:val="231F20"/>
          <w:sz w:val="22"/>
          <w:szCs w:val="22"/>
          <w:shd w:val="clear" w:color="auto" w:fill="FFFFFF"/>
          <w:lang w:val="es-ES"/>
        </w:rPr>
        <w:t xml:space="preserve"> </w:t>
      </w:r>
      <w:proofErr w:type="spellStart"/>
      <w:r w:rsidRPr="00983323">
        <w:rPr>
          <w:rFonts w:ascii="Arial" w:eastAsiaTheme="minorHAnsi" w:hAnsi="Arial" w:cs="Arial"/>
          <w:i/>
          <w:iCs/>
          <w:color w:val="231F20"/>
          <w:sz w:val="22"/>
          <w:szCs w:val="22"/>
          <w:shd w:val="clear" w:color="auto" w:fill="FFFFFF"/>
          <w:lang w:val="es-ES"/>
        </w:rPr>
        <w:t>africanus</w:t>
      </w:r>
      <w:proofErr w:type="spellEnd"/>
      <w:r w:rsidRPr="00983323">
        <w:rPr>
          <w:rFonts w:ascii="Arial" w:eastAsiaTheme="minorHAnsi" w:hAnsi="Arial" w:cs="Arial"/>
          <w:color w:val="231F20"/>
          <w:sz w:val="22"/>
          <w:szCs w:val="22"/>
          <w:shd w:val="clear" w:color="auto" w:fill="FFFFFF"/>
          <w:lang w:val="es-ES"/>
        </w:rPr>
        <w:t xml:space="preserve">), </w:t>
      </w:r>
      <w:r w:rsidRPr="00983323">
        <w:rPr>
          <w:rFonts w:ascii="Arial" w:eastAsiaTheme="minorHAnsi" w:hAnsi="Arial" w:cs="Arial"/>
          <w:color w:val="231F20"/>
          <w:sz w:val="22"/>
          <w:szCs w:val="22"/>
          <w:lang w:val="es-ES"/>
        </w:rPr>
        <w:t>buitre</w:t>
      </w:r>
      <w:r w:rsidRPr="00983323">
        <w:rPr>
          <w:rFonts w:ascii="Arial" w:eastAsiaTheme="minorHAnsi" w:hAnsi="Arial" w:cs="Arial"/>
          <w:color w:val="231F20"/>
          <w:sz w:val="22"/>
          <w:szCs w:val="22"/>
          <w:shd w:val="clear" w:color="auto" w:fill="FFFFFF"/>
          <w:lang w:val="es-ES"/>
        </w:rPr>
        <w:t xml:space="preserve"> moteado (</w:t>
      </w:r>
      <w:proofErr w:type="spellStart"/>
      <w:r w:rsidRPr="00983323">
        <w:rPr>
          <w:rFonts w:ascii="Arial" w:eastAsiaTheme="minorHAnsi" w:hAnsi="Arial" w:cs="Arial"/>
          <w:i/>
          <w:iCs/>
          <w:color w:val="231F20"/>
          <w:sz w:val="22"/>
          <w:szCs w:val="22"/>
          <w:shd w:val="clear" w:color="auto" w:fill="FFFFFF"/>
          <w:lang w:val="es-ES"/>
        </w:rPr>
        <w:t>Gyps</w:t>
      </w:r>
      <w:proofErr w:type="spellEnd"/>
      <w:r w:rsidRPr="00983323">
        <w:rPr>
          <w:rFonts w:ascii="Arial" w:eastAsiaTheme="minorHAnsi" w:hAnsi="Arial" w:cs="Arial"/>
          <w:i/>
          <w:iCs/>
          <w:color w:val="231F20"/>
          <w:sz w:val="22"/>
          <w:szCs w:val="22"/>
          <w:shd w:val="clear" w:color="auto" w:fill="FFFFFF"/>
          <w:lang w:val="es-ES"/>
        </w:rPr>
        <w:t xml:space="preserve"> </w:t>
      </w:r>
      <w:proofErr w:type="spellStart"/>
      <w:r w:rsidRPr="00983323">
        <w:rPr>
          <w:rFonts w:ascii="Arial" w:eastAsiaTheme="minorHAnsi" w:hAnsi="Arial" w:cs="Arial"/>
          <w:i/>
          <w:iCs/>
          <w:color w:val="231F20"/>
          <w:sz w:val="22"/>
          <w:szCs w:val="22"/>
          <w:shd w:val="clear" w:color="auto" w:fill="FFFFFF"/>
          <w:lang w:val="es-ES"/>
        </w:rPr>
        <w:t>rueppellii</w:t>
      </w:r>
      <w:proofErr w:type="spellEnd"/>
      <w:r w:rsidRPr="00983323">
        <w:rPr>
          <w:rFonts w:ascii="Arial" w:eastAsiaTheme="minorHAnsi" w:hAnsi="Arial" w:cs="Arial"/>
          <w:color w:val="231F20"/>
          <w:sz w:val="22"/>
          <w:szCs w:val="22"/>
          <w:shd w:val="clear" w:color="auto" w:fill="FFFFFF"/>
          <w:lang w:val="es-ES"/>
        </w:rPr>
        <w:t xml:space="preserve">) y </w:t>
      </w:r>
      <w:r w:rsidRPr="00983323">
        <w:rPr>
          <w:rFonts w:ascii="Arial" w:eastAsiaTheme="minorHAnsi" w:hAnsi="Arial" w:cs="Arial"/>
          <w:color w:val="231F20"/>
          <w:sz w:val="22"/>
          <w:szCs w:val="22"/>
          <w:lang w:val="es-ES"/>
        </w:rPr>
        <w:t>buitre</w:t>
      </w:r>
      <w:r w:rsidRPr="00983323">
        <w:rPr>
          <w:rFonts w:ascii="Arial" w:eastAsiaTheme="minorHAnsi" w:hAnsi="Arial" w:cs="Arial"/>
          <w:color w:val="231F20"/>
          <w:sz w:val="22"/>
          <w:szCs w:val="22"/>
          <w:shd w:val="clear" w:color="auto" w:fill="FFFFFF"/>
          <w:lang w:val="es-ES"/>
        </w:rPr>
        <w:t xml:space="preserve"> orejudo (</w:t>
      </w:r>
      <w:r w:rsidRPr="00983323">
        <w:rPr>
          <w:rFonts w:ascii="Arial" w:eastAsiaTheme="minorHAnsi" w:hAnsi="Arial" w:cs="Arial"/>
          <w:i/>
          <w:iCs/>
          <w:color w:val="231F20"/>
          <w:sz w:val="22"/>
          <w:szCs w:val="22"/>
          <w:shd w:val="clear" w:color="auto" w:fill="FFFFFF"/>
          <w:lang w:val="es-ES"/>
        </w:rPr>
        <w:t xml:space="preserve">Torgos </w:t>
      </w:r>
      <w:proofErr w:type="spellStart"/>
      <w:r w:rsidRPr="00983323">
        <w:rPr>
          <w:rFonts w:ascii="Arial" w:eastAsiaTheme="minorHAnsi" w:hAnsi="Arial" w:cs="Arial"/>
          <w:i/>
          <w:iCs/>
          <w:color w:val="231F20"/>
          <w:sz w:val="22"/>
          <w:szCs w:val="22"/>
          <w:shd w:val="clear" w:color="auto" w:fill="FFFFFF"/>
          <w:lang w:val="es-ES"/>
        </w:rPr>
        <w:t>tracheliotus</w:t>
      </w:r>
      <w:proofErr w:type="spellEnd"/>
      <w:r w:rsidRPr="00983323">
        <w:rPr>
          <w:rFonts w:ascii="Arial" w:eastAsiaTheme="minorHAnsi" w:hAnsi="Arial" w:cs="Arial"/>
          <w:color w:val="231F20"/>
          <w:sz w:val="22"/>
          <w:szCs w:val="22"/>
          <w:shd w:val="clear" w:color="auto" w:fill="FFFFFF"/>
          <w:lang w:val="es-ES"/>
        </w:rPr>
        <w:t>).</w:t>
      </w:r>
    </w:p>
    <w:p w14:paraId="29ACA2FE" w14:textId="77777777" w:rsidR="00983323" w:rsidRPr="00983323" w:rsidRDefault="00983323" w:rsidP="00310062">
      <w:pPr>
        <w:widowControl/>
        <w:autoSpaceDE/>
        <w:autoSpaceDN/>
        <w:ind w:left="1620" w:hanging="540"/>
        <w:textAlignment w:val="auto"/>
        <w:rPr>
          <w:rFonts w:ascii="Arial" w:hAnsi="Arial" w:cs="Arial"/>
          <w:b/>
          <w:bCs/>
          <w:i/>
          <w:iCs/>
          <w:sz w:val="22"/>
          <w:szCs w:val="22"/>
          <w:lang w:val="es-ES"/>
        </w:rPr>
      </w:pPr>
    </w:p>
    <w:p w14:paraId="5EF5AC5C" w14:textId="77777777" w:rsidR="00983323" w:rsidRPr="00983323" w:rsidRDefault="00983323" w:rsidP="00983323">
      <w:pPr>
        <w:widowControl/>
        <w:autoSpaceDE/>
        <w:autoSpaceDN/>
        <w:ind w:left="562" w:hanging="562"/>
        <w:jc w:val="both"/>
        <w:rPr>
          <w:rFonts w:ascii="Arial" w:hAnsi="Arial" w:cs="Arial"/>
          <w:sz w:val="22"/>
          <w:szCs w:val="22"/>
          <w:lang w:val="es-ES"/>
        </w:rPr>
      </w:pPr>
      <w:r w:rsidRPr="00983323">
        <w:rPr>
          <w:rFonts w:ascii="Arial" w:hAnsi="Arial" w:cs="Arial"/>
          <w:b/>
          <w:bCs/>
          <w:i/>
          <w:iCs/>
          <w:sz w:val="22"/>
          <w:szCs w:val="22"/>
          <w:lang w:val="es-ES"/>
        </w:rPr>
        <w:t>Dirigido al Comité Permanente</w:t>
      </w:r>
    </w:p>
    <w:p w14:paraId="11E22735" w14:textId="77777777" w:rsidR="00983323" w:rsidRPr="00B8145E" w:rsidRDefault="00983323" w:rsidP="00983323">
      <w:pPr>
        <w:widowControl/>
        <w:autoSpaceDE/>
        <w:autoSpaceDN/>
        <w:ind w:left="900" w:hanging="900"/>
        <w:jc w:val="both"/>
        <w:rPr>
          <w:rFonts w:ascii="Arial" w:eastAsiaTheme="minorEastAsia" w:hAnsi="Arial" w:cs="Arial"/>
          <w:sz w:val="22"/>
          <w:szCs w:val="22"/>
          <w:lang w:val="es-ES"/>
        </w:rPr>
      </w:pPr>
    </w:p>
    <w:p w14:paraId="3701DFF5" w14:textId="19EEDBF7" w:rsidR="00B8145E" w:rsidRPr="00B8145E" w:rsidRDefault="00983323" w:rsidP="00310062">
      <w:pPr>
        <w:widowControl/>
        <w:autoSpaceDE/>
        <w:autoSpaceDN/>
        <w:ind w:left="1080" w:hanging="1080"/>
        <w:jc w:val="both"/>
        <w:rPr>
          <w:rFonts w:ascii="Arial" w:hAnsi="Arial" w:cs="Arial"/>
          <w:sz w:val="22"/>
          <w:szCs w:val="22"/>
          <w:lang w:val="es-ES"/>
        </w:rPr>
      </w:pPr>
      <w:r w:rsidRPr="00B8145E">
        <w:rPr>
          <w:rFonts w:ascii="Arial" w:eastAsiaTheme="minorEastAsia" w:hAnsi="Arial" w:cs="Arial"/>
          <w:sz w:val="22"/>
          <w:szCs w:val="22"/>
          <w:lang w:val="es-ES"/>
        </w:rPr>
        <w:t xml:space="preserve">14.EE </w:t>
      </w:r>
      <w:r w:rsidRPr="00B8145E">
        <w:rPr>
          <w:rFonts w:ascii="Arial" w:hAnsi="Arial" w:cs="Arial"/>
          <w:sz w:val="22"/>
          <w:szCs w:val="22"/>
          <w:lang w:val="es-ES"/>
        </w:rPr>
        <w:tab/>
      </w:r>
      <w:r w:rsidR="00B8145E" w:rsidRPr="00B8145E">
        <w:rPr>
          <w:rFonts w:ascii="Arial" w:hAnsi="Arial" w:cs="Arial"/>
          <w:sz w:val="22"/>
          <w:szCs w:val="22"/>
          <w:lang w:val="es-ES"/>
        </w:rPr>
        <w:t>Tras su consulta con el Consejo Científico, el Comité Permanente examinará y adoptará el Plan de Acción para la conservación de los buitres de África occidental una vez esté finalizado, en el periodo entre sesiones comprendido entre la COP14 y la COP15.</w:t>
      </w:r>
    </w:p>
    <w:p w14:paraId="1C9867E4" w14:textId="77777777" w:rsidR="00983323" w:rsidRPr="00983323" w:rsidRDefault="00983323" w:rsidP="00983323">
      <w:pPr>
        <w:adjustRightInd w:val="0"/>
        <w:jc w:val="both"/>
        <w:textAlignment w:val="auto"/>
        <w:rPr>
          <w:rFonts w:ascii="Arial" w:eastAsiaTheme="minorHAnsi" w:hAnsi="Arial" w:cs="Arial"/>
          <w:sz w:val="22"/>
          <w:szCs w:val="22"/>
          <w:lang w:val="es-ES"/>
        </w:rPr>
      </w:pPr>
    </w:p>
    <w:p w14:paraId="1DD66568" w14:textId="77777777" w:rsidR="00983323" w:rsidRPr="00983323" w:rsidRDefault="00983323" w:rsidP="00983323">
      <w:pPr>
        <w:widowControl/>
        <w:autoSpaceDE/>
        <w:autoSpaceDN/>
        <w:ind w:left="555" w:hanging="555"/>
        <w:jc w:val="both"/>
        <w:rPr>
          <w:rFonts w:ascii="Arial" w:hAnsi="Arial" w:cs="Arial"/>
          <w:b/>
          <w:bCs/>
          <w:sz w:val="22"/>
          <w:szCs w:val="22"/>
          <w:lang w:val="es-ES"/>
        </w:rPr>
      </w:pPr>
      <w:r w:rsidRPr="00983323">
        <w:rPr>
          <w:rFonts w:ascii="Arial" w:hAnsi="Arial" w:cs="Arial"/>
          <w:b/>
          <w:bCs/>
          <w:sz w:val="22"/>
          <w:szCs w:val="22"/>
          <w:lang w:val="es-ES"/>
        </w:rPr>
        <w:t xml:space="preserve">Dirigido al Consejo Científico </w:t>
      </w:r>
    </w:p>
    <w:p w14:paraId="44FCF683" w14:textId="77777777" w:rsidR="00983323" w:rsidRPr="00983323" w:rsidRDefault="00983323" w:rsidP="00983323">
      <w:pPr>
        <w:widowControl/>
        <w:autoSpaceDE/>
        <w:autoSpaceDN/>
        <w:ind w:left="555" w:hanging="555"/>
        <w:jc w:val="both"/>
        <w:rPr>
          <w:rFonts w:ascii="Arial" w:hAnsi="Arial" w:cs="Arial"/>
          <w:b/>
          <w:bCs/>
          <w:sz w:val="22"/>
          <w:szCs w:val="22"/>
          <w:lang w:val="es-ES"/>
        </w:rPr>
      </w:pPr>
    </w:p>
    <w:p w14:paraId="3789CE1E" w14:textId="77777777" w:rsidR="00983323" w:rsidRPr="00983323" w:rsidRDefault="00983323" w:rsidP="00310062">
      <w:pPr>
        <w:widowControl/>
        <w:autoSpaceDE/>
        <w:autoSpaceDN/>
        <w:ind w:left="1080" w:hanging="1080"/>
        <w:jc w:val="both"/>
        <w:rPr>
          <w:rFonts w:ascii="Arial" w:hAnsi="Arial" w:cs="Arial"/>
          <w:i/>
          <w:iCs/>
          <w:sz w:val="22"/>
          <w:szCs w:val="22"/>
          <w:lang w:val="es-ES"/>
        </w:rPr>
      </w:pPr>
      <w:r w:rsidRPr="00983323">
        <w:rPr>
          <w:rFonts w:ascii="Arial" w:hAnsi="Arial" w:cs="Arial"/>
          <w:sz w:val="22"/>
          <w:szCs w:val="22"/>
          <w:lang w:val="es-ES"/>
        </w:rPr>
        <w:t>14. FF</w:t>
      </w:r>
      <w:r w:rsidRPr="00983323">
        <w:rPr>
          <w:rFonts w:ascii="Arial" w:hAnsi="Arial" w:cs="Arial"/>
          <w:sz w:val="22"/>
          <w:szCs w:val="22"/>
          <w:lang w:val="es-ES"/>
        </w:rPr>
        <w:tab/>
        <w:t>Se solicita al Consejo Científico que estudie el Plan de Acción para los Buitres de África occidental, si se presenta al Comité Científico en su 7.</w:t>
      </w:r>
      <w:r w:rsidRPr="00983323">
        <w:rPr>
          <w:rFonts w:ascii="Arial" w:hAnsi="Arial" w:cs="Arial"/>
          <w:sz w:val="22"/>
          <w:szCs w:val="22"/>
          <w:vertAlign w:val="superscript"/>
          <w:lang w:val="es-ES"/>
        </w:rPr>
        <w:t>ª</w:t>
      </w:r>
      <w:r w:rsidRPr="00983323">
        <w:rPr>
          <w:rFonts w:ascii="Arial" w:hAnsi="Arial" w:cs="Arial"/>
          <w:sz w:val="22"/>
          <w:szCs w:val="22"/>
          <w:lang w:val="es-ES"/>
        </w:rPr>
        <w:t xml:space="preserve"> reunión del Comité de período de Sesiones del Consejo Científico y recomendarlo al Comité Permanente para su adopción.</w:t>
      </w:r>
    </w:p>
    <w:p w14:paraId="09631C22" w14:textId="77777777" w:rsidR="00983323" w:rsidRPr="00983323" w:rsidRDefault="00983323" w:rsidP="00983323">
      <w:pPr>
        <w:widowControl/>
        <w:autoSpaceDE/>
        <w:autoSpaceDN/>
        <w:jc w:val="both"/>
        <w:textAlignment w:val="auto"/>
        <w:rPr>
          <w:rFonts w:ascii="Arial" w:eastAsiaTheme="minorHAnsi" w:hAnsi="Arial" w:cs="Arial"/>
          <w:b/>
          <w:i/>
          <w:sz w:val="22"/>
          <w:szCs w:val="22"/>
          <w:lang w:val="es-ES"/>
        </w:rPr>
      </w:pPr>
    </w:p>
    <w:p w14:paraId="3A3B0AC9" w14:textId="77777777" w:rsidR="00983323" w:rsidRPr="00983323" w:rsidRDefault="00983323" w:rsidP="00983323">
      <w:pPr>
        <w:widowControl/>
        <w:autoSpaceDE/>
        <w:autoSpaceDN/>
        <w:jc w:val="both"/>
        <w:textAlignment w:val="auto"/>
        <w:rPr>
          <w:rFonts w:ascii="Arial" w:eastAsiaTheme="minorHAnsi" w:hAnsi="Arial" w:cs="Arial"/>
          <w:b/>
          <w:i/>
          <w:sz w:val="22"/>
          <w:szCs w:val="22"/>
          <w:lang w:val="es-ES"/>
        </w:rPr>
      </w:pPr>
      <w:r w:rsidRPr="00983323">
        <w:rPr>
          <w:rFonts w:ascii="Arial" w:eastAsiaTheme="minorHAnsi" w:hAnsi="Arial" w:cs="Arial"/>
          <w:b/>
          <w:i/>
          <w:sz w:val="22"/>
          <w:szCs w:val="22"/>
          <w:lang w:val="es-ES"/>
        </w:rPr>
        <w:lastRenderedPageBreak/>
        <w:t>Dirigido a la Secretaría</w:t>
      </w:r>
    </w:p>
    <w:p w14:paraId="061990F9" w14:textId="77777777" w:rsidR="00983323" w:rsidRPr="00983323" w:rsidRDefault="00983323" w:rsidP="00983323">
      <w:pPr>
        <w:widowControl/>
        <w:autoSpaceDE/>
        <w:autoSpaceDN/>
        <w:jc w:val="both"/>
        <w:textAlignment w:val="auto"/>
        <w:rPr>
          <w:rFonts w:ascii="Arial" w:eastAsiaTheme="minorHAnsi" w:hAnsi="Arial" w:cs="Arial"/>
          <w:b/>
          <w:i/>
          <w:sz w:val="22"/>
          <w:szCs w:val="22"/>
          <w:lang w:val="es-ES"/>
        </w:rPr>
      </w:pPr>
    </w:p>
    <w:p w14:paraId="1DDB4CAB" w14:textId="77777777" w:rsidR="00983323" w:rsidRPr="00983323" w:rsidRDefault="00983323" w:rsidP="00310062">
      <w:pPr>
        <w:widowControl/>
        <w:shd w:val="clear" w:color="auto" w:fill="FFFFFF"/>
        <w:autoSpaceDE/>
        <w:autoSpaceDN/>
        <w:ind w:left="1080" w:hanging="1080"/>
        <w:contextualSpacing/>
        <w:jc w:val="both"/>
        <w:textAlignment w:val="auto"/>
        <w:outlineLvl w:val="2"/>
        <w:rPr>
          <w:rFonts w:ascii="Arial" w:hAnsi="Arial" w:cs="Arial"/>
          <w:color w:val="333333"/>
          <w:sz w:val="22"/>
          <w:szCs w:val="22"/>
          <w:lang w:val="es-ES"/>
        </w:rPr>
      </w:pPr>
      <w:r w:rsidRPr="00983323">
        <w:rPr>
          <w:rFonts w:ascii="Arial" w:eastAsiaTheme="minorHAnsi" w:hAnsi="Arial" w:cs="Arial"/>
          <w:sz w:val="22"/>
          <w:szCs w:val="22"/>
          <w:lang w:val="es-ES"/>
        </w:rPr>
        <w:t>14.GG</w:t>
      </w:r>
      <w:r w:rsidRPr="00983323">
        <w:rPr>
          <w:rFonts w:ascii="Arial" w:eastAsiaTheme="minorHAnsi" w:hAnsi="Arial" w:cs="Arial"/>
          <w:sz w:val="22"/>
          <w:szCs w:val="22"/>
          <w:lang w:val="es-ES"/>
        </w:rPr>
        <w:tab/>
      </w:r>
      <w:r w:rsidRPr="00983323">
        <w:rPr>
          <w:rFonts w:ascii="Arial" w:hAnsi="Arial" w:cs="Arial"/>
          <w:color w:val="333333"/>
          <w:sz w:val="22"/>
          <w:szCs w:val="22"/>
          <w:lang w:val="es-ES"/>
        </w:rPr>
        <w:t xml:space="preserve">La Secretaría deberá transmitir las presentes Decisiones a las Secretarías de otros foros ambientales multilaterales, en particular con el Programa de Medio Ambiente de las Naciones Unidad, la Convenio sobre la Diversidad Biológica (CDB), </w:t>
      </w:r>
      <w:r w:rsidRPr="00983323">
        <w:rPr>
          <w:rFonts w:ascii="Arial" w:eastAsiaTheme="minorHAnsi" w:hAnsi="Arial" w:cs="Arial"/>
          <w:color w:val="333333"/>
          <w:sz w:val="22"/>
          <w:szCs w:val="22"/>
          <w:lang w:val="es-ES"/>
        </w:rPr>
        <w:t xml:space="preserve">Consorcio Internacional para Combatir los Delitos contra la Vida Silvestre (ICCWC) </w:t>
      </w:r>
      <w:r w:rsidRPr="00983323">
        <w:rPr>
          <w:rFonts w:ascii="Arial" w:hAnsi="Arial" w:cs="Arial"/>
          <w:color w:val="333333"/>
          <w:sz w:val="22"/>
          <w:szCs w:val="22"/>
          <w:lang w:val="es-ES"/>
        </w:rPr>
        <w:t>y la Plataforma intergubernamental científico-normativa sobre diversidad biológica y servicios de los ecosistemas (IPBES), solicitando su apoyo, contribuciones, cooperación y colaboración en la aplicación del Plan de Acción Multi-Especie para el buitre, sujeta a la disponibilidad de recursos.</w:t>
      </w:r>
    </w:p>
    <w:p w14:paraId="0118F60B" w14:textId="77777777" w:rsidR="00983323" w:rsidRPr="00983323" w:rsidRDefault="00983323" w:rsidP="00983323">
      <w:pPr>
        <w:widowControl/>
        <w:autoSpaceDE/>
        <w:autoSpaceDN/>
        <w:jc w:val="both"/>
        <w:textAlignment w:val="auto"/>
        <w:rPr>
          <w:rFonts w:ascii="Arial" w:eastAsiaTheme="minorHAnsi" w:hAnsi="Arial" w:cs="Arial"/>
          <w:sz w:val="22"/>
          <w:szCs w:val="22"/>
          <w:lang w:val="es-ES"/>
        </w:rPr>
      </w:pPr>
    </w:p>
    <w:p w14:paraId="35A3C722" w14:textId="77777777" w:rsidR="00983323" w:rsidRPr="00983323" w:rsidRDefault="00983323" w:rsidP="00310062">
      <w:pPr>
        <w:widowControl/>
        <w:autoSpaceDE/>
        <w:autoSpaceDN/>
        <w:ind w:left="1080" w:hanging="1080"/>
        <w:jc w:val="both"/>
        <w:textAlignment w:val="auto"/>
        <w:rPr>
          <w:rFonts w:ascii="Arial" w:eastAsiaTheme="minorHAnsi" w:hAnsi="Arial" w:cs="Arial"/>
          <w:color w:val="231F20"/>
          <w:sz w:val="22"/>
          <w:szCs w:val="22"/>
          <w:shd w:val="clear" w:color="auto" w:fill="FFFFFF"/>
          <w:lang w:val="es-ES"/>
        </w:rPr>
      </w:pPr>
      <w:r w:rsidRPr="00983323">
        <w:rPr>
          <w:rFonts w:ascii="Arial" w:eastAsiaTheme="minorHAnsi" w:hAnsi="Arial" w:cs="Arial"/>
          <w:color w:val="231F20"/>
          <w:sz w:val="22"/>
          <w:szCs w:val="22"/>
          <w:shd w:val="clear" w:color="auto" w:fill="FFFFFF"/>
          <w:lang w:val="es-ES"/>
        </w:rPr>
        <w:t>1</w:t>
      </w:r>
      <w:r w:rsidRPr="00983323">
        <w:rPr>
          <w:rFonts w:ascii="Arial" w:hAnsi="Arial" w:cs="Arial"/>
          <w:color w:val="333333"/>
          <w:sz w:val="22"/>
          <w:szCs w:val="22"/>
          <w:lang w:val="es-ES"/>
        </w:rPr>
        <w:t xml:space="preserve">4.HH </w:t>
      </w:r>
      <w:r w:rsidRPr="00983323">
        <w:rPr>
          <w:rFonts w:ascii="Arial" w:hAnsi="Arial" w:cs="Arial"/>
          <w:color w:val="333333"/>
          <w:sz w:val="22"/>
          <w:szCs w:val="22"/>
          <w:lang w:val="es-ES"/>
        </w:rPr>
        <w:tab/>
      </w:r>
      <w:r w:rsidRPr="00983323">
        <w:rPr>
          <w:rFonts w:ascii="Arial" w:eastAsiaTheme="minorHAnsi" w:hAnsi="Arial" w:cs="Arial"/>
          <w:color w:val="231F20"/>
          <w:sz w:val="22"/>
          <w:szCs w:val="22"/>
          <w:shd w:val="clear" w:color="auto" w:fill="FFFFFF"/>
          <w:lang w:val="es-ES"/>
        </w:rPr>
        <w:t>La Secretaría</w:t>
      </w:r>
      <w:r w:rsidRPr="00983323">
        <w:rPr>
          <w:rFonts w:ascii="Arial" w:eastAsiaTheme="minorHAnsi" w:hAnsi="Arial" w:cs="Arial"/>
          <w:color w:val="231F20"/>
          <w:sz w:val="22"/>
          <w:szCs w:val="22"/>
          <w:lang w:val="es-ES"/>
        </w:rPr>
        <w:t xml:space="preserve"> </w:t>
      </w:r>
      <w:r w:rsidRPr="00983323">
        <w:rPr>
          <w:rFonts w:ascii="Arial" w:hAnsi="Arial" w:cs="Arial"/>
          <w:color w:val="333333"/>
          <w:sz w:val="22"/>
          <w:szCs w:val="22"/>
          <w:lang w:val="es-ES"/>
        </w:rPr>
        <w:t>deberá:</w:t>
      </w:r>
      <w:r w:rsidRPr="00983323">
        <w:rPr>
          <w:rFonts w:ascii="Arial" w:eastAsiaTheme="minorHAnsi" w:hAnsi="Arial" w:cs="Arial"/>
          <w:color w:val="231F20"/>
          <w:sz w:val="22"/>
          <w:szCs w:val="22"/>
          <w:shd w:val="clear" w:color="auto" w:fill="FFFFFF"/>
          <w:lang w:val="es-ES"/>
        </w:rPr>
        <w:t xml:space="preserve"> </w:t>
      </w:r>
    </w:p>
    <w:p w14:paraId="671B3399" w14:textId="77777777" w:rsidR="00983323" w:rsidRPr="00983323" w:rsidRDefault="00983323" w:rsidP="00983323">
      <w:pPr>
        <w:widowControl/>
        <w:autoSpaceDE/>
        <w:autoSpaceDN/>
        <w:jc w:val="both"/>
        <w:textAlignment w:val="auto"/>
        <w:rPr>
          <w:rFonts w:ascii="Arial" w:eastAsiaTheme="minorHAnsi" w:hAnsi="Arial" w:cs="Arial"/>
          <w:color w:val="231F20"/>
          <w:sz w:val="22"/>
          <w:szCs w:val="22"/>
          <w:shd w:val="clear" w:color="auto" w:fill="FFFFFF"/>
          <w:lang w:val="es-ES"/>
        </w:rPr>
      </w:pPr>
    </w:p>
    <w:p w14:paraId="179ABFD3" w14:textId="57028779" w:rsidR="00127564" w:rsidRPr="00127564" w:rsidRDefault="00127564" w:rsidP="00310062">
      <w:pPr>
        <w:widowControl/>
        <w:numPr>
          <w:ilvl w:val="0"/>
          <w:numId w:val="5"/>
        </w:numPr>
        <w:autoSpaceDE/>
        <w:autoSpaceDN/>
        <w:ind w:left="1620" w:hanging="540"/>
        <w:contextualSpacing/>
        <w:jc w:val="both"/>
        <w:textAlignment w:val="auto"/>
        <w:rPr>
          <w:rFonts w:ascii="Arial" w:hAnsi="Arial" w:cs="Arial"/>
          <w:color w:val="333333"/>
          <w:sz w:val="22"/>
          <w:szCs w:val="22"/>
          <w:lang w:val="es-ES"/>
        </w:rPr>
      </w:pPr>
      <w:r>
        <w:rPr>
          <w:rFonts w:ascii="Arial" w:hAnsi="Arial" w:cs="Arial"/>
          <w:color w:val="333333"/>
          <w:sz w:val="22"/>
          <w:szCs w:val="22"/>
          <w:lang w:val="es-ES"/>
        </w:rPr>
        <w:t>Poner en funcionamiento el Grupo de Trabajo sobre buitres y sus estructuras asociadas y facilitar la continuación del Equipo de Coordinación sobre buitres hasta entonces;</w:t>
      </w:r>
    </w:p>
    <w:p w14:paraId="569B4781" w14:textId="77777777" w:rsidR="00127564" w:rsidRPr="00127564" w:rsidRDefault="00127564" w:rsidP="00310062">
      <w:pPr>
        <w:widowControl/>
        <w:autoSpaceDE/>
        <w:autoSpaceDN/>
        <w:ind w:left="1620" w:hanging="540"/>
        <w:contextualSpacing/>
        <w:jc w:val="both"/>
        <w:textAlignment w:val="auto"/>
        <w:rPr>
          <w:rFonts w:ascii="Arial" w:hAnsi="Arial" w:cs="Arial"/>
          <w:color w:val="333333"/>
          <w:sz w:val="22"/>
          <w:szCs w:val="22"/>
          <w:lang w:val="es-ES"/>
        </w:rPr>
      </w:pPr>
    </w:p>
    <w:p w14:paraId="19976E7E" w14:textId="26BDB37B" w:rsidR="00983323" w:rsidRPr="00983323" w:rsidRDefault="00983323" w:rsidP="00310062">
      <w:pPr>
        <w:widowControl/>
        <w:numPr>
          <w:ilvl w:val="0"/>
          <w:numId w:val="5"/>
        </w:numPr>
        <w:autoSpaceDE/>
        <w:autoSpaceDN/>
        <w:ind w:left="1620" w:hanging="540"/>
        <w:contextualSpacing/>
        <w:jc w:val="both"/>
        <w:textAlignment w:val="auto"/>
        <w:rPr>
          <w:rFonts w:ascii="Arial" w:hAnsi="Arial" w:cs="Arial"/>
          <w:color w:val="333333"/>
          <w:sz w:val="22"/>
          <w:szCs w:val="22"/>
          <w:lang w:val="es-ES"/>
        </w:rPr>
      </w:pPr>
      <w:r w:rsidRPr="00983323">
        <w:rPr>
          <w:rFonts w:ascii="Arial" w:eastAsiaTheme="minorHAnsi" w:hAnsi="Arial" w:cs="Arial"/>
          <w:color w:val="231F20"/>
          <w:sz w:val="22"/>
          <w:szCs w:val="22"/>
          <w:shd w:val="clear" w:color="auto" w:fill="FFFFFF"/>
          <w:lang w:val="es-ES"/>
        </w:rPr>
        <w:t xml:space="preserve">servir de enlace con la Secretaría de la Convención sobre el Comercio Internacional de Especies Amenazadas de Fauna y Flora Silvestres (CITES) para ayudar en la aplicación de los aspectos relacionados con el comercio del Plan de Acción </w:t>
      </w:r>
      <w:proofErr w:type="spellStart"/>
      <w:r w:rsidRPr="00983323">
        <w:rPr>
          <w:rFonts w:ascii="Arial" w:eastAsiaTheme="minorHAnsi" w:hAnsi="Arial" w:cs="Arial"/>
          <w:color w:val="231F20"/>
          <w:sz w:val="22"/>
          <w:szCs w:val="22"/>
          <w:shd w:val="clear" w:color="auto" w:fill="FFFFFF"/>
          <w:lang w:val="es-ES"/>
        </w:rPr>
        <w:t>Multiespecífico</w:t>
      </w:r>
      <w:proofErr w:type="spellEnd"/>
      <w:r w:rsidRPr="00983323">
        <w:rPr>
          <w:rFonts w:ascii="Arial" w:eastAsiaTheme="minorHAnsi" w:hAnsi="Arial" w:cs="Arial"/>
          <w:color w:val="231F20"/>
          <w:sz w:val="22"/>
          <w:szCs w:val="22"/>
          <w:shd w:val="clear" w:color="auto" w:fill="FFFFFF"/>
          <w:lang w:val="es-ES"/>
        </w:rPr>
        <w:t xml:space="preserve"> para la Conservación de los Buitres de África y Eurasia (</w:t>
      </w:r>
      <w:proofErr w:type="spellStart"/>
      <w:r w:rsidRPr="00983323">
        <w:rPr>
          <w:rFonts w:ascii="Arial" w:eastAsiaTheme="minorHAnsi" w:hAnsi="Arial" w:cs="Arial"/>
          <w:color w:val="231F20"/>
          <w:sz w:val="22"/>
          <w:szCs w:val="22"/>
          <w:shd w:val="clear" w:color="auto" w:fill="FFFFFF"/>
          <w:lang w:val="es-ES"/>
        </w:rPr>
        <w:t>Vulture</w:t>
      </w:r>
      <w:proofErr w:type="spellEnd"/>
      <w:r w:rsidRPr="00983323">
        <w:rPr>
          <w:rFonts w:ascii="Arial" w:eastAsiaTheme="minorHAnsi" w:hAnsi="Arial" w:cs="Arial"/>
          <w:color w:val="231F20"/>
          <w:sz w:val="22"/>
          <w:szCs w:val="22"/>
          <w:shd w:val="clear" w:color="auto" w:fill="FFFFFF"/>
          <w:lang w:val="es-ES"/>
        </w:rPr>
        <w:t xml:space="preserve"> </w:t>
      </w:r>
      <w:proofErr w:type="spellStart"/>
      <w:r w:rsidRPr="00983323">
        <w:rPr>
          <w:rFonts w:ascii="Arial" w:eastAsiaTheme="minorHAnsi" w:hAnsi="Arial" w:cs="Arial"/>
          <w:color w:val="231F20"/>
          <w:sz w:val="22"/>
          <w:szCs w:val="22"/>
          <w:shd w:val="clear" w:color="auto" w:fill="FFFFFF"/>
          <w:lang w:val="es-ES"/>
        </w:rPr>
        <w:t>MsAP</w:t>
      </w:r>
      <w:proofErr w:type="spellEnd"/>
      <w:r w:rsidRPr="00983323">
        <w:rPr>
          <w:rFonts w:ascii="Arial" w:eastAsiaTheme="minorHAnsi" w:hAnsi="Arial" w:cs="Arial"/>
          <w:color w:val="231F20"/>
          <w:sz w:val="22"/>
          <w:szCs w:val="22"/>
          <w:shd w:val="clear" w:color="auto" w:fill="FFFFFF"/>
          <w:lang w:val="es-ES"/>
        </w:rPr>
        <w:t xml:space="preserve">) 2017-2029, </w:t>
      </w:r>
      <w:r w:rsidRPr="00983323">
        <w:rPr>
          <w:rFonts w:ascii="Arial" w:hAnsi="Arial" w:cs="Arial"/>
          <w:color w:val="333333"/>
          <w:sz w:val="22"/>
          <w:szCs w:val="22"/>
          <w:lang w:val="es-ES"/>
        </w:rPr>
        <w:t xml:space="preserve">basándose en iniciativas en curso como la Estrategia de África Occidental para Combatir los Delitos contra la Vida Silvestre (WASCWC) y </w:t>
      </w:r>
      <w:r w:rsidRPr="00983323">
        <w:rPr>
          <w:rFonts w:ascii="Arial" w:eastAsiaTheme="minorHAnsi" w:hAnsi="Arial" w:cs="Arial"/>
          <w:color w:val="231F20"/>
          <w:sz w:val="22"/>
          <w:szCs w:val="22"/>
          <w:shd w:val="clear" w:color="auto" w:fill="FFFFFF"/>
          <w:lang w:val="es-ES"/>
        </w:rPr>
        <w:t xml:space="preserve">en función de la financiación externa; </w:t>
      </w:r>
    </w:p>
    <w:p w14:paraId="61769F8E" w14:textId="77777777" w:rsidR="00983323" w:rsidRPr="00983323" w:rsidRDefault="00983323" w:rsidP="00310062">
      <w:pPr>
        <w:widowControl/>
        <w:autoSpaceDE/>
        <w:autoSpaceDN/>
        <w:ind w:left="1620" w:hanging="540"/>
        <w:contextualSpacing/>
        <w:jc w:val="both"/>
        <w:textAlignment w:val="auto"/>
        <w:rPr>
          <w:rFonts w:ascii="Arial" w:hAnsi="Arial" w:cs="Arial"/>
          <w:color w:val="333333"/>
          <w:sz w:val="22"/>
          <w:szCs w:val="22"/>
          <w:lang w:val="es-ES"/>
        </w:rPr>
      </w:pPr>
    </w:p>
    <w:p w14:paraId="1ED3E4E0" w14:textId="1F3EFF02" w:rsidR="00983323" w:rsidRPr="00983323" w:rsidRDefault="00127564" w:rsidP="00310062">
      <w:pPr>
        <w:widowControl/>
        <w:numPr>
          <w:ilvl w:val="0"/>
          <w:numId w:val="5"/>
        </w:numPr>
        <w:autoSpaceDE/>
        <w:autoSpaceDN/>
        <w:ind w:left="1620" w:hanging="540"/>
        <w:contextualSpacing/>
        <w:jc w:val="both"/>
        <w:textAlignment w:val="auto"/>
        <w:rPr>
          <w:rFonts w:ascii="Arial" w:hAnsi="Arial" w:cs="Arial"/>
          <w:color w:val="333333"/>
          <w:sz w:val="22"/>
          <w:szCs w:val="22"/>
          <w:lang w:val="es-ES"/>
        </w:rPr>
      </w:pPr>
      <w:r>
        <w:rPr>
          <w:rFonts w:ascii="Arial" w:eastAsiaTheme="minorHAnsi" w:hAnsi="Arial" w:cs="Arial"/>
          <w:color w:val="231F20"/>
          <w:sz w:val="22"/>
          <w:szCs w:val="22"/>
          <w:shd w:val="clear" w:color="auto" w:fill="FFFFFF"/>
          <w:lang w:val="es-ES"/>
        </w:rPr>
        <w:t xml:space="preserve">en función de la disponibilidad de recursos, </w:t>
      </w:r>
      <w:r w:rsidR="00983323" w:rsidRPr="00983323">
        <w:rPr>
          <w:rFonts w:ascii="Arial" w:eastAsiaTheme="minorHAnsi" w:hAnsi="Arial" w:cs="Arial"/>
          <w:color w:val="231F20"/>
          <w:sz w:val="22"/>
          <w:szCs w:val="22"/>
          <w:shd w:val="clear" w:color="auto" w:fill="FFFFFF"/>
          <w:lang w:val="es-ES"/>
        </w:rPr>
        <w:t xml:space="preserve">apoyar la realización de actividades de desarrollo de competencias destinadas a prestar apoyo a los Estados del área de distribución de África Occidental en la aplicación del </w:t>
      </w:r>
      <w:proofErr w:type="spellStart"/>
      <w:r w:rsidR="00983323" w:rsidRPr="00983323">
        <w:rPr>
          <w:rFonts w:ascii="Arial" w:eastAsiaTheme="minorHAnsi" w:hAnsi="Arial" w:cs="Arial"/>
          <w:color w:val="231F20"/>
          <w:sz w:val="22"/>
          <w:szCs w:val="22"/>
          <w:shd w:val="clear" w:color="auto" w:fill="FFFFFF"/>
          <w:lang w:val="es-ES"/>
        </w:rPr>
        <w:t>Vulture</w:t>
      </w:r>
      <w:proofErr w:type="spellEnd"/>
      <w:r w:rsidR="00983323" w:rsidRPr="00983323">
        <w:rPr>
          <w:rFonts w:ascii="Arial" w:eastAsiaTheme="minorHAnsi" w:hAnsi="Arial" w:cs="Arial"/>
          <w:color w:val="231F20"/>
          <w:sz w:val="22"/>
          <w:szCs w:val="22"/>
          <w:shd w:val="clear" w:color="auto" w:fill="FFFFFF"/>
          <w:lang w:val="es-ES"/>
        </w:rPr>
        <w:t xml:space="preserve"> </w:t>
      </w:r>
      <w:proofErr w:type="spellStart"/>
      <w:r w:rsidR="00983323" w:rsidRPr="00983323">
        <w:rPr>
          <w:rFonts w:ascii="Arial" w:eastAsiaTheme="minorHAnsi" w:hAnsi="Arial" w:cs="Arial"/>
          <w:color w:val="231F20"/>
          <w:sz w:val="22"/>
          <w:szCs w:val="22"/>
          <w:shd w:val="clear" w:color="auto" w:fill="FFFFFF"/>
          <w:lang w:val="es-ES"/>
        </w:rPr>
        <w:t>MsAP</w:t>
      </w:r>
      <w:proofErr w:type="spellEnd"/>
      <w:r w:rsidR="00983323" w:rsidRPr="00983323">
        <w:rPr>
          <w:rFonts w:ascii="Arial" w:eastAsiaTheme="minorHAnsi" w:hAnsi="Arial" w:cs="Arial"/>
          <w:color w:val="231F20"/>
          <w:sz w:val="22"/>
          <w:szCs w:val="22"/>
          <w:shd w:val="clear" w:color="auto" w:fill="FFFFFF"/>
          <w:lang w:val="es-ES"/>
        </w:rPr>
        <w:t xml:space="preserve">; </w:t>
      </w:r>
    </w:p>
    <w:p w14:paraId="42003A7E" w14:textId="77777777" w:rsidR="00983323" w:rsidRPr="00983323" w:rsidRDefault="00983323" w:rsidP="00310062">
      <w:pPr>
        <w:widowControl/>
        <w:autoSpaceDE/>
        <w:autoSpaceDN/>
        <w:ind w:left="1620" w:hanging="540"/>
        <w:contextualSpacing/>
        <w:textAlignment w:val="auto"/>
        <w:rPr>
          <w:rFonts w:ascii="Arial" w:hAnsi="Arial" w:cs="Arial"/>
          <w:color w:val="333333"/>
          <w:sz w:val="22"/>
          <w:szCs w:val="22"/>
          <w:lang w:val="es-ES"/>
        </w:rPr>
      </w:pPr>
    </w:p>
    <w:p w14:paraId="1DD0DACD" w14:textId="77777777" w:rsidR="00983323" w:rsidRPr="00983323" w:rsidRDefault="00983323" w:rsidP="00310062">
      <w:pPr>
        <w:widowControl/>
        <w:numPr>
          <w:ilvl w:val="0"/>
          <w:numId w:val="5"/>
        </w:numPr>
        <w:autoSpaceDE/>
        <w:autoSpaceDN/>
        <w:ind w:left="1620" w:hanging="540"/>
        <w:contextualSpacing/>
        <w:jc w:val="both"/>
        <w:textAlignment w:val="auto"/>
        <w:rPr>
          <w:rFonts w:ascii="Arial" w:hAnsi="Arial" w:cs="Arial"/>
          <w:color w:val="333333"/>
          <w:sz w:val="22"/>
          <w:szCs w:val="22"/>
          <w:lang w:val="es-ES"/>
        </w:rPr>
      </w:pPr>
      <w:r w:rsidRPr="00983323">
        <w:rPr>
          <w:rFonts w:ascii="Arial" w:eastAsiaTheme="minorHAnsi" w:hAnsi="Arial" w:cs="Arial"/>
          <w:color w:val="231F20"/>
          <w:sz w:val="22"/>
          <w:szCs w:val="22"/>
          <w:shd w:val="clear" w:color="auto" w:fill="FFFFFF"/>
          <w:lang w:val="es-ES"/>
        </w:rPr>
        <w:t xml:space="preserve">en colaboración con la Secretaría CITES, considerar la información disponible sobre el estado de conservación de toda el área de distribución geográfica de las especies de buitres afectadas, para su inclusión en los informes de la Secretaría CITES y los Comités de Fauna y Permanente; </w:t>
      </w:r>
    </w:p>
    <w:p w14:paraId="7066BAF1" w14:textId="77777777" w:rsidR="00983323" w:rsidRPr="00983323" w:rsidRDefault="00983323" w:rsidP="00310062">
      <w:pPr>
        <w:widowControl/>
        <w:autoSpaceDE/>
        <w:autoSpaceDN/>
        <w:ind w:left="1620" w:hanging="540"/>
        <w:contextualSpacing/>
        <w:textAlignment w:val="auto"/>
        <w:rPr>
          <w:rFonts w:ascii="Arial" w:hAnsi="Arial" w:cs="Arial"/>
          <w:color w:val="333333"/>
          <w:sz w:val="22"/>
          <w:szCs w:val="22"/>
          <w:lang w:val="es-ES"/>
        </w:rPr>
      </w:pPr>
    </w:p>
    <w:p w14:paraId="20F404C7" w14:textId="4BE5E9EA" w:rsidR="00983323" w:rsidRPr="00CC2F95" w:rsidRDefault="00983323" w:rsidP="00310062">
      <w:pPr>
        <w:widowControl/>
        <w:numPr>
          <w:ilvl w:val="0"/>
          <w:numId w:val="5"/>
        </w:numPr>
        <w:autoSpaceDE/>
        <w:autoSpaceDN/>
        <w:ind w:left="1620" w:hanging="540"/>
        <w:contextualSpacing/>
        <w:jc w:val="both"/>
        <w:textAlignment w:val="auto"/>
        <w:rPr>
          <w:rFonts w:ascii="Arial" w:hAnsi="Arial" w:cs="Arial"/>
          <w:color w:val="333333"/>
          <w:sz w:val="22"/>
          <w:szCs w:val="22"/>
          <w:lang w:val="es-ES"/>
        </w:rPr>
      </w:pPr>
      <w:r w:rsidRPr="00983323">
        <w:rPr>
          <w:rFonts w:ascii="Arial" w:hAnsi="Arial" w:cs="Arial"/>
          <w:color w:val="333333"/>
          <w:sz w:val="22"/>
          <w:szCs w:val="22"/>
          <w:lang w:val="es-ES"/>
        </w:rPr>
        <w:t xml:space="preserve">en función de la financiación externa, apoyará la realización de actividades de desarrollo de capacidades destinadas a prestar apoyo a los Estados del área de </w:t>
      </w:r>
      <w:r w:rsidRPr="00127564">
        <w:rPr>
          <w:rFonts w:ascii="Arial" w:hAnsi="Arial" w:cs="Arial"/>
          <w:color w:val="333333"/>
          <w:sz w:val="22"/>
          <w:szCs w:val="22"/>
          <w:lang w:val="es-ES"/>
        </w:rPr>
        <w:t xml:space="preserve">distribución en la aplicación del </w:t>
      </w:r>
      <w:proofErr w:type="spellStart"/>
      <w:r w:rsidRPr="00127564">
        <w:rPr>
          <w:rFonts w:ascii="Arial" w:hAnsi="Arial" w:cs="Arial"/>
          <w:color w:val="333333"/>
          <w:sz w:val="22"/>
          <w:szCs w:val="22"/>
          <w:lang w:val="es-ES"/>
        </w:rPr>
        <w:t>Vulture</w:t>
      </w:r>
      <w:proofErr w:type="spellEnd"/>
      <w:r w:rsidRPr="00127564">
        <w:rPr>
          <w:rFonts w:ascii="Arial" w:hAnsi="Arial" w:cs="Arial"/>
          <w:color w:val="333333"/>
          <w:sz w:val="22"/>
          <w:szCs w:val="22"/>
          <w:lang w:val="es-ES"/>
        </w:rPr>
        <w:t xml:space="preserve"> </w:t>
      </w:r>
      <w:proofErr w:type="spellStart"/>
      <w:r w:rsidRPr="00127564">
        <w:rPr>
          <w:rFonts w:ascii="Arial" w:hAnsi="Arial" w:cs="Arial"/>
          <w:color w:val="333333"/>
          <w:sz w:val="22"/>
          <w:szCs w:val="22"/>
          <w:lang w:val="es-ES"/>
        </w:rPr>
        <w:t>MsAP</w:t>
      </w:r>
      <w:proofErr w:type="spellEnd"/>
      <w:r w:rsidRPr="00127564">
        <w:rPr>
          <w:rFonts w:ascii="Arial" w:hAnsi="Arial" w:cs="Arial"/>
          <w:color w:val="333333"/>
          <w:sz w:val="22"/>
          <w:szCs w:val="22"/>
          <w:lang w:val="es-ES"/>
        </w:rPr>
        <w:t>.</w:t>
      </w:r>
    </w:p>
    <w:p w14:paraId="4C6817F7" w14:textId="77777777" w:rsidR="00983323" w:rsidRPr="00983323" w:rsidRDefault="00983323" w:rsidP="00983323">
      <w:pPr>
        <w:widowControl/>
        <w:autoSpaceDE/>
        <w:autoSpaceDN/>
        <w:jc w:val="both"/>
        <w:textAlignment w:val="auto"/>
        <w:rPr>
          <w:rFonts w:ascii="Arial" w:eastAsiaTheme="minorHAnsi" w:hAnsi="Arial" w:cs="Arial"/>
          <w:sz w:val="22"/>
          <w:szCs w:val="22"/>
          <w:lang w:val="es-ES"/>
        </w:rPr>
      </w:pPr>
    </w:p>
    <w:p w14:paraId="506C381F" w14:textId="77777777" w:rsidR="00983323" w:rsidRPr="00983323" w:rsidRDefault="00983323" w:rsidP="00310062">
      <w:pPr>
        <w:widowControl/>
        <w:shd w:val="clear" w:color="auto" w:fill="FFFFFF"/>
        <w:autoSpaceDE/>
        <w:autoSpaceDN/>
        <w:ind w:left="1080" w:hanging="1080"/>
        <w:jc w:val="both"/>
        <w:textAlignment w:val="auto"/>
        <w:outlineLvl w:val="2"/>
        <w:rPr>
          <w:rFonts w:ascii="Arial" w:eastAsiaTheme="minorHAnsi" w:hAnsi="Arial" w:cs="Arial"/>
          <w:sz w:val="22"/>
          <w:szCs w:val="22"/>
          <w:lang w:val="es-ES"/>
        </w:rPr>
      </w:pPr>
      <w:r w:rsidRPr="00983323">
        <w:rPr>
          <w:rFonts w:ascii="Arial" w:eastAsiaTheme="minorHAnsi" w:hAnsi="Arial" w:cs="Arial"/>
          <w:sz w:val="22"/>
          <w:szCs w:val="22"/>
          <w:lang w:val="es-ES"/>
        </w:rPr>
        <w:t xml:space="preserve">14.II </w:t>
      </w:r>
      <w:r w:rsidRPr="00983323">
        <w:rPr>
          <w:rFonts w:ascii="Arial" w:eastAsiaTheme="minorHAnsi" w:hAnsi="Arial" w:cs="Arial"/>
          <w:sz w:val="22"/>
          <w:szCs w:val="22"/>
          <w:lang w:val="es-ES"/>
        </w:rPr>
        <w:tab/>
        <w:t xml:space="preserve">La Secretaría, deberá presentar un informe sobre la aplicación de estas Decisiones a la siguiente reunión de Signatarios del </w:t>
      </w:r>
      <w:proofErr w:type="spellStart"/>
      <w:r w:rsidRPr="00983323">
        <w:rPr>
          <w:rFonts w:ascii="Arial" w:eastAsiaTheme="minorHAnsi" w:hAnsi="Arial" w:cs="Arial"/>
          <w:sz w:val="22"/>
          <w:szCs w:val="22"/>
          <w:lang w:val="es-ES"/>
        </w:rPr>
        <w:t>MdE</w:t>
      </w:r>
      <w:proofErr w:type="spellEnd"/>
      <w:r w:rsidRPr="00983323">
        <w:rPr>
          <w:rFonts w:ascii="Arial" w:eastAsiaTheme="minorHAnsi" w:hAnsi="Arial" w:cs="Arial"/>
          <w:sz w:val="22"/>
          <w:szCs w:val="22"/>
          <w:lang w:val="es-ES"/>
        </w:rPr>
        <w:t xml:space="preserve"> de la CMS sobre las aves rapaces y la COP15 de la CMS.</w:t>
      </w:r>
    </w:p>
    <w:p w14:paraId="252D3654" w14:textId="77777777" w:rsidR="00227282" w:rsidRPr="00983323" w:rsidRDefault="00227282" w:rsidP="00983323">
      <w:pPr>
        <w:rPr>
          <w:rFonts w:ascii="Arial" w:hAnsi="Arial" w:cs="Arial"/>
          <w:sz w:val="22"/>
          <w:szCs w:val="22"/>
          <w:lang w:val="es-ES"/>
        </w:rPr>
      </w:pPr>
    </w:p>
    <w:sectPr w:rsidR="00227282" w:rsidRPr="00983323" w:rsidSect="00A46211">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CADC" w14:textId="77777777" w:rsidR="004F3AF0" w:rsidRDefault="004F3AF0">
      <w:r>
        <w:separator/>
      </w:r>
    </w:p>
  </w:endnote>
  <w:endnote w:type="continuationSeparator" w:id="0">
    <w:p w14:paraId="6BC8039E" w14:textId="77777777" w:rsidR="004F3AF0" w:rsidRDefault="004F3AF0">
      <w:r>
        <w:continuationSeparator/>
      </w:r>
    </w:p>
  </w:endnote>
  <w:endnote w:type="continuationNotice" w:id="1">
    <w:p w14:paraId="6DEAD658" w14:textId="77777777" w:rsidR="004F3AF0" w:rsidRDefault="004F3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A6DE" w14:textId="77777777" w:rsidR="004F3AF0" w:rsidRDefault="004F3AF0">
      <w:r>
        <w:rPr>
          <w:color w:val="000000"/>
        </w:rPr>
        <w:separator/>
      </w:r>
    </w:p>
  </w:footnote>
  <w:footnote w:type="continuationSeparator" w:id="0">
    <w:p w14:paraId="05DB5F63" w14:textId="77777777" w:rsidR="004F3AF0" w:rsidRDefault="004F3AF0">
      <w:r>
        <w:continuationSeparator/>
      </w:r>
    </w:p>
  </w:footnote>
  <w:footnote w:type="continuationNotice" w:id="1">
    <w:p w14:paraId="7970813F" w14:textId="77777777" w:rsidR="004F3AF0" w:rsidRDefault="004F3AF0"/>
  </w:footnote>
  <w:footnote w:id="2">
    <w:p w14:paraId="148BFF2C" w14:textId="77777777" w:rsidR="009F7DCC" w:rsidRPr="003E376F" w:rsidRDefault="009F7DCC" w:rsidP="009F7DCC">
      <w:pPr>
        <w:pStyle w:val="FootnoteText"/>
        <w:rPr>
          <w:rFonts w:ascii="Arial" w:hAnsi="Arial" w:cs="Arial"/>
          <w:sz w:val="16"/>
          <w:szCs w:val="16"/>
          <w:lang w:val="es-ES"/>
        </w:rPr>
      </w:pPr>
      <w:r w:rsidRPr="003E376F">
        <w:rPr>
          <w:rStyle w:val="FootnoteReference"/>
          <w:rFonts w:ascii="Arial" w:hAnsi="Arial" w:cs="Arial"/>
          <w:sz w:val="16"/>
          <w:szCs w:val="16"/>
        </w:rPr>
        <w:footnoteRef/>
      </w:r>
      <w:r w:rsidRPr="003E376F">
        <w:rPr>
          <w:rFonts w:ascii="Arial" w:hAnsi="Arial" w:cs="Arial"/>
          <w:sz w:val="16"/>
          <w:szCs w:val="16"/>
          <w:lang w:val="es-ES"/>
        </w:rPr>
        <w:t xml:space="preserve"> La Resolución fue enmendada por la COP13</w:t>
      </w:r>
    </w:p>
  </w:footnote>
  <w:footnote w:id="3">
    <w:p w14:paraId="59C90310" w14:textId="77777777" w:rsidR="009F7DCC" w:rsidRPr="003E376F" w:rsidRDefault="009F7DCC" w:rsidP="009F7DCC">
      <w:pPr>
        <w:pStyle w:val="FootnoteText"/>
        <w:rPr>
          <w:rFonts w:ascii="Arial" w:hAnsi="Arial" w:cs="Arial"/>
          <w:sz w:val="16"/>
          <w:szCs w:val="16"/>
          <w:lang w:val="es-ES"/>
        </w:rPr>
      </w:pPr>
      <w:r w:rsidRPr="003E376F">
        <w:rPr>
          <w:rStyle w:val="FootnoteReference"/>
          <w:rFonts w:ascii="Arial" w:hAnsi="Arial" w:cs="Arial"/>
          <w:sz w:val="16"/>
          <w:szCs w:val="16"/>
        </w:rPr>
        <w:footnoteRef/>
      </w:r>
      <w:r w:rsidRPr="003E376F">
        <w:rPr>
          <w:rFonts w:ascii="Arial" w:hAnsi="Arial" w:cs="Arial"/>
          <w:sz w:val="16"/>
          <w:szCs w:val="16"/>
          <w:lang w:val="es-ES"/>
        </w:rPr>
        <w:t xml:space="preserve"> La Resolución fue enmendada por la COP13</w:t>
      </w:r>
    </w:p>
  </w:footnote>
  <w:footnote w:id="4">
    <w:p w14:paraId="0F8772FA" w14:textId="77777777" w:rsidR="009F7DCC" w:rsidRPr="003E376F" w:rsidRDefault="009F7DCC" w:rsidP="009F7DCC">
      <w:pPr>
        <w:pStyle w:val="FootnoteText"/>
        <w:rPr>
          <w:rFonts w:ascii="Arial" w:hAnsi="Arial" w:cs="Arial"/>
          <w:sz w:val="16"/>
          <w:szCs w:val="16"/>
          <w:lang w:val="es-ES"/>
        </w:rPr>
      </w:pPr>
      <w:r w:rsidRPr="003E376F">
        <w:rPr>
          <w:rStyle w:val="FootnoteReference"/>
          <w:rFonts w:ascii="Arial" w:hAnsi="Arial" w:cs="Arial"/>
          <w:sz w:val="16"/>
          <w:szCs w:val="16"/>
        </w:rPr>
        <w:footnoteRef/>
      </w:r>
      <w:r w:rsidRPr="003E376F">
        <w:rPr>
          <w:rFonts w:ascii="Arial" w:hAnsi="Arial" w:cs="Arial"/>
          <w:sz w:val="16"/>
          <w:szCs w:val="16"/>
          <w:lang w:val="es-ES"/>
        </w:rPr>
        <w:t xml:space="preserve"> La Resolución fue enmendada por la 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2A837B81" w:rsidR="0041439A" w:rsidRPr="00A46211"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A46211">
      <w:rPr>
        <w:rFonts w:ascii="Arial" w:hAnsi="Arial" w:cs="Arial"/>
        <w:i/>
        <w:sz w:val="18"/>
        <w:szCs w:val="18"/>
        <w:lang w:val="en-GB"/>
      </w:rPr>
      <w:t>UNEP/CMS/COP1</w:t>
    </w:r>
    <w:r w:rsidR="00227282" w:rsidRPr="00A46211">
      <w:rPr>
        <w:rFonts w:ascii="Arial" w:hAnsi="Arial" w:cs="Arial"/>
        <w:i/>
        <w:sz w:val="18"/>
        <w:szCs w:val="18"/>
        <w:lang w:val="en-GB"/>
      </w:rPr>
      <w:t>4</w:t>
    </w:r>
    <w:r w:rsidRPr="00A46211">
      <w:rPr>
        <w:rFonts w:ascii="Arial" w:hAnsi="Arial" w:cs="Arial"/>
        <w:i/>
        <w:sz w:val="18"/>
        <w:szCs w:val="18"/>
        <w:lang w:val="en-GB"/>
      </w:rPr>
      <w:t>/CRP</w:t>
    </w:r>
    <w:r w:rsidR="00983323" w:rsidRPr="00A46211">
      <w:rPr>
        <w:rFonts w:ascii="Arial" w:hAnsi="Arial" w:cs="Arial"/>
        <w:i/>
        <w:sz w:val="18"/>
        <w:szCs w:val="18"/>
        <w:lang w:val="en-GB"/>
      </w:rPr>
      <w:t>28.6</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0A947E5D" w:rsidR="0041439A" w:rsidRPr="000B3472"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B3472">
      <w:rPr>
        <w:rFonts w:ascii="Arial" w:hAnsi="Arial" w:cs="Arial"/>
        <w:i/>
        <w:sz w:val="18"/>
        <w:szCs w:val="18"/>
        <w:lang w:val="en-GB"/>
      </w:rPr>
      <w:t>UNEP/CMS/COP1</w:t>
    </w:r>
    <w:r w:rsidR="00227282" w:rsidRPr="000B3472">
      <w:rPr>
        <w:rFonts w:ascii="Arial" w:hAnsi="Arial" w:cs="Arial"/>
        <w:i/>
        <w:sz w:val="18"/>
        <w:szCs w:val="18"/>
        <w:lang w:val="en-GB"/>
      </w:rPr>
      <w:t>4</w:t>
    </w:r>
    <w:r w:rsidRPr="000B3472">
      <w:rPr>
        <w:rFonts w:ascii="Arial" w:hAnsi="Arial" w:cs="Arial"/>
        <w:i/>
        <w:sz w:val="18"/>
        <w:szCs w:val="18"/>
        <w:lang w:val="en-GB"/>
      </w:rPr>
      <w:t>/CRP</w:t>
    </w:r>
    <w:r w:rsidR="00983323" w:rsidRPr="000B3472">
      <w:rPr>
        <w:rFonts w:ascii="Arial" w:hAnsi="Arial" w:cs="Arial"/>
        <w:i/>
        <w:sz w:val="18"/>
        <w:szCs w:val="18"/>
        <w:lang w:val="en-GB"/>
      </w:rPr>
      <w:t>28.6</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231D5885" w:rsidR="007A1066" w:rsidRPr="00A4621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A46211">
      <w:rPr>
        <w:rFonts w:ascii="Arial" w:hAnsi="Arial" w:cs="Arial"/>
        <w:bCs/>
        <w:i/>
        <w:iCs/>
        <w:sz w:val="18"/>
        <w:szCs w:val="18"/>
        <w:lang w:val="en-GB"/>
      </w:rPr>
      <w:t>UNEP/CMS/COP1</w:t>
    </w:r>
    <w:r w:rsidR="001125D7" w:rsidRPr="00A46211">
      <w:rPr>
        <w:rFonts w:ascii="Arial" w:hAnsi="Arial" w:cs="Arial"/>
        <w:bCs/>
        <w:i/>
        <w:iCs/>
        <w:sz w:val="18"/>
        <w:szCs w:val="18"/>
        <w:lang w:val="en-GB"/>
      </w:rPr>
      <w:t>4</w:t>
    </w:r>
    <w:r w:rsidRPr="00A46211">
      <w:rPr>
        <w:rFonts w:ascii="Arial" w:hAnsi="Arial" w:cs="Arial"/>
        <w:bCs/>
        <w:i/>
        <w:iCs/>
        <w:sz w:val="18"/>
        <w:szCs w:val="18"/>
        <w:lang w:val="en-GB"/>
      </w:rPr>
      <w:t>/CRP</w:t>
    </w:r>
    <w:r w:rsidR="00214B39" w:rsidRPr="00A46211">
      <w:rPr>
        <w:rFonts w:ascii="Arial" w:hAnsi="Arial" w:cs="Arial"/>
        <w:bCs/>
        <w:i/>
        <w:iCs/>
        <w:sz w:val="18"/>
        <w:szCs w:val="18"/>
        <w:lang w:val="en-GB"/>
      </w:rPr>
      <w:t>28.6</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124E"/>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167173A"/>
    <w:multiLevelType w:val="hybridMultilevel"/>
    <w:tmpl w:val="62D4B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E66DF"/>
    <w:multiLevelType w:val="hybridMultilevel"/>
    <w:tmpl w:val="B99E7052"/>
    <w:lvl w:ilvl="0" w:tplc="CED08B0A">
      <w:start w:val="1"/>
      <w:numFmt w:val="decimal"/>
      <w:lvlText w:val="%1."/>
      <w:lvlJc w:val="left"/>
      <w:pPr>
        <w:ind w:left="567" w:hanging="567"/>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DDBE5D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CA6B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8CE7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68E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62E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0E8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E2D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4FB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BA101A"/>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23D54CA"/>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90328937">
    <w:abstractNumId w:val="2"/>
  </w:num>
  <w:num w:numId="2" w16cid:durableId="1401053815">
    <w:abstractNumId w:val="3"/>
  </w:num>
  <w:num w:numId="3" w16cid:durableId="1659453260">
    <w:abstractNumId w:val="4"/>
  </w:num>
  <w:num w:numId="4" w16cid:durableId="1686440335">
    <w:abstractNumId w:val="0"/>
  </w:num>
  <w:num w:numId="5" w16cid:durableId="10223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0B3472"/>
    <w:rsid w:val="001125D7"/>
    <w:rsid w:val="00127564"/>
    <w:rsid w:val="00137581"/>
    <w:rsid w:val="00214B39"/>
    <w:rsid w:val="00221775"/>
    <w:rsid w:val="002243FE"/>
    <w:rsid w:val="00227282"/>
    <w:rsid w:val="002470B9"/>
    <w:rsid w:val="002A44E5"/>
    <w:rsid w:val="002E0703"/>
    <w:rsid w:val="00310062"/>
    <w:rsid w:val="003A6133"/>
    <w:rsid w:val="003F1AD8"/>
    <w:rsid w:val="0041439A"/>
    <w:rsid w:val="0043102F"/>
    <w:rsid w:val="004F3539"/>
    <w:rsid w:val="004F3AF0"/>
    <w:rsid w:val="00523D8D"/>
    <w:rsid w:val="00553329"/>
    <w:rsid w:val="00561F4F"/>
    <w:rsid w:val="005645C4"/>
    <w:rsid w:val="0058757D"/>
    <w:rsid w:val="005D43E4"/>
    <w:rsid w:val="005F0639"/>
    <w:rsid w:val="006C4A58"/>
    <w:rsid w:val="006E0B5B"/>
    <w:rsid w:val="00702804"/>
    <w:rsid w:val="00722E79"/>
    <w:rsid w:val="00731B4D"/>
    <w:rsid w:val="007A1066"/>
    <w:rsid w:val="007A6D26"/>
    <w:rsid w:val="007B1BD7"/>
    <w:rsid w:val="00925FB6"/>
    <w:rsid w:val="00983323"/>
    <w:rsid w:val="00997EF9"/>
    <w:rsid w:val="009D1136"/>
    <w:rsid w:val="009D34DF"/>
    <w:rsid w:val="009E4D33"/>
    <w:rsid w:val="009F7DCC"/>
    <w:rsid w:val="00A45A87"/>
    <w:rsid w:val="00A46211"/>
    <w:rsid w:val="00A72D48"/>
    <w:rsid w:val="00AA138B"/>
    <w:rsid w:val="00B8145E"/>
    <w:rsid w:val="00B97CD7"/>
    <w:rsid w:val="00BB25EE"/>
    <w:rsid w:val="00C37344"/>
    <w:rsid w:val="00C7025B"/>
    <w:rsid w:val="00CC2F95"/>
    <w:rsid w:val="00CE30E6"/>
    <w:rsid w:val="00D50F95"/>
    <w:rsid w:val="00D635A2"/>
    <w:rsid w:val="00D714A3"/>
    <w:rsid w:val="00D8033B"/>
    <w:rsid w:val="00D82C56"/>
    <w:rsid w:val="00D93647"/>
    <w:rsid w:val="00E45B44"/>
    <w:rsid w:val="00E829C9"/>
    <w:rsid w:val="00E91729"/>
    <w:rsid w:val="00ED41D7"/>
    <w:rsid w:val="00FB713C"/>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customStyle="1" w:styleId="Default">
    <w:name w:val="Default"/>
    <w:rsid w:val="00D714A3"/>
    <w:pPr>
      <w:autoSpaceDE w:val="0"/>
      <w:adjustRightInd w:val="0"/>
      <w:spacing w:after="0" w:line="240" w:lineRule="auto"/>
      <w:textAlignment w:val="auto"/>
    </w:pPr>
    <w:rPr>
      <w:rFonts w:eastAsiaTheme="minorHAnsi" w:cs="Arial"/>
      <w:color w:val="000000"/>
      <w:sz w:val="24"/>
      <w:szCs w:val="24"/>
    </w:rPr>
  </w:style>
  <w:style w:type="paragraph" w:styleId="FootnoteText">
    <w:name w:val="footnote text"/>
    <w:basedOn w:val="Normal"/>
    <w:link w:val="FootnoteTextChar"/>
    <w:uiPriority w:val="99"/>
    <w:semiHidden/>
    <w:unhideWhenUsed/>
    <w:rsid w:val="009F7DCC"/>
    <w:rPr>
      <w:szCs w:val="20"/>
    </w:rPr>
  </w:style>
  <w:style w:type="character" w:customStyle="1" w:styleId="FootnoteTextChar">
    <w:name w:val="Footnote Text Char"/>
    <w:basedOn w:val="DefaultParagraphFont"/>
    <w:link w:val="FootnoteText"/>
    <w:uiPriority w:val="99"/>
    <w:semiHidden/>
    <w:rsid w:val="009F7DCC"/>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9F7DCC"/>
    <w:rPr>
      <w:vertAlign w:val="superscript"/>
    </w:rPr>
  </w:style>
  <w:style w:type="paragraph" w:styleId="ListParagraph">
    <w:name w:val="List Paragraph"/>
    <w:basedOn w:val="Normal"/>
    <w:uiPriority w:val="34"/>
    <w:qFormat/>
    <w:rsid w:val="009F7DCC"/>
    <w:pPr>
      <w:ind w:left="720"/>
      <w:contextualSpacing/>
    </w:pPr>
  </w:style>
  <w:style w:type="paragraph" w:styleId="BalloonText">
    <w:name w:val="Balloon Text"/>
    <w:basedOn w:val="Normal"/>
    <w:link w:val="BalloonTextChar"/>
    <w:uiPriority w:val="99"/>
    <w:semiHidden/>
    <w:unhideWhenUsed/>
    <w:rsid w:val="00702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804"/>
    <w:rPr>
      <w:rFonts w:ascii="Segoe UI" w:eastAsia="Times New Roman" w:hAnsi="Segoe UI" w:cs="Segoe UI"/>
      <w:sz w:val="18"/>
      <w:szCs w:val="18"/>
    </w:rPr>
  </w:style>
  <w:style w:type="paragraph" w:styleId="NormalWeb">
    <w:name w:val="Normal (Web)"/>
    <w:basedOn w:val="Normal"/>
    <w:uiPriority w:val="99"/>
    <w:semiHidden/>
    <w:unhideWhenUsed/>
    <w:rsid w:val="00221775"/>
    <w:pPr>
      <w:widowControl/>
      <w:suppressAutoHyphens w:val="0"/>
      <w:autoSpaceDE/>
      <w:autoSpaceDN/>
      <w:spacing w:before="100" w:beforeAutospacing="1" w:after="100" w:afterAutospacing="1"/>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44079">
      <w:bodyDiv w:val="1"/>
      <w:marLeft w:val="0"/>
      <w:marRight w:val="0"/>
      <w:marTop w:val="0"/>
      <w:marBottom w:val="0"/>
      <w:divBdr>
        <w:top w:val="none" w:sz="0" w:space="0" w:color="auto"/>
        <w:left w:val="none" w:sz="0" w:space="0" w:color="auto"/>
        <w:bottom w:val="none" w:sz="0" w:space="0" w:color="auto"/>
        <w:right w:val="none" w:sz="0" w:space="0" w:color="auto"/>
      </w:divBdr>
    </w:div>
    <w:div w:id="1340231845">
      <w:bodyDiv w:val="1"/>
      <w:marLeft w:val="0"/>
      <w:marRight w:val="0"/>
      <w:marTop w:val="0"/>
      <w:marBottom w:val="0"/>
      <w:divBdr>
        <w:top w:val="none" w:sz="0" w:space="0" w:color="auto"/>
        <w:left w:val="none" w:sz="0" w:space="0" w:color="auto"/>
        <w:bottom w:val="none" w:sz="0" w:space="0" w:color="auto"/>
        <w:right w:val="none" w:sz="0" w:space="0" w:color="auto"/>
      </w:divBdr>
    </w:div>
    <w:div w:id="1658921040">
      <w:bodyDiv w:val="1"/>
      <w:marLeft w:val="0"/>
      <w:marRight w:val="0"/>
      <w:marTop w:val="0"/>
      <w:marBottom w:val="0"/>
      <w:divBdr>
        <w:top w:val="none" w:sz="0" w:space="0" w:color="auto"/>
        <w:left w:val="none" w:sz="0" w:space="0" w:color="auto"/>
        <w:bottom w:val="none" w:sz="0" w:space="0" w:color="auto"/>
        <w:right w:val="none" w:sz="0" w:space="0" w:color="auto"/>
      </w:divBdr>
    </w:div>
    <w:div w:id="1924535009">
      <w:bodyDiv w:val="1"/>
      <w:marLeft w:val="0"/>
      <w:marRight w:val="0"/>
      <w:marTop w:val="0"/>
      <w:marBottom w:val="0"/>
      <w:divBdr>
        <w:top w:val="none" w:sz="0" w:space="0" w:color="auto"/>
        <w:left w:val="none" w:sz="0" w:space="0" w:color="auto"/>
        <w:bottom w:val="none" w:sz="0" w:space="0" w:color="auto"/>
        <w:right w:val="none" w:sz="0" w:space="0" w:color="auto"/>
      </w:divBdr>
    </w:div>
    <w:div w:id="194885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36</cp:revision>
  <cp:lastPrinted>2020-02-03T15:02:00Z</cp:lastPrinted>
  <dcterms:created xsi:type="dcterms:W3CDTF">2024-02-14T20:39:00Z</dcterms:created>
  <dcterms:modified xsi:type="dcterms:W3CDTF">2024-02-15T08:53:00Z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