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D1C78" w14:textId="77777777" w:rsidR="00F12911" w:rsidRPr="004661DC" w:rsidRDefault="00F12911" w:rsidP="00CF43B1">
      <w:pPr>
        <w:spacing w:after="120"/>
        <w:jc w:val="center"/>
        <w:rPr>
          <w:rFonts w:ascii="Arial" w:hAnsi="Arial" w:cs="Arial"/>
          <w:b/>
          <w:bCs/>
          <w:sz w:val="22"/>
          <w:szCs w:val="22"/>
          <w:lang w:val="es-ES_tradnl"/>
        </w:rPr>
      </w:pPr>
      <w:r w:rsidRPr="004661DC">
        <w:rPr>
          <w:rFonts w:ascii="Arial" w:hAnsi="Arial" w:cs="Arial"/>
          <w:b/>
          <w:bCs/>
          <w:sz w:val="22"/>
          <w:szCs w:val="22"/>
          <w:lang w:val="es-ES_tradnl"/>
        </w:rPr>
        <w:t>PECES DE AGUA DULCE, INCLUIDA LA ANGUILA EUROPEA</w:t>
      </w:r>
    </w:p>
    <w:p w14:paraId="77BA811D" w14:textId="4130A4D9" w:rsidR="00D82C56" w:rsidRPr="00B42F5A" w:rsidRDefault="005D43E4" w:rsidP="00CF43B1">
      <w:pPr>
        <w:spacing w:after="120"/>
        <w:jc w:val="center"/>
        <w:rPr>
          <w:rFonts w:ascii="Arial" w:hAnsi="Arial" w:cs="Arial"/>
          <w:sz w:val="22"/>
          <w:szCs w:val="22"/>
        </w:rPr>
      </w:pPr>
      <w:r w:rsidRPr="00B42F5A">
        <w:rPr>
          <w:rFonts w:ascii="Arial" w:hAnsi="Arial" w:cs="Arial"/>
          <w:sz w:val="22"/>
          <w:szCs w:val="22"/>
        </w:rPr>
        <w:t>UNEP/CMS/COP1</w:t>
      </w:r>
      <w:r w:rsidR="001125D7" w:rsidRPr="00B42F5A">
        <w:rPr>
          <w:rFonts w:ascii="Arial" w:hAnsi="Arial" w:cs="Arial"/>
          <w:sz w:val="22"/>
          <w:szCs w:val="22"/>
        </w:rPr>
        <w:t>4</w:t>
      </w:r>
      <w:r w:rsidRPr="00B42F5A">
        <w:rPr>
          <w:rFonts w:ascii="Arial" w:hAnsi="Arial" w:cs="Arial"/>
          <w:sz w:val="22"/>
          <w:szCs w:val="22"/>
        </w:rPr>
        <w:t>/Doc.</w:t>
      </w:r>
      <w:r w:rsidR="00F12911" w:rsidRPr="00B42F5A">
        <w:rPr>
          <w:rFonts w:ascii="Arial" w:hAnsi="Arial" w:cs="Arial"/>
          <w:sz w:val="22"/>
          <w:szCs w:val="22"/>
        </w:rPr>
        <w:t>27.7.2/Rev.1</w:t>
      </w:r>
    </w:p>
    <w:p w14:paraId="73A89732" w14:textId="6CB5E825" w:rsidR="00D82C56" w:rsidRPr="004661DC" w:rsidRDefault="005D43E4" w:rsidP="008B2C84">
      <w:pPr>
        <w:jc w:val="center"/>
        <w:rPr>
          <w:rFonts w:ascii="Arial" w:hAnsi="Arial" w:cs="Arial"/>
          <w:i/>
          <w:sz w:val="22"/>
          <w:szCs w:val="22"/>
          <w:lang w:val="es-ES_tradnl"/>
        </w:rPr>
      </w:pPr>
      <w:r w:rsidRPr="004661DC">
        <w:rPr>
          <w:rFonts w:ascii="Arial" w:hAnsi="Arial" w:cs="Arial"/>
          <w:i/>
          <w:sz w:val="22"/>
          <w:szCs w:val="22"/>
          <w:lang w:val="es-ES_tradnl"/>
        </w:rPr>
        <w:t>(Prepar</w:t>
      </w:r>
      <w:r w:rsidR="00FD2360" w:rsidRPr="004661DC">
        <w:rPr>
          <w:rFonts w:ascii="Arial" w:hAnsi="Arial" w:cs="Arial"/>
          <w:i/>
          <w:sz w:val="22"/>
          <w:szCs w:val="22"/>
          <w:lang w:val="es-ES_tradnl"/>
        </w:rPr>
        <w:t xml:space="preserve">ado por </w:t>
      </w:r>
      <w:r w:rsidR="006C446A" w:rsidRPr="004661DC">
        <w:rPr>
          <w:rFonts w:ascii="Arial" w:hAnsi="Arial" w:cs="Arial"/>
          <w:i/>
          <w:sz w:val="22"/>
          <w:szCs w:val="22"/>
          <w:lang w:val="es-ES_tradnl"/>
        </w:rPr>
        <w:t xml:space="preserve">Grupo de Trabajo </w:t>
      </w:r>
      <w:r w:rsidR="00F7031E" w:rsidRPr="004661DC">
        <w:rPr>
          <w:rFonts w:ascii="Arial" w:hAnsi="Arial" w:cs="Arial"/>
          <w:i/>
          <w:sz w:val="22"/>
          <w:szCs w:val="22"/>
          <w:lang w:val="es-ES_tradnl"/>
        </w:rPr>
        <w:t>sobre especies acuáticas</w:t>
      </w:r>
      <w:r w:rsidRPr="004661DC">
        <w:rPr>
          <w:rFonts w:ascii="Arial" w:hAnsi="Arial" w:cs="Arial"/>
          <w:i/>
          <w:sz w:val="22"/>
          <w:szCs w:val="22"/>
          <w:lang w:val="es-ES_tradnl"/>
        </w:rPr>
        <w:t>)</w:t>
      </w:r>
    </w:p>
    <w:p w14:paraId="25BD5BFE" w14:textId="77777777" w:rsidR="00D82C56" w:rsidRPr="004661DC" w:rsidRDefault="00D82C56" w:rsidP="008B2C84">
      <w:pPr>
        <w:rPr>
          <w:rFonts w:ascii="Arial" w:hAnsi="Arial" w:cs="Arial"/>
          <w:sz w:val="22"/>
          <w:szCs w:val="22"/>
          <w:lang w:val="es-ES_tradnl"/>
        </w:rPr>
      </w:pPr>
    </w:p>
    <w:p w14:paraId="6C7ED871" w14:textId="77777777" w:rsidR="00D82C56" w:rsidRPr="004661DC" w:rsidRDefault="00D82C56" w:rsidP="008B2C84">
      <w:pPr>
        <w:rPr>
          <w:rFonts w:ascii="Arial" w:hAnsi="Arial" w:cs="Arial"/>
          <w:sz w:val="22"/>
          <w:szCs w:val="22"/>
          <w:lang w:val="es-ES_tradnl"/>
        </w:rPr>
      </w:pPr>
    </w:p>
    <w:p w14:paraId="5CD49333" w14:textId="3391689C" w:rsidR="00D82C56" w:rsidRPr="004661DC" w:rsidRDefault="00FD2360" w:rsidP="008B2C84">
      <w:pPr>
        <w:jc w:val="center"/>
        <w:rPr>
          <w:rFonts w:ascii="Arial" w:hAnsi="Arial" w:cs="Arial"/>
          <w:sz w:val="22"/>
          <w:szCs w:val="22"/>
          <w:lang w:val="es-ES_tradnl"/>
        </w:rPr>
      </w:pPr>
      <w:r w:rsidRPr="004661DC">
        <w:rPr>
          <w:rFonts w:ascii="Arial" w:hAnsi="Arial" w:cs="Arial"/>
          <w:sz w:val="22"/>
          <w:szCs w:val="22"/>
          <w:lang w:val="es-ES_tradnl"/>
        </w:rPr>
        <w:t>PROYECTO DE DECISI</w:t>
      </w:r>
      <w:r w:rsidR="00CF43B1" w:rsidRPr="004661DC">
        <w:rPr>
          <w:rFonts w:ascii="Arial" w:hAnsi="Arial" w:cs="Arial"/>
          <w:sz w:val="22"/>
          <w:szCs w:val="22"/>
          <w:lang w:val="es-ES_tradnl"/>
        </w:rPr>
        <w:t>ONES</w:t>
      </w:r>
    </w:p>
    <w:p w14:paraId="47A723F3" w14:textId="77777777" w:rsidR="00CF43B1" w:rsidRPr="004661DC" w:rsidRDefault="00CF43B1" w:rsidP="008B2C84">
      <w:pPr>
        <w:rPr>
          <w:rFonts w:ascii="Arial" w:hAnsi="Arial" w:cs="Arial"/>
          <w:sz w:val="22"/>
          <w:szCs w:val="22"/>
          <w:lang w:val="es-ES_tradnl"/>
        </w:rPr>
      </w:pPr>
    </w:p>
    <w:p w14:paraId="427A29D0" w14:textId="77777777" w:rsidR="00865F82" w:rsidRPr="004661DC" w:rsidRDefault="00865F82" w:rsidP="008B2C84">
      <w:pPr>
        <w:rPr>
          <w:rFonts w:ascii="Arial" w:hAnsi="Arial" w:cs="Arial"/>
          <w:sz w:val="22"/>
          <w:szCs w:val="22"/>
          <w:lang w:val="es-ES_tradnl"/>
        </w:rPr>
      </w:pPr>
    </w:p>
    <w:p w14:paraId="77564F68" w14:textId="77777777" w:rsidR="008B2C84" w:rsidRPr="004661DC" w:rsidRDefault="008B2C84" w:rsidP="008B2C84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autoSpaceDE/>
        <w:autoSpaceDN/>
        <w:jc w:val="center"/>
        <w:textAlignment w:val="auto"/>
        <w:outlineLvl w:val="1"/>
        <w:rPr>
          <w:rFonts w:ascii="Arial" w:eastAsiaTheme="minorHAnsi" w:hAnsi="Arial" w:cs="Arial"/>
          <w:b/>
          <w:caps/>
          <w:sz w:val="22"/>
          <w:szCs w:val="22"/>
          <w:lang w:val="es-ES_tradnl"/>
        </w:rPr>
      </w:pPr>
      <w:r w:rsidRPr="004661DC">
        <w:rPr>
          <w:rFonts w:ascii="Arial" w:eastAsiaTheme="minorHAnsi" w:hAnsi="Arial" w:cs="Arial"/>
          <w:b/>
          <w:caps/>
          <w:sz w:val="22"/>
          <w:szCs w:val="22"/>
          <w:lang w:val="es-ES_tradnl"/>
        </w:rPr>
        <w:t>Anguila Europea</w:t>
      </w:r>
    </w:p>
    <w:p w14:paraId="4531484F" w14:textId="77777777" w:rsidR="008B2C84" w:rsidRPr="004661DC" w:rsidRDefault="008B2C84" w:rsidP="008B2C84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sz w:val="22"/>
          <w:szCs w:val="22"/>
          <w:lang w:val="es-ES_tradnl"/>
        </w:rPr>
      </w:pPr>
    </w:p>
    <w:p w14:paraId="24C697D3" w14:textId="77777777" w:rsidR="00865F82" w:rsidRPr="004661DC" w:rsidRDefault="00865F82" w:rsidP="008B2C84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sz w:val="22"/>
          <w:szCs w:val="22"/>
          <w:lang w:val="es-ES_tradnl"/>
        </w:rPr>
      </w:pPr>
    </w:p>
    <w:p w14:paraId="0EAFDE89" w14:textId="77777777" w:rsidR="008B2C84" w:rsidRPr="004661DC" w:rsidRDefault="008B2C84" w:rsidP="008B2C84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b/>
          <w:i/>
          <w:sz w:val="22"/>
          <w:szCs w:val="22"/>
          <w:lang w:val="es-ES_tradnl"/>
        </w:rPr>
      </w:pPr>
      <w:r w:rsidRPr="004661DC">
        <w:rPr>
          <w:rFonts w:ascii="Arial" w:eastAsiaTheme="minorHAnsi" w:hAnsi="Arial" w:cs="Arial"/>
          <w:b/>
          <w:i/>
          <w:sz w:val="22"/>
          <w:szCs w:val="22"/>
          <w:lang w:val="es-ES_tradnl"/>
        </w:rPr>
        <w:t xml:space="preserve">Dirigido a las Partes </w:t>
      </w:r>
    </w:p>
    <w:p w14:paraId="0BF8ED76" w14:textId="77777777" w:rsidR="008B2C84" w:rsidRPr="004661DC" w:rsidRDefault="008B2C84" w:rsidP="008B2C84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sz w:val="22"/>
          <w:szCs w:val="22"/>
          <w:lang w:val="es-ES_tradnl"/>
        </w:rPr>
      </w:pPr>
    </w:p>
    <w:p w14:paraId="67BA8A7A" w14:textId="2A7B6A6A" w:rsidR="008B2C84" w:rsidRPr="004661DC" w:rsidRDefault="008B2C84" w:rsidP="008B2C84">
      <w:pPr>
        <w:widowControl/>
        <w:autoSpaceDE/>
        <w:autoSpaceDN/>
        <w:ind w:left="851" w:hanging="851"/>
        <w:jc w:val="both"/>
        <w:textAlignment w:val="auto"/>
        <w:rPr>
          <w:rFonts w:ascii="Arial" w:eastAsiaTheme="minorHAnsi" w:hAnsi="Arial" w:cs="Arial"/>
          <w:iCs/>
          <w:sz w:val="22"/>
          <w:szCs w:val="22"/>
          <w:lang w:val="es-ES_tradnl"/>
        </w:rPr>
      </w:pPr>
      <w:r w:rsidRPr="004661DC">
        <w:rPr>
          <w:rFonts w:ascii="Arial" w:eastAsiaTheme="minorHAnsi" w:hAnsi="Arial" w:cs="Arial"/>
          <w:sz w:val="22"/>
          <w:szCs w:val="22"/>
          <w:lang w:val="es-ES_tradnl"/>
        </w:rPr>
        <w:t>14.AA</w:t>
      </w:r>
      <w:r w:rsidRPr="004661DC">
        <w:rPr>
          <w:rFonts w:ascii="Arial" w:eastAsiaTheme="minorHAnsi" w:hAnsi="Arial" w:cs="Arial"/>
          <w:sz w:val="22"/>
          <w:szCs w:val="22"/>
          <w:lang w:val="es-ES_tradnl"/>
        </w:rPr>
        <w:tab/>
        <w:t xml:space="preserve">Se insta a las </w:t>
      </w:r>
      <w:r w:rsidRPr="004661DC">
        <w:rPr>
          <w:rFonts w:ascii="Arial" w:eastAsiaTheme="minorHAnsi" w:hAnsi="Arial" w:cs="Arial"/>
          <w:iCs/>
          <w:sz w:val="22"/>
          <w:szCs w:val="22"/>
          <w:lang w:val="es-ES_tradnl"/>
        </w:rPr>
        <w:t xml:space="preserve">Partes </w:t>
      </w:r>
      <w:r w:rsidRPr="004661DC">
        <w:rPr>
          <w:rFonts w:ascii="Arial" w:hAnsi="Arial" w:cs="Arial"/>
          <w:color w:val="333333"/>
          <w:sz w:val="22"/>
          <w:szCs w:val="22"/>
          <w:lang w:val="es-ES_tradnl"/>
        </w:rPr>
        <w:t xml:space="preserve">que conforman los Estados del área de distribución para la Anguila Europea </w:t>
      </w:r>
      <w:r w:rsidRPr="004661DC">
        <w:rPr>
          <w:rFonts w:ascii="Arial" w:hAnsi="Arial" w:cs="Arial"/>
          <w:iCs/>
          <w:color w:val="333333"/>
          <w:sz w:val="22"/>
          <w:szCs w:val="22"/>
          <w:lang w:val="es-ES_tradnl"/>
        </w:rPr>
        <w:t>que ofrezcan apoyo para desarrollar el Plan de Acción, incluida la organización de la reunión de los Estados del área de distribución para finalizarlo.</w:t>
      </w:r>
    </w:p>
    <w:p w14:paraId="7A5F5683" w14:textId="77777777" w:rsidR="008B2C84" w:rsidRPr="004661DC" w:rsidRDefault="008B2C84" w:rsidP="008B2C84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sz w:val="22"/>
          <w:szCs w:val="22"/>
          <w:lang w:val="es-ES_tradnl"/>
        </w:rPr>
      </w:pPr>
    </w:p>
    <w:p w14:paraId="3686EAE2" w14:textId="77777777" w:rsidR="008B2C84" w:rsidRPr="004661DC" w:rsidRDefault="008B2C84" w:rsidP="008B2C84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b/>
          <w:i/>
          <w:sz w:val="22"/>
          <w:szCs w:val="22"/>
          <w:lang w:val="es-ES_tradnl"/>
        </w:rPr>
      </w:pPr>
      <w:r w:rsidRPr="004661DC">
        <w:rPr>
          <w:rFonts w:ascii="Arial" w:eastAsiaTheme="minorHAnsi" w:hAnsi="Arial" w:cs="Arial"/>
          <w:b/>
          <w:i/>
          <w:sz w:val="22"/>
          <w:szCs w:val="22"/>
          <w:lang w:val="es-ES_tradnl"/>
        </w:rPr>
        <w:t>Dirigido a las organizaciones intergubernamentales y no gubernamentales</w:t>
      </w:r>
    </w:p>
    <w:p w14:paraId="70EDAD5A" w14:textId="77777777" w:rsidR="008B2C84" w:rsidRPr="004661DC" w:rsidRDefault="008B2C84" w:rsidP="008B2C84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sz w:val="22"/>
          <w:szCs w:val="22"/>
          <w:lang w:val="es-ES_tradnl"/>
        </w:rPr>
      </w:pPr>
    </w:p>
    <w:p w14:paraId="692039F2" w14:textId="77777777" w:rsidR="008B2C84" w:rsidRPr="004661DC" w:rsidRDefault="008B2C84" w:rsidP="008B2C84">
      <w:pPr>
        <w:widowControl/>
        <w:autoSpaceDE/>
        <w:autoSpaceDN/>
        <w:ind w:left="851" w:hanging="851"/>
        <w:jc w:val="both"/>
        <w:textAlignment w:val="auto"/>
        <w:rPr>
          <w:rFonts w:ascii="Arial" w:eastAsiaTheme="minorHAnsi" w:hAnsi="Arial" w:cs="Arial"/>
          <w:sz w:val="22"/>
          <w:szCs w:val="22"/>
          <w:lang w:val="es-ES_tradnl"/>
        </w:rPr>
      </w:pPr>
      <w:r w:rsidRPr="004661DC">
        <w:rPr>
          <w:rFonts w:ascii="Arial" w:eastAsiaTheme="minorHAnsi" w:hAnsi="Arial" w:cs="Arial"/>
          <w:sz w:val="22"/>
          <w:szCs w:val="22"/>
          <w:lang w:val="es-ES_tradnl"/>
        </w:rPr>
        <w:t>14.BB</w:t>
      </w:r>
      <w:r w:rsidRPr="004661DC">
        <w:rPr>
          <w:rFonts w:ascii="Arial" w:eastAsiaTheme="minorHAnsi" w:hAnsi="Arial" w:cs="Arial"/>
          <w:sz w:val="22"/>
          <w:szCs w:val="22"/>
          <w:lang w:val="es-ES_tradnl"/>
        </w:rPr>
        <w:tab/>
      </w:r>
      <w:r w:rsidRPr="004661DC">
        <w:rPr>
          <w:rFonts w:ascii="Arial" w:hAnsi="Arial" w:cs="Arial"/>
          <w:color w:val="333333"/>
          <w:sz w:val="22"/>
          <w:szCs w:val="22"/>
          <w:lang w:val="es-ES_tradnl"/>
        </w:rPr>
        <w:t>Se insta a las organizaciones intergubernamentales y no gubernamentales a proporcionar conocimientos y financiación para el desarrollo del plan, incluida la convocatoria de una reunión de Estados del área de distribución para finalizar el plan.</w:t>
      </w:r>
    </w:p>
    <w:p w14:paraId="145BFA9E" w14:textId="77777777" w:rsidR="008B2C84" w:rsidRPr="004661DC" w:rsidRDefault="008B2C84" w:rsidP="008B2C84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b/>
          <w:i/>
          <w:sz w:val="22"/>
          <w:szCs w:val="22"/>
          <w:lang w:val="es-ES_tradnl"/>
        </w:rPr>
      </w:pPr>
    </w:p>
    <w:p w14:paraId="27AA42FC" w14:textId="77777777" w:rsidR="008B2C84" w:rsidRPr="004661DC" w:rsidRDefault="008B2C84" w:rsidP="008B2C84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b/>
          <w:i/>
          <w:sz w:val="22"/>
          <w:szCs w:val="22"/>
          <w:lang w:val="es-ES_tradnl"/>
        </w:rPr>
      </w:pPr>
      <w:r w:rsidRPr="004661DC">
        <w:rPr>
          <w:rFonts w:ascii="Arial" w:eastAsiaTheme="minorHAnsi" w:hAnsi="Arial" w:cs="Arial"/>
          <w:b/>
          <w:i/>
          <w:sz w:val="22"/>
          <w:szCs w:val="22"/>
          <w:lang w:val="es-ES_tradnl"/>
        </w:rPr>
        <w:t>Dirigido al Comité Permanente</w:t>
      </w:r>
    </w:p>
    <w:p w14:paraId="49D8913E" w14:textId="77777777" w:rsidR="008B2C84" w:rsidRPr="004661DC" w:rsidRDefault="008B2C84" w:rsidP="008B2C84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sz w:val="22"/>
          <w:szCs w:val="22"/>
          <w:lang w:val="es-ES_tradnl"/>
        </w:rPr>
      </w:pPr>
    </w:p>
    <w:p w14:paraId="1448CD3F" w14:textId="22B27B09" w:rsidR="008B2C84" w:rsidRPr="004661DC" w:rsidRDefault="008B2C84" w:rsidP="008B2C84">
      <w:pPr>
        <w:widowControl/>
        <w:autoSpaceDE/>
        <w:autoSpaceDN/>
        <w:ind w:left="851" w:hanging="851"/>
        <w:jc w:val="both"/>
        <w:textAlignment w:val="auto"/>
        <w:rPr>
          <w:rFonts w:ascii="Arial" w:eastAsiaTheme="minorHAnsi" w:hAnsi="Arial" w:cs="Arial"/>
          <w:b/>
          <w:i/>
          <w:sz w:val="22"/>
          <w:szCs w:val="22"/>
          <w:lang w:val="es-ES_tradnl"/>
        </w:rPr>
      </w:pPr>
      <w:r w:rsidRPr="004661DC">
        <w:rPr>
          <w:rFonts w:ascii="Arial" w:eastAsiaTheme="minorHAnsi" w:hAnsi="Arial" w:cs="Arial"/>
          <w:sz w:val="22"/>
          <w:szCs w:val="22"/>
          <w:lang w:val="es-ES_tradnl"/>
        </w:rPr>
        <w:t>14.CC</w:t>
      </w:r>
      <w:r w:rsidRPr="004661DC">
        <w:rPr>
          <w:rFonts w:ascii="Arial" w:eastAsiaTheme="minorHAnsi" w:hAnsi="Arial" w:cs="Arial"/>
          <w:sz w:val="22"/>
          <w:szCs w:val="22"/>
          <w:lang w:val="es-ES_tradnl"/>
        </w:rPr>
        <w:tab/>
      </w:r>
      <w:r w:rsidR="006C446A" w:rsidRPr="004661DC">
        <w:rPr>
          <w:rFonts w:ascii="Arial" w:eastAsiaTheme="minorHAnsi" w:hAnsi="Arial" w:cs="Arial"/>
          <w:sz w:val="22"/>
          <w:szCs w:val="22"/>
          <w:lang w:val="es-ES_tradnl"/>
        </w:rPr>
        <w:t>El Comité Permanente examinará el Plan de Acción para su adopción en una de sus reuniones antes de la COP15.</w:t>
      </w:r>
    </w:p>
    <w:p w14:paraId="47F69592" w14:textId="77777777" w:rsidR="008B2C84" w:rsidRPr="004661DC" w:rsidRDefault="008B2C84" w:rsidP="008B2C84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b/>
          <w:i/>
          <w:sz w:val="22"/>
          <w:szCs w:val="22"/>
          <w:lang w:val="es-ES_tradnl"/>
        </w:rPr>
      </w:pPr>
    </w:p>
    <w:p w14:paraId="59D4D7E8" w14:textId="77777777" w:rsidR="008B2C84" w:rsidRPr="004661DC" w:rsidRDefault="008B2C84" w:rsidP="008B2C84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b/>
          <w:i/>
          <w:sz w:val="22"/>
          <w:szCs w:val="22"/>
          <w:lang w:val="es-ES_tradnl"/>
        </w:rPr>
      </w:pPr>
      <w:r w:rsidRPr="004661DC">
        <w:rPr>
          <w:rFonts w:ascii="Arial" w:eastAsiaTheme="minorHAnsi" w:hAnsi="Arial" w:cs="Arial"/>
          <w:b/>
          <w:i/>
          <w:sz w:val="22"/>
          <w:szCs w:val="22"/>
          <w:lang w:val="es-ES_tradnl"/>
        </w:rPr>
        <w:t>Dirigido a la Secretaría</w:t>
      </w:r>
    </w:p>
    <w:p w14:paraId="556BBF43" w14:textId="77777777" w:rsidR="008B2C84" w:rsidRPr="004661DC" w:rsidRDefault="008B2C84" w:rsidP="008B2C84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sz w:val="22"/>
          <w:szCs w:val="22"/>
          <w:lang w:val="es-ES_tradnl"/>
        </w:rPr>
      </w:pPr>
    </w:p>
    <w:p w14:paraId="21956155" w14:textId="77777777" w:rsidR="008B2C84" w:rsidRPr="004661DC" w:rsidRDefault="008B2C84" w:rsidP="008B2C84">
      <w:pPr>
        <w:widowControl/>
        <w:autoSpaceDE/>
        <w:autoSpaceDN/>
        <w:ind w:left="794" w:hanging="794"/>
        <w:textAlignment w:val="auto"/>
        <w:rPr>
          <w:rFonts w:ascii="Arial" w:hAnsi="Arial" w:cs="Arial"/>
          <w:sz w:val="22"/>
          <w:szCs w:val="22"/>
          <w:lang w:val="es-ES_tradnl"/>
        </w:rPr>
      </w:pPr>
      <w:r w:rsidRPr="004661DC">
        <w:rPr>
          <w:rFonts w:ascii="Arial" w:eastAsiaTheme="minorHAnsi" w:hAnsi="Arial" w:cs="Arial"/>
          <w:sz w:val="22"/>
          <w:szCs w:val="22"/>
          <w:lang w:val="es-ES_tradnl"/>
        </w:rPr>
        <w:t>14.DD</w:t>
      </w:r>
      <w:r w:rsidRPr="004661DC">
        <w:rPr>
          <w:rFonts w:ascii="Arial" w:eastAsiaTheme="minorHAnsi" w:hAnsi="Arial" w:cs="Arial"/>
          <w:sz w:val="22"/>
          <w:szCs w:val="22"/>
          <w:lang w:val="es-ES_tradnl"/>
        </w:rPr>
        <w:tab/>
      </w:r>
      <w:r w:rsidRPr="004661DC">
        <w:rPr>
          <w:rFonts w:ascii="Arial" w:hAnsi="Arial" w:cs="Arial"/>
          <w:sz w:val="22"/>
          <w:szCs w:val="22"/>
          <w:lang w:val="es-ES_tradnl"/>
        </w:rPr>
        <w:t>La Secretaría, sujeta a la disponibilidad de recursos, deberá:</w:t>
      </w:r>
    </w:p>
    <w:p w14:paraId="7AC3B43F" w14:textId="77777777" w:rsidR="008B2C84" w:rsidRPr="004661DC" w:rsidRDefault="008B2C84" w:rsidP="008B2C84">
      <w:pPr>
        <w:widowControl/>
        <w:autoSpaceDE/>
        <w:autoSpaceDN/>
        <w:ind w:left="794" w:hanging="794"/>
        <w:textAlignment w:val="auto"/>
        <w:rPr>
          <w:rFonts w:ascii="Arial" w:hAnsi="Arial" w:cs="Arial"/>
          <w:sz w:val="22"/>
          <w:szCs w:val="22"/>
          <w:lang w:val="es-ES_tradnl"/>
        </w:rPr>
      </w:pPr>
    </w:p>
    <w:p w14:paraId="40E6C1D5" w14:textId="145FA96B" w:rsidR="008B2C84" w:rsidRPr="004661DC" w:rsidRDefault="006C446A" w:rsidP="008B2C84">
      <w:pPr>
        <w:widowControl/>
        <w:numPr>
          <w:ilvl w:val="0"/>
          <w:numId w:val="3"/>
        </w:numPr>
        <w:autoSpaceDE/>
        <w:autoSpaceDN/>
        <w:ind w:left="1350" w:hanging="450"/>
        <w:contextualSpacing/>
        <w:jc w:val="both"/>
        <w:textAlignment w:val="auto"/>
        <w:rPr>
          <w:rFonts w:ascii="Arial" w:hAnsi="Arial" w:cs="Arial"/>
          <w:sz w:val="22"/>
          <w:szCs w:val="22"/>
          <w:lang w:val="es-ES_tradnl"/>
        </w:rPr>
      </w:pPr>
      <w:r w:rsidRPr="004661DC">
        <w:rPr>
          <w:rFonts w:ascii="Arial" w:hAnsi="Arial" w:cs="Arial"/>
          <w:sz w:val="22"/>
          <w:szCs w:val="22"/>
          <w:lang w:val="es-ES_tradnl"/>
        </w:rPr>
        <w:t xml:space="preserve">apoyar la terminación de </w:t>
      </w:r>
      <w:r w:rsidR="008B2C84" w:rsidRPr="004661DC">
        <w:rPr>
          <w:rFonts w:ascii="Arial" w:hAnsi="Arial" w:cs="Arial"/>
          <w:sz w:val="22"/>
          <w:szCs w:val="22"/>
          <w:lang w:val="es-ES_tradnl"/>
        </w:rPr>
        <w:t xml:space="preserve">un borrador de un Plan de Acción para la </w:t>
      </w:r>
      <w:r w:rsidR="00480D93" w:rsidRPr="004661DC">
        <w:rPr>
          <w:rFonts w:ascii="Arial" w:hAnsi="Arial" w:cs="Arial"/>
          <w:sz w:val="22"/>
          <w:szCs w:val="22"/>
          <w:lang w:val="es-ES_tradnl"/>
        </w:rPr>
        <w:t>Anguila Europea</w:t>
      </w:r>
      <w:r w:rsidR="008B2C84" w:rsidRPr="004661DC">
        <w:rPr>
          <w:rFonts w:ascii="Arial" w:hAnsi="Arial" w:cs="Arial"/>
          <w:sz w:val="22"/>
          <w:szCs w:val="22"/>
          <w:lang w:val="es-ES_tradnl"/>
        </w:rPr>
        <w:t xml:space="preserve"> (</w:t>
      </w:r>
      <w:r w:rsidR="008B2C84" w:rsidRPr="004661DC">
        <w:rPr>
          <w:rFonts w:ascii="Arial" w:hAnsi="Arial" w:cs="Arial"/>
          <w:i/>
          <w:iCs/>
          <w:sz w:val="22"/>
          <w:szCs w:val="22"/>
          <w:lang w:val="es-ES_tradnl"/>
        </w:rPr>
        <w:t>Anguilla anguilla</w:t>
      </w:r>
      <w:r w:rsidR="008B2C84" w:rsidRPr="004661DC">
        <w:rPr>
          <w:rFonts w:ascii="Arial" w:hAnsi="Arial" w:cs="Arial"/>
          <w:sz w:val="22"/>
          <w:szCs w:val="22"/>
          <w:lang w:val="es-ES_tradnl"/>
        </w:rPr>
        <w:t>);</w:t>
      </w:r>
    </w:p>
    <w:p w14:paraId="6FA6E669" w14:textId="77777777" w:rsidR="008B2C84" w:rsidRPr="004661DC" w:rsidRDefault="008B2C84" w:rsidP="008B2C84">
      <w:pPr>
        <w:widowControl/>
        <w:autoSpaceDE/>
        <w:autoSpaceDN/>
        <w:ind w:left="1350" w:hanging="450"/>
        <w:jc w:val="both"/>
        <w:textAlignment w:val="auto"/>
        <w:rPr>
          <w:rFonts w:ascii="Arial" w:hAnsi="Arial" w:cs="Arial"/>
          <w:sz w:val="22"/>
          <w:szCs w:val="22"/>
          <w:lang w:val="es-ES_tradnl"/>
        </w:rPr>
      </w:pPr>
    </w:p>
    <w:p w14:paraId="70E248C5" w14:textId="6E4D6543" w:rsidR="008B2C84" w:rsidRPr="004661DC" w:rsidRDefault="008B2C84" w:rsidP="008B2C84">
      <w:pPr>
        <w:widowControl/>
        <w:numPr>
          <w:ilvl w:val="0"/>
          <w:numId w:val="3"/>
        </w:numPr>
        <w:autoSpaceDE/>
        <w:autoSpaceDN/>
        <w:ind w:left="1350" w:hanging="450"/>
        <w:contextualSpacing/>
        <w:jc w:val="both"/>
        <w:textAlignment w:val="auto"/>
        <w:rPr>
          <w:rFonts w:ascii="Arial" w:hAnsi="Arial" w:cs="Arial"/>
          <w:sz w:val="22"/>
          <w:szCs w:val="22"/>
          <w:lang w:val="es-ES_tradnl"/>
        </w:rPr>
      </w:pPr>
      <w:r w:rsidRPr="004661DC">
        <w:rPr>
          <w:rFonts w:ascii="Arial" w:hAnsi="Arial" w:cs="Arial"/>
          <w:sz w:val="22"/>
          <w:szCs w:val="22"/>
          <w:lang w:val="es-ES_tradnl"/>
        </w:rPr>
        <w:t xml:space="preserve">llevar a cabo consultas entre los Estados del área de distribución y organizaciones intergubernamentales y no gubernamentales pertinentes acerca del borrador del Plan de Acción por correspondencia convocando </w:t>
      </w:r>
      <w:r w:rsidR="006C446A" w:rsidRPr="004661DC">
        <w:rPr>
          <w:rFonts w:ascii="Arial" w:hAnsi="Arial" w:cs="Arial"/>
          <w:sz w:val="22"/>
          <w:szCs w:val="22"/>
          <w:lang w:val="es-ES_tradnl"/>
        </w:rPr>
        <w:t xml:space="preserve">o apoyando </w:t>
      </w:r>
      <w:r w:rsidRPr="004661DC">
        <w:rPr>
          <w:rFonts w:ascii="Arial" w:hAnsi="Arial" w:cs="Arial"/>
          <w:sz w:val="22"/>
          <w:szCs w:val="22"/>
          <w:lang w:val="es-ES_tradnl"/>
        </w:rPr>
        <w:t>otra reunión de los Estados del área de distribución, si los fondos lo permiten</w:t>
      </w:r>
      <w:r w:rsidR="00480D93" w:rsidRPr="004661DC">
        <w:rPr>
          <w:rFonts w:ascii="Arial" w:hAnsi="Arial" w:cs="Arial"/>
          <w:sz w:val="22"/>
          <w:szCs w:val="22"/>
          <w:lang w:val="es-ES_tradnl"/>
        </w:rPr>
        <w:t>;</w:t>
      </w:r>
    </w:p>
    <w:p w14:paraId="659D85BE" w14:textId="77777777" w:rsidR="00432D9E" w:rsidRPr="004661DC" w:rsidRDefault="00432D9E" w:rsidP="00432D9E">
      <w:pPr>
        <w:pStyle w:val="ListParagraph"/>
        <w:rPr>
          <w:rFonts w:ascii="Arial" w:hAnsi="Arial" w:cs="Arial"/>
          <w:sz w:val="22"/>
          <w:szCs w:val="22"/>
          <w:lang w:val="es-ES_tradnl"/>
        </w:rPr>
      </w:pPr>
    </w:p>
    <w:p w14:paraId="78155652" w14:textId="6C2F5074" w:rsidR="00432D9E" w:rsidRPr="004661DC" w:rsidRDefault="00432D9E" w:rsidP="008B2C84">
      <w:pPr>
        <w:widowControl/>
        <w:numPr>
          <w:ilvl w:val="0"/>
          <w:numId w:val="3"/>
        </w:numPr>
        <w:autoSpaceDE/>
        <w:autoSpaceDN/>
        <w:ind w:left="1350" w:hanging="450"/>
        <w:contextualSpacing/>
        <w:jc w:val="both"/>
        <w:textAlignment w:val="auto"/>
        <w:rPr>
          <w:rFonts w:ascii="Arial" w:hAnsi="Arial" w:cs="Arial"/>
          <w:sz w:val="22"/>
          <w:szCs w:val="22"/>
          <w:lang w:val="es-ES_tradnl"/>
        </w:rPr>
      </w:pPr>
      <w:r w:rsidRPr="004661DC">
        <w:rPr>
          <w:rFonts w:ascii="Arial" w:hAnsi="Arial" w:cs="Arial"/>
          <w:sz w:val="22"/>
          <w:szCs w:val="22"/>
          <w:lang w:val="es-ES_tradnl"/>
        </w:rPr>
        <w:t>colaborar con la Secretaría de la CITES en sus respectivas actividades entre sesiones relativas a la anguila europea;</w:t>
      </w:r>
    </w:p>
    <w:p w14:paraId="340EACDF" w14:textId="77777777" w:rsidR="008B2C84" w:rsidRPr="004661DC" w:rsidRDefault="008B2C84" w:rsidP="008B2C84">
      <w:pPr>
        <w:widowControl/>
        <w:autoSpaceDE/>
        <w:autoSpaceDN/>
        <w:ind w:left="1350" w:hanging="450"/>
        <w:jc w:val="both"/>
        <w:textAlignment w:val="auto"/>
        <w:rPr>
          <w:rFonts w:ascii="Arial" w:hAnsi="Arial" w:cs="Arial"/>
          <w:sz w:val="22"/>
          <w:szCs w:val="22"/>
          <w:lang w:val="es-ES_tradnl"/>
        </w:rPr>
      </w:pPr>
    </w:p>
    <w:p w14:paraId="320AB1DE" w14:textId="1E5FEBC6" w:rsidR="008B2C84" w:rsidRPr="004661DC" w:rsidRDefault="008B2C84" w:rsidP="008B2C84">
      <w:pPr>
        <w:widowControl/>
        <w:numPr>
          <w:ilvl w:val="0"/>
          <w:numId w:val="3"/>
        </w:numPr>
        <w:autoSpaceDE/>
        <w:autoSpaceDN/>
        <w:ind w:left="1350" w:hanging="450"/>
        <w:contextualSpacing/>
        <w:jc w:val="both"/>
        <w:textAlignment w:val="auto"/>
        <w:rPr>
          <w:rFonts w:ascii="Arial" w:eastAsiaTheme="minorHAnsi" w:hAnsi="Arial" w:cstheme="minorBidi"/>
          <w:sz w:val="22"/>
          <w:szCs w:val="22"/>
          <w:lang w:val="es-ES_tradnl"/>
        </w:rPr>
      </w:pPr>
      <w:r w:rsidRPr="004661DC">
        <w:rPr>
          <w:rFonts w:ascii="Arial" w:hAnsi="Arial" w:cs="Arial"/>
          <w:sz w:val="22"/>
          <w:szCs w:val="22"/>
          <w:lang w:val="es-ES_tradnl"/>
        </w:rPr>
        <w:t>enviar el borrador del plan al Comité Permanente durante una reunión antes de la COP15 para su adopción.</w:t>
      </w:r>
    </w:p>
    <w:p w14:paraId="5F5656BB" w14:textId="77777777" w:rsidR="008B2C84" w:rsidRPr="004661DC" w:rsidRDefault="008B2C84" w:rsidP="008B2C84">
      <w:pPr>
        <w:widowControl/>
        <w:autoSpaceDE/>
        <w:autoSpaceDN/>
        <w:ind w:left="1350" w:hanging="450"/>
        <w:jc w:val="both"/>
        <w:textAlignment w:val="auto"/>
        <w:rPr>
          <w:rFonts w:ascii="Arial" w:eastAsiaTheme="minorHAnsi" w:hAnsi="Arial" w:cstheme="minorBidi"/>
          <w:sz w:val="22"/>
          <w:szCs w:val="22"/>
          <w:lang w:val="es-ES_tradnl"/>
        </w:rPr>
      </w:pPr>
    </w:p>
    <w:p w14:paraId="0E4A2FE9" w14:textId="77777777" w:rsidR="008B2C84" w:rsidRPr="004661DC" w:rsidRDefault="008B2C84" w:rsidP="008B2C84">
      <w:pPr>
        <w:widowControl/>
        <w:autoSpaceDE/>
        <w:autoSpaceDN/>
        <w:ind w:left="1350" w:hanging="450"/>
        <w:jc w:val="both"/>
        <w:textAlignment w:val="auto"/>
        <w:rPr>
          <w:rFonts w:ascii="Arial" w:eastAsiaTheme="minorHAnsi" w:hAnsi="Arial" w:cstheme="minorBidi"/>
          <w:sz w:val="22"/>
          <w:szCs w:val="22"/>
          <w:lang w:val="es-ES_tradnl"/>
        </w:rPr>
      </w:pPr>
    </w:p>
    <w:p w14:paraId="499BD3A3" w14:textId="77777777" w:rsidR="00865F82" w:rsidRPr="004661DC" w:rsidRDefault="00865F82">
      <w:pPr>
        <w:widowControl/>
        <w:suppressAutoHyphens w:val="0"/>
        <w:autoSpaceDE/>
        <w:spacing w:after="160" w:line="254" w:lineRule="auto"/>
        <w:rPr>
          <w:rFonts w:ascii="Arial" w:eastAsiaTheme="minorHAnsi" w:hAnsi="Arial" w:cs="Arial"/>
          <w:b/>
          <w:caps/>
          <w:sz w:val="22"/>
          <w:szCs w:val="22"/>
          <w:lang w:val="es-ES_tradnl"/>
        </w:rPr>
      </w:pPr>
      <w:r w:rsidRPr="004661DC">
        <w:rPr>
          <w:rFonts w:ascii="Arial" w:eastAsiaTheme="minorHAnsi" w:hAnsi="Arial" w:cs="Arial"/>
          <w:b/>
          <w:caps/>
          <w:sz w:val="22"/>
          <w:szCs w:val="22"/>
          <w:lang w:val="es-ES_tradnl"/>
        </w:rPr>
        <w:br w:type="page"/>
      </w:r>
    </w:p>
    <w:p w14:paraId="4F1CA74E" w14:textId="0829E0A5" w:rsidR="008B2C84" w:rsidRPr="004661DC" w:rsidRDefault="008B2C84" w:rsidP="008B2C84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autoSpaceDE/>
        <w:autoSpaceDN/>
        <w:jc w:val="center"/>
        <w:textAlignment w:val="auto"/>
        <w:outlineLvl w:val="1"/>
        <w:rPr>
          <w:rFonts w:ascii="Arial" w:eastAsiaTheme="minorHAnsi" w:hAnsi="Arial" w:cs="Arial"/>
          <w:b/>
          <w:caps/>
          <w:sz w:val="22"/>
          <w:szCs w:val="22"/>
          <w:lang w:val="es-ES_tradnl"/>
        </w:rPr>
      </w:pPr>
      <w:r w:rsidRPr="004661DC">
        <w:rPr>
          <w:rFonts w:ascii="Arial" w:eastAsiaTheme="minorHAnsi" w:hAnsi="Arial" w:cs="Arial"/>
          <w:b/>
          <w:caps/>
          <w:sz w:val="22"/>
          <w:szCs w:val="22"/>
          <w:lang w:val="es-ES_tradnl"/>
        </w:rPr>
        <w:lastRenderedPageBreak/>
        <w:t>Peces de agua dulce</w:t>
      </w:r>
    </w:p>
    <w:p w14:paraId="194B34E1" w14:textId="77777777" w:rsidR="008B2C84" w:rsidRPr="004661DC" w:rsidRDefault="008B2C84" w:rsidP="008B2C84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sz w:val="22"/>
          <w:szCs w:val="22"/>
          <w:lang w:val="es-ES_tradnl"/>
        </w:rPr>
      </w:pPr>
    </w:p>
    <w:p w14:paraId="75385189" w14:textId="77777777" w:rsidR="008B2C84" w:rsidRPr="004661DC" w:rsidRDefault="008B2C84" w:rsidP="008B2C84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sz w:val="22"/>
          <w:szCs w:val="22"/>
          <w:lang w:val="es-ES_tradnl"/>
        </w:rPr>
      </w:pPr>
    </w:p>
    <w:p w14:paraId="0C9CDEA6" w14:textId="77777777" w:rsidR="008B2C84" w:rsidRPr="004661DC" w:rsidRDefault="008B2C84" w:rsidP="008B2C84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b/>
          <w:i/>
          <w:sz w:val="22"/>
          <w:szCs w:val="22"/>
          <w:lang w:val="es-ES_tradnl"/>
        </w:rPr>
      </w:pPr>
      <w:r w:rsidRPr="004661DC">
        <w:rPr>
          <w:rFonts w:ascii="Arial" w:eastAsiaTheme="minorHAnsi" w:hAnsi="Arial" w:cs="Arial"/>
          <w:b/>
          <w:i/>
          <w:sz w:val="22"/>
          <w:szCs w:val="22"/>
          <w:lang w:val="es-ES_tradnl"/>
        </w:rPr>
        <w:t xml:space="preserve">Dirigido a las Partes </w:t>
      </w:r>
    </w:p>
    <w:p w14:paraId="79162CBD" w14:textId="77777777" w:rsidR="008B2C84" w:rsidRPr="004661DC" w:rsidRDefault="008B2C84" w:rsidP="008B2C84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sz w:val="22"/>
          <w:szCs w:val="22"/>
          <w:lang w:val="es-ES_tradnl"/>
        </w:rPr>
      </w:pPr>
    </w:p>
    <w:p w14:paraId="62BF55D4" w14:textId="77777777" w:rsidR="008B2C84" w:rsidRPr="004661DC" w:rsidRDefault="008B2C84" w:rsidP="008B2C84">
      <w:pPr>
        <w:widowControl/>
        <w:autoSpaceDE/>
        <w:autoSpaceDN/>
        <w:ind w:left="851" w:hanging="851"/>
        <w:jc w:val="both"/>
        <w:textAlignment w:val="auto"/>
        <w:rPr>
          <w:rFonts w:ascii="Arial" w:eastAsiaTheme="minorHAnsi" w:hAnsi="Arial" w:cs="Arial"/>
          <w:iCs/>
          <w:sz w:val="22"/>
          <w:szCs w:val="22"/>
          <w:lang w:val="es-ES_tradnl"/>
        </w:rPr>
      </w:pPr>
      <w:r w:rsidRPr="004661DC">
        <w:rPr>
          <w:rFonts w:ascii="Arial" w:eastAsiaTheme="minorHAnsi" w:hAnsi="Arial" w:cs="Arial"/>
          <w:sz w:val="22"/>
          <w:szCs w:val="22"/>
          <w:lang w:val="es-ES_tradnl"/>
        </w:rPr>
        <w:t>14.EE</w:t>
      </w:r>
      <w:r w:rsidRPr="004661DC">
        <w:rPr>
          <w:rFonts w:ascii="Arial" w:eastAsiaTheme="minorHAnsi" w:hAnsi="Arial" w:cs="Arial"/>
          <w:sz w:val="22"/>
          <w:szCs w:val="22"/>
          <w:lang w:val="es-ES_tradnl"/>
        </w:rPr>
        <w:tab/>
      </w:r>
      <w:r w:rsidRPr="004661DC">
        <w:rPr>
          <w:rFonts w:ascii="Arial" w:eastAsiaTheme="minorHAnsi" w:hAnsi="Arial" w:cs="Arial"/>
          <w:iCs/>
          <w:sz w:val="22"/>
          <w:szCs w:val="22"/>
          <w:lang w:val="es-ES_tradnl"/>
        </w:rPr>
        <w:t xml:space="preserve">Se insta a las </w:t>
      </w:r>
      <w:r w:rsidRPr="004661DC">
        <w:rPr>
          <w:rFonts w:ascii="Arial" w:hAnsi="Arial" w:cs="Arial"/>
          <w:color w:val="333333"/>
          <w:sz w:val="22"/>
          <w:szCs w:val="22"/>
          <w:lang w:val="es-ES_tradnl"/>
        </w:rPr>
        <w:t>Partes a</w:t>
      </w:r>
      <w:r w:rsidRPr="004661DC">
        <w:rPr>
          <w:rFonts w:ascii="Arial" w:hAnsi="Arial" w:cs="Arial"/>
          <w:iCs/>
          <w:color w:val="333333"/>
          <w:sz w:val="22"/>
          <w:szCs w:val="22"/>
          <w:lang w:val="es-ES_tradnl"/>
        </w:rPr>
        <w:t xml:space="preserve"> </w:t>
      </w:r>
    </w:p>
    <w:p w14:paraId="614C99EE" w14:textId="77777777" w:rsidR="008B2C84" w:rsidRPr="004661DC" w:rsidRDefault="008B2C84" w:rsidP="008B2C84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sz w:val="22"/>
          <w:szCs w:val="22"/>
          <w:lang w:val="es-ES_tradnl"/>
        </w:rPr>
      </w:pPr>
    </w:p>
    <w:p w14:paraId="52BA1939" w14:textId="353EAA9D" w:rsidR="008B2C84" w:rsidRPr="004661DC" w:rsidRDefault="00F549FB" w:rsidP="008B2C84">
      <w:pPr>
        <w:widowControl/>
        <w:numPr>
          <w:ilvl w:val="0"/>
          <w:numId w:val="2"/>
        </w:numPr>
        <w:autoSpaceDE/>
        <w:autoSpaceDN/>
        <w:contextualSpacing/>
        <w:jc w:val="both"/>
        <w:textAlignment w:val="auto"/>
        <w:rPr>
          <w:rFonts w:ascii="Arial" w:hAnsi="Arial" w:cs="Arial"/>
          <w:color w:val="333333"/>
          <w:sz w:val="22"/>
          <w:szCs w:val="22"/>
          <w:lang w:val="es-ES_tradnl"/>
        </w:rPr>
      </w:pPr>
      <w:r w:rsidRPr="004661DC">
        <w:rPr>
          <w:rFonts w:ascii="Arial" w:hAnsi="Arial" w:cs="Arial"/>
          <w:color w:val="333333"/>
          <w:sz w:val="22"/>
          <w:szCs w:val="22"/>
          <w:lang w:val="es-ES_tradnl"/>
        </w:rPr>
        <w:t>promover el intercambio de datos con otros Estados del área de distribución y/u organismos internacionales sobre especies transfronterizas de peces migratorios de agua dulce</w:t>
      </w:r>
      <w:r w:rsidR="008B2C84" w:rsidRPr="004661DC">
        <w:rPr>
          <w:rFonts w:ascii="Arial" w:hAnsi="Arial" w:cs="Arial"/>
          <w:color w:val="333333"/>
          <w:sz w:val="22"/>
          <w:szCs w:val="22"/>
          <w:lang w:val="es-ES_tradnl"/>
        </w:rPr>
        <w:t>, incluida la abundancia, la ecología piscícola y la degradación del hábitat actuales, sobre todo para aquellas especies que se encuentran en las listas rojas tanto nacionales como regionales o mundiales</w:t>
      </w:r>
      <w:r w:rsidR="0019647B" w:rsidRPr="004661DC">
        <w:rPr>
          <w:rFonts w:ascii="Arial" w:hAnsi="Arial" w:cs="Arial"/>
          <w:color w:val="333333"/>
          <w:sz w:val="22"/>
          <w:szCs w:val="22"/>
          <w:lang w:val="es-ES_tradnl"/>
        </w:rPr>
        <w:t>;</w:t>
      </w:r>
    </w:p>
    <w:p w14:paraId="486690C6" w14:textId="77777777" w:rsidR="008B2C84" w:rsidRPr="004661DC" w:rsidRDefault="008B2C84" w:rsidP="008B2C84">
      <w:pPr>
        <w:widowControl/>
        <w:autoSpaceDE/>
        <w:autoSpaceDN/>
        <w:jc w:val="both"/>
        <w:textAlignment w:val="auto"/>
        <w:rPr>
          <w:rFonts w:ascii="Arial" w:hAnsi="Arial" w:cs="Arial"/>
          <w:color w:val="333333"/>
          <w:sz w:val="22"/>
          <w:szCs w:val="22"/>
          <w:lang w:val="es-ES_tradnl"/>
        </w:rPr>
      </w:pPr>
    </w:p>
    <w:p w14:paraId="15709986" w14:textId="77777777" w:rsidR="00F7031E" w:rsidRPr="004661DC" w:rsidRDefault="008B2C84" w:rsidP="008B2C84">
      <w:pPr>
        <w:widowControl/>
        <w:numPr>
          <w:ilvl w:val="0"/>
          <w:numId w:val="2"/>
        </w:numPr>
        <w:autoSpaceDE/>
        <w:autoSpaceDN/>
        <w:contextualSpacing/>
        <w:jc w:val="both"/>
        <w:textAlignment w:val="auto"/>
        <w:rPr>
          <w:rFonts w:ascii="Arial" w:hAnsi="Arial" w:cs="Arial"/>
          <w:color w:val="333333"/>
          <w:sz w:val="22"/>
          <w:szCs w:val="22"/>
          <w:lang w:val="es-ES_tradnl"/>
        </w:rPr>
      </w:pPr>
      <w:r w:rsidRPr="004661DC">
        <w:rPr>
          <w:rFonts w:ascii="Arial" w:hAnsi="Arial" w:cs="Arial"/>
          <w:color w:val="333333"/>
          <w:sz w:val="22"/>
          <w:szCs w:val="22"/>
          <w:lang w:val="es-ES_tradnl"/>
        </w:rPr>
        <w:t>tomar medidas con respecto a las presas hidroeléctricas para mitigar los efectos de las barreras en los ríos, como la creación de áreas de protección y otras medidas eficaces de conservación por zonas en las vegas altas y bajas que son importantes para los ciclos de alimentación y de desove de las poblaciones de peces migratorias</w:t>
      </w:r>
      <w:r w:rsidR="00F7031E" w:rsidRPr="004661DC">
        <w:rPr>
          <w:rFonts w:ascii="Arial" w:hAnsi="Arial" w:cs="Arial"/>
          <w:color w:val="333333"/>
          <w:sz w:val="22"/>
          <w:szCs w:val="22"/>
          <w:lang w:val="es-ES_tradnl"/>
        </w:rPr>
        <w:t>;</w:t>
      </w:r>
    </w:p>
    <w:p w14:paraId="08C44253" w14:textId="77777777" w:rsidR="00216371" w:rsidRPr="004661DC" w:rsidRDefault="00216371" w:rsidP="00372E2F">
      <w:pPr>
        <w:pStyle w:val="ListParagraph"/>
        <w:rPr>
          <w:rFonts w:ascii="Arial" w:hAnsi="Arial" w:cs="Arial"/>
          <w:color w:val="333333"/>
          <w:sz w:val="22"/>
          <w:szCs w:val="22"/>
          <w:lang w:val="es-ES_tradnl"/>
        </w:rPr>
      </w:pPr>
    </w:p>
    <w:p w14:paraId="18D6F010" w14:textId="091504F9" w:rsidR="00216371" w:rsidRPr="004661DC" w:rsidRDefault="00216371" w:rsidP="008B2C84">
      <w:pPr>
        <w:widowControl/>
        <w:numPr>
          <w:ilvl w:val="0"/>
          <w:numId w:val="2"/>
        </w:numPr>
        <w:autoSpaceDE/>
        <w:autoSpaceDN/>
        <w:contextualSpacing/>
        <w:jc w:val="both"/>
        <w:textAlignment w:val="auto"/>
        <w:rPr>
          <w:rFonts w:ascii="Arial" w:hAnsi="Arial" w:cs="Arial"/>
          <w:color w:val="333333"/>
          <w:sz w:val="22"/>
          <w:szCs w:val="22"/>
          <w:lang w:val="es-ES_tradnl"/>
        </w:rPr>
      </w:pPr>
      <w:r w:rsidRPr="004661DC">
        <w:rPr>
          <w:rFonts w:ascii="Arial" w:hAnsi="Arial" w:cs="Arial"/>
          <w:color w:val="333333"/>
          <w:sz w:val="22"/>
          <w:szCs w:val="22"/>
          <w:lang w:val="es-ES_tradnl"/>
        </w:rPr>
        <w:t>tomar medidas para garantizar el caudal ecológico en los ecosistemas fluviales con el fin de asegurar que los ecosistemas existentes se encuentren en buenas condiciones y evitar consecuencias negativas sobre las pesquerías que sustentan;</w:t>
      </w:r>
    </w:p>
    <w:p w14:paraId="3001D4A1" w14:textId="77777777" w:rsidR="00F549FB" w:rsidRPr="004661DC" w:rsidRDefault="00F549FB" w:rsidP="00F549FB">
      <w:pPr>
        <w:pStyle w:val="ListParagraph"/>
        <w:rPr>
          <w:rFonts w:ascii="Arial" w:hAnsi="Arial" w:cs="Arial"/>
          <w:color w:val="333333"/>
          <w:sz w:val="22"/>
          <w:szCs w:val="22"/>
          <w:lang w:val="es-ES_tradnl"/>
        </w:rPr>
      </w:pPr>
    </w:p>
    <w:p w14:paraId="0BF01A32" w14:textId="63FDB960" w:rsidR="008B2C84" w:rsidRPr="004661DC" w:rsidRDefault="008B2C84" w:rsidP="008B2C84">
      <w:pPr>
        <w:widowControl/>
        <w:numPr>
          <w:ilvl w:val="0"/>
          <w:numId w:val="2"/>
        </w:numPr>
        <w:autoSpaceDE/>
        <w:autoSpaceDN/>
        <w:contextualSpacing/>
        <w:jc w:val="both"/>
        <w:textAlignment w:val="auto"/>
        <w:rPr>
          <w:rFonts w:ascii="Arial" w:hAnsi="Arial" w:cs="Arial"/>
          <w:color w:val="333333"/>
          <w:sz w:val="22"/>
          <w:szCs w:val="22"/>
          <w:lang w:val="es-ES_tradnl"/>
        </w:rPr>
      </w:pPr>
      <w:r w:rsidRPr="004661DC">
        <w:rPr>
          <w:rFonts w:ascii="Arial" w:hAnsi="Arial" w:cs="Arial"/>
          <w:color w:val="333333"/>
          <w:sz w:val="22"/>
          <w:szCs w:val="22"/>
          <w:lang w:val="es-ES_tradnl"/>
        </w:rPr>
        <w:t>considerar</w:t>
      </w:r>
      <w:r w:rsidR="00F549FB" w:rsidRPr="004661DC">
        <w:rPr>
          <w:rFonts w:ascii="Arial" w:hAnsi="Arial" w:cs="Arial"/>
          <w:color w:val="333333"/>
          <w:sz w:val="22"/>
          <w:szCs w:val="22"/>
          <w:lang w:val="es-ES_tradnl"/>
        </w:rPr>
        <w:t xml:space="preserve">, teniendo en cuenta el asesoramiento del Consejo Científico, </w:t>
      </w:r>
      <w:r w:rsidRPr="004661DC">
        <w:rPr>
          <w:rFonts w:ascii="Arial" w:hAnsi="Arial" w:cs="Arial"/>
          <w:color w:val="333333"/>
          <w:sz w:val="22"/>
          <w:szCs w:val="22"/>
          <w:lang w:val="es-ES_tradnl"/>
        </w:rPr>
        <w:t xml:space="preserve">el desarrollo de un plan de acción </w:t>
      </w:r>
      <w:r w:rsidR="004661DC">
        <w:rPr>
          <w:rFonts w:ascii="Arial" w:hAnsi="Arial" w:cs="Arial"/>
          <w:sz w:val="22"/>
          <w:szCs w:val="22"/>
          <w:lang w:val="es-ES_tradnl"/>
        </w:rPr>
        <w:t>de especies múltiples</w:t>
      </w:r>
      <w:r w:rsidRPr="004661DC">
        <w:rPr>
          <w:rFonts w:ascii="Arial" w:hAnsi="Arial" w:cs="Arial"/>
          <w:color w:val="333333"/>
          <w:sz w:val="22"/>
          <w:szCs w:val="22"/>
          <w:lang w:val="es-ES_tradnl"/>
        </w:rPr>
        <w:t xml:space="preserve"> basado en la minimización de las principales amenazas para un grupo de especies;</w:t>
      </w:r>
    </w:p>
    <w:p w14:paraId="1529AA63" w14:textId="77777777" w:rsidR="008B2C84" w:rsidRPr="004661DC" w:rsidRDefault="008B2C84" w:rsidP="008B2C84">
      <w:pPr>
        <w:widowControl/>
        <w:autoSpaceDE/>
        <w:autoSpaceDN/>
        <w:ind w:left="720"/>
        <w:contextualSpacing/>
        <w:textAlignment w:val="auto"/>
        <w:rPr>
          <w:rFonts w:ascii="Arial" w:hAnsi="Arial" w:cs="Arial"/>
          <w:color w:val="333333"/>
          <w:sz w:val="22"/>
          <w:szCs w:val="22"/>
          <w:lang w:val="es-ES_tradnl"/>
        </w:rPr>
      </w:pPr>
    </w:p>
    <w:p w14:paraId="51BA745D" w14:textId="19CE0221" w:rsidR="00216371" w:rsidRPr="004661DC" w:rsidRDefault="00216371" w:rsidP="008B2C84">
      <w:pPr>
        <w:widowControl/>
        <w:numPr>
          <w:ilvl w:val="0"/>
          <w:numId w:val="2"/>
        </w:numPr>
        <w:autoSpaceDE/>
        <w:autoSpaceDN/>
        <w:contextualSpacing/>
        <w:jc w:val="both"/>
        <w:textAlignment w:val="auto"/>
        <w:rPr>
          <w:rFonts w:ascii="Arial" w:hAnsi="Arial" w:cs="Arial"/>
          <w:color w:val="333333"/>
          <w:sz w:val="22"/>
          <w:szCs w:val="22"/>
          <w:lang w:val="es-ES_tradnl"/>
        </w:rPr>
      </w:pPr>
      <w:r w:rsidRPr="004661DC">
        <w:rPr>
          <w:rFonts w:ascii="Arial" w:hAnsi="Arial" w:cs="Arial"/>
          <w:color w:val="333333"/>
          <w:sz w:val="22"/>
          <w:szCs w:val="22"/>
          <w:lang w:val="es-ES_tradnl"/>
        </w:rPr>
        <w:t xml:space="preserve">colaborar </w:t>
      </w:r>
      <w:r w:rsidR="008B2C84" w:rsidRPr="004661DC">
        <w:rPr>
          <w:rFonts w:ascii="Arial" w:hAnsi="Arial" w:cs="Arial"/>
          <w:color w:val="333333"/>
          <w:sz w:val="22"/>
          <w:szCs w:val="22"/>
          <w:lang w:val="es-ES_tradnl"/>
        </w:rPr>
        <w:t>con otros Estados del área de distribución para proponer la inclusión de más especies de peces de agua dulce migratorias que estén en peligro en los Apéndices de la CMS</w:t>
      </w:r>
      <w:r w:rsidRPr="004661DC">
        <w:rPr>
          <w:rFonts w:ascii="Arial" w:hAnsi="Arial" w:cs="Arial"/>
          <w:color w:val="333333"/>
          <w:sz w:val="22"/>
          <w:szCs w:val="22"/>
          <w:lang w:val="es-ES_tradnl"/>
        </w:rPr>
        <w:t>;</w:t>
      </w:r>
    </w:p>
    <w:p w14:paraId="790EF39E" w14:textId="77777777" w:rsidR="00216371" w:rsidRPr="004661DC" w:rsidRDefault="00216371" w:rsidP="00372E2F">
      <w:pPr>
        <w:pStyle w:val="ListParagraph"/>
        <w:rPr>
          <w:rFonts w:ascii="Arial" w:hAnsi="Arial" w:cs="Arial"/>
          <w:color w:val="333333"/>
          <w:sz w:val="22"/>
          <w:szCs w:val="22"/>
          <w:lang w:val="es-ES_tradnl"/>
        </w:rPr>
      </w:pPr>
    </w:p>
    <w:p w14:paraId="7A7A509B" w14:textId="4A28B13C" w:rsidR="008B2C84" w:rsidRPr="004661DC" w:rsidRDefault="00216371" w:rsidP="00372E2F">
      <w:pPr>
        <w:pStyle w:val="ListParagraph"/>
        <w:widowControl/>
        <w:numPr>
          <w:ilvl w:val="0"/>
          <w:numId w:val="2"/>
        </w:numPr>
        <w:suppressAutoHyphens w:val="0"/>
        <w:autoSpaceDE/>
        <w:autoSpaceDN/>
        <w:spacing w:after="160" w:line="259" w:lineRule="auto"/>
        <w:jc w:val="both"/>
        <w:textAlignment w:val="auto"/>
        <w:rPr>
          <w:rFonts w:ascii="Arial" w:hAnsi="Arial" w:cs="Arial"/>
          <w:color w:val="333333"/>
          <w:sz w:val="22"/>
          <w:szCs w:val="22"/>
          <w:lang w:val="es-ES_tradnl"/>
        </w:rPr>
      </w:pPr>
      <w:r w:rsidRPr="004661DC">
        <w:rPr>
          <w:rFonts w:ascii="Arial" w:hAnsi="Arial" w:cs="Arial"/>
          <w:sz w:val="22"/>
          <w:szCs w:val="22"/>
          <w:lang w:val="es-ES_tradnl"/>
        </w:rPr>
        <w:t>promover la concienciación sobre el estado de conservación de los peces de agua dulce incluidos en las listas de la CMS</w:t>
      </w:r>
      <w:r w:rsidR="008B2C84" w:rsidRPr="004661DC">
        <w:rPr>
          <w:rFonts w:ascii="Arial" w:hAnsi="Arial" w:cs="Arial"/>
          <w:color w:val="333333"/>
          <w:sz w:val="22"/>
          <w:szCs w:val="22"/>
          <w:lang w:val="es-ES_tradnl"/>
        </w:rPr>
        <w:t>.</w:t>
      </w:r>
    </w:p>
    <w:p w14:paraId="417356CD" w14:textId="77777777" w:rsidR="008B2C84" w:rsidRPr="004661DC" w:rsidRDefault="008B2C84" w:rsidP="008B2C84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sz w:val="22"/>
          <w:szCs w:val="22"/>
          <w:lang w:val="es-ES_tradnl"/>
        </w:rPr>
      </w:pPr>
    </w:p>
    <w:p w14:paraId="00D5C022" w14:textId="77777777" w:rsidR="008B2C84" w:rsidRPr="004661DC" w:rsidRDefault="008B2C84" w:rsidP="008B2C84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b/>
          <w:i/>
          <w:sz w:val="22"/>
          <w:szCs w:val="22"/>
          <w:lang w:val="es-ES_tradnl"/>
        </w:rPr>
      </w:pPr>
      <w:r w:rsidRPr="004661DC">
        <w:rPr>
          <w:rFonts w:ascii="Arial" w:eastAsiaTheme="minorHAnsi" w:hAnsi="Arial" w:cs="Arial"/>
          <w:b/>
          <w:i/>
          <w:sz w:val="22"/>
          <w:szCs w:val="22"/>
          <w:lang w:val="es-ES_tradnl"/>
        </w:rPr>
        <w:t>Dirigido a las organizaciones no gubernamentales</w:t>
      </w:r>
    </w:p>
    <w:p w14:paraId="23387AAC" w14:textId="77777777" w:rsidR="008B2C84" w:rsidRPr="004661DC" w:rsidRDefault="008B2C84" w:rsidP="008B2C84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sz w:val="22"/>
          <w:szCs w:val="22"/>
          <w:lang w:val="es-ES_tradnl"/>
        </w:rPr>
      </w:pPr>
    </w:p>
    <w:p w14:paraId="48C6D34E" w14:textId="77777777" w:rsidR="008B2C84" w:rsidRPr="004661DC" w:rsidRDefault="008B2C84" w:rsidP="008B2C84">
      <w:pPr>
        <w:widowControl/>
        <w:autoSpaceDE/>
        <w:autoSpaceDN/>
        <w:ind w:left="794" w:hanging="794"/>
        <w:jc w:val="both"/>
        <w:textAlignment w:val="auto"/>
        <w:rPr>
          <w:rFonts w:ascii="Arial" w:hAnsi="Arial" w:cs="Arial"/>
          <w:color w:val="333333"/>
          <w:sz w:val="22"/>
          <w:szCs w:val="22"/>
          <w:lang w:val="es-ES_tradnl"/>
        </w:rPr>
      </w:pPr>
      <w:r w:rsidRPr="004661DC">
        <w:rPr>
          <w:rFonts w:ascii="Arial" w:eastAsiaTheme="minorHAnsi" w:hAnsi="Arial" w:cs="Arial"/>
          <w:sz w:val="22"/>
          <w:szCs w:val="22"/>
          <w:lang w:val="es-ES_tradnl"/>
        </w:rPr>
        <w:t>14.FF</w:t>
      </w:r>
      <w:r w:rsidRPr="004661DC">
        <w:rPr>
          <w:rFonts w:ascii="Arial" w:eastAsiaTheme="minorHAnsi" w:hAnsi="Arial" w:cs="Arial"/>
          <w:sz w:val="22"/>
          <w:szCs w:val="22"/>
          <w:lang w:val="es-ES_tradnl"/>
        </w:rPr>
        <w:tab/>
        <w:t xml:space="preserve">Se insta a las </w:t>
      </w:r>
      <w:r w:rsidRPr="004661DC">
        <w:rPr>
          <w:rFonts w:ascii="Arial" w:eastAsiaTheme="minorHAnsi" w:hAnsi="Arial" w:cs="Arial"/>
          <w:iCs/>
          <w:sz w:val="22"/>
          <w:szCs w:val="22"/>
          <w:lang w:val="es-ES_tradnl"/>
        </w:rPr>
        <w:t xml:space="preserve">organizaciones no gubernamentales </w:t>
      </w:r>
      <w:r w:rsidRPr="004661DC">
        <w:rPr>
          <w:rFonts w:ascii="Arial" w:hAnsi="Arial" w:cs="Arial"/>
          <w:color w:val="333333"/>
          <w:sz w:val="22"/>
          <w:szCs w:val="22"/>
          <w:lang w:val="es-ES_tradnl"/>
        </w:rPr>
        <w:t>a</w:t>
      </w:r>
    </w:p>
    <w:p w14:paraId="0EA52CDF" w14:textId="77777777" w:rsidR="008B2C84" w:rsidRPr="004661DC" w:rsidRDefault="008B2C84" w:rsidP="008B2C84">
      <w:pPr>
        <w:widowControl/>
        <w:autoSpaceDE/>
        <w:autoSpaceDN/>
        <w:ind w:left="794" w:hanging="794"/>
        <w:jc w:val="both"/>
        <w:textAlignment w:val="auto"/>
        <w:rPr>
          <w:rFonts w:ascii="Arial" w:hAnsi="Arial" w:cs="Arial"/>
          <w:color w:val="333333"/>
          <w:sz w:val="22"/>
          <w:szCs w:val="22"/>
          <w:lang w:val="es-ES_tradnl"/>
        </w:rPr>
      </w:pPr>
    </w:p>
    <w:p w14:paraId="71B7146A" w14:textId="45EA7695" w:rsidR="008B2C84" w:rsidRPr="004661DC" w:rsidRDefault="008B2C84" w:rsidP="008B2C84">
      <w:pPr>
        <w:widowControl/>
        <w:numPr>
          <w:ilvl w:val="0"/>
          <w:numId w:val="4"/>
        </w:numPr>
        <w:autoSpaceDE/>
        <w:autoSpaceDN/>
        <w:ind w:left="1260" w:hanging="450"/>
        <w:contextualSpacing/>
        <w:jc w:val="both"/>
        <w:textAlignment w:val="auto"/>
        <w:rPr>
          <w:rFonts w:ascii="Arial" w:hAnsi="Arial" w:cs="Arial"/>
          <w:color w:val="333333"/>
          <w:sz w:val="22"/>
          <w:szCs w:val="22"/>
          <w:lang w:val="es-ES_tradnl"/>
        </w:rPr>
      </w:pPr>
      <w:r w:rsidRPr="004661DC">
        <w:rPr>
          <w:rFonts w:ascii="Arial" w:hAnsi="Arial" w:cs="Arial"/>
          <w:color w:val="333333"/>
          <w:sz w:val="22"/>
          <w:szCs w:val="22"/>
          <w:lang w:val="es-ES_tradnl"/>
        </w:rPr>
        <w:t>trabajar junto a los Estados del área de distribución para proporcionar conocimientos técnicos y financiación para recoger y compartir los datos sobre las especies de peces migratorios de agua dulce transfronterizos, incluida la abundancia, la ecología piscícola y la degradación del hábitat actuales, sobre todo para aquellas especies que se encuentran en las listas rojas tanto nacionales como regionales o mundiales</w:t>
      </w:r>
      <w:r w:rsidR="0019647B" w:rsidRPr="004661DC">
        <w:rPr>
          <w:rFonts w:ascii="Arial" w:hAnsi="Arial" w:cs="Arial"/>
          <w:color w:val="333333"/>
          <w:sz w:val="22"/>
          <w:szCs w:val="22"/>
          <w:lang w:val="es-ES_tradnl"/>
        </w:rPr>
        <w:t>;</w:t>
      </w:r>
    </w:p>
    <w:p w14:paraId="1797298F" w14:textId="77777777" w:rsidR="008B2C84" w:rsidRPr="004661DC" w:rsidRDefault="008B2C84" w:rsidP="008B2C84">
      <w:pPr>
        <w:widowControl/>
        <w:autoSpaceDE/>
        <w:autoSpaceDN/>
        <w:ind w:left="1260" w:hanging="450"/>
        <w:contextualSpacing/>
        <w:jc w:val="both"/>
        <w:textAlignment w:val="auto"/>
        <w:rPr>
          <w:rFonts w:ascii="Arial" w:hAnsi="Arial" w:cs="Arial"/>
          <w:color w:val="333333"/>
          <w:sz w:val="22"/>
          <w:szCs w:val="22"/>
          <w:lang w:val="es-ES_tradnl"/>
        </w:rPr>
      </w:pPr>
    </w:p>
    <w:p w14:paraId="1D2220F4" w14:textId="1C5BDEF2" w:rsidR="008B2C84" w:rsidRPr="004661DC" w:rsidRDefault="008B2C84" w:rsidP="008B2C84">
      <w:pPr>
        <w:widowControl/>
        <w:numPr>
          <w:ilvl w:val="0"/>
          <w:numId w:val="4"/>
        </w:numPr>
        <w:autoSpaceDE/>
        <w:autoSpaceDN/>
        <w:ind w:left="1260" w:hanging="450"/>
        <w:contextualSpacing/>
        <w:jc w:val="both"/>
        <w:textAlignment w:val="auto"/>
        <w:rPr>
          <w:rFonts w:ascii="Arial" w:hAnsi="Arial" w:cs="Arial"/>
          <w:color w:val="333333"/>
          <w:sz w:val="22"/>
          <w:szCs w:val="22"/>
          <w:lang w:val="es-ES_tradnl"/>
        </w:rPr>
      </w:pPr>
      <w:r w:rsidRPr="004661DC">
        <w:rPr>
          <w:rFonts w:ascii="Arial" w:hAnsi="Arial" w:cs="Arial"/>
          <w:color w:val="333333"/>
          <w:sz w:val="22"/>
          <w:szCs w:val="22"/>
          <w:lang w:val="es-ES_tradnl"/>
        </w:rPr>
        <w:t>proporcionar conocimientos técnicos y fondos a los Estados del área de distribución para apoyar su investigación y el intercambio de datos</w:t>
      </w:r>
      <w:r w:rsidR="00216371" w:rsidRPr="004661DC">
        <w:rPr>
          <w:rFonts w:ascii="Arial" w:hAnsi="Arial" w:cs="Arial"/>
          <w:color w:val="333333"/>
          <w:sz w:val="22"/>
          <w:szCs w:val="22"/>
          <w:lang w:val="es-ES_tradnl"/>
        </w:rPr>
        <w:t>;</w:t>
      </w:r>
    </w:p>
    <w:p w14:paraId="58E49E24" w14:textId="77777777" w:rsidR="00216371" w:rsidRPr="004661DC" w:rsidRDefault="00216371" w:rsidP="00372E2F">
      <w:pPr>
        <w:pStyle w:val="ListParagraph"/>
        <w:rPr>
          <w:rFonts w:ascii="Arial" w:hAnsi="Arial" w:cs="Arial"/>
          <w:color w:val="333333"/>
          <w:sz w:val="22"/>
          <w:szCs w:val="22"/>
          <w:lang w:val="es-ES_tradnl"/>
        </w:rPr>
      </w:pPr>
    </w:p>
    <w:p w14:paraId="1AF234E9" w14:textId="1875BC47" w:rsidR="00216371" w:rsidRPr="004661DC" w:rsidRDefault="00216371" w:rsidP="008B2C84">
      <w:pPr>
        <w:widowControl/>
        <w:numPr>
          <w:ilvl w:val="0"/>
          <w:numId w:val="4"/>
        </w:numPr>
        <w:autoSpaceDE/>
        <w:autoSpaceDN/>
        <w:ind w:left="1260" w:hanging="450"/>
        <w:contextualSpacing/>
        <w:jc w:val="both"/>
        <w:textAlignment w:val="auto"/>
        <w:rPr>
          <w:rFonts w:ascii="Arial" w:hAnsi="Arial" w:cs="Arial"/>
          <w:color w:val="333333"/>
          <w:sz w:val="22"/>
          <w:szCs w:val="22"/>
          <w:lang w:val="es-ES_tradnl"/>
        </w:rPr>
      </w:pPr>
      <w:r w:rsidRPr="004661DC">
        <w:rPr>
          <w:rFonts w:ascii="Arial" w:hAnsi="Arial" w:cs="Arial"/>
          <w:color w:val="333333"/>
          <w:sz w:val="22"/>
          <w:szCs w:val="22"/>
          <w:lang w:val="es-ES_tradnl"/>
        </w:rPr>
        <w:t>promover la concienciación sobre el estado de conservación de los peces de agua dulce incluidos en las listas de la CMS.</w:t>
      </w:r>
    </w:p>
    <w:p w14:paraId="3DFB7EC0" w14:textId="77777777" w:rsidR="008B2C84" w:rsidRPr="004661DC" w:rsidRDefault="008B2C84" w:rsidP="008B2C84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b/>
          <w:i/>
          <w:sz w:val="22"/>
          <w:szCs w:val="22"/>
          <w:lang w:val="es-ES_tradnl"/>
        </w:rPr>
      </w:pPr>
    </w:p>
    <w:p w14:paraId="57425497" w14:textId="77777777" w:rsidR="00865F82" w:rsidRPr="004661DC" w:rsidRDefault="00865F82">
      <w:pPr>
        <w:widowControl/>
        <w:suppressAutoHyphens w:val="0"/>
        <w:autoSpaceDE/>
        <w:spacing w:after="160" w:line="254" w:lineRule="auto"/>
        <w:rPr>
          <w:rFonts w:ascii="Arial" w:eastAsiaTheme="minorHAnsi" w:hAnsi="Arial" w:cs="Arial"/>
          <w:b/>
          <w:i/>
          <w:sz w:val="22"/>
          <w:szCs w:val="22"/>
          <w:lang w:val="es-ES_tradnl"/>
        </w:rPr>
      </w:pPr>
      <w:r w:rsidRPr="004661DC">
        <w:rPr>
          <w:rFonts w:ascii="Arial" w:eastAsiaTheme="minorHAnsi" w:hAnsi="Arial" w:cs="Arial"/>
          <w:b/>
          <w:i/>
          <w:sz w:val="22"/>
          <w:szCs w:val="22"/>
          <w:lang w:val="es-ES_tradnl"/>
        </w:rPr>
        <w:br w:type="page"/>
      </w:r>
    </w:p>
    <w:p w14:paraId="743A6B81" w14:textId="3055664D" w:rsidR="008B2C84" w:rsidRPr="004661DC" w:rsidRDefault="008B2C84" w:rsidP="008B2C84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b/>
          <w:i/>
          <w:sz w:val="22"/>
          <w:szCs w:val="22"/>
          <w:lang w:val="es-ES_tradnl"/>
        </w:rPr>
      </w:pPr>
      <w:r w:rsidRPr="004661DC">
        <w:rPr>
          <w:rFonts w:ascii="Arial" w:eastAsiaTheme="minorHAnsi" w:hAnsi="Arial" w:cs="Arial"/>
          <w:b/>
          <w:i/>
          <w:sz w:val="22"/>
          <w:szCs w:val="22"/>
          <w:lang w:val="es-ES_tradnl"/>
        </w:rPr>
        <w:lastRenderedPageBreak/>
        <w:t>Dirigido al Consejo Científico</w:t>
      </w:r>
    </w:p>
    <w:p w14:paraId="003B3951" w14:textId="77777777" w:rsidR="008B2C84" w:rsidRPr="004661DC" w:rsidRDefault="008B2C84" w:rsidP="008B2C84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sz w:val="22"/>
          <w:szCs w:val="22"/>
          <w:lang w:val="es-ES_tradnl"/>
        </w:rPr>
      </w:pPr>
    </w:p>
    <w:p w14:paraId="7B1278DE" w14:textId="77777777" w:rsidR="008B2C84" w:rsidRPr="004661DC" w:rsidRDefault="008B2C84" w:rsidP="008B2C84">
      <w:pPr>
        <w:widowControl/>
        <w:autoSpaceDE/>
        <w:autoSpaceDN/>
        <w:ind w:left="851" w:hanging="851"/>
        <w:jc w:val="both"/>
        <w:textAlignment w:val="auto"/>
        <w:rPr>
          <w:rFonts w:ascii="Arial" w:eastAsiaTheme="minorHAnsi" w:hAnsi="Arial" w:cs="Arial"/>
          <w:sz w:val="22"/>
          <w:szCs w:val="22"/>
          <w:lang w:val="es-ES_tradnl"/>
        </w:rPr>
      </w:pPr>
      <w:r w:rsidRPr="004661DC">
        <w:rPr>
          <w:rFonts w:ascii="Arial" w:eastAsiaTheme="minorHAnsi" w:hAnsi="Arial" w:cs="Arial"/>
          <w:sz w:val="22"/>
          <w:szCs w:val="22"/>
          <w:lang w:val="es-ES_tradnl"/>
        </w:rPr>
        <w:t>14.GG</w:t>
      </w:r>
      <w:r w:rsidRPr="004661DC">
        <w:rPr>
          <w:rFonts w:ascii="Arial" w:eastAsiaTheme="minorHAnsi" w:hAnsi="Arial" w:cs="Arial"/>
          <w:sz w:val="22"/>
          <w:szCs w:val="22"/>
          <w:lang w:val="es-ES_tradnl"/>
        </w:rPr>
        <w:tab/>
        <w:t>Se solicita al Consejo Científico, sujeto a la disponibilidad de recursos externos:</w:t>
      </w:r>
    </w:p>
    <w:p w14:paraId="25B349ED" w14:textId="77777777" w:rsidR="00F549FB" w:rsidRPr="004661DC" w:rsidRDefault="00F549FB" w:rsidP="008B2C84">
      <w:pPr>
        <w:widowControl/>
        <w:autoSpaceDE/>
        <w:autoSpaceDN/>
        <w:ind w:left="851" w:hanging="851"/>
        <w:jc w:val="both"/>
        <w:textAlignment w:val="auto"/>
        <w:rPr>
          <w:rFonts w:ascii="Arial" w:eastAsiaTheme="minorHAnsi" w:hAnsi="Arial" w:cs="Arial"/>
          <w:sz w:val="22"/>
          <w:szCs w:val="22"/>
          <w:lang w:val="es-ES_tradnl"/>
        </w:rPr>
      </w:pPr>
    </w:p>
    <w:p w14:paraId="40604E3B" w14:textId="77777777" w:rsidR="00F549FB" w:rsidRPr="004661DC" w:rsidRDefault="00F549FB" w:rsidP="00F549FB">
      <w:pPr>
        <w:widowControl/>
        <w:numPr>
          <w:ilvl w:val="0"/>
          <w:numId w:val="5"/>
        </w:numPr>
        <w:autoSpaceDE/>
        <w:autoSpaceDN/>
        <w:ind w:left="1260" w:hanging="450"/>
        <w:contextualSpacing/>
        <w:jc w:val="both"/>
        <w:textAlignment w:val="auto"/>
        <w:rPr>
          <w:rFonts w:ascii="Arial" w:hAnsi="Arial" w:cs="Arial"/>
          <w:sz w:val="22"/>
          <w:szCs w:val="22"/>
          <w:lang w:val="es-ES_tradnl"/>
        </w:rPr>
      </w:pPr>
      <w:r w:rsidRPr="004661DC">
        <w:rPr>
          <w:rFonts w:ascii="Arial" w:eastAsiaTheme="minorHAnsi" w:hAnsi="Arial" w:cs="Arial"/>
          <w:sz w:val="22"/>
          <w:szCs w:val="22"/>
          <w:lang w:val="es-ES_tradnl"/>
        </w:rPr>
        <w:t>actualizar el examen de los peces de agua dulce que figura en UNEP/CMS/Inf.10.33;</w:t>
      </w:r>
    </w:p>
    <w:p w14:paraId="49A6112A" w14:textId="77777777" w:rsidR="00F549FB" w:rsidRPr="004661DC" w:rsidRDefault="00F549FB" w:rsidP="00F549FB">
      <w:pPr>
        <w:widowControl/>
        <w:autoSpaceDE/>
        <w:autoSpaceDN/>
        <w:ind w:left="1260" w:hanging="450"/>
        <w:contextualSpacing/>
        <w:jc w:val="both"/>
        <w:textAlignment w:val="auto"/>
        <w:rPr>
          <w:rFonts w:ascii="Arial" w:hAnsi="Arial" w:cs="Arial"/>
          <w:sz w:val="22"/>
          <w:szCs w:val="22"/>
          <w:lang w:val="es-ES_tradnl"/>
        </w:rPr>
      </w:pPr>
    </w:p>
    <w:p w14:paraId="02ED4909" w14:textId="6574F718" w:rsidR="00F549FB" w:rsidRPr="004661DC" w:rsidRDefault="00F549FB" w:rsidP="004661DC">
      <w:pPr>
        <w:widowControl/>
        <w:numPr>
          <w:ilvl w:val="0"/>
          <w:numId w:val="5"/>
        </w:numPr>
        <w:autoSpaceDE/>
        <w:autoSpaceDN/>
        <w:ind w:left="1260" w:hanging="450"/>
        <w:contextualSpacing/>
        <w:jc w:val="both"/>
        <w:textAlignment w:val="auto"/>
        <w:rPr>
          <w:rFonts w:ascii="Arial" w:hAnsi="Arial" w:cs="Arial"/>
          <w:sz w:val="22"/>
          <w:szCs w:val="22"/>
          <w:lang w:val="es-ES_tradnl"/>
        </w:rPr>
      </w:pPr>
      <w:r w:rsidRPr="004661DC">
        <w:rPr>
          <w:rFonts w:ascii="Arial" w:hAnsi="Arial" w:cs="Arial"/>
          <w:sz w:val="22"/>
          <w:szCs w:val="22"/>
          <w:lang w:val="es-ES_tradnl"/>
        </w:rPr>
        <w:t xml:space="preserve">asesorar sobre la elaboración de un plan de acción </w:t>
      </w:r>
      <w:r w:rsidR="004661DC">
        <w:rPr>
          <w:rFonts w:ascii="Arial" w:hAnsi="Arial" w:cs="Arial"/>
          <w:sz w:val="22"/>
          <w:szCs w:val="22"/>
          <w:lang w:val="es-ES_tradnl"/>
        </w:rPr>
        <w:t xml:space="preserve">de especies múltiples </w:t>
      </w:r>
      <w:r w:rsidRPr="004661DC">
        <w:rPr>
          <w:rFonts w:ascii="Arial" w:hAnsi="Arial" w:cs="Arial"/>
          <w:sz w:val="22"/>
          <w:szCs w:val="22"/>
          <w:lang w:val="es-ES_tradnl"/>
        </w:rPr>
        <w:t>para los peces de agua dulce con el fin de hacer frente a las principales amenazas para este grupo de especies</w:t>
      </w:r>
      <w:r w:rsidR="0019647B" w:rsidRPr="004661DC">
        <w:rPr>
          <w:rFonts w:ascii="Arial" w:eastAsiaTheme="minorHAnsi" w:hAnsi="Arial" w:cs="Arial"/>
          <w:sz w:val="22"/>
          <w:szCs w:val="22"/>
          <w:lang w:val="es-ES_tradnl"/>
        </w:rPr>
        <w:t>;</w:t>
      </w:r>
    </w:p>
    <w:p w14:paraId="64178A67" w14:textId="77777777" w:rsidR="00F549FB" w:rsidRPr="004661DC" w:rsidRDefault="00F549FB" w:rsidP="00F549FB">
      <w:pPr>
        <w:pStyle w:val="ListParagraph"/>
        <w:rPr>
          <w:rFonts w:ascii="Arial" w:eastAsiaTheme="minorHAnsi" w:hAnsi="Arial" w:cs="Arial"/>
          <w:sz w:val="22"/>
          <w:szCs w:val="22"/>
          <w:lang w:val="es-ES_tradnl"/>
        </w:rPr>
      </w:pPr>
    </w:p>
    <w:p w14:paraId="76256ABB" w14:textId="77777777" w:rsidR="00F549FB" w:rsidRPr="004661DC" w:rsidRDefault="00F549FB" w:rsidP="00F549FB">
      <w:pPr>
        <w:widowControl/>
        <w:numPr>
          <w:ilvl w:val="0"/>
          <w:numId w:val="5"/>
        </w:numPr>
        <w:autoSpaceDE/>
        <w:autoSpaceDN/>
        <w:ind w:left="1260" w:hanging="450"/>
        <w:contextualSpacing/>
        <w:jc w:val="both"/>
        <w:textAlignment w:val="auto"/>
        <w:rPr>
          <w:rFonts w:ascii="Arial" w:hAnsi="Arial" w:cs="Arial"/>
          <w:sz w:val="22"/>
          <w:szCs w:val="22"/>
          <w:lang w:val="es-ES_tradnl"/>
        </w:rPr>
      </w:pPr>
      <w:r w:rsidRPr="004661DC">
        <w:rPr>
          <w:rFonts w:ascii="Arial" w:eastAsiaTheme="minorHAnsi" w:hAnsi="Arial" w:cs="Arial"/>
          <w:sz w:val="22"/>
          <w:szCs w:val="22"/>
          <w:lang w:val="es-ES_tradnl"/>
        </w:rPr>
        <w:t>informar a la Conferencia de las Partes en su 15ª reunión sobre los progresos realizados en la aplicación de la presente decisión.</w:t>
      </w:r>
    </w:p>
    <w:p w14:paraId="0EB3CF72" w14:textId="77777777" w:rsidR="008B2C84" w:rsidRPr="004661DC" w:rsidRDefault="008B2C84" w:rsidP="008B2C84">
      <w:pPr>
        <w:widowControl/>
        <w:autoSpaceDE/>
        <w:autoSpaceDN/>
        <w:ind w:left="851" w:hanging="851"/>
        <w:jc w:val="both"/>
        <w:textAlignment w:val="auto"/>
        <w:rPr>
          <w:rFonts w:ascii="Arial" w:eastAsiaTheme="minorHAnsi" w:hAnsi="Arial" w:cs="Arial"/>
          <w:sz w:val="22"/>
          <w:szCs w:val="22"/>
          <w:lang w:val="es-ES_tradnl"/>
        </w:rPr>
      </w:pPr>
    </w:p>
    <w:p w14:paraId="5F5C416B" w14:textId="77777777" w:rsidR="008B2C84" w:rsidRPr="004661DC" w:rsidRDefault="008B2C84" w:rsidP="008B2C84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b/>
          <w:i/>
          <w:sz w:val="22"/>
          <w:szCs w:val="22"/>
          <w:lang w:val="es-ES_tradnl"/>
        </w:rPr>
      </w:pPr>
      <w:r w:rsidRPr="004661DC">
        <w:rPr>
          <w:rFonts w:ascii="Arial" w:eastAsiaTheme="minorHAnsi" w:hAnsi="Arial" w:cs="Arial"/>
          <w:b/>
          <w:i/>
          <w:sz w:val="22"/>
          <w:szCs w:val="22"/>
          <w:lang w:val="es-ES_tradnl"/>
        </w:rPr>
        <w:t>Dirigido a la Secretaría</w:t>
      </w:r>
    </w:p>
    <w:p w14:paraId="71468BEC" w14:textId="77777777" w:rsidR="008B2C84" w:rsidRPr="004661DC" w:rsidRDefault="008B2C84" w:rsidP="008B2C84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sz w:val="22"/>
          <w:szCs w:val="22"/>
          <w:lang w:val="es-ES_tradnl"/>
        </w:rPr>
      </w:pPr>
    </w:p>
    <w:p w14:paraId="3A72C5B6" w14:textId="77777777" w:rsidR="008B2C84" w:rsidRPr="004661DC" w:rsidRDefault="008B2C84" w:rsidP="008B2C84">
      <w:pPr>
        <w:widowControl/>
        <w:autoSpaceDE/>
        <w:autoSpaceDN/>
        <w:ind w:left="794" w:hanging="794"/>
        <w:jc w:val="both"/>
        <w:textAlignment w:val="auto"/>
        <w:rPr>
          <w:rFonts w:ascii="Arial" w:eastAsiaTheme="minorHAnsi" w:hAnsi="Arial" w:cs="Arial"/>
          <w:sz w:val="22"/>
          <w:szCs w:val="22"/>
          <w:lang w:val="es-ES_tradnl"/>
        </w:rPr>
      </w:pPr>
      <w:r w:rsidRPr="004661DC">
        <w:rPr>
          <w:rFonts w:ascii="Arial" w:eastAsiaTheme="minorHAnsi" w:hAnsi="Arial" w:cs="Arial"/>
          <w:sz w:val="22"/>
          <w:szCs w:val="22"/>
          <w:lang w:val="es-ES_tradnl"/>
        </w:rPr>
        <w:t>14.HH</w:t>
      </w:r>
      <w:r w:rsidRPr="004661DC">
        <w:rPr>
          <w:rFonts w:ascii="Arial" w:eastAsiaTheme="minorHAnsi" w:hAnsi="Arial" w:cs="Arial"/>
          <w:sz w:val="22"/>
          <w:szCs w:val="22"/>
          <w:lang w:val="es-ES_tradnl"/>
        </w:rPr>
        <w:tab/>
        <w:t>La Secretaría, sujeta a la disponibilidad de recursos externos, deberá:</w:t>
      </w:r>
    </w:p>
    <w:p w14:paraId="60179D06" w14:textId="77777777" w:rsidR="008B2C84" w:rsidRPr="004661DC" w:rsidRDefault="008B2C84" w:rsidP="008B2C84">
      <w:pPr>
        <w:widowControl/>
        <w:autoSpaceDE/>
        <w:autoSpaceDN/>
        <w:ind w:left="794" w:hanging="794"/>
        <w:jc w:val="both"/>
        <w:textAlignment w:val="auto"/>
        <w:rPr>
          <w:rFonts w:ascii="Arial" w:eastAsiaTheme="minorHAnsi" w:hAnsi="Arial" w:cs="Arial"/>
          <w:sz w:val="22"/>
          <w:szCs w:val="22"/>
          <w:lang w:val="es-ES_tradnl"/>
        </w:rPr>
      </w:pPr>
    </w:p>
    <w:p w14:paraId="07132566" w14:textId="12F03560" w:rsidR="00F549FB" w:rsidRPr="004661DC" w:rsidRDefault="00F549FB" w:rsidP="00A4460E">
      <w:pPr>
        <w:pStyle w:val="paragraph"/>
        <w:numPr>
          <w:ilvl w:val="0"/>
          <w:numId w:val="6"/>
        </w:numPr>
        <w:tabs>
          <w:tab w:val="clear" w:pos="720"/>
        </w:tabs>
        <w:spacing w:before="0" w:beforeAutospacing="0" w:after="0" w:afterAutospacing="0"/>
        <w:ind w:left="1134" w:hanging="425"/>
        <w:jc w:val="both"/>
        <w:textAlignment w:val="baseline"/>
        <w:rPr>
          <w:rStyle w:val="normaltextrun"/>
          <w:rFonts w:ascii="Arial" w:hAnsi="Arial" w:cs="Arial"/>
          <w:sz w:val="22"/>
          <w:szCs w:val="22"/>
          <w:lang w:val="es-ES_tradnl"/>
        </w:rPr>
      </w:pPr>
      <w:r w:rsidRPr="004661DC">
        <w:rPr>
          <w:rStyle w:val="normaltextrun"/>
          <w:rFonts w:ascii="Arial" w:hAnsi="Arial" w:cs="Arial"/>
          <w:sz w:val="22"/>
          <w:szCs w:val="22"/>
          <w:lang w:val="es-ES_tradnl"/>
        </w:rPr>
        <w:t xml:space="preserve">apoyar al Consejo Científico en el desarrollo de los informes descritos en la Decisión </w:t>
      </w:r>
      <w:r w:rsidR="0019647B" w:rsidRPr="004661DC">
        <w:rPr>
          <w:rStyle w:val="normaltextrun"/>
          <w:rFonts w:ascii="Arial" w:hAnsi="Arial" w:cs="Arial"/>
          <w:sz w:val="22"/>
          <w:szCs w:val="22"/>
          <w:lang w:val="es-ES_tradnl"/>
        </w:rPr>
        <w:t>14.</w:t>
      </w:r>
      <w:r w:rsidRPr="004661DC">
        <w:rPr>
          <w:rStyle w:val="normaltextrun"/>
          <w:rFonts w:ascii="Arial" w:hAnsi="Arial" w:cs="Arial"/>
          <w:sz w:val="22"/>
          <w:szCs w:val="22"/>
          <w:lang w:val="es-ES_tradnl"/>
        </w:rPr>
        <w:t>GG;</w:t>
      </w:r>
    </w:p>
    <w:p w14:paraId="69B32D8E" w14:textId="77777777" w:rsidR="00F549FB" w:rsidRPr="004661DC" w:rsidRDefault="00F549FB" w:rsidP="00A4460E">
      <w:pPr>
        <w:pStyle w:val="paragraph"/>
        <w:spacing w:before="0" w:beforeAutospacing="0" w:after="0" w:afterAutospacing="0"/>
        <w:ind w:left="1134" w:hanging="425"/>
        <w:jc w:val="both"/>
        <w:textAlignment w:val="baseline"/>
        <w:rPr>
          <w:rStyle w:val="normaltextrun"/>
          <w:rFonts w:ascii="Arial" w:hAnsi="Arial" w:cs="Arial"/>
          <w:sz w:val="22"/>
          <w:szCs w:val="22"/>
          <w:lang w:val="es-ES_tradnl"/>
        </w:rPr>
      </w:pPr>
    </w:p>
    <w:p w14:paraId="69E21A26" w14:textId="45C84F8E" w:rsidR="00F549FB" w:rsidRPr="004661DC" w:rsidRDefault="00F549FB" w:rsidP="00A4460E">
      <w:pPr>
        <w:pStyle w:val="paragraph"/>
        <w:numPr>
          <w:ilvl w:val="0"/>
          <w:numId w:val="6"/>
        </w:numPr>
        <w:tabs>
          <w:tab w:val="clear" w:pos="720"/>
        </w:tabs>
        <w:spacing w:before="0" w:beforeAutospacing="0" w:after="0" w:afterAutospacing="0"/>
        <w:ind w:left="1134" w:hanging="425"/>
        <w:jc w:val="both"/>
        <w:textAlignment w:val="baseline"/>
        <w:rPr>
          <w:rFonts w:ascii="Arial" w:hAnsi="Arial" w:cs="Arial"/>
          <w:sz w:val="22"/>
          <w:szCs w:val="22"/>
          <w:lang w:val="es-ES_tradnl"/>
        </w:rPr>
      </w:pPr>
      <w:r w:rsidRPr="004661DC">
        <w:rPr>
          <w:rStyle w:val="normaltextrun"/>
          <w:rFonts w:ascii="Arial" w:hAnsi="Arial" w:cs="Arial"/>
          <w:sz w:val="22"/>
          <w:szCs w:val="22"/>
          <w:lang w:val="es-ES_tradnl"/>
        </w:rPr>
        <w:t>proporcionar apoyo técnico a las Partes para la ejecución de las actividades descritas en la Decisión 14.EE;</w:t>
      </w:r>
    </w:p>
    <w:p w14:paraId="221213C0" w14:textId="77777777" w:rsidR="00F549FB" w:rsidRPr="004661DC" w:rsidRDefault="00F549FB" w:rsidP="00A4460E">
      <w:pPr>
        <w:pStyle w:val="ListParagraph"/>
        <w:ind w:left="1134" w:hanging="425"/>
        <w:rPr>
          <w:rStyle w:val="normaltextrun"/>
          <w:rFonts w:ascii="Arial" w:hAnsi="Arial" w:cs="Arial"/>
          <w:sz w:val="22"/>
          <w:szCs w:val="22"/>
          <w:lang w:val="es-ES_tradnl"/>
        </w:rPr>
      </w:pPr>
    </w:p>
    <w:p w14:paraId="638880FB" w14:textId="19A54F84" w:rsidR="00F549FB" w:rsidRPr="004661DC" w:rsidRDefault="00F549FB" w:rsidP="00A4460E">
      <w:pPr>
        <w:pStyle w:val="paragraph"/>
        <w:numPr>
          <w:ilvl w:val="0"/>
          <w:numId w:val="6"/>
        </w:numPr>
        <w:tabs>
          <w:tab w:val="clear" w:pos="720"/>
        </w:tabs>
        <w:spacing w:before="0" w:beforeAutospacing="0" w:after="0" w:afterAutospacing="0"/>
        <w:ind w:left="1134" w:hanging="425"/>
        <w:jc w:val="both"/>
        <w:textAlignment w:val="baseline"/>
        <w:rPr>
          <w:rFonts w:ascii="Arial" w:hAnsi="Arial" w:cs="Arial"/>
          <w:sz w:val="22"/>
          <w:szCs w:val="22"/>
          <w:lang w:val="es-ES_tradnl"/>
        </w:rPr>
      </w:pPr>
      <w:r w:rsidRPr="004661DC">
        <w:rPr>
          <w:rStyle w:val="normaltextrun"/>
          <w:rFonts w:ascii="Arial" w:hAnsi="Arial" w:cs="Arial"/>
          <w:sz w:val="22"/>
          <w:szCs w:val="22"/>
          <w:lang w:val="es-ES_tradnl"/>
        </w:rPr>
        <w:t xml:space="preserve">elaborar y difundir directrices y herramientas de gestión pertinentes </w:t>
      </w:r>
      <w:r w:rsidRPr="004661DC">
        <w:rPr>
          <w:rStyle w:val="eop"/>
          <w:rFonts w:ascii="Arial" w:hAnsi="Arial" w:cs="Arial"/>
          <w:sz w:val="22"/>
          <w:szCs w:val="22"/>
          <w:lang w:val="es-ES_tradnl"/>
        </w:rPr>
        <w:t>que soliciten las Partes.</w:t>
      </w:r>
    </w:p>
    <w:p w14:paraId="07D8871E" w14:textId="77777777" w:rsidR="00F549FB" w:rsidRPr="004661DC" w:rsidRDefault="00F549FB" w:rsidP="008B2C84">
      <w:pPr>
        <w:widowControl/>
        <w:autoSpaceDE/>
        <w:autoSpaceDN/>
        <w:ind w:left="794" w:hanging="794"/>
        <w:jc w:val="both"/>
        <w:textAlignment w:val="auto"/>
        <w:rPr>
          <w:rFonts w:ascii="Arial" w:eastAsiaTheme="minorHAnsi" w:hAnsi="Arial" w:cs="Arial"/>
          <w:sz w:val="22"/>
          <w:szCs w:val="22"/>
          <w:lang w:val="es-ES_tradnl"/>
        </w:rPr>
      </w:pPr>
    </w:p>
    <w:p w14:paraId="77F883D9" w14:textId="77777777" w:rsidR="00D82C56" w:rsidRPr="004661DC" w:rsidRDefault="00D82C56" w:rsidP="008B2C84">
      <w:pPr>
        <w:rPr>
          <w:rFonts w:ascii="Arial" w:hAnsi="Arial" w:cs="Arial"/>
          <w:sz w:val="22"/>
          <w:szCs w:val="22"/>
          <w:lang w:val="es-ES_tradnl"/>
        </w:rPr>
      </w:pPr>
    </w:p>
    <w:p w14:paraId="252D3654" w14:textId="77777777" w:rsidR="00227282" w:rsidRPr="004661DC" w:rsidRDefault="00227282" w:rsidP="008B2C84">
      <w:pPr>
        <w:rPr>
          <w:rFonts w:ascii="Arial" w:hAnsi="Arial" w:cs="Arial"/>
          <w:lang w:val="es-ES_tradnl"/>
        </w:rPr>
      </w:pPr>
    </w:p>
    <w:p w14:paraId="074341C0" w14:textId="77777777" w:rsidR="004661DC" w:rsidRPr="004661DC" w:rsidRDefault="004661DC">
      <w:pPr>
        <w:rPr>
          <w:rFonts w:ascii="Arial" w:hAnsi="Arial" w:cs="Arial"/>
          <w:lang w:val="es-ES_tradnl"/>
        </w:rPr>
      </w:pPr>
    </w:p>
    <w:sectPr w:rsidR="004661DC" w:rsidRPr="004661DC" w:rsidSect="00A9605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50C24" w14:textId="77777777" w:rsidR="00A9605E" w:rsidRDefault="00A9605E">
      <w:r>
        <w:separator/>
      </w:r>
    </w:p>
  </w:endnote>
  <w:endnote w:type="continuationSeparator" w:id="0">
    <w:p w14:paraId="2A07776C" w14:textId="77777777" w:rsidR="00A9605E" w:rsidRDefault="00A9605E">
      <w:r>
        <w:continuationSeparator/>
      </w:r>
    </w:p>
  </w:endnote>
  <w:endnote w:type="continuationNotice" w:id="1">
    <w:p w14:paraId="0F8C9FDF" w14:textId="77777777" w:rsidR="00A9605E" w:rsidRDefault="00A960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4938B" w14:textId="77777777" w:rsidR="0041439A" w:rsidRDefault="005D43E4">
    <w:pPr>
      <w:pStyle w:val="Footer"/>
      <w:jc w:val="center"/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3A3BC" w14:textId="77777777" w:rsidR="0041439A" w:rsidRDefault="005D43E4">
    <w:pPr>
      <w:pStyle w:val="Footer"/>
      <w:jc w:val="center"/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63F50" w14:textId="77777777" w:rsidR="00A9605E" w:rsidRDefault="00A9605E">
      <w:r>
        <w:rPr>
          <w:color w:val="000000"/>
        </w:rPr>
        <w:separator/>
      </w:r>
    </w:p>
  </w:footnote>
  <w:footnote w:type="continuationSeparator" w:id="0">
    <w:p w14:paraId="49E3E4E8" w14:textId="77777777" w:rsidR="00A9605E" w:rsidRDefault="00A9605E">
      <w:r>
        <w:continuationSeparator/>
      </w:r>
    </w:p>
  </w:footnote>
  <w:footnote w:type="continuationNotice" w:id="1">
    <w:p w14:paraId="6A30F6A8" w14:textId="77777777" w:rsidR="00A9605E" w:rsidRDefault="00A960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7A60C" w14:textId="04B51C9D" w:rsidR="0041439A" w:rsidRPr="00372E2F" w:rsidRDefault="005D43E4" w:rsidP="00AA138B">
    <w:pPr>
      <w:pBdr>
        <w:bottom w:val="single" w:sz="4" w:space="1" w:color="000000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rPr>
        <w:rFonts w:ascii="Arial" w:hAnsi="Arial" w:cs="Arial"/>
        <w:i/>
        <w:sz w:val="18"/>
        <w:szCs w:val="18"/>
        <w:lang w:val="en-GB"/>
      </w:rPr>
    </w:pPr>
    <w:r w:rsidRPr="00372E2F">
      <w:rPr>
        <w:rFonts w:ascii="Arial" w:hAnsi="Arial" w:cs="Arial"/>
        <w:i/>
        <w:sz w:val="18"/>
        <w:szCs w:val="18"/>
        <w:lang w:val="en-GB"/>
      </w:rPr>
      <w:t>UNEP/CMS/COP1</w:t>
    </w:r>
    <w:r w:rsidR="00227282" w:rsidRPr="00372E2F">
      <w:rPr>
        <w:rFonts w:ascii="Arial" w:hAnsi="Arial" w:cs="Arial"/>
        <w:i/>
        <w:sz w:val="18"/>
        <w:szCs w:val="18"/>
        <w:lang w:val="en-GB"/>
      </w:rPr>
      <w:t>4</w:t>
    </w:r>
    <w:r w:rsidRPr="00372E2F">
      <w:rPr>
        <w:rFonts w:ascii="Arial" w:hAnsi="Arial" w:cs="Arial"/>
        <w:i/>
        <w:sz w:val="18"/>
        <w:szCs w:val="18"/>
        <w:lang w:val="en-GB"/>
      </w:rPr>
      <w:t>/CRP</w:t>
    </w:r>
    <w:r w:rsidR="00BD0EFC" w:rsidRPr="00372E2F">
      <w:rPr>
        <w:rFonts w:ascii="Arial" w:hAnsi="Arial" w:cs="Arial"/>
        <w:i/>
        <w:sz w:val="18"/>
        <w:szCs w:val="18"/>
        <w:lang w:val="en-GB"/>
      </w:rPr>
      <w:t>27.7.2</w:t>
    </w:r>
    <w:r w:rsidR="006C446A">
      <w:rPr>
        <w:rFonts w:ascii="Arial" w:hAnsi="Arial" w:cs="Arial"/>
        <w:i/>
        <w:sz w:val="18"/>
        <w:szCs w:val="18"/>
        <w:lang w:val="en-GB"/>
      </w:rPr>
      <w:t>/</w:t>
    </w:r>
    <w:r w:rsidR="006C446A">
      <w:rPr>
        <w:rFonts w:ascii="Arial" w:hAnsi="Arial" w:cs="Arial"/>
        <w:bCs/>
        <w:i/>
        <w:iCs/>
        <w:sz w:val="18"/>
        <w:szCs w:val="18"/>
        <w:lang w:val="en-GB"/>
      </w:rPr>
      <w:t>Rev.1</w:t>
    </w:r>
  </w:p>
  <w:p w14:paraId="50B9F4CC" w14:textId="77777777" w:rsidR="0041439A" w:rsidRDefault="004143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895A7" w14:textId="7DF7A281" w:rsidR="00372E2F" w:rsidRPr="00385012" w:rsidRDefault="00372E2F" w:rsidP="00372E2F">
    <w:pPr>
      <w:pBdr>
        <w:bottom w:val="single" w:sz="4" w:space="1" w:color="000000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jc w:val="right"/>
      <w:rPr>
        <w:rFonts w:ascii="Arial" w:hAnsi="Arial" w:cs="Arial"/>
        <w:i/>
        <w:sz w:val="18"/>
        <w:szCs w:val="18"/>
        <w:lang w:val="en-GB"/>
      </w:rPr>
    </w:pPr>
    <w:r w:rsidRPr="00385012">
      <w:rPr>
        <w:rFonts w:ascii="Arial" w:hAnsi="Arial" w:cs="Arial"/>
        <w:i/>
        <w:sz w:val="18"/>
        <w:szCs w:val="18"/>
        <w:lang w:val="en-GB"/>
      </w:rPr>
      <w:t>UNEP/CMS/COP14/CRP27.7.2</w:t>
    </w:r>
    <w:r w:rsidR="006C446A">
      <w:rPr>
        <w:rFonts w:ascii="Arial" w:hAnsi="Arial" w:cs="Arial"/>
        <w:i/>
        <w:sz w:val="18"/>
        <w:szCs w:val="18"/>
        <w:lang w:val="en-GB"/>
      </w:rPr>
      <w:t>/</w:t>
    </w:r>
    <w:r w:rsidR="006C446A">
      <w:rPr>
        <w:rFonts w:ascii="Arial" w:hAnsi="Arial" w:cs="Arial"/>
        <w:bCs/>
        <w:i/>
        <w:iCs/>
        <w:sz w:val="18"/>
        <w:szCs w:val="18"/>
        <w:lang w:val="en-GB"/>
      </w:rPr>
      <w:t>Rev.1</w:t>
    </w:r>
  </w:p>
  <w:p w14:paraId="75025A37" w14:textId="77777777" w:rsidR="0041439A" w:rsidRDefault="004143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3A398" w14:textId="26DAF27B" w:rsidR="007A1066" w:rsidRPr="00372E2F" w:rsidRDefault="007A1066" w:rsidP="007A1066">
    <w:pPr>
      <w:pBdr>
        <w:bottom w:val="single" w:sz="4" w:space="1" w:color="auto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ind w:firstLine="536"/>
      <w:jc w:val="right"/>
      <w:rPr>
        <w:rFonts w:ascii="Arial" w:hAnsi="Arial" w:cs="Arial"/>
        <w:bCs/>
        <w:i/>
        <w:iCs/>
        <w:sz w:val="18"/>
        <w:szCs w:val="18"/>
        <w:lang w:val="en-GB"/>
      </w:rPr>
    </w:pPr>
    <w:r w:rsidRPr="00372E2F">
      <w:rPr>
        <w:rFonts w:ascii="Arial" w:hAnsi="Arial" w:cs="Arial"/>
        <w:bCs/>
        <w:i/>
        <w:iCs/>
        <w:sz w:val="18"/>
        <w:szCs w:val="18"/>
        <w:lang w:val="en-GB"/>
      </w:rPr>
      <w:t>UNEP/CMS/COP1</w:t>
    </w:r>
    <w:r w:rsidR="001125D7" w:rsidRPr="00372E2F">
      <w:rPr>
        <w:rFonts w:ascii="Arial" w:hAnsi="Arial" w:cs="Arial"/>
        <w:bCs/>
        <w:i/>
        <w:iCs/>
        <w:sz w:val="18"/>
        <w:szCs w:val="18"/>
        <w:lang w:val="en-GB"/>
      </w:rPr>
      <w:t>4</w:t>
    </w:r>
    <w:r w:rsidRPr="00372E2F">
      <w:rPr>
        <w:rFonts w:ascii="Arial" w:hAnsi="Arial" w:cs="Arial"/>
        <w:bCs/>
        <w:i/>
        <w:iCs/>
        <w:sz w:val="18"/>
        <w:szCs w:val="18"/>
        <w:lang w:val="en-GB"/>
      </w:rPr>
      <w:t>/CRP</w:t>
    </w:r>
    <w:r w:rsidR="00F12911" w:rsidRPr="00372E2F">
      <w:rPr>
        <w:rFonts w:ascii="Arial" w:hAnsi="Arial" w:cs="Arial"/>
        <w:bCs/>
        <w:i/>
        <w:iCs/>
        <w:sz w:val="18"/>
        <w:szCs w:val="18"/>
        <w:lang w:val="en-GB"/>
      </w:rPr>
      <w:t>27.7.2</w:t>
    </w:r>
    <w:r w:rsidR="006C446A">
      <w:rPr>
        <w:rFonts w:ascii="Arial" w:hAnsi="Arial" w:cs="Arial"/>
        <w:bCs/>
        <w:i/>
        <w:iCs/>
        <w:sz w:val="18"/>
        <w:szCs w:val="18"/>
        <w:lang w:val="en-GB"/>
      </w:rPr>
      <w:t>/Rev.1</w:t>
    </w:r>
  </w:p>
  <w:p w14:paraId="117A266F" w14:textId="77777777" w:rsidR="007A1066" w:rsidRDefault="007A10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2F35"/>
    <w:multiLevelType w:val="hybridMultilevel"/>
    <w:tmpl w:val="87E61348"/>
    <w:lvl w:ilvl="0" w:tplc="10000017">
      <w:start w:val="1"/>
      <w:numFmt w:val="lowerLetter"/>
      <w:lvlText w:val="%1)"/>
      <w:lvlJc w:val="left"/>
      <w:pPr>
        <w:ind w:left="774" w:hanging="360"/>
      </w:pPr>
    </w:lvl>
    <w:lvl w:ilvl="1" w:tplc="10000019" w:tentative="1">
      <w:start w:val="1"/>
      <w:numFmt w:val="lowerLetter"/>
      <w:lvlText w:val="%2."/>
      <w:lvlJc w:val="left"/>
      <w:pPr>
        <w:ind w:left="1494" w:hanging="360"/>
      </w:pPr>
    </w:lvl>
    <w:lvl w:ilvl="2" w:tplc="1000001B" w:tentative="1">
      <w:start w:val="1"/>
      <w:numFmt w:val="lowerRoman"/>
      <w:lvlText w:val="%3."/>
      <w:lvlJc w:val="right"/>
      <w:pPr>
        <w:ind w:left="2214" w:hanging="180"/>
      </w:pPr>
    </w:lvl>
    <w:lvl w:ilvl="3" w:tplc="1000000F" w:tentative="1">
      <w:start w:val="1"/>
      <w:numFmt w:val="decimal"/>
      <w:lvlText w:val="%4."/>
      <w:lvlJc w:val="left"/>
      <w:pPr>
        <w:ind w:left="2934" w:hanging="360"/>
      </w:pPr>
    </w:lvl>
    <w:lvl w:ilvl="4" w:tplc="10000019" w:tentative="1">
      <w:start w:val="1"/>
      <w:numFmt w:val="lowerLetter"/>
      <w:lvlText w:val="%5."/>
      <w:lvlJc w:val="left"/>
      <w:pPr>
        <w:ind w:left="3654" w:hanging="360"/>
      </w:pPr>
    </w:lvl>
    <w:lvl w:ilvl="5" w:tplc="1000001B" w:tentative="1">
      <w:start w:val="1"/>
      <w:numFmt w:val="lowerRoman"/>
      <w:lvlText w:val="%6."/>
      <w:lvlJc w:val="right"/>
      <w:pPr>
        <w:ind w:left="4374" w:hanging="180"/>
      </w:pPr>
    </w:lvl>
    <w:lvl w:ilvl="6" w:tplc="1000000F" w:tentative="1">
      <w:start w:val="1"/>
      <w:numFmt w:val="decimal"/>
      <w:lvlText w:val="%7."/>
      <w:lvlJc w:val="left"/>
      <w:pPr>
        <w:ind w:left="5094" w:hanging="360"/>
      </w:pPr>
    </w:lvl>
    <w:lvl w:ilvl="7" w:tplc="10000019" w:tentative="1">
      <w:start w:val="1"/>
      <w:numFmt w:val="lowerLetter"/>
      <w:lvlText w:val="%8."/>
      <w:lvlJc w:val="left"/>
      <w:pPr>
        <w:ind w:left="5814" w:hanging="360"/>
      </w:pPr>
    </w:lvl>
    <w:lvl w:ilvl="8" w:tplc="1000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" w15:restartNumberingAfterBreak="0">
    <w:nsid w:val="097A31B5"/>
    <w:multiLevelType w:val="hybridMultilevel"/>
    <w:tmpl w:val="4C12A79C"/>
    <w:lvl w:ilvl="0" w:tplc="540A0017">
      <w:start w:val="1"/>
      <w:numFmt w:val="lowerLetter"/>
      <w:lvlText w:val="%1)"/>
      <w:lvlJc w:val="left"/>
      <w:pPr>
        <w:ind w:left="1154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874" w:hanging="360"/>
      </w:pPr>
    </w:lvl>
    <w:lvl w:ilvl="2" w:tplc="540A001B" w:tentative="1">
      <w:start w:val="1"/>
      <w:numFmt w:val="lowerRoman"/>
      <w:lvlText w:val="%3."/>
      <w:lvlJc w:val="right"/>
      <w:pPr>
        <w:ind w:left="2594" w:hanging="180"/>
      </w:pPr>
    </w:lvl>
    <w:lvl w:ilvl="3" w:tplc="540A000F" w:tentative="1">
      <w:start w:val="1"/>
      <w:numFmt w:val="decimal"/>
      <w:lvlText w:val="%4."/>
      <w:lvlJc w:val="left"/>
      <w:pPr>
        <w:ind w:left="3314" w:hanging="360"/>
      </w:pPr>
    </w:lvl>
    <w:lvl w:ilvl="4" w:tplc="540A0019" w:tentative="1">
      <w:start w:val="1"/>
      <w:numFmt w:val="lowerLetter"/>
      <w:lvlText w:val="%5."/>
      <w:lvlJc w:val="left"/>
      <w:pPr>
        <w:ind w:left="4034" w:hanging="360"/>
      </w:pPr>
    </w:lvl>
    <w:lvl w:ilvl="5" w:tplc="540A001B" w:tentative="1">
      <w:start w:val="1"/>
      <w:numFmt w:val="lowerRoman"/>
      <w:lvlText w:val="%6."/>
      <w:lvlJc w:val="right"/>
      <w:pPr>
        <w:ind w:left="4754" w:hanging="180"/>
      </w:pPr>
    </w:lvl>
    <w:lvl w:ilvl="6" w:tplc="540A000F" w:tentative="1">
      <w:start w:val="1"/>
      <w:numFmt w:val="decimal"/>
      <w:lvlText w:val="%7."/>
      <w:lvlJc w:val="left"/>
      <w:pPr>
        <w:ind w:left="5474" w:hanging="360"/>
      </w:pPr>
    </w:lvl>
    <w:lvl w:ilvl="7" w:tplc="540A0019" w:tentative="1">
      <w:start w:val="1"/>
      <w:numFmt w:val="lowerLetter"/>
      <w:lvlText w:val="%8."/>
      <w:lvlJc w:val="left"/>
      <w:pPr>
        <w:ind w:left="6194" w:hanging="360"/>
      </w:pPr>
    </w:lvl>
    <w:lvl w:ilvl="8" w:tplc="540A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2" w15:restartNumberingAfterBreak="0">
    <w:nsid w:val="11F77134"/>
    <w:multiLevelType w:val="multilevel"/>
    <w:tmpl w:val="44F262E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5D1679"/>
    <w:multiLevelType w:val="multilevel"/>
    <w:tmpl w:val="40148A5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09510C"/>
    <w:multiLevelType w:val="hybridMultilevel"/>
    <w:tmpl w:val="E9BC7CC8"/>
    <w:lvl w:ilvl="0" w:tplc="10000017">
      <w:start w:val="1"/>
      <w:numFmt w:val="lowerLetter"/>
      <w:lvlText w:val="%1)"/>
      <w:lvlJc w:val="left"/>
      <w:pPr>
        <w:ind w:left="774" w:hanging="360"/>
      </w:pPr>
    </w:lvl>
    <w:lvl w:ilvl="1" w:tplc="10000019" w:tentative="1">
      <w:start w:val="1"/>
      <w:numFmt w:val="lowerLetter"/>
      <w:lvlText w:val="%2."/>
      <w:lvlJc w:val="left"/>
      <w:pPr>
        <w:ind w:left="1494" w:hanging="360"/>
      </w:pPr>
    </w:lvl>
    <w:lvl w:ilvl="2" w:tplc="1000001B" w:tentative="1">
      <w:start w:val="1"/>
      <w:numFmt w:val="lowerRoman"/>
      <w:lvlText w:val="%3."/>
      <w:lvlJc w:val="right"/>
      <w:pPr>
        <w:ind w:left="2214" w:hanging="180"/>
      </w:pPr>
    </w:lvl>
    <w:lvl w:ilvl="3" w:tplc="1000000F" w:tentative="1">
      <w:start w:val="1"/>
      <w:numFmt w:val="decimal"/>
      <w:lvlText w:val="%4."/>
      <w:lvlJc w:val="left"/>
      <w:pPr>
        <w:ind w:left="2934" w:hanging="360"/>
      </w:pPr>
    </w:lvl>
    <w:lvl w:ilvl="4" w:tplc="10000019" w:tentative="1">
      <w:start w:val="1"/>
      <w:numFmt w:val="lowerLetter"/>
      <w:lvlText w:val="%5."/>
      <w:lvlJc w:val="left"/>
      <w:pPr>
        <w:ind w:left="3654" w:hanging="360"/>
      </w:pPr>
    </w:lvl>
    <w:lvl w:ilvl="5" w:tplc="1000001B" w:tentative="1">
      <w:start w:val="1"/>
      <w:numFmt w:val="lowerRoman"/>
      <w:lvlText w:val="%6."/>
      <w:lvlJc w:val="right"/>
      <w:pPr>
        <w:ind w:left="4374" w:hanging="180"/>
      </w:pPr>
    </w:lvl>
    <w:lvl w:ilvl="6" w:tplc="1000000F" w:tentative="1">
      <w:start w:val="1"/>
      <w:numFmt w:val="decimal"/>
      <w:lvlText w:val="%7."/>
      <w:lvlJc w:val="left"/>
      <w:pPr>
        <w:ind w:left="5094" w:hanging="360"/>
      </w:pPr>
    </w:lvl>
    <w:lvl w:ilvl="7" w:tplc="10000019" w:tentative="1">
      <w:start w:val="1"/>
      <w:numFmt w:val="lowerLetter"/>
      <w:lvlText w:val="%8."/>
      <w:lvlJc w:val="left"/>
      <w:pPr>
        <w:ind w:left="5814" w:hanging="360"/>
      </w:pPr>
    </w:lvl>
    <w:lvl w:ilvl="8" w:tplc="1000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5" w15:restartNumberingAfterBreak="0">
    <w:nsid w:val="3E77296C"/>
    <w:multiLevelType w:val="hybridMultilevel"/>
    <w:tmpl w:val="B2F29798"/>
    <w:lvl w:ilvl="0" w:tplc="C51A1EE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67377540"/>
    <w:multiLevelType w:val="multilevel"/>
    <w:tmpl w:val="C93A672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8C31574"/>
    <w:multiLevelType w:val="hybridMultilevel"/>
    <w:tmpl w:val="C4C8B236"/>
    <w:lvl w:ilvl="0" w:tplc="10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2820670">
    <w:abstractNumId w:val="5"/>
  </w:num>
  <w:num w:numId="2" w16cid:durableId="823354761">
    <w:abstractNumId w:val="1"/>
  </w:num>
  <w:num w:numId="3" w16cid:durableId="669329913">
    <w:abstractNumId w:val="7"/>
  </w:num>
  <w:num w:numId="4" w16cid:durableId="1184633186">
    <w:abstractNumId w:val="0"/>
  </w:num>
  <w:num w:numId="5" w16cid:durableId="688604966">
    <w:abstractNumId w:val="4"/>
  </w:num>
  <w:num w:numId="6" w16cid:durableId="1556161273">
    <w:abstractNumId w:val="3"/>
  </w:num>
  <w:num w:numId="7" w16cid:durableId="160843">
    <w:abstractNumId w:val="6"/>
  </w:num>
  <w:num w:numId="8" w16cid:durableId="2067965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evenAndOddHeader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C56"/>
    <w:rsid w:val="000B0D60"/>
    <w:rsid w:val="001125D7"/>
    <w:rsid w:val="0019647B"/>
    <w:rsid w:val="001E6660"/>
    <w:rsid w:val="002046CE"/>
    <w:rsid w:val="00216371"/>
    <w:rsid w:val="002243FE"/>
    <w:rsid w:val="00227282"/>
    <w:rsid w:val="00372E2F"/>
    <w:rsid w:val="003F1AD8"/>
    <w:rsid w:val="0041439A"/>
    <w:rsid w:val="0043102F"/>
    <w:rsid w:val="00432D9E"/>
    <w:rsid w:val="004661DC"/>
    <w:rsid w:val="00480D93"/>
    <w:rsid w:val="005645C4"/>
    <w:rsid w:val="005677A5"/>
    <w:rsid w:val="0058757D"/>
    <w:rsid w:val="005D43E4"/>
    <w:rsid w:val="005F0639"/>
    <w:rsid w:val="006C446A"/>
    <w:rsid w:val="007A1066"/>
    <w:rsid w:val="00865F82"/>
    <w:rsid w:val="008B2C84"/>
    <w:rsid w:val="009114C3"/>
    <w:rsid w:val="00914809"/>
    <w:rsid w:val="00A4460E"/>
    <w:rsid w:val="00A9605E"/>
    <w:rsid w:val="00AA138B"/>
    <w:rsid w:val="00B42F5A"/>
    <w:rsid w:val="00BD0EFC"/>
    <w:rsid w:val="00CF43B1"/>
    <w:rsid w:val="00D50F95"/>
    <w:rsid w:val="00D82C56"/>
    <w:rsid w:val="00D974B7"/>
    <w:rsid w:val="00E34048"/>
    <w:rsid w:val="00E45B44"/>
    <w:rsid w:val="00E829C9"/>
    <w:rsid w:val="00ED41D7"/>
    <w:rsid w:val="00EE7388"/>
    <w:rsid w:val="00F12911"/>
    <w:rsid w:val="00F40D1B"/>
    <w:rsid w:val="00F549FB"/>
    <w:rsid w:val="00F7031E"/>
    <w:rsid w:val="00FB5FFB"/>
    <w:rsid w:val="00FD2360"/>
    <w:rsid w:val="00FD3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DE5BA"/>
  <w15:docId w15:val="{AD42D6AB-2F48-49C8-938C-62CFA7EEE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rPr>
      <w:rFonts w:ascii="Times New Roman" w:eastAsia="Times New Roman" w:hAnsi="Times New Roman" w:cs="Times New Roman"/>
      <w:sz w:val="20"/>
      <w:szCs w:val="24"/>
    </w:rPr>
  </w:style>
  <w:style w:type="paragraph" w:styleId="Revision">
    <w:name w:val="Revision"/>
    <w:hidden/>
    <w:uiPriority w:val="99"/>
    <w:semiHidden/>
    <w:rsid w:val="00F7031E"/>
    <w:pPr>
      <w:autoSpaceDN/>
      <w:spacing w:after="0" w:line="240" w:lineRule="auto"/>
      <w:textAlignment w:val="auto"/>
    </w:pPr>
    <w:rPr>
      <w:rFonts w:ascii="Times New Roman" w:eastAsia="Times New Roman" w:hAnsi="Times New Roman"/>
      <w:sz w:val="20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F7031E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F7031E"/>
    <w:rPr>
      <w:rFonts w:ascii="Times New Roman" w:eastAsia="Times New Roman" w:hAnsi="Times New Roman"/>
      <w:sz w:val="20"/>
      <w:szCs w:val="24"/>
    </w:rPr>
  </w:style>
  <w:style w:type="paragraph" w:customStyle="1" w:styleId="paragraph">
    <w:name w:val="paragraph"/>
    <w:basedOn w:val="Normal"/>
    <w:rsid w:val="00F549FB"/>
    <w:pPr>
      <w:widowControl/>
      <w:suppressAutoHyphens w:val="0"/>
      <w:autoSpaceDE/>
      <w:autoSpaceDN/>
      <w:spacing w:before="100" w:beforeAutospacing="1" w:after="100" w:afterAutospacing="1"/>
      <w:textAlignment w:val="auto"/>
    </w:pPr>
    <w:rPr>
      <w:sz w:val="24"/>
      <w:lang w:val="en-GB" w:eastAsia="en-GB"/>
    </w:rPr>
  </w:style>
  <w:style w:type="character" w:customStyle="1" w:styleId="normaltextrun">
    <w:name w:val="normaltextrun"/>
    <w:basedOn w:val="DefaultParagraphFont"/>
    <w:rsid w:val="00F549FB"/>
  </w:style>
  <w:style w:type="character" w:customStyle="1" w:styleId="eop">
    <w:name w:val="eop"/>
    <w:basedOn w:val="DefaultParagraphFont"/>
    <w:rsid w:val="00F549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9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7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6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1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a7b50396-0b06-45c1-b28e-46f86d566a10">
      <Terms xmlns="http://schemas.microsoft.com/office/infopath/2007/PartnerControls"/>
    </lcf76f155ced4ddcb4097134ff3c332f>
    <_Flow_SignoffStatus xmlns="a7b50396-0b06-45c1-b28e-46f86d566a10" xsi:nil="true"/>
    <MariaJoseOrtiz xmlns="a7b50396-0b06-45c1-b28e-46f86d566a10" xsi:nil="true"/>
    <Notes xmlns="a7b50396-0b06-45c1-b28e-46f86d566a10" xsi:nil="true"/>
    <Sent xmlns="a7b50396-0b06-45c1-b28e-46f86d566a10" xsi:nil="true"/>
    <TaxKeywordTaxHTField xmlns="c15478a5-0be8-4f5d-8383-b307d5ba8bf6">
      <Terms xmlns="http://schemas.microsoft.com/office/infopath/2007/PartnerControls"/>
    </TaxKeywordTaxHTField>
    <Reviewer xmlns="a7b50396-0b06-45c1-b28e-46f86d566a1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416AA0540C42B015682282C961AD" ma:contentTypeVersion="24" ma:contentTypeDescription="Create a new document." ma:contentTypeScope="" ma:versionID="8370bde3526d8f4f091c6e50b038ed07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19981f3cc8a8926fa36e23e2c1e4629c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  <xsd:element ref="ns2:Notes" minOccurs="0"/>
                <xsd:element ref="ns2:Sent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7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Sent" ma:index="28" nillable="true" ma:displayName="Sent" ma:format="Dropdown" ma:internalName="Sent">
      <xsd:simpleType>
        <xsd:restriction base="dms:Choice">
          <xsd:enumeration value="Sent"/>
          <xsd:enumeration value="Pending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12C99C-55C4-49D6-988B-F84C4E069327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a7b50396-0b06-45c1-b28e-46f86d566a10"/>
    <ds:schemaRef ds:uri="c15478a5-0be8-4f5d-8383-b307d5ba8bf6"/>
  </ds:schemaRefs>
</ds:datastoreItem>
</file>

<file path=customXml/itemProps2.xml><?xml version="1.0" encoding="utf-8"?>
<ds:datastoreItem xmlns:ds="http://schemas.openxmlformats.org/officeDocument/2006/customXml" ds:itemID="{380EFE9A-7770-47CD-95C8-BC8150516B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DDA596-3C6D-45C1-A911-A2B28B4B27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50396-0b06-45c1-b28e-46f86d566a10"/>
    <ds:schemaRef ds:uri="985ec44e-1bab-4c0b-9df0-6ba128686fc9"/>
    <ds:schemaRef ds:uri="c15478a5-0be8-4f5d-8383-b307d5ba8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737</Words>
  <Characters>4202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Cancino</dc:creator>
  <dc:description/>
  <cp:lastModifiedBy>Ximena Victoria Cancino Ordenes</cp:lastModifiedBy>
  <cp:revision>13</cp:revision>
  <cp:lastPrinted>2024-02-15T19:53:00Z</cp:lastPrinted>
  <dcterms:created xsi:type="dcterms:W3CDTF">2024-02-14T19:22:00Z</dcterms:created>
  <dcterms:modified xsi:type="dcterms:W3CDTF">2024-02-15T20:13:00Z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0x0101009929416AA0540C42B015682282C961AD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TaxKeyword">
    <vt:lpwstr/>
  </property>
</Properties>
</file>