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8E86" w14:textId="77777777" w:rsidR="002F1CD8" w:rsidRPr="002F1CD8" w:rsidRDefault="002F1CD8" w:rsidP="00371FBC">
      <w:pPr>
        <w:spacing w:after="120"/>
        <w:jc w:val="center"/>
        <w:rPr>
          <w:rFonts w:ascii="Arial" w:hAnsi="Arial" w:cs="Arial"/>
          <w:b/>
          <w:bCs/>
          <w:sz w:val="22"/>
          <w:szCs w:val="22"/>
          <w:lang w:val="fr-FR"/>
        </w:rPr>
      </w:pPr>
      <w:r w:rsidRPr="002F1CD8">
        <w:rPr>
          <w:rFonts w:ascii="Arial" w:hAnsi="Arial" w:cs="Arial"/>
          <w:b/>
          <w:bCs/>
          <w:sz w:val="22"/>
          <w:szCs w:val="22"/>
          <w:lang w:val="fr-FR"/>
        </w:rPr>
        <w:t>POISSONS D'EAU DOUCE, Y COMPRIS L'ANGUILLE D'EUROPE</w:t>
      </w:r>
    </w:p>
    <w:p w14:paraId="48F82B79" w14:textId="7D6C2F0B" w:rsidR="00D82C56" w:rsidRPr="00DA7513" w:rsidRDefault="005D43E4" w:rsidP="00371FBC">
      <w:pPr>
        <w:spacing w:after="120"/>
        <w:jc w:val="center"/>
        <w:rPr>
          <w:rFonts w:ascii="Arial" w:hAnsi="Arial" w:cs="Arial"/>
          <w:sz w:val="22"/>
          <w:szCs w:val="22"/>
        </w:rPr>
      </w:pPr>
      <w:r w:rsidRPr="00DA7513">
        <w:rPr>
          <w:rFonts w:ascii="Arial" w:hAnsi="Arial" w:cs="Arial"/>
          <w:sz w:val="22"/>
          <w:szCs w:val="22"/>
        </w:rPr>
        <w:t>UNEP/CMS/COP1</w:t>
      </w:r>
      <w:r w:rsidR="002B3E88" w:rsidRPr="00DA7513">
        <w:rPr>
          <w:rFonts w:ascii="Arial" w:hAnsi="Arial" w:cs="Arial"/>
          <w:sz w:val="22"/>
          <w:szCs w:val="22"/>
        </w:rPr>
        <w:t>4</w:t>
      </w:r>
      <w:r w:rsidRPr="00DA7513">
        <w:rPr>
          <w:rFonts w:ascii="Arial" w:hAnsi="Arial" w:cs="Arial"/>
          <w:sz w:val="22"/>
          <w:szCs w:val="22"/>
        </w:rPr>
        <w:t>/Doc.</w:t>
      </w:r>
      <w:r w:rsidR="002F1CD8" w:rsidRPr="00DA7513">
        <w:rPr>
          <w:rFonts w:ascii="Arial" w:hAnsi="Arial" w:cs="Arial"/>
          <w:sz w:val="22"/>
          <w:szCs w:val="22"/>
        </w:rPr>
        <w:t>27.7.2/Rev.1</w:t>
      </w:r>
    </w:p>
    <w:p w14:paraId="73A89732" w14:textId="7A8C2B52" w:rsidR="00D82C56" w:rsidRPr="00A048E3" w:rsidRDefault="005D43E4" w:rsidP="00F51A6E">
      <w:pPr>
        <w:jc w:val="center"/>
        <w:rPr>
          <w:rFonts w:ascii="Arial" w:hAnsi="Arial" w:cs="Arial"/>
          <w:i/>
          <w:sz w:val="22"/>
          <w:szCs w:val="22"/>
          <w:lang w:val="fr-FR"/>
        </w:rPr>
      </w:pPr>
      <w:r w:rsidRPr="00371FBC">
        <w:rPr>
          <w:rFonts w:ascii="Arial" w:hAnsi="Arial" w:cs="Arial"/>
          <w:i/>
          <w:sz w:val="22"/>
          <w:szCs w:val="22"/>
          <w:lang w:val="fr-FR"/>
        </w:rPr>
        <w:t>(P</w:t>
      </w:r>
      <w:r w:rsidR="00371FBC">
        <w:rPr>
          <w:rFonts w:ascii="Arial" w:hAnsi="Arial" w:cs="Arial"/>
          <w:i/>
          <w:sz w:val="22"/>
          <w:szCs w:val="22"/>
          <w:lang w:val="fr-FR"/>
        </w:rPr>
        <w:t>ré</w:t>
      </w:r>
      <w:r w:rsidRPr="00371FBC">
        <w:rPr>
          <w:rFonts w:ascii="Arial" w:hAnsi="Arial" w:cs="Arial"/>
          <w:i/>
          <w:sz w:val="22"/>
          <w:szCs w:val="22"/>
          <w:lang w:val="fr-FR"/>
        </w:rPr>
        <w:t>par</w:t>
      </w:r>
      <w:r w:rsidR="00A048E3" w:rsidRPr="00371FBC">
        <w:rPr>
          <w:rFonts w:ascii="Arial" w:hAnsi="Arial" w:cs="Arial"/>
          <w:i/>
          <w:sz w:val="22"/>
          <w:szCs w:val="22"/>
          <w:lang w:val="fr-FR"/>
        </w:rPr>
        <w:t>é par</w:t>
      </w:r>
      <w:r w:rsidRPr="00371FBC">
        <w:rPr>
          <w:rFonts w:ascii="Arial" w:hAnsi="Arial" w:cs="Arial"/>
          <w:i/>
          <w:sz w:val="22"/>
          <w:szCs w:val="22"/>
          <w:lang w:val="fr-FR"/>
        </w:rPr>
        <w:t xml:space="preserve"> </w:t>
      </w:r>
      <w:r w:rsidR="0079466A" w:rsidRPr="00371FBC">
        <w:rPr>
          <w:rFonts w:ascii="Arial" w:hAnsi="Arial" w:cs="Arial"/>
          <w:i/>
          <w:sz w:val="22"/>
          <w:szCs w:val="22"/>
          <w:lang w:val="fr-FR"/>
        </w:rPr>
        <w:t xml:space="preserve">le </w:t>
      </w:r>
      <w:r w:rsidR="00DC1134">
        <w:rPr>
          <w:rFonts w:ascii="Arial" w:hAnsi="Arial" w:cs="Arial"/>
          <w:i/>
          <w:sz w:val="22"/>
          <w:szCs w:val="22"/>
          <w:lang w:val="fr-FR"/>
        </w:rPr>
        <w:t>G</w:t>
      </w:r>
      <w:r w:rsidR="0079466A" w:rsidRPr="00371FBC">
        <w:rPr>
          <w:rFonts w:ascii="Arial" w:hAnsi="Arial" w:cs="Arial"/>
          <w:i/>
          <w:sz w:val="22"/>
          <w:szCs w:val="22"/>
          <w:lang w:val="fr-FR"/>
        </w:rPr>
        <w:t>roupe de travail sur les espèces aquatiques</w:t>
      </w:r>
      <w:r w:rsidRPr="00371FBC">
        <w:rPr>
          <w:rFonts w:ascii="Arial" w:hAnsi="Arial" w:cs="Arial"/>
          <w:i/>
          <w:sz w:val="22"/>
          <w:szCs w:val="22"/>
          <w:lang w:val="fr-FR"/>
        </w:rPr>
        <w:t>)</w:t>
      </w:r>
    </w:p>
    <w:p w14:paraId="25BD5BFE" w14:textId="77777777" w:rsidR="00D82C56" w:rsidRPr="00A048E3" w:rsidRDefault="00D82C56" w:rsidP="00F51A6E">
      <w:pPr>
        <w:rPr>
          <w:rFonts w:ascii="Arial" w:hAnsi="Arial" w:cs="Arial"/>
          <w:sz w:val="22"/>
          <w:szCs w:val="22"/>
          <w:lang w:val="fr-FR"/>
        </w:rPr>
      </w:pPr>
    </w:p>
    <w:p w14:paraId="6C7ED871" w14:textId="77777777" w:rsidR="00D82C56" w:rsidRPr="00A048E3" w:rsidRDefault="00D82C56" w:rsidP="00F51A6E">
      <w:pPr>
        <w:rPr>
          <w:rFonts w:ascii="Arial" w:hAnsi="Arial" w:cs="Arial"/>
          <w:sz w:val="22"/>
          <w:szCs w:val="22"/>
          <w:lang w:val="fr-FR"/>
        </w:rPr>
      </w:pPr>
    </w:p>
    <w:p w14:paraId="5CD49333" w14:textId="7E2D3CC5" w:rsidR="00D82C56" w:rsidRPr="00A048E3" w:rsidRDefault="00A048E3" w:rsidP="00F51A6E">
      <w:pPr>
        <w:jc w:val="center"/>
        <w:rPr>
          <w:rFonts w:ascii="Arial" w:hAnsi="Arial" w:cs="Arial"/>
          <w:sz w:val="22"/>
          <w:szCs w:val="22"/>
          <w:lang w:val="fr-FR"/>
        </w:rPr>
      </w:pPr>
      <w:r w:rsidRPr="00A048E3">
        <w:rPr>
          <w:rFonts w:ascii="Arial" w:hAnsi="Arial" w:cs="Arial"/>
          <w:sz w:val="22"/>
          <w:szCs w:val="22"/>
          <w:lang w:val="fr-FR"/>
        </w:rPr>
        <w:t>PROJET</w:t>
      </w:r>
      <w:r w:rsidR="00DC1134">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DC1134">
        <w:rPr>
          <w:rFonts w:ascii="Arial" w:hAnsi="Arial" w:cs="Arial"/>
          <w:sz w:val="22"/>
          <w:szCs w:val="22"/>
          <w:lang w:val="fr-FR"/>
        </w:rPr>
        <w:t>S</w:t>
      </w:r>
    </w:p>
    <w:p w14:paraId="621FE7FD" w14:textId="77777777" w:rsidR="00D82C56" w:rsidRPr="00A048E3" w:rsidRDefault="00D82C56" w:rsidP="00F51A6E">
      <w:pPr>
        <w:rPr>
          <w:rFonts w:ascii="Arial" w:hAnsi="Arial" w:cs="Arial"/>
          <w:sz w:val="22"/>
          <w:szCs w:val="22"/>
          <w:lang w:val="fr-FR"/>
        </w:rPr>
      </w:pPr>
    </w:p>
    <w:p w14:paraId="6146996F" w14:textId="77777777" w:rsidR="00F51A6E" w:rsidRPr="00F51A6E" w:rsidRDefault="00F51A6E" w:rsidP="00F51A6E">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F51A6E">
        <w:rPr>
          <w:rFonts w:ascii="Arial" w:eastAsiaTheme="minorHAnsi" w:hAnsi="Arial" w:cs="Arial"/>
          <w:b/>
          <w:caps/>
          <w:sz w:val="22"/>
          <w:szCs w:val="22"/>
          <w:lang w:val="fr-FR"/>
        </w:rPr>
        <w:t>Anguille d'Europe</w:t>
      </w:r>
    </w:p>
    <w:p w14:paraId="6C791847"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7CA55DA4"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6F065489" w14:textId="0BE95628"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F51A6E" w:rsidRPr="00F51A6E">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des</w:t>
      </w:r>
      <w:r w:rsidR="00F51A6E" w:rsidRPr="00F51A6E">
        <w:rPr>
          <w:rFonts w:ascii="Arial" w:eastAsiaTheme="minorHAnsi" w:hAnsi="Arial" w:cs="Arial"/>
          <w:b/>
          <w:i/>
          <w:sz w:val="22"/>
          <w:szCs w:val="22"/>
          <w:lang w:val="fr-FR"/>
        </w:rPr>
        <w:t xml:space="preserve"> Parties </w:t>
      </w:r>
    </w:p>
    <w:p w14:paraId="60E604A1" w14:textId="77777777" w:rsidR="00F51A6E" w:rsidRPr="00F51A6E" w:rsidRDefault="00F51A6E" w:rsidP="00F51A6E">
      <w:pPr>
        <w:widowControl/>
        <w:tabs>
          <w:tab w:val="left" w:pos="1701"/>
        </w:tabs>
        <w:autoSpaceDE/>
        <w:autoSpaceDN/>
        <w:jc w:val="both"/>
        <w:textAlignment w:val="auto"/>
        <w:rPr>
          <w:rFonts w:ascii="Arial" w:eastAsiaTheme="minorHAnsi" w:hAnsi="Arial" w:cs="Arial"/>
          <w:sz w:val="22"/>
          <w:szCs w:val="22"/>
          <w:lang w:val="fr-FR"/>
        </w:rPr>
      </w:pPr>
    </w:p>
    <w:p w14:paraId="734C6DE0" w14:textId="77777777" w:rsidR="00F51A6E" w:rsidRPr="00F51A6E" w:rsidRDefault="00F51A6E" w:rsidP="00F51A6E">
      <w:pPr>
        <w:widowControl/>
        <w:autoSpaceDE/>
        <w:autoSpaceDN/>
        <w:ind w:left="851" w:hanging="851"/>
        <w:jc w:val="both"/>
        <w:textAlignment w:val="auto"/>
        <w:rPr>
          <w:rFonts w:ascii="Arial" w:eastAsiaTheme="minorHAnsi" w:hAnsi="Arial" w:cs="Arial"/>
          <w:iCs/>
          <w:sz w:val="22"/>
          <w:szCs w:val="22"/>
          <w:lang w:val="fr-FR"/>
        </w:rPr>
      </w:pPr>
      <w:r w:rsidRPr="00F51A6E">
        <w:rPr>
          <w:rFonts w:ascii="Arial" w:eastAsiaTheme="minorHAnsi" w:hAnsi="Arial" w:cs="Arial"/>
          <w:sz w:val="22"/>
          <w:szCs w:val="22"/>
          <w:lang w:val="fr-FR"/>
        </w:rPr>
        <w:t>14.AA</w:t>
      </w:r>
      <w:r w:rsidRPr="00F51A6E">
        <w:rPr>
          <w:rFonts w:ascii="Arial" w:eastAsiaTheme="minorHAnsi" w:hAnsi="Arial" w:cs="Arial"/>
          <w:sz w:val="22"/>
          <w:szCs w:val="22"/>
          <w:lang w:val="fr-FR"/>
        </w:rPr>
        <w:tab/>
      </w:r>
      <w:r w:rsidRPr="00F51A6E">
        <w:rPr>
          <w:rFonts w:ascii="Arial" w:eastAsiaTheme="minorHAnsi" w:hAnsi="Arial" w:cs="Arial"/>
          <w:color w:val="333333"/>
          <w:sz w:val="22"/>
          <w:szCs w:val="22"/>
          <w:shd w:val="clear" w:color="auto" w:fill="FFFFFF"/>
          <w:lang w:val="fr-FR"/>
        </w:rPr>
        <w:t>Les Parties qui sont des États de l’aire de répartition de l’anguille d’Europe sont instamment priées de soutenir l’élaboration du Plan d’action, ainsi que pour la convocation d’une réunion des États de l’aire de répartition pour le finaliser.</w:t>
      </w:r>
    </w:p>
    <w:p w14:paraId="56201EF6"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2950B57C"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184F2207" w14:textId="667E7F59"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 xml:space="preserve">À l’adresse des </w:t>
      </w:r>
      <w:r w:rsidR="00F51A6E" w:rsidRPr="00F51A6E">
        <w:rPr>
          <w:rFonts w:ascii="Arial" w:eastAsiaTheme="minorHAnsi" w:hAnsi="Arial" w:cs="Arial"/>
          <w:b/>
          <w:i/>
          <w:sz w:val="22"/>
          <w:szCs w:val="22"/>
          <w:lang w:val="fr-FR"/>
        </w:rPr>
        <w:t>organisations intergouvernementales et non gouvernementales</w:t>
      </w:r>
    </w:p>
    <w:p w14:paraId="2ED92110"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5AD63755" w14:textId="77777777" w:rsidR="00F51A6E" w:rsidRPr="00F51A6E" w:rsidRDefault="00F51A6E" w:rsidP="00F51A6E">
      <w:pPr>
        <w:widowControl/>
        <w:autoSpaceDE/>
        <w:autoSpaceDN/>
        <w:ind w:left="851" w:hanging="851"/>
        <w:jc w:val="both"/>
        <w:textAlignment w:val="auto"/>
        <w:rPr>
          <w:rFonts w:ascii="Arial" w:hAnsi="Arial" w:cs="Arial"/>
          <w:color w:val="333333"/>
          <w:sz w:val="22"/>
          <w:szCs w:val="22"/>
          <w:lang w:val="fr-FR"/>
        </w:rPr>
      </w:pPr>
      <w:r w:rsidRPr="00F51A6E">
        <w:rPr>
          <w:rFonts w:ascii="Arial" w:eastAsiaTheme="minorHAnsi" w:hAnsi="Arial" w:cs="Arial"/>
          <w:sz w:val="22"/>
          <w:szCs w:val="22"/>
          <w:lang w:val="fr-FR"/>
        </w:rPr>
        <w:t xml:space="preserve">14.BB </w:t>
      </w:r>
      <w:r w:rsidRPr="00F51A6E">
        <w:rPr>
          <w:rFonts w:ascii="Arial" w:eastAsiaTheme="minorHAnsi" w:hAnsi="Arial" w:cs="Arial"/>
          <w:sz w:val="22"/>
          <w:szCs w:val="22"/>
          <w:lang w:val="fr-FR"/>
        </w:rPr>
        <w:tab/>
      </w:r>
      <w:r w:rsidRPr="00F51A6E">
        <w:rPr>
          <w:rFonts w:ascii="Arial" w:hAnsi="Arial" w:cs="Arial"/>
          <w:color w:val="333333"/>
          <w:sz w:val="22"/>
          <w:szCs w:val="22"/>
          <w:lang w:val="fr-FR"/>
        </w:rPr>
        <w:t>Les organisations intergouvernementales et non gouvernementales sont instamment priées de fournir l’expertise et les fonds pour l’élaboration du Plan, ainsi que pour la convocation d’une réunion des États de l’aire de répartition en vue de finaliser ce plan.</w:t>
      </w:r>
    </w:p>
    <w:p w14:paraId="67158D85" w14:textId="77777777" w:rsidR="00F51A6E" w:rsidRPr="00F51A6E" w:rsidRDefault="00F51A6E" w:rsidP="00F51A6E">
      <w:pPr>
        <w:widowControl/>
        <w:autoSpaceDE/>
        <w:autoSpaceDN/>
        <w:ind w:left="851" w:hanging="851"/>
        <w:jc w:val="both"/>
        <w:textAlignment w:val="auto"/>
        <w:rPr>
          <w:rFonts w:ascii="Arial" w:eastAsiaTheme="minorHAnsi" w:hAnsi="Arial" w:cs="Arial"/>
          <w:sz w:val="22"/>
          <w:szCs w:val="22"/>
          <w:lang w:val="fr-FR"/>
        </w:rPr>
      </w:pPr>
    </w:p>
    <w:p w14:paraId="40E318C2" w14:textId="77777777" w:rsidR="00F51A6E" w:rsidRPr="00F51A6E" w:rsidRDefault="00F51A6E" w:rsidP="00F51A6E">
      <w:pPr>
        <w:widowControl/>
        <w:autoSpaceDE/>
        <w:autoSpaceDN/>
        <w:jc w:val="both"/>
        <w:textAlignment w:val="auto"/>
        <w:rPr>
          <w:rFonts w:ascii="Arial" w:eastAsiaTheme="minorHAnsi" w:hAnsi="Arial" w:cs="Arial"/>
          <w:b/>
          <w:i/>
          <w:sz w:val="22"/>
          <w:szCs w:val="22"/>
          <w:lang w:val="fr-FR"/>
        </w:rPr>
      </w:pPr>
    </w:p>
    <w:p w14:paraId="6339A477" w14:textId="208AB232"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À l’adresse d</w:t>
      </w:r>
      <w:r w:rsidR="00F51A6E" w:rsidRPr="00F51A6E">
        <w:rPr>
          <w:rFonts w:ascii="Arial" w:eastAsiaTheme="minorHAnsi" w:hAnsi="Arial" w:cs="Arial"/>
          <w:b/>
          <w:i/>
          <w:sz w:val="22"/>
          <w:szCs w:val="22"/>
          <w:lang w:val="fr-FR"/>
        </w:rPr>
        <w:t>u Comité permanent</w:t>
      </w:r>
    </w:p>
    <w:p w14:paraId="356748D7"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56623140" w14:textId="72C318A4" w:rsidR="00F51A6E" w:rsidRPr="00F51A6E" w:rsidRDefault="00F51A6E" w:rsidP="00F51A6E">
      <w:pPr>
        <w:widowControl/>
        <w:autoSpaceDE/>
        <w:autoSpaceDN/>
        <w:ind w:left="851" w:hanging="851"/>
        <w:jc w:val="both"/>
        <w:textAlignment w:val="auto"/>
        <w:rPr>
          <w:rFonts w:ascii="Arial" w:hAnsi="Arial" w:cs="Arial"/>
          <w:sz w:val="22"/>
          <w:szCs w:val="22"/>
          <w:lang w:val="fr-FR"/>
        </w:rPr>
      </w:pPr>
      <w:r w:rsidRPr="00F51A6E">
        <w:rPr>
          <w:rFonts w:ascii="Arial" w:eastAsiaTheme="minorHAnsi" w:hAnsi="Arial" w:cs="Arial"/>
          <w:sz w:val="22"/>
          <w:szCs w:val="22"/>
          <w:lang w:val="fr-FR"/>
        </w:rPr>
        <w:t>14.CC</w:t>
      </w:r>
      <w:r w:rsidRPr="00F51A6E">
        <w:rPr>
          <w:rFonts w:ascii="Arial" w:eastAsiaTheme="minorHAnsi" w:hAnsi="Arial" w:cs="Arial"/>
          <w:sz w:val="22"/>
          <w:szCs w:val="22"/>
          <w:lang w:val="fr-FR"/>
        </w:rPr>
        <w:tab/>
      </w:r>
      <w:r w:rsidRPr="00F51A6E">
        <w:rPr>
          <w:rFonts w:ascii="Arial" w:eastAsiaTheme="minorHAnsi" w:hAnsi="Arial" w:cs="Arial"/>
          <w:color w:val="333333"/>
          <w:sz w:val="22"/>
          <w:szCs w:val="22"/>
          <w:shd w:val="clear" w:color="auto" w:fill="FFFFFF"/>
          <w:lang w:val="fr-FR"/>
        </w:rPr>
        <w:t xml:space="preserve">Le Comité permanent </w:t>
      </w:r>
      <w:r w:rsidR="00DC1134">
        <w:rPr>
          <w:rFonts w:ascii="Arial" w:eastAsiaTheme="minorHAnsi" w:hAnsi="Arial" w:cs="Arial"/>
          <w:color w:val="333333"/>
          <w:sz w:val="22"/>
          <w:szCs w:val="22"/>
          <w:shd w:val="clear" w:color="auto" w:fill="FFFFFF"/>
          <w:lang w:val="fr-FR"/>
        </w:rPr>
        <w:t xml:space="preserve">examine </w:t>
      </w:r>
      <w:r w:rsidRPr="00F51A6E">
        <w:rPr>
          <w:rFonts w:ascii="Arial" w:eastAsiaTheme="minorHAnsi" w:hAnsi="Arial" w:cs="Arial"/>
          <w:color w:val="333333"/>
          <w:sz w:val="22"/>
          <w:szCs w:val="22"/>
          <w:shd w:val="clear" w:color="auto" w:fill="FFFFFF"/>
          <w:lang w:val="fr-FR"/>
        </w:rPr>
        <w:t xml:space="preserve">le Plan d’action </w:t>
      </w:r>
      <w:r w:rsidR="00DC1134">
        <w:rPr>
          <w:rFonts w:ascii="Arial" w:eastAsiaTheme="minorHAnsi" w:hAnsi="Arial" w:cs="Arial"/>
          <w:color w:val="333333"/>
          <w:sz w:val="22"/>
          <w:szCs w:val="22"/>
          <w:shd w:val="clear" w:color="auto" w:fill="FFFFFF"/>
          <w:lang w:val="fr-FR"/>
        </w:rPr>
        <w:t>en vue de son adoption</w:t>
      </w:r>
      <w:r w:rsidRPr="00F51A6E">
        <w:rPr>
          <w:rFonts w:ascii="Arial" w:eastAsiaTheme="minorHAnsi" w:hAnsi="Arial" w:cs="Arial"/>
          <w:color w:val="333333"/>
          <w:sz w:val="22"/>
          <w:szCs w:val="22"/>
          <w:shd w:val="clear" w:color="auto" w:fill="FFFFFF"/>
          <w:lang w:val="fr-FR"/>
        </w:rPr>
        <w:t xml:space="preserve"> à une des réunions avant la COP15.</w:t>
      </w:r>
    </w:p>
    <w:p w14:paraId="10085997" w14:textId="77777777" w:rsidR="00F51A6E" w:rsidRPr="00F51A6E" w:rsidRDefault="00F51A6E" w:rsidP="00F51A6E">
      <w:pPr>
        <w:widowControl/>
        <w:autoSpaceDE/>
        <w:autoSpaceDN/>
        <w:ind w:left="851" w:hanging="851"/>
        <w:jc w:val="both"/>
        <w:textAlignment w:val="auto"/>
        <w:rPr>
          <w:rFonts w:ascii="Arial" w:eastAsiaTheme="minorHAnsi" w:hAnsi="Arial" w:cs="Arial"/>
          <w:b/>
          <w:i/>
          <w:sz w:val="22"/>
          <w:szCs w:val="22"/>
          <w:lang w:val="fr-FR"/>
        </w:rPr>
      </w:pPr>
    </w:p>
    <w:p w14:paraId="2B61BA91" w14:textId="77777777" w:rsidR="00F51A6E" w:rsidRPr="00F51A6E" w:rsidRDefault="00F51A6E" w:rsidP="00F51A6E">
      <w:pPr>
        <w:widowControl/>
        <w:autoSpaceDE/>
        <w:autoSpaceDN/>
        <w:ind w:left="851" w:hanging="851"/>
        <w:jc w:val="both"/>
        <w:textAlignment w:val="auto"/>
        <w:rPr>
          <w:rFonts w:ascii="Arial" w:eastAsiaTheme="minorHAnsi" w:hAnsi="Arial" w:cs="Arial"/>
          <w:b/>
          <w:i/>
          <w:sz w:val="22"/>
          <w:szCs w:val="22"/>
          <w:lang w:val="fr-FR"/>
        </w:rPr>
      </w:pPr>
    </w:p>
    <w:p w14:paraId="5F3F15CE" w14:textId="7AF2E49E"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À l’adresse d</w:t>
      </w:r>
      <w:r w:rsidR="00F51A6E" w:rsidRPr="00F51A6E">
        <w:rPr>
          <w:rFonts w:ascii="Arial" w:eastAsiaTheme="minorHAnsi" w:hAnsi="Arial" w:cs="Arial"/>
          <w:b/>
          <w:i/>
          <w:sz w:val="22"/>
          <w:szCs w:val="22"/>
          <w:lang w:val="fr-FR"/>
        </w:rPr>
        <w:t>u Secrétariat</w:t>
      </w:r>
    </w:p>
    <w:p w14:paraId="12346478"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7EFF00E5" w14:textId="10969B2A" w:rsidR="00F51A6E" w:rsidRPr="00F51A6E" w:rsidRDefault="00F51A6E" w:rsidP="00F51A6E">
      <w:pPr>
        <w:widowControl/>
        <w:autoSpaceDE/>
        <w:autoSpaceDN/>
        <w:ind w:left="851" w:hanging="851"/>
        <w:jc w:val="both"/>
        <w:textAlignment w:val="auto"/>
        <w:rPr>
          <w:rFonts w:ascii="Arial" w:hAnsi="Arial" w:cs="Arial"/>
          <w:sz w:val="22"/>
          <w:szCs w:val="22"/>
          <w:lang w:val="fr-FR"/>
        </w:rPr>
      </w:pPr>
      <w:r w:rsidRPr="00F51A6E">
        <w:rPr>
          <w:rFonts w:ascii="Arial" w:eastAsiaTheme="minorHAnsi" w:hAnsi="Arial" w:cs="Arial"/>
          <w:sz w:val="22"/>
          <w:szCs w:val="22"/>
          <w:lang w:val="fr-FR"/>
        </w:rPr>
        <w:t>14.DD</w:t>
      </w:r>
      <w:r w:rsidRPr="00F51A6E">
        <w:rPr>
          <w:rFonts w:ascii="Arial" w:hAnsi="Arial" w:cs="Arial"/>
          <w:sz w:val="22"/>
          <w:szCs w:val="22"/>
          <w:lang w:val="fr-FR"/>
        </w:rPr>
        <w:t xml:space="preserve"> </w:t>
      </w:r>
      <w:r w:rsidRPr="00F51A6E">
        <w:rPr>
          <w:rFonts w:ascii="Arial" w:hAnsi="Arial" w:cs="Arial"/>
          <w:sz w:val="22"/>
          <w:szCs w:val="22"/>
          <w:lang w:val="fr-FR"/>
        </w:rPr>
        <w:tab/>
        <w:t>Le Secrétariat, sous réserve de la disponibilité de</w:t>
      </w:r>
      <w:r w:rsidR="00DC1134">
        <w:rPr>
          <w:rFonts w:ascii="Arial" w:hAnsi="Arial" w:cs="Arial"/>
          <w:sz w:val="22"/>
          <w:szCs w:val="22"/>
          <w:lang w:val="fr-FR"/>
        </w:rPr>
        <w:t xml:space="preserve"> </w:t>
      </w:r>
      <w:r w:rsidRPr="00F51A6E">
        <w:rPr>
          <w:rFonts w:ascii="Arial" w:hAnsi="Arial" w:cs="Arial"/>
          <w:sz w:val="22"/>
          <w:szCs w:val="22"/>
          <w:lang w:val="fr-FR"/>
        </w:rPr>
        <w:t>ressources</w:t>
      </w:r>
      <w:r w:rsidR="00DC1134">
        <w:rPr>
          <w:rFonts w:ascii="Arial" w:hAnsi="Arial" w:cs="Arial"/>
          <w:sz w:val="22"/>
          <w:szCs w:val="22"/>
          <w:lang w:val="fr-FR"/>
        </w:rPr>
        <w:t> </w:t>
      </w:r>
      <w:r w:rsidRPr="00F51A6E">
        <w:rPr>
          <w:rFonts w:ascii="Arial" w:hAnsi="Arial" w:cs="Arial"/>
          <w:sz w:val="22"/>
          <w:szCs w:val="22"/>
          <w:lang w:val="fr-FR"/>
        </w:rPr>
        <w:t xml:space="preserve">: </w:t>
      </w:r>
    </w:p>
    <w:p w14:paraId="17D23EF7" w14:textId="77777777" w:rsidR="00F51A6E" w:rsidRPr="00F51A6E" w:rsidRDefault="00F51A6E" w:rsidP="00F51A6E">
      <w:pPr>
        <w:widowControl/>
        <w:autoSpaceDE/>
        <w:autoSpaceDN/>
        <w:ind w:left="1701" w:hanging="1701"/>
        <w:textAlignment w:val="auto"/>
        <w:rPr>
          <w:rFonts w:ascii="Arial" w:hAnsi="Arial" w:cs="Arial"/>
          <w:sz w:val="22"/>
          <w:szCs w:val="22"/>
          <w:lang w:val="fr-FR"/>
        </w:rPr>
      </w:pPr>
    </w:p>
    <w:p w14:paraId="77C64140" w14:textId="4DE57EEE" w:rsidR="00F51A6E" w:rsidRPr="00F51A6E" w:rsidRDefault="00DC1134" w:rsidP="00F51A6E">
      <w:pPr>
        <w:widowControl/>
        <w:numPr>
          <w:ilvl w:val="0"/>
          <w:numId w:val="5"/>
        </w:numPr>
        <w:autoSpaceDE/>
        <w:autoSpaceDN/>
        <w:ind w:left="1418" w:hanging="567"/>
        <w:contextualSpacing/>
        <w:jc w:val="both"/>
        <w:textAlignment w:val="auto"/>
        <w:rPr>
          <w:rFonts w:ascii="Arial" w:hAnsi="Arial" w:cs="Arial"/>
          <w:sz w:val="22"/>
          <w:szCs w:val="22"/>
          <w:lang w:val="fr-FR"/>
        </w:rPr>
      </w:pPr>
      <w:r>
        <w:rPr>
          <w:rFonts w:ascii="Arial" w:eastAsiaTheme="minorHAnsi" w:hAnsi="Arial" w:cs="Arial"/>
          <w:color w:val="333333"/>
          <w:sz w:val="22"/>
          <w:szCs w:val="22"/>
          <w:shd w:val="clear" w:color="auto" w:fill="FFFFFF"/>
          <w:lang w:val="fr-FR"/>
        </w:rPr>
        <w:t xml:space="preserve">Appuie la </w:t>
      </w:r>
      <w:r w:rsidR="00F51A6E" w:rsidRPr="00F51A6E">
        <w:rPr>
          <w:rFonts w:ascii="Arial" w:eastAsiaTheme="minorHAnsi" w:hAnsi="Arial" w:cs="Arial"/>
          <w:color w:val="333333"/>
          <w:sz w:val="22"/>
          <w:szCs w:val="22"/>
          <w:shd w:val="clear" w:color="auto" w:fill="FFFFFF"/>
          <w:lang w:val="fr-FR"/>
        </w:rPr>
        <w:t>finalis</w:t>
      </w:r>
      <w:r>
        <w:rPr>
          <w:rFonts w:ascii="Arial" w:eastAsiaTheme="minorHAnsi" w:hAnsi="Arial" w:cs="Arial"/>
          <w:color w:val="333333"/>
          <w:sz w:val="22"/>
          <w:szCs w:val="22"/>
          <w:shd w:val="clear" w:color="auto" w:fill="FFFFFF"/>
          <w:lang w:val="fr-FR"/>
        </w:rPr>
        <w:t>ation du</w:t>
      </w:r>
      <w:r w:rsidR="00F51A6E" w:rsidRPr="00F51A6E">
        <w:rPr>
          <w:rFonts w:ascii="Arial" w:eastAsiaTheme="minorHAnsi" w:hAnsi="Arial" w:cs="Arial"/>
          <w:color w:val="333333"/>
          <w:sz w:val="22"/>
          <w:szCs w:val="22"/>
          <w:shd w:val="clear" w:color="auto" w:fill="FFFFFF"/>
          <w:lang w:val="fr-FR"/>
        </w:rPr>
        <w:t xml:space="preserve"> projet de Plan d’action pour l’anguille d’Europe (</w:t>
      </w:r>
      <w:r w:rsidR="00F51A6E" w:rsidRPr="00F51A6E">
        <w:rPr>
          <w:rFonts w:ascii="Arial" w:eastAsiaTheme="minorHAnsi" w:hAnsi="Arial" w:cs="Arial"/>
          <w:i/>
          <w:iCs/>
          <w:color w:val="333333"/>
          <w:sz w:val="22"/>
          <w:szCs w:val="22"/>
          <w:shd w:val="clear" w:color="auto" w:fill="FFFFFF"/>
          <w:lang w:val="fr-FR"/>
        </w:rPr>
        <w:t xml:space="preserve">Anguilla </w:t>
      </w:r>
      <w:proofErr w:type="spellStart"/>
      <w:r w:rsidR="00F51A6E" w:rsidRPr="00F51A6E">
        <w:rPr>
          <w:rFonts w:ascii="Arial" w:eastAsiaTheme="minorHAnsi" w:hAnsi="Arial" w:cs="Arial"/>
          <w:i/>
          <w:iCs/>
          <w:color w:val="333333"/>
          <w:sz w:val="22"/>
          <w:szCs w:val="22"/>
          <w:shd w:val="clear" w:color="auto" w:fill="FFFFFF"/>
          <w:lang w:val="fr-FR"/>
        </w:rPr>
        <w:t>anguilla</w:t>
      </w:r>
      <w:proofErr w:type="spellEnd"/>
      <w:r w:rsidR="00F51A6E" w:rsidRPr="00F51A6E">
        <w:rPr>
          <w:rFonts w:ascii="Arial" w:eastAsiaTheme="minorHAnsi" w:hAnsi="Arial" w:cs="Arial"/>
          <w:color w:val="333333"/>
          <w:sz w:val="22"/>
          <w:szCs w:val="22"/>
          <w:shd w:val="clear" w:color="auto" w:fill="FFFFFF"/>
          <w:lang w:val="fr-FR"/>
        </w:rPr>
        <w:t>) ;</w:t>
      </w:r>
    </w:p>
    <w:p w14:paraId="0BC224F2" w14:textId="77777777" w:rsidR="00F51A6E" w:rsidRPr="00F51A6E" w:rsidRDefault="00F51A6E" w:rsidP="00F51A6E">
      <w:pPr>
        <w:widowControl/>
        <w:autoSpaceDE/>
        <w:autoSpaceDN/>
        <w:ind w:left="1418" w:hanging="567"/>
        <w:jc w:val="both"/>
        <w:textAlignment w:val="auto"/>
        <w:rPr>
          <w:rFonts w:ascii="Arial" w:hAnsi="Arial" w:cs="Arial"/>
          <w:sz w:val="22"/>
          <w:szCs w:val="22"/>
          <w:lang w:val="fr-FR"/>
        </w:rPr>
      </w:pPr>
    </w:p>
    <w:p w14:paraId="32101296" w14:textId="20828378" w:rsidR="00F51A6E" w:rsidRDefault="00F51A6E" w:rsidP="00F51A6E">
      <w:pPr>
        <w:widowControl/>
        <w:autoSpaceDE/>
        <w:autoSpaceDN/>
        <w:ind w:left="1418" w:hanging="567"/>
        <w:jc w:val="both"/>
        <w:textAlignment w:val="auto"/>
        <w:rPr>
          <w:rFonts w:ascii="Arial" w:eastAsiaTheme="minorHAnsi" w:hAnsi="Arial" w:cs="Arial"/>
          <w:color w:val="333333"/>
          <w:sz w:val="22"/>
          <w:szCs w:val="22"/>
          <w:shd w:val="clear" w:color="auto" w:fill="FFFFFF"/>
          <w:lang w:val="fr-FR"/>
        </w:rPr>
      </w:pPr>
      <w:r w:rsidRPr="00F51A6E">
        <w:rPr>
          <w:rFonts w:ascii="Arial" w:hAnsi="Arial" w:cs="Arial"/>
          <w:sz w:val="22"/>
          <w:szCs w:val="22"/>
          <w:lang w:val="fr-FR"/>
        </w:rPr>
        <w:t xml:space="preserve">b) </w:t>
      </w:r>
      <w:r w:rsidRPr="00F51A6E">
        <w:rPr>
          <w:rFonts w:ascii="Arial" w:hAnsi="Arial" w:cs="Arial"/>
          <w:sz w:val="22"/>
          <w:szCs w:val="22"/>
          <w:lang w:val="fr-FR"/>
        </w:rPr>
        <w:tab/>
      </w:r>
      <w:r w:rsidRPr="00F51A6E">
        <w:rPr>
          <w:rFonts w:ascii="Arial" w:eastAsiaTheme="minorHAnsi" w:hAnsi="Arial" w:cs="Arial"/>
          <w:color w:val="333333"/>
          <w:sz w:val="22"/>
          <w:szCs w:val="22"/>
          <w:shd w:val="clear" w:color="auto" w:fill="FFFFFF"/>
          <w:lang w:val="fr-FR"/>
        </w:rPr>
        <w:t xml:space="preserve">organise des consultations entre les États de l’aire de répartition et les OIG et ONG concernées sur le projet de Plan d’action, par correspondance et si le financement le permet, en convoquant </w:t>
      </w:r>
      <w:r w:rsidR="00DC1134">
        <w:rPr>
          <w:rFonts w:ascii="Arial" w:eastAsiaTheme="minorHAnsi" w:hAnsi="Arial" w:cs="Arial"/>
          <w:color w:val="333333"/>
          <w:sz w:val="22"/>
          <w:szCs w:val="22"/>
          <w:shd w:val="clear" w:color="auto" w:fill="FFFFFF"/>
          <w:lang w:val="fr-FR"/>
        </w:rPr>
        <w:t xml:space="preserve">ou en appuyant </w:t>
      </w:r>
      <w:r w:rsidRPr="00F51A6E">
        <w:rPr>
          <w:rFonts w:ascii="Arial" w:eastAsiaTheme="minorHAnsi" w:hAnsi="Arial" w:cs="Arial"/>
          <w:color w:val="333333"/>
          <w:sz w:val="22"/>
          <w:szCs w:val="22"/>
          <w:shd w:val="clear" w:color="auto" w:fill="FFFFFF"/>
          <w:lang w:val="fr-FR"/>
        </w:rPr>
        <w:t>une autre réunion des États de l’aire de répartition</w:t>
      </w:r>
      <w:r w:rsidR="00F24FD5">
        <w:rPr>
          <w:rFonts w:ascii="Arial" w:eastAsiaTheme="minorHAnsi" w:hAnsi="Arial" w:cs="Arial"/>
          <w:color w:val="333333"/>
          <w:sz w:val="22"/>
          <w:szCs w:val="22"/>
          <w:shd w:val="clear" w:color="auto" w:fill="FFFFFF"/>
          <w:lang w:val="fr-FR"/>
        </w:rPr>
        <w:t> ;</w:t>
      </w:r>
    </w:p>
    <w:p w14:paraId="30E26266" w14:textId="77777777" w:rsidR="00DC1134" w:rsidRDefault="00DC1134" w:rsidP="00F51A6E">
      <w:pPr>
        <w:widowControl/>
        <w:autoSpaceDE/>
        <w:autoSpaceDN/>
        <w:ind w:left="1418" w:hanging="567"/>
        <w:jc w:val="both"/>
        <w:textAlignment w:val="auto"/>
        <w:rPr>
          <w:rFonts w:ascii="Arial" w:eastAsiaTheme="minorHAnsi" w:hAnsi="Arial" w:cs="Arial"/>
          <w:color w:val="333333"/>
          <w:sz w:val="22"/>
          <w:szCs w:val="22"/>
          <w:shd w:val="clear" w:color="auto" w:fill="FFFFFF"/>
          <w:lang w:val="fr-FR"/>
        </w:rPr>
      </w:pPr>
    </w:p>
    <w:p w14:paraId="028B60E9" w14:textId="6684A7CA" w:rsidR="00DC1134" w:rsidRPr="00F51A6E" w:rsidRDefault="00DC1134" w:rsidP="00F51A6E">
      <w:pPr>
        <w:widowControl/>
        <w:autoSpaceDE/>
        <w:autoSpaceDN/>
        <w:ind w:left="1418" w:hanging="567"/>
        <w:jc w:val="both"/>
        <w:textAlignment w:val="auto"/>
        <w:rPr>
          <w:rFonts w:ascii="Arial" w:hAnsi="Arial" w:cs="Arial"/>
          <w:sz w:val="22"/>
          <w:szCs w:val="22"/>
          <w:lang w:val="fr-FR"/>
        </w:rPr>
      </w:pPr>
      <w:r>
        <w:rPr>
          <w:rFonts w:ascii="Arial" w:eastAsiaTheme="minorHAnsi" w:hAnsi="Arial" w:cs="Arial"/>
          <w:color w:val="333333"/>
          <w:sz w:val="22"/>
          <w:szCs w:val="22"/>
          <w:shd w:val="clear" w:color="auto" w:fill="FFFFFF"/>
          <w:lang w:val="fr-FR"/>
        </w:rPr>
        <w:t>c)</w:t>
      </w:r>
      <w:r w:rsidRPr="00F52B80">
        <w:rPr>
          <w:lang w:val="fr-FR"/>
        </w:rPr>
        <w:tab/>
      </w:r>
      <w:r>
        <w:rPr>
          <w:rFonts w:ascii="Arial" w:eastAsiaTheme="minorHAnsi" w:hAnsi="Arial" w:cs="Arial"/>
          <w:color w:val="333333"/>
          <w:sz w:val="22"/>
          <w:szCs w:val="22"/>
          <w:shd w:val="clear" w:color="auto" w:fill="FFFFFF"/>
          <w:lang w:val="fr-FR"/>
        </w:rPr>
        <w:t xml:space="preserve">travaille en </w:t>
      </w:r>
      <w:r w:rsidRPr="00DC1134">
        <w:rPr>
          <w:rFonts w:ascii="Arial" w:eastAsiaTheme="minorHAnsi" w:hAnsi="Arial" w:cs="Arial"/>
          <w:color w:val="333333"/>
          <w:sz w:val="22"/>
          <w:szCs w:val="22"/>
          <w:shd w:val="clear" w:color="auto" w:fill="FFFFFF"/>
          <w:lang w:val="fr-FR"/>
        </w:rPr>
        <w:t>collabor</w:t>
      </w:r>
      <w:r>
        <w:rPr>
          <w:rFonts w:ascii="Arial" w:eastAsiaTheme="minorHAnsi" w:hAnsi="Arial" w:cs="Arial"/>
          <w:color w:val="333333"/>
          <w:sz w:val="22"/>
          <w:szCs w:val="22"/>
          <w:shd w:val="clear" w:color="auto" w:fill="FFFFFF"/>
          <w:lang w:val="fr-FR"/>
        </w:rPr>
        <w:t>ation</w:t>
      </w:r>
      <w:r w:rsidRPr="00DC1134">
        <w:rPr>
          <w:rFonts w:ascii="Arial" w:eastAsiaTheme="minorHAnsi" w:hAnsi="Arial" w:cs="Arial"/>
          <w:color w:val="333333"/>
          <w:sz w:val="22"/>
          <w:szCs w:val="22"/>
          <w:shd w:val="clear" w:color="auto" w:fill="FFFFFF"/>
          <w:lang w:val="fr-FR"/>
        </w:rPr>
        <w:t xml:space="preserve"> avec le </w:t>
      </w:r>
      <w:r>
        <w:rPr>
          <w:rFonts w:ascii="Arial" w:eastAsiaTheme="minorHAnsi" w:hAnsi="Arial" w:cs="Arial"/>
          <w:color w:val="333333"/>
          <w:sz w:val="22"/>
          <w:szCs w:val="22"/>
          <w:shd w:val="clear" w:color="auto" w:fill="FFFFFF"/>
          <w:lang w:val="fr-FR"/>
        </w:rPr>
        <w:t>S</w:t>
      </w:r>
      <w:r w:rsidRPr="00DC1134">
        <w:rPr>
          <w:rFonts w:ascii="Arial" w:eastAsiaTheme="minorHAnsi" w:hAnsi="Arial" w:cs="Arial"/>
          <w:color w:val="333333"/>
          <w:sz w:val="22"/>
          <w:szCs w:val="22"/>
          <w:shd w:val="clear" w:color="auto" w:fill="FFFFFF"/>
          <w:lang w:val="fr-FR"/>
        </w:rPr>
        <w:t>ecrétariat</w:t>
      </w:r>
      <w:r>
        <w:rPr>
          <w:rFonts w:ascii="Arial" w:eastAsiaTheme="minorHAnsi" w:hAnsi="Arial" w:cs="Arial"/>
          <w:color w:val="333333"/>
          <w:sz w:val="22"/>
          <w:szCs w:val="22"/>
          <w:shd w:val="clear" w:color="auto" w:fill="FFFFFF"/>
          <w:lang w:val="fr-FR"/>
        </w:rPr>
        <w:t xml:space="preserve"> </w:t>
      </w:r>
      <w:r w:rsidRPr="00DC1134">
        <w:rPr>
          <w:rFonts w:ascii="Arial" w:eastAsiaTheme="minorHAnsi" w:hAnsi="Arial" w:cs="Arial"/>
          <w:color w:val="333333"/>
          <w:sz w:val="22"/>
          <w:szCs w:val="22"/>
          <w:shd w:val="clear" w:color="auto" w:fill="FFFFFF"/>
          <w:lang w:val="fr-FR"/>
        </w:rPr>
        <w:t>CITES sur leurs activités intersession</w:t>
      </w:r>
      <w:r>
        <w:rPr>
          <w:rFonts w:ascii="Arial" w:eastAsiaTheme="minorHAnsi" w:hAnsi="Arial" w:cs="Arial"/>
          <w:color w:val="333333"/>
          <w:sz w:val="22"/>
          <w:szCs w:val="22"/>
          <w:shd w:val="clear" w:color="auto" w:fill="FFFFFF"/>
          <w:lang w:val="fr-FR"/>
        </w:rPr>
        <w:t>s</w:t>
      </w:r>
      <w:r w:rsidRPr="00DC1134">
        <w:rPr>
          <w:rFonts w:ascii="Arial" w:eastAsiaTheme="minorHAnsi" w:hAnsi="Arial" w:cs="Arial"/>
          <w:color w:val="333333"/>
          <w:sz w:val="22"/>
          <w:szCs w:val="22"/>
          <w:shd w:val="clear" w:color="auto" w:fill="FFFFFF"/>
          <w:lang w:val="fr-FR"/>
        </w:rPr>
        <w:t xml:space="preserve"> respectives relatives à l'anguille </w:t>
      </w:r>
      <w:r>
        <w:rPr>
          <w:rFonts w:ascii="Arial" w:eastAsiaTheme="minorHAnsi" w:hAnsi="Arial" w:cs="Arial"/>
          <w:color w:val="333333"/>
          <w:sz w:val="22"/>
          <w:szCs w:val="22"/>
          <w:shd w:val="clear" w:color="auto" w:fill="FFFFFF"/>
          <w:lang w:val="fr-FR"/>
        </w:rPr>
        <w:t>d’E</w:t>
      </w:r>
      <w:r w:rsidRPr="00DC1134">
        <w:rPr>
          <w:rFonts w:ascii="Arial" w:eastAsiaTheme="minorHAnsi" w:hAnsi="Arial" w:cs="Arial"/>
          <w:color w:val="333333"/>
          <w:sz w:val="22"/>
          <w:szCs w:val="22"/>
          <w:shd w:val="clear" w:color="auto" w:fill="FFFFFF"/>
          <w:lang w:val="fr-FR"/>
        </w:rPr>
        <w:t>urope</w:t>
      </w:r>
      <w:r>
        <w:rPr>
          <w:rFonts w:ascii="Arial" w:eastAsiaTheme="minorHAnsi" w:hAnsi="Arial" w:cs="Arial"/>
          <w:color w:val="333333"/>
          <w:sz w:val="22"/>
          <w:szCs w:val="22"/>
          <w:shd w:val="clear" w:color="auto" w:fill="FFFFFF"/>
          <w:lang w:val="fr-FR"/>
        </w:rPr>
        <w:t> ;</w:t>
      </w:r>
    </w:p>
    <w:p w14:paraId="2DA5C096" w14:textId="77777777" w:rsidR="00F51A6E" w:rsidRPr="00F51A6E" w:rsidRDefault="00F51A6E" w:rsidP="00F51A6E">
      <w:pPr>
        <w:widowControl/>
        <w:autoSpaceDE/>
        <w:autoSpaceDN/>
        <w:ind w:left="1418" w:hanging="567"/>
        <w:jc w:val="both"/>
        <w:textAlignment w:val="auto"/>
        <w:rPr>
          <w:rFonts w:ascii="Arial" w:hAnsi="Arial" w:cs="Arial"/>
          <w:sz w:val="22"/>
          <w:szCs w:val="22"/>
          <w:lang w:val="fr-FR"/>
        </w:rPr>
      </w:pPr>
    </w:p>
    <w:p w14:paraId="4ADA07E5" w14:textId="3D004449" w:rsidR="00F51A6E" w:rsidRPr="00F51A6E" w:rsidRDefault="00F51A6E" w:rsidP="00F51A6E">
      <w:pPr>
        <w:widowControl/>
        <w:autoSpaceDE/>
        <w:autoSpaceDN/>
        <w:ind w:left="1418" w:hanging="567"/>
        <w:jc w:val="both"/>
        <w:textAlignment w:val="auto"/>
        <w:rPr>
          <w:rFonts w:ascii="Arial" w:hAnsi="Arial" w:cs="Arial"/>
          <w:b/>
          <w:i/>
          <w:sz w:val="22"/>
          <w:szCs w:val="22"/>
          <w:lang w:val="fr-FR"/>
        </w:rPr>
      </w:pPr>
      <w:r w:rsidRPr="00F51A6E">
        <w:rPr>
          <w:rFonts w:ascii="Arial" w:hAnsi="Arial" w:cs="Arial"/>
          <w:sz w:val="22"/>
          <w:szCs w:val="22"/>
          <w:lang w:val="fr-FR"/>
        </w:rPr>
        <w:t xml:space="preserve">c) </w:t>
      </w:r>
      <w:r w:rsidRPr="00F51A6E">
        <w:rPr>
          <w:rFonts w:ascii="Arial" w:hAnsi="Arial" w:cs="Arial"/>
          <w:sz w:val="22"/>
          <w:szCs w:val="22"/>
          <w:lang w:val="fr-FR"/>
        </w:rPr>
        <w:tab/>
      </w:r>
      <w:r w:rsidRPr="00F51A6E">
        <w:rPr>
          <w:rFonts w:ascii="Arial" w:eastAsiaTheme="minorHAnsi" w:hAnsi="Arial" w:cs="Arial"/>
          <w:color w:val="333333"/>
          <w:sz w:val="22"/>
          <w:szCs w:val="22"/>
          <w:shd w:val="clear" w:color="auto" w:fill="FFFFFF"/>
          <w:lang w:val="fr-FR"/>
        </w:rPr>
        <w:t xml:space="preserve">soumet le projet de plan au Comité permanent </w:t>
      </w:r>
      <w:r w:rsidR="00DC1134">
        <w:rPr>
          <w:rFonts w:ascii="Arial" w:eastAsiaTheme="minorHAnsi" w:hAnsi="Arial" w:cs="Arial"/>
          <w:color w:val="333333"/>
          <w:sz w:val="22"/>
          <w:szCs w:val="22"/>
          <w:shd w:val="clear" w:color="auto" w:fill="FFFFFF"/>
          <w:lang w:val="fr-FR"/>
        </w:rPr>
        <w:t xml:space="preserve">pour adoption </w:t>
      </w:r>
      <w:r w:rsidRPr="00F51A6E">
        <w:rPr>
          <w:rFonts w:ascii="Arial" w:eastAsiaTheme="minorHAnsi" w:hAnsi="Arial" w:cs="Arial"/>
          <w:color w:val="333333"/>
          <w:sz w:val="22"/>
          <w:szCs w:val="22"/>
          <w:shd w:val="clear" w:color="auto" w:fill="FFFFFF"/>
          <w:lang w:val="fr-FR"/>
        </w:rPr>
        <w:t xml:space="preserve">à une des réunions </w:t>
      </w:r>
      <w:r w:rsidR="00DC1134">
        <w:rPr>
          <w:rFonts w:ascii="Arial" w:eastAsiaTheme="minorHAnsi" w:hAnsi="Arial" w:cs="Arial"/>
          <w:color w:val="333333"/>
          <w:sz w:val="22"/>
          <w:szCs w:val="22"/>
          <w:shd w:val="clear" w:color="auto" w:fill="FFFFFF"/>
          <w:lang w:val="fr-FR"/>
        </w:rPr>
        <w:t>précédant</w:t>
      </w:r>
      <w:r w:rsidRPr="00F51A6E">
        <w:rPr>
          <w:rFonts w:ascii="Arial" w:eastAsiaTheme="minorHAnsi" w:hAnsi="Arial" w:cs="Arial"/>
          <w:color w:val="333333"/>
          <w:sz w:val="22"/>
          <w:szCs w:val="22"/>
          <w:shd w:val="clear" w:color="auto" w:fill="FFFFFF"/>
          <w:lang w:val="fr-FR"/>
        </w:rPr>
        <w:t xml:space="preserve"> la COP15</w:t>
      </w:r>
      <w:r w:rsidR="00DC1134">
        <w:rPr>
          <w:rFonts w:ascii="Arial" w:eastAsiaTheme="minorHAnsi" w:hAnsi="Arial" w:cs="Arial"/>
          <w:color w:val="333333"/>
          <w:sz w:val="22"/>
          <w:szCs w:val="22"/>
          <w:shd w:val="clear" w:color="auto" w:fill="FFFFFF"/>
          <w:lang w:val="fr-FR"/>
        </w:rPr>
        <w:t>.</w:t>
      </w:r>
    </w:p>
    <w:p w14:paraId="296DA805" w14:textId="77777777" w:rsidR="00F51A6E" w:rsidRPr="00F51A6E" w:rsidRDefault="00F51A6E" w:rsidP="00F51A6E">
      <w:pPr>
        <w:widowControl/>
        <w:autoSpaceDE/>
        <w:autoSpaceDN/>
        <w:textAlignment w:val="auto"/>
        <w:rPr>
          <w:rFonts w:ascii="Arial" w:eastAsiaTheme="minorHAnsi" w:hAnsi="Arial" w:cstheme="minorBidi"/>
          <w:sz w:val="22"/>
          <w:szCs w:val="22"/>
          <w:lang w:val="fr-FR"/>
        </w:rPr>
      </w:pPr>
    </w:p>
    <w:p w14:paraId="6ED39AC2" w14:textId="77777777" w:rsidR="00F51A6E" w:rsidRPr="00F51A6E" w:rsidRDefault="00F51A6E" w:rsidP="00F51A6E">
      <w:pPr>
        <w:widowControl/>
        <w:autoSpaceDE/>
        <w:autoSpaceDN/>
        <w:textAlignment w:val="auto"/>
        <w:rPr>
          <w:rFonts w:ascii="Arial" w:eastAsiaTheme="minorHAnsi" w:hAnsi="Arial" w:cstheme="minorBidi"/>
          <w:sz w:val="22"/>
          <w:szCs w:val="22"/>
          <w:lang w:val="fr-FR"/>
        </w:rPr>
      </w:pPr>
      <w:r w:rsidRPr="00F51A6E">
        <w:rPr>
          <w:rFonts w:ascii="Arial" w:eastAsiaTheme="minorHAnsi" w:hAnsi="Arial" w:cstheme="minorBidi"/>
          <w:sz w:val="22"/>
          <w:szCs w:val="22"/>
          <w:lang w:val="fr-FR"/>
        </w:rPr>
        <w:br w:type="page"/>
      </w:r>
    </w:p>
    <w:p w14:paraId="46E5079A" w14:textId="77777777" w:rsidR="00F51A6E" w:rsidRPr="00F51A6E" w:rsidRDefault="00F51A6E" w:rsidP="00F51A6E">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F51A6E">
        <w:rPr>
          <w:rFonts w:ascii="Arial" w:eastAsiaTheme="minorHAnsi" w:hAnsi="Arial" w:cs="Arial"/>
          <w:b/>
          <w:caps/>
          <w:sz w:val="22"/>
          <w:szCs w:val="22"/>
          <w:lang w:val="fr-FR"/>
        </w:rPr>
        <w:lastRenderedPageBreak/>
        <w:t>Poissons d'eau douce</w:t>
      </w:r>
    </w:p>
    <w:p w14:paraId="5B6173FD"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44AB90F8" w14:textId="0F0DAC3D"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 xml:space="preserve">À l’adresse des </w:t>
      </w:r>
      <w:r w:rsidR="00F51A6E" w:rsidRPr="00F51A6E">
        <w:rPr>
          <w:rFonts w:ascii="Arial" w:eastAsiaTheme="minorHAnsi" w:hAnsi="Arial" w:cs="Arial"/>
          <w:b/>
          <w:i/>
          <w:sz w:val="22"/>
          <w:szCs w:val="22"/>
          <w:lang w:val="fr-FR"/>
        </w:rPr>
        <w:t xml:space="preserve">Parties </w:t>
      </w:r>
    </w:p>
    <w:p w14:paraId="04E54EB1"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6C08928C" w14:textId="132D8558" w:rsidR="00F51A6E" w:rsidRPr="00F51A6E" w:rsidRDefault="00F51A6E" w:rsidP="00F51A6E">
      <w:pPr>
        <w:widowControl/>
        <w:autoSpaceDE/>
        <w:autoSpaceDN/>
        <w:ind w:left="851" w:hanging="851"/>
        <w:jc w:val="both"/>
        <w:textAlignment w:val="auto"/>
        <w:rPr>
          <w:rFonts w:ascii="Arial" w:eastAsiaTheme="minorHAnsi" w:hAnsi="Arial" w:cs="Arial"/>
          <w:iCs/>
          <w:sz w:val="22"/>
          <w:szCs w:val="22"/>
          <w:lang w:val="fr-FR"/>
        </w:rPr>
      </w:pPr>
      <w:r w:rsidRPr="00F51A6E">
        <w:rPr>
          <w:rFonts w:ascii="Arial" w:eastAsiaTheme="minorHAnsi" w:hAnsi="Arial" w:cs="Arial"/>
          <w:sz w:val="22"/>
          <w:szCs w:val="22"/>
          <w:lang w:val="fr-FR"/>
        </w:rPr>
        <w:t>14.EE</w:t>
      </w:r>
      <w:r w:rsidRPr="00F51A6E">
        <w:rPr>
          <w:rFonts w:ascii="Arial" w:eastAsiaTheme="minorHAnsi" w:hAnsi="Arial" w:cs="Arial"/>
          <w:sz w:val="22"/>
          <w:szCs w:val="22"/>
          <w:lang w:val="fr-FR"/>
        </w:rPr>
        <w:tab/>
      </w:r>
      <w:r w:rsidRPr="00F51A6E">
        <w:rPr>
          <w:rFonts w:ascii="Arial" w:eastAsiaTheme="minorHAnsi" w:hAnsi="Arial" w:cs="Arial"/>
          <w:iCs/>
          <w:sz w:val="22"/>
          <w:szCs w:val="22"/>
          <w:lang w:val="fr-FR"/>
        </w:rPr>
        <w:t xml:space="preserve">Les Parties </w:t>
      </w:r>
      <w:r w:rsidRPr="00F51A6E">
        <w:rPr>
          <w:rFonts w:ascii="Arial" w:hAnsi="Arial" w:cs="Arial"/>
          <w:color w:val="333333"/>
          <w:sz w:val="22"/>
          <w:szCs w:val="22"/>
          <w:lang w:val="fr-FR"/>
        </w:rPr>
        <w:t xml:space="preserve">sont </w:t>
      </w:r>
      <w:r w:rsidR="00DC1134">
        <w:rPr>
          <w:rFonts w:ascii="Arial" w:hAnsi="Arial" w:cs="Arial"/>
          <w:color w:val="333333"/>
          <w:sz w:val="22"/>
          <w:szCs w:val="22"/>
          <w:lang w:val="fr-FR"/>
        </w:rPr>
        <w:t>priées de :</w:t>
      </w:r>
      <w:r w:rsidRPr="00F51A6E">
        <w:rPr>
          <w:rFonts w:ascii="Arial" w:hAnsi="Arial" w:cs="Arial"/>
          <w:iCs/>
          <w:color w:val="333333"/>
          <w:sz w:val="22"/>
          <w:szCs w:val="22"/>
          <w:lang w:val="fr-FR"/>
        </w:rPr>
        <w:t xml:space="preserve"> </w:t>
      </w:r>
    </w:p>
    <w:p w14:paraId="1FEAF22F"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1359A927" w14:textId="3B180FF1" w:rsidR="00F51A6E" w:rsidRPr="00F51A6E" w:rsidRDefault="00F51A6E" w:rsidP="00F51A6E">
      <w:pPr>
        <w:widowControl/>
        <w:numPr>
          <w:ilvl w:val="0"/>
          <w:numId w:val="2"/>
        </w:numPr>
        <w:autoSpaceDE/>
        <w:autoSpaceDN/>
        <w:ind w:left="1418" w:hanging="567"/>
        <w:jc w:val="both"/>
        <w:textAlignment w:val="auto"/>
        <w:rPr>
          <w:rFonts w:ascii="Arial" w:hAnsi="Arial" w:cs="Arial"/>
          <w:color w:val="333333"/>
          <w:sz w:val="22"/>
          <w:szCs w:val="22"/>
          <w:lang w:val="fr-FR"/>
        </w:rPr>
      </w:pPr>
      <w:r w:rsidRPr="00F51A6E">
        <w:rPr>
          <w:rFonts w:ascii="Arial" w:hAnsi="Arial" w:cs="Arial"/>
          <w:color w:val="333333"/>
          <w:sz w:val="22"/>
          <w:szCs w:val="22"/>
          <w:lang w:val="fr-FR"/>
        </w:rPr>
        <w:t xml:space="preserve">promouvoir le partage des données </w:t>
      </w:r>
      <w:r w:rsidR="00DC1134">
        <w:rPr>
          <w:rFonts w:ascii="Arial" w:hAnsi="Arial" w:cs="Arial"/>
          <w:color w:val="333333"/>
          <w:sz w:val="22"/>
          <w:szCs w:val="22"/>
          <w:lang w:val="fr-FR"/>
        </w:rPr>
        <w:t xml:space="preserve">avec </w:t>
      </w:r>
      <w:r w:rsidR="00DC1134" w:rsidRPr="00DC1134">
        <w:rPr>
          <w:rFonts w:ascii="Arial" w:hAnsi="Arial" w:cs="Arial"/>
          <w:color w:val="333333"/>
          <w:sz w:val="22"/>
          <w:szCs w:val="22"/>
          <w:lang w:val="fr-FR"/>
        </w:rPr>
        <w:t xml:space="preserve">d'autres États de l'aire de répartition et/ou organismes internationaux sur les espèces de poissons migrateurs d'eau douce </w:t>
      </w:r>
      <w:r w:rsidRPr="00F51A6E">
        <w:rPr>
          <w:rFonts w:ascii="Arial" w:hAnsi="Arial" w:cs="Arial"/>
          <w:color w:val="333333"/>
          <w:sz w:val="22"/>
          <w:szCs w:val="22"/>
          <w:lang w:val="fr-FR"/>
        </w:rPr>
        <w:t>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 ;</w:t>
      </w:r>
    </w:p>
    <w:p w14:paraId="71BAF9DB" w14:textId="77777777" w:rsidR="00F51A6E" w:rsidRPr="00F51A6E" w:rsidRDefault="00F51A6E" w:rsidP="00F51A6E">
      <w:pPr>
        <w:widowControl/>
        <w:autoSpaceDE/>
        <w:autoSpaceDN/>
        <w:ind w:left="1418" w:hanging="567"/>
        <w:jc w:val="both"/>
        <w:textAlignment w:val="auto"/>
        <w:rPr>
          <w:rFonts w:ascii="Arial" w:hAnsi="Arial" w:cs="Arial"/>
          <w:color w:val="333333"/>
          <w:sz w:val="22"/>
          <w:szCs w:val="22"/>
          <w:lang w:val="fr-FR"/>
        </w:rPr>
      </w:pPr>
    </w:p>
    <w:p w14:paraId="2D104BB5" w14:textId="77777777" w:rsidR="00F51A6E" w:rsidRPr="00F51A6E" w:rsidRDefault="00F51A6E" w:rsidP="00F51A6E">
      <w:pPr>
        <w:widowControl/>
        <w:numPr>
          <w:ilvl w:val="0"/>
          <w:numId w:val="2"/>
        </w:numPr>
        <w:autoSpaceDE/>
        <w:autoSpaceDN/>
        <w:ind w:left="1418" w:hanging="567"/>
        <w:contextualSpacing/>
        <w:jc w:val="both"/>
        <w:textAlignment w:val="auto"/>
        <w:rPr>
          <w:rFonts w:ascii="Arial" w:hAnsi="Arial" w:cs="Arial"/>
          <w:color w:val="333333"/>
          <w:sz w:val="22"/>
          <w:szCs w:val="22"/>
          <w:lang w:val="fr-FR"/>
        </w:rPr>
      </w:pPr>
      <w:r w:rsidRPr="00F51A6E">
        <w:rPr>
          <w:rFonts w:ascii="Arial" w:hAnsi="Arial" w:cs="Arial"/>
          <w:color w:val="333333"/>
          <w:sz w:val="22"/>
          <w:szCs w:val="22"/>
          <w:lang w:val="fr-FR"/>
        </w:rPr>
        <w:t>prendre des mesures concernant les barrages hydroélectriques pour atténuer les effets des obstacles établis dans les cours d'eau, comme la création de zones protégées et d'autres mesures efficaces de conservation par zone, dans les plaines d'inondation supérieures et inférieures qui sont importantes pour les cycles d'alimentation et de frai des populations de poissons migrateurs sauvages;</w:t>
      </w:r>
    </w:p>
    <w:p w14:paraId="6535300D" w14:textId="77777777" w:rsidR="00F51A6E" w:rsidRPr="00F51A6E" w:rsidRDefault="00F51A6E" w:rsidP="00F51A6E">
      <w:pPr>
        <w:widowControl/>
        <w:autoSpaceDE/>
        <w:autoSpaceDN/>
        <w:ind w:left="1418" w:hanging="567"/>
        <w:contextualSpacing/>
        <w:jc w:val="both"/>
        <w:textAlignment w:val="auto"/>
        <w:rPr>
          <w:rFonts w:ascii="Arial" w:hAnsi="Arial" w:cs="Arial"/>
          <w:color w:val="333333"/>
          <w:sz w:val="22"/>
          <w:szCs w:val="22"/>
          <w:lang w:val="fr-FR"/>
        </w:rPr>
      </w:pPr>
    </w:p>
    <w:p w14:paraId="44813FA2" w14:textId="477DFF6C" w:rsidR="00F51A6E" w:rsidRPr="00F51A6E" w:rsidRDefault="0079466A" w:rsidP="00F51A6E">
      <w:pPr>
        <w:widowControl/>
        <w:numPr>
          <w:ilvl w:val="0"/>
          <w:numId w:val="2"/>
        </w:numPr>
        <w:autoSpaceDE/>
        <w:autoSpaceDN/>
        <w:ind w:left="1418" w:hanging="567"/>
        <w:contextualSpacing/>
        <w:jc w:val="both"/>
        <w:textAlignment w:val="auto"/>
        <w:rPr>
          <w:rFonts w:ascii="Arial" w:hAnsi="Arial" w:cs="Arial"/>
          <w:color w:val="333333"/>
          <w:sz w:val="22"/>
          <w:szCs w:val="22"/>
          <w:lang w:val="fr-FR"/>
        </w:rPr>
      </w:pPr>
      <w:r w:rsidRPr="0079466A">
        <w:rPr>
          <w:rFonts w:ascii="Arial" w:hAnsi="Arial" w:cs="Arial"/>
          <w:color w:val="333333"/>
          <w:sz w:val="22"/>
          <w:szCs w:val="22"/>
          <w:lang w:val="fr-FR"/>
        </w:rPr>
        <w:t xml:space="preserve">prendre des mesures </w:t>
      </w:r>
      <w:r w:rsidR="00687024">
        <w:rPr>
          <w:rFonts w:ascii="Arial" w:hAnsi="Arial" w:cs="Arial"/>
          <w:color w:val="333333"/>
          <w:sz w:val="22"/>
          <w:szCs w:val="22"/>
          <w:lang w:val="fr-FR"/>
        </w:rPr>
        <w:t>visant à</w:t>
      </w:r>
      <w:r w:rsidRPr="0079466A">
        <w:rPr>
          <w:rFonts w:ascii="Arial" w:hAnsi="Arial" w:cs="Arial"/>
          <w:color w:val="333333"/>
          <w:sz w:val="22"/>
          <w:szCs w:val="22"/>
          <w:lang w:val="fr-FR"/>
        </w:rPr>
        <w:t xml:space="preserve"> assurer la fluidité écologique des écosystèmes fluviaux </w:t>
      </w:r>
      <w:r w:rsidR="00777F5F">
        <w:rPr>
          <w:rFonts w:ascii="Arial" w:hAnsi="Arial" w:cs="Arial"/>
          <w:color w:val="333333"/>
          <w:sz w:val="22"/>
          <w:szCs w:val="22"/>
          <w:lang w:val="fr-FR"/>
        </w:rPr>
        <w:t>en vue</w:t>
      </w:r>
      <w:r w:rsidRPr="0079466A">
        <w:rPr>
          <w:rFonts w:ascii="Arial" w:hAnsi="Arial" w:cs="Arial"/>
          <w:color w:val="333333"/>
          <w:sz w:val="22"/>
          <w:szCs w:val="22"/>
          <w:lang w:val="fr-FR"/>
        </w:rPr>
        <w:t xml:space="preserve"> de garantir de bonnes conditions pour les écosystèmes existants et d’éviter les conséquences négatives pour la pêche qu’ils soutiennent</w:t>
      </w:r>
      <w:r w:rsidR="00F51A6E" w:rsidRPr="00F51A6E">
        <w:rPr>
          <w:rFonts w:ascii="Arial" w:hAnsi="Arial" w:cs="Arial"/>
          <w:color w:val="333333"/>
          <w:sz w:val="22"/>
          <w:szCs w:val="22"/>
          <w:lang w:val="fr-FR"/>
        </w:rPr>
        <w:t> ;</w:t>
      </w:r>
    </w:p>
    <w:p w14:paraId="2D730CAF" w14:textId="77777777" w:rsidR="00F51A6E" w:rsidRPr="00F51A6E" w:rsidRDefault="00F51A6E" w:rsidP="00F51A6E">
      <w:pPr>
        <w:widowControl/>
        <w:autoSpaceDE/>
        <w:autoSpaceDN/>
        <w:ind w:left="720"/>
        <w:contextualSpacing/>
        <w:textAlignment w:val="auto"/>
        <w:rPr>
          <w:rFonts w:ascii="Arial" w:hAnsi="Arial" w:cs="Arial"/>
          <w:color w:val="333333"/>
          <w:sz w:val="22"/>
          <w:szCs w:val="22"/>
          <w:lang w:val="fr-FR"/>
        </w:rPr>
      </w:pPr>
    </w:p>
    <w:p w14:paraId="328DC769" w14:textId="76FDC52B" w:rsidR="00777F5F" w:rsidRDefault="00777F5F" w:rsidP="00F51A6E">
      <w:pPr>
        <w:widowControl/>
        <w:numPr>
          <w:ilvl w:val="0"/>
          <w:numId w:val="2"/>
        </w:numPr>
        <w:autoSpaceDE/>
        <w:autoSpaceDN/>
        <w:ind w:left="1418" w:hanging="567"/>
        <w:contextualSpacing/>
        <w:jc w:val="both"/>
        <w:textAlignment w:val="auto"/>
        <w:rPr>
          <w:rFonts w:ascii="Arial" w:hAnsi="Arial" w:cs="Arial"/>
          <w:color w:val="333333"/>
          <w:sz w:val="22"/>
          <w:szCs w:val="22"/>
          <w:lang w:val="fr-FR"/>
        </w:rPr>
      </w:pPr>
      <w:r w:rsidRPr="00777F5F">
        <w:rPr>
          <w:rFonts w:ascii="Arial" w:hAnsi="Arial" w:cs="Arial"/>
          <w:color w:val="333333"/>
          <w:sz w:val="22"/>
          <w:szCs w:val="22"/>
          <w:lang w:val="fr-FR"/>
        </w:rPr>
        <w:t>envisager</w:t>
      </w:r>
      <w:r w:rsidR="00DC1134">
        <w:rPr>
          <w:rFonts w:ascii="Arial" w:hAnsi="Arial" w:cs="Arial"/>
          <w:color w:val="333333"/>
          <w:sz w:val="22"/>
          <w:szCs w:val="22"/>
          <w:lang w:val="fr-FR"/>
        </w:rPr>
        <w:t xml:space="preserve">, </w:t>
      </w:r>
      <w:r w:rsidR="00DC1134" w:rsidRPr="00DC1134">
        <w:rPr>
          <w:rFonts w:ascii="Arial" w:hAnsi="Arial" w:cs="Arial"/>
          <w:color w:val="333333"/>
          <w:sz w:val="22"/>
          <w:szCs w:val="22"/>
          <w:lang w:val="fr-FR"/>
        </w:rPr>
        <w:t xml:space="preserve">en tenant compte de l'avis du </w:t>
      </w:r>
      <w:r w:rsidR="00DC1134">
        <w:rPr>
          <w:rFonts w:ascii="Arial" w:hAnsi="Arial" w:cs="Arial"/>
          <w:color w:val="333333"/>
          <w:sz w:val="22"/>
          <w:szCs w:val="22"/>
          <w:lang w:val="fr-FR"/>
        </w:rPr>
        <w:t>C</w:t>
      </w:r>
      <w:r w:rsidR="00DC1134" w:rsidRPr="00DC1134">
        <w:rPr>
          <w:rFonts w:ascii="Arial" w:hAnsi="Arial" w:cs="Arial"/>
          <w:color w:val="333333"/>
          <w:sz w:val="22"/>
          <w:szCs w:val="22"/>
          <w:lang w:val="fr-FR"/>
        </w:rPr>
        <w:t>onseil scientifique</w:t>
      </w:r>
      <w:r w:rsidR="00DC1134">
        <w:rPr>
          <w:rFonts w:ascii="Arial" w:hAnsi="Arial" w:cs="Arial"/>
          <w:color w:val="333333"/>
          <w:sz w:val="22"/>
          <w:szCs w:val="22"/>
          <w:lang w:val="fr-FR"/>
        </w:rPr>
        <w:t xml:space="preserve">, </w:t>
      </w:r>
      <w:r w:rsidRPr="00777F5F">
        <w:rPr>
          <w:rFonts w:ascii="Arial" w:hAnsi="Arial" w:cs="Arial"/>
          <w:color w:val="333333"/>
          <w:sz w:val="22"/>
          <w:szCs w:val="22"/>
          <w:lang w:val="fr-FR"/>
        </w:rPr>
        <w:t>l’élaboration d’un plan d’action multi</w:t>
      </w:r>
      <w:r w:rsidR="00DC1134">
        <w:rPr>
          <w:rFonts w:ascii="Arial" w:hAnsi="Arial" w:cs="Arial"/>
          <w:color w:val="333333"/>
          <w:sz w:val="22"/>
          <w:szCs w:val="22"/>
          <w:lang w:val="fr-FR"/>
        </w:rPr>
        <w:t>-</w:t>
      </w:r>
      <w:r w:rsidRPr="00777F5F">
        <w:rPr>
          <w:rFonts w:ascii="Arial" w:hAnsi="Arial" w:cs="Arial"/>
          <w:color w:val="333333"/>
          <w:sz w:val="22"/>
          <w:szCs w:val="22"/>
          <w:lang w:val="fr-FR"/>
        </w:rPr>
        <w:t>espèces fondé sur la minimisation des principales menaces pesant sur un groupe d’espèces</w:t>
      </w:r>
      <w:r>
        <w:rPr>
          <w:rFonts w:ascii="Arial" w:hAnsi="Arial" w:cs="Arial"/>
          <w:color w:val="333333"/>
          <w:sz w:val="22"/>
          <w:szCs w:val="22"/>
          <w:lang w:val="fr-FR"/>
        </w:rPr>
        <w:t> ;</w:t>
      </w:r>
    </w:p>
    <w:p w14:paraId="0427CD6E" w14:textId="77777777" w:rsidR="00777F5F" w:rsidRDefault="00777F5F" w:rsidP="00777F5F">
      <w:pPr>
        <w:pStyle w:val="ListParagraph"/>
        <w:rPr>
          <w:rFonts w:ascii="Arial" w:hAnsi="Arial" w:cs="Arial"/>
          <w:color w:val="333333"/>
          <w:sz w:val="22"/>
          <w:szCs w:val="22"/>
          <w:lang w:val="fr-FR"/>
        </w:rPr>
      </w:pPr>
    </w:p>
    <w:p w14:paraId="31BA5F74" w14:textId="1715C48F" w:rsidR="00F51A6E" w:rsidRDefault="00F51A6E" w:rsidP="00F51A6E">
      <w:pPr>
        <w:widowControl/>
        <w:numPr>
          <w:ilvl w:val="0"/>
          <w:numId w:val="2"/>
        </w:numPr>
        <w:autoSpaceDE/>
        <w:autoSpaceDN/>
        <w:ind w:left="1418" w:hanging="567"/>
        <w:contextualSpacing/>
        <w:jc w:val="both"/>
        <w:textAlignment w:val="auto"/>
        <w:rPr>
          <w:rFonts w:ascii="Arial" w:hAnsi="Arial" w:cs="Arial"/>
          <w:color w:val="333333"/>
          <w:sz w:val="22"/>
          <w:szCs w:val="22"/>
          <w:lang w:val="fr-FR"/>
        </w:rPr>
      </w:pPr>
      <w:r w:rsidRPr="00F51A6E">
        <w:rPr>
          <w:rFonts w:ascii="Arial" w:hAnsi="Arial" w:cs="Arial"/>
          <w:color w:val="333333"/>
          <w:sz w:val="22"/>
          <w:szCs w:val="22"/>
          <w:lang w:val="fr-FR"/>
        </w:rPr>
        <w:t>collaborer avec d'autres États de l'aire de répartition pour proposer l'inscription aux Annexes de la CMS d'autres espèces de poissons migrateurs d'eau douce menacées</w:t>
      </w:r>
      <w:r w:rsidR="00777F5F">
        <w:rPr>
          <w:rFonts w:ascii="Arial" w:hAnsi="Arial" w:cs="Arial"/>
          <w:color w:val="333333"/>
          <w:sz w:val="22"/>
          <w:szCs w:val="22"/>
          <w:lang w:val="fr-FR"/>
        </w:rPr>
        <w:t> ;</w:t>
      </w:r>
    </w:p>
    <w:p w14:paraId="3671C6F0" w14:textId="77777777" w:rsidR="00777F5F" w:rsidRDefault="00777F5F" w:rsidP="00777F5F">
      <w:pPr>
        <w:pStyle w:val="ListParagraph"/>
        <w:rPr>
          <w:rFonts w:ascii="Arial" w:hAnsi="Arial" w:cs="Arial"/>
          <w:color w:val="333333"/>
          <w:sz w:val="22"/>
          <w:szCs w:val="22"/>
          <w:lang w:val="fr-FR"/>
        </w:rPr>
      </w:pPr>
    </w:p>
    <w:p w14:paraId="783C2559" w14:textId="454D811D" w:rsidR="00777F5F" w:rsidRPr="00F51A6E" w:rsidRDefault="0036127F" w:rsidP="00F51A6E">
      <w:pPr>
        <w:widowControl/>
        <w:numPr>
          <w:ilvl w:val="0"/>
          <w:numId w:val="2"/>
        </w:numPr>
        <w:autoSpaceDE/>
        <w:autoSpaceDN/>
        <w:ind w:left="1418" w:hanging="567"/>
        <w:contextualSpacing/>
        <w:jc w:val="both"/>
        <w:textAlignment w:val="auto"/>
        <w:rPr>
          <w:rFonts w:ascii="Arial" w:hAnsi="Arial" w:cs="Arial"/>
          <w:color w:val="333333"/>
          <w:sz w:val="22"/>
          <w:szCs w:val="22"/>
          <w:lang w:val="fr-FR"/>
        </w:rPr>
      </w:pPr>
      <w:r>
        <w:rPr>
          <w:rFonts w:ascii="Arial" w:hAnsi="Arial" w:cs="Arial"/>
          <w:color w:val="333333"/>
          <w:sz w:val="22"/>
          <w:szCs w:val="22"/>
          <w:lang w:val="fr-FR"/>
        </w:rPr>
        <w:t>promouvoir une meilleure connaissance de</w:t>
      </w:r>
      <w:r w:rsidR="00777F5F" w:rsidRPr="00777F5F">
        <w:rPr>
          <w:rFonts w:ascii="Arial" w:hAnsi="Arial" w:cs="Arial"/>
          <w:color w:val="333333"/>
          <w:sz w:val="22"/>
          <w:szCs w:val="22"/>
          <w:lang w:val="fr-FR"/>
        </w:rPr>
        <w:t xml:space="preserve"> l’état de conservation des poissons d’eau douce </w:t>
      </w:r>
      <w:r w:rsidR="00A66586">
        <w:rPr>
          <w:rFonts w:ascii="Arial" w:hAnsi="Arial" w:cs="Arial"/>
          <w:color w:val="333333"/>
          <w:sz w:val="22"/>
          <w:szCs w:val="22"/>
          <w:lang w:val="fr-FR"/>
        </w:rPr>
        <w:t>inscrits aux Annexes de la</w:t>
      </w:r>
      <w:r w:rsidR="00777F5F" w:rsidRPr="00777F5F">
        <w:rPr>
          <w:rFonts w:ascii="Arial" w:hAnsi="Arial" w:cs="Arial"/>
          <w:color w:val="333333"/>
          <w:sz w:val="22"/>
          <w:szCs w:val="22"/>
          <w:lang w:val="fr-FR"/>
        </w:rPr>
        <w:t xml:space="preserve"> CMS.</w:t>
      </w:r>
    </w:p>
    <w:p w14:paraId="55ECC2BA"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76F72E63"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03BB7D7C" w14:textId="48AA1F8C"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 xml:space="preserve">À l’adresse des </w:t>
      </w:r>
      <w:r w:rsidR="00F51A6E" w:rsidRPr="00F51A6E">
        <w:rPr>
          <w:rFonts w:ascii="Arial" w:eastAsiaTheme="minorHAnsi" w:hAnsi="Arial" w:cs="Arial"/>
          <w:b/>
          <w:i/>
          <w:sz w:val="22"/>
          <w:szCs w:val="22"/>
          <w:lang w:val="fr-FR"/>
        </w:rPr>
        <w:t>organisations non gouvernementales</w:t>
      </w:r>
    </w:p>
    <w:p w14:paraId="4AC9B8B7"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37C026F0" w14:textId="77777777" w:rsidR="00F51A6E" w:rsidRPr="00F51A6E" w:rsidRDefault="00F51A6E" w:rsidP="00F51A6E">
      <w:pPr>
        <w:widowControl/>
        <w:autoSpaceDE/>
        <w:autoSpaceDN/>
        <w:ind w:left="851" w:hanging="851"/>
        <w:jc w:val="both"/>
        <w:textAlignment w:val="auto"/>
        <w:rPr>
          <w:rFonts w:ascii="Arial" w:hAnsi="Arial" w:cs="Arial"/>
          <w:color w:val="333333"/>
          <w:sz w:val="22"/>
          <w:szCs w:val="22"/>
          <w:lang w:val="fr-FR"/>
        </w:rPr>
      </w:pPr>
      <w:r w:rsidRPr="00F51A6E">
        <w:rPr>
          <w:rFonts w:ascii="Arial" w:eastAsiaTheme="minorHAnsi" w:hAnsi="Arial" w:cs="Arial"/>
          <w:sz w:val="22"/>
          <w:szCs w:val="22"/>
          <w:lang w:val="fr-FR"/>
        </w:rPr>
        <w:t>14.FF</w:t>
      </w:r>
      <w:r w:rsidRPr="00F51A6E">
        <w:rPr>
          <w:rFonts w:ascii="Arial" w:eastAsiaTheme="minorHAnsi" w:hAnsi="Arial" w:cs="Arial"/>
          <w:sz w:val="22"/>
          <w:szCs w:val="22"/>
          <w:lang w:val="fr-FR"/>
        </w:rPr>
        <w:tab/>
      </w:r>
      <w:r w:rsidRPr="00F51A6E">
        <w:rPr>
          <w:rFonts w:ascii="Arial" w:eastAsiaTheme="minorHAnsi" w:hAnsi="Arial" w:cs="Arial"/>
          <w:iCs/>
          <w:sz w:val="22"/>
          <w:szCs w:val="22"/>
          <w:lang w:val="fr-FR"/>
        </w:rPr>
        <w:t xml:space="preserve">Les organisations non gouvernementales </w:t>
      </w:r>
      <w:r w:rsidRPr="00F51A6E">
        <w:rPr>
          <w:rFonts w:ascii="Arial" w:hAnsi="Arial" w:cs="Arial"/>
          <w:color w:val="333333"/>
          <w:sz w:val="22"/>
          <w:szCs w:val="22"/>
          <w:lang w:val="fr-FR"/>
        </w:rPr>
        <w:t>sont invitées à :</w:t>
      </w:r>
    </w:p>
    <w:p w14:paraId="61A29296" w14:textId="77777777" w:rsidR="00F51A6E" w:rsidRPr="00F51A6E" w:rsidRDefault="00F51A6E" w:rsidP="00F51A6E">
      <w:pPr>
        <w:widowControl/>
        <w:autoSpaceDE/>
        <w:autoSpaceDN/>
        <w:ind w:left="851" w:hanging="851"/>
        <w:jc w:val="both"/>
        <w:textAlignment w:val="auto"/>
        <w:rPr>
          <w:rFonts w:ascii="Arial" w:hAnsi="Arial" w:cs="Arial"/>
          <w:color w:val="333333"/>
          <w:sz w:val="22"/>
          <w:szCs w:val="22"/>
          <w:lang w:val="fr-FR"/>
        </w:rPr>
      </w:pPr>
    </w:p>
    <w:p w14:paraId="34DE76AF" w14:textId="77777777" w:rsidR="00F51A6E" w:rsidRPr="00F51A6E" w:rsidRDefault="00F51A6E" w:rsidP="00F51A6E">
      <w:pPr>
        <w:widowControl/>
        <w:numPr>
          <w:ilvl w:val="0"/>
          <w:numId w:val="3"/>
        </w:numPr>
        <w:autoSpaceDE/>
        <w:autoSpaceDN/>
        <w:ind w:left="1418" w:hanging="567"/>
        <w:contextualSpacing/>
        <w:jc w:val="both"/>
        <w:textAlignment w:val="auto"/>
        <w:rPr>
          <w:rFonts w:ascii="Arial" w:hAnsi="Arial" w:cs="Arial"/>
          <w:color w:val="333333"/>
          <w:sz w:val="22"/>
          <w:szCs w:val="22"/>
          <w:lang w:val="fr-FR"/>
        </w:rPr>
      </w:pPr>
      <w:r w:rsidRPr="00F51A6E">
        <w:rPr>
          <w:rFonts w:ascii="Arial" w:hAnsi="Arial" w:cs="Arial"/>
          <w:color w:val="333333"/>
          <w:sz w:val="22"/>
          <w:szCs w:val="22"/>
          <w:lang w:val="fr-FR"/>
        </w:rPr>
        <w:t>travailler en étroite collaboration avec les États de l'aire de répartition pour fournir une expertise et un financement pour la collecte et le partage des données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 ;</w:t>
      </w:r>
    </w:p>
    <w:p w14:paraId="557BEA85" w14:textId="77777777" w:rsidR="00F51A6E" w:rsidRPr="00F51A6E" w:rsidRDefault="00F51A6E" w:rsidP="00F51A6E">
      <w:pPr>
        <w:widowControl/>
        <w:autoSpaceDE/>
        <w:autoSpaceDN/>
        <w:ind w:left="1418" w:hanging="567"/>
        <w:contextualSpacing/>
        <w:jc w:val="both"/>
        <w:textAlignment w:val="auto"/>
        <w:rPr>
          <w:rFonts w:ascii="Arial" w:hAnsi="Arial" w:cs="Arial"/>
          <w:color w:val="333333"/>
          <w:sz w:val="22"/>
          <w:szCs w:val="22"/>
          <w:lang w:val="fr-FR"/>
        </w:rPr>
      </w:pPr>
    </w:p>
    <w:p w14:paraId="0DE0CD15" w14:textId="36672224" w:rsidR="00F51A6E" w:rsidRDefault="00F51A6E" w:rsidP="00F51A6E">
      <w:pPr>
        <w:widowControl/>
        <w:numPr>
          <w:ilvl w:val="0"/>
          <w:numId w:val="3"/>
        </w:numPr>
        <w:autoSpaceDE/>
        <w:autoSpaceDN/>
        <w:ind w:left="1418" w:hanging="567"/>
        <w:contextualSpacing/>
        <w:jc w:val="both"/>
        <w:textAlignment w:val="auto"/>
        <w:rPr>
          <w:rFonts w:ascii="Arial" w:hAnsi="Arial" w:cs="Arial"/>
          <w:color w:val="333333"/>
          <w:sz w:val="22"/>
          <w:szCs w:val="22"/>
          <w:lang w:val="fr-FR"/>
        </w:rPr>
      </w:pPr>
      <w:r w:rsidRPr="00F51A6E">
        <w:rPr>
          <w:rFonts w:ascii="Arial" w:hAnsi="Arial" w:cs="Arial"/>
          <w:color w:val="333333"/>
          <w:sz w:val="22"/>
          <w:szCs w:val="22"/>
          <w:lang w:val="fr-FR"/>
        </w:rPr>
        <w:t>fournir de l'expertise et des fonds aux États de l'aire de répartition pour soutenir leur recherche et le partage des données</w:t>
      </w:r>
      <w:r w:rsidR="0036127F">
        <w:rPr>
          <w:rFonts w:ascii="Arial" w:hAnsi="Arial" w:cs="Arial"/>
          <w:color w:val="333333"/>
          <w:sz w:val="22"/>
          <w:szCs w:val="22"/>
          <w:lang w:val="fr-FR"/>
        </w:rPr>
        <w:t> ;</w:t>
      </w:r>
    </w:p>
    <w:p w14:paraId="46B53D01" w14:textId="77777777" w:rsidR="0036127F" w:rsidRDefault="0036127F" w:rsidP="0036127F">
      <w:pPr>
        <w:pStyle w:val="ListParagraph"/>
        <w:rPr>
          <w:rFonts w:ascii="Arial" w:hAnsi="Arial" w:cs="Arial"/>
          <w:color w:val="333333"/>
          <w:sz w:val="22"/>
          <w:szCs w:val="22"/>
          <w:lang w:val="fr-FR"/>
        </w:rPr>
      </w:pPr>
    </w:p>
    <w:p w14:paraId="5D6354B3" w14:textId="223D3895" w:rsidR="0036127F" w:rsidRPr="00F51A6E" w:rsidRDefault="0036127F" w:rsidP="00F51A6E">
      <w:pPr>
        <w:widowControl/>
        <w:numPr>
          <w:ilvl w:val="0"/>
          <w:numId w:val="3"/>
        </w:numPr>
        <w:autoSpaceDE/>
        <w:autoSpaceDN/>
        <w:ind w:left="1418" w:hanging="567"/>
        <w:contextualSpacing/>
        <w:jc w:val="both"/>
        <w:textAlignment w:val="auto"/>
        <w:rPr>
          <w:rFonts w:ascii="Arial" w:hAnsi="Arial" w:cs="Arial"/>
          <w:color w:val="333333"/>
          <w:sz w:val="22"/>
          <w:szCs w:val="22"/>
          <w:lang w:val="fr-FR"/>
        </w:rPr>
      </w:pPr>
      <w:r>
        <w:rPr>
          <w:rFonts w:ascii="Arial" w:hAnsi="Arial" w:cs="Arial"/>
          <w:color w:val="333333"/>
          <w:sz w:val="22"/>
          <w:szCs w:val="22"/>
          <w:lang w:val="fr-FR"/>
        </w:rPr>
        <w:t>promouvoir une meilleure connaissance de</w:t>
      </w:r>
      <w:r w:rsidRPr="0036127F">
        <w:rPr>
          <w:rFonts w:ascii="Arial" w:hAnsi="Arial" w:cs="Arial"/>
          <w:color w:val="333333"/>
          <w:sz w:val="22"/>
          <w:szCs w:val="22"/>
          <w:lang w:val="fr-FR"/>
        </w:rPr>
        <w:t xml:space="preserve"> l’état de conservation des poissons d’eau douce </w:t>
      </w:r>
      <w:r>
        <w:rPr>
          <w:rFonts w:ascii="Arial" w:hAnsi="Arial" w:cs="Arial"/>
          <w:color w:val="333333"/>
          <w:sz w:val="22"/>
          <w:szCs w:val="22"/>
          <w:lang w:val="fr-FR"/>
        </w:rPr>
        <w:t>inscrits aux Annexes de la</w:t>
      </w:r>
      <w:r w:rsidRPr="0036127F">
        <w:rPr>
          <w:rFonts w:ascii="Arial" w:hAnsi="Arial" w:cs="Arial"/>
          <w:color w:val="333333"/>
          <w:sz w:val="22"/>
          <w:szCs w:val="22"/>
          <w:lang w:val="fr-FR"/>
        </w:rPr>
        <w:t xml:space="preserve"> CMS.</w:t>
      </w:r>
    </w:p>
    <w:p w14:paraId="04284D2A" w14:textId="77777777" w:rsidR="00F51A6E" w:rsidRPr="00F51A6E" w:rsidRDefault="00F51A6E" w:rsidP="00F51A6E">
      <w:pPr>
        <w:widowControl/>
        <w:autoSpaceDE/>
        <w:autoSpaceDN/>
        <w:ind w:left="1418" w:hanging="567"/>
        <w:jc w:val="both"/>
        <w:textAlignment w:val="auto"/>
        <w:rPr>
          <w:rFonts w:ascii="Arial" w:eastAsiaTheme="minorHAnsi" w:hAnsi="Arial" w:cs="Arial"/>
          <w:b/>
          <w:i/>
          <w:sz w:val="22"/>
          <w:szCs w:val="22"/>
          <w:lang w:val="fr-FR"/>
        </w:rPr>
      </w:pPr>
    </w:p>
    <w:p w14:paraId="1924F005" w14:textId="02BA0255" w:rsidR="00371FBC" w:rsidRDefault="00371FBC" w:rsidP="00F51A6E">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br w:type="page"/>
      </w:r>
    </w:p>
    <w:p w14:paraId="3918A64A" w14:textId="72B612A7"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lastRenderedPageBreak/>
        <w:t>À l’adresse d</w:t>
      </w:r>
      <w:r w:rsidR="00F51A6E" w:rsidRPr="00F51A6E">
        <w:rPr>
          <w:rFonts w:ascii="Arial" w:eastAsiaTheme="minorHAnsi" w:hAnsi="Arial" w:cs="Arial"/>
          <w:b/>
          <w:i/>
          <w:sz w:val="22"/>
          <w:szCs w:val="22"/>
          <w:lang w:val="fr-FR"/>
        </w:rPr>
        <w:t>u Conseil scientifique</w:t>
      </w:r>
    </w:p>
    <w:p w14:paraId="01B040C0"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61B0AD63" w14:textId="7331E9AB" w:rsidR="00F51A6E" w:rsidRPr="00F51A6E" w:rsidRDefault="00F51A6E" w:rsidP="00F51A6E">
      <w:pPr>
        <w:widowControl/>
        <w:autoSpaceDE/>
        <w:autoSpaceDN/>
        <w:ind w:left="851" w:hanging="851"/>
        <w:jc w:val="both"/>
        <w:textAlignment w:val="auto"/>
        <w:rPr>
          <w:rFonts w:ascii="Arial" w:eastAsiaTheme="minorHAnsi" w:hAnsi="Arial" w:cs="Arial"/>
          <w:sz w:val="22"/>
          <w:szCs w:val="22"/>
          <w:lang w:val="fr-FR"/>
        </w:rPr>
      </w:pPr>
      <w:r w:rsidRPr="00F51A6E">
        <w:rPr>
          <w:rFonts w:ascii="Arial" w:eastAsiaTheme="minorHAnsi" w:hAnsi="Arial" w:cs="Arial"/>
          <w:sz w:val="22"/>
          <w:szCs w:val="22"/>
          <w:lang w:val="fr-FR"/>
        </w:rPr>
        <w:t>14.GG</w:t>
      </w:r>
      <w:r w:rsidRPr="00F51A6E">
        <w:rPr>
          <w:rFonts w:ascii="Arial" w:eastAsiaTheme="minorHAnsi" w:hAnsi="Arial" w:cs="Arial"/>
          <w:sz w:val="22"/>
          <w:szCs w:val="22"/>
          <w:lang w:val="fr-FR"/>
        </w:rPr>
        <w:tab/>
        <w:t>Le Conseil scientifique est prié, sous réserve de la disponibilité de ressources externes</w:t>
      </w:r>
      <w:r w:rsidR="00DC1134">
        <w:rPr>
          <w:rFonts w:ascii="Arial" w:eastAsiaTheme="minorHAnsi" w:hAnsi="Arial" w:cs="Arial"/>
          <w:sz w:val="22"/>
          <w:szCs w:val="22"/>
          <w:lang w:val="fr-FR"/>
        </w:rPr>
        <w:t>, de</w:t>
      </w:r>
      <w:r w:rsidRPr="00F51A6E">
        <w:rPr>
          <w:rFonts w:ascii="Arial" w:eastAsiaTheme="minorHAnsi" w:hAnsi="Arial" w:cs="Arial"/>
          <w:sz w:val="22"/>
          <w:szCs w:val="22"/>
          <w:lang w:val="fr-FR"/>
        </w:rPr>
        <w:t xml:space="preserve"> : </w:t>
      </w:r>
    </w:p>
    <w:p w14:paraId="51F88C2D" w14:textId="77777777" w:rsidR="00F51A6E" w:rsidRPr="00F51A6E" w:rsidRDefault="00F51A6E" w:rsidP="00F51A6E">
      <w:pPr>
        <w:widowControl/>
        <w:autoSpaceDE/>
        <w:autoSpaceDN/>
        <w:ind w:left="851" w:hanging="851"/>
        <w:jc w:val="both"/>
        <w:textAlignment w:val="auto"/>
        <w:rPr>
          <w:rFonts w:ascii="Arial" w:eastAsiaTheme="minorHAnsi" w:hAnsi="Arial" w:cs="Arial"/>
          <w:sz w:val="22"/>
          <w:szCs w:val="22"/>
          <w:lang w:val="fr-FR"/>
        </w:rPr>
      </w:pPr>
    </w:p>
    <w:p w14:paraId="1ADCF3D9" w14:textId="77777777" w:rsidR="00DC1134" w:rsidRPr="00DC1134" w:rsidRDefault="00DC1134" w:rsidP="00DC1134">
      <w:pPr>
        <w:widowControl/>
        <w:numPr>
          <w:ilvl w:val="0"/>
          <w:numId w:val="1"/>
        </w:numPr>
        <w:autoSpaceDE/>
        <w:autoSpaceDN/>
        <w:ind w:left="1418"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mettre</w:t>
      </w:r>
      <w:r w:rsidR="00F51A6E" w:rsidRPr="00F51A6E">
        <w:rPr>
          <w:rFonts w:ascii="Arial" w:eastAsiaTheme="minorHAnsi" w:hAnsi="Arial" w:cstheme="minorBidi"/>
          <w:sz w:val="22"/>
          <w:szCs w:val="22"/>
          <w:lang w:val="fr-FR"/>
        </w:rPr>
        <w:t xml:space="preserve"> à jour l'étude </w:t>
      </w:r>
      <w:r>
        <w:rPr>
          <w:rFonts w:ascii="Arial" w:eastAsiaTheme="minorHAnsi" w:hAnsi="Arial" w:cstheme="minorBidi"/>
          <w:sz w:val="22"/>
          <w:szCs w:val="22"/>
          <w:lang w:val="fr-FR"/>
        </w:rPr>
        <w:t xml:space="preserve">sur les </w:t>
      </w:r>
      <w:r w:rsidRPr="00F51A6E">
        <w:rPr>
          <w:rFonts w:ascii="Arial" w:eastAsiaTheme="minorHAnsi" w:hAnsi="Arial" w:cstheme="minorBidi"/>
          <w:sz w:val="22"/>
          <w:szCs w:val="22"/>
          <w:lang w:val="fr-FR"/>
        </w:rPr>
        <w:t xml:space="preserve">poissons d'eau douce </w:t>
      </w:r>
      <w:r>
        <w:rPr>
          <w:rFonts w:ascii="Arial" w:eastAsiaTheme="minorHAnsi" w:hAnsi="Arial" w:cstheme="minorBidi"/>
          <w:sz w:val="22"/>
          <w:szCs w:val="22"/>
          <w:lang w:val="fr-FR"/>
        </w:rPr>
        <w:t>figurant</w:t>
      </w:r>
      <w:r w:rsidR="00F51A6E" w:rsidRPr="00F51A6E">
        <w:rPr>
          <w:rFonts w:ascii="Arial" w:eastAsiaTheme="minorHAnsi" w:hAnsi="Arial" w:cstheme="minorBidi"/>
          <w:sz w:val="22"/>
          <w:szCs w:val="22"/>
          <w:lang w:val="fr-FR"/>
        </w:rPr>
        <w:t xml:space="preserve"> dans le document </w:t>
      </w:r>
      <w:r w:rsidR="00F51A6E" w:rsidRPr="00F51A6E">
        <w:rPr>
          <w:rFonts w:ascii="Arial" w:eastAsiaTheme="minorHAnsi" w:hAnsi="Arial" w:cstheme="minorBidi"/>
          <w:color w:val="0563C1" w:themeColor="hyperlink"/>
          <w:sz w:val="22"/>
          <w:szCs w:val="22"/>
          <w:u w:val="single"/>
          <w:lang w:val="fr-FR"/>
        </w:rPr>
        <w:t>UNEP/CMS/Inf.10.33</w:t>
      </w:r>
      <w:r>
        <w:rPr>
          <w:rFonts w:ascii="Arial" w:eastAsiaTheme="minorHAnsi" w:hAnsi="Arial" w:cstheme="minorBidi"/>
          <w:color w:val="0563C1" w:themeColor="hyperlink"/>
          <w:sz w:val="22"/>
          <w:szCs w:val="22"/>
          <w:lang w:val="fr-FR"/>
        </w:rPr>
        <w:t> </w:t>
      </w:r>
      <w:r w:rsidRPr="00DC1134">
        <w:rPr>
          <w:rFonts w:ascii="Arial" w:eastAsiaTheme="minorHAnsi" w:hAnsi="Arial" w:cstheme="minorBidi"/>
          <w:sz w:val="22"/>
          <w:szCs w:val="22"/>
          <w:lang w:val="fr-FR"/>
        </w:rPr>
        <w:t>;</w:t>
      </w:r>
    </w:p>
    <w:p w14:paraId="1300F84B" w14:textId="77777777" w:rsidR="00DC1134" w:rsidRPr="00DC1134" w:rsidRDefault="00DC1134" w:rsidP="00DC1134">
      <w:pPr>
        <w:widowControl/>
        <w:autoSpaceDE/>
        <w:autoSpaceDN/>
        <w:ind w:left="1418"/>
        <w:contextualSpacing/>
        <w:jc w:val="both"/>
        <w:textAlignment w:val="auto"/>
        <w:rPr>
          <w:rFonts w:ascii="Arial" w:eastAsiaTheme="minorHAnsi" w:hAnsi="Arial" w:cs="Arial"/>
          <w:sz w:val="22"/>
          <w:szCs w:val="22"/>
          <w:lang w:val="fr-FR"/>
        </w:rPr>
      </w:pPr>
    </w:p>
    <w:p w14:paraId="2C7D21FF" w14:textId="2AD1C9C0" w:rsidR="00F51A6E" w:rsidRPr="00DC1134" w:rsidRDefault="00DC1134" w:rsidP="00DC1134">
      <w:pPr>
        <w:widowControl/>
        <w:numPr>
          <w:ilvl w:val="0"/>
          <w:numId w:val="1"/>
        </w:numPr>
        <w:autoSpaceDE/>
        <w:autoSpaceDN/>
        <w:ind w:left="1418" w:hanging="567"/>
        <w:contextualSpacing/>
        <w:jc w:val="both"/>
        <w:textAlignment w:val="auto"/>
        <w:rPr>
          <w:rFonts w:ascii="Arial" w:eastAsiaTheme="minorHAnsi" w:hAnsi="Arial" w:cs="Arial"/>
          <w:sz w:val="22"/>
          <w:szCs w:val="22"/>
          <w:lang w:val="fr-FR"/>
        </w:rPr>
      </w:pPr>
      <w:r w:rsidRPr="00DC1134">
        <w:rPr>
          <w:rFonts w:ascii="Arial" w:eastAsiaTheme="minorHAnsi" w:hAnsi="Arial" w:cstheme="minorBidi"/>
          <w:sz w:val="22"/>
          <w:szCs w:val="22"/>
          <w:lang w:val="fr-FR"/>
        </w:rPr>
        <w:t xml:space="preserve">fournir des </w:t>
      </w:r>
      <w:r>
        <w:rPr>
          <w:rFonts w:ascii="Arial" w:eastAsiaTheme="minorHAnsi" w:hAnsi="Arial" w:cstheme="minorBidi"/>
          <w:sz w:val="22"/>
          <w:szCs w:val="22"/>
          <w:lang w:val="fr-FR"/>
        </w:rPr>
        <w:t>avis</w:t>
      </w:r>
      <w:r w:rsidRPr="00DC1134">
        <w:rPr>
          <w:rFonts w:ascii="Arial" w:eastAsiaTheme="minorHAnsi" w:hAnsi="Arial" w:cstheme="minorBidi"/>
          <w:sz w:val="22"/>
          <w:szCs w:val="22"/>
          <w:lang w:val="fr-FR"/>
        </w:rPr>
        <w:t xml:space="preserve"> sur l'élaboration d'un plan d'action multi-espèces pour les poissons d'eau douce afin de répondre aux principales menaces pesant sur ce groupe d'espèces ;</w:t>
      </w:r>
    </w:p>
    <w:p w14:paraId="1AC7AB42" w14:textId="77777777" w:rsidR="00DC1134" w:rsidRPr="00DC1134" w:rsidRDefault="00DC1134" w:rsidP="00DC1134">
      <w:pPr>
        <w:widowControl/>
        <w:autoSpaceDE/>
        <w:autoSpaceDN/>
        <w:ind w:left="1418"/>
        <w:contextualSpacing/>
        <w:jc w:val="both"/>
        <w:textAlignment w:val="auto"/>
        <w:rPr>
          <w:rFonts w:ascii="Arial" w:eastAsiaTheme="minorHAnsi" w:hAnsi="Arial" w:cs="Arial"/>
          <w:sz w:val="22"/>
          <w:szCs w:val="22"/>
          <w:lang w:val="fr-FR"/>
        </w:rPr>
      </w:pPr>
    </w:p>
    <w:p w14:paraId="578DED2E" w14:textId="6A49822E" w:rsidR="00F51A6E" w:rsidRPr="00F51A6E" w:rsidRDefault="00F51A6E" w:rsidP="00F51A6E">
      <w:pPr>
        <w:widowControl/>
        <w:numPr>
          <w:ilvl w:val="0"/>
          <w:numId w:val="1"/>
        </w:numPr>
        <w:autoSpaceDE/>
        <w:autoSpaceDN/>
        <w:ind w:left="1418" w:hanging="567"/>
        <w:contextualSpacing/>
        <w:jc w:val="both"/>
        <w:textAlignment w:val="auto"/>
        <w:rPr>
          <w:rFonts w:ascii="Arial" w:eastAsiaTheme="minorHAnsi" w:hAnsi="Arial" w:cs="Arial"/>
          <w:sz w:val="22"/>
          <w:szCs w:val="22"/>
          <w:lang w:val="fr-FR"/>
        </w:rPr>
      </w:pPr>
      <w:r w:rsidRPr="00F51A6E">
        <w:rPr>
          <w:rFonts w:ascii="Arial" w:eastAsiaTheme="minorHAnsi" w:hAnsi="Arial" w:cs="Arial"/>
          <w:color w:val="000000"/>
          <w:sz w:val="22"/>
          <w:szCs w:val="22"/>
          <w:shd w:val="clear" w:color="auto" w:fill="FFFFFF"/>
          <w:lang w:val="fr-FR"/>
        </w:rPr>
        <w:t>rendre compte des progrès accomplis dans la mise en œuvre de cette Décision lors de la 15</w:t>
      </w:r>
      <w:r w:rsidRPr="00F51A6E">
        <w:rPr>
          <w:rFonts w:ascii="Arial" w:eastAsiaTheme="minorHAnsi" w:hAnsi="Arial" w:cs="Arial"/>
          <w:color w:val="000000"/>
          <w:sz w:val="22"/>
          <w:szCs w:val="22"/>
          <w:shd w:val="clear" w:color="auto" w:fill="FFFFFF"/>
          <w:vertAlign w:val="superscript"/>
          <w:lang w:val="fr-FR"/>
        </w:rPr>
        <w:t>e</w:t>
      </w:r>
      <w:r w:rsidRPr="00F51A6E">
        <w:rPr>
          <w:rFonts w:ascii="Arial" w:eastAsiaTheme="minorHAnsi" w:hAnsi="Arial" w:cs="Arial"/>
          <w:color w:val="000000"/>
          <w:sz w:val="22"/>
          <w:szCs w:val="22"/>
          <w:shd w:val="clear" w:color="auto" w:fill="FFFFFF"/>
          <w:lang w:val="fr-FR"/>
        </w:rPr>
        <w:t xml:space="preserve"> Session de la Conférence des Parties. </w:t>
      </w:r>
    </w:p>
    <w:p w14:paraId="618135CC" w14:textId="77777777" w:rsidR="00F51A6E" w:rsidRDefault="00F51A6E" w:rsidP="00F51A6E">
      <w:pPr>
        <w:widowControl/>
        <w:autoSpaceDE/>
        <w:autoSpaceDN/>
        <w:contextualSpacing/>
        <w:jc w:val="both"/>
        <w:textAlignment w:val="auto"/>
        <w:rPr>
          <w:rFonts w:ascii="Arial" w:eastAsiaTheme="minorHAnsi" w:hAnsi="Arial" w:cs="Arial"/>
          <w:sz w:val="22"/>
          <w:szCs w:val="22"/>
          <w:lang w:val="fr-FR"/>
        </w:rPr>
      </w:pPr>
    </w:p>
    <w:p w14:paraId="783DF1D9" w14:textId="77777777" w:rsidR="00F51A6E" w:rsidRPr="00F51A6E" w:rsidRDefault="00F51A6E" w:rsidP="00F51A6E">
      <w:pPr>
        <w:widowControl/>
        <w:autoSpaceDE/>
        <w:autoSpaceDN/>
        <w:contextualSpacing/>
        <w:jc w:val="both"/>
        <w:textAlignment w:val="auto"/>
        <w:rPr>
          <w:rFonts w:ascii="Arial" w:eastAsiaTheme="minorHAnsi" w:hAnsi="Arial" w:cs="Arial"/>
          <w:sz w:val="22"/>
          <w:szCs w:val="22"/>
          <w:lang w:val="fr-FR"/>
        </w:rPr>
      </w:pPr>
    </w:p>
    <w:p w14:paraId="7AD0EABA" w14:textId="79593F85" w:rsidR="00F51A6E" w:rsidRPr="00F51A6E" w:rsidRDefault="00DC1134" w:rsidP="00F51A6E">
      <w:pPr>
        <w:widowControl/>
        <w:autoSpaceDE/>
        <w:autoSpaceDN/>
        <w:jc w:val="both"/>
        <w:textAlignment w:val="auto"/>
        <w:rPr>
          <w:rFonts w:ascii="Arial" w:eastAsiaTheme="minorHAnsi" w:hAnsi="Arial" w:cs="Arial"/>
          <w:b/>
          <w:i/>
          <w:sz w:val="22"/>
          <w:szCs w:val="22"/>
          <w:lang w:val="fr-FR"/>
        </w:rPr>
      </w:pPr>
      <w:r w:rsidRPr="00DC1134">
        <w:rPr>
          <w:rFonts w:ascii="Arial" w:eastAsiaTheme="minorHAnsi" w:hAnsi="Arial" w:cs="Arial"/>
          <w:b/>
          <w:i/>
          <w:sz w:val="22"/>
          <w:szCs w:val="22"/>
          <w:lang w:val="fr-FR"/>
        </w:rPr>
        <w:t>À l’adresse d</w:t>
      </w:r>
      <w:r w:rsidR="00F51A6E" w:rsidRPr="00F51A6E">
        <w:rPr>
          <w:rFonts w:ascii="Arial" w:eastAsiaTheme="minorHAnsi" w:hAnsi="Arial" w:cs="Arial"/>
          <w:b/>
          <w:i/>
          <w:sz w:val="22"/>
          <w:szCs w:val="22"/>
          <w:lang w:val="fr-FR"/>
        </w:rPr>
        <w:t>u Secrétariat</w:t>
      </w:r>
    </w:p>
    <w:p w14:paraId="3BC9ECCA" w14:textId="77777777" w:rsidR="00F51A6E" w:rsidRPr="00F51A6E" w:rsidRDefault="00F51A6E" w:rsidP="00F51A6E">
      <w:pPr>
        <w:widowControl/>
        <w:autoSpaceDE/>
        <w:autoSpaceDN/>
        <w:jc w:val="both"/>
        <w:textAlignment w:val="auto"/>
        <w:rPr>
          <w:rFonts w:ascii="Arial" w:eastAsiaTheme="minorHAnsi" w:hAnsi="Arial" w:cs="Arial"/>
          <w:sz w:val="22"/>
          <w:szCs w:val="22"/>
          <w:lang w:val="fr-FR"/>
        </w:rPr>
      </w:pPr>
    </w:p>
    <w:p w14:paraId="4C8DC7BD" w14:textId="2113FF5F" w:rsidR="00F51A6E" w:rsidRPr="00F51A6E" w:rsidRDefault="00F51A6E" w:rsidP="00F51A6E">
      <w:pPr>
        <w:widowControl/>
        <w:autoSpaceDE/>
        <w:autoSpaceDN/>
        <w:ind w:left="851" w:hanging="851"/>
        <w:jc w:val="both"/>
        <w:textAlignment w:val="auto"/>
        <w:rPr>
          <w:rFonts w:ascii="Arial" w:hAnsi="Arial" w:cs="Arial"/>
          <w:sz w:val="22"/>
          <w:szCs w:val="22"/>
          <w:lang w:val="fr-FR"/>
        </w:rPr>
      </w:pPr>
      <w:r w:rsidRPr="00F51A6E">
        <w:rPr>
          <w:rFonts w:ascii="Arial" w:eastAsiaTheme="minorHAnsi" w:hAnsi="Arial" w:cs="Arial"/>
          <w:sz w:val="22"/>
          <w:szCs w:val="22"/>
          <w:lang w:val="fr-FR"/>
        </w:rPr>
        <w:t>14.HH</w:t>
      </w:r>
      <w:r w:rsidRPr="00F51A6E">
        <w:rPr>
          <w:rFonts w:ascii="Arial" w:eastAsiaTheme="minorHAnsi" w:hAnsi="Arial" w:cs="Arial"/>
          <w:sz w:val="22"/>
          <w:szCs w:val="22"/>
          <w:lang w:val="fr-FR"/>
        </w:rPr>
        <w:tab/>
      </w:r>
      <w:r w:rsidRPr="00F51A6E">
        <w:rPr>
          <w:rFonts w:ascii="Arial" w:hAnsi="Arial" w:cs="Arial"/>
          <w:sz w:val="22"/>
          <w:szCs w:val="22"/>
          <w:lang w:val="fr-FR"/>
        </w:rPr>
        <w:t>Le Secrétariat, sous réserve de la disponibilité des ressources :</w:t>
      </w:r>
    </w:p>
    <w:p w14:paraId="76348D00" w14:textId="77777777" w:rsidR="00F51A6E" w:rsidRPr="00F51A6E" w:rsidRDefault="00F51A6E" w:rsidP="00F51A6E">
      <w:pPr>
        <w:widowControl/>
        <w:autoSpaceDE/>
        <w:autoSpaceDN/>
        <w:ind w:left="1418" w:hanging="567"/>
        <w:jc w:val="both"/>
        <w:textAlignment w:val="auto"/>
        <w:rPr>
          <w:rFonts w:ascii="Arial" w:hAnsi="Arial" w:cs="Arial"/>
          <w:sz w:val="22"/>
          <w:szCs w:val="22"/>
          <w:lang w:val="fr-FR"/>
        </w:rPr>
      </w:pPr>
    </w:p>
    <w:p w14:paraId="5912360E" w14:textId="0404BBE9" w:rsidR="00F51A6E" w:rsidRPr="00BC2505" w:rsidRDefault="00F51A6E" w:rsidP="00BC2505">
      <w:pPr>
        <w:widowControl/>
        <w:numPr>
          <w:ilvl w:val="0"/>
          <w:numId w:val="4"/>
        </w:numPr>
        <w:autoSpaceDE/>
        <w:autoSpaceDN/>
        <w:ind w:left="1418" w:hanging="567"/>
        <w:contextualSpacing/>
        <w:jc w:val="both"/>
        <w:textAlignment w:val="auto"/>
        <w:rPr>
          <w:rFonts w:ascii="Arial" w:hAnsi="Arial" w:cs="Arial"/>
          <w:sz w:val="22"/>
          <w:szCs w:val="22"/>
          <w:lang w:val="fr-FR"/>
        </w:rPr>
      </w:pPr>
      <w:r w:rsidRPr="00F51A6E">
        <w:rPr>
          <w:rFonts w:ascii="Arial" w:hAnsi="Arial" w:cs="Arial"/>
          <w:sz w:val="22"/>
          <w:szCs w:val="22"/>
          <w:lang w:val="fr-FR"/>
        </w:rPr>
        <w:t>aide le Conseil scientifique à réaliser l'étude mentionnée dans la Décision 14.GG</w:t>
      </w:r>
      <w:r w:rsidRPr="00BC2505">
        <w:rPr>
          <w:rFonts w:ascii="Arial" w:hAnsi="Arial" w:cs="Arial"/>
          <w:sz w:val="22"/>
          <w:szCs w:val="22"/>
          <w:lang w:val="fr-FR"/>
        </w:rPr>
        <w:t> ;</w:t>
      </w:r>
    </w:p>
    <w:p w14:paraId="2AB09712" w14:textId="77777777" w:rsidR="00F51A6E" w:rsidRPr="00F51A6E" w:rsidRDefault="00F51A6E" w:rsidP="00F51A6E">
      <w:pPr>
        <w:widowControl/>
        <w:autoSpaceDE/>
        <w:autoSpaceDN/>
        <w:ind w:left="1418" w:hanging="567"/>
        <w:contextualSpacing/>
        <w:jc w:val="both"/>
        <w:textAlignment w:val="auto"/>
        <w:rPr>
          <w:rFonts w:ascii="Arial" w:hAnsi="Arial" w:cs="Arial"/>
          <w:sz w:val="22"/>
          <w:szCs w:val="22"/>
          <w:lang w:val="fr-FR"/>
        </w:rPr>
      </w:pPr>
    </w:p>
    <w:p w14:paraId="53A05B2A" w14:textId="77777777" w:rsidR="00F51A6E" w:rsidRPr="00F51A6E" w:rsidRDefault="00F51A6E" w:rsidP="00F51A6E">
      <w:pPr>
        <w:widowControl/>
        <w:numPr>
          <w:ilvl w:val="0"/>
          <w:numId w:val="4"/>
        </w:numPr>
        <w:autoSpaceDE/>
        <w:autoSpaceDN/>
        <w:ind w:left="1418" w:hanging="567"/>
        <w:contextualSpacing/>
        <w:jc w:val="both"/>
        <w:textAlignment w:val="auto"/>
        <w:rPr>
          <w:rFonts w:ascii="Arial" w:hAnsi="Arial" w:cs="Arial"/>
          <w:sz w:val="22"/>
          <w:szCs w:val="22"/>
          <w:lang w:val="fr-FR"/>
        </w:rPr>
      </w:pPr>
      <w:r w:rsidRPr="00F51A6E">
        <w:rPr>
          <w:rFonts w:ascii="Arial" w:hAnsi="Arial" w:cs="Arial"/>
          <w:sz w:val="22"/>
          <w:szCs w:val="22"/>
          <w:lang w:val="fr-FR"/>
        </w:rPr>
        <w:t>fournit un soutien technique aux parties pour la mise en œuvre des activités décrites dans la décision 14.EE ;</w:t>
      </w:r>
    </w:p>
    <w:p w14:paraId="49D63AFD" w14:textId="77777777" w:rsidR="00F51A6E" w:rsidRPr="00F51A6E" w:rsidRDefault="00F51A6E" w:rsidP="00F51A6E">
      <w:pPr>
        <w:widowControl/>
        <w:autoSpaceDE/>
        <w:autoSpaceDN/>
        <w:ind w:left="1418" w:hanging="567"/>
        <w:contextualSpacing/>
        <w:jc w:val="both"/>
        <w:textAlignment w:val="auto"/>
        <w:rPr>
          <w:rFonts w:ascii="Arial" w:hAnsi="Arial" w:cs="Arial"/>
          <w:sz w:val="22"/>
          <w:szCs w:val="22"/>
          <w:lang w:val="fr-FR"/>
        </w:rPr>
      </w:pPr>
    </w:p>
    <w:p w14:paraId="3AA1E8DB" w14:textId="3DFE9F7D" w:rsidR="00F51A6E" w:rsidRPr="00F51A6E" w:rsidRDefault="00BC2505" w:rsidP="00F51A6E">
      <w:pPr>
        <w:widowControl/>
        <w:numPr>
          <w:ilvl w:val="0"/>
          <w:numId w:val="4"/>
        </w:numPr>
        <w:autoSpaceDE/>
        <w:autoSpaceDN/>
        <w:ind w:left="1418" w:hanging="567"/>
        <w:contextualSpacing/>
        <w:jc w:val="both"/>
        <w:textAlignment w:val="auto"/>
        <w:rPr>
          <w:rFonts w:ascii="Arial" w:hAnsi="Arial" w:cs="Arial"/>
          <w:sz w:val="22"/>
          <w:szCs w:val="22"/>
          <w:lang w:val="fr-FR"/>
        </w:rPr>
      </w:pPr>
      <w:r>
        <w:rPr>
          <w:rFonts w:ascii="Arial" w:hAnsi="Arial" w:cs="Arial"/>
          <w:sz w:val="22"/>
          <w:szCs w:val="22"/>
          <w:lang w:val="fr-FR"/>
        </w:rPr>
        <w:t>élabore</w:t>
      </w:r>
      <w:r w:rsidR="00F51A6E" w:rsidRPr="00F51A6E">
        <w:rPr>
          <w:rFonts w:ascii="Arial" w:hAnsi="Arial" w:cs="Arial"/>
          <w:sz w:val="22"/>
          <w:szCs w:val="22"/>
          <w:lang w:val="fr-FR"/>
        </w:rPr>
        <w:t xml:space="preserve"> et diffuse des lignes directrices et des outils de gestion pertinents </w:t>
      </w:r>
      <w:r w:rsidR="00DC1134">
        <w:rPr>
          <w:rFonts w:ascii="Arial" w:hAnsi="Arial" w:cs="Arial"/>
          <w:sz w:val="22"/>
          <w:szCs w:val="22"/>
          <w:lang w:val="fr-FR"/>
        </w:rPr>
        <w:t>à la demande des</w:t>
      </w:r>
      <w:r w:rsidR="00F51A6E" w:rsidRPr="00F51A6E">
        <w:rPr>
          <w:rFonts w:ascii="Arial" w:hAnsi="Arial" w:cs="Arial"/>
          <w:sz w:val="22"/>
          <w:szCs w:val="22"/>
          <w:lang w:val="fr-FR"/>
        </w:rPr>
        <w:t xml:space="preserve"> Parties.</w:t>
      </w:r>
    </w:p>
    <w:p w14:paraId="7D13B44A" w14:textId="77777777" w:rsidR="00D82C56" w:rsidRPr="00A048E3" w:rsidRDefault="00D82C56" w:rsidP="00F51A6E">
      <w:pPr>
        <w:rPr>
          <w:rFonts w:ascii="Arial" w:hAnsi="Arial" w:cs="Arial"/>
          <w:sz w:val="22"/>
          <w:szCs w:val="22"/>
          <w:lang w:val="fr-FR"/>
        </w:rPr>
      </w:pPr>
    </w:p>
    <w:p w14:paraId="77F883D9" w14:textId="77777777" w:rsidR="00D82C56" w:rsidRPr="00A048E3" w:rsidRDefault="00D82C56" w:rsidP="00F51A6E">
      <w:pPr>
        <w:rPr>
          <w:rFonts w:ascii="Arial" w:hAnsi="Arial" w:cs="Arial"/>
          <w:sz w:val="22"/>
          <w:szCs w:val="22"/>
          <w:lang w:val="fr-FR"/>
        </w:rPr>
      </w:pPr>
    </w:p>
    <w:p w14:paraId="1EEE6BE9" w14:textId="77777777" w:rsidR="00CB22BB" w:rsidRPr="00A048E3" w:rsidRDefault="00CB22BB" w:rsidP="00F51A6E">
      <w:pPr>
        <w:rPr>
          <w:rFonts w:ascii="Arial" w:hAnsi="Arial" w:cs="Arial"/>
          <w:lang w:val="fr-FR"/>
        </w:rPr>
      </w:pPr>
    </w:p>
    <w:sectPr w:rsidR="00CB22BB" w:rsidRPr="00A048E3" w:rsidSect="00A902B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C8187" w14:textId="77777777" w:rsidR="00A902B4" w:rsidRDefault="00A902B4">
      <w:r>
        <w:separator/>
      </w:r>
    </w:p>
  </w:endnote>
  <w:endnote w:type="continuationSeparator" w:id="0">
    <w:p w14:paraId="593E128F" w14:textId="77777777" w:rsidR="00A902B4" w:rsidRDefault="00A902B4">
      <w:r>
        <w:continuationSeparator/>
      </w:r>
    </w:p>
  </w:endnote>
  <w:endnote w:type="continuationNotice" w:id="1">
    <w:p w14:paraId="638A7D62" w14:textId="77777777" w:rsidR="00A902B4" w:rsidRDefault="00A90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C9DA" w14:textId="77777777" w:rsidR="00A902B4" w:rsidRDefault="00A902B4">
      <w:r>
        <w:rPr>
          <w:color w:val="000000"/>
        </w:rPr>
        <w:separator/>
      </w:r>
    </w:p>
  </w:footnote>
  <w:footnote w:type="continuationSeparator" w:id="0">
    <w:p w14:paraId="4263BB19" w14:textId="77777777" w:rsidR="00A902B4" w:rsidRDefault="00A902B4">
      <w:r>
        <w:continuationSeparator/>
      </w:r>
    </w:p>
  </w:footnote>
  <w:footnote w:type="continuationNotice" w:id="1">
    <w:p w14:paraId="2A63FA18" w14:textId="77777777" w:rsidR="00A902B4" w:rsidRDefault="00A90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8AF1ECE" w:rsidR="002B3E88" w:rsidRPr="00371FB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371FBC">
      <w:rPr>
        <w:rFonts w:ascii="Arial" w:hAnsi="Arial" w:cs="Arial"/>
        <w:i/>
        <w:sz w:val="18"/>
        <w:szCs w:val="18"/>
        <w:lang w:val="en-GB"/>
      </w:rPr>
      <w:t>UNEP/CMS/COP1</w:t>
    </w:r>
    <w:r w:rsidR="00CB22BB" w:rsidRPr="00371FBC">
      <w:rPr>
        <w:rFonts w:ascii="Arial" w:hAnsi="Arial" w:cs="Arial"/>
        <w:i/>
        <w:sz w:val="18"/>
        <w:szCs w:val="18"/>
        <w:lang w:val="en-GB"/>
      </w:rPr>
      <w:t>4</w:t>
    </w:r>
    <w:r w:rsidRPr="00371FBC">
      <w:rPr>
        <w:rFonts w:ascii="Arial" w:hAnsi="Arial" w:cs="Arial"/>
        <w:i/>
        <w:sz w:val="18"/>
        <w:szCs w:val="18"/>
        <w:lang w:val="en-GB"/>
      </w:rPr>
      <w:t>/CRP</w:t>
    </w:r>
    <w:r w:rsidR="00F51A6E" w:rsidRPr="00371FBC">
      <w:rPr>
        <w:rFonts w:ascii="Arial" w:hAnsi="Arial" w:cs="Arial"/>
        <w:i/>
        <w:sz w:val="18"/>
        <w:szCs w:val="18"/>
        <w:lang w:val="en-GB"/>
      </w:rPr>
      <w:t>27.7.2</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36BDED7B" w:rsidR="002B3E88" w:rsidRPr="00371FBC"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371FBC">
      <w:rPr>
        <w:rFonts w:ascii="Arial" w:hAnsi="Arial" w:cs="Arial"/>
        <w:i/>
        <w:sz w:val="18"/>
        <w:szCs w:val="18"/>
        <w:lang w:val="en-GB"/>
      </w:rPr>
      <w:t>UNEP/CMS/COP1</w:t>
    </w:r>
    <w:r w:rsidR="00CB22BB" w:rsidRPr="00371FBC">
      <w:rPr>
        <w:rFonts w:ascii="Arial" w:hAnsi="Arial" w:cs="Arial"/>
        <w:i/>
        <w:sz w:val="18"/>
        <w:szCs w:val="18"/>
        <w:lang w:val="en-GB"/>
      </w:rPr>
      <w:t>4</w:t>
    </w:r>
    <w:r w:rsidRPr="00371FBC">
      <w:rPr>
        <w:rFonts w:ascii="Arial" w:hAnsi="Arial" w:cs="Arial"/>
        <w:i/>
        <w:sz w:val="18"/>
        <w:szCs w:val="18"/>
        <w:lang w:val="en-GB"/>
      </w:rPr>
      <w:t>/CRP</w:t>
    </w:r>
    <w:r w:rsidR="00F51A6E" w:rsidRPr="00371FBC">
      <w:rPr>
        <w:rFonts w:ascii="Arial" w:hAnsi="Arial" w:cs="Arial"/>
        <w:i/>
        <w:sz w:val="18"/>
        <w:szCs w:val="18"/>
        <w:lang w:val="en-GB"/>
      </w:rPr>
      <w:t>27.7.2</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90FE167" w:rsidR="007A1066" w:rsidRPr="00371FB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71FBC">
      <w:rPr>
        <w:rFonts w:ascii="Arial" w:hAnsi="Arial" w:cs="Arial"/>
        <w:bCs/>
        <w:i/>
        <w:iCs/>
        <w:sz w:val="18"/>
        <w:szCs w:val="18"/>
        <w:lang w:val="en-GB"/>
      </w:rPr>
      <w:t>UNEP/CMS/COP1</w:t>
    </w:r>
    <w:r w:rsidR="002B3E88" w:rsidRPr="00371FBC">
      <w:rPr>
        <w:rFonts w:ascii="Arial" w:hAnsi="Arial" w:cs="Arial"/>
        <w:bCs/>
        <w:i/>
        <w:iCs/>
        <w:sz w:val="18"/>
        <w:szCs w:val="18"/>
        <w:lang w:val="en-GB"/>
      </w:rPr>
      <w:t>4</w:t>
    </w:r>
    <w:r w:rsidRPr="00371FBC">
      <w:rPr>
        <w:rFonts w:ascii="Arial" w:hAnsi="Arial" w:cs="Arial"/>
        <w:bCs/>
        <w:i/>
        <w:iCs/>
        <w:sz w:val="18"/>
        <w:szCs w:val="18"/>
        <w:lang w:val="en-GB"/>
      </w:rPr>
      <w:t>/CRP</w:t>
    </w:r>
    <w:r w:rsidR="00055C97" w:rsidRPr="00371FBC">
      <w:rPr>
        <w:rFonts w:ascii="Arial" w:hAnsi="Arial" w:cs="Arial"/>
        <w:bCs/>
        <w:i/>
        <w:iCs/>
        <w:sz w:val="18"/>
        <w:szCs w:val="18"/>
        <w:lang w:val="en-GB"/>
      </w:rPr>
      <w:t>27.7.2</w:t>
    </w:r>
    <w:r w:rsidR="00DC1134">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1" w15:restartNumberingAfterBreak="0">
    <w:nsid w:val="336C74C3"/>
    <w:multiLevelType w:val="hybridMultilevel"/>
    <w:tmpl w:val="545E08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77296C"/>
    <w:multiLevelType w:val="hybridMultilevel"/>
    <w:tmpl w:val="B2F29798"/>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E009FB"/>
    <w:multiLevelType w:val="hybridMultilevel"/>
    <w:tmpl w:val="20CA69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C55673A"/>
    <w:multiLevelType w:val="hybridMultilevel"/>
    <w:tmpl w:val="57CA3E90"/>
    <w:lvl w:ilvl="0" w:tplc="118459DA">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num w:numId="1" w16cid:durableId="502820670">
    <w:abstractNumId w:val="2"/>
  </w:num>
  <w:num w:numId="2" w16cid:durableId="823354761">
    <w:abstractNumId w:val="0"/>
  </w:num>
  <w:num w:numId="3" w16cid:durableId="761998240">
    <w:abstractNumId w:val="3"/>
  </w:num>
  <w:num w:numId="4" w16cid:durableId="553666435">
    <w:abstractNumId w:val="1"/>
  </w:num>
  <w:num w:numId="5" w16cid:durableId="524363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50D1"/>
    <w:rsid w:val="00055C97"/>
    <w:rsid w:val="00056136"/>
    <w:rsid w:val="0006501F"/>
    <w:rsid w:val="000A4A4C"/>
    <w:rsid w:val="000B0D60"/>
    <w:rsid w:val="001648A3"/>
    <w:rsid w:val="002223BB"/>
    <w:rsid w:val="002B3E88"/>
    <w:rsid w:val="002F1CD8"/>
    <w:rsid w:val="00350016"/>
    <w:rsid w:val="0036127F"/>
    <w:rsid w:val="00371FBC"/>
    <w:rsid w:val="003F1AD8"/>
    <w:rsid w:val="0043102F"/>
    <w:rsid w:val="00487D0A"/>
    <w:rsid w:val="004C6819"/>
    <w:rsid w:val="005645C4"/>
    <w:rsid w:val="005D43E4"/>
    <w:rsid w:val="005F0639"/>
    <w:rsid w:val="00687024"/>
    <w:rsid w:val="00777F5F"/>
    <w:rsid w:val="007906F0"/>
    <w:rsid w:val="0079466A"/>
    <w:rsid w:val="007A1066"/>
    <w:rsid w:val="009707EF"/>
    <w:rsid w:val="00A048E3"/>
    <w:rsid w:val="00A66586"/>
    <w:rsid w:val="00A902B4"/>
    <w:rsid w:val="00AC70AF"/>
    <w:rsid w:val="00B50BC0"/>
    <w:rsid w:val="00B55D3C"/>
    <w:rsid w:val="00B861B1"/>
    <w:rsid w:val="00BC2505"/>
    <w:rsid w:val="00C32FF1"/>
    <w:rsid w:val="00C75F5E"/>
    <w:rsid w:val="00CB22BB"/>
    <w:rsid w:val="00D82C56"/>
    <w:rsid w:val="00DA7513"/>
    <w:rsid w:val="00DC1134"/>
    <w:rsid w:val="00E829C9"/>
    <w:rsid w:val="00F24FD5"/>
    <w:rsid w:val="00F51A6E"/>
    <w:rsid w:val="00F5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F51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A771E-ADA2-4CBA-836D-B9F68DF89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2024-02-15T20:32:00Z</dcterms:created>
  <dcterms:modified xsi:type="dcterms:W3CDTF">2024-02-15T20:32:00Z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