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9AB4" w14:textId="77777777" w:rsidR="005F08CB" w:rsidRPr="005F08CB" w:rsidRDefault="005F08CB" w:rsidP="00EE1465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5F08CB">
        <w:rPr>
          <w:rFonts w:ascii="Arial" w:hAnsi="Arial" w:cs="Arial"/>
          <w:b/>
          <w:bCs/>
          <w:sz w:val="22"/>
          <w:szCs w:val="22"/>
          <w:lang w:val="es-ES"/>
        </w:rPr>
        <w:t xml:space="preserve">PLAN DE ACCIÓN DE ESPECIES ÚNICAS PARA </w:t>
      </w:r>
      <w:r w:rsidRPr="005F08CB">
        <w:rPr>
          <w:rFonts w:ascii="Arial" w:hAnsi="Arial" w:cs="Arial"/>
          <w:b/>
          <w:sz w:val="22"/>
          <w:szCs w:val="22"/>
          <w:lang w:val="es-ES"/>
        </w:rPr>
        <w:br/>
      </w:r>
      <w:r w:rsidRPr="005F08CB">
        <w:rPr>
          <w:rFonts w:ascii="Arial" w:hAnsi="Arial" w:cs="Arial"/>
          <w:b/>
          <w:bCs/>
          <w:sz w:val="22"/>
          <w:szCs w:val="22"/>
          <w:lang w:val="es-ES"/>
        </w:rPr>
        <w:t>LA TORTUGA CAREY (</w:t>
      </w:r>
      <w:proofErr w:type="spellStart"/>
      <w:r w:rsidRPr="005F08CB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Eretmochelys</w:t>
      </w:r>
      <w:proofErr w:type="spellEnd"/>
      <w:r w:rsidRPr="005F08CB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5F08CB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imbricata</w:t>
      </w:r>
      <w:proofErr w:type="spellEnd"/>
      <w:r w:rsidRPr="005F08CB">
        <w:rPr>
          <w:rFonts w:ascii="Arial" w:hAnsi="Arial" w:cs="Arial"/>
          <w:b/>
          <w:bCs/>
          <w:sz w:val="22"/>
          <w:szCs w:val="22"/>
          <w:lang w:val="es-ES"/>
        </w:rPr>
        <w:t xml:space="preserve">) </w:t>
      </w:r>
      <w:r w:rsidRPr="005F08CB">
        <w:rPr>
          <w:rFonts w:ascii="Arial" w:hAnsi="Arial" w:cs="Arial"/>
          <w:b/>
          <w:sz w:val="22"/>
          <w:szCs w:val="22"/>
          <w:lang w:val="es-ES"/>
        </w:rPr>
        <w:br/>
      </w:r>
      <w:r w:rsidRPr="005F08CB">
        <w:rPr>
          <w:rFonts w:ascii="Arial" w:hAnsi="Arial" w:cs="Arial"/>
          <w:b/>
          <w:bCs/>
          <w:sz w:val="22"/>
          <w:szCs w:val="22"/>
          <w:lang w:val="es-ES"/>
        </w:rPr>
        <w:t>EN LA REGIÓN DEL SUDESTE ASIÁTICO Y EL OCÉANO PACÍFICO OCCIDENTAL</w:t>
      </w:r>
    </w:p>
    <w:p w14:paraId="77BA811D" w14:textId="2BEDE7B6" w:rsidR="00D82C56" w:rsidRPr="00D4376A" w:rsidRDefault="005D43E4" w:rsidP="00EE1465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D4376A">
        <w:rPr>
          <w:rFonts w:ascii="Arial" w:hAnsi="Arial" w:cs="Arial"/>
          <w:sz w:val="22"/>
          <w:szCs w:val="22"/>
          <w:lang w:val="en-GB"/>
        </w:rPr>
        <w:t>UNEP/CMS/COP1</w:t>
      </w:r>
      <w:r w:rsidR="001125D7" w:rsidRPr="00D4376A">
        <w:rPr>
          <w:rFonts w:ascii="Arial" w:hAnsi="Arial" w:cs="Arial"/>
          <w:sz w:val="22"/>
          <w:szCs w:val="22"/>
          <w:lang w:val="en-GB"/>
        </w:rPr>
        <w:t>4</w:t>
      </w:r>
      <w:r w:rsidRPr="00D4376A">
        <w:rPr>
          <w:rFonts w:ascii="Arial" w:hAnsi="Arial" w:cs="Arial"/>
          <w:sz w:val="22"/>
          <w:szCs w:val="22"/>
          <w:lang w:val="en-GB"/>
        </w:rPr>
        <w:t>/Doc.</w:t>
      </w:r>
      <w:r w:rsidR="00D4376A" w:rsidRPr="00D4376A">
        <w:rPr>
          <w:rFonts w:ascii="Arial" w:hAnsi="Arial" w:cs="Arial"/>
          <w:sz w:val="22"/>
          <w:szCs w:val="22"/>
          <w:lang w:val="en-GB"/>
        </w:rPr>
        <w:t>27.6.2/Rev.1</w:t>
      </w:r>
    </w:p>
    <w:p w14:paraId="73A89732" w14:textId="4C7FF704" w:rsidR="00D82C56" w:rsidRPr="00FD2360" w:rsidRDefault="005D43E4" w:rsidP="000C157B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2B74D0">
        <w:rPr>
          <w:rFonts w:ascii="Arial" w:hAnsi="Arial" w:cs="Arial"/>
          <w:i/>
          <w:sz w:val="22"/>
          <w:szCs w:val="22"/>
          <w:lang w:val="es-ES"/>
        </w:rPr>
        <w:t>el Grupo de Trabajo sobre especies acuáticas y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0C157B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0C157B">
      <w:pPr>
        <w:rPr>
          <w:rFonts w:ascii="Arial" w:hAnsi="Arial" w:cs="Arial"/>
          <w:sz w:val="22"/>
          <w:szCs w:val="22"/>
          <w:lang w:val="es-ES"/>
        </w:rPr>
      </w:pPr>
    </w:p>
    <w:p w14:paraId="59425798" w14:textId="29BC9C45" w:rsidR="00D82C56" w:rsidRPr="00FD2360" w:rsidRDefault="00FD2360" w:rsidP="000C157B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EE7459">
        <w:rPr>
          <w:rFonts w:ascii="Arial" w:hAnsi="Arial" w:cs="Arial"/>
          <w:sz w:val="22"/>
          <w:szCs w:val="22"/>
          <w:lang w:val="es-ES"/>
        </w:rPr>
        <w:t>PROYECTO DE RESOLUCIÓN</w:t>
      </w:r>
    </w:p>
    <w:p w14:paraId="61273576" w14:textId="77777777" w:rsidR="00D82C56" w:rsidRDefault="00D82C56" w:rsidP="000C157B">
      <w:pPr>
        <w:rPr>
          <w:rFonts w:ascii="Arial" w:hAnsi="Arial" w:cs="Arial"/>
          <w:sz w:val="22"/>
          <w:szCs w:val="22"/>
          <w:lang w:val="es-ES"/>
        </w:rPr>
      </w:pPr>
    </w:p>
    <w:p w14:paraId="686DC7BE" w14:textId="77777777" w:rsidR="00EE7459" w:rsidRPr="00FD2360" w:rsidRDefault="00EE7459" w:rsidP="000C157B">
      <w:pPr>
        <w:rPr>
          <w:rFonts w:ascii="Arial" w:hAnsi="Arial" w:cs="Arial"/>
          <w:sz w:val="22"/>
          <w:szCs w:val="22"/>
          <w:lang w:val="es-ES"/>
        </w:rPr>
      </w:pPr>
    </w:p>
    <w:p w14:paraId="617EF5BD" w14:textId="77777777" w:rsidR="00B14E59" w:rsidRPr="00B14E59" w:rsidRDefault="00B14E59" w:rsidP="000C157B">
      <w:pPr>
        <w:adjustRightInd w:val="0"/>
        <w:jc w:val="center"/>
        <w:textAlignment w:val="auto"/>
        <w:rPr>
          <w:rFonts w:ascii="Arial" w:eastAsia="MS Mincho" w:hAnsi="Arial" w:cs="Arial"/>
          <w:b/>
          <w:sz w:val="22"/>
          <w:szCs w:val="22"/>
          <w:lang w:val="es-ES"/>
        </w:rPr>
      </w:pPr>
      <w:r w:rsidRPr="00B14E59">
        <w:rPr>
          <w:rFonts w:ascii="Arial" w:hAnsi="Arial" w:cs="Arial"/>
          <w:b/>
          <w:sz w:val="22"/>
          <w:szCs w:val="22"/>
          <w:lang w:val="es-ES"/>
        </w:rPr>
        <w:t xml:space="preserve">PLAN DE ACCIÓN DE ESPECIES ÚNICAS PARA </w:t>
      </w:r>
      <w:r w:rsidRPr="00B14E59">
        <w:rPr>
          <w:rFonts w:ascii="Arial" w:hAnsi="Arial" w:cs="Arial"/>
          <w:b/>
          <w:sz w:val="22"/>
          <w:szCs w:val="22"/>
          <w:lang w:val="es-ES"/>
        </w:rPr>
        <w:br/>
        <w:t>LA TORTUGA CAREY (</w:t>
      </w:r>
      <w:proofErr w:type="spellStart"/>
      <w:r w:rsidRPr="00B14E59">
        <w:rPr>
          <w:rFonts w:ascii="Arial" w:hAnsi="Arial" w:cs="Arial"/>
          <w:b/>
          <w:i/>
          <w:iCs/>
          <w:sz w:val="22"/>
          <w:szCs w:val="22"/>
          <w:lang w:val="es-ES"/>
        </w:rPr>
        <w:t>Eretmochelys</w:t>
      </w:r>
      <w:proofErr w:type="spellEnd"/>
      <w:r w:rsidRPr="00B14E59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 </w:t>
      </w:r>
      <w:proofErr w:type="spellStart"/>
      <w:r w:rsidRPr="00B14E59">
        <w:rPr>
          <w:rFonts w:ascii="Arial" w:hAnsi="Arial" w:cs="Arial"/>
          <w:b/>
          <w:i/>
          <w:iCs/>
          <w:sz w:val="22"/>
          <w:szCs w:val="22"/>
          <w:lang w:val="es-ES"/>
        </w:rPr>
        <w:t>imbricata</w:t>
      </w:r>
      <w:proofErr w:type="spellEnd"/>
      <w:r w:rsidRPr="00B14E59">
        <w:rPr>
          <w:rFonts w:ascii="Arial" w:hAnsi="Arial" w:cs="Arial"/>
          <w:b/>
          <w:sz w:val="22"/>
          <w:szCs w:val="22"/>
          <w:lang w:val="es-ES"/>
        </w:rPr>
        <w:t xml:space="preserve">) </w:t>
      </w:r>
      <w:r w:rsidRPr="00B14E59">
        <w:rPr>
          <w:rFonts w:ascii="Arial" w:hAnsi="Arial" w:cs="Arial"/>
          <w:b/>
          <w:sz w:val="22"/>
          <w:szCs w:val="22"/>
          <w:lang w:val="es-ES"/>
        </w:rPr>
        <w:br/>
        <w:t>EN LA REGIÓN DEL SUDESTE ASIÁTICO Y EL OCÉANO PACÍFICO OCCIDENTAL</w:t>
      </w:r>
    </w:p>
    <w:p w14:paraId="5EA63D88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eastAsia="MS Mincho" w:hAnsi="Arial" w:cs="Arial"/>
          <w:sz w:val="22"/>
          <w:szCs w:val="22"/>
          <w:lang w:val="es-ES"/>
        </w:rPr>
      </w:pPr>
    </w:p>
    <w:p w14:paraId="2A937D7F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eastAsia="MS Mincho" w:hAnsi="Arial" w:cs="Arial"/>
          <w:sz w:val="22"/>
          <w:szCs w:val="22"/>
          <w:lang w:val="es-ES"/>
        </w:rPr>
      </w:pPr>
    </w:p>
    <w:p w14:paraId="77424AF9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B14E59">
        <w:rPr>
          <w:rFonts w:ascii="Arial" w:hAnsi="Arial" w:cs="Arial"/>
          <w:i/>
          <w:sz w:val="22"/>
          <w:szCs w:val="22"/>
          <w:lang w:val="es-ES"/>
        </w:rPr>
        <w:t xml:space="preserve">Observando </w:t>
      </w:r>
      <w:r w:rsidRPr="00B14E59">
        <w:rPr>
          <w:rFonts w:ascii="Arial" w:hAnsi="Arial" w:cs="Arial"/>
          <w:iCs/>
          <w:sz w:val="22"/>
          <w:szCs w:val="22"/>
          <w:lang w:val="es-ES"/>
        </w:rPr>
        <w:t>que la tortuga carey (</w:t>
      </w:r>
      <w:proofErr w:type="spellStart"/>
      <w:r w:rsidRPr="00B14E59">
        <w:rPr>
          <w:rFonts w:ascii="Arial" w:hAnsi="Arial" w:cs="Arial"/>
          <w:bCs/>
          <w:i/>
          <w:iCs/>
          <w:sz w:val="22"/>
          <w:szCs w:val="22"/>
          <w:lang w:val="es-ES"/>
        </w:rPr>
        <w:t>Eretmochelys</w:t>
      </w:r>
      <w:proofErr w:type="spellEnd"/>
      <w:r w:rsidRPr="00B14E59">
        <w:rPr>
          <w:rFonts w:ascii="Arial" w:hAnsi="Arial" w:cs="Arial"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B14E59">
        <w:rPr>
          <w:rFonts w:ascii="Arial" w:hAnsi="Arial" w:cs="Arial"/>
          <w:bCs/>
          <w:i/>
          <w:iCs/>
          <w:sz w:val="22"/>
          <w:szCs w:val="22"/>
          <w:lang w:val="es-ES"/>
        </w:rPr>
        <w:t>imbricata</w:t>
      </w:r>
      <w:proofErr w:type="spellEnd"/>
      <w:r w:rsidRPr="00B14E59">
        <w:rPr>
          <w:rFonts w:ascii="Arial" w:hAnsi="Arial" w:cs="Arial"/>
          <w:iCs/>
          <w:sz w:val="22"/>
          <w:szCs w:val="22"/>
          <w:lang w:val="es-ES"/>
        </w:rPr>
        <w:t>) fue incluida en los Apéndices II de 1979 y I de 1985 de la CMS,</w:t>
      </w:r>
    </w:p>
    <w:p w14:paraId="45432A7E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3CC1FD50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>preocupada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porque la tortuga carey está incluida en la </w:t>
      </w:r>
      <w:r w:rsidRPr="00B14E59">
        <w:rPr>
          <w:rFonts w:ascii="Arial" w:hAnsi="Arial" w:cs="Arial"/>
          <w:i/>
          <w:iCs/>
          <w:sz w:val="22"/>
          <w:szCs w:val="22"/>
          <w:lang w:val="es-ES"/>
        </w:rPr>
        <w:t>Lista Roja de Especies Amenazadas de la UICN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en 2008 como en peligro crítico (CR) y su población tiende a decrecer, lo que suscita serias preocupaciones sobre la viabilidad de ciertas poblaciones dado el nivel actual de la amenaza,</w:t>
      </w:r>
    </w:p>
    <w:p w14:paraId="791FC239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526AEE94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B14E59">
        <w:rPr>
          <w:rFonts w:ascii="Arial" w:hAnsi="Arial" w:cs="Arial"/>
          <w:i/>
          <w:sz w:val="22"/>
          <w:szCs w:val="22"/>
          <w:lang w:val="es-ES"/>
        </w:rPr>
        <w:t xml:space="preserve">acogiendo con beneplácito </w:t>
      </w:r>
      <w:r w:rsidRPr="00B14E59">
        <w:rPr>
          <w:rFonts w:ascii="Arial" w:hAnsi="Arial" w:cs="Arial"/>
          <w:iCs/>
          <w:sz w:val="22"/>
          <w:szCs w:val="22"/>
          <w:lang w:val="es-ES"/>
        </w:rPr>
        <w:t>las dos recientes evaluaciones científicas sobre el estado de conservación de la tortuga carey en la región del Sudeste Asiático y el Océano Índico elaboradas bajo los auspicios del Comité Asesor del Memorando de Entendimiento sobre medidas de Conservación y Gestión para las Tortugas marinas y sus hábitats del Océano Índico y el Sudeste Asiático (</w:t>
      </w:r>
      <w:bookmarkStart w:id="0" w:name="_Hlk133497919"/>
      <w:proofErr w:type="spellStart"/>
      <w:r w:rsidRPr="00B14E59">
        <w:rPr>
          <w:rFonts w:ascii="Arial" w:hAnsi="Arial" w:cs="Arial"/>
          <w:iCs/>
          <w:sz w:val="22"/>
          <w:szCs w:val="22"/>
          <w:lang w:val="es-ES"/>
        </w:rPr>
        <w:t>MdE</w:t>
      </w:r>
      <w:proofErr w:type="spellEnd"/>
      <w:r w:rsidRPr="00B14E59">
        <w:rPr>
          <w:rFonts w:ascii="Arial" w:hAnsi="Arial" w:cs="Arial"/>
          <w:iCs/>
          <w:sz w:val="22"/>
          <w:szCs w:val="22"/>
          <w:lang w:val="es-ES"/>
        </w:rPr>
        <w:t xml:space="preserve"> sobre tortugas marinas de la IOSEA</w:t>
      </w:r>
      <w:bookmarkEnd w:id="0"/>
      <w:r w:rsidRPr="00B14E59">
        <w:rPr>
          <w:rFonts w:ascii="Arial" w:hAnsi="Arial" w:cs="Arial"/>
          <w:iCs/>
          <w:sz w:val="22"/>
          <w:szCs w:val="22"/>
          <w:lang w:val="es-ES"/>
        </w:rPr>
        <w:t xml:space="preserve">), y en la región del Océano Pacífico Occidental, y publicadas como </w:t>
      </w:r>
      <w:proofErr w:type="spellStart"/>
      <w:r w:rsidRPr="00B14E59">
        <w:rPr>
          <w:rFonts w:ascii="Arial" w:hAnsi="Arial" w:cs="Arial"/>
          <w:iCs/>
          <w:sz w:val="22"/>
          <w:szCs w:val="22"/>
          <w:lang w:val="es-ES"/>
        </w:rPr>
        <w:t>N.°</w:t>
      </w:r>
      <w:proofErr w:type="spellEnd"/>
      <w:r w:rsidRPr="00B14E59">
        <w:rPr>
          <w:rFonts w:ascii="Arial" w:hAnsi="Arial" w:cs="Arial"/>
          <w:iCs/>
          <w:sz w:val="22"/>
          <w:szCs w:val="22"/>
          <w:lang w:val="es-ES"/>
        </w:rPr>
        <w:t xml:space="preserve"> 45 en las series técnicas de la CMS,</w:t>
      </w:r>
    </w:p>
    <w:p w14:paraId="6B4F96EE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675E0944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>observando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que el uso y el comercio se han identificado como las amenazas clave para las tortugas carey en la región del Sudeste Asiático y el Océano Pacífico Occidental en las evaluaciones científicas arriba mencionadas,</w:t>
      </w:r>
    </w:p>
    <w:p w14:paraId="1D96699F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2E5EAC2A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 xml:space="preserve">reconociendo </w:t>
      </w:r>
      <w:r w:rsidRPr="00B14E59">
        <w:rPr>
          <w:rFonts w:ascii="Arial" w:hAnsi="Arial" w:cs="Arial"/>
          <w:sz w:val="22"/>
          <w:szCs w:val="22"/>
          <w:lang w:val="es-ES"/>
        </w:rPr>
        <w:t>que existen vínculos complejos entre la comunidad y el uso comercial, y que el uso a nivel nacional e internacional deben ser abordados conjuntamente,</w:t>
      </w:r>
    </w:p>
    <w:p w14:paraId="00FF91F7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678F67E0" w14:textId="2D179D0B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>reconociendo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el apoyo de</w:t>
      </w:r>
      <w:r w:rsidR="002B74D0">
        <w:rPr>
          <w:rFonts w:ascii="Arial" w:hAnsi="Arial" w:cs="Arial"/>
          <w:sz w:val="22"/>
          <w:szCs w:val="22"/>
          <w:lang w:val="es-ES"/>
        </w:rPr>
        <w:t xml:space="preserve"> la sociedad civil y otros actores </w:t>
      </w:r>
      <w:r w:rsidRPr="00B14E59">
        <w:rPr>
          <w:rFonts w:ascii="Arial" w:hAnsi="Arial" w:cs="Arial"/>
          <w:sz w:val="22"/>
          <w:szCs w:val="22"/>
          <w:lang w:val="es-ES"/>
        </w:rPr>
        <w:t>en la aplicación de los mandatos de la COP relativos a las tortugas carey para ayudar a los gobiernos a aplicar medidas de conservación coherentes que se ocupen de su uso y comercio,</w:t>
      </w:r>
    </w:p>
    <w:p w14:paraId="0390F098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6A6AAB97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>afirmando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la necesidad de atajar estos problemas colaborando estrechamente con la Convención sobre el Comercio Internacional de Especies Amenazadas de Fauna y Flora Silvestres (CITES) y otros socios relevantes, como la Secretaría del Programa Ambiental Regional del Pacífico (SPREP),</w:t>
      </w:r>
    </w:p>
    <w:p w14:paraId="1945BEC9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23B4F352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>observando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que la Resolución de la Conf.19.5 de la CITES acogió de buen grado este Plan de Acción de Especies Únicas (SSAP) y recomendó numerosas medidas en consonancia con las descritas en él,</w:t>
      </w:r>
    </w:p>
    <w:p w14:paraId="6FE76382" w14:textId="77777777" w:rsidR="00B14E59" w:rsidRPr="00B14E59" w:rsidRDefault="00B14E59" w:rsidP="000C157B">
      <w:pPr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1AE16073" w14:textId="51A38DA7" w:rsidR="00B14E59" w:rsidRDefault="00B14E59" w:rsidP="000C157B">
      <w:pPr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>observando también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que el Programa Regional de Especies Marinas de las Islas del Pacífico del SPREP</w:t>
      </w:r>
      <w:r w:rsidRPr="00B14E59">
        <w:rPr>
          <w:rFonts w:ascii="Roboto" w:eastAsiaTheme="minorHAnsi" w:hAnsi="Roboto" w:cstheme="minorBidi"/>
          <w:color w:val="222222"/>
          <w:sz w:val="22"/>
          <w:szCs w:val="22"/>
          <w:lang w:val="es-ES"/>
        </w:rPr>
        <w:t xml:space="preserve"> </w:t>
      </w:r>
      <w:r w:rsidRPr="00B14E59">
        <w:rPr>
          <w:rFonts w:ascii="Arial" w:hAnsi="Arial" w:cs="Arial"/>
          <w:sz w:val="22"/>
          <w:szCs w:val="22"/>
          <w:lang w:val="es-ES"/>
        </w:rPr>
        <w:t>de 2022-2026 también recomienda numerosas medidas en consonancia con las descritas en este SSAP,</w:t>
      </w:r>
    </w:p>
    <w:p w14:paraId="0A7E1491" w14:textId="21E7AA70" w:rsidR="0060394F" w:rsidRDefault="0060394F" w:rsidP="000C157B">
      <w:pPr>
        <w:autoSpaceDE/>
        <w:autoSpaceDN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533DD6BF" w14:textId="3CAFC2F8" w:rsidR="00B14E59" w:rsidRPr="00B14E59" w:rsidRDefault="0060394F" w:rsidP="00616063">
      <w:pPr>
        <w:pStyle w:val="NormalWeb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i/>
          <w:iCs/>
          <w:sz w:val="22"/>
          <w:szCs w:val="22"/>
          <w:lang w:val="es-ES"/>
        </w:rPr>
        <w:lastRenderedPageBreak/>
        <w:t>r</w:t>
      </w:r>
      <w:r w:rsidRPr="0060394F">
        <w:rPr>
          <w:rFonts w:ascii="Arial" w:hAnsi="Arial" w:cs="Arial"/>
          <w:i/>
          <w:iCs/>
          <w:sz w:val="22"/>
          <w:szCs w:val="22"/>
          <w:lang w:val="es-ES"/>
        </w:rPr>
        <w:t>econociendo</w:t>
      </w:r>
      <w:r w:rsidRPr="0060394F">
        <w:rPr>
          <w:rFonts w:ascii="Arial" w:hAnsi="Arial" w:cs="Arial"/>
          <w:sz w:val="22"/>
          <w:szCs w:val="22"/>
          <w:lang w:val="es-ES"/>
        </w:rPr>
        <w:t xml:space="preserve"> la responsabilidad pri</w:t>
      </w:r>
      <w:r>
        <w:rPr>
          <w:rFonts w:ascii="Arial" w:hAnsi="Arial" w:cs="Arial"/>
          <w:sz w:val="22"/>
          <w:szCs w:val="22"/>
          <w:lang w:val="es-ES"/>
        </w:rPr>
        <w:t>maria</w:t>
      </w:r>
      <w:r w:rsidRPr="0060394F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Pr="0060394F">
        <w:rPr>
          <w:rFonts w:ascii="Arial" w:hAnsi="Arial" w:cs="Arial"/>
          <w:sz w:val="22"/>
          <w:szCs w:val="22"/>
          <w:lang w:val="es-ES"/>
        </w:rPr>
        <w:t>MdE</w:t>
      </w:r>
      <w:proofErr w:type="spellEnd"/>
      <w:r w:rsidRPr="0060394F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sobre</w:t>
      </w:r>
      <w:r w:rsidRPr="0060394F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las </w:t>
      </w:r>
      <w:r w:rsidRPr="0060394F">
        <w:rPr>
          <w:rFonts w:ascii="Arial" w:hAnsi="Arial" w:cs="Arial"/>
          <w:sz w:val="22"/>
          <w:szCs w:val="22"/>
          <w:lang w:val="es-ES"/>
        </w:rPr>
        <w:t xml:space="preserve">Tortugas Marinas de IOSEA para la conservación de las tortugas marinas en la región del </w:t>
      </w:r>
      <w:r>
        <w:rPr>
          <w:rFonts w:ascii="Arial" w:hAnsi="Arial" w:cs="Arial"/>
          <w:sz w:val="22"/>
          <w:szCs w:val="22"/>
          <w:lang w:val="es-ES"/>
        </w:rPr>
        <w:t>o</w:t>
      </w:r>
      <w:r w:rsidRPr="0060394F">
        <w:rPr>
          <w:rFonts w:ascii="Arial" w:hAnsi="Arial" w:cs="Arial"/>
          <w:sz w:val="22"/>
          <w:szCs w:val="22"/>
          <w:lang w:val="es-ES"/>
        </w:rPr>
        <w:t xml:space="preserve">céano Índico y el </w:t>
      </w:r>
      <w:r>
        <w:rPr>
          <w:rFonts w:ascii="Arial" w:hAnsi="Arial" w:cs="Arial"/>
          <w:sz w:val="22"/>
          <w:szCs w:val="22"/>
          <w:lang w:val="es-ES"/>
        </w:rPr>
        <w:t>s</w:t>
      </w:r>
      <w:r w:rsidRPr="0060394F">
        <w:rPr>
          <w:rFonts w:ascii="Arial" w:hAnsi="Arial" w:cs="Arial"/>
          <w:sz w:val="22"/>
          <w:szCs w:val="22"/>
          <w:lang w:val="es-ES"/>
        </w:rPr>
        <w:t xml:space="preserve">udeste </w:t>
      </w:r>
      <w:r>
        <w:rPr>
          <w:rFonts w:ascii="Arial" w:hAnsi="Arial" w:cs="Arial"/>
          <w:sz w:val="22"/>
          <w:szCs w:val="22"/>
          <w:lang w:val="es-ES"/>
        </w:rPr>
        <w:t>a</w:t>
      </w:r>
      <w:r w:rsidRPr="0060394F">
        <w:rPr>
          <w:rFonts w:ascii="Arial" w:hAnsi="Arial" w:cs="Arial"/>
          <w:sz w:val="22"/>
          <w:szCs w:val="22"/>
          <w:lang w:val="es-ES"/>
        </w:rPr>
        <w:t xml:space="preserve">siático y para la </w:t>
      </w:r>
      <w:r>
        <w:rPr>
          <w:rFonts w:ascii="Arial" w:hAnsi="Arial" w:cs="Arial"/>
          <w:sz w:val="22"/>
          <w:szCs w:val="22"/>
          <w:lang w:val="es-ES"/>
        </w:rPr>
        <w:t>aplicación</w:t>
      </w:r>
      <w:r w:rsidRPr="0060394F">
        <w:rPr>
          <w:rFonts w:ascii="Arial" w:hAnsi="Arial" w:cs="Arial"/>
          <w:sz w:val="22"/>
          <w:szCs w:val="22"/>
          <w:lang w:val="es-ES"/>
        </w:rPr>
        <w:t xml:space="preserve"> de este SSAP,</w:t>
      </w:r>
    </w:p>
    <w:p w14:paraId="0664355B" w14:textId="77777777" w:rsidR="00B14E59" w:rsidRPr="00B14E59" w:rsidRDefault="00B14E59" w:rsidP="00616063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>reconociendo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que las acciones contenidas en este SSAP pueden ser de relevancia para otras regiones fuera de su ámbito geográfico, como el área cubierta por la Convención Interamericana para la Protección y la Conservación de las Tortugas Marinas (CIT),</w:t>
      </w:r>
    </w:p>
    <w:p w14:paraId="4D5FA0FA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68AF6425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B14E59">
        <w:rPr>
          <w:rFonts w:ascii="Arial" w:hAnsi="Arial" w:cs="Arial"/>
          <w:i/>
          <w:sz w:val="22"/>
          <w:szCs w:val="22"/>
          <w:lang w:val="es-ES"/>
        </w:rPr>
        <w:t>acogiendo con beneplácito</w:t>
      </w:r>
      <w:r w:rsidRPr="00B14E59">
        <w:rPr>
          <w:rFonts w:ascii="Arial" w:hAnsi="Arial" w:cs="Arial"/>
          <w:iCs/>
          <w:sz w:val="22"/>
          <w:szCs w:val="22"/>
          <w:lang w:val="es-ES"/>
        </w:rPr>
        <w:t xml:space="preserve"> la oportunidad de fomentar la estrecha colaboración entre la Convención y el </w:t>
      </w:r>
      <w:proofErr w:type="spellStart"/>
      <w:r w:rsidRPr="00B14E59">
        <w:rPr>
          <w:rFonts w:ascii="Arial" w:hAnsi="Arial" w:cs="Arial"/>
          <w:iCs/>
          <w:sz w:val="22"/>
          <w:szCs w:val="22"/>
          <w:lang w:val="es-ES"/>
        </w:rPr>
        <w:t>MdE</w:t>
      </w:r>
      <w:proofErr w:type="spellEnd"/>
      <w:r w:rsidRPr="00B14E59">
        <w:rPr>
          <w:rFonts w:ascii="Arial" w:hAnsi="Arial" w:cs="Arial"/>
          <w:iCs/>
          <w:sz w:val="22"/>
          <w:szCs w:val="22"/>
          <w:lang w:val="es-ES"/>
        </w:rPr>
        <w:t xml:space="preserve"> sobre Tortugas Marinas IOSEA</w:t>
      </w:r>
      <w:r w:rsidRPr="00B14E59">
        <w:rPr>
          <w:rFonts w:ascii="Arial" w:hAnsi="Arial" w:cs="Arial"/>
          <w:i/>
          <w:sz w:val="22"/>
          <w:szCs w:val="22"/>
          <w:lang w:val="es-ES"/>
        </w:rPr>
        <w:t>,</w:t>
      </w:r>
    </w:p>
    <w:p w14:paraId="2BA1CAAA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78E8B2D2" w14:textId="77777777" w:rsidR="00B14E59" w:rsidRPr="00B14E59" w:rsidRDefault="00B14E59" w:rsidP="000C157B">
      <w:pPr>
        <w:widowControl/>
        <w:autoSpaceDE/>
        <w:autoSpaceDN/>
        <w:textAlignment w:val="auto"/>
        <w:rPr>
          <w:rFonts w:ascii="Arial" w:hAnsi="Arial" w:cs="Arial"/>
          <w:i/>
          <w:sz w:val="22"/>
          <w:szCs w:val="22"/>
          <w:lang w:val="es-ES"/>
        </w:rPr>
      </w:pPr>
    </w:p>
    <w:p w14:paraId="1221250B" w14:textId="77777777" w:rsidR="00B14E59" w:rsidRPr="00B14E59" w:rsidRDefault="00B14E59" w:rsidP="000C157B">
      <w:pPr>
        <w:adjustRightInd w:val="0"/>
        <w:jc w:val="center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B14E59">
        <w:rPr>
          <w:rFonts w:ascii="Arial" w:hAnsi="Arial" w:cs="Arial"/>
          <w:i/>
          <w:sz w:val="22"/>
          <w:szCs w:val="22"/>
          <w:lang w:val="es-ES"/>
        </w:rPr>
        <w:t>La Conferencia de las Partes para la</w:t>
      </w:r>
    </w:p>
    <w:p w14:paraId="1C96C920" w14:textId="77777777" w:rsidR="00B14E59" w:rsidRPr="00B14E59" w:rsidRDefault="00B14E59" w:rsidP="000C157B">
      <w:pPr>
        <w:adjustRightInd w:val="0"/>
        <w:jc w:val="center"/>
        <w:textAlignment w:val="auto"/>
        <w:rPr>
          <w:rFonts w:ascii="Arial" w:hAnsi="Arial" w:cs="Arial"/>
          <w:i/>
          <w:sz w:val="22"/>
          <w:szCs w:val="22"/>
          <w:lang w:val="es-ES"/>
        </w:rPr>
      </w:pPr>
      <w:r w:rsidRPr="00B14E59">
        <w:rPr>
          <w:rFonts w:ascii="Arial" w:hAnsi="Arial" w:cs="Arial"/>
          <w:i/>
          <w:sz w:val="22"/>
          <w:szCs w:val="22"/>
          <w:lang w:val="es-ES"/>
        </w:rPr>
        <w:t>Convención sobre la Conservación de las Especies Migratorias Salvajes</w:t>
      </w:r>
    </w:p>
    <w:p w14:paraId="5FAE97F5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480868D8" w14:textId="77777777" w:rsidR="00B14E59" w:rsidRPr="00B14E59" w:rsidRDefault="00B14E59" w:rsidP="000C157B">
      <w:pPr>
        <w:adjustRightInd w:val="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05AB1451" w14:textId="79C0CA1B" w:rsidR="00B14E59" w:rsidRPr="00B14E59" w:rsidRDefault="00B14E59" w:rsidP="000C157B">
      <w:pPr>
        <w:widowControl/>
        <w:numPr>
          <w:ilvl w:val="0"/>
          <w:numId w:val="1"/>
        </w:numPr>
        <w:autoSpaceDE/>
        <w:autoSpaceDN/>
        <w:adjustRightInd w:val="0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sz w:val="22"/>
          <w:szCs w:val="22"/>
          <w:lang w:val="es-ES"/>
        </w:rPr>
        <w:t>Adopta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el Plan de Acción de Especies Únicas para la tortuga carey (</w:t>
      </w:r>
      <w:proofErr w:type="spellStart"/>
      <w:r w:rsidRPr="00B14E59">
        <w:rPr>
          <w:rFonts w:ascii="Arial" w:hAnsi="Arial" w:cs="Arial"/>
          <w:i/>
          <w:iCs/>
          <w:sz w:val="22"/>
          <w:szCs w:val="22"/>
          <w:lang w:val="es-ES"/>
        </w:rPr>
        <w:t>Eretmochelys</w:t>
      </w:r>
      <w:proofErr w:type="spellEnd"/>
      <w:r w:rsidRPr="00B14E59">
        <w:rPr>
          <w:rFonts w:ascii="Arial" w:hAnsi="Arial" w:cs="Arial"/>
          <w:i/>
          <w:iCs/>
          <w:sz w:val="22"/>
          <w:szCs w:val="22"/>
          <w:lang w:val="es-ES"/>
        </w:rPr>
        <w:t xml:space="preserve"> </w:t>
      </w:r>
      <w:proofErr w:type="spellStart"/>
      <w:r w:rsidRPr="00B14E59">
        <w:rPr>
          <w:rFonts w:ascii="Arial" w:hAnsi="Arial" w:cs="Arial"/>
          <w:i/>
          <w:iCs/>
          <w:sz w:val="22"/>
          <w:szCs w:val="22"/>
          <w:lang w:val="es-ES"/>
        </w:rPr>
        <w:t>imbricata</w:t>
      </w:r>
      <w:proofErr w:type="spellEnd"/>
      <w:r w:rsidRPr="00B14E59">
        <w:rPr>
          <w:rFonts w:ascii="Arial" w:hAnsi="Arial" w:cs="Arial"/>
          <w:sz w:val="22"/>
          <w:szCs w:val="22"/>
          <w:lang w:val="es-ES"/>
        </w:rPr>
        <w:t xml:space="preserve">) en la región del Sudeste Asiático y el Océano Pacífico Occidental, según lo adoptaron </w:t>
      </w:r>
      <w:r w:rsidR="008B6E78">
        <w:rPr>
          <w:rFonts w:ascii="Arial" w:hAnsi="Arial" w:cs="Arial"/>
          <w:sz w:val="22"/>
          <w:szCs w:val="22"/>
          <w:lang w:val="es-ES"/>
        </w:rPr>
        <w:t>cuatro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Estados del Área de Distribución el 2 de junio de 2022 y contenido en el Anexo;</w:t>
      </w:r>
    </w:p>
    <w:p w14:paraId="0F3725D8" w14:textId="77777777" w:rsidR="00B14E59" w:rsidRPr="00B14E59" w:rsidRDefault="00B14E59" w:rsidP="000C157B">
      <w:pPr>
        <w:adjustRightInd w:val="0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51B38EB5" w14:textId="77777777" w:rsidR="00B14E59" w:rsidRPr="00B14E59" w:rsidRDefault="00B14E59" w:rsidP="000C157B">
      <w:pPr>
        <w:widowControl/>
        <w:numPr>
          <w:ilvl w:val="0"/>
          <w:numId w:val="1"/>
        </w:numPr>
        <w:autoSpaceDE/>
        <w:autoSpaceDN/>
        <w:adjustRightInd w:val="0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 xml:space="preserve">insta </w:t>
      </w:r>
      <w:r w:rsidRPr="00B14E59">
        <w:rPr>
          <w:rFonts w:ascii="Arial" w:hAnsi="Arial" w:cs="Arial"/>
          <w:sz w:val="22"/>
          <w:szCs w:val="22"/>
          <w:lang w:val="es-ES"/>
        </w:rPr>
        <w:t>a las Partes del área cubierta por el Plan de Acción de Especies Únicas (SSAP) a llevar a cabo urgentemente medidas para aplicar sus disposiciones;</w:t>
      </w:r>
    </w:p>
    <w:p w14:paraId="70769B47" w14:textId="77777777" w:rsidR="00B14E59" w:rsidRPr="00B14E59" w:rsidRDefault="00B14E59" w:rsidP="000C157B">
      <w:pPr>
        <w:adjustRightInd w:val="0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112FF7B8" w14:textId="77777777" w:rsidR="00B14E59" w:rsidRPr="00B14E59" w:rsidRDefault="00B14E59" w:rsidP="000C157B">
      <w:pPr>
        <w:widowControl/>
        <w:numPr>
          <w:ilvl w:val="0"/>
          <w:numId w:val="1"/>
        </w:numPr>
        <w:autoSpaceDE/>
        <w:autoSpaceDN/>
        <w:adjustRightInd w:val="0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>invita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a los Estados del Área de Distribución No-Partes a adoptar el Plan de Acción;</w:t>
      </w:r>
    </w:p>
    <w:p w14:paraId="783F0A4F" w14:textId="77777777" w:rsidR="00B14E59" w:rsidRPr="00B14E59" w:rsidRDefault="00B14E59" w:rsidP="000C157B">
      <w:pPr>
        <w:adjustRightInd w:val="0"/>
        <w:ind w:left="540" w:hanging="540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257B68F2" w14:textId="4D6BD5B3" w:rsidR="00B14E59" w:rsidRPr="00B14E59" w:rsidRDefault="00B14E59" w:rsidP="000C157B">
      <w:pPr>
        <w:widowControl/>
        <w:numPr>
          <w:ilvl w:val="0"/>
          <w:numId w:val="1"/>
        </w:numPr>
        <w:autoSpaceDE/>
        <w:autoSpaceDN/>
        <w:adjustRightInd w:val="0"/>
        <w:ind w:left="540" w:hanging="54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B14E59">
        <w:rPr>
          <w:rFonts w:ascii="Arial" w:hAnsi="Arial" w:cs="Arial"/>
          <w:i/>
          <w:sz w:val="22"/>
          <w:szCs w:val="22"/>
          <w:lang w:val="es-ES"/>
        </w:rPr>
        <w:t xml:space="preserve">alienta </w:t>
      </w:r>
      <w:r w:rsidRPr="00B14E59">
        <w:rPr>
          <w:rFonts w:ascii="Arial" w:hAnsi="Arial" w:cs="Arial"/>
          <w:iCs/>
          <w:sz w:val="22"/>
          <w:szCs w:val="22"/>
          <w:lang w:val="es-ES"/>
        </w:rPr>
        <w:t>a los Estados del Área de Distribución Partes y No-Partes a proporcionar apoyo técnico y financiero a las actividades descritas en el Plan de Acción</w:t>
      </w:r>
      <w:r w:rsidR="00760284">
        <w:rPr>
          <w:rFonts w:ascii="Arial" w:hAnsi="Arial" w:cs="Arial"/>
          <w:iCs/>
          <w:sz w:val="22"/>
          <w:szCs w:val="22"/>
          <w:lang w:val="es-ES"/>
        </w:rPr>
        <w:t>, según proceda</w:t>
      </w:r>
      <w:r w:rsidRPr="00B14E59">
        <w:rPr>
          <w:rFonts w:ascii="Arial" w:hAnsi="Arial" w:cs="Arial"/>
          <w:iCs/>
          <w:sz w:val="22"/>
          <w:szCs w:val="22"/>
          <w:lang w:val="es-ES"/>
        </w:rPr>
        <w:t>;</w:t>
      </w:r>
    </w:p>
    <w:p w14:paraId="0A75C34A" w14:textId="77777777" w:rsidR="00B14E59" w:rsidRPr="00B14E59" w:rsidRDefault="00B14E59" w:rsidP="000C157B">
      <w:pPr>
        <w:adjustRightInd w:val="0"/>
        <w:ind w:left="540" w:hanging="54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62D1AA46" w14:textId="77777777" w:rsidR="00B14E59" w:rsidRPr="00B14E59" w:rsidRDefault="00B14E59" w:rsidP="000C157B">
      <w:pPr>
        <w:widowControl/>
        <w:numPr>
          <w:ilvl w:val="0"/>
          <w:numId w:val="1"/>
        </w:numPr>
        <w:autoSpaceDE/>
        <w:autoSpaceDN/>
        <w:adjustRightInd w:val="0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B14E59">
        <w:rPr>
          <w:rFonts w:ascii="Arial" w:hAnsi="Arial" w:cs="Arial"/>
          <w:i/>
          <w:iCs/>
          <w:sz w:val="22"/>
          <w:szCs w:val="22"/>
          <w:lang w:val="es-ES"/>
        </w:rPr>
        <w:t xml:space="preserve">invita </w:t>
      </w:r>
      <w:r w:rsidRPr="00B14E59">
        <w:rPr>
          <w:rFonts w:ascii="Arial" w:hAnsi="Arial" w:cs="Arial"/>
          <w:sz w:val="22"/>
          <w:szCs w:val="22"/>
          <w:lang w:val="es-ES"/>
        </w:rPr>
        <w:t xml:space="preserve"> a los organismos gubernamentales y secretarías de otros acuerdos y programas intergubernamentales, como la Convención sobre el Comercio Internacional de Especies Amenazadas de Fauna y Flora Silvestres (CITES) y la Secretaría del Programa Ambiental Regional del Pacífico (SPREP), además de, en la medida en que sea pertinente, la Convención Interamericana para la Protección y la Conservación de las Tortugas Marinas (CIT), a tener en cuenta las disposiciones del Plan de Acción a la hora de realizar sus actividades y de apoyar la puesta en práctica de las actividades del Plan de Acción incluidas en su encargo según proceda; y</w:t>
      </w:r>
    </w:p>
    <w:p w14:paraId="207E28B5" w14:textId="77777777" w:rsidR="00B14E59" w:rsidRPr="00B14E59" w:rsidRDefault="00B14E59" w:rsidP="000C157B">
      <w:pPr>
        <w:adjustRightInd w:val="0"/>
        <w:ind w:left="540" w:hanging="54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22EC6319" w14:textId="77777777" w:rsidR="00B14E59" w:rsidRPr="00B14E59" w:rsidRDefault="00B14E59" w:rsidP="000C157B">
      <w:pPr>
        <w:widowControl/>
        <w:numPr>
          <w:ilvl w:val="0"/>
          <w:numId w:val="1"/>
        </w:numPr>
        <w:autoSpaceDE/>
        <w:autoSpaceDN/>
        <w:adjustRightInd w:val="0"/>
        <w:ind w:left="540" w:hanging="54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B14E59">
        <w:rPr>
          <w:rFonts w:ascii="Arial" w:hAnsi="Arial" w:cs="Arial"/>
          <w:i/>
          <w:sz w:val="22"/>
          <w:szCs w:val="22"/>
          <w:lang w:val="es-ES"/>
        </w:rPr>
        <w:t>pide</w:t>
      </w:r>
      <w:r w:rsidRPr="00B14E59">
        <w:rPr>
          <w:rFonts w:ascii="Arial" w:hAnsi="Arial" w:cs="Arial"/>
          <w:iCs/>
          <w:sz w:val="22"/>
          <w:szCs w:val="22"/>
          <w:lang w:val="es-ES"/>
        </w:rPr>
        <w:t xml:space="preserve"> a la Secretaría que informe del Plan de Acción a todos los Estados del Área de Distribución y organismos intergubernamentales relevantes y que controle la aplicación del Plan de Acción.</w:t>
      </w:r>
    </w:p>
    <w:p w14:paraId="383AE881" w14:textId="77777777" w:rsidR="00D82C56" w:rsidRPr="00FD2360" w:rsidRDefault="00D82C56" w:rsidP="000C157B">
      <w:pPr>
        <w:rPr>
          <w:rFonts w:ascii="Arial" w:hAnsi="Arial" w:cs="Arial"/>
          <w:sz w:val="22"/>
          <w:szCs w:val="22"/>
          <w:lang w:val="es-ES"/>
        </w:rPr>
      </w:pPr>
    </w:p>
    <w:p w14:paraId="46F66146" w14:textId="77777777" w:rsidR="00D82C56" w:rsidRPr="00FD2360" w:rsidRDefault="00D82C56" w:rsidP="000C157B">
      <w:pPr>
        <w:rPr>
          <w:rFonts w:ascii="Arial" w:hAnsi="Arial" w:cs="Arial"/>
          <w:sz w:val="22"/>
          <w:szCs w:val="22"/>
          <w:lang w:val="es-ES"/>
        </w:rPr>
      </w:pPr>
    </w:p>
    <w:p w14:paraId="74FE8E0C" w14:textId="5694AE45" w:rsidR="00EE7459" w:rsidRDefault="00EE7459">
      <w:pPr>
        <w:widowControl/>
        <w:suppressAutoHyphens w:val="0"/>
        <w:autoSpaceDE/>
        <w:spacing w:after="160" w:line="254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14:paraId="13893F90" w14:textId="77777777" w:rsidR="00EE7459" w:rsidRDefault="00FD2360" w:rsidP="00EE7459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lastRenderedPageBreak/>
        <w:t>PROYECTO DE DECISI</w:t>
      </w:r>
      <w:r w:rsidR="00EE7459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13583D86" w:rsidR="00D82C56" w:rsidRDefault="00D82C56" w:rsidP="00EE7459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629483AA" w14:textId="77777777" w:rsidR="00165A5C" w:rsidRPr="00FD2360" w:rsidRDefault="00165A5C" w:rsidP="00EE7459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0C0715F4" w14:textId="77777777" w:rsidR="000C157B" w:rsidRPr="000C157B" w:rsidRDefault="000C157B" w:rsidP="000C157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"/>
        </w:rPr>
      </w:pPr>
      <w:r w:rsidRPr="000C157B">
        <w:rPr>
          <w:rFonts w:ascii="Arial" w:hAnsi="Arial" w:cs="Arial"/>
          <w:b/>
          <w:sz w:val="22"/>
          <w:szCs w:val="22"/>
          <w:lang w:val="es-ES"/>
        </w:rPr>
        <w:t xml:space="preserve">PLAN DE ACCIÓN DE ESPECIES ÚNICAS PARA </w:t>
      </w:r>
      <w:r w:rsidRPr="000C157B">
        <w:rPr>
          <w:rFonts w:ascii="Arial" w:hAnsi="Arial" w:cs="Arial"/>
          <w:b/>
          <w:sz w:val="22"/>
          <w:szCs w:val="22"/>
          <w:lang w:val="es-ES"/>
        </w:rPr>
        <w:br/>
        <w:t>LA TORTUGA CAREY (</w:t>
      </w:r>
      <w:proofErr w:type="spellStart"/>
      <w:r w:rsidRPr="000C157B">
        <w:rPr>
          <w:rFonts w:ascii="Arial" w:hAnsi="Arial" w:cs="Arial"/>
          <w:b/>
          <w:i/>
          <w:iCs/>
          <w:sz w:val="22"/>
          <w:szCs w:val="22"/>
          <w:lang w:val="es-ES"/>
        </w:rPr>
        <w:t>Eretmochelys</w:t>
      </w:r>
      <w:proofErr w:type="spellEnd"/>
      <w:r w:rsidRPr="000C157B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 </w:t>
      </w:r>
      <w:proofErr w:type="spellStart"/>
      <w:r w:rsidRPr="000C157B">
        <w:rPr>
          <w:rFonts w:ascii="Arial" w:hAnsi="Arial" w:cs="Arial"/>
          <w:b/>
          <w:i/>
          <w:iCs/>
          <w:sz w:val="22"/>
          <w:szCs w:val="22"/>
          <w:lang w:val="es-ES"/>
        </w:rPr>
        <w:t>imbricata</w:t>
      </w:r>
      <w:proofErr w:type="spellEnd"/>
      <w:r w:rsidRPr="000C157B">
        <w:rPr>
          <w:rFonts w:ascii="Arial" w:hAnsi="Arial" w:cs="Arial"/>
          <w:b/>
          <w:sz w:val="22"/>
          <w:szCs w:val="22"/>
          <w:lang w:val="es-ES"/>
        </w:rPr>
        <w:t xml:space="preserve">) </w:t>
      </w:r>
      <w:r w:rsidRPr="000C157B">
        <w:rPr>
          <w:rFonts w:ascii="Arial" w:hAnsi="Arial" w:cs="Arial"/>
          <w:b/>
          <w:sz w:val="22"/>
          <w:szCs w:val="22"/>
          <w:lang w:val="es-ES"/>
        </w:rPr>
        <w:br/>
        <w:t>EN LA REGIÓN DEL SUDESTE ASIÁTICO Y EL OCÉANO PACÍFICO OCCIDENTAL</w:t>
      </w:r>
    </w:p>
    <w:p w14:paraId="06E1E69E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2358FEFC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283ADD3E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 las Partes </w:t>
      </w:r>
      <w:r w:rsidRPr="000C157B">
        <w:rPr>
          <w:rFonts w:ascii="Arial" w:eastAsiaTheme="minorHAnsi" w:hAnsi="Arial" w:cs="Arial"/>
          <w:b/>
          <w:i/>
          <w:iCs/>
          <w:sz w:val="22"/>
          <w:szCs w:val="22"/>
          <w:lang w:val="es-ES"/>
        </w:rPr>
        <w:t>que son Estados del Área de Distribución del Plan de Acción de Especies Únicas (SSAP)</w:t>
      </w:r>
    </w:p>
    <w:p w14:paraId="7546693D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9404192" w14:textId="77777777" w:rsidR="000C157B" w:rsidRPr="000C157B" w:rsidRDefault="000C157B" w:rsidP="000C157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0C157B">
        <w:rPr>
          <w:rFonts w:ascii="Arial" w:eastAsiaTheme="minorHAnsi" w:hAnsi="Arial" w:cs="Arial"/>
          <w:sz w:val="22"/>
          <w:szCs w:val="22"/>
          <w:lang w:val="es-ES"/>
        </w:rPr>
        <w:tab/>
        <w:t xml:space="preserve">Se solicita a las Partes </w:t>
      </w:r>
      <w:bookmarkStart w:id="1" w:name="_Hlk133498544"/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 xml:space="preserve">que son Estados del Área de Distribución del SSAP </w:t>
      </w:r>
      <w:bookmarkEnd w:id="1"/>
      <w:r w:rsidRPr="000C157B">
        <w:rPr>
          <w:rFonts w:ascii="Arial" w:eastAsiaTheme="minorHAnsi" w:hAnsi="Arial" w:cs="Arial"/>
          <w:sz w:val="22"/>
          <w:szCs w:val="22"/>
          <w:lang w:val="es-ES"/>
        </w:rPr>
        <w:t>que:</w:t>
      </w:r>
    </w:p>
    <w:p w14:paraId="212053FC" w14:textId="77777777" w:rsidR="000C157B" w:rsidRPr="000C157B" w:rsidRDefault="000C157B" w:rsidP="000C157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042AB22" w14:textId="77777777" w:rsidR="000C157B" w:rsidRPr="000C157B" w:rsidRDefault="000C157B" w:rsidP="00165A5C">
      <w:pPr>
        <w:widowControl/>
        <w:numPr>
          <w:ilvl w:val="0"/>
          <w:numId w:val="2"/>
        </w:numPr>
        <w:autoSpaceDE/>
        <w:autoSpaceDN/>
        <w:adjustRightInd w:val="0"/>
        <w:spacing w:after="8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 xml:space="preserve">como está previsto en las </w:t>
      </w:r>
      <w:proofErr w:type="spellStart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>Suggestions</w:t>
      </w:r>
      <w:proofErr w:type="spellEnd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for a </w:t>
      </w:r>
      <w:proofErr w:type="spellStart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>Governance</w:t>
      </w:r>
      <w:proofErr w:type="spellEnd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</w:t>
      </w:r>
      <w:proofErr w:type="spellStart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>Structure</w:t>
      </w:r>
      <w:proofErr w:type="spellEnd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</w:t>
      </w:r>
      <w:proofErr w:type="spellStart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>to</w:t>
      </w:r>
      <w:proofErr w:type="spellEnd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Support the </w:t>
      </w:r>
      <w:proofErr w:type="spellStart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>Implementation</w:t>
      </w:r>
      <w:proofErr w:type="spellEnd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of the Single </w:t>
      </w:r>
      <w:proofErr w:type="spellStart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>Species</w:t>
      </w:r>
      <w:proofErr w:type="spellEnd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</w:t>
      </w:r>
      <w:proofErr w:type="spellStart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>Action</w:t>
      </w:r>
      <w:proofErr w:type="spellEnd"/>
      <w:r w:rsidRPr="000C157B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Plan (Sugerencias para una estructura de gobernanza que apoye la aplicación del Plan de Acción para una Especie Única)</w:t>
      </w:r>
      <w:r w:rsidRPr="000C157B">
        <w:rPr>
          <w:rFonts w:ascii="Arial" w:eastAsiaTheme="minorHAnsi" w:hAnsi="Arial" w:cs="Arial"/>
          <w:sz w:val="22"/>
          <w:szCs w:val="22"/>
          <w:lang w:val="es-ES"/>
        </w:rPr>
        <w:t xml:space="preserve"> del CMS/IOSEA/</w:t>
      </w:r>
      <w:proofErr w:type="spellStart"/>
      <w:r w:rsidRPr="000C157B">
        <w:rPr>
          <w:rFonts w:ascii="Arial" w:eastAsiaTheme="minorHAnsi" w:hAnsi="Arial" w:cs="Arial"/>
          <w:sz w:val="22"/>
          <w:szCs w:val="22"/>
          <w:lang w:val="es-ES"/>
        </w:rPr>
        <w:t>Hawksbill</w:t>
      </w:r>
      <w:proofErr w:type="spellEnd"/>
      <w:r w:rsidRPr="000C157B">
        <w:rPr>
          <w:rFonts w:ascii="Arial" w:eastAsiaTheme="minorHAnsi" w:hAnsi="Arial" w:cs="Arial"/>
          <w:sz w:val="22"/>
          <w:szCs w:val="22"/>
          <w:lang w:val="es-ES"/>
        </w:rPr>
        <w:t xml:space="preserve">-SSAP/Doc.8, </w:t>
      </w:r>
    </w:p>
    <w:p w14:paraId="48AC2738" w14:textId="77777777" w:rsidR="000C157B" w:rsidRPr="000C157B" w:rsidRDefault="000C157B" w:rsidP="00165A5C">
      <w:pPr>
        <w:widowControl/>
        <w:numPr>
          <w:ilvl w:val="2"/>
          <w:numId w:val="2"/>
        </w:numPr>
        <w:autoSpaceDE/>
        <w:autoSpaceDN/>
        <w:adjustRightInd w:val="0"/>
        <w:spacing w:after="80"/>
        <w:ind w:left="1800" w:hanging="36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>nombren a un representante del gobierno nacional (punto focal) y a un experto nacional por cada Estado del Área de Distribución para formar parte del Grupo Directivo y apoyen las actividades de dicho grupo, en particular proporcionando informes periódicos sobre la aplicación del SSAP;</w:t>
      </w:r>
    </w:p>
    <w:p w14:paraId="0F697087" w14:textId="77777777" w:rsidR="000C157B" w:rsidRPr="000C157B" w:rsidRDefault="000C157B" w:rsidP="00165A5C">
      <w:pPr>
        <w:widowControl/>
        <w:numPr>
          <w:ilvl w:val="2"/>
          <w:numId w:val="2"/>
        </w:numPr>
        <w:autoSpaceDE/>
        <w:autoSpaceDN/>
        <w:adjustRightInd w:val="0"/>
        <w:spacing w:after="80"/>
        <w:ind w:left="1800" w:hanging="36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>establezcan Grupos de Trabajo Nacionales compuestos de puntos focales nacionales, partes interesadas locales y científicos, especialmente aquellos que participarían en la aplicación de las acciones;</w:t>
      </w:r>
    </w:p>
    <w:p w14:paraId="5B0EB512" w14:textId="77777777" w:rsidR="000C157B" w:rsidRPr="000C157B" w:rsidRDefault="000C157B" w:rsidP="000C157B">
      <w:pPr>
        <w:widowControl/>
        <w:numPr>
          <w:ilvl w:val="2"/>
          <w:numId w:val="2"/>
        </w:numPr>
        <w:autoSpaceDE/>
        <w:autoSpaceDN/>
        <w:adjustRightInd w:val="0"/>
        <w:ind w:left="1800" w:hanging="36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>desarrollen un plan de trabajo nacional centrado en las acciones prioritarias relevantes para cada país o territorio;</w:t>
      </w:r>
    </w:p>
    <w:p w14:paraId="5E455F0F" w14:textId="77777777" w:rsidR="000C157B" w:rsidRPr="000C157B" w:rsidRDefault="000C157B" w:rsidP="000C157B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4DA7893B" w14:textId="767443FF" w:rsidR="000C157B" w:rsidRPr="00760284" w:rsidRDefault="00760284" w:rsidP="00213188">
      <w:pPr>
        <w:widowControl/>
        <w:numPr>
          <w:ilvl w:val="0"/>
          <w:numId w:val="2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760284">
        <w:rPr>
          <w:rFonts w:ascii="Arial" w:eastAsiaTheme="minorHAnsi" w:hAnsi="Arial" w:cs="Arial"/>
          <w:sz w:val="22"/>
          <w:szCs w:val="22"/>
          <w:lang w:val="es-ES"/>
        </w:rPr>
        <w:t>aborden</w:t>
      </w:r>
      <w:r w:rsidR="000C157B" w:rsidRPr="00760284">
        <w:rPr>
          <w:rFonts w:ascii="Arial" w:eastAsiaTheme="minorHAnsi" w:hAnsi="Arial" w:cs="Arial"/>
          <w:sz w:val="22"/>
          <w:szCs w:val="22"/>
          <w:lang w:val="es-ES"/>
        </w:rPr>
        <w:t xml:space="preserve"> con carácter prioritario</w:t>
      </w:r>
      <w:r w:rsidRPr="00760284">
        <w:rPr>
          <w:rFonts w:ascii="Arial" w:eastAsiaTheme="minorHAnsi" w:hAnsi="Arial" w:cs="Arial"/>
          <w:sz w:val="22"/>
          <w:szCs w:val="22"/>
          <w:lang w:val="es-ES"/>
        </w:rPr>
        <w:t>, en función de la disponibilidad de recursos,</w:t>
      </w:r>
      <w:r w:rsidR="000C157B" w:rsidRPr="00760284">
        <w:rPr>
          <w:rFonts w:ascii="Arial" w:eastAsiaTheme="minorHAnsi" w:hAnsi="Arial" w:cs="Arial"/>
          <w:sz w:val="22"/>
          <w:szCs w:val="22"/>
          <w:lang w:val="es-ES"/>
        </w:rPr>
        <w:t xml:space="preserve"> las </w:t>
      </w:r>
      <w:r w:rsidRPr="00760284">
        <w:rPr>
          <w:rFonts w:ascii="Arial" w:eastAsiaTheme="minorHAnsi" w:hAnsi="Arial" w:cs="Arial"/>
          <w:sz w:val="22"/>
          <w:szCs w:val="22"/>
          <w:lang w:val="es-ES"/>
        </w:rPr>
        <w:t>actividades esenciales y de alta prioridad contenidas en el</w:t>
      </w:r>
      <w:r w:rsidR="000C157B" w:rsidRPr="00760284">
        <w:rPr>
          <w:rFonts w:ascii="Arial" w:eastAsiaTheme="minorHAnsi" w:hAnsi="Arial" w:cs="Arial"/>
          <w:sz w:val="22"/>
          <w:szCs w:val="22"/>
          <w:lang w:val="es-ES"/>
        </w:rPr>
        <w:t xml:space="preserve"> SSAP </w:t>
      </w:r>
      <w:r w:rsidRPr="00760284">
        <w:rPr>
          <w:rFonts w:ascii="Arial" w:eastAsiaTheme="minorHAnsi" w:hAnsi="Arial" w:cs="Arial"/>
          <w:sz w:val="22"/>
          <w:szCs w:val="22"/>
          <w:lang w:val="es-ES"/>
        </w:rPr>
        <w:t>lo antes posible</w:t>
      </w:r>
      <w:r w:rsidR="000C157B" w:rsidRPr="00760284">
        <w:rPr>
          <w:rFonts w:ascii="Arial" w:eastAsiaTheme="minorHAnsi" w:hAnsi="Arial" w:cs="Arial"/>
          <w:sz w:val="22"/>
          <w:szCs w:val="22"/>
          <w:lang w:val="es-ES"/>
        </w:rPr>
        <w:t xml:space="preserve"> y </w:t>
      </w:r>
      <w:r w:rsidRPr="00760284">
        <w:rPr>
          <w:rFonts w:ascii="Arial" w:eastAsiaTheme="minorHAnsi" w:hAnsi="Arial" w:cs="Arial"/>
          <w:sz w:val="22"/>
          <w:szCs w:val="22"/>
          <w:lang w:val="es-ES"/>
        </w:rPr>
        <w:t>tomen en consideración las actividades</w:t>
      </w:r>
      <w:r>
        <w:rPr>
          <w:rFonts w:ascii="Arial" w:eastAsiaTheme="minorHAnsi" w:hAnsi="Arial" w:cs="Arial"/>
          <w:sz w:val="22"/>
          <w:szCs w:val="22"/>
          <w:lang w:val="es-ES"/>
        </w:rPr>
        <w:t xml:space="preserve"> de prioridad media pertinentes en sus planes nacionales;</w:t>
      </w:r>
    </w:p>
    <w:p w14:paraId="7AA17F96" w14:textId="77777777" w:rsidR="00760284" w:rsidRPr="00760284" w:rsidRDefault="00760284" w:rsidP="00760284">
      <w:pPr>
        <w:widowControl/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2F487659" w14:textId="77777777" w:rsidR="000C157B" w:rsidRPr="000C157B" w:rsidRDefault="000C157B" w:rsidP="000C157B">
      <w:pPr>
        <w:widowControl/>
        <w:numPr>
          <w:ilvl w:val="0"/>
          <w:numId w:val="2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alienten de forma activa a los Estados del Área de Distribución No-Partes a adoptar el SSAP para su uso.</w:t>
      </w:r>
    </w:p>
    <w:p w14:paraId="09F10CFA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F8B81B9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Estados del Área de Distribución No-Partes</w:t>
      </w:r>
    </w:p>
    <w:p w14:paraId="25FC8B2C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473DF4A" w14:textId="77777777" w:rsidR="000C157B" w:rsidRPr="000C157B" w:rsidRDefault="000C157B" w:rsidP="000C157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0C157B">
        <w:rPr>
          <w:rFonts w:ascii="Arial" w:eastAsiaTheme="minorHAnsi" w:hAnsi="Arial" w:cs="Arial"/>
          <w:sz w:val="22"/>
          <w:szCs w:val="22"/>
          <w:lang w:val="es-ES"/>
        </w:rPr>
        <w:tab/>
        <w:t>Se alienta a los Estados del Área de Distribución No-Partes a que:</w:t>
      </w:r>
    </w:p>
    <w:p w14:paraId="4C49FE96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DB89F20" w14:textId="77777777" w:rsidR="000C157B" w:rsidRPr="000C157B" w:rsidRDefault="000C157B" w:rsidP="000C157B">
      <w:pPr>
        <w:widowControl/>
        <w:numPr>
          <w:ilvl w:val="0"/>
          <w:numId w:val="3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adopten el SSAP;</w:t>
      </w:r>
    </w:p>
    <w:p w14:paraId="3EBD7846" w14:textId="77777777" w:rsidR="000C157B" w:rsidRPr="000C157B" w:rsidRDefault="000C157B" w:rsidP="000C157B">
      <w:pPr>
        <w:adjustRightInd w:val="0"/>
        <w:ind w:left="108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5BBF39E" w14:textId="77777777" w:rsidR="000C157B" w:rsidRPr="000C157B" w:rsidRDefault="000C157B" w:rsidP="00165A5C">
      <w:pPr>
        <w:widowControl/>
        <w:numPr>
          <w:ilvl w:val="0"/>
          <w:numId w:val="3"/>
        </w:numPr>
        <w:autoSpaceDE/>
        <w:autoSpaceDN/>
        <w:adjustRightInd w:val="0"/>
        <w:spacing w:after="8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 xml:space="preserve">una vez adoptado el SSAP, </w:t>
      </w:r>
    </w:p>
    <w:p w14:paraId="167DB43D" w14:textId="77777777" w:rsidR="000C157B" w:rsidRPr="000C157B" w:rsidRDefault="000C157B" w:rsidP="00165A5C">
      <w:pPr>
        <w:widowControl/>
        <w:numPr>
          <w:ilvl w:val="2"/>
          <w:numId w:val="3"/>
        </w:numPr>
        <w:autoSpaceDE/>
        <w:autoSpaceDN/>
        <w:adjustRightInd w:val="0"/>
        <w:spacing w:after="80"/>
        <w:ind w:left="18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>nombren a un representante del gobierno nacional (punto focal) y un experto nacional por cada Estado del Área de Distribución para que formen parte del Grupo Directivo;</w:t>
      </w:r>
    </w:p>
    <w:p w14:paraId="6F7858B5" w14:textId="77777777" w:rsidR="000C157B" w:rsidRPr="000C157B" w:rsidRDefault="000C157B" w:rsidP="00165A5C">
      <w:pPr>
        <w:widowControl/>
        <w:numPr>
          <w:ilvl w:val="2"/>
          <w:numId w:val="3"/>
        </w:numPr>
        <w:autoSpaceDE/>
        <w:autoSpaceDN/>
        <w:adjustRightInd w:val="0"/>
        <w:spacing w:after="80"/>
        <w:ind w:left="18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>establezcan Grupos de Trabajo Nacionales compuestos de puntos focales nacionales, partes interesadas locales y científicos, especialmente aquellos que participarían en la aplicación de las acciones;</w:t>
      </w:r>
    </w:p>
    <w:p w14:paraId="76EFFBB5" w14:textId="77777777" w:rsidR="000C157B" w:rsidRPr="000C157B" w:rsidRDefault="000C157B" w:rsidP="000C157B">
      <w:pPr>
        <w:widowControl/>
        <w:numPr>
          <w:ilvl w:val="2"/>
          <w:numId w:val="3"/>
        </w:numPr>
        <w:autoSpaceDE/>
        <w:autoSpaceDN/>
        <w:adjustRightInd w:val="0"/>
        <w:ind w:left="18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>apliquen de manera urgente acciones de ejecución inmediata y que deban concretarse en tres años y comiencen a aplicar aquellas que deban concretarse en cinco años.</w:t>
      </w:r>
    </w:p>
    <w:p w14:paraId="6F983494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D260C46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b/>
          <w:i/>
          <w:sz w:val="22"/>
          <w:szCs w:val="22"/>
          <w:lang w:val="es-ES"/>
        </w:rPr>
        <w:lastRenderedPageBreak/>
        <w:t>Dirigido a las organizaciones intergubernamentales y no gubernamentales</w:t>
      </w:r>
    </w:p>
    <w:p w14:paraId="77B1B2AB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72030C5" w14:textId="77777777" w:rsidR="000C157B" w:rsidRPr="000C157B" w:rsidRDefault="000C157B" w:rsidP="000C157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0C157B">
        <w:rPr>
          <w:rFonts w:ascii="Arial" w:eastAsiaTheme="minorHAnsi" w:hAnsi="Arial" w:cs="Arial"/>
          <w:sz w:val="22"/>
          <w:szCs w:val="22"/>
          <w:lang w:val="es-ES"/>
        </w:rPr>
        <w:tab/>
        <w:t>Se alienta a las organizaciones intergubernamentales y no gubernamentales a proporcionar apoyo técnico y financiero para la aplicación del SSAP.</w:t>
      </w:r>
    </w:p>
    <w:p w14:paraId="28FBF013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435E224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al Consejo Científico </w:t>
      </w:r>
    </w:p>
    <w:p w14:paraId="023165BC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C188AEE" w14:textId="77777777" w:rsidR="000C157B" w:rsidRPr="000C157B" w:rsidRDefault="000C157B" w:rsidP="000C157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14.DD</w:t>
      </w:r>
      <w:r w:rsidRPr="000C157B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Científico:</w:t>
      </w:r>
    </w:p>
    <w:p w14:paraId="149697B2" w14:textId="77777777" w:rsidR="000C157B" w:rsidRPr="000C157B" w:rsidRDefault="000C157B" w:rsidP="000C157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04639DD" w14:textId="77777777" w:rsidR="000C157B" w:rsidRPr="000C157B" w:rsidRDefault="000C157B" w:rsidP="000C157B">
      <w:pPr>
        <w:widowControl/>
        <w:numPr>
          <w:ilvl w:val="0"/>
          <w:numId w:val="4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tener en consideración el informe recibido del Grupo Directivo sobre la aplicación del Plan de Acción, como está previsto en el documento CMS/IOSEA/</w:t>
      </w:r>
      <w:proofErr w:type="spellStart"/>
      <w:r w:rsidRPr="000C157B">
        <w:rPr>
          <w:rFonts w:ascii="Arial" w:eastAsiaTheme="minorHAnsi" w:hAnsi="Arial" w:cs="Arial"/>
          <w:sz w:val="22"/>
          <w:szCs w:val="22"/>
          <w:lang w:val="es-ES"/>
        </w:rPr>
        <w:t>Hawksbill</w:t>
      </w:r>
      <w:proofErr w:type="spellEnd"/>
      <w:r w:rsidRPr="000C157B">
        <w:rPr>
          <w:rFonts w:ascii="Arial" w:eastAsiaTheme="minorHAnsi" w:hAnsi="Arial" w:cs="Arial"/>
          <w:sz w:val="22"/>
          <w:szCs w:val="22"/>
          <w:lang w:val="es-ES"/>
        </w:rPr>
        <w:t>-SSAP/Doc.8;</w:t>
      </w:r>
    </w:p>
    <w:p w14:paraId="5126C7F3" w14:textId="77777777" w:rsidR="000C157B" w:rsidRPr="000C157B" w:rsidRDefault="000C157B" w:rsidP="000C157B">
      <w:pPr>
        <w:adjustRightInd w:val="0"/>
        <w:ind w:left="108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7D18812" w14:textId="77777777" w:rsidR="000C157B" w:rsidRPr="000C157B" w:rsidRDefault="000C157B" w:rsidP="000C157B">
      <w:pPr>
        <w:widowControl/>
        <w:numPr>
          <w:ilvl w:val="0"/>
          <w:numId w:val="4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aportar directrices sobre la futura aplicación del Plan de Acción en la COP15.</w:t>
      </w:r>
    </w:p>
    <w:p w14:paraId="1C5E0FBB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5F8E2FB4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6CC90420" w14:textId="77777777" w:rsidR="000C157B" w:rsidRPr="000C157B" w:rsidRDefault="000C157B" w:rsidP="000C157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6B02380" w14:textId="77777777" w:rsidR="000C157B" w:rsidRPr="000C157B" w:rsidRDefault="000C157B" w:rsidP="000C157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14.EE</w:t>
      </w:r>
      <w:r w:rsidRPr="000C157B">
        <w:rPr>
          <w:rFonts w:ascii="Arial" w:eastAsiaTheme="minorHAnsi" w:hAnsi="Arial" w:cs="Arial"/>
          <w:sz w:val="22"/>
          <w:szCs w:val="22"/>
          <w:lang w:val="es-ES"/>
        </w:rPr>
        <w:tab/>
        <w:t>En función de los recursos externos disponibles, la Secretaría deberá:</w:t>
      </w:r>
    </w:p>
    <w:p w14:paraId="5E4EEAA5" w14:textId="77777777" w:rsidR="000C157B" w:rsidRPr="000C157B" w:rsidRDefault="000C157B" w:rsidP="000C157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148CB39B" w14:textId="77777777" w:rsidR="000C157B" w:rsidRPr="000C157B" w:rsidRDefault="000C157B" w:rsidP="000C157B">
      <w:pPr>
        <w:widowControl/>
        <w:numPr>
          <w:ilvl w:val="0"/>
          <w:numId w:val="5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iCs/>
          <w:sz w:val="22"/>
          <w:szCs w:val="22"/>
          <w:lang w:val="es-ES"/>
        </w:rPr>
        <w:t>alentar a los Estados del Área de Distribución No-Partes a adoptar el Plan de Acción para su uso;</w:t>
      </w:r>
    </w:p>
    <w:p w14:paraId="74D2F7DA" w14:textId="77777777" w:rsidR="000C157B" w:rsidRPr="000C157B" w:rsidRDefault="000C157B" w:rsidP="000C157B">
      <w:pPr>
        <w:adjustRightInd w:val="0"/>
        <w:ind w:left="108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C7B6F63" w14:textId="77777777" w:rsidR="000C157B" w:rsidRPr="000C157B" w:rsidRDefault="000C157B" w:rsidP="000C157B">
      <w:pPr>
        <w:widowControl/>
        <w:numPr>
          <w:ilvl w:val="0"/>
          <w:numId w:val="5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prestar apoyo a los estados que hayan adoptado el Plan de Acción para que lo apliquen facilitando reuniones del Grupo Directivo;</w:t>
      </w:r>
    </w:p>
    <w:p w14:paraId="066D1949" w14:textId="77777777" w:rsidR="000C157B" w:rsidRPr="000C157B" w:rsidRDefault="000C157B" w:rsidP="000C157B">
      <w:pPr>
        <w:adjustRightInd w:val="0"/>
        <w:ind w:left="108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26FC3B6" w14:textId="77777777" w:rsidR="000C157B" w:rsidRPr="000C157B" w:rsidRDefault="000C157B" w:rsidP="000C157B">
      <w:pPr>
        <w:widowControl/>
        <w:numPr>
          <w:ilvl w:val="0"/>
          <w:numId w:val="5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desarrollar un formulario de notificación que permita al Grupo Directivo del Plan de Acción y al Consejo Científico evaluar el progreso en la aplicación del Plan de Acción;</w:t>
      </w:r>
    </w:p>
    <w:p w14:paraId="34B3EDD1" w14:textId="77777777" w:rsidR="000C157B" w:rsidRPr="000C157B" w:rsidRDefault="000C157B" w:rsidP="000C157B">
      <w:pPr>
        <w:adjustRightInd w:val="0"/>
        <w:ind w:left="108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5B73673" w14:textId="77777777" w:rsidR="000C157B" w:rsidRPr="000C157B" w:rsidRDefault="000C157B" w:rsidP="000C157B">
      <w:pPr>
        <w:widowControl/>
        <w:numPr>
          <w:ilvl w:val="0"/>
          <w:numId w:val="5"/>
        </w:numPr>
        <w:autoSpaceDE/>
        <w:autoSpaceDN/>
        <w:adjustRightInd w:val="0"/>
        <w:ind w:left="10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C157B">
        <w:rPr>
          <w:rFonts w:ascii="Arial" w:eastAsiaTheme="minorHAnsi" w:hAnsi="Arial" w:cs="Arial"/>
          <w:sz w:val="22"/>
          <w:szCs w:val="22"/>
          <w:lang w:val="es-ES"/>
        </w:rPr>
        <w:t>elaborar un informe para el Consejo Científico en la 8.</w:t>
      </w:r>
      <w:r w:rsidRPr="000C157B">
        <w:rPr>
          <w:rFonts w:ascii="Arial" w:eastAsiaTheme="minorHAnsi" w:hAnsi="Arial" w:cs="Arial"/>
          <w:sz w:val="22"/>
          <w:szCs w:val="22"/>
          <w:vertAlign w:val="superscript"/>
          <w:lang w:val="es-ES"/>
        </w:rPr>
        <w:t>a</w:t>
      </w:r>
      <w:r w:rsidRPr="000C157B">
        <w:rPr>
          <w:rFonts w:ascii="Arial" w:eastAsiaTheme="minorHAnsi" w:hAnsi="Arial" w:cs="Arial"/>
          <w:sz w:val="22"/>
          <w:szCs w:val="22"/>
          <w:lang w:val="es-ES"/>
        </w:rPr>
        <w:t xml:space="preserve"> reunión del Comité del Período de Sesiones y la COP15 sobre el progreso de la aplicación del Plan de Acción.</w:t>
      </w:r>
    </w:p>
    <w:p w14:paraId="7D13B44A" w14:textId="77777777" w:rsidR="00D82C56" w:rsidRPr="00FD2360" w:rsidRDefault="00D82C56" w:rsidP="000C157B">
      <w:pPr>
        <w:rPr>
          <w:rFonts w:ascii="Arial" w:hAnsi="Arial" w:cs="Arial"/>
          <w:sz w:val="22"/>
          <w:szCs w:val="22"/>
          <w:lang w:val="es-ES"/>
        </w:rPr>
      </w:pPr>
    </w:p>
    <w:p w14:paraId="77F883D9" w14:textId="77777777" w:rsidR="00D82C56" w:rsidRPr="00FD2360" w:rsidRDefault="00D82C56" w:rsidP="000C157B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0C157B">
      <w:pPr>
        <w:rPr>
          <w:rFonts w:ascii="Arial" w:hAnsi="Arial" w:cs="Arial"/>
          <w:lang w:val="es-ES"/>
        </w:rPr>
      </w:pPr>
    </w:p>
    <w:sectPr w:rsidR="00227282" w:rsidRPr="00FD2360" w:rsidSect="000927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C02D" w14:textId="77777777" w:rsidR="000927C4" w:rsidRDefault="000927C4">
      <w:r>
        <w:separator/>
      </w:r>
    </w:p>
  </w:endnote>
  <w:endnote w:type="continuationSeparator" w:id="0">
    <w:p w14:paraId="65EA3C75" w14:textId="77777777" w:rsidR="000927C4" w:rsidRDefault="000927C4">
      <w:r>
        <w:continuationSeparator/>
      </w:r>
    </w:p>
  </w:endnote>
  <w:endnote w:type="continuationNotice" w:id="1">
    <w:p w14:paraId="31EFB498" w14:textId="77777777" w:rsidR="000927C4" w:rsidRDefault="00092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E765" w14:textId="77777777" w:rsidR="000927C4" w:rsidRDefault="000927C4">
      <w:r>
        <w:rPr>
          <w:color w:val="000000"/>
        </w:rPr>
        <w:separator/>
      </w:r>
    </w:p>
  </w:footnote>
  <w:footnote w:type="continuationSeparator" w:id="0">
    <w:p w14:paraId="65A6ED62" w14:textId="77777777" w:rsidR="000927C4" w:rsidRDefault="000927C4">
      <w:r>
        <w:continuationSeparator/>
      </w:r>
    </w:p>
  </w:footnote>
  <w:footnote w:type="continuationNotice" w:id="1">
    <w:p w14:paraId="6EEFE782" w14:textId="77777777" w:rsidR="000927C4" w:rsidRDefault="00092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2702642D" w:rsidR="0041439A" w:rsidRPr="00705B39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705B39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705B39">
      <w:rPr>
        <w:rFonts w:ascii="Arial" w:hAnsi="Arial" w:cs="Arial"/>
        <w:i/>
        <w:sz w:val="18"/>
        <w:szCs w:val="18"/>
        <w:lang w:val="en-GB"/>
      </w:rPr>
      <w:t>4</w:t>
    </w:r>
    <w:r w:rsidRPr="00705B39">
      <w:rPr>
        <w:rFonts w:ascii="Arial" w:hAnsi="Arial" w:cs="Arial"/>
        <w:i/>
        <w:sz w:val="18"/>
        <w:szCs w:val="18"/>
        <w:lang w:val="en-GB"/>
      </w:rPr>
      <w:t>/CRP</w:t>
    </w:r>
    <w:r w:rsidR="000C157B" w:rsidRPr="00705B39">
      <w:rPr>
        <w:rFonts w:ascii="Arial" w:hAnsi="Arial" w:cs="Arial"/>
        <w:i/>
        <w:sz w:val="18"/>
        <w:szCs w:val="18"/>
        <w:lang w:val="en-GB"/>
      </w:rPr>
      <w:t>27.6.2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1402DBDB" w:rsidR="0041439A" w:rsidRPr="00EE7459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EE7459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EE7459">
      <w:rPr>
        <w:rFonts w:ascii="Arial" w:hAnsi="Arial" w:cs="Arial"/>
        <w:i/>
        <w:sz w:val="18"/>
        <w:szCs w:val="18"/>
        <w:lang w:val="en-GB"/>
      </w:rPr>
      <w:t>4</w:t>
    </w:r>
    <w:r w:rsidRPr="00EE7459">
      <w:rPr>
        <w:rFonts w:ascii="Arial" w:hAnsi="Arial" w:cs="Arial"/>
        <w:i/>
        <w:sz w:val="18"/>
        <w:szCs w:val="18"/>
        <w:lang w:val="en-GB"/>
      </w:rPr>
      <w:t>/CRP</w:t>
    </w:r>
    <w:r w:rsidR="000C157B" w:rsidRPr="00EE7459">
      <w:rPr>
        <w:rFonts w:ascii="Arial" w:hAnsi="Arial" w:cs="Arial"/>
        <w:i/>
        <w:sz w:val="18"/>
        <w:szCs w:val="18"/>
        <w:lang w:val="en-GB"/>
      </w:rPr>
      <w:t>27.6.2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54A271B9" w:rsidR="007A1066" w:rsidRPr="00705B39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705B39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705B39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705B39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D4376A" w:rsidRPr="00705B39">
      <w:rPr>
        <w:rFonts w:ascii="Arial" w:hAnsi="Arial" w:cs="Arial"/>
        <w:bCs/>
        <w:i/>
        <w:iCs/>
        <w:sz w:val="18"/>
        <w:szCs w:val="18"/>
        <w:lang w:val="en-GB"/>
      </w:rPr>
      <w:t>27.6.2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F21"/>
    <w:multiLevelType w:val="hybridMultilevel"/>
    <w:tmpl w:val="C9766B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24826BE">
      <w:start w:val="1"/>
      <w:numFmt w:val="lowerRoman"/>
      <w:lvlText w:val="%3)"/>
      <w:lvlJc w:val="right"/>
      <w:pPr>
        <w:ind w:left="2623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759F"/>
    <w:multiLevelType w:val="hybridMultilevel"/>
    <w:tmpl w:val="A9E42A92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424826BE">
      <w:start w:val="1"/>
      <w:numFmt w:val="lowerRoman"/>
      <w:lvlText w:val="%3)"/>
      <w:lvlJc w:val="right"/>
      <w:pPr>
        <w:ind w:left="2443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28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249100">
    <w:abstractNumId w:val="1"/>
  </w:num>
  <w:num w:numId="3" w16cid:durableId="1167790923">
    <w:abstractNumId w:val="0"/>
  </w:num>
  <w:num w:numId="4" w16cid:durableId="990016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91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500C9"/>
    <w:rsid w:val="000927C4"/>
    <w:rsid w:val="000B0D60"/>
    <w:rsid w:val="000C157B"/>
    <w:rsid w:val="001125D7"/>
    <w:rsid w:val="00165A5C"/>
    <w:rsid w:val="002243FE"/>
    <w:rsid w:val="00227282"/>
    <w:rsid w:val="002762A5"/>
    <w:rsid w:val="002B74D0"/>
    <w:rsid w:val="003F1AD8"/>
    <w:rsid w:val="0041439A"/>
    <w:rsid w:val="0043102F"/>
    <w:rsid w:val="00452EFF"/>
    <w:rsid w:val="005645C4"/>
    <w:rsid w:val="0058757D"/>
    <w:rsid w:val="005D43E4"/>
    <w:rsid w:val="005F0639"/>
    <w:rsid w:val="005F08CB"/>
    <w:rsid w:val="0060394F"/>
    <w:rsid w:val="00616063"/>
    <w:rsid w:val="006E320B"/>
    <w:rsid w:val="00705B39"/>
    <w:rsid w:val="00760284"/>
    <w:rsid w:val="007A1066"/>
    <w:rsid w:val="008B6E78"/>
    <w:rsid w:val="00913158"/>
    <w:rsid w:val="00A2443A"/>
    <w:rsid w:val="00AA138B"/>
    <w:rsid w:val="00B11327"/>
    <w:rsid w:val="00B14E59"/>
    <w:rsid w:val="00D4376A"/>
    <w:rsid w:val="00D50F95"/>
    <w:rsid w:val="00D82C56"/>
    <w:rsid w:val="00E45B44"/>
    <w:rsid w:val="00E829C9"/>
    <w:rsid w:val="00ED41D7"/>
    <w:rsid w:val="00EE1465"/>
    <w:rsid w:val="00EE7459"/>
    <w:rsid w:val="00F14E6F"/>
    <w:rsid w:val="00FA0921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60394F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12</cp:revision>
  <cp:lastPrinted>2020-02-03T15:02:00Z</cp:lastPrinted>
  <dcterms:created xsi:type="dcterms:W3CDTF">2024-02-14T19:12:00Z</dcterms:created>
  <dcterms:modified xsi:type="dcterms:W3CDTF">2024-02-14T20:16:00Z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