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0C30" w14:textId="77777777" w:rsidR="006E30E3" w:rsidRPr="006E30E3" w:rsidRDefault="006E30E3" w:rsidP="00345FD2">
      <w:pPr>
        <w:spacing w:after="120"/>
        <w:jc w:val="center"/>
        <w:rPr>
          <w:rFonts w:ascii="Arial" w:hAnsi="Arial" w:cs="Arial"/>
          <w:b/>
          <w:sz w:val="22"/>
          <w:szCs w:val="22"/>
          <w:lang w:val="es-ES"/>
        </w:rPr>
      </w:pPr>
      <w:r w:rsidRPr="006E30E3">
        <w:rPr>
          <w:rFonts w:ascii="Arial" w:hAnsi="Arial" w:cs="Arial"/>
          <w:b/>
          <w:bCs/>
          <w:sz w:val="22"/>
          <w:szCs w:val="22"/>
          <w:lang w:val="es-ES"/>
        </w:rPr>
        <w:t>PRIORIDADES DE CONSERVACIÓN PARA LOS CETÁCEOS</w:t>
      </w:r>
    </w:p>
    <w:p w14:paraId="77BA811D" w14:textId="196D90A9" w:rsidR="00D82C56" w:rsidRPr="006E30E3" w:rsidRDefault="005D43E4" w:rsidP="00345FD2">
      <w:pPr>
        <w:spacing w:after="120"/>
        <w:jc w:val="center"/>
        <w:rPr>
          <w:rFonts w:ascii="Arial" w:hAnsi="Arial" w:cs="Arial"/>
          <w:sz w:val="22"/>
          <w:szCs w:val="22"/>
          <w:lang w:val="en-GB"/>
        </w:rPr>
      </w:pPr>
      <w:r w:rsidRPr="006E30E3">
        <w:rPr>
          <w:rFonts w:ascii="Arial" w:hAnsi="Arial" w:cs="Arial"/>
          <w:sz w:val="22"/>
          <w:szCs w:val="22"/>
          <w:lang w:val="en-GB"/>
        </w:rPr>
        <w:t>UNEP/CMS/COP1</w:t>
      </w:r>
      <w:r w:rsidR="001125D7" w:rsidRPr="006E30E3">
        <w:rPr>
          <w:rFonts w:ascii="Arial" w:hAnsi="Arial" w:cs="Arial"/>
          <w:sz w:val="22"/>
          <w:szCs w:val="22"/>
          <w:lang w:val="en-GB"/>
        </w:rPr>
        <w:t>4</w:t>
      </w:r>
      <w:r w:rsidRPr="006E30E3">
        <w:rPr>
          <w:rFonts w:ascii="Arial" w:hAnsi="Arial" w:cs="Arial"/>
          <w:sz w:val="22"/>
          <w:szCs w:val="22"/>
          <w:lang w:val="en-GB"/>
        </w:rPr>
        <w:t>/Doc.</w:t>
      </w:r>
      <w:r w:rsidR="006E30E3" w:rsidRPr="006E30E3">
        <w:rPr>
          <w:rFonts w:ascii="Arial" w:hAnsi="Arial" w:cs="Arial"/>
          <w:sz w:val="22"/>
          <w:szCs w:val="22"/>
          <w:lang w:val="en-GB"/>
        </w:rPr>
        <w:t>27.5.1/R</w:t>
      </w:r>
      <w:r w:rsidR="006E30E3">
        <w:rPr>
          <w:rFonts w:ascii="Arial" w:hAnsi="Arial" w:cs="Arial"/>
          <w:sz w:val="22"/>
          <w:szCs w:val="22"/>
          <w:lang w:val="en-GB"/>
        </w:rPr>
        <w:t>ev.1</w:t>
      </w:r>
    </w:p>
    <w:p w14:paraId="73A89732" w14:textId="402AE9EE" w:rsidR="00D82C56" w:rsidRPr="00FD2360" w:rsidRDefault="005D43E4" w:rsidP="0091106C">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C34E45">
        <w:rPr>
          <w:rFonts w:ascii="Arial" w:hAnsi="Arial" w:cs="Arial"/>
          <w:i/>
          <w:sz w:val="22"/>
          <w:szCs w:val="22"/>
          <w:lang w:val="es-ES"/>
        </w:rPr>
        <w:t>el Grupo de Trabajo sobre especies acuáticas y el Comité Plenario</w:t>
      </w:r>
      <w:r w:rsidRPr="00FD2360">
        <w:rPr>
          <w:rFonts w:ascii="Arial" w:hAnsi="Arial" w:cs="Arial"/>
          <w:i/>
          <w:sz w:val="22"/>
          <w:szCs w:val="22"/>
          <w:lang w:val="es-ES"/>
        </w:rPr>
        <w:t>)</w:t>
      </w:r>
    </w:p>
    <w:p w14:paraId="25BD5BFE" w14:textId="77777777" w:rsidR="00D82C56" w:rsidRPr="00FD2360" w:rsidRDefault="00D82C56" w:rsidP="0091106C">
      <w:pPr>
        <w:rPr>
          <w:rFonts w:ascii="Arial" w:hAnsi="Arial" w:cs="Arial"/>
          <w:sz w:val="22"/>
          <w:szCs w:val="22"/>
          <w:lang w:val="es-ES"/>
        </w:rPr>
      </w:pPr>
    </w:p>
    <w:p w14:paraId="6C7ED871" w14:textId="77777777" w:rsidR="00D82C56" w:rsidRPr="00FD2360" w:rsidRDefault="00D82C56" w:rsidP="0091106C">
      <w:pPr>
        <w:rPr>
          <w:rFonts w:ascii="Arial" w:hAnsi="Arial" w:cs="Arial"/>
          <w:sz w:val="22"/>
          <w:szCs w:val="22"/>
          <w:lang w:val="es-ES"/>
        </w:rPr>
      </w:pPr>
    </w:p>
    <w:p w14:paraId="59425798" w14:textId="29BC9C45" w:rsidR="00D82C56" w:rsidRPr="00FD2360" w:rsidRDefault="00FD2360" w:rsidP="0091106C">
      <w:pPr>
        <w:jc w:val="center"/>
        <w:rPr>
          <w:rFonts w:ascii="Arial" w:hAnsi="Arial" w:cs="Arial"/>
          <w:sz w:val="22"/>
          <w:szCs w:val="22"/>
          <w:lang w:val="es-ES"/>
        </w:rPr>
      </w:pPr>
      <w:r w:rsidRPr="00345FD2">
        <w:rPr>
          <w:rFonts w:ascii="Arial" w:hAnsi="Arial" w:cs="Arial"/>
          <w:sz w:val="22"/>
          <w:szCs w:val="22"/>
          <w:lang w:val="es-ES"/>
        </w:rPr>
        <w:t>PROYECTO DE RESOLUCIÓN</w:t>
      </w:r>
    </w:p>
    <w:p w14:paraId="61273576" w14:textId="77777777" w:rsidR="00D82C56" w:rsidRPr="00FD2360" w:rsidRDefault="00D82C56" w:rsidP="0091106C">
      <w:pPr>
        <w:rPr>
          <w:rFonts w:ascii="Arial" w:hAnsi="Arial" w:cs="Arial"/>
          <w:sz w:val="22"/>
          <w:szCs w:val="22"/>
          <w:lang w:val="es-ES"/>
        </w:rPr>
      </w:pPr>
    </w:p>
    <w:p w14:paraId="6827683E" w14:textId="77777777" w:rsidR="00914923" w:rsidRPr="00914923" w:rsidRDefault="00914923" w:rsidP="0091106C">
      <w:pPr>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theme="minorBidi"/>
          <w:sz w:val="22"/>
          <w:szCs w:val="22"/>
          <w:lang w:val="es-ES"/>
        </w:rPr>
      </w:pPr>
      <w:r w:rsidRPr="00914923">
        <w:rPr>
          <w:rFonts w:ascii="Arial" w:hAnsi="Arial" w:cs="Arial"/>
          <w:b/>
          <w:caps/>
          <w:sz w:val="22"/>
          <w:szCs w:val="22"/>
          <w:lang w:val="es-ES"/>
        </w:rPr>
        <w:t>Prioridades de conservación para los cetáceos</w:t>
      </w:r>
    </w:p>
    <w:p w14:paraId="4AD6F847" w14:textId="77777777" w:rsidR="00914923" w:rsidRPr="00914923" w:rsidRDefault="00914923" w:rsidP="0091106C">
      <w:pPr>
        <w:autoSpaceDE/>
        <w:autoSpaceDN/>
        <w:jc w:val="both"/>
        <w:textAlignment w:val="auto"/>
        <w:rPr>
          <w:rFonts w:ascii="Arial" w:hAnsi="Arial" w:cs="Arial"/>
          <w:sz w:val="22"/>
          <w:szCs w:val="22"/>
          <w:lang w:val="es-ES"/>
        </w:rPr>
      </w:pPr>
    </w:p>
    <w:p w14:paraId="33FF88E5" w14:textId="77777777" w:rsidR="00914923" w:rsidRPr="00914923" w:rsidRDefault="00914923" w:rsidP="0091106C">
      <w:pPr>
        <w:autoSpaceDE/>
        <w:autoSpaceDN/>
        <w:jc w:val="both"/>
        <w:textAlignment w:val="auto"/>
        <w:rPr>
          <w:rFonts w:ascii="Arial" w:hAnsi="Arial" w:cs="Arial"/>
          <w:i/>
          <w:sz w:val="22"/>
          <w:szCs w:val="22"/>
          <w:lang w:val="es-ES"/>
        </w:rPr>
      </w:pPr>
    </w:p>
    <w:p w14:paraId="6D338F82" w14:textId="77777777" w:rsidR="00914923" w:rsidRPr="00914923" w:rsidRDefault="00914923" w:rsidP="0091106C">
      <w:pPr>
        <w:autoSpaceDE/>
        <w:autoSpaceDN/>
        <w:jc w:val="both"/>
        <w:textAlignment w:val="auto"/>
        <w:rPr>
          <w:rFonts w:ascii="Arial" w:eastAsiaTheme="minorHAnsi" w:hAnsi="Arial" w:cstheme="minorBidi"/>
          <w:sz w:val="22"/>
          <w:szCs w:val="22"/>
          <w:lang w:val="es-ES"/>
        </w:rPr>
      </w:pPr>
      <w:r w:rsidRPr="00914923">
        <w:rPr>
          <w:rFonts w:ascii="Arial" w:hAnsi="Arial" w:cs="Arial"/>
          <w:i/>
          <w:sz w:val="22"/>
          <w:szCs w:val="22"/>
          <w:lang w:val="es-ES"/>
        </w:rPr>
        <w:t xml:space="preserve">Recordando el </w:t>
      </w:r>
      <w:r w:rsidRPr="00914923">
        <w:rPr>
          <w:rFonts w:ascii="Arial" w:hAnsi="Arial" w:cs="Arial"/>
          <w:iCs/>
          <w:sz w:val="22"/>
          <w:szCs w:val="22"/>
          <w:lang w:val="es-ES"/>
        </w:rPr>
        <w:t xml:space="preserve">Artículo 2, párrafo 1 de la Convención, que dice «las Partes reconocen la importancia de la conservación de las especies migratorias», y </w:t>
      </w:r>
      <w:r w:rsidRPr="00914923">
        <w:rPr>
          <w:rFonts w:ascii="Arial" w:hAnsi="Arial" w:cs="Arial"/>
          <w:i/>
          <w:sz w:val="22"/>
          <w:szCs w:val="22"/>
          <w:lang w:val="es-ES"/>
        </w:rPr>
        <w:t>reconociendo</w:t>
      </w:r>
      <w:r w:rsidRPr="00914923">
        <w:rPr>
          <w:rFonts w:ascii="Arial" w:hAnsi="Arial" w:cs="Arial"/>
          <w:iCs/>
          <w:sz w:val="22"/>
          <w:szCs w:val="22"/>
          <w:lang w:val="es-ES"/>
        </w:rPr>
        <w:t xml:space="preserve"> que las especies migratorias de cetáceos se enfrentan a amenazas múltiples y acumulativas con efectos potenciales sobre vastas áreas,</w:t>
      </w:r>
    </w:p>
    <w:p w14:paraId="6E1551A7" w14:textId="77777777" w:rsidR="00914923" w:rsidRPr="00914923" w:rsidRDefault="00914923" w:rsidP="0091106C">
      <w:pPr>
        <w:autoSpaceDE/>
        <w:autoSpaceDN/>
        <w:jc w:val="both"/>
        <w:textAlignment w:val="auto"/>
        <w:rPr>
          <w:rFonts w:ascii="Arial" w:hAnsi="Arial" w:cs="Arial"/>
          <w:i/>
          <w:sz w:val="22"/>
          <w:szCs w:val="22"/>
          <w:lang w:val="es-ES"/>
        </w:rPr>
      </w:pPr>
    </w:p>
    <w:p w14:paraId="42EA755E" w14:textId="77777777" w:rsidR="00914923" w:rsidRPr="00914923" w:rsidRDefault="00914923" w:rsidP="0091106C">
      <w:pPr>
        <w:autoSpaceDE/>
        <w:autoSpaceDN/>
        <w:jc w:val="both"/>
        <w:textAlignment w:val="auto"/>
        <w:rPr>
          <w:rFonts w:ascii="Arial" w:eastAsiaTheme="minorHAnsi" w:hAnsi="Arial" w:cstheme="minorBidi"/>
          <w:sz w:val="22"/>
          <w:szCs w:val="22"/>
          <w:lang w:val="es-ES"/>
        </w:rPr>
      </w:pPr>
      <w:r w:rsidRPr="00914923">
        <w:rPr>
          <w:rFonts w:ascii="Arial" w:hAnsi="Arial" w:cs="Arial"/>
          <w:i/>
          <w:iCs/>
          <w:sz w:val="22"/>
          <w:szCs w:val="22"/>
          <w:lang w:val="es-ES"/>
        </w:rPr>
        <w:t>Recordando la</w:t>
      </w:r>
      <w:r w:rsidRPr="00914923">
        <w:rPr>
          <w:rFonts w:ascii="Arial" w:hAnsi="Arial" w:cs="Arial"/>
          <w:i/>
          <w:sz w:val="22"/>
          <w:szCs w:val="22"/>
          <w:lang w:val="es-ES"/>
        </w:rPr>
        <w:t xml:space="preserve"> </w:t>
      </w:r>
      <w:r w:rsidRPr="00914923">
        <w:rPr>
          <w:rFonts w:ascii="Arial" w:hAnsi="Arial" w:cs="Arial"/>
          <w:iCs/>
          <w:sz w:val="22"/>
          <w:szCs w:val="22"/>
          <w:lang w:val="es-ES"/>
        </w:rPr>
        <w:t xml:space="preserve">Resolución 10.15 (Rev.COP12) </w:t>
      </w:r>
      <w:r w:rsidRPr="00914923">
        <w:rPr>
          <w:rFonts w:ascii="Arial" w:hAnsi="Arial" w:cs="Arial"/>
          <w:i/>
          <w:sz w:val="22"/>
          <w:szCs w:val="22"/>
          <w:lang w:val="es-ES"/>
        </w:rPr>
        <w:t>Programa Mundial de Trabajo para los Cetáceos</w:t>
      </w:r>
      <w:r w:rsidRPr="00914923">
        <w:rPr>
          <w:rFonts w:ascii="Arial" w:hAnsi="Arial" w:cs="Arial"/>
          <w:iCs/>
          <w:sz w:val="22"/>
          <w:szCs w:val="22"/>
          <w:lang w:val="es-ES"/>
        </w:rPr>
        <w:t>,</w:t>
      </w:r>
    </w:p>
    <w:p w14:paraId="37A5812C" w14:textId="77777777" w:rsidR="00914923" w:rsidRPr="00914923" w:rsidRDefault="00914923" w:rsidP="0091106C">
      <w:pPr>
        <w:autoSpaceDE/>
        <w:autoSpaceDN/>
        <w:jc w:val="both"/>
        <w:textAlignment w:val="auto"/>
        <w:rPr>
          <w:rFonts w:ascii="Arial" w:hAnsi="Arial" w:cs="Arial"/>
          <w:i/>
          <w:sz w:val="22"/>
          <w:szCs w:val="22"/>
          <w:lang w:val="es-ES"/>
        </w:rPr>
      </w:pPr>
    </w:p>
    <w:p w14:paraId="63594FA5" w14:textId="77777777" w:rsidR="00914923" w:rsidRPr="00914923" w:rsidRDefault="00914923" w:rsidP="0091106C">
      <w:pPr>
        <w:autoSpaceDE/>
        <w:autoSpaceDN/>
        <w:jc w:val="both"/>
        <w:textAlignment w:val="auto"/>
        <w:rPr>
          <w:rFonts w:ascii="Arial" w:eastAsiaTheme="minorHAnsi" w:hAnsi="Arial" w:cstheme="minorBidi"/>
          <w:color w:val="000000" w:themeColor="text1"/>
          <w:sz w:val="22"/>
          <w:szCs w:val="22"/>
          <w:lang w:val="es-ES"/>
        </w:rPr>
      </w:pPr>
      <w:r w:rsidRPr="00914923">
        <w:rPr>
          <w:rFonts w:ascii="Arial" w:hAnsi="Arial" w:cs="Arial"/>
          <w:i/>
          <w:iCs/>
          <w:color w:val="000000" w:themeColor="text1"/>
          <w:sz w:val="22"/>
          <w:szCs w:val="22"/>
          <w:lang w:val="es-ES"/>
        </w:rPr>
        <w:t>Reconociendo</w:t>
      </w:r>
      <w:r w:rsidRPr="00914923">
        <w:rPr>
          <w:rFonts w:ascii="Arial" w:hAnsi="Arial" w:cs="Arial"/>
          <w:i/>
          <w:color w:val="000000" w:themeColor="text1"/>
          <w:sz w:val="22"/>
          <w:szCs w:val="22"/>
          <w:lang w:val="es-ES"/>
        </w:rPr>
        <w:t xml:space="preserve"> </w:t>
      </w:r>
      <w:r w:rsidRPr="00914923">
        <w:rPr>
          <w:rFonts w:ascii="Arial" w:hAnsi="Arial" w:cs="Arial"/>
          <w:iCs/>
          <w:color w:val="000000" w:themeColor="text1"/>
          <w:sz w:val="22"/>
          <w:szCs w:val="22"/>
          <w:lang w:val="es-ES"/>
        </w:rPr>
        <w:t xml:space="preserve">otras Resoluciones de la CMS relacionadas, incluyendo la Resolución 07.02 (Rev.COP12) </w:t>
      </w:r>
      <w:r w:rsidRPr="00914923">
        <w:rPr>
          <w:rFonts w:ascii="Arial" w:hAnsi="Arial" w:cs="Arial"/>
          <w:i/>
          <w:color w:val="000000" w:themeColor="text1"/>
          <w:sz w:val="22"/>
          <w:szCs w:val="22"/>
          <w:lang w:val="es-ES"/>
        </w:rPr>
        <w:t>Evaluación de los efectos y especies migratorias</w:t>
      </w:r>
      <w:r w:rsidRPr="00914923">
        <w:rPr>
          <w:rFonts w:ascii="Arial" w:hAnsi="Arial" w:cs="Arial"/>
          <w:iCs/>
          <w:color w:val="000000" w:themeColor="text1"/>
          <w:sz w:val="22"/>
          <w:szCs w:val="22"/>
          <w:lang w:val="es-ES"/>
        </w:rPr>
        <w:t xml:space="preserve">, Resolución 07.03 (Rev.COP12) </w:t>
      </w:r>
      <w:r w:rsidRPr="00914923">
        <w:rPr>
          <w:rFonts w:ascii="Arial" w:hAnsi="Arial" w:cs="Arial"/>
          <w:i/>
          <w:color w:val="000000" w:themeColor="text1"/>
          <w:sz w:val="22"/>
          <w:szCs w:val="22"/>
          <w:lang w:val="es-ES"/>
        </w:rPr>
        <w:t>Contaminación por hidrocarburos y especies migratorias</w:t>
      </w:r>
      <w:r w:rsidRPr="00914923">
        <w:rPr>
          <w:rFonts w:ascii="Arial" w:hAnsi="Arial" w:cs="Arial"/>
          <w:iCs/>
          <w:color w:val="000000" w:themeColor="text1"/>
          <w:sz w:val="22"/>
          <w:szCs w:val="22"/>
          <w:lang w:val="es-ES"/>
        </w:rPr>
        <w:t xml:space="preserve">, Resolución 09.09 (Rev.COP12) </w:t>
      </w:r>
      <w:r w:rsidRPr="00914923">
        <w:rPr>
          <w:rFonts w:ascii="Arial" w:hAnsi="Arial" w:cs="Arial"/>
          <w:i/>
          <w:color w:val="000000" w:themeColor="text1"/>
          <w:sz w:val="22"/>
          <w:szCs w:val="22"/>
          <w:lang w:val="es-ES"/>
        </w:rPr>
        <w:t>Especies marinas migratorias</w:t>
      </w:r>
      <w:r w:rsidRPr="00914923">
        <w:rPr>
          <w:rFonts w:ascii="Arial" w:hAnsi="Arial" w:cs="Arial"/>
          <w:iCs/>
          <w:color w:val="000000" w:themeColor="text1"/>
          <w:sz w:val="22"/>
          <w:szCs w:val="22"/>
          <w:lang w:val="es-ES"/>
        </w:rPr>
        <w:t xml:space="preserve">, Resolución 11.10 (Rev.COP13) </w:t>
      </w:r>
      <w:r w:rsidRPr="00914923">
        <w:rPr>
          <w:rFonts w:ascii="Arial" w:hAnsi="Arial" w:cs="Arial"/>
          <w:i/>
          <w:color w:val="000000" w:themeColor="text1"/>
          <w:sz w:val="22"/>
          <w:szCs w:val="22"/>
          <w:lang w:val="es-ES"/>
        </w:rPr>
        <w:t>Sinergias y asociaciones</w:t>
      </w:r>
      <w:r w:rsidRPr="00914923">
        <w:rPr>
          <w:rFonts w:ascii="Arial" w:hAnsi="Arial" w:cs="Arial"/>
          <w:iCs/>
          <w:color w:val="000000" w:themeColor="text1"/>
          <w:sz w:val="22"/>
          <w:szCs w:val="22"/>
          <w:lang w:val="es-ES"/>
        </w:rPr>
        <w:t xml:space="preserve">, Resolución 11.22 (Rev.COP12) </w:t>
      </w:r>
      <w:r w:rsidRPr="00914923">
        <w:rPr>
          <w:rFonts w:ascii="Arial" w:hAnsi="Arial" w:cs="Arial"/>
          <w:i/>
          <w:color w:val="000000" w:themeColor="text1"/>
          <w:sz w:val="22"/>
          <w:szCs w:val="22"/>
          <w:lang w:val="es-ES"/>
        </w:rPr>
        <w:t>Captura de cetáceos vivos en su ambiente natural para fines comerciales</w:t>
      </w:r>
      <w:r w:rsidRPr="00914923">
        <w:rPr>
          <w:rFonts w:ascii="Arial" w:hAnsi="Arial" w:cs="Arial"/>
          <w:iCs/>
          <w:color w:val="000000" w:themeColor="text1"/>
          <w:sz w:val="22"/>
          <w:szCs w:val="22"/>
          <w:lang w:val="es-ES"/>
        </w:rPr>
        <w:t xml:space="preserve">, Resolución 11.23 (Rev.COP12) </w:t>
      </w:r>
      <w:r w:rsidRPr="00914923">
        <w:rPr>
          <w:rFonts w:ascii="Arial" w:hAnsi="Arial" w:cs="Arial"/>
          <w:i/>
          <w:color w:val="000000" w:themeColor="text1"/>
          <w:sz w:val="22"/>
          <w:szCs w:val="22"/>
          <w:lang w:val="es-ES"/>
        </w:rPr>
        <w:t>Implicaciones de conservación derivadas de la cultura animal y su complejidad social</w:t>
      </w:r>
      <w:r w:rsidRPr="00914923">
        <w:rPr>
          <w:rFonts w:ascii="Arial" w:hAnsi="Arial" w:cs="Arial"/>
          <w:iCs/>
          <w:color w:val="000000" w:themeColor="text1"/>
          <w:sz w:val="22"/>
          <w:szCs w:val="22"/>
          <w:lang w:val="es-ES"/>
        </w:rPr>
        <w:t xml:space="preserve">, Resolución 11.27 (Rev.COP13) </w:t>
      </w:r>
      <w:r w:rsidRPr="00914923">
        <w:rPr>
          <w:rFonts w:ascii="Arial" w:hAnsi="Arial" w:cs="Arial"/>
          <w:i/>
          <w:color w:val="000000" w:themeColor="text1"/>
          <w:sz w:val="22"/>
          <w:szCs w:val="22"/>
          <w:lang w:val="es-ES"/>
        </w:rPr>
        <w:t>Energías renovables y especies migratorias</w:t>
      </w:r>
      <w:r w:rsidRPr="00914923">
        <w:rPr>
          <w:rFonts w:ascii="Arial" w:hAnsi="Arial" w:cs="Arial"/>
          <w:iCs/>
          <w:color w:val="000000" w:themeColor="text1"/>
          <w:sz w:val="22"/>
          <w:szCs w:val="22"/>
          <w:lang w:val="es-ES"/>
        </w:rPr>
        <w:t xml:space="preserve">, Resolución 11.28 </w:t>
      </w:r>
      <w:r w:rsidRPr="00914923">
        <w:rPr>
          <w:rFonts w:ascii="Arial" w:hAnsi="Arial" w:cs="Arial"/>
          <w:i/>
          <w:color w:val="000000" w:themeColor="text1"/>
          <w:sz w:val="22"/>
          <w:szCs w:val="22"/>
          <w:lang w:val="es-ES"/>
        </w:rPr>
        <w:t>Actividades futuras de la CMS relativas a especies exóticas invasoras</w:t>
      </w:r>
      <w:r w:rsidRPr="00914923">
        <w:rPr>
          <w:rFonts w:ascii="Arial" w:hAnsi="Arial" w:cs="Arial"/>
          <w:iCs/>
          <w:color w:val="000000" w:themeColor="text1"/>
          <w:sz w:val="22"/>
          <w:szCs w:val="22"/>
          <w:lang w:val="es-ES"/>
        </w:rPr>
        <w:t xml:space="preserve">, Resolución 11.29 (Rev.COP12) </w:t>
      </w:r>
      <w:r w:rsidRPr="00914923">
        <w:rPr>
          <w:rFonts w:ascii="Arial" w:hAnsi="Arial" w:cs="Arial"/>
          <w:i/>
          <w:color w:val="000000" w:themeColor="text1"/>
          <w:sz w:val="22"/>
          <w:szCs w:val="22"/>
          <w:lang w:val="es-ES"/>
        </w:rPr>
        <w:t>Observación de la fauna marina silvestre desde embarcaciones</w:t>
      </w:r>
      <w:r w:rsidRPr="00914923">
        <w:rPr>
          <w:rFonts w:ascii="Arial" w:hAnsi="Arial" w:cs="Arial"/>
          <w:iCs/>
          <w:color w:val="000000" w:themeColor="text1"/>
          <w:sz w:val="22"/>
          <w:szCs w:val="22"/>
          <w:lang w:val="es-ES"/>
        </w:rPr>
        <w:t xml:space="preserve">, Resolución 12.07 (Rev.COP13) </w:t>
      </w:r>
      <w:r w:rsidRPr="00914923">
        <w:rPr>
          <w:rFonts w:ascii="Arial" w:hAnsi="Arial" w:cs="Arial"/>
          <w:i/>
          <w:color w:val="000000" w:themeColor="text1"/>
          <w:sz w:val="22"/>
          <w:szCs w:val="22"/>
          <w:lang w:val="es-ES"/>
        </w:rPr>
        <w:t>El papel de las redes ecológicas en la conservación de las especies migratorias</w:t>
      </w:r>
      <w:r w:rsidRPr="00914923">
        <w:rPr>
          <w:rFonts w:ascii="Arial" w:hAnsi="Arial" w:cs="Arial"/>
          <w:iCs/>
          <w:color w:val="000000" w:themeColor="text1"/>
          <w:sz w:val="22"/>
          <w:szCs w:val="22"/>
          <w:lang w:val="es-ES"/>
        </w:rPr>
        <w:t xml:space="preserve">, Resolución 12.13 </w:t>
      </w:r>
      <w:r w:rsidRPr="00914923">
        <w:rPr>
          <w:rFonts w:ascii="Arial" w:hAnsi="Arial" w:cs="Arial"/>
          <w:i/>
          <w:color w:val="000000" w:themeColor="text1"/>
          <w:sz w:val="22"/>
          <w:szCs w:val="22"/>
          <w:lang w:val="es-ES"/>
        </w:rPr>
        <w:t>Áreas importantes de mamíferos marinos (AIMM)</w:t>
      </w:r>
      <w:r w:rsidRPr="00914923">
        <w:rPr>
          <w:rFonts w:ascii="Arial" w:hAnsi="Arial" w:cs="Arial"/>
          <w:iCs/>
          <w:color w:val="000000" w:themeColor="text1"/>
          <w:sz w:val="22"/>
          <w:szCs w:val="22"/>
          <w:lang w:val="es-ES"/>
        </w:rPr>
        <w:t xml:space="preserve">, Resolución 12.14 </w:t>
      </w:r>
      <w:r w:rsidRPr="00914923">
        <w:rPr>
          <w:rFonts w:ascii="Arial" w:hAnsi="Arial" w:cs="Arial"/>
          <w:i/>
          <w:color w:val="000000" w:themeColor="text1"/>
          <w:sz w:val="22"/>
          <w:szCs w:val="22"/>
          <w:lang w:val="es-ES"/>
        </w:rPr>
        <w:t>Impactos adversos del ruido antropogénico sobre los cetáceos y otras especies migratorias</w:t>
      </w:r>
      <w:r w:rsidRPr="00914923">
        <w:rPr>
          <w:rFonts w:ascii="Arial" w:hAnsi="Arial" w:cs="Arial"/>
          <w:iCs/>
          <w:color w:val="000000" w:themeColor="text1"/>
          <w:sz w:val="22"/>
          <w:szCs w:val="22"/>
          <w:lang w:val="es-ES"/>
        </w:rPr>
        <w:t xml:space="preserve">, Resolución 12.15 </w:t>
      </w:r>
      <w:r w:rsidRPr="00914923">
        <w:rPr>
          <w:rFonts w:ascii="Arial" w:hAnsi="Arial" w:cs="Arial"/>
          <w:i/>
          <w:color w:val="000000" w:themeColor="text1"/>
          <w:sz w:val="22"/>
          <w:szCs w:val="22"/>
          <w:lang w:val="es-ES"/>
        </w:rPr>
        <w:t>Carne de animales salvajes acuáticos</w:t>
      </w:r>
      <w:r w:rsidRPr="00914923">
        <w:rPr>
          <w:rFonts w:ascii="Arial" w:hAnsi="Arial" w:cs="Arial"/>
          <w:iCs/>
          <w:color w:val="000000" w:themeColor="text1"/>
          <w:sz w:val="22"/>
          <w:szCs w:val="22"/>
          <w:lang w:val="es-ES"/>
        </w:rPr>
        <w:t xml:space="preserve">, Resolución 12.16 </w:t>
      </w:r>
      <w:r w:rsidRPr="00914923">
        <w:rPr>
          <w:rFonts w:ascii="Arial" w:hAnsi="Arial" w:cs="Arial"/>
          <w:i/>
          <w:color w:val="000000" w:themeColor="text1"/>
          <w:sz w:val="22"/>
          <w:szCs w:val="22"/>
          <w:lang w:val="es-ES"/>
        </w:rPr>
        <w:t>Impacto de los programas de natación junto a cetáceos</w:t>
      </w:r>
      <w:r w:rsidRPr="00914923">
        <w:rPr>
          <w:rFonts w:ascii="Arial" w:hAnsi="Arial" w:cs="Arial"/>
          <w:iCs/>
          <w:color w:val="000000" w:themeColor="text1"/>
          <w:sz w:val="22"/>
          <w:szCs w:val="22"/>
          <w:lang w:val="es-ES"/>
        </w:rPr>
        <w:t xml:space="preserve">, Resolución 12.17 </w:t>
      </w:r>
      <w:r w:rsidRPr="00914923">
        <w:rPr>
          <w:rFonts w:ascii="Arial" w:hAnsi="Arial" w:cs="Arial"/>
          <w:i/>
          <w:color w:val="000000" w:themeColor="text1"/>
          <w:sz w:val="22"/>
          <w:szCs w:val="22"/>
          <w:lang w:val="es-ES"/>
        </w:rPr>
        <w:t>Conservación y gestión de las ballenas y sus hábitats en la región del Atlántico Sur</w:t>
      </w:r>
      <w:r w:rsidRPr="00914923">
        <w:rPr>
          <w:rFonts w:ascii="Arial" w:hAnsi="Arial" w:cs="Arial"/>
          <w:iCs/>
          <w:color w:val="000000" w:themeColor="text1"/>
          <w:sz w:val="22"/>
          <w:szCs w:val="22"/>
          <w:lang w:val="es-ES"/>
        </w:rPr>
        <w:t xml:space="preserve">, Resolución 12.20 </w:t>
      </w:r>
      <w:r w:rsidRPr="00914923">
        <w:rPr>
          <w:rFonts w:ascii="Arial" w:hAnsi="Arial" w:cs="Arial"/>
          <w:i/>
          <w:color w:val="000000" w:themeColor="text1"/>
          <w:sz w:val="22"/>
          <w:szCs w:val="22"/>
          <w:lang w:val="es-ES"/>
        </w:rPr>
        <w:t>Gestión de desechos marinos</w:t>
      </w:r>
      <w:r w:rsidRPr="00914923">
        <w:rPr>
          <w:rFonts w:ascii="Arial" w:hAnsi="Arial" w:cs="Arial"/>
          <w:iCs/>
          <w:color w:val="000000" w:themeColor="text1"/>
          <w:sz w:val="22"/>
          <w:szCs w:val="22"/>
          <w:lang w:val="es-ES"/>
        </w:rPr>
        <w:t xml:space="preserve">, Resolución 12.21 </w:t>
      </w:r>
      <w:r w:rsidRPr="00914923">
        <w:rPr>
          <w:rFonts w:ascii="Arial" w:hAnsi="Arial" w:cs="Arial"/>
          <w:i/>
          <w:color w:val="000000" w:themeColor="text1"/>
          <w:sz w:val="22"/>
          <w:szCs w:val="22"/>
          <w:lang w:val="es-ES"/>
        </w:rPr>
        <w:t>Cambio climático y especies migratorias</w:t>
      </w:r>
      <w:r w:rsidRPr="00914923">
        <w:rPr>
          <w:rFonts w:ascii="Arial" w:hAnsi="Arial" w:cs="Arial"/>
          <w:iCs/>
          <w:color w:val="000000" w:themeColor="text1"/>
          <w:sz w:val="22"/>
          <w:szCs w:val="22"/>
          <w:lang w:val="es-ES"/>
        </w:rPr>
        <w:t xml:space="preserve">, Resolución 12.22 </w:t>
      </w:r>
      <w:r w:rsidRPr="00914923">
        <w:rPr>
          <w:rFonts w:ascii="Arial" w:hAnsi="Arial" w:cs="Arial"/>
          <w:i/>
          <w:color w:val="000000" w:themeColor="text1"/>
          <w:sz w:val="22"/>
          <w:szCs w:val="22"/>
          <w:lang w:val="es-ES"/>
        </w:rPr>
        <w:t>Captura incidental</w:t>
      </w:r>
      <w:r w:rsidRPr="00914923">
        <w:rPr>
          <w:rFonts w:ascii="Arial" w:hAnsi="Arial" w:cs="Arial"/>
          <w:iCs/>
          <w:color w:val="000000" w:themeColor="text1"/>
          <w:sz w:val="22"/>
          <w:szCs w:val="22"/>
          <w:lang w:val="es-ES"/>
        </w:rPr>
        <w:t xml:space="preserve">, Resolución 12.23 </w:t>
      </w:r>
      <w:r w:rsidRPr="00914923">
        <w:rPr>
          <w:rFonts w:ascii="Arial" w:hAnsi="Arial" w:cs="Arial"/>
          <w:i/>
          <w:color w:val="000000" w:themeColor="text1"/>
          <w:sz w:val="22"/>
          <w:szCs w:val="22"/>
          <w:lang w:val="es-ES"/>
        </w:rPr>
        <w:t>Turismo sostenible y especies migratorias</w:t>
      </w:r>
      <w:r w:rsidRPr="00914923">
        <w:rPr>
          <w:rFonts w:ascii="Arial" w:hAnsi="Arial" w:cs="Arial"/>
          <w:iCs/>
          <w:color w:val="000000" w:themeColor="text1"/>
          <w:sz w:val="22"/>
          <w:szCs w:val="22"/>
          <w:lang w:val="es-ES"/>
        </w:rPr>
        <w:t xml:space="preserve">, Resolución 12.24 </w:t>
      </w:r>
      <w:r w:rsidRPr="00914923">
        <w:rPr>
          <w:rFonts w:ascii="Arial" w:hAnsi="Arial" w:cs="Arial"/>
          <w:i/>
          <w:color w:val="000000" w:themeColor="text1"/>
          <w:sz w:val="22"/>
          <w:szCs w:val="22"/>
          <w:lang w:val="es-ES"/>
        </w:rPr>
        <w:t>Promoción de redes de áreas marinas protegidas en la región ASEAN</w:t>
      </w:r>
      <w:r w:rsidRPr="00914923">
        <w:rPr>
          <w:rFonts w:ascii="Arial" w:hAnsi="Arial" w:cs="Arial"/>
          <w:iCs/>
          <w:color w:val="000000" w:themeColor="text1"/>
          <w:sz w:val="22"/>
          <w:szCs w:val="22"/>
          <w:lang w:val="es-ES"/>
        </w:rPr>
        <w:t xml:space="preserve">, Resolución 12.25 </w:t>
      </w:r>
      <w:r w:rsidRPr="00914923">
        <w:rPr>
          <w:rFonts w:ascii="Arial" w:hAnsi="Arial" w:cs="Arial"/>
          <w:i/>
          <w:color w:val="000000" w:themeColor="text1"/>
          <w:sz w:val="22"/>
          <w:szCs w:val="22"/>
          <w:lang w:val="es-ES"/>
        </w:rPr>
        <w:t>Fomento de la conservación de hábitats intermareales y costeros de otro tipo críticos para las especies migratorias</w:t>
      </w:r>
      <w:r w:rsidRPr="00914923">
        <w:rPr>
          <w:rFonts w:ascii="Arial" w:hAnsi="Arial" w:cs="Arial"/>
          <w:iCs/>
          <w:color w:val="000000" w:themeColor="text1"/>
          <w:sz w:val="22"/>
          <w:szCs w:val="22"/>
          <w:lang w:val="es-ES"/>
        </w:rPr>
        <w:t xml:space="preserve">, Resolución 12.26 (Rev.COP13) </w:t>
      </w:r>
      <w:r w:rsidRPr="00914923">
        <w:rPr>
          <w:rFonts w:ascii="Arial" w:hAnsi="Arial" w:cs="Arial"/>
          <w:i/>
          <w:color w:val="000000" w:themeColor="text1"/>
          <w:sz w:val="22"/>
          <w:szCs w:val="22"/>
          <w:lang w:val="es-ES"/>
        </w:rPr>
        <w:t>Mejora de las formas de abordar la conectividad en la conservación de las especies migratorias</w:t>
      </w:r>
      <w:r w:rsidRPr="00914923">
        <w:rPr>
          <w:rFonts w:ascii="Arial" w:hAnsi="Arial" w:cs="Arial"/>
          <w:iCs/>
          <w:color w:val="000000" w:themeColor="text1"/>
          <w:sz w:val="22"/>
          <w:szCs w:val="22"/>
          <w:lang w:val="es-ES"/>
        </w:rPr>
        <w:t xml:space="preserve">, y Resolución 13.5 </w:t>
      </w:r>
      <w:r w:rsidRPr="00914923">
        <w:rPr>
          <w:rFonts w:ascii="Arial" w:hAnsi="Arial" w:cs="Arial"/>
          <w:i/>
          <w:color w:val="000000" w:themeColor="text1"/>
          <w:sz w:val="22"/>
          <w:szCs w:val="22"/>
          <w:lang w:val="es-ES"/>
        </w:rPr>
        <w:t>Directrices sobre la contaminación lumínica para la fauna silvestre</w:t>
      </w:r>
      <w:r w:rsidRPr="00914923">
        <w:rPr>
          <w:rFonts w:ascii="Arial" w:hAnsi="Arial" w:cs="Arial"/>
          <w:iCs/>
          <w:color w:val="000000" w:themeColor="text1"/>
          <w:sz w:val="22"/>
          <w:szCs w:val="22"/>
          <w:lang w:val="es-ES"/>
        </w:rPr>
        <w:t>,</w:t>
      </w:r>
    </w:p>
    <w:p w14:paraId="745164E6" w14:textId="77777777" w:rsidR="00914923" w:rsidRPr="00914923" w:rsidRDefault="00914923" w:rsidP="0091106C">
      <w:pPr>
        <w:autoSpaceDE/>
        <w:autoSpaceDN/>
        <w:jc w:val="both"/>
        <w:textAlignment w:val="auto"/>
        <w:rPr>
          <w:rFonts w:ascii="Arial" w:hAnsi="Arial" w:cs="Arial"/>
          <w:i/>
          <w:sz w:val="22"/>
          <w:szCs w:val="22"/>
          <w:lang w:val="es-ES"/>
        </w:rPr>
      </w:pPr>
    </w:p>
    <w:p w14:paraId="7198C456" w14:textId="1BD146F1" w:rsidR="00914923" w:rsidRPr="00914923" w:rsidRDefault="00914923" w:rsidP="0091106C">
      <w:pPr>
        <w:autoSpaceDE/>
        <w:autoSpaceDN/>
        <w:jc w:val="both"/>
        <w:textAlignment w:val="auto"/>
        <w:rPr>
          <w:rFonts w:ascii="Arial" w:hAnsi="Arial" w:cs="Arial"/>
          <w:i/>
          <w:sz w:val="22"/>
          <w:szCs w:val="22"/>
          <w:lang w:val="es-ES"/>
        </w:rPr>
      </w:pPr>
      <w:r w:rsidRPr="00914923">
        <w:rPr>
          <w:rFonts w:ascii="Arial" w:hAnsi="Arial" w:cs="Arial"/>
          <w:i/>
          <w:sz w:val="22"/>
          <w:szCs w:val="22"/>
          <w:lang w:val="es-ES"/>
        </w:rPr>
        <w:t xml:space="preserve">Respondiendo </w:t>
      </w:r>
      <w:r w:rsidRPr="00914923">
        <w:rPr>
          <w:rFonts w:ascii="Arial" w:hAnsi="Arial" w:cs="Arial"/>
          <w:iCs/>
          <w:sz w:val="22"/>
          <w:szCs w:val="22"/>
          <w:lang w:val="es-ES"/>
        </w:rPr>
        <w:t xml:space="preserve">a la preocupación generalizada por que los cetáceos, un grupo taxonómico amplio y diverso de más de 90 especies con muchas poblaciones diferenciadas que pueden encontrarse en todos los océanos y mares del mundo y en algunos grandes sistemas fluviales, y que desempeñan un papel crucial en los ecosistemas marinos y en la mitigación del cambio climático, se ven afectados por amenazas cada vez mayores y más diversas, entre las que se incluyen los crecientes impactos de origen </w:t>
      </w:r>
      <w:r w:rsidR="00B53C6A">
        <w:rPr>
          <w:rFonts w:ascii="Arial" w:hAnsi="Arial" w:cs="Arial"/>
          <w:iCs/>
          <w:sz w:val="22"/>
          <w:szCs w:val="22"/>
          <w:lang w:val="es-ES"/>
        </w:rPr>
        <w:t>antropogénico</w:t>
      </w:r>
      <w:r w:rsidRPr="00914923">
        <w:rPr>
          <w:rFonts w:ascii="Arial" w:hAnsi="Arial" w:cs="Arial"/>
          <w:iCs/>
          <w:sz w:val="22"/>
          <w:szCs w:val="22"/>
          <w:lang w:val="es-ES"/>
        </w:rPr>
        <w:t>,</w:t>
      </w:r>
    </w:p>
    <w:p w14:paraId="0CB10FF5" w14:textId="77777777" w:rsidR="00914923" w:rsidRPr="00914923" w:rsidRDefault="00914923" w:rsidP="0091106C">
      <w:pPr>
        <w:autoSpaceDE/>
        <w:autoSpaceDN/>
        <w:jc w:val="both"/>
        <w:textAlignment w:val="auto"/>
        <w:rPr>
          <w:rFonts w:ascii="Arial" w:hAnsi="Arial" w:cs="Arial"/>
          <w:i/>
          <w:sz w:val="22"/>
          <w:szCs w:val="22"/>
          <w:lang w:val="es-ES"/>
        </w:rPr>
      </w:pPr>
    </w:p>
    <w:p w14:paraId="7FBDCF17" w14:textId="77777777" w:rsidR="00914923" w:rsidRPr="00914923" w:rsidRDefault="00914923" w:rsidP="0091106C">
      <w:pPr>
        <w:autoSpaceDE/>
        <w:autoSpaceDN/>
        <w:jc w:val="both"/>
        <w:textAlignment w:val="auto"/>
        <w:rPr>
          <w:rFonts w:ascii="Arial" w:hAnsi="Arial" w:cs="Arial"/>
          <w:iCs/>
          <w:sz w:val="22"/>
          <w:szCs w:val="22"/>
          <w:lang w:val="es-ES"/>
        </w:rPr>
      </w:pPr>
      <w:r w:rsidRPr="00914923">
        <w:rPr>
          <w:rFonts w:ascii="Arial" w:hAnsi="Arial" w:cs="Arial"/>
          <w:i/>
          <w:sz w:val="22"/>
          <w:szCs w:val="22"/>
          <w:lang w:val="es-ES"/>
        </w:rPr>
        <w:t xml:space="preserve">Recordando que </w:t>
      </w:r>
      <w:r w:rsidRPr="00914923">
        <w:rPr>
          <w:rFonts w:ascii="Arial" w:hAnsi="Arial" w:cs="Arial"/>
          <w:iCs/>
          <w:sz w:val="22"/>
          <w:szCs w:val="22"/>
          <w:lang w:val="es-ES"/>
        </w:rPr>
        <w:t>más de 50 especies de cetáceos figuran actualmente en los Apéndices de la CMS,</w:t>
      </w:r>
    </w:p>
    <w:p w14:paraId="2FBEA230" w14:textId="77777777" w:rsidR="00914923" w:rsidRPr="00914923" w:rsidRDefault="00914923" w:rsidP="0091106C">
      <w:pPr>
        <w:autoSpaceDE/>
        <w:autoSpaceDN/>
        <w:jc w:val="both"/>
        <w:textAlignment w:val="auto"/>
        <w:rPr>
          <w:rFonts w:ascii="Arial" w:hAnsi="Arial" w:cs="Arial"/>
          <w:i/>
          <w:sz w:val="22"/>
          <w:szCs w:val="22"/>
          <w:lang w:val="es-ES"/>
        </w:rPr>
      </w:pPr>
    </w:p>
    <w:p w14:paraId="5CE0E74D" w14:textId="77777777" w:rsidR="00345FD2" w:rsidRDefault="00345FD2">
      <w:pPr>
        <w:widowControl/>
        <w:suppressAutoHyphens w:val="0"/>
        <w:autoSpaceDE/>
        <w:spacing w:after="160" w:line="254" w:lineRule="auto"/>
        <w:rPr>
          <w:rFonts w:ascii="Arial" w:hAnsi="Arial" w:cs="Arial"/>
          <w:i/>
          <w:sz w:val="22"/>
          <w:szCs w:val="22"/>
          <w:lang w:val="es-ES"/>
        </w:rPr>
      </w:pPr>
      <w:r>
        <w:rPr>
          <w:rFonts w:ascii="Arial" w:hAnsi="Arial" w:cs="Arial"/>
          <w:i/>
          <w:sz w:val="22"/>
          <w:szCs w:val="22"/>
          <w:lang w:val="es-ES"/>
        </w:rPr>
        <w:br w:type="page"/>
      </w:r>
    </w:p>
    <w:p w14:paraId="3F60D697" w14:textId="35A382E2" w:rsidR="00914923" w:rsidRPr="00914923" w:rsidRDefault="00914923" w:rsidP="0091106C">
      <w:pPr>
        <w:autoSpaceDE/>
        <w:autoSpaceDN/>
        <w:jc w:val="both"/>
        <w:textAlignment w:val="auto"/>
        <w:rPr>
          <w:rFonts w:ascii="Arial" w:hAnsi="Arial" w:cs="Arial"/>
          <w:i/>
          <w:sz w:val="22"/>
          <w:szCs w:val="22"/>
          <w:lang w:val="es-ES"/>
        </w:rPr>
      </w:pPr>
      <w:r w:rsidRPr="00914923">
        <w:rPr>
          <w:rFonts w:ascii="Arial" w:hAnsi="Arial" w:cs="Arial"/>
          <w:i/>
          <w:sz w:val="22"/>
          <w:szCs w:val="22"/>
          <w:lang w:val="es-ES"/>
        </w:rPr>
        <w:lastRenderedPageBreak/>
        <w:t>Reconociendo el</w:t>
      </w:r>
      <w:r w:rsidRPr="00914923">
        <w:rPr>
          <w:rFonts w:ascii="Arial" w:hAnsi="Arial" w:cs="Arial"/>
          <w:iCs/>
          <w:sz w:val="22"/>
          <w:szCs w:val="22"/>
          <w:lang w:val="es-ES"/>
        </w:rPr>
        <w:t xml:space="preserve"> valor del conocimiento y la experiencia dentro de la Familia CMS más amplia, especialmente en relación con la estrecha colaboración de la CMS con sus Acuerdos regionales especializados relacionados con los cetáceos ACCOBAMS</w:t>
      </w:r>
      <w:r w:rsidRPr="00914923">
        <w:rPr>
          <w:rFonts w:ascii="Arial" w:eastAsiaTheme="minorHAnsi" w:hAnsi="Arial" w:cstheme="minorBidi"/>
          <w:iCs/>
          <w:sz w:val="22"/>
          <w:szCs w:val="22"/>
          <w:vertAlign w:val="superscript"/>
          <w:lang w:val="en-GB"/>
        </w:rPr>
        <w:footnoteReference w:id="2"/>
      </w:r>
      <w:r w:rsidRPr="00914923">
        <w:rPr>
          <w:rFonts w:ascii="Arial" w:eastAsiaTheme="minorHAnsi" w:hAnsi="Arial" w:cstheme="minorBidi"/>
          <w:iCs/>
          <w:sz w:val="22"/>
          <w:szCs w:val="22"/>
          <w:lang w:val="es-ES"/>
        </w:rPr>
        <w:t xml:space="preserve"> </w:t>
      </w:r>
      <w:r w:rsidRPr="00914923">
        <w:rPr>
          <w:rFonts w:ascii="Arial" w:hAnsi="Arial" w:cs="Arial"/>
          <w:iCs/>
          <w:sz w:val="22"/>
          <w:szCs w:val="22"/>
          <w:lang w:val="es-ES"/>
        </w:rPr>
        <w:t>y ASCOBANS</w:t>
      </w:r>
      <w:r w:rsidRPr="00914923">
        <w:rPr>
          <w:rFonts w:ascii="Arial" w:eastAsiaTheme="minorHAnsi" w:hAnsi="Arial" w:cstheme="minorBidi"/>
          <w:iCs/>
          <w:sz w:val="22"/>
          <w:szCs w:val="22"/>
          <w:vertAlign w:val="superscript"/>
          <w:lang w:val="en-GB"/>
        </w:rPr>
        <w:footnoteReference w:id="3"/>
      </w:r>
      <w:r w:rsidRPr="00914923">
        <w:rPr>
          <w:rFonts w:ascii="Arial" w:hAnsi="Arial" w:cs="Arial"/>
          <w:iCs/>
          <w:sz w:val="22"/>
          <w:szCs w:val="22"/>
          <w:lang w:val="es-ES"/>
        </w:rPr>
        <w:t>, el Memorando de Entendimiento relativo a la conservación del manatí y los pequeños cetáceos de África Occidental y Macaronesia, el Memorando de Entendimiento para la conservación de los cetáceos y sus hábitats en la región de las islas del Pacífico, y las líneas de trabajo relacionadas, con el fin de generar el mejor asesoramiento y orientación posibles para las acciones de conservación a escala global y regional, según corresponda,</w:t>
      </w:r>
    </w:p>
    <w:p w14:paraId="01153FD1" w14:textId="77777777" w:rsidR="00914923" w:rsidRPr="00914923" w:rsidDel="00013790" w:rsidRDefault="00914923" w:rsidP="0091106C">
      <w:pPr>
        <w:autoSpaceDE/>
        <w:autoSpaceDN/>
        <w:jc w:val="both"/>
        <w:textAlignment w:val="auto"/>
        <w:rPr>
          <w:rFonts w:ascii="Arial" w:hAnsi="Arial" w:cs="Arial"/>
          <w:i/>
          <w:sz w:val="22"/>
          <w:szCs w:val="22"/>
          <w:lang w:val="es-ES"/>
        </w:rPr>
      </w:pPr>
    </w:p>
    <w:p w14:paraId="273DEA0D" w14:textId="77777777" w:rsidR="00914923" w:rsidRPr="00914923" w:rsidRDefault="00914923" w:rsidP="0091106C">
      <w:pPr>
        <w:autoSpaceDE/>
        <w:autoSpaceDN/>
        <w:jc w:val="both"/>
        <w:textAlignment w:val="auto"/>
        <w:rPr>
          <w:rFonts w:ascii="Arial" w:eastAsiaTheme="minorHAnsi" w:hAnsi="Arial" w:cstheme="minorBidi"/>
          <w:sz w:val="22"/>
          <w:szCs w:val="22"/>
          <w:lang w:val="es-ES"/>
        </w:rPr>
      </w:pPr>
      <w:r w:rsidRPr="00914923">
        <w:rPr>
          <w:rFonts w:ascii="Arial" w:hAnsi="Arial" w:cs="Arial"/>
          <w:i/>
          <w:iCs/>
          <w:sz w:val="22"/>
          <w:szCs w:val="22"/>
          <w:lang w:val="es-ES"/>
        </w:rPr>
        <w:t>Conscientes de</w:t>
      </w:r>
      <w:r w:rsidRPr="00914923">
        <w:rPr>
          <w:rFonts w:ascii="Arial" w:hAnsi="Arial" w:cs="Arial"/>
          <w:i/>
          <w:sz w:val="22"/>
          <w:szCs w:val="22"/>
          <w:lang w:val="es-ES"/>
        </w:rPr>
        <w:t xml:space="preserve"> </w:t>
      </w:r>
      <w:r w:rsidRPr="00914923">
        <w:rPr>
          <w:rFonts w:ascii="Arial" w:hAnsi="Arial" w:cs="Arial"/>
          <w:iCs/>
          <w:sz w:val="22"/>
          <w:szCs w:val="22"/>
          <w:lang w:val="es-ES"/>
        </w:rPr>
        <w:t>que muchos acuerdos ambientales multilaterales tratan temas que directa o indirectamente afectan a la conservación de los cetáceos y que una colaboración estrecha con estos es crucial a fin de lograr el estado de conservación deseado para los cetáceos</w:t>
      </w:r>
      <w:r w:rsidRPr="00914923">
        <w:rPr>
          <w:rFonts w:ascii="Arial" w:hAnsi="Arial" w:cs="Arial"/>
          <w:i/>
          <w:sz w:val="22"/>
          <w:szCs w:val="22"/>
          <w:lang w:val="es-ES"/>
        </w:rPr>
        <w:t>,</w:t>
      </w:r>
    </w:p>
    <w:p w14:paraId="0D48C640" w14:textId="77777777" w:rsidR="00914923" w:rsidRPr="00914923" w:rsidRDefault="00914923" w:rsidP="0091106C">
      <w:pPr>
        <w:autoSpaceDE/>
        <w:autoSpaceDN/>
        <w:jc w:val="both"/>
        <w:textAlignment w:val="auto"/>
        <w:rPr>
          <w:rFonts w:ascii="Arial" w:hAnsi="Arial" w:cs="Arial"/>
          <w:i/>
          <w:sz w:val="22"/>
          <w:szCs w:val="22"/>
          <w:lang w:val="es-ES"/>
        </w:rPr>
      </w:pPr>
    </w:p>
    <w:p w14:paraId="3BEA35D7" w14:textId="77777777" w:rsidR="00914923" w:rsidRPr="00914923" w:rsidRDefault="00914923" w:rsidP="0091106C">
      <w:pPr>
        <w:autoSpaceDE/>
        <w:autoSpaceDN/>
        <w:jc w:val="both"/>
        <w:textAlignment w:val="auto"/>
        <w:rPr>
          <w:rFonts w:ascii="Arial" w:eastAsiaTheme="minorHAnsi" w:hAnsi="Arial" w:cstheme="minorBidi"/>
          <w:sz w:val="22"/>
          <w:szCs w:val="22"/>
          <w:lang w:val="es-ES"/>
        </w:rPr>
      </w:pPr>
      <w:r w:rsidRPr="00914923">
        <w:rPr>
          <w:rFonts w:ascii="Arial" w:hAnsi="Arial" w:cs="Arial"/>
          <w:i/>
          <w:sz w:val="22"/>
          <w:szCs w:val="22"/>
          <w:lang w:val="es-ES"/>
        </w:rPr>
        <w:t>Reconociendo</w:t>
      </w:r>
      <w:r w:rsidRPr="00914923">
        <w:rPr>
          <w:rFonts w:ascii="Arial" w:hAnsi="Arial" w:cs="Arial"/>
          <w:iCs/>
          <w:sz w:val="22"/>
          <w:szCs w:val="22"/>
          <w:lang w:val="es-ES"/>
        </w:rPr>
        <w:t xml:space="preserve"> el apoyo de las organizaciones asociadas OceanCare y Whale and Dolphin Conservation en la implementación de los mandatos relacionados con la revisión y actualización del programa de trabajo para los cetáceos de la Convención,</w:t>
      </w:r>
    </w:p>
    <w:p w14:paraId="23205E39" w14:textId="77777777" w:rsidR="00914923" w:rsidRPr="00914923" w:rsidRDefault="00914923" w:rsidP="0091106C">
      <w:pPr>
        <w:autoSpaceDE/>
        <w:autoSpaceDN/>
        <w:jc w:val="both"/>
        <w:textAlignment w:val="auto"/>
        <w:rPr>
          <w:rFonts w:ascii="Arial" w:hAnsi="Arial" w:cs="Arial"/>
          <w:i/>
          <w:sz w:val="22"/>
          <w:szCs w:val="22"/>
          <w:lang w:val="es-ES"/>
        </w:rPr>
      </w:pPr>
    </w:p>
    <w:p w14:paraId="2BCB7C16" w14:textId="77777777" w:rsidR="00914923" w:rsidRPr="00914923" w:rsidRDefault="00914923" w:rsidP="0091106C">
      <w:pPr>
        <w:autoSpaceDE/>
        <w:autoSpaceDN/>
        <w:jc w:val="both"/>
        <w:textAlignment w:val="auto"/>
        <w:rPr>
          <w:rFonts w:ascii="Arial" w:eastAsiaTheme="minorHAnsi" w:hAnsi="Arial" w:cstheme="minorBidi"/>
          <w:sz w:val="22"/>
          <w:szCs w:val="22"/>
          <w:lang w:val="es-ES"/>
        </w:rPr>
      </w:pPr>
      <w:r w:rsidRPr="00914923">
        <w:rPr>
          <w:rFonts w:ascii="Arial" w:hAnsi="Arial" w:cs="Arial"/>
          <w:i/>
          <w:iCs/>
          <w:sz w:val="22"/>
          <w:szCs w:val="22"/>
          <w:lang w:val="es-ES"/>
        </w:rPr>
        <w:t>Tomando nota de</w:t>
      </w:r>
      <w:r w:rsidRPr="00914923">
        <w:rPr>
          <w:rFonts w:ascii="Arial" w:hAnsi="Arial" w:cs="Arial"/>
          <w:sz w:val="22"/>
          <w:szCs w:val="22"/>
          <w:lang w:val="es-ES"/>
        </w:rPr>
        <w:t xml:space="preserve"> la falta de datos en los patrones de distribución, migración y estado de conservación de algunas poblaciones de cetáceos, </w:t>
      </w:r>
    </w:p>
    <w:p w14:paraId="3864277E" w14:textId="77777777" w:rsidR="00914923" w:rsidRPr="00914923" w:rsidRDefault="00914923" w:rsidP="0091106C">
      <w:pPr>
        <w:autoSpaceDE/>
        <w:autoSpaceDN/>
        <w:jc w:val="both"/>
        <w:textAlignment w:val="auto"/>
        <w:rPr>
          <w:rFonts w:ascii="Arial" w:hAnsi="Arial" w:cs="Arial"/>
          <w:sz w:val="22"/>
          <w:szCs w:val="22"/>
          <w:lang w:val="es-ES"/>
        </w:rPr>
      </w:pPr>
    </w:p>
    <w:p w14:paraId="754BDBE5" w14:textId="77777777" w:rsidR="00914923" w:rsidRPr="00914923" w:rsidRDefault="00914923" w:rsidP="0091106C">
      <w:pPr>
        <w:autoSpaceDE/>
        <w:autoSpaceDN/>
        <w:jc w:val="both"/>
        <w:textAlignment w:val="auto"/>
        <w:rPr>
          <w:rFonts w:ascii="Arial" w:eastAsiaTheme="minorHAnsi" w:hAnsi="Arial" w:cstheme="minorBidi"/>
          <w:sz w:val="22"/>
          <w:szCs w:val="22"/>
          <w:lang w:val="es-ES"/>
        </w:rPr>
      </w:pPr>
      <w:r w:rsidRPr="00914923">
        <w:rPr>
          <w:rFonts w:ascii="Arial" w:hAnsi="Arial" w:cs="Arial"/>
          <w:i/>
          <w:sz w:val="22"/>
          <w:szCs w:val="22"/>
          <w:lang w:val="es-ES"/>
        </w:rPr>
        <w:t xml:space="preserve">Tomando nota </w:t>
      </w:r>
      <w:r w:rsidRPr="00914923">
        <w:rPr>
          <w:rFonts w:ascii="Arial" w:hAnsi="Arial" w:cs="Arial"/>
          <w:iCs/>
          <w:sz w:val="22"/>
          <w:szCs w:val="22"/>
          <w:lang w:val="es-ES"/>
        </w:rPr>
        <w:t xml:space="preserve">de la revisión de la implementación del Programa Mundial de Trabajo 2012-2024 y el análisis de las amenazas más importantes para los cetáceos, junto con las recomendaciones, presentados en el documento </w:t>
      </w:r>
      <w:r w:rsidRPr="00914923">
        <w:rPr>
          <w:rFonts w:ascii="Arial" w:eastAsiaTheme="minorHAnsi" w:hAnsi="Arial" w:cs="Arial"/>
          <w:sz w:val="22"/>
          <w:szCs w:val="22"/>
          <w:lang w:val="es-ES"/>
        </w:rPr>
        <w:t>UNEP/CMS/COP14/Inf.27.5.1a</w:t>
      </w:r>
      <w:r w:rsidRPr="00914923">
        <w:rPr>
          <w:rFonts w:ascii="Arial" w:hAnsi="Arial" w:cs="Arial"/>
          <w:i/>
          <w:sz w:val="22"/>
          <w:szCs w:val="22"/>
          <w:lang w:val="es-ES"/>
        </w:rPr>
        <w:t>,</w:t>
      </w:r>
    </w:p>
    <w:p w14:paraId="7A3FD933" w14:textId="77777777" w:rsidR="00914923" w:rsidRPr="00914923" w:rsidRDefault="00914923" w:rsidP="0091106C">
      <w:pPr>
        <w:autoSpaceDE/>
        <w:autoSpaceDN/>
        <w:jc w:val="both"/>
        <w:textAlignment w:val="auto"/>
        <w:rPr>
          <w:rFonts w:ascii="Arial" w:hAnsi="Arial" w:cs="Arial"/>
          <w:i/>
          <w:sz w:val="22"/>
          <w:szCs w:val="22"/>
          <w:lang w:val="es-ES"/>
        </w:rPr>
      </w:pPr>
    </w:p>
    <w:p w14:paraId="7E7C60DA" w14:textId="77777777" w:rsidR="00914923" w:rsidRPr="00914923" w:rsidRDefault="00914923" w:rsidP="0091106C">
      <w:pPr>
        <w:autoSpaceDE/>
        <w:autoSpaceDN/>
        <w:jc w:val="both"/>
        <w:textAlignment w:val="auto"/>
        <w:rPr>
          <w:rFonts w:ascii="Arial" w:hAnsi="Arial" w:cs="Arial"/>
          <w:i/>
          <w:sz w:val="22"/>
          <w:szCs w:val="22"/>
          <w:lang w:val="es-ES"/>
        </w:rPr>
      </w:pPr>
    </w:p>
    <w:p w14:paraId="049C779F" w14:textId="77777777" w:rsidR="00914923" w:rsidRPr="00914923" w:rsidRDefault="00914923" w:rsidP="0091106C">
      <w:pPr>
        <w:autoSpaceDE/>
        <w:autoSpaceDN/>
        <w:jc w:val="center"/>
        <w:textAlignment w:val="auto"/>
        <w:rPr>
          <w:rFonts w:ascii="Arial" w:eastAsiaTheme="minorHAnsi" w:hAnsi="Arial" w:cstheme="minorBidi"/>
          <w:sz w:val="22"/>
          <w:szCs w:val="22"/>
          <w:lang w:val="es-ES"/>
        </w:rPr>
      </w:pPr>
      <w:r w:rsidRPr="00914923">
        <w:rPr>
          <w:rFonts w:ascii="Arial" w:hAnsi="Arial" w:cs="Arial"/>
          <w:i/>
          <w:sz w:val="22"/>
          <w:szCs w:val="22"/>
          <w:lang w:val="es-ES"/>
        </w:rPr>
        <w:t>La Conferencia de las Partes de la</w:t>
      </w:r>
    </w:p>
    <w:p w14:paraId="01A5BBF3" w14:textId="77777777" w:rsidR="00914923" w:rsidRPr="00914923" w:rsidRDefault="00914923" w:rsidP="0091106C">
      <w:pPr>
        <w:autoSpaceDE/>
        <w:autoSpaceDN/>
        <w:jc w:val="center"/>
        <w:textAlignment w:val="auto"/>
        <w:rPr>
          <w:rFonts w:ascii="Arial" w:eastAsiaTheme="minorHAnsi" w:hAnsi="Arial" w:cstheme="minorBidi"/>
          <w:sz w:val="22"/>
          <w:szCs w:val="22"/>
          <w:lang w:val="es-ES"/>
        </w:rPr>
      </w:pPr>
      <w:r w:rsidRPr="00914923">
        <w:rPr>
          <w:rFonts w:ascii="Arial" w:hAnsi="Arial" w:cs="Arial"/>
          <w:i/>
          <w:sz w:val="22"/>
          <w:szCs w:val="22"/>
          <w:lang w:val="es-ES"/>
        </w:rPr>
        <w:t>Convención sobre la Conservación de las Especies Migratorias de Animales Silvestres</w:t>
      </w:r>
    </w:p>
    <w:p w14:paraId="4E27FAB2" w14:textId="77777777" w:rsidR="00914923" w:rsidRPr="00914923" w:rsidRDefault="00914923" w:rsidP="0091106C">
      <w:pPr>
        <w:autoSpaceDE/>
        <w:autoSpaceDN/>
        <w:jc w:val="both"/>
        <w:textAlignment w:val="auto"/>
        <w:rPr>
          <w:rFonts w:ascii="Arial" w:hAnsi="Arial" w:cs="Arial"/>
          <w:sz w:val="22"/>
          <w:szCs w:val="22"/>
          <w:lang w:val="es-ES"/>
        </w:rPr>
      </w:pPr>
    </w:p>
    <w:p w14:paraId="6EC958F4" w14:textId="77777777" w:rsidR="00914923" w:rsidRPr="00914923" w:rsidRDefault="00914923" w:rsidP="0091106C">
      <w:pPr>
        <w:autoSpaceDE/>
        <w:autoSpaceDN/>
        <w:jc w:val="both"/>
        <w:textAlignment w:val="auto"/>
        <w:rPr>
          <w:rFonts w:ascii="Arial" w:hAnsi="Arial" w:cs="Arial"/>
          <w:sz w:val="22"/>
          <w:szCs w:val="22"/>
          <w:lang w:val="es-ES"/>
        </w:rPr>
      </w:pPr>
    </w:p>
    <w:p w14:paraId="3D666939" w14:textId="77777777" w:rsidR="00914923" w:rsidRPr="00914923" w:rsidRDefault="00914923" w:rsidP="0091106C">
      <w:pPr>
        <w:widowControl/>
        <w:numPr>
          <w:ilvl w:val="0"/>
          <w:numId w:val="4"/>
        </w:numPr>
        <w:autoSpaceDE/>
        <w:autoSpaceDN/>
        <w:ind w:left="567" w:hanging="567"/>
        <w:jc w:val="both"/>
        <w:textAlignment w:val="auto"/>
        <w:rPr>
          <w:rFonts w:ascii="Arial" w:eastAsiaTheme="minorHAnsi" w:hAnsi="Arial" w:cstheme="minorBidi"/>
          <w:sz w:val="22"/>
          <w:szCs w:val="22"/>
          <w:lang w:val="es-ES"/>
        </w:rPr>
      </w:pPr>
      <w:r w:rsidRPr="00914923">
        <w:rPr>
          <w:rFonts w:ascii="Arial" w:hAnsi="Arial" w:cs="Arial"/>
          <w:i/>
          <w:sz w:val="22"/>
          <w:szCs w:val="22"/>
          <w:lang w:val="es-ES"/>
        </w:rPr>
        <w:t xml:space="preserve">Toma nota </w:t>
      </w:r>
      <w:r w:rsidRPr="00914923">
        <w:rPr>
          <w:rFonts w:ascii="Arial" w:hAnsi="Arial" w:cs="Arial"/>
          <w:iCs/>
          <w:sz w:val="22"/>
          <w:szCs w:val="22"/>
          <w:lang w:val="es-ES"/>
        </w:rPr>
        <w:t>de</w:t>
      </w:r>
      <w:r w:rsidRPr="00914923">
        <w:rPr>
          <w:rFonts w:ascii="Arial" w:hAnsi="Arial" w:cs="Arial"/>
          <w:sz w:val="22"/>
          <w:szCs w:val="22"/>
          <w:lang w:val="es-ES"/>
        </w:rPr>
        <w:t xml:space="preserve"> las recomendaciones a las Partes enumeradas en el documento UNEP/CMS/COP14/Inf.27.5.1a </w:t>
      </w:r>
      <w:r w:rsidRPr="00914923">
        <w:rPr>
          <w:rFonts w:ascii="Arial" w:hAnsi="Arial" w:cs="Arial"/>
          <w:iCs/>
          <w:sz w:val="22"/>
          <w:szCs w:val="22"/>
          <w:lang w:val="es-ES"/>
        </w:rPr>
        <w:t xml:space="preserve">y </w:t>
      </w:r>
      <w:r w:rsidRPr="00914923">
        <w:rPr>
          <w:rFonts w:ascii="Arial" w:hAnsi="Arial" w:cs="Arial"/>
          <w:i/>
          <w:sz w:val="22"/>
          <w:szCs w:val="22"/>
          <w:lang w:val="es-ES"/>
        </w:rPr>
        <w:t>alienta</w:t>
      </w:r>
      <w:r w:rsidRPr="00914923">
        <w:rPr>
          <w:rFonts w:ascii="Arial" w:hAnsi="Arial" w:cs="Arial"/>
          <w:iCs/>
          <w:sz w:val="22"/>
          <w:szCs w:val="22"/>
          <w:lang w:val="es-ES"/>
        </w:rPr>
        <w:t xml:space="preserve"> a las Partes que ejercen jurisdicción sobre cualquier parte del área de distribución de las especies de cetáceos incluidas en los apéndices de la CMS, o</w:t>
      </w:r>
      <w:r w:rsidRPr="00914923">
        <w:rPr>
          <w:rFonts w:ascii="Arial" w:hAnsi="Arial" w:cs="Arial"/>
          <w:sz w:val="22"/>
          <w:szCs w:val="22"/>
          <w:lang w:val="es-ES"/>
        </w:rPr>
        <w:t xml:space="preserve"> sobre los buques de su pabellón que navegan fuera de los límites jurisdiccionales nacionales,</w:t>
      </w:r>
      <w:r w:rsidRPr="00914923">
        <w:rPr>
          <w:rFonts w:ascii="Arial" w:hAnsi="Arial" w:cs="Arial"/>
          <w:iCs/>
          <w:sz w:val="22"/>
          <w:szCs w:val="22"/>
          <w:lang w:val="es-ES"/>
        </w:rPr>
        <w:t xml:space="preserve"> a que consideren las recomendaciones formuladas y aborden las amenazas identificadas</w:t>
      </w:r>
      <w:r w:rsidRPr="00914923">
        <w:rPr>
          <w:rFonts w:ascii="Arial" w:hAnsi="Arial" w:cs="Arial"/>
          <w:sz w:val="22"/>
          <w:szCs w:val="22"/>
          <w:lang w:val="es-ES"/>
        </w:rPr>
        <w:t>;</w:t>
      </w:r>
    </w:p>
    <w:p w14:paraId="1CDF8ECB" w14:textId="77777777" w:rsidR="00914923" w:rsidRPr="00914923" w:rsidRDefault="00914923" w:rsidP="0091106C">
      <w:pPr>
        <w:autoSpaceDE/>
        <w:autoSpaceDN/>
        <w:ind w:left="567"/>
        <w:jc w:val="both"/>
        <w:textAlignment w:val="auto"/>
        <w:rPr>
          <w:rFonts w:ascii="Arial" w:hAnsi="Arial" w:cs="Arial"/>
          <w:sz w:val="22"/>
          <w:szCs w:val="22"/>
          <w:lang w:val="es-ES"/>
        </w:rPr>
      </w:pPr>
    </w:p>
    <w:p w14:paraId="4775C87A" w14:textId="77777777" w:rsidR="00914923" w:rsidRPr="00914923" w:rsidRDefault="00914923" w:rsidP="0091106C">
      <w:pPr>
        <w:widowControl/>
        <w:numPr>
          <w:ilvl w:val="0"/>
          <w:numId w:val="1"/>
        </w:numPr>
        <w:autoSpaceDE/>
        <w:autoSpaceDN/>
        <w:ind w:left="567" w:hanging="567"/>
        <w:jc w:val="both"/>
        <w:textAlignment w:val="auto"/>
        <w:rPr>
          <w:rFonts w:ascii="Arial" w:eastAsiaTheme="minorHAnsi" w:hAnsi="Arial" w:cstheme="minorBidi"/>
          <w:sz w:val="22"/>
          <w:szCs w:val="22"/>
          <w:lang w:val="es-ES"/>
        </w:rPr>
      </w:pPr>
      <w:r w:rsidRPr="00914923">
        <w:rPr>
          <w:rFonts w:ascii="Arial" w:hAnsi="Arial" w:cs="Arial"/>
          <w:i/>
          <w:iCs/>
          <w:sz w:val="22"/>
          <w:szCs w:val="22"/>
          <w:lang w:val="es-ES"/>
        </w:rPr>
        <w:t>Hace un llamamiento a</w:t>
      </w:r>
      <w:r w:rsidRPr="00914923">
        <w:rPr>
          <w:rFonts w:ascii="Arial" w:hAnsi="Arial" w:cs="Arial"/>
          <w:i/>
          <w:sz w:val="22"/>
          <w:szCs w:val="22"/>
          <w:lang w:val="es-ES"/>
        </w:rPr>
        <w:t xml:space="preserve"> </w:t>
      </w:r>
      <w:r w:rsidRPr="00914923">
        <w:rPr>
          <w:rFonts w:ascii="Arial" w:hAnsi="Arial" w:cs="Arial"/>
          <w:iCs/>
          <w:sz w:val="22"/>
          <w:szCs w:val="22"/>
          <w:lang w:val="es-ES"/>
        </w:rPr>
        <w:t>las Partes y a las No Partes para que promuevan la integración de la conservación de los cetáceos en todos los sectores relevantes mediante la coordinación de sus posiciones nacionales entre las distintas convenciones, acuerdos y otros foros internacionales</w:t>
      </w:r>
      <w:r w:rsidRPr="00914923">
        <w:rPr>
          <w:rFonts w:ascii="Arial" w:hAnsi="Arial" w:cs="Arial"/>
          <w:sz w:val="22"/>
          <w:szCs w:val="22"/>
          <w:lang w:val="es-ES"/>
        </w:rPr>
        <w:t>;</w:t>
      </w:r>
    </w:p>
    <w:p w14:paraId="0C98DC25" w14:textId="77777777" w:rsidR="00914923" w:rsidRPr="00914923" w:rsidRDefault="00914923" w:rsidP="0091106C">
      <w:pPr>
        <w:autoSpaceDE/>
        <w:autoSpaceDN/>
        <w:ind w:left="567" w:hanging="567"/>
        <w:textAlignment w:val="auto"/>
        <w:rPr>
          <w:rFonts w:ascii="Arial" w:hAnsi="Arial" w:cs="Arial"/>
          <w:sz w:val="22"/>
          <w:szCs w:val="22"/>
          <w:lang w:val="es-ES"/>
        </w:rPr>
      </w:pPr>
    </w:p>
    <w:p w14:paraId="5F423987" w14:textId="77777777" w:rsidR="00914923" w:rsidRPr="00914923" w:rsidRDefault="00914923" w:rsidP="0091106C">
      <w:pPr>
        <w:widowControl/>
        <w:numPr>
          <w:ilvl w:val="0"/>
          <w:numId w:val="1"/>
        </w:numPr>
        <w:autoSpaceDE/>
        <w:autoSpaceDN/>
        <w:ind w:left="567" w:hanging="567"/>
        <w:jc w:val="both"/>
        <w:textAlignment w:val="auto"/>
        <w:rPr>
          <w:rFonts w:ascii="Arial" w:eastAsiaTheme="minorHAnsi" w:hAnsi="Arial" w:cstheme="minorBidi"/>
          <w:sz w:val="22"/>
          <w:szCs w:val="22"/>
          <w:lang w:val="es-ES"/>
        </w:rPr>
      </w:pPr>
      <w:r w:rsidRPr="00914923">
        <w:rPr>
          <w:rFonts w:ascii="Arial" w:hAnsi="Arial" w:cs="Arial"/>
          <w:i/>
          <w:iCs/>
          <w:sz w:val="22"/>
          <w:szCs w:val="22"/>
          <w:lang w:val="es-ES"/>
        </w:rPr>
        <w:t>Alienta a</w:t>
      </w:r>
      <w:r w:rsidRPr="00914923">
        <w:rPr>
          <w:rFonts w:ascii="Arial" w:hAnsi="Arial" w:cs="Arial"/>
          <w:i/>
          <w:sz w:val="22"/>
          <w:szCs w:val="22"/>
          <w:lang w:val="es-ES"/>
        </w:rPr>
        <w:t xml:space="preserve"> </w:t>
      </w:r>
      <w:r w:rsidRPr="00914923">
        <w:rPr>
          <w:rFonts w:ascii="Arial" w:hAnsi="Arial" w:cs="Arial"/>
          <w:iCs/>
          <w:sz w:val="22"/>
          <w:szCs w:val="22"/>
          <w:lang w:val="es-ES"/>
        </w:rPr>
        <w:t xml:space="preserve">las Partes e </w:t>
      </w:r>
      <w:r w:rsidRPr="00914923">
        <w:rPr>
          <w:rFonts w:ascii="Arial" w:hAnsi="Arial" w:cs="Arial"/>
          <w:i/>
          <w:sz w:val="22"/>
          <w:szCs w:val="22"/>
          <w:lang w:val="es-ES"/>
        </w:rPr>
        <w:t>invita</w:t>
      </w:r>
      <w:r w:rsidRPr="00914923">
        <w:rPr>
          <w:rFonts w:ascii="Arial" w:hAnsi="Arial" w:cs="Arial"/>
          <w:iCs/>
          <w:sz w:val="22"/>
          <w:szCs w:val="22"/>
          <w:lang w:val="es-ES"/>
        </w:rPr>
        <w:t xml:space="preserve"> a las Partes de Acuerdos relacionados con los cetáceos, a los Signatarios de Memorandos de Entendimiento relacionados con los cetáceos, a las organizaciones asociadas y al sector privado a facilitar la implementación de las acciones prioritarias para los cetáceos por medio de contribuciones voluntarias y apoyo en especie</w:t>
      </w:r>
      <w:r w:rsidRPr="00914923">
        <w:rPr>
          <w:rFonts w:ascii="Arial" w:hAnsi="Arial" w:cs="Arial"/>
          <w:sz w:val="22"/>
          <w:szCs w:val="22"/>
          <w:lang w:val="es-ES"/>
        </w:rPr>
        <w:t>;</w:t>
      </w:r>
    </w:p>
    <w:p w14:paraId="0AA5D1D4" w14:textId="77777777" w:rsidR="00914923" w:rsidRPr="00914923" w:rsidRDefault="00914923" w:rsidP="0091106C">
      <w:pPr>
        <w:autoSpaceDE/>
        <w:autoSpaceDN/>
        <w:ind w:left="567" w:hanging="567"/>
        <w:textAlignment w:val="auto"/>
        <w:rPr>
          <w:rFonts w:ascii="Arial" w:hAnsi="Arial" w:cs="Arial"/>
          <w:sz w:val="22"/>
          <w:szCs w:val="22"/>
          <w:lang w:val="es-ES"/>
        </w:rPr>
      </w:pPr>
    </w:p>
    <w:p w14:paraId="166F6711" w14:textId="77777777" w:rsidR="00914923" w:rsidRPr="00914923" w:rsidRDefault="00914923" w:rsidP="0091106C">
      <w:pPr>
        <w:widowControl/>
        <w:numPr>
          <w:ilvl w:val="0"/>
          <w:numId w:val="1"/>
        </w:numPr>
        <w:autoSpaceDE/>
        <w:autoSpaceDN/>
        <w:ind w:left="567" w:hanging="567"/>
        <w:jc w:val="both"/>
        <w:textAlignment w:val="auto"/>
        <w:rPr>
          <w:rFonts w:ascii="Arial" w:eastAsiaTheme="minorHAnsi" w:hAnsi="Arial" w:cstheme="minorBidi"/>
          <w:sz w:val="22"/>
          <w:szCs w:val="22"/>
          <w:lang w:val="es-ES"/>
        </w:rPr>
      </w:pPr>
      <w:r w:rsidRPr="00914923">
        <w:rPr>
          <w:rFonts w:ascii="Arial" w:hAnsi="Arial" w:cs="Arial"/>
          <w:i/>
          <w:iCs/>
          <w:sz w:val="22"/>
          <w:szCs w:val="22"/>
          <w:lang w:val="es-ES"/>
        </w:rPr>
        <w:t xml:space="preserve">Insta </w:t>
      </w:r>
      <w:r w:rsidRPr="00914923">
        <w:rPr>
          <w:rFonts w:ascii="Arial" w:hAnsi="Arial" w:cs="Arial"/>
          <w:sz w:val="22"/>
          <w:szCs w:val="22"/>
          <w:lang w:val="es-ES"/>
        </w:rPr>
        <w:t>a las Partes a:</w:t>
      </w:r>
    </w:p>
    <w:p w14:paraId="4AD1C1BB" w14:textId="77777777" w:rsidR="00914923" w:rsidRPr="00914923" w:rsidRDefault="00914923" w:rsidP="0091106C">
      <w:pPr>
        <w:autoSpaceDE/>
        <w:autoSpaceDN/>
        <w:jc w:val="both"/>
        <w:textAlignment w:val="auto"/>
        <w:rPr>
          <w:rFonts w:ascii="Arial" w:hAnsi="Arial" w:cs="Arial"/>
          <w:sz w:val="22"/>
          <w:szCs w:val="22"/>
          <w:lang w:val="es-ES"/>
        </w:rPr>
      </w:pPr>
    </w:p>
    <w:p w14:paraId="6C01F281" w14:textId="77777777" w:rsidR="00914923" w:rsidRPr="00914923" w:rsidRDefault="00914923" w:rsidP="0091106C">
      <w:pPr>
        <w:widowControl/>
        <w:numPr>
          <w:ilvl w:val="0"/>
          <w:numId w:val="2"/>
        </w:numPr>
        <w:autoSpaceDE/>
        <w:autoSpaceDN/>
        <w:ind w:left="993" w:hanging="453"/>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 xml:space="preserve">Reducir las amenazas derivadas de las pesquerías, tales como la captura incidental, el atrapamiento en redes y el agotamiento de presas, según lo dispuesto en la Resolución 12.22 </w:t>
      </w:r>
      <w:r w:rsidRPr="00914923">
        <w:rPr>
          <w:rFonts w:ascii="Arial" w:hAnsi="Arial" w:cs="Arial"/>
          <w:i/>
          <w:iCs/>
          <w:sz w:val="22"/>
          <w:szCs w:val="22"/>
          <w:lang w:val="es-ES"/>
        </w:rPr>
        <w:t>Captura incidental</w:t>
      </w:r>
      <w:r w:rsidRPr="00914923">
        <w:rPr>
          <w:rFonts w:ascii="Arial" w:hAnsi="Arial" w:cs="Arial"/>
          <w:sz w:val="22"/>
          <w:szCs w:val="22"/>
          <w:lang w:val="es-ES"/>
        </w:rPr>
        <w:t xml:space="preserve">, prestando especial atención al trabajo a </w:t>
      </w:r>
      <w:r w:rsidRPr="00914923">
        <w:rPr>
          <w:rFonts w:ascii="Arial" w:hAnsi="Arial" w:cs="Arial"/>
          <w:sz w:val="22"/>
          <w:szCs w:val="22"/>
          <w:lang w:val="es-ES"/>
        </w:rPr>
        <w:lastRenderedPageBreak/>
        <w:t>través de las Organizaciones Regionales de Ordenación Pesquera (OROP) y otras organizaciones pertinentes, desarrollando y utilizando artes de pesca más selectivos, y esforzándose por combatir la pesca ilegal, no declarada y no reglamentada (INDNR);</w:t>
      </w:r>
    </w:p>
    <w:p w14:paraId="21C13B52" w14:textId="77777777" w:rsidR="00914923" w:rsidRPr="00914923" w:rsidRDefault="00914923" w:rsidP="0091106C">
      <w:pPr>
        <w:autoSpaceDE/>
        <w:autoSpaceDN/>
        <w:ind w:left="993"/>
        <w:contextualSpacing/>
        <w:jc w:val="both"/>
        <w:textAlignment w:val="auto"/>
        <w:rPr>
          <w:rFonts w:ascii="Arial" w:eastAsiaTheme="minorHAnsi" w:hAnsi="Arial" w:cstheme="minorBidi"/>
          <w:sz w:val="22"/>
          <w:szCs w:val="22"/>
          <w:lang w:val="es-ES"/>
        </w:rPr>
      </w:pPr>
    </w:p>
    <w:p w14:paraId="0D0D8764" w14:textId="77777777" w:rsidR="00914923" w:rsidRPr="00914923" w:rsidRDefault="00914923" w:rsidP="0091106C">
      <w:pPr>
        <w:widowControl/>
        <w:numPr>
          <w:ilvl w:val="0"/>
          <w:numId w:val="2"/>
        </w:numPr>
        <w:autoSpaceDE/>
        <w:autoSpaceDN/>
        <w:ind w:left="993" w:hanging="453"/>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 xml:space="preserve">Reducir las capturas de cetáceos como carne silvestre acuática, en consonancia con, y basándose en las disposiciones de la Resolución 12.15 </w:t>
      </w:r>
      <w:r w:rsidRPr="00914923">
        <w:rPr>
          <w:rFonts w:ascii="Arial" w:hAnsi="Arial" w:cs="Arial"/>
          <w:i/>
          <w:iCs/>
          <w:sz w:val="22"/>
          <w:szCs w:val="22"/>
          <w:lang w:val="es-ES"/>
        </w:rPr>
        <w:t>Carne de animales acuáticos silvestres</w:t>
      </w:r>
      <w:r w:rsidRPr="00914923">
        <w:rPr>
          <w:rFonts w:ascii="Arial" w:hAnsi="Arial" w:cs="Arial"/>
          <w:sz w:val="22"/>
          <w:szCs w:val="22"/>
          <w:lang w:val="es-ES"/>
        </w:rPr>
        <w:t xml:space="preserve"> y la Resolución 14.[  ] </w:t>
      </w:r>
      <w:r w:rsidRPr="00914923">
        <w:rPr>
          <w:rFonts w:ascii="Arial" w:hAnsi="Arial" w:cs="Arial"/>
          <w:i/>
          <w:sz w:val="22"/>
          <w:szCs w:val="22"/>
          <w:lang w:val="es-ES"/>
        </w:rPr>
        <w:t xml:space="preserve">Plan de Acción para abordar las capturas de carne silvestre acuática en África Occidental, </w:t>
      </w:r>
      <w:r w:rsidRPr="00914923">
        <w:rPr>
          <w:rFonts w:ascii="Arial" w:hAnsi="Arial" w:cs="Arial"/>
          <w:iCs/>
          <w:sz w:val="22"/>
          <w:szCs w:val="22"/>
          <w:lang w:val="es-ES"/>
        </w:rPr>
        <w:t>prestando especial atención a la realización de revisiones periódicas de las capturas directas de todos los cetáceos incluidos en el Apéndice II, superpuestas con las demás amenazas a las que se enfrentan estas especies, evaluando medidas para reducir las capturas con el fin de garantizar la supervivencia de las poblaciones, incluyendo su posible inclusión en el Apéndice I, y aplicando medidas para poner fin a la caza de todos los cetáceos incluidos en el Apéndice I en consonancia con las disposiciones del Art. III de la CMS;</w:t>
      </w:r>
    </w:p>
    <w:p w14:paraId="5B0FCF8F" w14:textId="77777777" w:rsidR="00914923" w:rsidRPr="00914923" w:rsidRDefault="00914923" w:rsidP="0091106C">
      <w:pPr>
        <w:widowControl/>
        <w:autoSpaceDE/>
        <w:autoSpaceDN/>
        <w:ind w:left="993"/>
        <w:contextualSpacing/>
        <w:jc w:val="both"/>
        <w:textAlignment w:val="auto"/>
        <w:rPr>
          <w:rFonts w:ascii="Arial" w:eastAsiaTheme="minorHAnsi" w:hAnsi="Arial" w:cstheme="minorBidi"/>
          <w:sz w:val="22"/>
          <w:szCs w:val="22"/>
          <w:lang w:val="es-ES"/>
        </w:rPr>
      </w:pPr>
    </w:p>
    <w:p w14:paraId="089A7EB0" w14:textId="77777777" w:rsidR="00914923" w:rsidRPr="00914923" w:rsidRDefault="00914923" w:rsidP="0091106C">
      <w:pPr>
        <w:widowControl/>
        <w:numPr>
          <w:ilvl w:val="0"/>
          <w:numId w:val="2"/>
        </w:numPr>
        <w:autoSpaceDE/>
        <w:autoSpaceDN/>
        <w:ind w:left="990" w:hanging="450"/>
        <w:jc w:val="both"/>
        <w:textAlignment w:val="auto"/>
        <w:rPr>
          <w:rFonts w:ascii="Arial" w:hAnsi="Arial" w:cs="Arial"/>
          <w:sz w:val="22"/>
          <w:szCs w:val="22"/>
          <w:lang w:val="es-ES"/>
        </w:rPr>
      </w:pPr>
      <w:r w:rsidRPr="00914923">
        <w:rPr>
          <w:rFonts w:ascii="Arial" w:hAnsi="Arial" w:cs="Arial"/>
          <w:sz w:val="22"/>
          <w:szCs w:val="22"/>
          <w:lang w:val="es-ES"/>
        </w:rPr>
        <w:t>Destacar el papel positivo de los cetáceos en el cambio climático y la mitigación de la pérdida de biodiversidad en sus estrategias de conservación, lo que incluye fomentar la investigación apropiada, tal como se sugiere en el informe del Taller 2021 CBI-CMS sobre el funcionamiento de los ecosistemas de cetáceos (SC/68C/REP/03);</w:t>
      </w:r>
    </w:p>
    <w:p w14:paraId="29FAE255" w14:textId="77777777" w:rsidR="00914923" w:rsidRPr="00914923" w:rsidRDefault="00914923" w:rsidP="0091106C">
      <w:pPr>
        <w:widowControl/>
        <w:autoSpaceDE/>
        <w:autoSpaceDN/>
        <w:ind w:left="990" w:hanging="450"/>
        <w:contextualSpacing/>
        <w:jc w:val="both"/>
        <w:textAlignment w:val="auto"/>
        <w:rPr>
          <w:rFonts w:ascii="Arial" w:hAnsi="Arial" w:cs="Arial"/>
          <w:sz w:val="22"/>
          <w:szCs w:val="22"/>
          <w:lang w:val="es-ES"/>
        </w:rPr>
      </w:pPr>
    </w:p>
    <w:p w14:paraId="18C999CB" w14:textId="77777777" w:rsidR="00914923" w:rsidRPr="00914923" w:rsidRDefault="00914923" w:rsidP="0091106C">
      <w:pPr>
        <w:widowControl/>
        <w:numPr>
          <w:ilvl w:val="0"/>
          <w:numId w:val="2"/>
        </w:numPr>
        <w:autoSpaceDE/>
        <w:autoSpaceDN/>
        <w:ind w:left="993" w:hanging="453"/>
        <w:jc w:val="both"/>
        <w:textAlignment w:val="auto"/>
        <w:rPr>
          <w:rFonts w:ascii="Arial" w:eastAsiaTheme="minorHAnsi" w:hAnsi="Arial" w:cstheme="minorBidi"/>
          <w:sz w:val="22"/>
          <w:szCs w:val="22"/>
          <w:lang w:val="es-ES"/>
        </w:rPr>
      </w:pPr>
      <w:r w:rsidRPr="00914923">
        <w:rPr>
          <w:rFonts w:ascii="Arial" w:hAnsi="Arial" w:cs="Arial"/>
          <w:sz w:val="22"/>
          <w:szCs w:val="22"/>
          <w:lang w:val="es-ES"/>
        </w:rPr>
        <w:t xml:space="preserve">Reducir la amenaza que suponen los desechos marinos, en consonancia con, y basándose en las disposiciones de la Resolución 12.20 </w:t>
      </w:r>
      <w:r w:rsidRPr="00914923">
        <w:rPr>
          <w:rFonts w:ascii="Arial" w:hAnsi="Arial" w:cs="Arial"/>
          <w:i/>
          <w:iCs/>
          <w:sz w:val="22"/>
          <w:szCs w:val="22"/>
          <w:lang w:val="es-ES"/>
        </w:rPr>
        <w:t>Gestión de los desechos marinos</w:t>
      </w:r>
      <w:r w:rsidRPr="00914923">
        <w:rPr>
          <w:rFonts w:ascii="Arial" w:hAnsi="Arial" w:cs="Arial"/>
          <w:sz w:val="22"/>
          <w:szCs w:val="22"/>
          <w:lang w:val="es-ES"/>
        </w:rPr>
        <w:t>, con especial atención a la prevención del vertido y la pérdida de artes de pesca y promoviendo la recuperación total de los artes de pesca, los dispositivos de concentración de peces (DCP) y otros desechos procedentes de todas las actividades pesqueras de forma respetuosa con el medio ambiente, la eliminación de los desechos marinos utilizando las mejores técnicas disponibles (MTD) y las mejores prácticas ambientales (MPA), aplicando las Directrices voluntarias para el marcado de artes de pesca elaboradas por la FAO; y elaborando, aplicando y actualizando planes de acción nacionales para prevenir, reducir y eliminar la contaminación por plásticos, y apoyando la cooperación regional e internacional;</w:t>
      </w:r>
    </w:p>
    <w:p w14:paraId="091DBC18" w14:textId="77777777" w:rsidR="00914923" w:rsidRPr="00914923" w:rsidRDefault="00914923" w:rsidP="0091106C">
      <w:pPr>
        <w:autoSpaceDE/>
        <w:autoSpaceDN/>
        <w:ind w:left="567"/>
        <w:jc w:val="both"/>
        <w:textAlignment w:val="auto"/>
        <w:rPr>
          <w:rFonts w:ascii="Arial" w:hAnsi="Arial" w:cs="Arial"/>
          <w:sz w:val="22"/>
          <w:szCs w:val="22"/>
          <w:lang w:val="es-ES"/>
        </w:rPr>
      </w:pPr>
    </w:p>
    <w:p w14:paraId="54C592CC" w14:textId="77777777" w:rsidR="00914923" w:rsidRPr="00914923" w:rsidRDefault="00914923" w:rsidP="0091106C">
      <w:pPr>
        <w:widowControl/>
        <w:numPr>
          <w:ilvl w:val="0"/>
          <w:numId w:val="2"/>
        </w:numPr>
        <w:autoSpaceDE/>
        <w:autoSpaceDN/>
        <w:ind w:left="993" w:hanging="453"/>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 xml:space="preserve">Incluir el impacto de la contaminación por sustancias químicas en la salud de los cetáceos en los análisis de riesgos y las evaluaciones de impacto, reconociendo los efectos acumulativos y sinergéticos de los múltiples estresores, en consonancia con, y basándose en las disposiciones de la Resolución 07.02 (Rev.COP12) [(Rev.COP14)] </w:t>
      </w:r>
      <w:r w:rsidRPr="00914923">
        <w:rPr>
          <w:rFonts w:ascii="Arial" w:hAnsi="Arial" w:cs="Arial"/>
          <w:i/>
          <w:iCs/>
          <w:sz w:val="22"/>
          <w:szCs w:val="22"/>
          <w:lang w:val="es-ES"/>
        </w:rPr>
        <w:t>Evaluación de los efectos y especies migratorias</w:t>
      </w:r>
      <w:r w:rsidRPr="00914923">
        <w:rPr>
          <w:rFonts w:ascii="Arial" w:hAnsi="Arial" w:cs="Arial"/>
          <w:sz w:val="22"/>
          <w:szCs w:val="22"/>
          <w:lang w:val="es-ES"/>
        </w:rPr>
        <w:t xml:space="preserve"> y la Resolución 07.03 (Rev.COP12) </w:t>
      </w:r>
      <w:r w:rsidRPr="00914923">
        <w:rPr>
          <w:rFonts w:ascii="Arial" w:hAnsi="Arial" w:cs="Arial"/>
          <w:i/>
          <w:iCs/>
          <w:sz w:val="22"/>
          <w:szCs w:val="22"/>
          <w:lang w:val="es-ES"/>
        </w:rPr>
        <w:t>Contaminación por hidrocarburos y especies migratorias</w:t>
      </w:r>
      <w:r w:rsidRPr="00914923">
        <w:rPr>
          <w:rFonts w:ascii="Arial" w:hAnsi="Arial" w:cs="Arial"/>
          <w:sz w:val="22"/>
          <w:szCs w:val="22"/>
          <w:lang w:val="es-ES"/>
        </w:rPr>
        <w:t xml:space="preserve">; </w:t>
      </w:r>
    </w:p>
    <w:p w14:paraId="3A9D9126" w14:textId="77777777" w:rsidR="00914923" w:rsidRPr="00914923" w:rsidRDefault="00914923" w:rsidP="0091106C">
      <w:pPr>
        <w:autoSpaceDE/>
        <w:autoSpaceDN/>
        <w:ind w:left="993" w:hanging="453"/>
        <w:contextualSpacing/>
        <w:jc w:val="both"/>
        <w:textAlignment w:val="auto"/>
        <w:rPr>
          <w:rFonts w:ascii="Arial" w:hAnsi="Arial" w:cs="Arial"/>
          <w:sz w:val="22"/>
          <w:szCs w:val="22"/>
          <w:lang w:val="es-ES"/>
        </w:rPr>
      </w:pPr>
    </w:p>
    <w:p w14:paraId="49D62E01" w14:textId="77777777" w:rsidR="00914923" w:rsidRPr="00914923" w:rsidRDefault="00914923" w:rsidP="0091106C">
      <w:pPr>
        <w:widowControl/>
        <w:numPr>
          <w:ilvl w:val="0"/>
          <w:numId w:val="2"/>
        </w:numPr>
        <w:autoSpaceDE/>
        <w:autoSpaceDN/>
        <w:ind w:left="993" w:hanging="453"/>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 xml:space="preserve">Mitigar eficazmente los impactos del ruido marino, en línea con las disposiciones de la Resolución 12.14 </w:t>
      </w:r>
      <w:r w:rsidRPr="00914923">
        <w:rPr>
          <w:rFonts w:ascii="Arial" w:hAnsi="Arial" w:cs="Arial"/>
          <w:i/>
          <w:iCs/>
          <w:sz w:val="22"/>
          <w:szCs w:val="22"/>
          <w:lang w:val="es-ES"/>
        </w:rPr>
        <w:t>Impactos adversos del ruido antropogénico en los cetáceos y otras especies migratorias</w:t>
      </w:r>
      <w:r w:rsidRPr="00914923">
        <w:rPr>
          <w:rFonts w:ascii="Arial" w:hAnsi="Arial" w:cs="Arial"/>
          <w:sz w:val="22"/>
          <w:szCs w:val="22"/>
          <w:lang w:val="es-ES"/>
        </w:rPr>
        <w:t xml:space="preserve">, prestando especial atención a la aplicación de las </w:t>
      </w:r>
      <w:r w:rsidRPr="00914923">
        <w:rPr>
          <w:rFonts w:ascii="Arial" w:hAnsi="Arial" w:cs="Arial"/>
          <w:i/>
          <w:iCs/>
          <w:sz w:val="22"/>
          <w:szCs w:val="22"/>
          <w:lang w:val="es-ES"/>
        </w:rPr>
        <w:t>Directrices de la Familia de la CMS sobre la evaluación del impacto ambiental de las actividades generadoras de ruido marino</w:t>
      </w:r>
      <w:r w:rsidRPr="00914923">
        <w:rPr>
          <w:rFonts w:ascii="Arial" w:hAnsi="Arial" w:cs="Arial"/>
          <w:sz w:val="22"/>
          <w:szCs w:val="22"/>
          <w:lang w:val="es-ES"/>
        </w:rPr>
        <w:t xml:space="preserve"> (Anexo 1 a la Resolución 12.14) para todas las actividades generadoras de ruido marino, en particular dentro de las zonas de hábitats importantes, como las AMP y las AIMM, y evitando o reduciendo al mínimo la introducción de ruido impulsivo potencialmente perjudicial dentro de estas zonas, incluyendo consideraciones relacionadas con el ruido en los procedimientos de ordenación del espacio marino, aplicando las MTD y las MPA, y promoviendo la aplicación de reducciones de la velocidad de los buques dentro del marco de la Organización Marítima Internacional (OMI) como medida operativa;</w:t>
      </w:r>
    </w:p>
    <w:p w14:paraId="38AFB5FA" w14:textId="77777777" w:rsidR="00914923" w:rsidRPr="00914923" w:rsidRDefault="00914923" w:rsidP="0091106C">
      <w:pPr>
        <w:autoSpaceDE/>
        <w:autoSpaceDN/>
        <w:jc w:val="both"/>
        <w:textAlignment w:val="auto"/>
        <w:rPr>
          <w:rFonts w:ascii="Arial" w:hAnsi="Arial" w:cs="Arial"/>
          <w:sz w:val="22"/>
          <w:szCs w:val="22"/>
          <w:lang w:val="es-ES"/>
        </w:rPr>
      </w:pPr>
    </w:p>
    <w:p w14:paraId="47E51AF3" w14:textId="77777777" w:rsidR="00914923" w:rsidRPr="00914923" w:rsidRDefault="00914923" w:rsidP="0091106C">
      <w:pPr>
        <w:autoSpaceDE/>
        <w:autoSpaceDN/>
        <w:jc w:val="both"/>
        <w:textAlignment w:val="auto"/>
        <w:rPr>
          <w:rFonts w:ascii="Arial" w:hAnsi="Arial" w:cs="Arial"/>
          <w:sz w:val="22"/>
          <w:szCs w:val="22"/>
          <w:lang w:val="es-ES"/>
        </w:rPr>
      </w:pPr>
    </w:p>
    <w:p w14:paraId="3B47C208" w14:textId="77777777" w:rsidR="00914923" w:rsidRPr="00914923" w:rsidRDefault="00914923" w:rsidP="0091106C">
      <w:pPr>
        <w:widowControl/>
        <w:numPr>
          <w:ilvl w:val="0"/>
          <w:numId w:val="2"/>
        </w:numPr>
        <w:autoSpaceDE/>
        <w:autoSpaceDN/>
        <w:ind w:left="993" w:hanging="453"/>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 xml:space="preserve">Reducir la amenaza que suponen las colisiones con embarcaciones [en consonancia con las disposiciones de la Resolución 14.[  ] </w:t>
      </w:r>
      <w:r w:rsidRPr="00914923">
        <w:rPr>
          <w:rFonts w:ascii="Arial" w:hAnsi="Arial" w:cs="Arial"/>
          <w:i/>
          <w:sz w:val="22"/>
          <w:szCs w:val="22"/>
          <w:lang w:val="es-ES"/>
        </w:rPr>
        <w:t>Colisión con embarcaciones</w:t>
      </w:r>
      <w:r w:rsidRPr="00914923">
        <w:rPr>
          <w:rFonts w:ascii="Arial" w:hAnsi="Arial" w:cs="Arial"/>
          <w:iCs/>
          <w:sz w:val="22"/>
          <w:szCs w:val="22"/>
          <w:lang w:val="es-ES"/>
        </w:rPr>
        <w:t>]</w:t>
      </w:r>
      <w:r w:rsidRPr="00914923">
        <w:rPr>
          <w:rFonts w:ascii="Arial" w:hAnsi="Arial" w:cs="Arial"/>
          <w:sz w:val="22"/>
          <w:szCs w:val="22"/>
          <w:lang w:val="es-ES"/>
        </w:rPr>
        <w:t>, prestando especial atención a la revisión y aplicación, cuando proceda, de reducciones de velocidad como medida de mitigación en zonas de coexistencia de ballenas y navegación, y promoviendo soluciones a través de la OMI mediante la modificación de las rutas marítimas y/o la adopción de límites de velocidad, cuando esté justificado, apoyando la declaración de Zonas Marítimas Especialmente Sensibles (ZMES) en área de especial importancia para los cetáceos, y alentando al sector del transporte marítimo a adoptar medidas voluntarias contra las colisiones;</w:t>
      </w:r>
    </w:p>
    <w:p w14:paraId="4AEB7A02" w14:textId="77777777" w:rsidR="00914923" w:rsidRPr="00914923" w:rsidRDefault="00914923" w:rsidP="0091106C">
      <w:pPr>
        <w:autoSpaceDE/>
        <w:autoSpaceDN/>
        <w:jc w:val="both"/>
        <w:textAlignment w:val="auto"/>
        <w:rPr>
          <w:rFonts w:ascii="Arial" w:hAnsi="Arial" w:cs="Arial"/>
          <w:sz w:val="22"/>
          <w:szCs w:val="22"/>
          <w:lang w:val="es-ES"/>
        </w:rPr>
      </w:pPr>
    </w:p>
    <w:p w14:paraId="46B4750B" w14:textId="77777777" w:rsidR="00914923" w:rsidRPr="00914923" w:rsidRDefault="00914923" w:rsidP="0091106C">
      <w:pPr>
        <w:widowControl/>
        <w:numPr>
          <w:ilvl w:val="0"/>
          <w:numId w:val="2"/>
        </w:numPr>
        <w:autoSpaceDE/>
        <w:autoSpaceDN/>
        <w:ind w:left="993" w:hanging="453"/>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 xml:space="preserve">Desarrollar e implementar leyes nacionales, cuando proceda, que prohíban las capturas en vivo de cetáceos en entornos silvestres con fines comerciales, y considerar emprender medidas más estrictas en consonancia con el Artículo XIV de la CITES con respecto a la importación y al tránsito internacional de cetáceos vivos con fines comerciales que hayan sido capturados en un entorno silvestre, en consonancia con las disposiciones de la Resolución 11.22 (Rev.COP12) </w:t>
      </w:r>
      <w:r w:rsidRPr="00914923">
        <w:rPr>
          <w:rFonts w:ascii="Arial" w:hAnsi="Arial" w:cs="Arial"/>
          <w:i/>
          <w:iCs/>
          <w:sz w:val="22"/>
          <w:szCs w:val="22"/>
          <w:lang w:val="es-ES"/>
        </w:rPr>
        <w:t>Captura de cetáceos vivos en su medio natural con fines comerciales</w:t>
      </w:r>
      <w:r w:rsidRPr="00914923">
        <w:rPr>
          <w:rFonts w:ascii="Arial" w:hAnsi="Arial" w:cs="Arial"/>
          <w:sz w:val="22"/>
          <w:szCs w:val="22"/>
          <w:lang w:val="es-ES"/>
        </w:rPr>
        <w:t>;.</w:t>
      </w:r>
    </w:p>
    <w:p w14:paraId="13FB0A6E" w14:textId="77777777" w:rsidR="00914923" w:rsidRPr="00914923" w:rsidRDefault="00914923" w:rsidP="0091106C">
      <w:pPr>
        <w:autoSpaceDE/>
        <w:autoSpaceDN/>
        <w:ind w:left="993" w:hanging="453"/>
        <w:contextualSpacing/>
        <w:jc w:val="both"/>
        <w:textAlignment w:val="auto"/>
        <w:rPr>
          <w:rFonts w:ascii="Arial" w:hAnsi="Arial" w:cs="Arial"/>
          <w:sz w:val="22"/>
          <w:szCs w:val="22"/>
          <w:lang w:val="es-ES"/>
        </w:rPr>
      </w:pPr>
    </w:p>
    <w:p w14:paraId="20CBD2DD" w14:textId="77777777" w:rsidR="00914923" w:rsidRPr="00914923" w:rsidRDefault="00914923" w:rsidP="0091106C">
      <w:pPr>
        <w:widowControl/>
        <w:numPr>
          <w:ilvl w:val="0"/>
          <w:numId w:val="2"/>
        </w:numPr>
        <w:autoSpaceDE/>
        <w:autoSpaceDN/>
        <w:ind w:left="993" w:hanging="453"/>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 xml:space="preserve">Reducir las perturbaciones y el hostigamiento por parte de turistas o actividades recreativas, en consonancia con las disposiciones de la Resolución 11.29 (Rev.COP12) </w:t>
      </w:r>
      <w:r w:rsidRPr="00914923">
        <w:rPr>
          <w:rFonts w:ascii="Arial" w:hAnsi="Arial" w:cs="Arial"/>
          <w:i/>
          <w:iCs/>
          <w:sz w:val="22"/>
          <w:szCs w:val="22"/>
          <w:lang w:val="es-ES"/>
        </w:rPr>
        <w:t>Observación sostenible de la fauna marina desde embarcaciones</w:t>
      </w:r>
      <w:r w:rsidRPr="00914923">
        <w:rPr>
          <w:rFonts w:ascii="Arial" w:hAnsi="Arial" w:cs="Arial"/>
          <w:sz w:val="22"/>
          <w:szCs w:val="22"/>
          <w:lang w:val="es-ES"/>
        </w:rPr>
        <w:t xml:space="preserve">, Resolución 12.16 [Rev.COP14] </w:t>
      </w:r>
      <w:r w:rsidRPr="00914923">
        <w:rPr>
          <w:rFonts w:ascii="Arial" w:hAnsi="Arial" w:cs="Arial"/>
          <w:i/>
          <w:iCs/>
          <w:sz w:val="22"/>
          <w:szCs w:val="22"/>
          <w:lang w:val="es-ES"/>
        </w:rPr>
        <w:t>Impacto de los programas de natación junto a cetáceos</w:t>
      </w:r>
      <w:r w:rsidRPr="00914923">
        <w:rPr>
          <w:rFonts w:ascii="Arial" w:hAnsi="Arial" w:cs="Arial"/>
          <w:sz w:val="22"/>
          <w:szCs w:val="22"/>
          <w:lang w:val="es-ES"/>
        </w:rPr>
        <w:t xml:space="preserve"> y la Resolución 12.23 </w:t>
      </w:r>
      <w:r w:rsidRPr="00914923">
        <w:rPr>
          <w:rFonts w:ascii="Arial" w:hAnsi="Arial" w:cs="Arial"/>
          <w:i/>
          <w:iCs/>
          <w:sz w:val="22"/>
          <w:szCs w:val="22"/>
          <w:lang w:val="es-ES"/>
        </w:rPr>
        <w:t>Turismo sostenible y especies migratorias</w:t>
      </w:r>
      <w:r w:rsidRPr="00914923">
        <w:rPr>
          <w:rFonts w:ascii="Arial" w:hAnsi="Arial" w:cs="Arial"/>
          <w:sz w:val="22"/>
          <w:szCs w:val="22"/>
          <w:lang w:val="es-ES"/>
        </w:rPr>
        <w:t xml:space="preserve">, así como el Manual para la observación de ballenas en línea conjunto de la CBI y la CMS, con especial atención al control del tamaño de la flota de embarcaciones para la observación de fauna marina, y a la regulación de todas las actividades desde embarcaciones y en el agua que interactúen con cetáceos, para garantizar que estas actividades no tengan efectos negativos sobre la salud y la supervivencia a largo plazo de las poblaciones y los hábitats, y que tengan un impacto mínimo sobre el comportamiento de los animales expuestos; </w:t>
      </w:r>
    </w:p>
    <w:p w14:paraId="466524E7" w14:textId="77777777" w:rsidR="00914923" w:rsidRPr="00914923" w:rsidRDefault="00914923" w:rsidP="0091106C">
      <w:pPr>
        <w:widowControl/>
        <w:autoSpaceDE/>
        <w:autoSpaceDN/>
        <w:ind w:left="720"/>
        <w:contextualSpacing/>
        <w:textAlignment w:val="auto"/>
        <w:rPr>
          <w:rFonts w:ascii="Arial" w:eastAsiaTheme="minorHAnsi" w:hAnsi="Arial" w:cstheme="minorBidi"/>
          <w:sz w:val="22"/>
          <w:szCs w:val="22"/>
          <w:lang w:val="es-ES"/>
        </w:rPr>
      </w:pPr>
    </w:p>
    <w:p w14:paraId="314589BC" w14:textId="77777777" w:rsidR="00914923" w:rsidRPr="00914923" w:rsidRDefault="00914923" w:rsidP="0091106C">
      <w:pPr>
        <w:widowControl/>
        <w:numPr>
          <w:ilvl w:val="0"/>
          <w:numId w:val="2"/>
        </w:numPr>
        <w:autoSpaceDE/>
        <w:autoSpaceDN/>
        <w:ind w:left="993" w:hanging="426"/>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Aumentar la comprensión del impacto de las enfermedades mediante la preparación e investigación de eventos de mortalidad en poblaciones de cetáceos, y apoyando redes de varamiento funcionales y plenamente financiadas para responder a eventos de varamiento y obtener datos estandarizados y armonizados que puedan ser utilizados con fines de conservación;</w:t>
      </w:r>
    </w:p>
    <w:p w14:paraId="53C1C6A4" w14:textId="77777777" w:rsidR="00914923" w:rsidRPr="00914923" w:rsidRDefault="00914923" w:rsidP="0091106C">
      <w:pPr>
        <w:autoSpaceDE/>
        <w:autoSpaceDN/>
        <w:ind w:left="567"/>
        <w:jc w:val="both"/>
        <w:textAlignment w:val="auto"/>
        <w:rPr>
          <w:rFonts w:ascii="Arial" w:hAnsi="Arial" w:cs="Arial"/>
          <w:sz w:val="22"/>
          <w:szCs w:val="22"/>
          <w:lang w:val="es-ES"/>
        </w:rPr>
      </w:pPr>
    </w:p>
    <w:p w14:paraId="4BEE5725" w14:textId="5DB972C9" w:rsidR="00914923" w:rsidRPr="00914923" w:rsidRDefault="00227D9D" w:rsidP="0091106C">
      <w:pPr>
        <w:widowControl/>
        <w:numPr>
          <w:ilvl w:val="0"/>
          <w:numId w:val="2"/>
        </w:numPr>
        <w:autoSpaceDE/>
        <w:autoSpaceDN/>
        <w:ind w:left="990"/>
        <w:contextualSpacing/>
        <w:jc w:val="both"/>
        <w:textAlignment w:val="auto"/>
        <w:rPr>
          <w:rFonts w:ascii="Arial" w:eastAsiaTheme="minorHAnsi" w:hAnsi="Arial" w:cstheme="minorBidi"/>
          <w:sz w:val="22"/>
          <w:szCs w:val="22"/>
          <w:lang w:val="es-ES"/>
        </w:rPr>
      </w:pPr>
      <w:r>
        <w:rPr>
          <w:rFonts w:ascii="Arial" w:hAnsi="Arial" w:cs="Arial"/>
          <w:sz w:val="22"/>
          <w:szCs w:val="22"/>
          <w:lang w:val="es-ES"/>
        </w:rPr>
        <w:t>[</w:t>
      </w:r>
      <w:r w:rsidR="00914923" w:rsidRPr="00914923">
        <w:rPr>
          <w:rFonts w:ascii="Arial" w:hAnsi="Arial" w:cs="Arial"/>
          <w:sz w:val="22"/>
          <w:szCs w:val="22"/>
          <w:lang w:val="es-ES"/>
        </w:rPr>
        <w:t xml:space="preserve">Aplicar el principio de precaución con respecto a la minería de </w:t>
      </w:r>
      <w:r>
        <w:rPr>
          <w:rFonts w:ascii="Arial" w:hAnsi="Arial" w:cs="Arial"/>
          <w:sz w:val="22"/>
          <w:szCs w:val="22"/>
          <w:lang w:val="es-ES"/>
        </w:rPr>
        <w:t>aguas profundas</w:t>
      </w:r>
      <w:r w:rsidR="00914923" w:rsidRPr="00914923">
        <w:rPr>
          <w:rFonts w:ascii="Arial" w:hAnsi="Arial" w:cs="Arial"/>
          <w:sz w:val="22"/>
          <w:szCs w:val="22"/>
          <w:lang w:val="es-ES"/>
        </w:rPr>
        <w:t xml:space="preserve">, dando prioridad a la investigación de los impactos de la minería de </w:t>
      </w:r>
      <w:r>
        <w:rPr>
          <w:rFonts w:ascii="Arial" w:hAnsi="Arial" w:cs="Arial"/>
          <w:sz w:val="22"/>
          <w:szCs w:val="22"/>
          <w:lang w:val="es-ES"/>
        </w:rPr>
        <w:t>aguas profundas</w:t>
      </w:r>
      <w:r w:rsidR="00914923" w:rsidRPr="00914923">
        <w:rPr>
          <w:rFonts w:ascii="Arial" w:hAnsi="Arial" w:cs="Arial"/>
          <w:sz w:val="22"/>
          <w:szCs w:val="22"/>
          <w:lang w:val="es-ES"/>
        </w:rPr>
        <w:t xml:space="preserve"> y pausando la transición hacia la explotación, [en consonancia con lo dispuesto en la Resolución 14.[ ] </w:t>
      </w:r>
      <w:r w:rsidR="00914923" w:rsidRPr="00914923">
        <w:rPr>
          <w:rFonts w:ascii="Arial" w:hAnsi="Arial" w:cs="Arial"/>
          <w:i/>
          <w:iCs/>
          <w:sz w:val="22"/>
          <w:szCs w:val="22"/>
          <w:lang w:val="es-ES"/>
        </w:rPr>
        <w:t>Minería en aguas profundas</w:t>
      </w:r>
      <w:r w:rsidR="00914923" w:rsidRPr="00914923">
        <w:rPr>
          <w:rFonts w:ascii="Arial" w:hAnsi="Arial" w:cs="Arial"/>
          <w:sz w:val="22"/>
          <w:szCs w:val="22"/>
          <w:lang w:val="es-ES"/>
        </w:rPr>
        <w:t>]</w:t>
      </w:r>
      <w:r>
        <w:rPr>
          <w:rFonts w:ascii="Arial" w:hAnsi="Arial" w:cs="Arial"/>
          <w:sz w:val="22"/>
          <w:szCs w:val="22"/>
          <w:lang w:val="es-ES"/>
        </w:rPr>
        <w:t>]</w:t>
      </w:r>
      <w:r w:rsidR="00914923" w:rsidRPr="00914923">
        <w:rPr>
          <w:rFonts w:ascii="Arial" w:hAnsi="Arial" w:cs="Arial"/>
          <w:sz w:val="22"/>
          <w:szCs w:val="22"/>
          <w:lang w:val="es-ES"/>
        </w:rPr>
        <w:t>;.</w:t>
      </w:r>
    </w:p>
    <w:p w14:paraId="119210EB" w14:textId="77777777" w:rsidR="00914923" w:rsidRPr="00914923" w:rsidRDefault="00914923" w:rsidP="0091106C">
      <w:pPr>
        <w:autoSpaceDE/>
        <w:autoSpaceDN/>
        <w:ind w:left="567"/>
        <w:contextualSpacing/>
        <w:jc w:val="both"/>
        <w:textAlignment w:val="auto"/>
        <w:rPr>
          <w:rFonts w:ascii="Arial" w:hAnsi="Arial" w:cs="Arial"/>
          <w:sz w:val="22"/>
          <w:szCs w:val="22"/>
          <w:lang w:val="es-ES"/>
        </w:rPr>
      </w:pPr>
    </w:p>
    <w:p w14:paraId="2B9FBF1F" w14:textId="77777777" w:rsidR="00914923" w:rsidRPr="00914923" w:rsidRDefault="00914923" w:rsidP="0091106C">
      <w:pPr>
        <w:widowControl/>
        <w:numPr>
          <w:ilvl w:val="0"/>
          <w:numId w:val="1"/>
        </w:numPr>
        <w:autoSpaceDE/>
        <w:autoSpaceDN/>
        <w:ind w:left="567" w:hanging="567"/>
        <w:jc w:val="both"/>
        <w:textAlignment w:val="auto"/>
        <w:rPr>
          <w:rFonts w:ascii="Arial" w:eastAsiaTheme="minorHAnsi" w:hAnsi="Arial" w:cstheme="minorBidi"/>
          <w:sz w:val="22"/>
          <w:szCs w:val="22"/>
          <w:lang w:val="es-ES"/>
        </w:rPr>
      </w:pPr>
      <w:r w:rsidRPr="00914923">
        <w:rPr>
          <w:rFonts w:ascii="Arial" w:hAnsi="Arial" w:cs="Arial"/>
          <w:i/>
          <w:iCs/>
          <w:sz w:val="22"/>
          <w:szCs w:val="22"/>
          <w:lang w:val="es-ES"/>
        </w:rPr>
        <w:t>Se insta además a las</w:t>
      </w:r>
      <w:r w:rsidRPr="00914923">
        <w:rPr>
          <w:rFonts w:ascii="Arial" w:hAnsi="Arial" w:cs="Arial"/>
          <w:sz w:val="22"/>
          <w:szCs w:val="22"/>
          <w:lang w:val="es-ES"/>
        </w:rPr>
        <w:t xml:space="preserve"> Partes a:</w:t>
      </w:r>
    </w:p>
    <w:p w14:paraId="2A73C122" w14:textId="77777777" w:rsidR="00914923" w:rsidRPr="00914923" w:rsidRDefault="00914923" w:rsidP="0091106C">
      <w:pPr>
        <w:autoSpaceDE/>
        <w:autoSpaceDN/>
        <w:jc w:val="both"/>
        <w:textAlignment w:val="auto"/>
        <w:rPr>
          <w:rFonts w:ascii="Arial" w:hAnsi="Arial" w:cs="Arial"/>
          <w:sz w:val="22"/>
          <w:szCs w:val="22"/>
          <w:lang w:val="es-ES"/>
        </w:rPr>
      </w:pPr>
    </w:p>
    <w:p w14:paraId="35C50A05" w14:textId="77777777" w:rsidR="00914923" w:rsidRPr="00914923" w:rsidRDefault="00914923" w:rsidP="0091106C">
      <w:pPr>
        <w:widowControl/>
        <w:numPr>
          <w:ilvl w:val="0"/>
          <w:numId w:val="3"/>
        </w:numPr>
        <w:autoSpaceDE/>
        <w:autoSpaceDN/>
        <w:ind w:left="990" w:hanging="450"/>
        <w:contextualSpacing/>
        <w:jc w:val="both"/>
        <w:textAlignment w:val="auto"/>
        <w:rPr>
          <w:rFonts w:ascii="Arial" w:eastAsiaTheme="minorHAnsi" w:hAnsi="Arial" w:cstheme="minorBidi"/>
          <w:sz w:val="22"/>
          <w:szCs w:val="22"/>
          <w:lang w:val="es-ES"/>
        </w:rPr>
      </w:pPr>
      <w:bookmarkStart w:id="0" w:name="_Hlk135665669"/>
      <w:r w:rsidRPr="00914923">
        <w:rPr>
          <w:rFonts w:ascii="Arial" w:hAnsi="Arial" w:cs="Arial"/>
          <w:sz w:val="22"/>
          <w:szCs w:val="22"/>
          <w:lang w:val="es-ES"/>
        </w:rPr>
        <w:t xml:space="preserve">Establecer procesos para la participación de los pueblos indígenas y las comunidades locales (IPLC, por sus siglas en inglés) en las actividades y decisiones relacionadas con los cetáceos, así como dentro de las jurisdicciones nacionales, como y donde fuera apropiado, en consonancia con lo dispuesto en la Resolución 11.10 (Rev.COP13) </w:t>
      </w:r>
      <w:r w:rsidRPr="00914923">
        <w:rPr>
          <w:rFonts w:ascii="Arial" w:hAnsi="Arial" w:cs="Arial"/>
          <w:i/>
          <w:iCs/>
          <w:sz w:val="22"/>
          <w:szCs w:val="22"/>
          <w:lang w:val="es-ES"/>
        </w:rPr>
        <w:t>Sinergias y asociaciones</w:t>
      </w:r>
      <w:r w:rsidRPr="00914923">
        <w:rPr>
          <w:rFonts w:ascii="Arial" w:hAnsi="Arial" w:cs="Arial"/>
          <w:sz w:val="22"/>
          <w:szCs w:val="22"/>
          <w:lang w:val="es-ES"/>
        </w:rPr>
        <w:t>;</w:t>
      </w:r>
      <w:bookmarkEnd w:id="0"/>
    </w:p>
    <w:p w14:paraId="631E4565" w14:textId="77777777" w:rsidR="00914923" w:rsidRPr="00914923" w:rsidRDefault="00914923" w:rsidP="0091106C">
      <w:pPr>
        <w:autoSpaceDE/>
        <w:autoSpaceDN/>
        <w:ind w:left="990" w:hanging="450"/>
        <w:contextualSpacing/>
        <w:jc w:val="both"/>
        <w:textAlignment w:val="auto"/>
        <w:rPr>
          <w:rFonts w:ascii="Arial" w:hAnsi="Arial" w:cs="Arial"/>
          <w:sz w:val="22"/>
          <w:szCs w:val="22"/>
          <w:lang w:val="es-ES"/>
        </w:rPr>
      </w:pPr>
    </w:p>
    <w:p w14:paraId="1B591CE5" w14:textId="77777777" w:rsidR="00914923" w:rsidRPr="00914923" w:rsidRDefault="00914923" w:rsidP="0091106C">
      <w:pPr>
        <w:widowControl/>
        <w:numPr>
          <w:ilvl w:val="0"/>
          <w:numId w:val="3"/>
        </w:numPr>
        <w:autoSpaceDE/>
        <w:autoSpaceDN/>
        <w:ind w:left="990" w:hanging="450"/>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Proteger y restaurar los hábitats requeridos por los cetáceos incluidos en los Apéndices de la CMS a lo largo de todo su ciclo vital y área de distribución migratoria;</w:t>
      </w:r>
    </w:p>
    <w:p w14:paraId="44B63191" w14:textId="77777777" w:rsidR="00914923" w:rsidRPr="00914923" w:rsidRDefault="00914923" w:rsidP="0091106C">
      <w:pPr>
        <w:widowControl/>
        <w:autoSpaceDE/>
        <w:autoSpaceDN/>
        <w:ind w:left="720"/>
        <w:contextualSpacing/>
        <w:textAlignment w:val="auto"/>
        <w:rPr>
          <w:rFonts w:ascii="Arial" w:eastAsiaTheme="minorHAnsi" w:hAnsi="Arial" w:cstheme="minorBidi"/>
          <w:sz w:val="22"/>
          <w:szCs w:val="22"/>
          <w:lang w:val="es-ES"/>
        </w:rPr>
      </w:pPr>
    </w:p>
    <w:p w14:paraId="1C98603E" w14:textId="77777777" w:rsidR="00914923" w:rsidRPr="00914923" w:rsidRDefault="00914923" w:rsidP="0091106C">
      <w:pPr>
        <w:widowControl/>
        <w:numPr>
          <w:ilvl w:val="0"/>
          <w:numId w:val="3"/>
        </w:numPr>
        <w:autoSpaceDE/>
        <w:autoSpaceDN/>
        <w:ind w:left="990" w:hanging="450"/>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 xml:space="preserve">Utilizar la base de datos de las AIMM como un recurso clave para considerar la protección de hábitats de importancia crítica para los cetáceos incluidos en los apéndices de la CMS, en consonancia con, y basándose en las disposiciones de la Resolución 12.13 </w:t>
      </w:r>
      <w:r w:rsidRPr="00914923">
        <w:rPr>
          <w:rFonts w:ascii="Arial" w:hAnsi="Arial" w:cs="Arial"/>
          <w:i/>
          <w:iCs/>
          <w:sz w:val="22"/>
          <w:szCs w:val="22"/>
          <w:lang w:val="es-ES"/>
        </w:rPr>
        <w:t>Áreas Importantes para los Mamíferos Marinos</w:t>
      </w:r>
      <w:r w:rsidRPr="00914923">
        <w:rPr>
          <w:rFonts w:ascii="Arial" w:hAnsi="Arial" w:cs="Arial"/>
          <w:sz w:val="22"/>
          <w:szCs w:val="22"/>
          <w:lang w:val="es-ES"/>
        </w:rPr>
        <w:t xml:space="preserve"> (AIMM);</w:t>
      </w:r>
    </w:p>
    <w:p w14:paraId="1CB0F8D3" w14:textId="77777777" w:rsidR="00914923" w:rsidRPr="00914923" w:rsidRDefault="00914923" w:rsidP="0091106C">
      <w:pPr>
        <w:autoSpaceDE/>
        <w:autoSpaceDN/>
        <w:jc w:val="both"/>
        <w:textAlignment w:val="auto"/>
        <w:rPr>
          <w:rFonts w:ascii="Arial" w:eastAsiaTheme="minorHAnsi" w:hAnsi="Arial" w:cstheme="minorBidi"/>
          <w:sz w:val="22"/>
          <w:szCs w:val="22"/>
          <w:lang w:val="es-ES"/>
        </w:rPr>
      </w:pPr>
    </w:p>
    <w:p w14:paraId="4C46895F" w14:textId="77777777" w:rsidR="00914923" w:rsidRPr="00914923" w:rsidRDefault="00914923" w:rsidP="0091106C">
      <w:pPr>
        <w:widowControl/>
        <w:numPr>
          <w:ilvl w:val="0"/>
          <w:numId w:val="3"/>
        </w:numPr>
        <w:autoSpaceDE/>
        <w:autoSpaceDN/>
        <w:ind w:left="990" w:hanging="450"/>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 xml:space="preserve">A la hora de identificar áreas de importancia para los cetáceos, tener en cuenta la relación entre estas áreas y otras áreas que pudieran estar ecológicamente conectadas a ellas, por ejemplo como corredores de conexión, o como áreas de reproducción relacionadas con áreas de no reproducción, sitios de paradas, lugares de alimentación y descanso, en consonancia con lo dispuesto en la Resolución 12.07 (Rev.COP13) </w:t>
      </w:r>
      <w:r w:rsidRPr="00914923">
        <w:rPr>
          <w:rFonts w:ascii="Arial" w:hAnsi="Arial" w:cs="Arial"/>
          <w:i/>
          <w:iCs/>
          <w:sz w:val="22"/>
          <w:szCs w:val="22"/>
          <w:lang w:val="es-ES"/>
        </w:rPr>
        <w:t>El papel de las redes ecológicas en la conservación de las especies migratorias</w:t>
      </w:r>
      <w:r w:rsidRPr="00914923">
        <w:rPr>
          <w:rFonts w:ascii="Arial" w:hAnsi="Arial" w:cs="Arial"/>
          <w:sz w:val="22"/>
          <w:szCs w:val="22"/>
          <w:lang w:val="es-ES"/>
        </w:rPr>
        <w:t>;</w:t>
      </w:r>
    </w:p>
    <w:p w14:paraId="4910EFBB" w14:textId="77777777" w:rsidR="00914923" w:rsidRPr="00914923" w:rsidRDefault="00914923" w:rsidP="0091106C">
      <w:pPr>
        <w:widowControl/>
        <w:autoSpaceDE/>
        <w:autoSpaceDN/>
        <w:ind w:left="990" w:hanging="450"/>
        <w:contextualSpacing/>
        <w:textAlignment w:val="auto"/>
        <w:rPr>
          <w:rFonts w:ascii="Arial" w:hAnsi="Arial" w:cs="Arial"/>
          <w:sz w:val="22"/>
          <w:szCs w:val="22"/>
          <w:lang w:val="es-ES"/>
        </w:rPr>
      </w:pPr>
    </w:p>
    <w:p w14:paraId="29C9BA31" w14:textId="77777777" w:rsidR="00914923" w:rsidRPr="00914923" w:rsidRDefault="00914923" w:rsidP="0091106C">
      <w:pPr>
        <w:widowControl/>
        <w:numPr>
          <w:ilvl w:val="0"/>
          <w:numId w:val="3"/>
        </w:numPr>
        <w:autoSpaceDE/>
        <w:autoSpaceDN/>
        <w:ind w:left="990" w:hanging="450"/>
        <w:contextualSpacing/>
        <w:jc w:val="both"/>
        <w:textAlignment w:val="auto"/>
        <w:rPr>
          <w:rFonts w:ascii="Arial" w:eastAsiaTheme="minorHAnsi" w:hAnsi="Arial" w:cstheme="minorBidi"/>
          <w:sz w:val="22"/>
          <w:szCs w:val="22"/>
          <w:lang w:val="es-ES"/>
        </w:rPr>
      </w:pPr>
      <w:r w:rsidRPr="00914923">
        <w:rPr>
          <w:rFonts w:ascii="Arial" w:hAnsi="Arial" w:cs="Arial"/>
          <w:sz w:val="22"/>
          <w:szCs w:val="22"/>
          <w:lang w:val="es-ES"/>
        </w:rPr>
        <w:t xml:space="preserve">Utilizar la información sobre la comprensión creciente de las implicaciones de la cultura animal y la complejidad social para su conservación, con el objetivo de aumentar los esfuerzos de conservación existentes haciendo uso de los conocimientos sobre aspectos de sociabilidad, en consonancia con las disposiciones de la Resolución 11.23 (Rev.COP12) </w:t>
      </w:r>
      <w:r w:rsidRPr="00914923">
        <w:rPr>
          <w:rFonts w:ascii="Arial" w:hAnsi="Arial" w:cs="Arial"/>
          <w:i/>
          <w:iCs/>
          <w:sz w:val="22"/>
          <w:szCs w:val="22"/>
          <w:lang w:val="es-ES"/>
        </w:rPr>
        <w:t>Implicancias de conservación de la cultura animal y su complejidad social</w:t>
      </w:r>
      <w:r w:rsidRPr="00914923">
        <w:rPr>
          <w:rFonts w:ascii="Arial" w:hAnsi="Arial" w:cs="Arial"/>
          <w:sz w:val="22"/>
          <w:szCs w:val="22"/>
          <w:lang w:val="es-ES"/>
        </w:rPr>
        <w:t xml:space="preserve">; </w:t>
      </w:r>
    </w:p>
    <w:p w14:paraId="3AF8BACD" w14:textId="77777777" w:rsidR="00914923" w:rsidRPr="00914923" w:rsidRDefault="00914923" w:rsidP="0091106C">
      <w:pPr>
        <w:autoSpaceDE/>
        <w:autoSpaceDN/>
        <w:ind w:left="990" w:hanging="450"/>
        <w:jc w:val="both"/>
        <w:textAlignment w:val="auto"/>
        <w:rPr>
          <w:rFonts w:ascii="Arial" w:hAnsi="Arial" w:cs="Arial"/>
          <w:sz w:val="22"/>
          <w:szCs w:val="22"/>
          <w:lang w:val="es-ES"/>
        </w:rPr>
      </w:pPr>
    </w:p>
    <w:p w14:paraId="73230B82" w14:textId="77777777" w:rsidR="00914923" w:rsidRPr="00914923" w:rsidRDefault="00914923" w:rsidP="0091106C">
      <w:pPr>
        <w:widowControl/>
        <w:numPr>
          <w:ilvl w:val="0"/>
          <w:numId w:val="1"/>
        </w:numPr>
        <w:autoSpaceDE/>
        <w:autoSpaceDN/>
        <w:ind w:left="567" w:hanging="567"/>
        <w:jc w:val="both"/>
        <w:textAlignment w:val="auto"/>
        <w:rPr>
          <w:rFonts w:ascii="Arial" w:eastAsiaTheme="minorHAnsi" w:hAnsi="Arial" w:cstheme="minorBidi"/>
          <w:sz w:val="22"/>
          <w:szCs w:val="22"/>
          <w:lang w:val="es-ES"/>
        </w:rPr>
      </w:pPr>
      <w:r w:rsidRPr="00914923">
        <w:rPr>
          <w:rFonts w:ascii="Arial" w:hAnsi="Arial" w:cs="Arial"/>
          <w:i/>
          <w:iCs/>
          <w:sz w:val="22"/>
          <w:szCs w:val="22"/>
          <w:lang w:val="es-ES"/>
        </w:rPr>
        <w:t xml:space="preserve">Solicita </w:t>
      </w:r>
      <w:r w:rsidRPr="00914923">
        <w:rPr>
          <w:rFonts w:ascii="Arial" w:hAnsi="Arial" w:cs="Arial"/>
          <w:sz w:val="22"/>
          <w:szCs w:val="22"/>
          <w:lang w:val="es-ES"/>
        </w:rPr>
        <w:t>al</w:t>
      </w:r>
      <w:r w:rsidRPr="00914923">
        <w:rPr>
          <w:rFonts w:ascii="Arial" w:hAnsi="Arial" w:cs="Arial"/>
          <w:i/>
          <w:sz w:val="22"/>
          <w:szCs w:val="22"/>
          <w:lang w:val="es-ES"/>
        </w:rPr>
        <w:t xml:space="preserve"> </w:t>
      </w:r>
      <w:r w:rsidRPr="00914923">
        <w:rPr>
          <w:rFonts w:ascii="Arial" w:hAnsi="Arial" w:cs="Arial"/>
          <w:iCs/>
          <w:sz w:val="22"/>
          <w:szCs w:val="22"/>
          <w:lang w:val="es-ES"/>
        </w:rPr>
        <w:t>Consejo Científico y a la Secretaría que continúen aumentando sus esfuerzos colaborativos con otros foros internacionales relevantes, incluyendo la Comisión Ballenera Internacional y sus Comités Científico y de Conservación y el Grupo de Especialistas en Cetáceos de la Comisión de Supervivencia de Especies de la UICN, con el objetivo de evitar la duplicación del trabajo, aumentar las sinergias y elevar el perfil de la CMS y sus acuerdos relacionados con los cetáceos en estos foros</w:t>
      </w:r>
      <w:r w:rsidRPr="00914923">
        <w:rPr>
          <w:rFonts w:ascii="Arial" w:hAnsi="Arial" w:cs="Arial"/>
          <w:sz w:val="22"/>
          <w:szCs w:val="22"/>
          <w:lang w:val="es-ES"/>
        </w:rPr>
        <w:t xml:space="preserve">; </w:t>
      </w:r>
    </w:p>
    <w:p w14:paraId="227D6D8B" w14:textId="77777777" w:rsidR="00914923" w:rsidRPr="00914923" w:rsidRDefault="00914923" w:rsidP="0091106C">
      <w:pPr>
        <w:autoSpaceDE/>
        <w:autoSpaceDN/>
        <w:ind w:left="567" w:hanging="567"/>
        <w:textAlignment w:val="auto"/>
        <w:rPr>
          <w:rFonts w:ascii="Arial" w:hAnsi="Arial" w:cs="Arial"/>
          <w:sz w:val="22"/>
          <w:szCs w:val="22"/>
          <w:lang w:val="es-ES"/>
        </w:rPr>
      </w:pPr>
    </w:p>
    <w:p w14:paraId="40E035F4" w14:textId="77777777" w:rsidR="00914923" w:rsidRPr="00914923" w:rsidRDefault="00914923" w:rsidP="0091106C">
      <w:pPr>
        <w:widowControl/>
        <w:numPr>
          <w:ilvl w:val="0"/>
          <w:numId w:val="1"/>
        </w:numPr>
        <w:autoSpaceDE/>
        <w:autoSpaceDN/>
        <w:ind w:left="567" w:hanging="567"/>
        <w:contextualSpacing/>
        <w:jc w:val="both"/>
        <w:textAlignment w:val="auto"/>
        <w:rPr>
          <w:rFonts w:ascii="Arial" w:eastAsiaTheme="minorHAnsi" w:hAnsi="Arial" w:cstheme="minorBidi"/>
          <w:sz w:val="22"/>
          <w:szCs w:val="22"/>
          <w:lang w:val="es-ES"/>
        </w:rPr>
      </w:pPr>
      <w:r w:rsidRPr="00914923">
        <w:rPr>
          <w:rFonts w:ascii="Arial" w:eastAsia="MS Mincho" w:hAnsi="Arial" w:cs="Arial"/>
          <w:i/>
          <w:iCs/>
          <w:color w:val="000000"/>
          <w:sz w:val="22"/>
          <w:lang w:val="es-ES"/>
        </w:rPr>
        <w:t xml:space="preserve">Solicita </w:t>
      </w:r>
      <w:r w:rsidRPr="00914923">
        <w:rPr>
          <w:rFonts w:ascii="Arial" w:eastAsia="MS Mincho" w:hAnsi="Arial" w:cs="Arial"/>
          <w:color w:val="000000"/>
          <w:sz w:val="22"/>
          <w:lang w:val="es-ES"/>
        </w:rPr>
        <w:t>al Consejo Científico que continúe apoyando a su Grupo de Trabajo para los mamíferos acuáticos presidido por el consejero designado por la COP para los mamíferos acuáticos, y</w:t>
      </w:r>
      <w:r w:rsidRPr="00914923">
        <w:rPr>
          <w:rFonts w:ascii="Arial" w:eastAsia="MS Mincho" w:hAnsi="Arial" w:cs="Arial"/>
          <w:i/>
          <w:iCs/>
          <w:color w:val="000000"/>
          <w:sz w:val="22"/>
          <w:lang w:val="es-ES"/>
        </w:rPr>
        <w:t xml:space="preserve"> alienta</w:t>
      </w:r>
      <w:r w:rsidRPr="00914923">
        <w:rPr>
          <w:rFonts w:ascii="Arial" w:eastAsia="MS Mincho" w:hAnsi="Arial" w:cs="Arial"/>
          <w:color w:val="000000"/>
          <w:sz w:val="22"/>
          <w:lang w:val="es-ES"/>
        </w:rPr>
        <w:t xml:space="preserve"> a la participación de otros consejeros científicos, representantes de los organismos científicos o asesores de otros acuerdos de la CMS sobre mamíferos acuáticos, así como otros expertos relevantes.</w:t>
      </w:r>
    </w:p>
    <w:p w14:paraId="74829DEA" w14:textId="77777777" w:rsidR="00914923" w:rsidRPr="00914923" w:rsidRDefault="00914923" w:rsidP="0091106C">
      <w:pPr>
        <w:widowControl/>
        <w:autoSpaceDE/>
        <w:autoSpaceDN/>
        <w:ind w:left="720"/>
        <w:contextualSpacing/>
        <w:textAlignment w:val="auto"/>
        <w:rPr>
          <w:rFonts w:ascii="Arial" w:eastAsia="MS Mincho" w:hAnsi="Arial" w:cs="Arial"/>
          <w:color w:val="000000"/>
          <w:sz w:val="22"/>
          <w:lang w:val="es-ES"/>
        </w:rPr>
      </w:pPr>
    </w:p>
    <w:p w14:paraId="51F116C3" w14:textId="77777777" w:rsidR="00914923" w:rsidRPr="00914923" w:rsidRDefault="00914923" w:rsidP="0091106C">
      <w:pPr>
        <w:widowControl/>
        <w:numPr>
          <w:ilvl w:val="0"/>
          <w:numId w:val="1"/>
        </w:numPr>
        <w:autoSpaceDE/>
        <w:autoSpaceDN/>
        <w:ind w:left="567" w:hanging="567"/>
        <w:contextualSpacing/>
        <w:jc w:val="both"/>
        <w:textAlignment w:val="auto"/>
        <w:rPr>
          <w:rFonts w:ascii="Arial" w:eastAsiaTheme="minorHAnsi" w:hAnsi="Arial" w:cstheme="minorBidi"/>
          <w:sz w:val="22"/>
          <w:szCs w:val="22"/>
          <w:lang w:val="es-ES"/>
        </w:rPr>
      </w:pPr>
      <w:r w:rsidRPr="00914923">
        <w:rPr>
          <w:rFonts w:ascii="Arial" w:eastAsia="MS Mincho" w:hAnsi="Arial" w:cs="Arial"/>
          <w:i/>
          <w:iCs/>
          <w:color w:val="000000"/>
          <w:sz w:val="22"/>
          <w:lang w:val="es-ES"/>
        </w:rPr>
        <w:t>Deroga la</w:t>
      </w:r>
      <w:r w:rsidRPr="00914923">
        <w:rPr>
          <w:rFonts w:ascii="Arial" w:eastAsia="MS Mincho" w:hAnsi="Arial" w:cs="Arial"/>
          <w:color w:val="000000"/>
          <w:sz w:val="22"/>
          <w:lang w:val="es-ES"/>
        </w:rPr>
        <w:t xml:space="preserve"> Resolución 10.15 (Rev.COP12) </w:t>
      </w:r>
      <w:r w:rsidRPr="00914923">
        <w:rPr>
          <w:rFonts w:ascii="Arial" w:eastAsia="MS Mincho" w:hAnsi="Arial" w:cs="Arial"/>
          <w:i/>
          <w:iCs/>
          <w:color w:val="000000"/>
          <w:sz w:val="22"/>
          <w:lang w:val="es-ES"/>
        </w:rPr>
        <w:t>Programa Mundial de Trabajo para los Cetáceos</w:t>
      </w:r>
      <w:r w:rsidRPr="00914923">
        <w:rPr>
          <w:rFonts w:ascii="Arial" w:eastAsia="MS Mincho" w:hAnsi="Arial" w:cs="Arial"/>
          <w:color w:val="000000"/>
          <w:sz w:val="22"/>
          <w:lang w:val="es-ES"/>
        </w:rPr>
        <w:t>.</w:t>
      </w:r>
    </w:p>
    <w:p w14:paraId="383AE881" w14:textId="77777777" w:rsidR="00D82C56" w:rsidRDefault="00D82C56" w:rsidP="0091106C">
      <w:pPr>
        <w:rPr>
          <w:rFonts w:ascii="Arial" w:hAnsi="Arial" w:cs="Arial"/>
          <w:sz w:val="22"/>
          <w:szCs w:val="22"/>
          <w:lang w:val="es-ES"/>
        </w:rPr>
      </w:pPr>
    </w:p>
    <w:p w14:paraId="0CF031CA" w14:textId="77777777" w:rsidR="00914923" w:rsidRDefault="00914923" w:rsidP="0091106C">
      <w:pPr>
        <w:rPr>
          <w:rFonts w:ascii="Arial" w:hAnsi="Arial" w:cs="Arial"/>
          <w:sz w:val="22"/>
          <w:szCs w:val="22"/>
          <w:lang w:val="es-ES"/>
        </w:rPr>
      </w:pPr>
    </w:p>
    <w:p w14:paraId="680C8731" w14:textId="412731C1" w:rsidR="00DA2F00" w:rsidRDefault="00DA2F00">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4F0C6647" w:rsidR="00D82C56" w:rsidRPr="00FD2360" w:rsidRDefault="00FD2360" w:rsidP="0091106C">
      <w:pPr>
        <w:jc w:val="center"/>
        <w:rPr>
          <w:rFonts w:ascii="Arial" w:hAnsi="Arial" w:cs="Arial"/>
          <w:sz w:val="22"/>
          <w:szCs w:val="22"/>
          <w:lang w:val="es-ES"/>
        </w:rPr>
      </w:pPr>
      <w:r w:rsidRPr="00FD2360">
        <w:rPr>
          <w:rFonts w:ascii="Arial" w:hAnsi="Arial" w:cs="Arial"/>
          <w:sz w:val="22"/>
          <w:szCs w:val="22"/>
          <w:lang w:val="es-ES"/>
        </w:rPr>
        <w:lastRenderedPageBreak/>
        <w:t>PROYECTO DE DECISIÓN</w:t>
      </w:r>
    </w:p>
    <w:p w14:paraId="621FE7FD" w14:textId="77777777" w:rsidR="00D82C56" w:rsidRPr="00FD2360" w:rsidRDefault="00D82C56" w:rsidP="0091106C">
      <w:pPr>
        <w:rPr>
          <w:rFonts w:ascii="Arial" w:hAnsi="Arial" w:cs="Arial"/>
          <w:sz w:val="22"/>
          <w:szCs w:val="22"/>
          <w:lang w:val="es-ES"/>
        </w:rPr>
      </w:pPr>
    </w:p>
    <w:p w14:paraId="44D97413" w14:textId="77777777" w:rsidR="0091106C" w:rsidRPr="0091106C" w:rsidRDefault="0091106C" w:rsidP="0091106C">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theme="minorBidi"/>
          <w:sz w:val="22"/>
          <w:szCs w:val="22"/>
          <w:lang w:val="es-ES"/>
        </w:rPr>
      </w:pPr>
      <w:r w:rsidRPr="0091106C">
        <w:rPr>
          <w:rFonts w:ascii="Arial" w:eastAsiaTheme="minorHAnsi" w:hAnsi="Arial" w:cs="Arial"/>
          <w:b/>
          <w:caps/>
          <w:sz w:val="22"/>
          <w:szCs w:val="22"/>
          <w:lang w:val="es-ES"/>
        </w:rPr>
        <w:t>Prioridades de conservación para los cetáceos</w:t>
      </w:r>
    </w:p>
    <w:p w14:paraId="6546C8E1" w14:textId="77777777" w:rsidR="0091106C" w:rsidRPr="0091106C" w:rsidRDefault="0091106C" w:rsidP="0091106C">
      <w:pPr>
        <w:widowControl/>
        <w:autoSpaceDE/>
        <w:autoSpaceDN/>
        <w:jc w:val="both"/>
        <w:textAlignment w:val="auto"/>
        <w:rPr>
          <w:rFonts w:ascii="Arial" w:eastAsiaTheme="minorHAnsi" w:hAnsi="Arial" w:cs="Arial"/>
          <w:i/>
          <w:sz w:val="22"/>
          <w:szCs w:val="22"/>
          <w:lang w:val="es-ES"/>
        </w:rPr>
      </w:pPr>
    </w:p>
    <w:p w14:paraId="6795409E"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63DCE847"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b/>
          <w:i/>
          <w:sz w:val="22"/>
          <w:szCs w:val="22"/>
          <w:lang w:val="es-ES"/>
        </w:rPr>
        <w:t xml:space="preserve">Dirigidas a las Partes </w:t>
      </w:r>
    </w:p>
    <w:p w14:paraId="2CC7E7CD"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0C146E8E" w14:textId="77777777" w:rsidR="0091106C" w:rsidRPr="0091106C" w:rsidRDefault="0091106C" w:rsidP="0091106C">
      <w:pPr>
        <w:widowControl/>
        <w:autoSpaceDE/>
        <w:autoSpaceDN/>
        <w:ind w:left="851" w:hanging="851"/>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14.AA</w:t>
      </w:r>
      <w:r w:rsidRPr="0091106C">
        <w:rPr>
          <w:rFonts w:ascii="Arial" w:eastAsiaTheme="minorHAnsi" w:hAnsi="Arial" w:cs="Arial"/>
          <w:sz w:val="22"/>
          <w:szCs w:val="22"/>
          <w:lang w:val="es-ES"/>
        </w:rPr>
        <w:tab/>
      </w:r>
      <w:r w:rsidRPr="0091106C">
        <w:rPr>
          <w:rFonts w:ascii="Arial" w:eastAsiaTheme="minorHAnsi" w:hAnsi="Arial" w:cs="Arial"/>
          <w:iCs/>
          <w:sz w:val="22"/>
          <w:szCs w:val="22"/>
          <w:lang w:val="es-ES"/>
        </w:rPr>
        <w:t>Se solicita a las Partes:</w:t>
      </w:r>
    </w:p>
    <w:p w14:paraId="06E1F137" w14:textId="77777777" w:rsidR="0091106C" w:rsidRPr="0091106C" w:rsidRDefault="0091106C" w:rsidP="0091106C">
      <w:pPr>
        <w:widowControl/>
        <w:autoSpaceDE/>
        <w:autoSpaceDN/>
        <w:ind w:left="720" w:hanging="720"/>
        <w:jc w:val="both"/>
        <w:textAlignment w:val="auto"/>
        <w:rPr>
          <w:rFonts w:ascii="Arial" w:eastAsiaTheme="minorHAnsi" w:hAnsi="Arial" w:cs="Arial"/>
          <w:iCs/>
          <w:sz w:val="22"/>
          <w:szCs w:val="22"/>
          <w:lang w:val="es-ES"/>
        </w:rPr>
      </w:pPr>
    </w:p>
    <w:p w14:paraId="24EF843A" w14:textId="77777777" w:rsidR="0091106C" w:rsidRPr="0091106C" w:rsidRDefault="0091106C" w:rsidP="0091106C">
      <w:pPr>
        <w:widowControl/>
        <w:numPr>
          <w:ilvl w:val="0"/>
          <w:numId w:val="11"/>
        </w:numPr>
        <w:autoSpaceDE/>
        <w:autoSpaceDN/>
        <w:ind w:left="1418" w:hanging="567"/>
        <w:jc w:val="both"/>
        <w:textAlignment w:val="auto"/>
        <w:rPr>
          <w:rFonts w:ascii="Arial" w:eastAsiaTheme="minorHAnsi" w:hAnsi="Arial" w:cstheme="minorBidi"/>
          <w:sz w:val="22"/>
          <w:szCs w:val="22"/>
          <w:lang w:val="es-ES"/>
        </w:rPr>
      </w:pPr>
      <w:r w:rsidRPr="0091106C">
        <w:rPr>
          <w:rFonts w:ascii="Arial" w:eastAsiaTheme="minorHAnsi" w:hAnsi="Arial" w:cs="Arial"/>
          <w:iCs/>
          <w:sz w:val="22"/>
          <w:szCs w:val="22"/>
          <w:lang w:val="es-ES"/>
        </w:rPr>
        <w:t>Revisar las prioridades regionales para la conservación de los cetáceos identificadas en el Anexo 2 del documento UNEP/CMS/COP14/Inf.</w:t>
      </w:r>
      <w:r w:rsidRPr="0091106C">
        <w:rPr>
          <w:rFonts w:ascii="Arial" w:eastAsiaTheme="minorHAnsi" w:hAnsi="Arial" w:cs="Arial"/>
          <w:sz w:val="22"/>
          <w:szCs w:val="22"/>
          <w:lang w:val="es-ES"/>
        </w:rPr>
        <w:t xml:space="preserve">27.5.1a </w:t>
      </w:r>
      <w:r w:rsidRPr="0091106C">
        <w:rPr>
          <w:rFonts w:ascii="Arial" w:eastAsiaTheme="minorHAnsi" w:hAnsi="Arial" w:cs="Arial"/>
          <w:iCs/>
          <w:sz w:val="22"/>
          <w:szCs w:val="22"/>
          <w:lang w:val="es-ES"/>
        </w:rPr>
        <w:t xml:space="preserve">para su región, además de las recomendaciones descritas para cada una de las amenazas en la Resolución 14.[  ] </w:t>
      </w:r>
      <w:r w:rsidRPr="0091106C">
        <w:rPr>
          <w:rFonts w:ascii="Arial" w:eastAsiaTheme="minorHAnsi" w:hAnsi="Arial" w:cs="Arial"/>
          <w:i/>
          <w:sz w:val="22"/>
          <w:szCs w:val="22"/>
          <w:lang w:val="es-ES"/>
        </w:rPr>
        <w:t>Prioridades de conservación para los cetáceos</w:t>
      </w:r>
      <w:r w:rsidRPr="0091106C">
        <w:rPr>
          <w:rFonts w:ascii="Arial" w:eastAsiaTheme="minorHAnsi" w:hAnsi="Arial" w:cs="Arial"/>
          <w:iCs/>
          <w:sz w:val="22"/>
          <w:szCs w:val="22"/>
          <w:lang w:val="es-ES"/>
        </w:rPr>
        <w:t xml:space="preserve"> y abordarlas con la mayor urgencia posible, y si procediera, coordinándose con otros países de las región;</w:t>
      </w:r>
    </w:p>
    <w:p w14:paraId="13B07638" w14:textId="77777777" w:rsidR="0091106C" w:rsidRPr="0091106C" w:rsidRDefault="0091106C" w:rsidP="0091106C">
      <w:pPr>
        <w:autoSpaceDE/>
        <w:autoSpaceDN/>
        <w:ind w:left="1418" w:hanging="567"/>
        <w:jc w:val="both"/>
        <w:textAlignment w:val="auto"/>
        <w:rPr>
          <w:rFonts w:ascii="Arial" w:eastAsiaTheme="minorHAnsi" w:hAnsi="Arial" w:cs="Arial"/>
          <w:iCs/>
          <w:sz w:val="22"/>
          <w:szCs w:val="22"/>
          <w:lang w:val="es-ES"/>
        </w:rPr>
      </w:pPr>
    </w:p>
    <w:p w14:paraId="73B41151" w14:textId="77777777" w:rsidR="0091106C" w:rsidRPr="0091106C" w:rsidRDefault="0091106C" w:rsidP="0091106C">
      <w:pPr>
        <w:widowControl/>
        <w:numPr>
          <w:ilvl w:val="0"/>
          <w:numId w:val="5"/>
        </w:numPr>
        <w:autoSpaceDE/>
        <w:autoSpaceDN/>
        <w:ind w:left="1418" w:hanging="567"/>
        <w:jc w:val="both"/>
        <w:textAlignment w:val="auto"/>
        <w:rPr>
          <w:rFonts w:ascii="Arial" w:eastAsiaTheme="minorHAnsi" w:hAnsi="Arial" w:cstheme="minorBidi"/>
          <w:sz w:val="22"/>
          <w:szCs w:val="22"/>
          <w:lang w:val="es-ES"/>
        </w:rPr>
      </w:pPr>
      <w:r w:rsidRPr="0091106C">
        <w:rPr>
          <w:rFonts w:ascii="Arial" w:eastAsiaTheme="minorHAnsi" w:hAnsi="Arial" w:cs="Arial"/>
          <w:iCs/>
          <w:sz w:val="22"/>
          <w:szCs w:val="22"/>
          <w:lang w:val="es-ES"/>
        </w:rPr>
        <w:t>Dar parte de su progreso a través de sus informes nacionales;</w:t>
      </w:r>
    </w:p>
    <w:p w14:paraId="5E093B7F" w14:textId="77777777" w:rsidR="0091106C" w:rsidRPr="0091106C" w:rsidRDefault="0091106C" w:rsidP="0091106C">
      <w:pPr>
        <w:widowControl/>
        <w:autoSpaceDE/>
        <w:autoSpaceDN/>
        <w:ind w:left="1418" w:hanging="567"/>
        <w:jc w:val="both"/>
        <w:textAlignment w:val="auto"/>
        <w:rPr>
          <w:rFonts w:ascii="Arial" w:eastAsiaTheme="minorHAnsi" w:hAnsi="Arial" w:cs="Arial"/>
          <w:iCs/>
          <w:sz w:val="22"/>
          <w:szCs w:val="22"/>
          <w:lang w:val="es-ES"/>
        </w:rPr>
      </w:pPr>
    </w:p>
    <w:p w14:paraId="233C66B5" w14:textId="77777777" w:rsidR="0091106C" w:rsidRPr="0091106C" w:rsidRDefault="0091106C" w:rsidP="0091106C">
      <w:pPr>
        <w:widowControl/>
        <w:numPr>
          <w:ilvl w:val="0"/>
          <w:numId w:val="5"/>
        </w:numPr>
        <w:autoSpaceDE/>
        <w:autoSpaceDN/>
        <w:ind w:left="1418" w:hanging="567"/>
        <w:jc w:val="both"/>
        <w:textAlignment w:val="auto"/>
        <w:rPr>
          <w:rFonts w:ascii="Arial" w:eastAsiaTheme="minorHAnsi" w:hAnsi="Arial" w:cstheme="minorBidi"/>
          <w:sz w:val="22"/>
          <w:szCs w:val="22"/>
          <w:lang w:val="es-ES"/>
        </w:rPr>
      </w:pPr>
      <w:r w:rsidRPr="0091106C">
        <w:rPr>
          <w:rFonts w:ascii="Arial" w:eastAsiaTheme="minorHAnsi" w:hAnsi="Arial" w:cs="Arial"/>
          <w:iCs/>
          <w:sz w:val="22"/>
          <w:szCs w:val="22"/>
          <w:lang w:val="es-ES"/>
        </w:rPr>
        <w:t>Cuando sea posible, proporcionar apoyo técnico y al desarrollo de capacidades a otras Partes, según lo requerido para facilitar el intercambio de conocimientos y la colaboración efectiva.</w:t>
      </w:r>
    </w:p>
    <w:p w14:paraId="5F3CF2FC" w14:textId="77777777" w:rsidR="0091106C" w:rsidRPr="0091106C" w:rsidRDefault="0091106C" w:rsidP="0091106C">
      <w:pPr>
        <w:autoSpaceDE/>
        <w:autoSpaceDN/>
        <w:jc w:val="both"/>
        <w:textAlignment w:val="auto"/>
        <w:rPr>
          <w:rFonts w:ascii="Arial" w:eastAsiaTheme="minorHAnsi" w:hAnsi="Arial" w:cstheme="minorBidi"/>
          <w:sz w:val="22"/>
          <w:szCs w:val="22"/>
          <w:lang w:val="es-ES"/>
        </w:rPr>
      </w:pPr>
    </w:p>
    <w:p w14:paraId="4042A775" w14:textId="77777777" w:rsidR="0091106C" w:rsidRPr="0091106C" w:rsidRDefault="0091106C" w:rsidP="0091106C">
      <w:pPr>
        <w:autoSpaceDE/>
        <w:autoSpaceDN/>
        <w:jc w:val="both"/>
        <w:textAlignment w:val="auto"/>
        <w:rPr>
          <w:rFonts w:ascii="Arial" w:eastAsiaTheme="minorHAnsi" w:hAnsi="Arial" w:cs="Arial"/>
          <w:iCs/>
          <w:sz w:val="22"/>
          <w:szCs w:val="22"/>
          <w:lang w:val="es-ES"/>
        </w:rPr>
      </w:pPr>
      <w:r w:rsidRPr="0091106C">
        <w:rPr>
          <w:rFonts w:ascii="Arial" w:eastAsiaTheme="minorHAnsi" w:hAnsi="Arial" w:cs="Arial"/>
          <w:iCs/>
          <w:sz w:val="22"/>
          <w:szCs w:val="22"/>
          <w:lang w:val="es-ES"/>
        </w:rPr>
        <w:t>14.BB</w:t>
      </w:r>
      <w:r w:rsidRPr="0091106C">
        <w:rPr>
          <w:rFonts w:ascii="Arial" w:eastAsiaTheme="minorHAnsi" w:hAnsi="Arial" w:cs="Arial"/>
          <w:iCs/>
          <w:sz w:val="22"/>
          <w:szCs w:val="22"/>
          <w:lang w:val="es-ES"/>
        </w:rPr>
        <w:tab/>
        <w:t xml:space="preserve"> Se alienta a las Partes a: </w:t>
      </w:r>
    </w:p>
    <w:p w14:paraId="581EFB49" w14:textId="77777777" w:rsidR="0091106C" w:rsidRPr="0091106C" w:rsidRDefault="0091106C" w:rsidP="0091106C">
      <w:pPr>
        <w:autoSpaceDE/>
        <w:autoSpaceDN/>
        <w:jc w:val="both"/>
        <w:textAlignment w:val="auto"/>
        <w:rPr>
          <w:rFonts w:ascii="Arial" w:eastAsiaTheme="minorHAnsi" w:hAnsi="Arial" w:cs="Arial"/>
          <w:iCs/>
          <w:sz w:val="22"/>
          <w:szCs w:val="22"/>
          <w:lang w:val="es-ES"/>
        </w:rPr>
      </w:pPr>
    </w:p>
    <w:p w14:paraId="379AF9CF" w14:textId="77777777" w:rsidR="0091106C" w:rsidRPr="0091106C" w:rsidRDefault="0091106C" w:rsidP="0091106C">
      <w:pPr>
        <w:widowControl/>
        <w:numPr>
          <w:ilvl w:val="0"/>
          <w:numId w:val="14"/>
        </w:numPr>
        <w:autoSpaceDE/>
        <w:autoSpaceDN/>
        <w:ind w:left="1440" w:hanging="540"/>
        <w:contextualSpacing/>
        <w:jc w:val="both"/>
        <w:textAlignment w:val="auto"/>
        <w:rPr>
          <w:rFonts w:ascii="Arial" w:eastAsiaTheme="minorHAnsi" w:hAnsi="Arial" w:cstheme="minorBidi"/>
          <w:sz w:val="22"/>
          <w:szCs w:val="22"/>
          <w:lang w:val="es-ES"/>
        </w:rPr>
      </w:pPr>
      <w:r w:rsidRPr="0091106C">
        <w:rPr>
          <w:rFonts w:ascii="Arial" w:eastAsiaTheme="minorHAnsi" w:hAnsi="Arial" w:cs="Arial"/>
          <w:iCs/>
          <w:sz w:val="22"/>
          <w:szCs w:val="22"/>
          <w:lang w:val="es-ES"/>
        </w:rPr>
        <w:t>Participar en el proceso de negociación de un instrumento legalmente vinculante para acabar con la contaminación por plásticos;</w:t>
      </w:r>
    </w:p>
    <w:p w14:paraId="4F6E4F51" w14:textId="77777777" w:rsidR="0091106C" w:rsidRPr="0091106C" w:rsidRDefault="0091106C" w:rsidP="0091106C">
      <w:pPr>
        <w:autoSpaceDE/>
        <w:autoSpaceDN/>
        <w:ind w:left="1440" w:hanging="540"/>
        <w:contextualSpacing/>
        <w:jc w:val="both"/>
        <w:textAlignment w:val="auto"/>
        <w:rPr>
          <w:rFonts w:ascii="Arial" w:eastAsiaTheme="minorHAnsi" w:hAnsi="Arial" w:cstheme="minorBidi"/>
          <w:sz w:val="22"/>
          <w:szCs w:val="22"/>
          <w:lang w:val="es-ES"/>
        </w:rPr>
      </w:pPr>
    </w:p>
    <w:p w14:paraId="55E5BD73" w14:textId="4B8776A2" w:rsidR="0091106C" w:rsidRPr="0091106C" w:rsidRDefault="0091106C" w:rsidP="0091106C">
      <w:pPr>
        <w:widowControl/>
        <w:numPr>
          <w:ilvl w:val="0"/>
          <w:numId w:val="14"/>
        </w:numPr>
        <w:autoSpaceDE/>
        <w:autoSpaceDN/>
        <w:ind w:left="1440" w:hanging="540"/>
        <w:contextualSpacing/>
        <w:jc w:val="both"/>
        <w:textAlignment w:val="auto"/>
        <w:rPr>
          <w:rFonts w:ascii="Arial" w:eastAsiaTheme="minorHAnsi" w:hAnsi="Arial" w:cstheme="minorBidi"/>
          <w:sz w:val="22"/>
          <w:szCs w:val="22"/>
          <w:lang w:val="es-ES"/>
        </w:rPr>
      </w:pPr>
      <w:r w:rsidRPr="00501C89">
        <w:rPr>
          <w:rFonts w:ascii="Arial" w:eastAsiaTheme="minorHAnsi" w:hAnsi="Arial" w:cs="Arial"/>
          <w:sz w:val="22"/>
          <w:szCs w:val="22"/>
          <w:lang w:val="es-ES"/>
        </w:rPr>
        <w:t xml:space="preserve">Apoyar la aplicación del </w:t>
      </w:r>
      <w:r w:rsidR="00501C89" w:rsidRPr="00501C89">
        <w:rPr>
          <w:rFonts w:ascii="Arial" w:eastAsiaTheme="minorHAnsi" w:hAnsi="Arial" w:cs="Arial"/>
          <w:sz w:val="22"/>
          <w:szCs w:val="22"/>
          <w:lang w:val="es-ES"/>
        </w:rPr>
        <w:t>Acuerdo</w:t>
      </w:r>
      <w:r w:rsidR="00501C89" w:rsidRPr="00501C89">
        <w:rPr>
          <w:rFonts w:ascii="Arial" w:hAnsi="Arial" w:cs="Arial"/>
          <w:sz w:val="22"/>
          <w:szCs w:val="22"/>
          <w:lang w:val="es-ES"/>
        </w:rPr>
        <w:t xml:space="preserve"> dentro d</w:t>
      </w:r>
      <w:r w:rsidR="00501C89" w:rsidRPr="00501C89">
        <w:rPr>
          <w:rFonts w:ascii="Arial" w:eastAsiaTheme="minorHAnsi" w:hAnsi="Arial" w:cs="Arial"/>
          <w:sz w:val="22"/>
          <w:szCs w:val="22"/>
          <w:lang w:val="es-ES"/>
        </w:rPr>
        <w:t>el marco de la Convención de las Naciones Unidas sobre el Derecho del Mar</w:t>
      </w:r>
      <w:r w:rsidR="00501C89">
        <w:rPr>
          <w:rFonts w:ascii="Arial" w:eastAsiaTheme="minorHAnsi" w:hAnsi="Arial" w:cs="Arial"/>
          <w:sz w:val="22"/>
          <w:szCs w:val="22"/>
          <w:lang w:val="es-ES"/>
        </w:rPr>
        <w:t xml:space="preserve"> relativo a</w:t>
      </w:r>
      <w:r w:rsidRPr="00501C89">
        <w:rPr>
          <w:rFonts w:ascii="Arial" w:eastAsiaTheme="minorHAnsi" w:hAnsi="Arial" w:cs="Arial"/>
          <w:sz w:val="22"/>
          <w:szCs w:val="22"/>
          <w:lang w:val="es-ES"/>
        </w:rPr>
        <w:t xml:space="preserve"> la conservación</w:t>
      </w:r>
      <w:r w:rsidRPr="0091106C">
        <w:rPr>
          <w:rFonts w:ascii="Arial" w:eastAsiaTheme="minorHAnsi" w:hAnsi="Arial" w:cstheme="minorBidi"/>
          <w:sz w:val="22"/>
          <w:szCs w:val="22"/>
          <w:lang w:val="es-ES"/>
        </w:rPr>
        <w:t xml:space="preserve"> y el uso sostenible de la biodiversidad marina de áreas situadas fuera de la jurisdicción nacional</w:t>
      </w:r>
      <w:r w:rsidR="00501C89">
        <w:rPr>
          <w:rFonts w:ascii="Arial" w:eastAsiaTheme="minorHAnsi" w:hAnsi="Arial" w:cstheme="minorBidi"/>
          <w:sz w:val="22"/>
          <w:szCs w:val="22"/>
          <w:lang w:val="es-ES"/>
        </w:rPr>
        <w:t xml:space="preserve"> (BBNJ)</w:t>
      </w:r>
      <w:r w:rsidRPr="0091106C">
        <w:rPr>
          <w:rFonts w:ascii="Arial" w:eastAsiaTheme="minorHAnsi" w:hAnsi="Arial" w:cstheme="minorBidi"/>
          <w:sz w:val="22"/>
          <w:szCs w:val="22"/>
          <w:lang w:val="es-ES"/>
        </w:rPr>
        <w:t>, en concreto la realización de Evaluaciones de Impacto Ambiental sólidas, modernas y uniformes para las actividades con posibles impactos sobre los cetáceos en áreas situadas dentro y fuera de las jurisdicciones nacionales;</w:t>
      </w:r>
    </w:p>
    <w:p w14:paraId="69A1DB9D" w14:textId="77777777" w:rsidR="0091106C" w:rsidRPr="0091106C" w:rsidRDefault="0091106C" w:rsidP="0091106C">
      <w:pPr>
        <w:autoSpaceDE/>
        <w:autoSpaceDN/>
        <w:ind w:left="1440" w:hanging="540"/>
        <w:jc w:val="both"/>
        <w:textAlignment w:val="auto"/>
        <w:rPr>
          <w:rFonts w:ascii="Arial" w:eastAsiaTheme="minorHAnsi" w:hAnsi="Arial" w:cstheme="minorBidi"/>
          <w:sz w:val="22"/>
          <w:szCs w:val="22"/>
          <w:lang w:val="es-ES"/>
        </w:rPr>
      </w:pPr>
    </w:p>
    <w:p w14:paraId="0172F306" w14:textId="77777777" w:rsidR="0091106C" w:rsidRPr="0091106C" w:rsidRDefault="0091106C" w:rsidP="0091106C">
      <w:pPr>
        <w:widowControl/>
        <w:numPr>
          <w:ilvl w:val="0"/>
          <w:numId w:val="14"/>
        </w:numPr>
        <w:autoSpaceDE/>
        <w:autoSpaceDN/>
        <w:ind w:left="1440" w:hanging="540"/>
        <w:contextualSpacing/>
        <w:jc w:val="both"/>
        <w:textAlignment w:val="auto"/>
        <w:rPr>
          <w:rFonts w:ascii="Arial" w:eastAsiaTheme="minorHAnsi" w:hAnsi="Arial" w:cstheme="minorBidi"/>
          <w:sz w:val="22"/>
          <w:szCs w:val="22"/>
          <w:lang w:val="es-ES"/>
        </w:rPr>
      </w:pPr>
      <w:r w:rsidRPr="0091106C">
        <w:rPr>
          <w:rFonts w:ascii="Arial" w:eastAsiaTheme="minorHAnsi" w:hAnsi="Arial" w:cstheme="minorBidi"/>
          <w:sz w:val="22"/>
          <w:szCs w:val="22"/>
          <w:lang w:val="es-ES"/>
        </w:rPr>
        <w:t>Incluir a los cetáceos dentro de sus respectivas Estrategias y Planes de Acción Nacionales de Biodiversidad y asegurar que los objetivos y metas del Marco Global de Biodiversidad Kunming-Montreal sean aplicados de tal manera que se alineen positivamente con las prioridades de conservación para los cetáceos.</w:t>
      </w:r>
    </w:p>
    <w:p w14:paraId="31E1F09E"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43D8A328"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b/>
          <w:i/>
          <w:sz w:val="22"/>
          <w:szCs w:val="22"/>
          <w:lang w:val="es-ES"/>
        </w:rPr>
        <w:t>Dirigidas a organizaciones intergubernamentales y no gubernamentales</w:t>
      </w:r>
    </w:p>
    <w:p w14:paraId="68F81EFE"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11C9D62F" w14:textId="77777777" w:rsidR="0091106C" w:rsidRPr="0091106C" w:rsidRDefault="0091106C" w:rsidP="0091106C">
      <w:pPr>
        <w:widowControl/>
        <w:autoSpaceDE/>
        <w:autoSpaceDN/>
        <w:ind w:left="851" w:hanging="851"/>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14.CC</w:t>
      </w:r>
      <w:r w:rsidRPr="0091106C">
        <w:rPr>
          <w:rFonts w:ascii="Arial" w:eastAsiaTheme="minorHAnsi" w:hAnsi="Arial" w:cs="Arial"/>
          <w:sz w:val="22"/>
          <w:szCs w:val="22"/>
          <w:lang w:val="es-ES"/>
        </w:rPr>
        <w:tab/>
        <w:t xml:space="preserve">Se alienta a las organizaciones intergubernamentales y no gubernamentales a apoyar a las Partes en la mitigación de las amenazas prioritarias identificadas para su región en el </w:t>
      </w:r>
      <w:r w:rsidRPr="0091106C">
        <w:rPr>
          <w:rFonts w:ascii="Arial" w:eastAsiaTheme="minorHAnsi" w:hAnsi="Arial" w:cs="Arial"/>
          <w:iCs/>
          <w:sz w:val="22"/>
          <w:szCs w:val="22"/>
          <w:lang w:val="es-ES"/>
        </w:rPr>
        <w:t>Anexo 2 del documento UNEP/CMS/COP14/Inf.</w:t>
      </w:r>
      <w:r w:rsidRPr="0091106C">
        <w:rPr>
          <w:rFonts w:ascii="Arial" w:eastAsiaTheme="minorHAnsi" w:hAnsi="Arial" w:cs="Arial"/>
          <w:sz w:val="22"/>
          <w:szCs w:val="22"/>
          <w:lang w:val="es-ES"/>
        </w:rPr>
        <w:t>27.5.1a, incluyendo a través de la prestación de apoyo técnico y conocimientos especializados.</w:t>
      </w:r>
      <w:r w:rsidRPr="0091106C">
        <w:rPr>
          <w:rFonts w:ascii="Arial" w:eastAsiaTheme="minorHAnsi" w:hAnsi="Arial" w:cs="Arial"/>
          <w:iCs/>
          <w:sz w:val="22"/>
          <w:szCs w:val="22"/>
          <w:lang w:val="es-ES"/>
        </w:rPr>
        <w:t xml:space="preserve"> </w:t>
      </w:r>
    </w:p>
    <w:p w14:paraId="072A8FBC" w14:textId="77777777" w:rsidR="0091106C" w:rsidRPr="0091106C" w:rsidRDefault="0091106C" w:rsidP="0091106C">
      <w:pPr>
        <w:widowControl/>
        <w:autoSpaceDE/>
        <w:autoSpaceDN/>
        <w:jc w:val="both"/>
        <w:textAlignment w:val="auto"/>
        <w:rPr>
          <w:rFonts w:ascii="Arial" w:eastAsiaTheme="minorHAnsi" w:hAnsi="Arial" w:cs="Arial"/>
          <w:bCs/>
          <w:iCs/>
          <w:sz w:val="22"/>
          <w:szCs w:val="22"/>
          <w:lang w:val="es-ES"/>
        </w:rPr>
      </w:pPr>
    </w:p>
    <w:p w14:paraId="06D8DDCA"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b/>
          <w:i/>
          <w:sz w:val="22"/>
          <w:szCs w:val="22"/>
          <w:lang w:val="es-ES"/>
        </w:rPr>
        <w:t xml:space="preserve">Dirigidas al Consejo Científico </w:t>
      </w:r>
    </w:p>
    <w:p w14:paraId="48C15497"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3BD70643" w14:textId="77777777" w:rsidR="0091106C" w:rsidRPr="0091106C" w:rsidRDefault="0091106C" w:rsidP="0091106C">
      <w:pPr>
        <w:widowControl/>
        <w:autoSpaceDE/>
        <w:autoSpaceDN/>
        <w:ind w:left="851" w:hanging="851"/>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14.DD</w:t>
      </w:r>
      <w:r w:rsidRPr="0091106C">
        <w:rPr>
          <w:rFonts w:ascii="Arial" w:eastAsiaTheme="minorHAnsi" w:hAnsi="Arial" w:cs="Arial"/>
          <w:sz w:val="22"/>
          <w:szCs w:val="22"/>
          <w:lang w:val="es-ES"/>
        </w:rPr>
        <w:tab/>
        <w:t>Se solicita al Consejo Científico, con sujeción a la disponibilidad de recursos externos y cuando fuera aplicable con el apoyo del Grupo de Trabajo para Mamíferos Acuáticos:</w:t>
      </w:r>
    </w:p>
    <w:p w14:paraId="43181746" w14:textId="77777777" w:rsidR="0091106C" w:rsidRPr="0091106C" w:rsidRDefault="0091106C" w:rsidP="0091106C">
      <w:pPr>
        <w:widowControl/>
        <w:autoSpaceDE/>
        <w:autoSpaceDN/>
        <w:ind w:left="720" w:hanging="720"/>
        <w:jc w:val="both"/>
        <w:textAlignment w:val="auto"/>
        <w:rPr>
          <w:rFonts w:ascii="Arial" w:eastAsiaTheme="minorHAnsi" w:hAnsi="Arial" w:cs="Arial"/>
          <w:sz w:val="22"/>
          <w:szCs w:val="22"/>
          <w:lang w:val="es-ES"/>
        </w:rPr>
      </w:pPr>
    </w:p>
    <w:p w14:paraId="0E41B798" w14:textId="77777777" w:rsidR="0091106C" w:rsidRPr="0091106C" w:rsidRDefault="0091106C" w:rsidP="0091106C">
      <w:pPr>
        <w:widowControl/>
        <w:numPr>
          <w:ilvl w:val="0"/>
          <w:numId w:val="12"/>
        </w:numPr>
        <w:autoSpaceDE/>
        <w:autoSpaceDN/>
        <w:ind w:left="1418" w:hanging="518"/>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lastRenderedPageBreak/>
        <w:t>En cooperación con la CBI, cuantificar la captura de carne de ballena y de animales acuáticos silvestres actual de todos los cetáceos incluidos en el Apéndice I de la CMS en todas las regiones, y hacer recomendaciones a las Partes;</w:t>
      </w:r>
    </w:p>
    <w:p w14:paraId="0A2CE98F" w14:textId="77777777" w:rsidR="0091106C" w:rsidRPr="0091106C" w:rsidRDefault="0091106C" w:rsidP="0091106C">
      <w:pPr>
        <w:autoSpaceDE/>
        <w:autoSpaceDN/>
        <w:ind w:left="1418" w:hanging="567"/>
        <w:jc w:val="both"/>
        <w:textAlignment w:val="auto"/>
        <w:rPr>
          <w:rFonts w:ascii="Arial" w:eastAsiaTheme="minorHAnsi" w:hAnsi="Arial" w:cs="Arial"/>
          <w:sz w:val="22"/>
          <w:szCs w:val="22"/>
          <w:lang w:val="es-ES"/>
        </w:rPr>
      </w:pPr>
    </w:p>
    <w:p w14:paraId="7808D449" w14:textId="77777777" w:rsidR="0091106C" w:rsidRPr="0091106C" w:rsidRDefault="0091106C" w:rsidP="0091106C">
      <w:pPr>
        <w:widowControl/>
        <w:numPr>
          <w:ilvl w:val="0"/>
          <w:numId w:val="6"/>
        </w:numPr>
        <w:autoSpaceDE/>
        <w:autoSpaceDN/>
        <w:ind w:left="1418" w:hanging="518"/>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En el contexto de las amenazas por el cambio climático,</w:t>
      </w:r>
      <w:r w:rsidRPr="0091106C">
        <w:rPr>
          <w:rFonts w:ascii="Arial" w:eastAsiaTheme="minorHAnsi" w:hAnsi="Arial" w:cs="Arial"/>
          <w:bCs/>
          <w:iCs/>
          <w:sz w:val="22"/>
          <w:szCs w:val="22"/>
          <w:lang w:val="es-ES"/>
        </w:rPr>
        <w:t xml:space="preserve"> elaborar un informe sobre los impactos potenciales que tendrá la migración inducida por el cambio climático tanto en el bienestar como en los resultados de conservación de las especies de cetáceos afectadas, y hacer recomendaciones a las Partes;</w:t>
      </w:r>
    </w:p>
    <w:p w14:paraId="05C4DD59" w14:textId="77777777" w:rsidR="0091106C" w:rsidRPr="0091106C" w:rsidRDefault="0091106C" w:rsidP="0091106C">
      <w:pPr>
        <w:widowControl/>
        <w:autoSpaceDE/>
        <w:autoSpaceDN/>
        <w:ind w:hanging="518"/>
        <w:textAlignment w:val="auto"/>
        <w:rPr>
          <w:rFonts w:ascii="Arial" w:eastAsiaTheme="minorHAnsi" w:hAnsi="Arial" w:cs="Arial"/>
          <w:sz w:val="22"/>
          <w:szCs w:val="22"/>
          <w:lang w:val="es-ES"/>
        </w:rPr>
      </w:pPr>
    </w:p>
    <w:p w14:paraId="6C6C574D" w14:textId="77777777" w:rsidR="0091106C" w:rsidRPr="0091106C" w:rsidRDefault="0091106C" w:rsidP="0091106C">
      <w:pPr>
        <w:widowControl/>
        <w:numPr>
          <w:ilvl w:val="0"/>
          <w:numId w:val="6"/>
        </w:numPr>
        <w:autoSpaceDE/>
        <w:autoSpaceDN/>
        <w:ind w:left="1418" w:hanging="518"/>
        <w:jc w:val="both"/>
        <w:textAlignment w:val="auto"/>
        <w:rPr>
          <w:rFonts w:ascii="Arial" w:eastAsiaTheme="minorHAnsi" w:hAnsi="Arial" w:cstheme="minorBidi"/>
          <w:sz w:val="22"/>
          <w:szCs w:val="22"/>
          <w:lang w:val="es-ES"/>
        </w:rPr>
      </w:pPr>
      <w:r w:rsidRPr="0091106C">
        <w:rPr>
          <w:rFonts w:ascii="Arial" w:eastAsiaTheme="minorHAnsi" w:hAnsi="Arial" w:cs="Arial"/>
          <w:bCs/>
          <w:iCs/>
          <w:sz w:val="22"/>
          <w:szCs w:val="22"/>
          <w:lang w:val="es-ES"/>
        </w:rPr>
        <w:t xml:space="preserve">Recomendar el uso de protocolos estándar de varamiento y necropsia, </w:t>
      </w:r>
      <w:r w:rsidRPr="0091106C">
        <w:rPr>
          <w:rFonts w:ascii="Arial" w:eastAsiaTheme="minorHAnsi" w:hAnsi="Arial" w:cs="Arial"/>
          <w:sz w:val="22"/>
          <w:szCs w:val="22"/>
          <w:lang w:val="es-ES"/>
        </w:rPr>
        <w:t>teniendo en cuenta el trabajo emprendido por ACCOBAMS, ASCOBANS y la CBI,</w:t>
      </w:r>
      <w:r w:rsidRPr="0091106C">
        <w:rPr>
          <w:rFonts w:ascii="Arial" w:eastAsiaTheme="minorHAnsi" w:hAnsi="Arial" w:cs="Arial"/>
          <w:bCs/>
          <w:iCs/>
          <w:sz w:val="22"/>
          <w:szCs w:val="22"/>
          <w:lang w:val="es-ES"/>
        </w:rPr>
        <w:t xml:space="preserve"> </w:t>
      </w:r>
      <w:r w:rsidRPr="0091106C">
        <w:rPr>
          <w:rFonts w:ascii="Arial" w:eastAsiaTheme="minorHAnsi" w:hAnsi="Arial" w:cs="Arial"/>
          <w:sz w:val="22"/>
          <w:szCs w:val="22"/>
          <w:lang w:val="es-ES"/>
        </w:rPr>
        <w:t>con el fin de ayudar a investigar las causas de los acontecimientos mortales</w:t>
      </w:r>
      <w:r w:rsidRPr="0091106C">
        <w:rPr>
          <w:rFonts w:ascii="Arial" w:eastAsiaTheme="minorHAnsi" w:hAnsi="Arial" w:cs="Arial"/>
          <w:bCs/>
          <w:iCs/>
          <w:sz w:val="22"/>
          <w:szCs w:val="22"/>
          <w:lang w:val="es-ES"/>
        </w:rPr>
        <w:t>;</w:t>
      </w:r>
    </w:p>
    <w:p w14:paraId="135E191D" w14:textId="77777777" w:rsidR="0091106C" w:rsidRPr="0091106C" w:rsidRDefault="0091106C" w:rsidP="0091106C">
      <w:pPr>
        <w:autoSpaceDE/>
        <w:autoSpaceDN/>
        <w:ind w:left="1418" w:hanging="518"/>
        <w:jc w:val="both"/>
        <w:textAlignment w:val="auto"/>
        <w:rPr>
          <w:rFonts w:ascii="Arial" w:eastAsiaTheme="minorHAnsi" w:hAnsi="Arial" w:cs="Arial"/>
          <w:sz w:val="22"/>
          <w:szCs w:val="22"/>
          <w:lang w:val="es-ES"/>
        </w:rPr>
      </w:pPr>
    </w:p>
    <w:p w14:paraId="1BF635FE" w14:textId="77777777" w:rsidR="0091106C" w:rsidRPr="0091106C" w:rsidRDefault="0091106C" w:rsidP="0091106C">
      <w:pPr>
        <w:widowControl/>
        <w:numPr>
          <w:ilvl w:val="0"/>
          <w:numId w:val="6"/>
        </w:numPr>
        <w:autoSpaceDE/>
        <w:autoSpaceDN/>
        <w:ind w:left="1418" w:hanging="518"/>
        <w:jc w:val="both"/>
        <w:textAlignment w:val="auto"/>
        <w:rPr>
          <w:rFonts w:ascii="Arial" w:eastAsiaTheme="minorHAnsi" w:hAnsi="Arial" w:cstheme="minorBidi"/>
          <w:sz w:val="22"/>
          <w:szCs w:val="22"/>
          <w:lang w:val="es-ES"/>
        </w:rPr>
      </w:pPr>
      <w:r w:rsidRPr="0091106C">
        <w:rPr>
          <w:rFonts w:ascii="Arial" w:eastAsiaTheme="minorHAnsi" w:hAnsi="Arial" w:cs="Arial"/>
          <w:bCs/>
          <w:iCs/>
          <w:sz w:val="22"/>
          <w:szCs w:val="22"/>
          <w:lang w:val="es-ES"/>
        </w:rPr>
        <w:t>Elaborar un informe sobre el seguimiento, el bienestar y la conservación de los cetáceos incluidos en los apéndices de la CMS «fuera de su hábitat», proporcionar consejos sobre la respuesta adecuada hacia ellos, y hacer recomendaciones a las Partes;</w:t>
      </w:r>
    </w:p>
    <w:p w14:paraId="4F821D8D" w14:textId="77777777" w:rsidR="0091106C" w:rsidRPr="0091106C" w:rsidRDefault="0091106C" w:rsidP="0091106C">
      <w:pPr>
        <w:autoSpaceDE/>
        <w:autoSpaceDN/>
        <w:ind w:left="1418" w:hanging="518"/>
        <w:jc w:val="both"/>
        <w:textAlignment w:val="auto"/>
        <w:rPr>
          <w:rFonts w:ascii="Arial" w:eastAsiaTheme="minorHAnsi" w:hAnsi="Arial" w:cs="Arial"/>
          <w:sz w:val="22"/>
          <w:szCs w:val="22"/>
          <w:lang w:val="es-ES"/>
        </w:rPr>
      </w:pPr>
    </w:p>
    <w:p w14:paraId="4DB4809D" w14:textId="77777777" w:rsidR="0091106C" w:rsidRPr="0091106C" w:rsidRDefault="0091106C" w:rsidP="0091106C">
      <w:pPr>
        <w:widowControl/>
        <w:numPr>
          <w:ilvl w:val="0"/>
          <w:numId w:val="6"/>
        </w:numPr>
        <w:autoSpaceDE/>
        <w:autoSpaceDN/>
        <w:ind w:left="1418" w:hanging="518"/>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Sintetizar la investigación en la comprensión emergente de cómo el bienestar de los cetáceos puede afectar a los resultados de conservación, y hacer recomendaciones a las Partes;</w:t>
      </w:r>
    </w:p>
    <w:p w14:paraId="20B6F170" w14:textId="77777777" w:rsidR="0091106C" w:rsidRPr="0091106C" w:rsidRDefault="0091106C" w:rsidP="0091106C">
      <w:pPr>
        <w:autoSpaceDE/>
        <w:autoSpaceDN/>
        <w:ind w:left="1418" w:hanging="518"/>
        <w:jc w:val="both"/>
        <w:textAlignment w:val="auto"/>
        <w:rPr>
          <w:rFonts w:ascii="Arial" w:eastAsiaTheme="minorHAnsi" w:hAnsi="Arial" w:cs="Arial"/>
          <w:sz w:val="22"/>
          <w:szCs w:val="22"/>
          <w:lang w:val="es-ES"/>
        </w:rPr>
      </w:pPr>
    </w:p>
    <w:p w14:paraId="25590678" w14:textId="77777777" w:rsidR="0091106C" w:rsidRPr="0091106C" w:rsidRDefault="0091106C" w:rsidP="0091106C">
      <w:pPr>
        <w:widowControl/>
        <w:numPr>
          <w:ilvl w:val="0"/>
          <w:numId w:val="6"/>
        </w:numPr>
        <w:autoSpaceDE/>
        <w:autoSpaceDN/>
        <w:ind w:left="1418" w:hanging="518"/>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 xml:space="preserve">Revisar las recomendaciones para posibles acciones futuras del Consejo Científico, tal y como se incluye en el documento </w:t>
      </w:r>
      <w:r w:rsidRPr="0091106C">
        <w:rPr>
          <w:rFonts w:ascii="Arial" w:eastAsiaTheme="minorHAnsi" w:hAnsi="Arial" w:cs="Arial"/>
          <w:iCs/>
          <w:sz w:val="22"/>
          <w:szCs w:val="22"/>
          <w:lang w:val="es-ES"/>
        </w:rPr>
        <w:t>UNEP/CMS/COP14/Inf.</w:t>
      </w:r>
      <w:r w:rsidRPr="0091106C">
        <w:rPr>
          <w:rFonts w:ascii="Arial" w:eastAsiaTheme="minorHAnsi" w:hAnsi="Arial" w:cs="Arial"/>
          <w:sz w:val="22"/>
          <w:szCs w:val="22"/>
          <w:lang w:val="es-ES"/>
        </w:rPr>
        <w:t>27.5.1b y hacer recomendaciones a la 15</w:t>
      </w:r>
      <w:r w:rsidRPr="0091106C">
        <w:rPr>
          <w:rFonts w:ascii="Arial" w:eastAsiaTheme="minorHAnsi" w:hAnsi="Arial" w:cs="Arial"/>
          <w:sz w:val="22"/>
          <w:szCs w:val="22"/>
          <w:vertAlign w:val="superscript"/>
          <w:lang w:val="es-ES"/>
        </w:rPr>
        <w:t>a</w:t>
      </w:r>
      <w:r w:rsidRPr="0091106C">
        <w:rPr>
          <w:rFonts w:ascii="Arial" w:eastAsiaTheme="minorHAnsi" w:hAnsi="Arial" w:cs="Arial"/>
          <w:sz w:val="22"/>
          <w:szCs w:val="22"/>
          <w:lang w:val="es-ES"/>
        </w:rPr>
        <w:t xml:space="preserve"> reunión de la Conferencia de las Partes acerca de las acciones prioritarias para avanzar durante el siguiente periodo entre sesiones.</w:t>
      </w:r>
    </w:p>
    <w:p w14:paraId="6359E695" w14:textId="77777777" w:rsidR="0091106C" w:rsidRPr="0091106C" w:rsidRDefault="0091106C" w:rsidP="0091106C">
      <w:pPr>
        <w:widowControl/>
        <w:autoSpaceDE/>
        <w:autoSpaceDN/>
        <w:jc w:val="both"/>
        <w:textAlignment w:val="auto"/>
        <w:rPr>
          <w:rFonts w:ascii="Arial" w:eastAsiaTheme="minorHAnsi" w:hAnsi="Arial" w:cs="Arial"/>
          <w:bCs/>
          <w:iCs/>
          <w:sz w:val="22"/>
          <w:szCs w:val="22"/>
          <w:lang w:val="es-ES"/>
        </w:rPr>
      </w:pPr>
    </w:p>
    <w:p w14:paraId="0AEFDCCA"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b/>
          <w:i/>
          <w:sz w:val="22"/>
          <w:szCs w:val="22"/>
          <w:lang w:val="es-ES"/>
        </w:rPr>
        <w:t>Dirigidas a la Secretaría</w:t>
      </w:r>
    </w:p>
    <w:p w14:paraId="2EF5F21F"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2C5666B4" w14:textId="77777777" w:rsidR="0091106C" w:rsidRPr="0091106C" w:rsidRDefault="0091106C" w:rsidP="0091106C">
      <w:pPr>
        <w:widowControl/>
        <w:autoSpaceDE/>
        <w:autoSpaceDN/>
        <w:ind w:left="851" w:hanging="851"/>
        <w:jc w:val="both"/>
        <w:textAlignment w:val="auto"/>
        <w:rPr>
          <w:rFonts w:ascii="Arial" w:eastAsiaTheme="minorHAnsi" w:hAnsi="Arial" w:cs="Arial"/>
          <w:sz w:val="22"/>
          <w:szCs w:val="22"/>
          <w:lang w:val="es-ES"/>
        </w:rPr>
      </w:pPr>
      <w:r w:rsidRPr="0091106C">
        <w:rPr>
          <w:rFonts w:ascii="Arial" w:eastAsiaTheme="minorHAnsi" w:hAnsi="Arial" w:cs="Arial"/>
          <w:sz w:val="22"/>
          <w:szCs w:val="22"/>
          <w:lang w:val="es-ES"/>
        </w:rPr>
        <w:t>14.EE</w:t>
      </w:r>
      <w:r w:rsidRPr="0091106C">
        <w:rPr>
          <w:rFonts w:ascii="Arial" w:eastAsiaTheme="minorHAnsi" w:hAnsi="Arial" w:cs="Arial"/>
          <w:sz w:val="22"/>
          <w:szCs w:val="22"/>
          <w:lang w:val="es-ES"/>
        </w:rPr>
        <w:tab/>
        <w:t>La Secretaría, con sujeción a la disponibilidad de recursos externos, deberá apoyar al Consejo Científico en la elaboración de los informes y las recomendaciones solicitadas en la Decisión 14.CC.</w:t>
      </w:r>
    </w:p>
    <w:p w14:paraId="25502C01" w14:textId="77777777" w:rsidR="0091106C" w:rsidRDefault="0091106C" w:rsidP="0091106C">
      <w:pPr>
        <w:widowControl/>
        <w:autoSpaceDE/>
        <w:autoSpaceDN/>
        <w:jc w:val="center"/>
        <w:textAlignment w:val="auto"/>
        <w:rPr>
          <w:rFonts w:ascii="Arial" w:eastAsiaTheme="minorHAnsi" w:hAnsi="Arial" w:cs="Arial"/>
          <w:b/>
          <w:bCs/>
          <w:sz w:val="22"/>
          <w:szCs w:val="22"/>
          <w:lang w:val="es-ES"/>
        </w:rPr>
      </w:pPr>
    </w:p>
    <w:p w14:paraId="1CF22CFF" w14:textId="77777777" w:rsidR="005B5F30" w:rsidRPr="0091106C" w:rsidRDefault="005B5F30" w:rsidP="0091106C">
      <w:pPr>
        <w:widowControl/>
        <w:autoSpaceDE/>
        <w:autoSpaceDN/>
        <w:jc w:val="center"/>
        <w:textAlignment w:val="auto"/>
        <w:rPr>
          <w:rFonts w:ascii="Arial" w:eastAsiaTheme="minorHAnsi" w:hAnsi="Arial" w:cs="Arial"/>
          <w:b/>
          <w:bCs/>
          <w:sz w:val="22"/>
          <w:szCs w:val="22"/>
          <w:lang w:val="es-ES"/>
        </w:rPr>
      </w:pPr>
    </w:p>
    <w:p w14:paraId="24DD929F" w14:textId="58415B2E" w:rsidR="0091106C" w:rsidRPr="0091106C" w:rsidRDefault="0010634E" w:rsidP="0091106C">
      <w:pPr>
        <w:widowControl/>
        <w:autoSpaceDE/>
        <w:autoSpaceDN/>
        <w:jc w:val="center"/>
        <w:textAlignment w:val="auto"/>
        <w:rPr>
          <w:rFonts w:ascii="Arial" w:eastAsiaTheme="minorHAnsi" w:hAnsi="Arial" w:cstheme="minorBidi"/>
          <w:sz w:val="22"/>
          <w:szCs w:val="22"/>
          <w:lang w:val="es-ES"/>
        </w:rPr>
      </w:pPr>
      <w:r>
        <w:rPr>
          <w:rFonts w:ascii="Arial" w:eastAsiaTheme="minorHAnsi" w:hAnsi="Arial" w:cs="Arial"/>
          <w:b/>
          <w:bCs/>
          <w:sz w:val="22"/>
          <w:szCs w:val="22"/>
          <w:lang w:val="es-ES"/>
        </w:rPr>
        <w:t>LA IMPORTANCIA</w:t>
      </w:r>
      <w:r w:rsidR="0091106C" w:rsidRPr="0091106C">
        <w:rPr>
          <w:rFonts w:ascii="Arial" w:eastAsiaTheme="minorHAnsi" w:hAnsi="Arial" w:cs="Arial"/>
          <w:b/>
          <w:bCs/>
          <w:sz w:val="22"/>
          <w:szCs w:val="22"/>
          <w:lang w:val="es-ES"/>
        </w:rPr>
        <w:t xml:space="preserve"> DE LOS CETÁCEOS EN EL FUNCIONAMIENTO DEL ECOSISTEMA</w:t>
      </w:r>
    </w:p>
    <w:p w14:paraId="634EA71D"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5B6DFD11" w14:textId="77777777" w:rsidR="0091106C" w:rsidRPr="0091106C" w:rsidRDefault="0091106C" w:rsidP="0091106C">
      <w:pPr>
        <w:widowControl/>
        <w:autoSpaceDE/>
        <w:autoSpaceDN/>
        <w:jc w:val="both"/>
        <w:textAlignment w:val="auto"/>
        <w:rPr>
          <w:rFonts w:ascii="Arial" w:eastAsiaTheme="minorHAnsi" w:hAnsi="Arial" w:cs="Arial"/>
          <w:b/>
          <w:i/>
          <w:sz w:val="22"/>
          <w:szCs w:val="22"/>
          <w:lang w:val="es-ES"/>
        </w:rPr>
      </w:pPr>
    </w:p>
    <w:p w14:paraId="259266D8"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b/>
          <w:i/>
          <w:sz w:val="22"/>
          <w:szCs w:val="22"/>
          <w:lang w:val="es-ES"/>
        </w:rPr>
        <w:t>Dirigidas al Consejo Científico</w:t>
      </w:r>
    </w:p>
    <w:p w14:paraId="7C8034FF"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5D7E143E" w14:textId="77777777" w:rsidR="0091106C" w:rsidRPr="0091106C" w:rsidRDefault="0091106C" w:rsidP="0091106C">
      <w:pPr>
        <w:widowControl/>
        <w:autoSpaceDE/>
        <w:autoSpaceDN/>
        <w:ind w:left="851" w:hanging="851"/>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14.FF</w:t>
      </w:r>
      <w:r w:rsidRPr="0091106C">
        <w:rPr>
          <w:rFonts w:ascii="Arial" w:eastAsiaTheme="minorHAnsi" w:hAnsi="Arial" w:cs="Arial"/>
          <w:sz w:val="22"/>
          <w:szCs w:val="22"/>
          <w:lang w:val="es-ES"/>
        </w:rPr>
        <w:tab/>
        <w:t>Se solicita al Consejo Científico que, a través del Grupo de Trabajo para mamíferos acuáticos, proporcione asesoramiento y comentarios con respecto a la expansión del trabajo sobre el papel de los cetáceos en el funcionamiento del ecosistema en colaboración estrecha con la CBI.</w:t>
      </w:r>
    </w:p>
    <w:p w14:paraId="48DB873C" w14:textId="77777777" w:rsidR="0091106C" w:rsidRPr="0091106C" w:rsidRDefault="0091106C" w:rsidP="0091106C">
      <w:pPr>
        <w:widowControl/>
        <w:autoSpaceDE/>
        <w:autoSpaceDN/>
        <w:jc w:val="both"/>
        <w:textAlignment w:val="auto"/>
        <w:rPr>
          <w:rFonts w:ascii="Arial" w:eastAsiaTheme="minorHAnsi" w:hAnsi="Arial" w:cs="Arial"/>
          <w:b/>
          <w:i/>
          <w:sz w:val="22"/>
          <w:szCs w:val="22"/>
          <w:lang w:val="es-ES"/>
        </w:rPr>
      </w:pPr>
    </w:p>
    <w:p w14:paraId="28DFD42D"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b/>
          <w:i/>
          <w:sz w:val="22"/>
          <w:szCs w:val="22"/>
          <w:lang w:val="es-ES"/>
        </w:rPr>
        <w:t>Dirigidas a la Secretaría</w:t>
      </w:r>
    </w:p>
    <w:p w14:paraId="2DDB91D9"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5B7700F4"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14.GG</w:t>
      </w:r>
      <w:r w:rsidRPr="0091106C">
        <w:rPr>
          <w:rFonts w:ascii="Arial" w:eastAsiaTheme="minorHAnsi" w:hAnsi="Arial" w:cs="Arial"/>
          <w:sz w:val="22"/>
          <w:szCs w:val="22"/>
          <w:lang w:val="es-ES"/>
        </w:rPr>
        <w:tab/>
        <w:t xml:space="preserve">La Secretaría deberá: </w:t>
      </w:r>
    </w:p>
    <w:p w14:paraId="7F6C89A5"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01E98C8F" w14:textId="77777777" w:rsidR="0091106C" w:rsidRPr="0091106C" w:rsidRDefault="0091106C" w:rsidP="0091106C">
      <w:pPr>
        <w:widowControl/>
        <w:numPr>
          <w:ilvl w:val="1"/>
          <w:numId w:val="8"/>
        </w:numPr>
        <w:autoSpaceDE/>
        <w:autoSpaceDN/>
        <w:ind w:left="1418" w:hanging="567"/>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Continuar su comunicación con la Secretaría de la CBI con respecto al trabajo relativo al papel de los cetáceos en el funcionamiento del ecosistema;</w:t>
      </w:r>
    </w:p>
    <w:p w14:paraId="77C2091C" w14:textId="77777777" w:rsidR="0091106C" w:rsidRPr="0091106C" w:rsidRDefault="0091106C" w:rsidP="0091106C">
      <w:pPr>
        <w:widowControl/>
        <w:autoSpaceDE/>
        <w:autoSpaceDN/>
        <w:ind w:left="1548" w:hanging="567"/>
        <w:contextualSpacing/>
        <w:jc w:val="both"/>
        <w:textAlignment w:val="auto"/>
        <w:rPr>
          <w:rFonts w:ascii="Arial" w:eastAsiaTheme="minorHAnsi" w:hAnsi="Arial" w:cs="Arial"/>
          <w:sz w:val="22"/>
          <w:szCs w:val="22"/>
          <w:lang w:val="es-ES"/>
        </w:rPr>
      </w:pPr>
    </w:p>
    <w:p w14:paraId="69E47C18" w14:textId="77777777" w:rsidR="0091106C" w:rsidRPr="0091106C" w:rsidRDefault="0091106C" w:rsidP="0091106C">
      <w:pPr>
        <w:widowControl/>
        <w:autoSpaceDE/>
        <w:autoSpaceDN/>
        <w:ind w:left="1418" w:hanging="567"/>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lastRenderedPageBreak/>
        <w:t>b)</w:t>
      </w:r>
      <w:r w:rsidRPr="0091106C">
        <w:rPr>
          <w:rFonts w:ascii="Arial" w:eastAsiaTheme="minorHAnsi" w:hAnsi="Arial" w:cs="Arial"/>
          <w:sz w:val="22"/>
          <w:szCs w:val="22"/>
          <w:lang w:val="es-ES"/>
        </w:rPr>
        <w:tab/>
        <w:t>Informar sobre los resultados del segundo taller conjunto CBI-CMS sobre el funcionamiento del ecosistema de los cetáceos en la siguiente reunión del Comité del Período de Sesiones del Consejo Científico.</w:t>
      </w:r>
    </w:p>
    <w:p w14:paraId="7D799E79"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3DC18E87"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4585B393" w14:textId="77777777" w:rsidR="0091106C" w:rsidRPr="0091106C" w:rsidRDefault="0091106C" w:rsidP="0091106C">
      <w:pPr>
        <w:widowControl/>
        <w:autoSpaceDE/>
        <w:autoSpaceDN/>
        <w:jc w:val="center"/>
        <w:textAlignment w:val="auto"/>
        <w:rPr>
          <w:rFonts w:ascii="Arial" w:eastAsiaTheme="minorHAnsi" w:hAnsi="Arial" w:cstheme="minorBidi"/>
          <w:sz w:val="22"/>
          <w:szCs w:val="22"/>
          <w:lang w:val="es-ES"/>
        </w:rPr>
      </w:pPr>
      <w:r w:rsidRPr="0091106C">
        <w:rPr>
          <w:rFonts w:ascii="Arial" w:eastAsiaTheme="minorHAnsi" w:hAnsi="Arial" w:cs="Arial"/>
          <w:b/>
          <w:bCs/>
          <w:sz w:val="22"/>
          <w:szCs w:val="22"/>
          <w:lang w:val="es-ES"/>
        </w:rPr>
        <w:t>PLAN DE ACCIÓN PARA LOS CETÁCEOS EN LA REGIÓN DEL MAR ROJO</w:t>
      </w:r>
    </w:p>
    <w:p w14:paraId="3546E2C6"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7B768DA2"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0E24798A"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b/>
          <w:i/>
          <w:sz w:val="22"/>
          <w:szCs w:val="22"/>
          <w:lang w:val="es-ES"/>
        </w:rPr>
        <w:t xml:space="preserve">Dirigidas a las Partes </w:t>
      </w:r>
    </w:p>
    <w:p w14:paraId="28575603"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398B7161" w14:textId="77777777" w:rsidR="0091106C" w:rsidRPr="0091106C" w:rsidRDefault="0091106C" w:rsidP="0091106C">
      <w:pPr>
        <w:widowControl/>
        <w:autoSpaceDE/>
        <w:autoSpaceDN/>
        <w:ind w:left="851" w:hanging="851"/>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14.HH</w:t>
      </w:r>
      <w:r w:rsidRPr="0091106C">
        <w:rPr>
          <w:rFonts w:ascii="Arial" w:eastAsiaTheme="minorHAnsi" w:hAnsi="Arial" w:cs="Arial"/>
          <w:sz w:val="22"/>
          <w:szCs w:val="22"/>
          <w:lang w:val="es-ES"/>
        </w:rPr>
        <w:tab/>
      </w:r>
      <w:r w:rsidRPr="0091106C">
        <w:rPr>
          <w:rFonts w:ascii="Arial" w:eastAsiaTheme="minorHAnsi" w:hAnsi="Arial" w:cs="Arial"/>
          <w:iCs/>
          <w:sz w:val="22"/>
          <w:szCs w:val="22"/>
          <w:lang w:val="es-ES"/>
        </w:rPr>
        <w:t>Se solicita a las Partes que trabajen</w:t>
      </w:r>
      <w:r w:rsidRPr="0091106C">
        <w:rPr>
          <w:rFonts w:ascii="Arial" w:eastAsiaTheme="minorHAnsi" w:hAnsi="Arial" w:cs="Arial"/>
          <w:sz w:val="22"/>
          <w:szCs w:val="22"/>
          <w:lang w:val="es-ES"/>
        </w:rPr>
        <w:t xml:space="preserve"> con la Secretaría en el desarrollo de un Plan de Acción para los cetáceos en la región del mar Rojo, y que apoyen la organización de un taller regional.</w:t>
      </w:r>
    </w:p>
    <w:p w14:paraId="35896A3C"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73BD4B06"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b/>
          <w:i/>
          <w:sz w:val="22"/>
          <w:szCs w:val="22"/>
          <w:lang w:val="es-ES"/>
        </w:rPr>
        <w:t xml:space="preserve">Dirigidas al Consejo Científico </w:t>
      </w:r>
    </w:p>
    <w:p w14:paraId="3FF40D1B"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10A79C41" w14:textId="77777777" w:rsidR="0091106C" w:rsidRPr="0091106C" w:rsidRDefault="0091106C" w:rsidP="0091106C">
      <w:pPr>
        <w:autoSpaceDE/>
        <w:autoSpaceDN/>
        <w:ind w:left="851" w:hanging="851"/>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14.II</w:t>
      </w:r>
      <w:r w:rsidRPr="0091106C">
        <w:rPr>
          <w:rFonts w:ascii="Arial" w:eastAsiaTheme="minorHAnsi" w:hAnsi="Arial" w:cs="Arial"/>
          <w:sz w:val="22"/>
          <w:szCs w:val="22"/>
          <w:lang w:val="es-ES"/>
        </w:rPr>
        <w:tab/>
        <w:t xml:space="preserve">Se solicita al Consejo Científico, con el apoyo del Grupo de Trabajo para mamíferos acuáticos: </w:t>
      </w:r>
    </w:p>
    <w:p w14:paraId="09221C1E" w14:textId="77777777" w:rsidR="0091106C" w:rsidRPr="0091106C" w:rsidRDefault="0091106C" w:rsidP="0091106C">
      <w:pPr>
        <w:autoSpaceDE/>
        <w:autoSpaceDN/>
        <w:ind w:left="851" w:hanging="851"/>
        <w:jc w:val="both"/>
        <w:textAlignment w:val="auto"/>
        <w:rPr>
          <w:rFonts w:ascii="Arial" w:eastAsiaTheme="minorHAnsi" w:hAnsi="Arial" w:cs="Arial"/>
          <w:sz w:val="22"/>
          <w:szCs w:val="22"/>
          <w:lang w:val="es-ES"/>
        </w:rPr>
      </w:pPr>
    </w:p>
    <w:p w14:paraId="7C9D6EB5" w14:textId="77777777" w:rsidR="0091106C" w:rsidRPr="0091106C" w:rsidRDefault="0091106C" w:rsidP="0091106C">
      <w:pPr>
        <w:widowControl/>
        <w:numPr>
          <w:ilvl w:val="0"/>
          <w:numId w:val="10"/>
        </w:numPr>
        <w:autoSpaceDE/>
        <w:autoSpaceDN/>
        <w:ind w:left="1418" w:hanging="567"/>
        <w:contextualSpacing/>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Proporcionar asesoramiento y comentarios en el desarrollo de un Plan de Acción para los cetáceos en la región del mar Rojo;</w:t>
      </w:r>
    </w:p>
    <w:p w14:paraId="3EACFE5B" w14:textId="77777777" w:rsidR="0091106C" w:rsidRPr="0091106C" w:rsidRDefault="0091106C" w:rsidP="0091106C">
      <w:pPr>
        <w:autoSpaceDE/>
        <w:autoSpaceDN/>
        <w:ind w:left="1418" w:hanging="567"/>
        <w:contextualSpacing/>
        <w:jc w:val="both"/>
        <w:textAlignment w:val="auto"/>
        <w:rPr>
          <w:rFonts w:ascii="Arial" w:eastAsiaTheme="minorHAnsi" w:hAnsi="Arial" w:cs="Arial"/>
          <w:sz w:val="22"/>
          <w:szCs w:val="22"/>
          <w:lang w:val="es-ES"/>
        </w:rPr>
      </w:pPr>
    </w:p>
    <w:p w14:paraId="0DA6B26B" w14:textId="77777777" w:rsidR="0091106C" w:rsidRPr="0091106C" w:rsidRDefault="0091106C" w:rsidP="0091106C">
      <w:pPr>
        <w:widowControl/>
        <w:numPr>
          <w:ilvl w:val="0"/>
          <w:numId w:val="10"/>
        </w:numPr>
        <w:autoSpaceDE/>
        <w:autoSpaceDN/>
        <w:ind w:left="1418" w:hanging="567"/>
        <w:contextualSpacing/>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Revisar el proyecto final del Plan de Acción en la última reunión del Comité del Período de Sesiones antes de la COP15 y hacer recomendaciones a las Partes.</w:t>
      </w:r>
    </w:p>
    <w:p w14:paraId="4F175FAD" w14:textId="77777777" w:rsidR="0091106C" w:rsidRPr="0091106C" w:rsidRDefault="0091106C" w:rsidP="0091106C">
      <w:pPr>
        <w:widowControl/>
        <w:autoSpaceDE/>
        <w:autoSpaceDN/>
        <w:jc w:val="both"/>
        <w:textAlignment w:val="auto"/>
        <w:rPr>
          <w:rFonts w:ascii="Arial" w:eastAsiaTheme="minorHAnsi" w:hAnsi="Arial" w:cs="Arial"/>
          <w:b/>
          <w:i/>
          <w:sz w:val="22"/>
          <w:szCs w:val="22"/>
          <w:lang w:val="es-ES"/>
        </w:rPr>
      </w:pPr>
    </w:p>
    <w:p w14:paraId="4EBE6183"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b/>
          <w:i/>
          <w:sz w:val="22"/>
          <w:szCs w:val="22"/>
          <w:lang w:val="es-ES"/>
        </w:rPr>
        <w:t>Dirigidas a la Secretaría</w:t>
      </w:r>
    </w:p>
    <w:p w14:paraId="78AFCD7B"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0B6AE14C" w14:textId="77777777" w:rsidR="0091106C" w:rsidRPr="0091106C" w:rsidRDefault="0091106C" w:rsidP="0091106C">
      <w:pPr>
        <w:widowControl/>
        <w:autoSpaceDE/>
        <w:autoSpaceDN/>
        <w:ind w:left="851" w:hanging="851"/>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14.JJ</w:t>
      </w:r>
      <w:r w:rsidRPr="0091106C">
        <w:rPr>
          <w:rFonts w:ascii="Arial" w:eastAsiaTheme="minorHAnsi" w:hAnsi="Arial" w:cs="Arial"/>
          <w:sz w:val="22"/>
          <w:szCs w:val="22"/>
          <w:lang w:val="es-ES"/>
        </w:rPr>
        <w:tab/>
        <w:t>La Secretaría deberá, en función de la disponibilidad de recursos externos:</w:t>
      </w:r>
    </w:p>
    <w:p w14:paraId="1E51CC98" w14:textId="77777777" w:rsidR="0091106C" w:rsidRPr="0091106C" w:rsidRDefault="0091106C" w:rsidP="0091106C">
      <w:pPr>
        <w:autoSpaceDE/>
        <w:autoSpaceDN/>
        <w:ind w:left="1418" w:hanging="567"/>
        <w:jc w:val="both"/>
        <w:textAlignment w:val="auto"/>
        <w:rPr>
          <w:rFonts w:ascii="Arial" w:eastAsiaTheme="minorHAnsi" w:hAnsi="Arial" w:cs="Arial"/>
          <w:sz w:val="22"/>
          <w:szCs w:val="22"/>
          <w:lang w:val="es-ES"/>
        </w:rPr>
      </w:pPr>
    </w:p>
    <w:p w14:paraId="4322AE99" w14:textId="77777777" w:rsidR="0091106C" w:rsidRPr="0091106C" w:rsidRDefault="0091106C" w:rsidP="0091106C">
      <w:pPr>
        <w:widowControl/>
        <w:numPr>
          <w:ilvl w:val="0"/>
          <w:numId w:val="13"/>
        </w:numPr>
        <w:autoSpaceDE/>
        <w:autoSpaceDN/>
        <w:ind w:left="1418" w:hanging="567"/>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Organizar un taller con las Partes interesadas, científicos y organizaciones de conservación que trabajen en la región del mar Rojo para identificar la mejor forma de hacer avanzar la conservación de los cetáceos allí y ayudar en la elaboración de un Plan de Acción;</w:t>
      </w:r>
    </w:p>
    <w:p w14:paraId="2490F315" w14:textId="77777777" w:rsidR="0091106C" w:rsidRPr="0091106C" w:rsidRDefault="0091106C" w:rsidP="0091106C">
      <w:pPr>
        <w:autoSpaceDE/>
        <w:autoSpaceDN/>
        <w:ind w:left="1418" w:hanging="567"/>
        <w:jc w:val="both"/>
        <w:textAlignment w:val="auto"/>
        <w:rPr>
          <w:rFonts w:ascii="Arial" w:eastAsiaTheme="minorHAnsi" w:hAnsi="Arial" w:cs="Arial"/>
          <w:sz w:val="22"/>
          <w:szCs w:val="22"/>
          <w:lang w:val="es-ES"/>
        </w:rPr>
      </w:pPr>
    </w:p>
    <w:p w14:paraId="67CA3BC0" w14:textId="77777777" w:rsidR="0091106C" w:rsidRPr="0091106C" w:rsidRDefault="0091106C" w:rsidP="0091106C">
      <w:pPr>
        <w:widowControl/>
        <w:numPr>
          <w:ilvl w:val="0"/>
          <w:numId w:val="7"/>
        </w:numPr>
        <w:autoSpaceDE/>
        <w:autoSpaceDN/>
        <w:ind w:left="1418" w:hanging="567"/>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Consultar con organismos regionales y técnicos relevantes, tales como la Secretaría de la Organización Regional para la Conservación del Medioambiente en el Mar Rojo y el Golfo de Adén (PERSGA) y el Grupo de Especialistas en Cetáceos de la Comisión de Supervivencia de Especies de la UICN, para recabar su apoyo y hacer avanzar la conservación de los cetáceos en el mar Rojo, tal como recomendado por el taller anteriormente mencionado;</w:t>
      </w:r>
    </w:p>
    <w:p w14:paraId="54632DC2" w14:textId="77777777" w:rsidR="0091106C" w:rsidRPr="0091106C" w:rsidRDefault="0091106C" w:rsidP="0091106C">
      <w:pPr>
        <w:autoSpaceDE/>
        <w:autoSpaceDN/>
        <w:ind w:left="1418" w:hanging="567"/>
        <w:jc w:val="both"/>
        <w:textAlignment w:val="auto"/>
        <w:rPr>
          <w:rFonts w:ascii="Arial" w:eastAsiaTheme="minorHAnsi" w:hAnsi="Arial" w:cs="Arial"/>
          <w:sz w:val="22"/>
          <w:szCs w:val="22"/>
          <w:lang w:val="es-ES"/>
        </w:rPr>
      </w:pPr>
    </w:p>
    <w:p w14:paraId="7BDF52B9" w14:textId="77777777" w:rsidR="0091106C" w:rsidRPr="0091106C" w:rsidRDefault="0091106C" w:rsidP="0091106C">
      <w:pPr>
        <w:widowControl/>
        <w:numPr>
          <w:ilvl w:val="0"/>
          <w:numId w:val="7"/>
        </w:numPr>
        <w:autoSpaceDE/>
        <w:autoSpaceDN/>
        <w:ind w:left="1418" w:hanging="567"/>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Presentar el proyecto del Plan de Acción en la última reunión del Comité del Período de Sesiones del Comité Científico para su revisión antes de la COP15.</w:t>
      </w:r>
    </w:p>
    <w:p w14:paraId="41758EF3" w14:textId="77777777" w:rsidR="0091106C" w:rsidRPr="0091106C" w:rsidRDefault="0091106C" w:rsidP="0091106C">
      <w:pPr>
        <w:autoSpaceDE/>
        <w:autoSpaceDN/>
        <w:jc w:val="both"/>
        <w:textAlignment w:val="auto"/>
        <w:rPr>
          <w:rFonts w:ascii="Arial" w:eastAsiaTheme="minorHAnsi" w:hAnsi="Arial" w:cs="Arial"/>
          <w:b/>
          <w:bCs/>
          <w:i/>
          <w:iCs/>
          <w:szCs w:val="20"/>
          <w:lang w:val="es-ES"/>
        </w:rPr>
      </w:pPr>
    </w:p>
    <w:p w14:paraId="55F9D0F9" w14:textId="40A10C2C" w:rsidR="00B97DBB" w:rsidRDefault="00B97DBB">
      <w:pPr>
        <w:widowControl/>
        <w:suppressAutoHyphens w:val="0"/>
        <w:autoSpaceDE/>
        <w:spacing w:after="160" w:line="254" w:lineRule="auto"/>
        <w:rPr>
          <w:rFonts w:ascii="Arial" w:eastAsiaTheme="minorHAnsi" w:hAnsi="Arial" w:cs="Arial"/>
          <w:sz w:val="22"/>
          <w:szCs w:val="22"/>
          <w:lang w:val="es-ES"/>
        </w:rPr>
      </w:pPr>
      <w:r>
        <w:rPr>
          <w:rFonts w:ascii="Arial" w:eastAsiaTheme="minorHAnsi" w:hAnsi="Arial" w:cs="Arial"/>
          <w:sz w:val="22"/>
          <w:szCs w:val="22"/>
          <w:lang w:val="es-ES"/>
        </w:rPr>
        <w:br w:type="page"/>
      </w:r>
    </w:p>
    <w:p w14:paraId="6BD2D258" w14:textId="77777777" w:rsidR="0091106C" w:rsidRPr="0091106C" w:rsidRDefault="0091106C" w:rsidP="0091106C">
      <w:pPr>
        <w:widowControl/>
        <w:autoSpaceDE/>
        <w:autoSpaceDN/>
        <w:jc w:val="center"/>
        <w:textAlignment w:val="auto"/>
        <w:rPr>
          <w:rFonts w:ascii="Arial" w:eastAsiaTheme="minorHAnsi" w:hAnsi="Arial" w:cstheme="minorBidi"/>
          <w:sz w:val="22"/>
          <w:szCs w:val="22"/>
          <w:lang w:val="es-ES"/>
        </w:rPr>
      </w:pPr>
      <w:r w:rsidRPr="0091106C">
        <w:rPr>
          <w:rFonts w:ascii="Arial" w:eastAsiaTheme="minorHAnsi" w:hAnsi="Arial" w:cs="Arial"/>
          <w:b/>
          <w:bCs/>
          <w:sz w:val="22"/>
          <w:szCs w:val="22"/>
          <w:lang w:val="es-ES"/>
        </w:rPr>
        <w:lastRenderedPageBreak/>
        <w:t xml:space="preserve">PLAN DE ACCIÓN PARA LA PROTECCIÓN Y CONSERVACIÓN </w:t>
      </w:r>
    </w:p>
    <w:p w14:paraId="11DC7DC5" w14:textId="77777777" w:rsidR="0091106C" w:rsidRPr="0091106C" w:rsidRDefault="0091106C" w:rsidP="0091106C">
      <w:pPr>
        <w:widowControl/>
        <w:autoSpaceDE/>
        <w:autoSpaceDN/>
        <w:jc w:val="center"/>
        <w:textAlignment w:val="auto"/>
        <w:rPr>
          <w:rFonts w:ascii="Arial" w:eastAsiaTheme="minorHAnsi" w:hAnsi="Arial" w:cstheme="minorBidi"/>
          <w:sz w:val="22"/>
          <w:szCs w:val="22"/>
          <w:lang w:val="es-ES"/>
        </w:rPr>
      </w:pPr>
      <w:r w:rsidRPr="0091106C">
        <w:rPr>
          <w:rFonts w:ascii="Arial" w:eastAsiaTheme="minorHAnsi" w:hAnsi="Arial" w:cs="Arial"/>
          <w:b/>
          <w:bCs/>
          <w:sz w:val="22"/>
          <w:szCs w:val="22"/>
          <w:lang w:val="es-ES"/>
        </w:rPr>
        <w:t>DE LAS BALLENAS DEL ATLÁNTICO SUR</w:t>
      </w:r>
    </w:p>
    <w:p w14:paraId="52D1B586"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522DB00B" w14:textId="77777777" w:rsidR="0091106C" w:rsidRPr="0091106C" w:rsidRDefault="0091106C" w:rsidP="0091106C">
      <w:pPr>
        <w:widowControl/>
        <w:autoSpaceDE/>
        <w:autoSpaceDN/>
        <w:jc w:val="both"/>
        <w:textAlignment w:val="auto"/>
        <w:rPr>
          <w:rFonts w:ascii="Arial" w:eastAsiaTheme="minorHAnsi" w:hAnsi="Arial" w:cs="Arial"/>
          <w:b/>
          <w:i/>
          <w:sz w:val="22"/>
          <w:szCs w:val="22"/>
          <w:lang w:val="es-ES"/>
        </w:rPr>
      </w:pPr>
    </w:p>
    <w:p w14:paraId="3DC77215"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b/>
          <w:i/>
          <w:sz w:val="22"/>
          <w:szCs w:val="22"/>
          <w:lang w:val="es-ES"/>
        </w:rPr>
        <w:t xml:space="preserve">Dirigidas a las Partes </w:t>
      </w:r>
    </w:p>
    <w:p w14:paraId="27707289"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1FE6C29F" w14:textId="77777777" w:rsidR="0091106C" w:rsidRPr="0091106C" w:rsidRDefault="0091106C" w:rsidP="0091106C">
      <w:pPr>
        <w:widowControl/>
        <w:autoSpaceDE/>
        <w:autoSpaceDN/>
        <w:ind w:left="851" w:hanging="851"/>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14.KK</w:t>
      </w:r>
      <w:r w:rsidRPr="0091106C">
        <w:rPr>
          <w:rFonts w:ascii="Arial" w:eastAsiaTheme="minorHAnsi" w:hAnsi="Arial" w:cs="Arial"/>
          <w:sz w:val="22"/>
          <w:szCs w:val="22"/>
          <w:lang w:val="es-ES"/>
        </w:rPr>
        <w:tab/>
      </w:r>
      <w:r w:rsidRPr="0091106C">
        <w:rPr>
          <w:rFonts w:ascii="Arial" w:eastAsiaTheme="minorHAnsi" w:hAnsi="Arial" w:cs="Arial"/>
          <w:iCs/>
          <w:sz w:val="22"/>
          <w:szCs w:val="22"/>
          <w:lang w:val="es-ES"/>
        </w:rPr>
        <w:t xml:space="preserve">Se solicita a las Partes que informen a través de sus informes nacionales sobre el progreso en la aplicación del Plan de Acción para la protección y conservación de las ballenas del Atlántico sur (Anexo 1 al documento UNEP/CMS/Resolución 12.17 </w:t>
      </w:r>
      <w:r w:rsidRPr="0091106C">
        <w:rPr>
          <w:rFonts w:ascii="Arial" w:eastAsiaTheme="minorHAnsi" w:hAnsi="Arial" w:cs="Arial"/>
          <w:i/>
          <w:sz w:val="22"/>
          <w:szCs w:val="22"/>
          <w:lang w:val="es-ES"/>
        </w:rPr>
        <w:t>Conservación y Gestión de las Ballenas y sus Hábitats en la Región del Atlántico Sur</w:t>
      </w:r>
      <w:r w:rsidRPr="0091106C">
        <w:rPr>
          <w:rFonts w:ascii="Arial" w:eastAsiaTheme="minorHAnsi" w:hAnsi="Arial" w:cs="Arial"/>
          <w:iCs/>
          <w:sz w:val="22"/>
          <w:szCs w:val="22"/>
          <w:lang w:val="es-ES"/>
        </w:rPr>
        <w:t>), así como sobre el seguimiento y la eficacia de las medidas adoptadas a la Conferencia de las Partes en su 15</w:t>
      </w:r>
      <w:r w:rsidRPr="0091106C">
        <w:rPr>
          <w:rFonts w:ascii="Arial" w:eastAsiaTheme="minorHAnsi" w:hAnsi="Arial" w:cs="Arial"/>
          <w:iCs/>
          <w:sz w:val="22"/>
          <w:szCs w:val="22"/>
          <w:vertAlign w:val="superscript"/>
          <w:lang w:val="es-ES"/>
        </w:rPr>
        <w:t>a</w:t>
      </w:r>
      <w:r w:rsidRPr="0091106C">
        <w:rPr>
          <w:rFonts w:ascii="Arial" w:eastAsiaTheme="minorHAnsi" w:hAnsi="Arial" w:cs="Arial"/>
          <w:iCs/>
          <w:sz w:val="22"/>
          <w:szCs w:val="22"/>
          <w:lang w:val="es-ES"/>
        </w:rPr>
        <w:t xml:space="preserve"> reunión.</w:t>
      </w:r>
    </w:p>
    <w:p w14:paraId="72C500DC"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0ABEF37B" w14:textId="77777777" w:rsidR="0091106C" w:rsidRPr="0091106C" w:rsidRDefault="0091106C" w:rsidP="0091106C">
      <w:pPr>
        <w:widowControl/>
        <w:autoSpaceDE/>
        <w:autoSpaceDN/>
        <w:jc w:val="both"/>
        <w:textAlignment w:val="auto"/>
        <w:rPr>
          <w:rFonts w:ascii="Arial" w:eastAsiaTheme="minorHAnsi" w:hAnsi="Arial" w:cstheme="minorBidi"/>
          <w:sz w:val="22"/>
          <w:szCs w:val="22"/>
          <w:lang w:val="es-ES"/>
        </w:rPr>
      </w:pPr>
      <w:r w:rsidRPr="0091106C">
        <w:rPr>
          <w:rFonts w:ascii="Arial" w:eastAsiaTheme="minorHAnsi" w:hAnsi="Arial" w:cs="Arial"/>
          <w:b/>
          <w:i/>
          <w:sz w:val="22"/>
          <w:szCs w:val="22"/>
          <w:lang w:val="es-ES"/>
        </w:rPr>
        <w:t>Dirigidas a la Secretaría</w:t>
      </w:r>
    </w:p>
    <w:p w14:paraId="5A8F7D64" w14:textId="77777777" w:rsidR="0091106C" w:rsidRPr="0091106C" w:rsidRDefault="0091106C" w:rsidP="0091106C">
      <w:pPr>
        <w:widowControl/>
        <w:autoSpaceDE/>
        <w:autoSpaceDN/>
        <w:jc w:val="both"/>
        <w:textAlignment w:val="auto"/>
        <w:rPr>
          <w:rFonts w:ascii="Arial" w:eastAsiaTheme="minorHAnsi" w:hAnsi="Arial" w:cs="Arial"/>
          <w:sz w:val="22"/>
          <w:szCs w:val="22"/>
          <w:lang w:val="es-ES"/>
        </w:rPr>
      </w:pPr>
    </w:p>
    <w:p w14:paraId="4DCA38A6" w14:textId="77777777" w:rsidR="0091106C" w:rsidRPr="0091106C" w:rsidRDefault="0091106C" w:rsidP="0091106C">
      <w:pPr>
        <w:widowControl/>
        <w:autoSpaceDE/>
        <w:autoSpaceDN/>
        <w:ind w:left="851" w:hanging="851"/>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14.LL</w:t>
      </w:r>
      <w:r w:rsidRPr="0091106C">
        <w:rPr>
          <w:rFonts w:ascii="Arial" w:eastAsiaTheme="minorHAnsi" w:hAnsi="Arial" w:cs="Arial"/>
          <w:sz w:val="22"/>
          <w:szCs w:val="22"/>
          <w:lang w:val="es-ES"/>
        </w:rPr>
        <w:tab/>
        <w:t xml:space="preserve">La Secretaría deberá, en función de la disponibilidad de recursos externos: </w:t>
      </w:r>
    </w:p>
    <w:p w14:paraId="61EC118B" w14:textId="77777777" w:rsidR="0091106C" w:rsidRPr="0091106C" w:rsidRDefault="0091106C" w:rsidP="0091106C">
      <w:pPr>
        <w:widowControl/>
        <w:autoSpaceDE/>
        <w:autoSpaceDN/>
        <w:ind w:left="851" w:hanging="851"/>
        <w:jc w:val="both"/>
        <w:textAlignment w:val="auto"/>
        <w:rPr>
          <w:rFonts w:ascii="Arial" w:eastAsiaTheme="minorHAnsi" w:hAnsi="Arial" w:cs="Arial"/>
          <w:sz w:val="22"/>
          <w:szCs w:val="22"/>
          <w:lang w:val="es-ES"/>
        </w:rPr>
      </w:pPr>
    </w:p>
    <w:p w14:paraId="3869E826" w14:textId="77777777" w:rsidR="0091106C" w:rsidRPr="0091106C" w:rsidRDefault="0091106C" w:rsidP="0091106C">
      <w:pPr>
        <w:widowControl/>
        <w:numPr>
          <w:ilvl w:val="0"/>
          <w:numId w:val="9"/>
        </w:numPr>
        <w:autoSpaceDE/>
        <w:autoSpaceDN/>
        <w:ind w:left="1418" w:hanging="567"/>
        <w:contextualSpacing/>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 xml:space="preserve">Organizar un taller regional con el fin de mejorar la capacidad para la implementación del Plan de Acción para la protección y conservación de las ballenas del Atlántico sur (Anexo 1 al documento UNEP/CMS/Resolución 12.17 </w:t>
      </w:r>
      <w:r w:rsidRPr="0091106C">
        <w:rPr>
          <w:rFonts w:ascii="Arial" w:eastAsiaTheme="minorHAnsi" w:hAnsi="Arial" w:cs="Arial"/>
          <w:i/>
          <w:iCs/>
          <w:sz w:val="22"/>
          <w:szCs w:val="22"/>
          <w:lang w:val="es-ES"/>
        </w:rPr>
        <w:t>Conservación y Gestión de las Ballenas y sus Hábitats en la Región del Atlántico Sur</w:t>
      </w:r>
      <w:r w:rsidRPr="0091106C">
        <w:rPr>
          <w:rFonts w:ascii="Arial" w:eastAsiaTheme="minorHAnsi" w:hAnsi="Arial" w:cs="Arial"/>
          <w:sz w:val="22"/>
          <w:szCs w:val="22"/>
          <w:lang w:val="es-ES"/>
        </w:rPr>
        <w:t>);</w:t>
      </w:r>
    </w:p>
    <w:p w14:paraId="51FBCDCC" w14:textId="77777777" w:rsidR="0091106C" w:rsidRPr="0091106C" w:rsidRDefault="0091106C" w:rsidP="0091106C">
      <w:pPr>
        <w:widowControl/>
        <w:autoSpaceDE/>
        <w:autoSpaceDN/>
        <w:ind w:left="1154" w:hanging="567"/>
        <w:contextualSpacing/>
        <w:jc w:val="both"/>
        <w:textAlignment w:val="auto"/>
        <w:rPr>
          <w:rFonts w:ascii="Arial" w:eastAsiaTheme="minorHAnsi" w:hAnsi="Arial" w:cs="Arial"/>
          <w:iCs/>
          <w:sz w:val="22"/>
          <w:szCs w:val="22"/>
          <w:lang w:val="es-ES"/>
        </w:rPr>
      </w:pPr>
    </w:p>
    <w:p w14:paraId="4412FCB3" w14:textId="77777777" w:rsidR="0091106C" w:rsidRPr="0091106C" w:rsidRDefault="0091106C" w:rsidP="0091106C">
      <w:pPr>
        <w:widowControl/>
        <w:numPr>
          <w:ilvl w:val="0"/>
          <w:numId w:val="9"/>
        </w:numPr>
        <w:autoSpaceDE/>
        <w:autoSpaceDN/>
        <w:ind w:left="1418" w:hanging="567"/>
        <w:contextualSpacing/>
        <w:jc w:val="both"/>
        <w:textAlignment w:val="auto"/>
        <w:rPr>
          <w:rFonts w:ascii="Arial" w:eastAsiaTheme="minorHAnsi" w:hAnsi="Arial" w:cstheme="minorBidi"/>
          <w:sz w:val="22"/>
          <w:szCs w:val="22"/>
          <w:lang w:val="es-ES"/>
        </w:rPr>
      </w:pPr>
      <w:r w:rsidRPr="0091106C">
        <w:rPr>
          <w:rFonts w:ascii="Arial" w:eastAsiaTheme="minorHAnsi" w:hAnsi="Arial" w:cs="Arial"/>
          <w:sz w:val="22"/>
          <w:szCs w:val="22"/>
          <w:lang w:val="es-ES"/>
        </w:rPr>
        <w:t xml:space="preserve">Continuar colaborando con la CBI en la implementación del </w:t>
      </w:r>
      <w:r w:rsidRPr="0091106C">
        <w:rPr>
          <w:rFonts w:ascii="Arial" w:eastAsiaTheme="minorHAnsi" w:hAnsi="Arial" w:cs="Arial"/>
          <w:iCs/>
          <w:sz w:val="22"/>
          <w:szCs w:val="22"/>
          <w:lang w:val="es-ES"/>
        </w:rPr>
        <w:t>Plan de Acción para la protección y conservación de las ballenas del Atlántico sur.</w:t>
      </w:r>
    </w:p>
    <w:p w14:paraId="252D3654" w14:textId="77777777" w:rsidR="00227282" w:rsidRPr="00FD2360" w:rsidRDefault="00227282" w:rsidP="0091106C">
      <w:pPr>
        <w:rPr>
          <w:rFonts w:ascii="Arial" w:hAnsi="Arial" w:cs="Arial"/>
          <w:lang w:val="es-ES"/>
        </w:rPr>
      </w:pPr>
    </w:p>
    <w:sectPr w:rsidR="00227282" w:rsidRPr="00FD2360" w:rsidSect="00345FD2">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A7C8" w14:textId="77777777" w:rsidR="0092207E" w:rsidRDefault="0092207E">
      <w:r>
        <w:separator/>
      </w:r>
    </w:p>
  </w:endnote>
  <w:endnote w:type="continuationSeparator" w:id="0">
    <w:p w14:paraId="7B475897" w14:textId="77777777" w:rsidR="0092207E" w:rsidRDefault="0092207E">
      <w:r>
        <w:continuationSeparator/>
      </w:r>
    </w:p>
  </w:endnote>
  <w:endnote w:type="continuationNotice" w:id="1">
    <w:p w14:paraId="5D05A719" w14:textId="77777777" w:rsidR="0092207E" w:rsidRDefault="00922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5CBC" w14:textId="77777777" w:rsidR="0092207E" w:rsidRDefault="0092207E">
      <w:r>
        <w:rPr>
          <w:color w:val="000000"/>
        </w:rPr>
        <w:separator/>
      </w:r>
    </w:p>
  </w:footnote>
  <w:footnote w:type="continuationSeparator" w:id="0">
    <w:p w14:paraId="19CD9FB1" w14:textId="77777777" w:rsidR="0092207E" w:rsidRDefault="0092207E">
      <w:r>
        <w:continuationSeparator/>
      </w:r>
    </w:p>
  </w:footnote>
  <w:footnote w:type="continuationNotice" w:id="1">
    <w:p w14:paraId="7EF6F5F7" w14:textId="77777777" w:rsidR="0092207E" w:rsidRDefault="0092207E"/>
  </w:footnote>
  <w:footnote w:id="2">
    <w:p w14:paraId="29032151" w14:textId="77777777" w:rsidR="00914923" w:rsidRPr="00896AA9" w:rsidRDefault="00914923" w:rsidP="00914923">
      <w:pPr>
        <w:pStyle w:val="FootnoteText"/>
        <w:jc w:val="both"/>
        <w:rPr>
          <w:sz w:val="16"/>
          <w:szCs w:val="16"/>
          <w:lang w:val="es-ES"/>
        </w:rPr>
      </w:pPr>
      <w:r w:rsidRPr="00896AA9">
        <w:rPr>
          <w:rStyle w:val="FootnoteReference"/>
          <w:sz w:val="16"/>
          <w:szCs w:val="16"/>
        </w:rPr>
        <w:footnoteRef/>
      </w:r>
      <w:r w:rsidRPr="00896AA9">
        <w:rPr>
          <w:sz w:val="16"/>
          <w:szCs w:val="16"/>
          <w:lang w:val="es-ES"/>
        </w:rPr>
        <w:t xml:space="preserve"> Acuerdo sobre la conservación de los cetáceos del mar Negro, mar Mediterráneo y la zona atlántica contigua</w:t>
      </w:r>
    </w:p>
  </w:footnote>
  <w:footnote w:id="3">
    <w:p w14:paraId="7821D82B" w14:textId="77777777" w:rsidR="00914923" w:rsidRPr="00662242" w:rsidRDefault="00914923" w:rsidP="00914923">
      <w:pPr>
        <w:pStyle w:val="FootnoteText"/>
        <w:jc w:val="both"/>
        <w:rPr>
          <w:lang w:val="es-ES"/>
        </w:rPr>
      </w:pPr>
      <w:r w:rsidRPr="00896AA9">
        <w:rPr>
          <w:rStyle w:val="FootnoteReference"/>
          <w:sz w:val="16"/>
          <w:szCs w:val="16"/>
        </w:rPr>
        <w:footnoteRef/>
      </w:r>
      <w:r w:rsidRPr="00896AA9">
        <w:rPr>
          <w:sz w:val="16"/>
          <w:szCs w:val="16"/>
          <w:lang w:val="es-ES"/>
        </w:rPr>
        <w:t xml:space="preserve"> Acuerdo sobre la conservación de los pequeños cetáceos del mar Báltico, Atlántico nordeste, mar de Irlanda y mar del Norte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27EF9E37" w:rsidR="0041439A" w:rsidRPr="00345FD2"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345FD2">
      <w:rPr>
        <w:rFonts w:ascii="Arial" w:hAnsi="Arial" w:cs="Arial"/>
        <w:i/>
        <w:sz w:val="18"/>
        <w:szCs w:val="18"/>
        <w:lang w:val="en-GB"/>
      </w:rPr>
      <w:t>UNEP/CMS/COP1</w:t>
    </w:r>
    <w:r w:rsidR="00227282" w:rsidRPr="00345FD2">
      <w:rPr>
        <w:rFonts w:ascii="Arial" w:hAnsi="Arial" w:cs="Arial"/>
        <w:i/>
        <w:sz w:val="18"/>
        <w:szCs w:val="18"/>
        <w:lang w:val="en-GB"/>
      </w:rPr>
      <w:t>4</w:t>
    </w:r>
    <w:r w:rsidRPr="00345FD2">
      <w:rPr>
        <w:rFonts w:ascii="Arial" w:hAnsi="Arial" w:cs="Arial"/>
        <w:i/>
        <w:sz w:val="18"/>
        <w:szCs w:val="18"/>
        <w:lang w:val="en-GB"/>
      </w:rPr>
      <w:t>/CRP</w:t>
    </w:r>
    <w:r w:rsidR="0091106C" w:rsidRPr="00345FD2">
      <w:rPr>
        <w:rFonts w:ascii="Arial" w:hAnsi="Arial" w:cs="Arial"/>
        <w:i/>
        <w:sz w:val="18"/>
        <w:szCs w:val="18"/>
        <w:lang w:val="en-GB"/>
      </w:rPr>
      <w:t>27.5.1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61051ACF" w:rsidR="0041439A" w:rsidRPr="002C5DEF"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2C5DEF">
      <w:rPr>
        <w:rFonts w:ascii="Arial" w:hAnsi="Arial" w:cs="Arial"/>
        <w:i/>
        <w:sz w:val="18"/>
        <w:szCs w:val="18"/>
        <w:lang w:val="en-GB"/>
      </w:rPr>
      <w:t>UNEP/CMS/COP1</w:t>
    </w:r>
    <w:r w:rsidR="00227282" w:rsidRPr="002C5DEF">
      <w:rPr>
        <w:rFonts w:ascii="Arial" w:hAnsi="Arial" w:cs="Arial"/>
        <w:i/>
        <w:sz w:val="18"/>
        <w:szCs w:val="18"/>
        <w:lang w:val="en-GB"/>
      </w:rPr>
      <w:t>4</w:t>
    </w:r>
    <w:r w:rsidRPr="002C5DEF">
      <w:rPr>
        <w:rFonts w:ascii="Arial" w:hAnsi="Arial" w:cs="Arial"/>
        <w:i/>
        <w:sz w:val="18"/>
        <w:szCs w:val="18"/>
        <w:lang w:val="en-GB"/>
      </w:rPr>
      <w:t>/CRP</w:t>
    </w:r>
    <w:r w:rsidR="0091106C" w:rsidRPr="002C5DEF">
      <w:rPr>
        <w:rFonts w:ascii="Arial" w:hAnsi="Arial" w:cs="Arial"/>
        <w:i/>
        <w:sz w:val="18"/>
        <w:szCs w:val="18"/>
        <w:lang w:val="en-GB"/>
      </w:rPr>
      <w:t>27.5.1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4192FDD8" w:rsidR="007A1066" w:rsidRPr="00345FD2"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345FD2">
      <w:rPr>
        <w:rFonts w:ascii="Arial" w:hAnsi="Arial" w:cs="Arial"/>
        <w:bCs/>
        <w:i/>
        <w:iCs/>
        <w:sz w:val="18"/>
        <w:szCs w:val="18"/>
        <w:lang w:val="en-GB"/>
      </w:rPr>
      <w:t>UNEP/CMS/COP1</w:t>
    </w:r>
    <w:r w:rsidR="001125D7" w:rsidRPr="00345FD2">
      <w:rPr>
        <w:rFonts w:ascii="Arial" w:hAnsi="Arial" w:cs="Arial"/>
        <w:bCs/>
        <w:i/>
        <w:iCs/>
        <w:sz w:val="18"/>
        <w:szCs w:val="18"/>
        <w:lang w:val="en-GB"/>
      </w:rPr>
      <w:t>4</w:t>
    </w:r>
    <w:r w:rsidRPr="00345FD2">
      <w:rPr>
        <w:rFonts w:ascii="Arial" w:hAnsi="Arial" w:cs="Arial"/>
        <w:bCs/>
        <w:i/>
        <w:iCs/>
        <w:sz w:val="18"/>
        <w:szCs w:val="18"/>
        <w:lang w:val="en-GB"/>
      </w:rPr>
      <w:t>/CRP</w:t>
    </w:r>
    <w:r w:rsidR="006E30E3" w:rsidRPr="00345FD2">
      <w:rPr>
        <w:rFonts w:ascii="Arial" w:hAnsi="Arial" w:cs="Arial"/>
        <w:bCs/>
        <w:i/>
        <w:iCs/>
        <w:sz w:val="18"/>
        <w:szCs w:val="18"/>
        <w:lang w:val="en-GB"/>
      </w:rPr>
      <w:t>27.5.1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BA5"/>
    <w:multiLevelType w:val="hybridMultilevel"/>
    <w:tmpl w:val="4A7863E6"/>
    <w:lvl w:ilvl="0" w:tplc="10000017">
      <w:start w:val="1"/>
      <w:numFmt w:val="lowerLetter"/>
      <w:lvlText w:val="%1)"/>
      <w:lvlJc w:val="left"/>
      <w:pPr>
        <w:ind w:left="2138" w:hanging="360"/>
      </w:pPr>
    </w:lvl>
    <w:lvl w:ilvl="1" w:tplc="10000019" w:tentative="1">
      <w:start w:val="1"/>
      <w:numFmt w:val="lowerLetter"/>
      <w:lvlText w:val="%2."/>
      <w:lvlJc w:val="left"/>
      <w:pPr>
        <w:ind w:left="2858" w:hanging="360"/>
      </w:pPr>
    </w:lvl>
    <w:lvl w:ilvl="2" w:tplc="1000001B" w:tentative="1">
      <w:start w:val="1"/>
      <w:numFmt w:val="lowerRoman"/>
      <w:lvlText w:val="%3."/>
      <w:lvlJc w:val="right"/>
      <w:pPr>
        <w:ind w:left="3578" w:hanging="180"/>
      </w:pPr>
    </w:lvl>
    <w:lvl w:ilvl="3" w:tplc="1000000F" w:tentative="1">
      <w:start w:val="1"/>
      <w:numFmt w:val="decimal"/>
      <w:lvlText w:val="%4."/>
      <w:lvlJc w:val="left"/>
      <w:pPr>
        <w:ind w:left="4298" w:hanging="360"/>
      </w:pPr>
    </w:lvl>
    <w:lvl w:ilvl="4" w:tplc="10000019" w:tentative="1">
      <w:start w:val="1"/>
      <w:numFmt w:val="lowerLetter"/>
      <w:lvlText w:val="%5."/>
      <w:lvlJc w:val="left"/>
      <w:pPr>
        <w:ind w:left="5018" w:hanging="360"/>
      </w:pPr>
    </w:lvl>
    <w:lvl w:ilvl="5" w:tplc="1000001B" w:tentative="1">
      <w:start w:val="1"/>
      <w:numFmt w:val="lowerRoman"/>
      <w:lvlText w:val="%6."/>
      <w:lvlJc w:val="right"/>
      <w:pPr>
        <w:ind w:left="5738" w:hanging="180"/>
      </w:pPr>
    </w:lvl>
    <w:lvl w:ilvl="6" w:tplc="1000000F" w:tentative="1">
      <w:start w:val="1"/>
      <w:numFmt w:val="decimal"/>
      <w:lvlText w:val="%7."/>
      <w:lvlJc w:val="left"/>
      <w:pPr>
        <w:ind w:left="6458" w:hanging="360"/>
      </w:pPr>
    </w:lvl>
    <w:lvl w:ilvl="7" w:tplc="10000019" w:tentative="1">
      <w:start w:val="1"/>
      <w:numFmt w:val="lowerLetter"/>
      <w:lvlText w:val="%8."/>
      <w:lvlJc w:val="left"/>
      <w:pPr>
        <w:ind w:left="7178" w:hanging="360"/>
      </w:pPr>
    </w:lvl>
    <w:lvl w:ilvl="8" w:tplc="1000001B" w:tentative="1">
      <w:start w:val="1"/>
      <w:numFmt w:val="lowerRoman"/>
      <w:lvlText w:val="%9."/>
      <w:lvlJc w:val="right"/>
      <w:pPr>
        <w:ind w:left="7898" w:hanging="180"/>
      </w:pPr>
    </w:lvl>
  </w:abstractNum>
  <w:abstractNum w:abstractNumId="1" w15:restartNumberingAfterBreak="0">
    <w:nsid w:val="42D821E3"/>
    <w:multiLevelType w:val="multilevel"/>
    <w:tmpl w:val="55AC062E"/>
    <w:lvl w:ilvl="0">
      <w:start w:val="1"/>
      <w:numFmt w:val="decimal"/>
      <w:lvlText w:val="%1."/>
      <w:lvlJc w:val="left"/>
      <w:pPr>
        <w:tabs>
          <w:tab w:val="num" w:pos="0"/>
        </w:tabs>
        <w:ind w:left="720" w:hanging="360"/>
      </w:pPr>
    </w:lvl>
    <w:lvl w:ilvl="1">
      <w:start w:val="1"/>
      <w:numFmt w:val="lowerLetter"/>
      <w:lvlText w:val="%2)"/>
      <w:lvlJc w:val="left"/>
      <w:pPr>
        <w:tabs>
          <w:tab w:val="num" w:pos="0"/>
        </w:tabs>
        <w:ind w:left="1548" w:hanging="46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CD550C2"/>
    <w:multiLevelType w:val="multilevel"/>
    <w:tmpl w:val="D4E86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09C3BDA"/>
    <w:multiLevelType w:val="multilevel"/>
    <w:tmpl w:val="C64E2F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5A53EF"/>
    <w:multiLevelType w:val="multilevel"/>
    <w:tmpl w:val="6D06FE68"/>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C393AEF"/>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6" w15:restartNumberingAfterBreak="0">
    <w:nsid w:val="5FB85865"/>
    <w:multiLevelType w:val="multilevel"/>
    <w:tmpl w:val="BF2C84C0"/>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C7038F8"/>
    <w:multiLevelType w:val="multilevel"/>
    <w:tmpl w:val="62526E8E"/>
    <w:lvl w:ilvl="0">
      <w:start w:val="1"/>
      <w:numFmt w:val="lowerLetter"/>
      <w:lvlText w:val="%1)"/>
      <w:lvlJc w:val="left"/>
      <w:pPr>
        <w:tabs>
          <w:tab w:val="num" w:pos="0"/>
        </w:tabs>
        <w:ind w:left="1154" w:hanging="360"/>
      </w:pPr>
    </w:lvl>
    <w:lvl w:ilvl="1">
      <w:start w:val="1"/>
      <w:numFmt w:val="lowerLetter"/>
      <w:lvlText w:val="%2."/>
      <w:lvlJc w:val="left"/>
      <w:pPr>
        <w:tabs>
          <w:tab w:val="num" w:pos="0"/>
        </w:tabs>
        <w:ind w:left="1874" w:hanging="360"/>
      </w:pPr>
    </w:lvl>
    <w:lvl w:ilvl="2">
      <w:start w:val="1"/>
      <w:numFmt w:val="lowerRoman"/>
      <w:lvlText w:val="%3."/>
      <w:lvlJc w:val="right"/>
      <w:pPr>
        <w:tabs>
          <w:tab w:val="num" w:pos="0"/>
        </w:tabs>
        <w:ind w:left="2594" w:hanging="180"/>
      </w:pPr>
    </w:lvl>
    <w:lvl w:ilvl="3">
      <w:start w:val="1"/>
      <w:numFmt w:val="decimal"/>
      <w:lvlText w:val="%4."/>
      <w:lvlJc w:val="left"/>
      <w:pPr>
        <w:tabs>
          <w:tab w:val="num" w:pos="0"/>
        </w:tabs>
        <w:ind w:left="3314" w:hanging="360"/>
      </w:pPr>
    </w:lvl>
    <w:lvl w:ilvl="4">
      <w:start w:val="1"/>
      <w:numFmt w:val="lowerLetter"/>
      <w:lvlText w:val="%5."/>
      <w:lvlJc w:val="left"/>
      <w:pPr>
        <w:tabs>
          <w:tab w:val="num" w:pos="0"/>
        </w:tabs>
        <w:ind w:left="4034" w:hanging="360"/>
      </w:pPr>
    </w:lvl>
    <w:lvl w:ilvl="5">
      <w:start w:val="1"/>
      <w:numFmt w:val="lowerRoman"/>
      <w:lvlText w:val="%6."/>
      <w:lvlJc w:val="right"/>
      <w:pPr>
        <w:tabs>
          <w:tab w:val="num" w:pos="0"/>
        </w:tabs>
        <w:ind w:left="4754" w:hanging="180"/>
      </w:pPr>
    </w:lvl>
    <w:lvl w:ilvl="6">
      <w:start w:val="1"/>
      <w:numFmt w:val="decimal"/>
      <w:lvlText w:val="%7."/>
      <w:lvlJc w:val="left"/>
      <w:pPr>
        <w:tabs>
          <w:tab w:val="num" w:pos="0"/>
        </w:tabs>
        <w:ind w:left="5474" w:hanging="360"/>
      </w:pPr>
    </w:lvl>
    <w:lvl w:ilvl="7">
      <w:start w:val="1"/>
      <w:numFmt w:val="lowerLetter"/>
      <w:lvlText w:val="%8."/>
      <w:lvlJc w:val="left"/>
      <w:pPr>
        <w:tabs>
          <w:tab w:val="num" w:pos="0"/>
        </w:tabs>
        <w:ind w:left="6194" w:hanging="360"/>
      </w:pPr>
    </w:lvl>
    <w:lvl w:ilvl="8">
      <w:start w:val="1"/>
      <w:numFmt w:val="lowerRoman"/>
      <w:lvlText w:val="%9."/>
      <w:lvlJc w:val="right"/>
      <w:pPr>
        <w:tabs>
          <w:tab w:val="num" w:pos="0"/>
        </w:tabs>
        <w:ind w:left="6914" w:hanging="180"/>
      </w:pPr>
    </w:lvl>
  </w:abstractNum>
  <w:abstractNum w:abstractNumId="8" w15:restartNumberingAfterBreak="0">
    <w:nsid w:val="7E124519"/>
    <w:multiLevelType w:val="multilevel"/>
    <w:tmpl w:val="38E4D6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E7808BB"/>
    <w:multiLevelType w:val="multilevel"/>
    <w:tmpl w:val="451480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75376297">
    <w:abstractNumId w:val="4"/>
  </w:num>
  <w:num w:numId="2" w16cid:durableId="847526397">
    <w:abstractNumId w:val="6"/>
  </w:num>
  <w:num w:numId="3" w16cid:durableId="1124928873">
    <w:abstractNumId w:val="9"/>
  </w:num>
  <w:num w:numId="4" w16cid:durableId="1983078816">
    <w:abstractNumId w:val="4"/>
    <w:lvlOverride w:ilvl="0">
      <w:startOverride w:val="1"/>
    </w:lvlOverride>
  </w:num>
  <w:num w:numId="5" w16cid:durableId="1393313849">
    <w:abstractNumId w:val="5"/>
  </w:num>
  <w:num w:numId="6" w16cid:durableId="897323638">
    <w:abstractNumId w:val="8"/>
  </w:num>
  <w:num w:numId="7" w16cid:durableId="1528519036">
    <w:abstractNumId w:val="2"/>
  </w:num>
  <w:num w:numId="8" w16cid:durableId="1554534443">
    <w:abstractNumId w:val="1"/>
  </w:num>
  <w:num w:numId="9" w16cid:durableId="1199513917">
    <w:abstractNumId w:val="7"/>
  </w:num>
  <w:num w:numId="10" w16cid:durableId="1007632338">
    <w:abstractNumId w:val="3"/>
  </w:num>
  <w:num w:numId="11" w16cid:durableId="1927878642">
    <w:abstractNumId w:val="5"/>
    <w:lvlOverride w:ilvl="0">
      <w:startOverride w:val="1"/>
    </w:lvlOverride>
  </w:num>
  <w:num w:numId="12" w16cid:durableId="549268254">
    <w:abstractNumId w:val="8"/>
    <w:lvlOverride w:ilvl="0">
      <w:startOverride w:val="1"/>
    </w:lvlOverride>
  </w:num>
  <w:num w:numId="13" w16cid:durableId="752892435">
    <w:abstractNumId w:val="2"/>
    <w:lvlOverride w:ilvl="0">
      <w:startOverride w:val="1"/>
    </w:lvlOverride>
  </w:num>
  <w:num w:numId="14" w16cid:durableId="1770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0634E"/>
    <w:rsid w:val="001125D7"/>
    <w:rsid w:val="001D18BF"/>
    <w:rsid w:val="002243FE"/>
    <w:rsid w:val="00227282"/>
    <w:rsid w:val="00227D9D"/>
    <w:rsid w:val="002C5DEF"/>
    <w:rsid w:val="00345FD2"/>
    <w:rsid w:val="003F1AD8"/>
    <w:rsid w:val="0041439A"/>
    <w:rsid w:val="0043102F"/>
    <w:rsid w:val="004F703C"/>
    <w:rsid w:val="00501C89"/>
    <w:rsid w:val="005645C4"/>
    <w:rsid w:val="0058757D"/>
    <w:rsid w:val="005B5F30"/>
    <w:rsid w:val="005D43E4"/>
    <w:rsid w:val="005F0639"/>
    <w:rsid w:val="006E30E3"/>
    <w:rsid w:val="007121FA"/>
    <w:rsid w:val="007A1066"/>
    <w:rsid w:val="0091106C"/>
    <w:rsid w:val="00914923"/>
    <w:rsid w:val="0092207E"/>
    <w:rsid w:val="00AA138B"/>
    <w:rsid w:val="00B53C6A"/>
    <w:rsid w:val="00B97DBB"/>
    <w:rsid w:val="00C34E45"/>
    <w:rsid w:val="00C41927"/>
    <w:rsid w:val="00D50F95"/>
    <w:rsid w:val="00D82C56"/>
    <w:rsid w:val="00DA2F00"/>
    <w:rsid w:val="00E45B44"/>
    <w:rsid w:val="00E829C9"/>
    <w:rsid w:val="00EB00FD"/>
    <w:rsid w:val="00ED41D7"/>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qFormat/>
    <w:rsid w:val="00914923"/>
    <w:rPr>
      <w:sz w:val="20"/>
      <w:szCs w:val="20"/>
    </w:rPr>
  </w:style>
  <w:style w:type="character" w:styleId="FootnoteReference">
    <w:name w:val="footnote reference"/>
    <w:rsid w:val="00914923"/>
    <w:rPr>
      <w:vertAlign w:val="superscript"/>
    </w:rPr>
  </w:style>
  <w:style w:type="paragraph" w:styleId="FootnoteText">
    <w:name w:val="footnote text"/>
    <w:basedOn w:val="Normal"/>
    <w:link w:val="FootnoteTextChar"/>
    <w:uiPriority w:val="99"/>
    <w:semiHidden/>
    <w:unhideWhenUsed/>
    <w:rsid w:val="00914923"/>
    <w:pPr>
      <w:widowControl/>
      <w:autoSpaceDE/>
      <w:autoSpaceDN/>
      <w:textAlignment w:val="auto"/>
    </w:pPr>
    <w:rPr>
      <w:rFonts w:ascii="Arial" w:eastAsia="Calibri" w:hAnsi="Arial"/>
      <w:szCs w:val="20"/>
    </w:rPr>
  </w:style>
  <w:style w:type="character" w:customStyle="1" w:styleId="FootnoteTextChar1">
    <w:name w:val="Footnote Text Char1"/>
    <w:basedOn w:val="DefaultParagraphFont"/>
    <w:uiPriority w:val="99"/>
    <w:semiHidden/>
    <w:rsid w:val="00914923"/>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12</cp:revision>
  <cp:lastPrinted>2020-02-03T15:02:00Z</cp:lastPrinted>
  <dcterms:created xsi:type="dcterms:W3CDTF">2024-02-14T18:34:00Z</dcterms:created>
  <dcterms:modified xsi:type="dcterms:W3CDTF">2024-02-14T19:01:00Z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