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F9D4" w14:textId="77777777" w:rsidR="004E740D" w:rsidRPr="004E740D" w:rsidRDefault="004E740D" w:rsidP="00037E2F">
      <w:pPr>
        <w:spacing w:after="1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E740D">
        <w:rPr>
          <w:rFonts w:ascii="Arial" w:hAnsi="Arial" w:cs="Arial"/>
          <w:b/>
          <w:bCs/>
          <w:sz w:val="22"/>
          <w:szCs w:val="22"/>
          <w:lang w:val="es-ES"/>
        </w:rPr>
        <w:t>ÁREAS IMPORTANTES DE TIBURONES Y RAYAS (ISRA)</w:t>
      </w:r>
    </w:p>
    <w:p w14:paraId="77BA811D" w14:textId="74973004" w:rsidR="00D82C56" w:rsidRPr="00E25F2B" w:rsidRDefault="005D43E4" w:rsidP="00037E2F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E25F2B">
        <w:rPr>
          <w:rFonts w:ascii="Arial" w:hAnsi="Arial" w:cs="Arial"/>
          <w:sz w:val="22"/>
          <w:szCs w:val="22"/>
          <w:lang w:val="en-GB"/>
        </w:rPr>
        <w:t>UNEP/CMS/COP1</w:t>
      </w:r>
      <w:r w:rsidR="001125D7" w:rsidRPr="00E25F2B">
        <w:rPr>
          <w:rFonts w:ascii="Arial" w:hAnsi="Arial" w:cs="Arial"/>
          <w:sz w:val="22"/>
          <w:szCs w:val="22"/>
          <w:lang w:val="en-GB"/>
        </w:rPr>
        <w:t>4</w:t>
      </w:r>
      <w:r w:rsidRPr="00E25F2B">
        <w:rPr>
          <w:rFonts w:ascii="Arial" w:hAnsi="Arial" w:cs="Arial"/>
          <w:sz w:val="22"/>
          <w:szCs w:val="22"/>
          <w:lang w:val="en-GB"/>
        </w:rPr>
        <w:t>/Doc.</w:t>
      </w:r>
      <w:r w:rsidR="00E25F2B" w:rsidRPr="00E25F2B">
        <w:rPr>
          <w:rFonts w:ascii="Arial" w:hAnsi="Arial" w:cs="Arial"/>
          <w:sz w:val="22"/>
          <w:szCs w:val="22"/>
          <w:lang w:val="en-GB"/>
        </w:rPr>
        <w:t>27.4.2/R</w:t>
      </w:r>
      <w:r w:rsidR="00E25F2B">
        <w:rPr>
          <w:rFonts w:ascii="Arial" w:hAnsi="Arial" w:cs="Arial"/>
          <w:sz w:val="22"/>
          <w:szCs w:val="22"/>
          <w:lang w:val="en-GB"/>
        </w:rPr>
        <w:t>ev.1</w:t>
      </w:r>
    </w:p>
    <w:p w14:paraId="73A89732" w14:textId="21166EB8" w:rsidR="00D82C56" w:rsidRPr="00FD2360" w:rsidRDefault="005D43E4" w:rsidP="0076412C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BC1674">
        <w:rPr>
          <w:rFonts w:ascii="Arial" w:hAnsi="Arial" w:cs="Arial"/>
          <w:i/>
          <w:sz w:val="22"/>
          <w:szCs w:val="22"/>
          <w:lang w:val="es-ES"/>
        </w:rPr>
        <w:t>el Grupo de Trabajo sobre especies acuáticas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Pr="00FD2360" w:rsidRDefault="00FD2360" w:rsidP="0076412C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C1674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61273576" w14:textId="77777777" w:rsidR="00D82C56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63A07CFA" w14:textId="77777777" w:rsidR="00E63CEC" w:rsidRPr="00FD2360" w:rsidRDefault="00E63CEC" w:rsidP="0076412C">
      <w:pPr>
        <w:rPr>
          <w:rFonts w:ascii="Arial" w:hAnsi="Arial" w:cs="Arial"/>
          <w:sz w:val="22"/>
          <w:szCs w:val="22"/>
          <w:lang w:val="es-ES"/>
        </w:rPr>
      </w:pPr>
    </w:p>
    <w:p w14:paraId="577A0544" w14:textId="77777777" w:rsidR="0098787C" w:rsidRPr="0098787C" w:rsidRDefault="0098787C" w:rsidP="0076412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djustRightInd w:val="0"/>
        <w:jc w:val="center"/>
        <w:textAlignment w:val="auto"/>
        <w:outlineLvl w:val="1"/>
        <w:rPr>
          <w:rFonts w:ascii="Arial" w:hAnsi="Arial" w:cs="Arial"/>
          <w:b/>
          <w:caps/>
          <w:sz w:val="22"/>
          <w:szCs w:val="22"/>
          <w:lang w:val="es-ES"/>
        </w:rPr>
      </w:pPr>
      <w:r w:rsidRPr="0098787C">
        <w:rPr>
          <w:rFonts w:ascii="Arial" w:hAnsi="Arial" w:cs="Arial"/>
          <w:b/>
          <w:caps/>
          <w:sz w:val="22"/>
          <w:szCs w:val="22"/>
          <w:lang w:val="es-ES"/>
        </w:rPr>
        <w:t>ÁREAS IMPORTANTES DE TIBURONES Y RAYAS (ISRA)</w:t>
      </w:r>
    </w:p>
    <w:p w14:paraId="7F28D9D1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5D391824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72600899" w14:textId="7182A480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 xml:space="preserve">Alarmados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porque los tiburones, rayas y quimeras se enfrentan a una crisis de biodiversidad con un 37 % de especies amenazadas de extinción debido a la sobrepesca</w:t>
      </w:r>
      <w:r w:rsidR="00BC1674">
        <w:rPr>
          <w:rFonts w:ascii="Arial" w:hAnsi="Arial" w:cs="Arial"/>
          <w:iCs/>
          <w:sz w:val="22"/>
          <w:szCs w:val="22"/>
          <w:lang w:val="es-ES"/>
        </w:rPr>
        <w:t>,</w:t>
      </w:r>
    </w:p>
    <w:p w14:paraId="6936C885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75B788BB" w14:textId="25FA03B1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 xml:space="preserve">Conscientes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de que la conservación basada en áreas geográficas específicas es esencial para salvaguardar la biodiversidad en declive, y preocupados por el hecho de que los tiburones, rayas y quimeras sean ignorados en muchos esfuerzos nacionales e internacionales por desarrollar y aplicar medidas de conservación y gestión marina basadas en áreas geográficas específicas, como la creación de áreas marinas protegidas y otras formas de protección de hábitats</w:t>
      </w:r>
      <w:r w:rsidR="00BC1674">
        <w:rPr>
          <w:rFonts w:ascii="Arial" w:hAnsi="Arial" w:cs="Arial"/>
          <w:iCs/>
          <w:sz w:val="22"/>
          <w:szCs w:val="22"/>
          <w:lang w:val="es-ES"/>
        </w:rPr>
        <w:t>,</w:t>
      </w:r>
    </w:p>
    <w:p w14:paraId="1D0555C9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70B8D091" w14:textId="0C5D680F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Acogiendo con beneplácito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BC1674">
        <w:rPr>
          <w:rFonts w:ascii="Arial" w:hAnsi="Arial" w:cs="Arial"/>
          <w:iCs/>
          <w:sz w:val="22"/>
          <w:szCs w:val="22"/>
          <w:lang w:val="es-ES"/>
        </w:rPr>
        <w:t xml:space="preserve">los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objetivo</w:t>
      </w:r>
      <w:r w:rsidR="002F5B3A">
        <w:rPr>
          <w:rFonts w:ascii="Arial" w:hAnsi="Arial" w:cs="Arial"/>
          <w:iCs/>
          <w:sz w:val="22"/>
          <w:szCs w:val="22"/>
          <w:lang w:val="es-ES"/>
        </w:rPr>
        <w:t>s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BC1674">
        <w:rPr>
          <w:rFonts w:ascii="Arial" w:hAnsi="Arial" w:cs="Arial"/>
          <w:iCs/>
          <w:sz w:val="22"/>
          <w:szCs w:val="22"/>
          <w:lang w:val="es-ES"/>
        </w:rPr>
        <w:t xml:space="preserve">1 y 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3 del </w:t>
      </w:r>
      <w:r w:rsidR="00BC1674" w:rsidRPr="008467CA">
        <w:rPr>
          <w:rFonts w:ascii="Arial" w:hAnsi="Arial" w:cs="Arial"/>
          <w:sz w:val="22"/>
          <w:szCs w:val="22"/>
          <w:lang w:val="es-ES"/>
        </w:rPr>
        <w:t>Marco Mundial de Biodiversidad de Kunming</w:t>
      </w:r>
      <w:r w:rsidR="00BC1674">
        <w:rPr>
          <w:rFonts w:ascii="Arial" w:hAnsi="Arial" w:cs="Arial"/>
          <w:sz w:val="22"/>
          <w:szCs w:val="22"/>
          <w:lang w:val="es-ES"/>
        </w:rPr>
        <w:noBreakHyphen/>
      </w:r>
      <w:r w:rsidR="00BC1674" w:rsidRPr="008467CA">
        <w:rPr>
          <w:rFonts w:ascii="Arial" w:hAnsi="Arial" w:cs="Arial"/>
          <w:sz w:val="22"/>
          <w:szCs w:val="22"/>
          <w:lang w:val="es-ES"/>
        </w:rPr>
        <w:t>Montreal</w:t>
      </w:r>
      <w:r w:rsidR="00BC1674">
        <w:rPr>
          <w:rFonts w:ascii="Arial" w:hAnsi="Arial" w:cs="Arial"/>
          <w:iCs/>
          <w:sz w:val="22"/>
          <w:szCs w:val="22"/>
          <w:lang w:val="es-ES"/>
        </w:rPr>
        <w:t>,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7D262EA0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3CD7BC51" w14:textId="4B484F59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 xml:space="preserve">Recordando 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el Memorando de Entendimiento sobre la Conservación de los Tiburones Migratorios (MdE sobre tiburones) que insta en el Art. 13 (f) a </w:t>
      </w:r>
      <w:r w:rsidR="00E34545">
        <w:rPr>
          <w:rFonts w:ascii="Arial" w:hAnsi="Arial" w:cs="Arial"/>
          <w:iCs/>
          <w:sz w:val="22"/>
          <w:szCs w:val="22"/>
          <w:lang w:val="es-ES"/>
        </w:rPr>
        <w:t>“</w:t>
      </w:r>
      <w:r w:rsidRPr="0098787C">
        <w:rPr>
          <w:rFonts w:ascii="Arial" w:hAnsi="Arial" w:cs="Arial"/>
          <w:iCs/>
          <w:sz w:val="22"/>
          <w:szCs w:val="22"/>
          <w:lang w:val="es-ES"/>
        </w:rPr>
        <w:t>Identificar y realizar estudios sobre la migración, la agregación, los hábitats críticos, la ecología, el comportamiento y las fases vitales de los tiburones y, en la medida de lo posible, proteger estos lugares</w:t>
      </w:r>
      <w:r w:rsidR="00E34545">
        <w:rPr>
          <w:rFonts w:ascii="Arial" w:hAnsi="Arial" w:cs="Arial"/>
          <w:iCs/>
          <w:sz w:val="22"/>
          <w:szCs w:val="22"/>
          <w:lang w:val="es-ES"/>
        </w:rPr>
        <w:t>”</w:t>
      </w:r>
      <w:r w:rsidR="00BC1674">
        <w:rPr>
          <w:rFonts w:ascii="Arial" w:hAnsi="Arial" w:cs="Arial"/>
          <w:i/>
          <w:sz w:val="22"/>
          <w:szCs w:val="22"/>
          <w:lang w:val="es-ES"/>
        </w:rPr>
        <w:t>,</w:t>
      </w:r>
    </w:p>
    <w:p w14:paraId="3B604392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770D1133" w14:textId="4CD0CBE6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Reconociendo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que las Áreas Importantes de Tiburones y Rayas (ISRA) son una clasificación consultiva, basada en expertos, que se aplica a los océanos del mundo, y a las masas de agua continentales relevantes, y que consiste en porciones diferenciadas de hábitat, importantes para las especies de tiburones, rayas y quimeras, que tienen el potencial de ser delineadas y gestionadas para su conservación</w:t>
      </w:r>
      <w:r w:rsidR="00BC1674">
        <w:rPr>
          <w:rFonts w:ascii="Arial" w:hAnsi="Arial" w:cs="Arial"/>
          <w:iCs/>
          <w:sz w:val="22"/>
          <w:szCs w:val="22"/>
          <w:lang w:val="es-ES"/>
        </w:rPr>
        <w:t>,</w:t>
      </w:r>
    </w:p>
    <w:p w14:paraId="4B59D793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50AFFA98" w14:textId="6CB91D82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Recordando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la Resolución 12.13 de la CMS, </w:t>
      </w:r>
      <w:r w:rsidRPr="0098787C">
        <w:rPr>
          <w:rFonts w:ascii="Arial" w:hAnsi="Arial" w:cs="Arial"/>
          <w:i/>
          <w:sz w:val="22"/>
          <w:szCs w:val="22"/>
          <w:lang w:val="es-ES"/>
        </w:rPr>
        <w:t>Áreas Importantes para los Mamíferos Marinos (IMMA)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que, entre otras cosas, reconoce los criterios y el proceso de identificación de las IMMA para los mamíferos marinos incluidos en las listas de la CMS, solicita a las Partes e invita a los Estados del área de distribución, a las organizaciones intergubernamentales y a los socios a identificar áreas específicas en las que la identificación de las IMMA podría ser especialmente favorable</w:t>
      </w:r>
      <w:r w:rsidR="00BC1674">
        <w:rPr>
          <w:rFonts w:ascii="Arial" w:hAnsi="Arial" w:cs="Arial"/>
          <w:iCs/>
          <w:sz w:val="22"/>
          <w:szCs w:val="22"/>
          <w:lang w:val="es-ES"/>
        </w:rPr>
        <w:t>,</w:t>
      </w:r>
    </w:p>
    <w:p w14:paraId="0A2D6B0B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0B7045F6" w14:textId="37E74213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 xml:space="preserve">Acogiendo con beneplácito 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el desarrollo de criterios de selección y revisión para la identificación de ISRA por parte del Grupo de Especialistas en Tiburones de la CSE de la UICN (SSG de la CSE de la UICN) y los progresos realizados en la identificación de ISRA </w:t>
      </w:r>
      <w:r w:rsidR="00E34545">
        <w:rPr>
          <w:rFonts w:ascii="Arial" w:hAnsi="Arial" w:cs="Arial"/>
          <w:iCs/>
          <w:sz w:val="22"/>
          <w:szCs w:val="22"/>
          <w:lang w:val="es-ES"/>
        </w:rPr>
        <w:t xml:space="preserve">pueden complementar y contribuir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a las Áreas de Importancia Ecológica o Biológica (EBSA) del Convenio sobre la Diversidad Biológica (CDB) y las Áreas Clave para la Biodiversidad (KBA) de la UICN</w:t>
      </w:r>
      <w:r w:rsidR="00BC1674">
        <w:rPr>
          <w:rFonts w:ascii="Arial" w:hAnsi="Arial" w:cs="Arial"/>
          <w:iCs/>
          <w:sz w:val="22"/>
          <w:szCs w:val="22"/>
          <w:lang w:val="es-ES"/>
        </w:rPr>
        <w:t>,</w:t>
      </w:r>
    </w:p>
    <w:p w14:paraId="6D38B459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336BAD33" w14:textId="77777777" w:rsidR="0098787C" w:rsidRPr="0098787C" w:rsidRDefault="0098787C" w:rsidP="0076412C">
      <w:pPr>
        <w:widowControl/>
        <w:autoSpaceDE/>
        <w:autoSpaceDN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br w:type="page"/>
      </w:r>
    </w:p>
    <w:p w14:paraId="16C6A72E" w14:textId="77777777" w:rsidR="00E63CEC" w:rsidRDefault="00E63CEC" w:rsidP="0076412C">
      <w:pPr>
        <w:adjustRightInd w:val="0"/>
        <w:jc w:val="center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4F248E13" w14:textId="4DD245A5" w:rsidR="0098787C" w:rsidRPr="0098787C" w:rsidRDefault="0098787C" w:rsidP="0076412C">
      <w:pPr>
        <w:adjustRightInd w:val="0"/>
        <w:jc w:val="center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La Conferencia de las Partes para la</w:t>
      </w:r>
    </w:p>
    <w:p w14:paraId="486B4811" w14:textId="77777777" w:rsidR="0098787C" w:rsidRPr="0098787C" w:rsidRDefault="0098787C" w:rsidP="0076412C">
      <w:pPr>
        <w:adjustRightInd w:val="0"/>
        <w:jc w:val="center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Convención sobre la Conservación de las Especies Migratorias de Animales Silvestres</w:t>
      </w:r>
    </w:p>
    <w:p w14:paraId="020D370B" w14:textId="77777777" w:rsidR="0098787C" w:rsidRPr="002F5B3A" w:rsidRDefault="0098787C" w:rsidP="0076412C">
      <w:pPr>
        <w:adjustRightInd w:val="0"/>
        <w:ind w:left="36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5005457C" w14:textId="77777777" w:rsidR="0098787C" w:rsidRPr="0098787C" w:rsidRDefault="0098787C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 xml:space="preserve">Reconoce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los criterios y el proceso de identificación de las Áreas Importantes de Tiburones y Rayas (ISRA) disponible como Documento de Guía ISRA publicado en el sitio web ISRA (sharkrayareas.org) para los tiburones y rayas incluidos en la CMS</w:t>
      </w:r>
      <w:r w:rsidRPr="0098787C">
        <w:rPr>
          <w:rFonts w:ascii="Arial" w:hAnsi="Arial" w:cs="Arial"/>
          <w:i/>
          <w:sz w:val="22"/>
          <w:szCs w:val="22"/>
          <w:lang w:val="es-ES"/>
        </w:rPr>
        <w:t>;</w:t>
      </w:r>
    </w:p>
    <w:p w14:paraId="7547917E" w14:textId="77777777" w:rsidR="0098787C" w:rsidRPr="0098787C" w:rsidRDefault="0098787C" w:rsidP="0076412C">
      <w:pPr>
        <w:adjustRightInd w:val="0"/>
        <w:ind w:left="567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55A591BF" w14:textId="437BDADD" w:rsidR="0098787C" w:rsidRPr="0098787C" w:rsidRDefault="0098787C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Solicita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a las Partes e invita a todos los Estados del área de distribución, organizaciones </w:t>
      </w:r>
      <w:r w:rsidR="00BC1674">
        <w:rPr>
          <w:rFonts w:ascii="Arial" w:hAnsi="Arial" w:cs="Arial"/>
          <w:iCs/>
          <w:sz w:val="22"/>
          <w:szCs w:val="22"/>
          <w:lang w:val="es-ES"/>
        </w:rPr>
        <w:t xml:space="preserve">internacionales y regionales competentes, órganos de gestión de la pesca y órganos asesores pertinentes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y socios a apoyar con la identificación de áreas específicas donde la delimitación de las ISRA podría ser particularmente favorable, por ejemplo, al estimular el diseño de redes de áreas protegidas y la conectividad, o al abordar las amenazas de los tiburones y rayas de manera más integral;</w:t>
      </w:r>
    </w:p>
    <w:p w14:paraId="4BD539B5" w14:textId="77777777" w:rsidR="0098787C" w:rsidRPr="0098787C" w:rsidRDefault="0098787C" w:rsidP="0076412C">
      <w:pPr>
        <w:adjustRightInd w:val="0"/>
        <w:ind w:left="567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4E13AF1E" w14:textId="1A15946D" w:rsidR="0098787C" w:rsidRDefault="0098787C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Recomienda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que est</w:t>
      </w:r>
      <w:r w:rsidR="00BC1674">
        <w:rPr>
          <w:rFonts w:ascii="Arial" w:hAnsi="Arial" w:cs="Arial"/>
          <w:iCs/>
          <w:sz w:val="22"/>
          <w:szCs w:val="22"/>
          <w:lang w:val="es-ES"/>
        </w:rPr>
        <w:t xml:space="preserve">e apoyo 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de identificación de áreas específicas involucre a las autoridades de las Partes </w:t>
      </w:r>
      <w:r w:rsidR="00BC1674">
        <w:rPr>
          <w:rFonts w:ascii="Arial" w:hAnsi="Arial" w:cs="Arial"/>
          <w:iCs/>
          <w:sz w:val="22"/>
          <w:szCs w:val="22"/>
          <w:lang w:val="es-ES"/>
        </w:rPr>
        <w:t xml:space="preserve">y las organizaciones regionales e internacionales pertinentes 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en un espíritu de transparencia en una fase temprana;  </w:t>
      </w:r>
    </w:p>
    <w:p w14:paraId="646D2B86" w14:textId="77777777" w:rsidR="00350A82" w:rsidRDefault="00350A82" w:rsidP="00350A82">
      <w:pPr>
        <w:pStyle w:val="ListParagraph"/>
        <w:rPr>
          <w:rFonts w:ascii="Arial" w:hAnsi="Arial" w:cs="Arial"/>
          <w:iCs/>
          <w:sz w:val="22"/>
          <w:szCs w:val="22"/>
          <w:lang w:val="es-ES"/>
        </w:rPr>
      </w:pPr>
    </w:p>
    <w:p w14:paraId="62CCC34C" w14:textId="67BEAD55" w:rsidR="00350A82" w:rsidRDefault="00350A82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es-ES"/>
        </w:rPr>
        <w:t xml:space="preserve">Invita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a las Partes, Estados del área de distribución</w:t>
      </w:r>
      <w:r w:rsidR="00D43A9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, </w:t>
      </w:r>
      <w:r w:rsidR="00EF79B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a las </w:t>
      </w:r>
      <w:r w:rsidR="00D43A9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organizaciones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internacionales y regionales pertinentes</w:t>
      </w:r>
      <w:r w:rsidR="00D43A9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 y a los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socios a solicitar el apoyo del SSG de la CSE de la UICN para avanzar en estos planteamientos;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es-ES"/>
        </w:rPr>
        <w:t> </w:t>
      </w:r>
      <w:r w:rsidRPr="00350A82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 </w:t>
      </w:r>
    </w:p>
    <w:p w14:paraId="6D78537A" w14:textId="77777777" w:rsidR="00D51B3A" w:rsidRDefault="00D51B3A" w:rsidP="00D51B3A">
      <w:pPr>
        <w:pStyle w:val="ListParagraph"/>
        <w:rPr>
          <w:rFonts w:ascii="Arial" w:hAnsi="Arial" w:cs="Arial"/>
          <w:iCs/>
          <w:sz w:val="22"/>
          <w:szCs w:val="22"/>
          <w:lang w:val="es-ES"/>
        </w:rPr>
      </w:pPr>
    </w:p>
    <w:p w14:paraId="156C0E96" w14:textId="22381707" w:rsidR="00D51B3A" w:rsidRPr="0098787C" w:rsidRDefault="00D51B3A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D51B3A">
        <w:rPr>
          <w:rFonts w:ascii="Arial" w:hAnsi="Arial" w:cs="Arial"/>
          <w:i/>
          <w:sz w:val="22"/>
          <w:szCs w:val="22"/>
          <w:lang w:val="es-ES"/>
        </w:rPr>
        <w:t>Invit</w:t>
      </w:r>
      <w:r w:rsidRPr="00350A82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="00350A82" w:rsidRPr="00350A82">
        <w:rPr>
          <w:rFonts w:ascii="Arial" w:hAnsi="Arial" w:cs="Arial"/>
          <w:i/>
          <w:sz w:val="22"/>
          <w:szCs w:val="22"/>
          <w:lang w:val="es-ES"/>
        </w:rPr>
        <w:t>también</w:t>
      </w:r>
      <w:r w:rsidR="00350A82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D51B3A">
        <w:rPr>
          <w:rFonts w:ascii="Arial" w:hAnsi="Arial" w:cs="Arial"/>
          <w:iCs/>
          <w:sz w:val="22"/>
          <w:szCs w:val="22"/>
          <w:lang w:val="es-ES"/>
        </w:rPr>
        <w:t>al SSG de la CSE de la UICN, a las Partes, a los Estados del área de distribución, a las organizaciones internacionales y regionales pertinentes y a los socios a consultar y coordinarse estrechamente, incluso, cuando sea pertinente, con los organismos de gestión y asesoramiento pesqueros, con miras a apoyar mutuamente el objetivo de preservar los tiburones y las rayas; y a asegurar que la pesca de tiburones y rayas, donde ocurra, sea sostenible y se gestione con un enfoque basado en la ciencia y el ecosistema;</w:t>
      </w:r>
    </w:p>
    <w:p w14:paraId="6431EDFC" w14:textId="77777777" w:rsidR="0098787C" w:rsidRPr="0098787C" w:rsidRDefault="0098787C" w:rsidP="0076412C">
      <w:pPr>
        <w:adjustRightInd w:val="0"/>
        <w:ind w:left="567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6A83BF73" w14:textId="66271FB5" w:rsidR="0098787C" w:rsidRPr="0098787C" w:rsidRDefault="00D51B3A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>I</w:t>
      </w:r>
      <w:r w:rsidR="0098787C" w:rsidRPr="0098787C">
        <w:rPr>
          <w:rFonts w:ascii="Arial" w:hAnsi="Arial" w:cs="Arial"/>
          <w:i/>
          <w:sz w:val="22"/>
          <w:szCs w:val="22"/>
          <w:lang w:val="es-ES"/>
        </w:rPr>
        <w:t>nvita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350A82">
        <w:rPr>
          <w:rFonts w:ascii="Arial" w:hAnsi="Arial" w:cs="Arial"/>
          <w:i/>
          <w:sz w:val="22"/>
          <w:szCs w:val="22"/>
          <w:lang w:val="es-ES"/>
        </w:rPr>
        <w:t>además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98787C" w:rsidRPr="0098787C">
        <w:rPr>
          <w:rFonts w:ascii="Arial" w:hAnsi="Arial" w:cs="Arial"/>
          <w:iCs/>
          <w:sz w:val="22"/>
          <w:szCs w:val="22"/>
          <w:lang w:val="es-ES"/>
        </w:rPr>
        <w:t>a las Partes, Estados del área de distribución, organizaciones intergubernamentales y socios a solicitar el apoyo del SSG de la CSE de la UICN para avanzar en estos planteamientos;</w:t>
      </w:r>
      <w:r w:rsidR="0098787C" w:rsidRPr="0098787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B5495FD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570AE460" w14:textId="049CCF1C" w:rsidR="0098787C" w:rsidRPr="0098787C" w:rsidRDefault="0098787C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98787C">
        <w:rPr>
          <w:rFonts w:ascii="Arial" w:hAnsi="Arial" w:cs="Arial"/>
          <w:i/>
          <w:sz w:val="22"/>
          <w:szCs w:val="22"/>
          <w:lang w:val="es-ES"/>
        </w:rPr>
        <w:t>A</w:t>
      </w:r>
      <w:r w:rsidR="00350A82">
        <w:rPr>
          <w:rFonts w:ascii="Arial" w:hAnsi="Arial" w:cs="Arial"/>
          <w:i/>
          <w:sz w:val="22"/>
          <w:szCs w:val="22"/>
          <w:lang w:val="es-ES"/>
        </w:rPr>
        <w:t>simismo</w:t>
      </w:r>
      <w:r w:rsidRPr="0098787C">
        <w:rPr>
          <w:rFonts w:ascii="Arial" w:hAnsi="Arial" w:cs="Arial"/>
          <w:i/>
          <w:sz w:val="22"/>
          <w:szCs w:val="22"/>
          <w:lang w:val="es-ES"/>
        </w:rPr>
        <w:t xml:space="preserve">, invita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al Convenio sobre la Diversidad Biológica</w:t>
      </w:r>
      <w:r w:rsidR="00D51B3A">
        <w:rPr>
          <w:rFonts w:ascii="Arial" w:hAnsi="Arial" w:cs="Arial"/>
          <w:iCs/>
          <w:sz w:val="22"/>
          <w:szCs w:val="22"/>
          <w:lang w:val="es-ES"/>
        </w:rPr>
        <w:t xml:space="preserve">, </w:t>
      </w:r>
      <w:r w:rsidRPr="0098787C">
        <w:rPr>
          <w:rFonts w:ascii="Arial" w:hAnsi="Arial" w:cs="Arial"/>
          <w:iCs/>
          <w:sz w:val="22"/>
          <w:szCs w:val="22"/>
          <w:lang w:val="es-ES"/>
        </w:rPr>
        <w:t>a la Organización Marítima Internacional</w:t>
      </w:r>
      <w:r w:rsidR="00D51B3A">
        <w:rPr>
          <w:rFonts w:ascii="Arial" w:hAnsi="Arial" w:cs="Arial"/>
          <w:iCs/>
          <w:sz w:val="22"/>
          <w:szCs w:val="22"/>
          <w:lang w:val="es-ES"/>
        </w:rPr>
        <w:t xml:space="preserve"> y a la Asociación de las Á</w:t>
      </w:r>
      <w:r w:rsidR="00D51B3A" w:rsidRPr="00D51B3A">
        <w:rPr>
          <w:rFonts w:ascii="Arial" w:hAnsi="Arial" w:cs="Arial"/>
          <w:iCs/>
          <w:sz w:val="22"/>
          <w:szCs w:val="22"/>
          <w:lang w:val="es-ES"/>
        </w:rPr>
        <w:t>reas Clave para la Biodiversidad</w:t>
      </w:r>
      <w:r w:rsidR="00D51B3A">
        <w:rPr>
          <w:rFonts w:ascii="Arial" w:hAnsi="Arial" w:cs="Arial"/>
          <w:iCs/>
          <w:sz w:val="22"/>
          <w:szCs w:val="22"/>
          <w:lang w:val="es-ES"/>
        </w:rPr>
        <w:t>, a</w:t>
      </w:r>
      <w:r w:rsidRPr="0098787C">
        <w:rPr>
          <w:rFonts w:ascii="Arial" w:hAnsi="Arial" w:cs="Arial"/>
          <w:iCs/>
          <w:sz w:val="22"/>
          <w:szCs w:val="22"/>
          <w:lang w:val="es-ES"/>
        </w:rPr>
        <w:t xml:space="preserve"> que consideren las ISRA como contribuciones convenientes para la determinación de las Áreas de Importancia Ecológica o Biológica (EBSA), las Áreas Clave para la Biodiversidad (KBA) y otras áreas como las Zonas Marinas Especialmente Sensibles (ZMES); y</w:t>
      </w:r>
    </w:p>
    <w:p w14:paraId="57E80C11" w14:textId="77777777" w:rsidR="0098787C" w:rsidRPr="0098787C" w:rsidRDefault="0098787C" w:rsidP="0076412C">
      <w:pPr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83AE881" w14:textId="771A72E0" w:rsidR="00D82C56" w:rsidRPr="00B431FF" w:rsidRDefault="0098787C" w:rsidP="0076412C">
      <w:pPr>
        <w:widowControl/>
        <w:numPr>
          <w:ilvl w:val="0"/>
          <w:numId w:val="1"/>
        </w:numPr>
        <w:autoSpaceDE/>
        <w:autoSpaceDN/>
        <w:adjustRightInd w:val="0"/>
        <w:ind w:left="567" w:hanging="567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431FF">
        <w:rPr>
          <w:rFonts w:ascii="Arial" w:hAnsi="Arial" w:cs="Arial"/>
          <w:i/>
          <w:sz w:val="22"/>
          <w:szCs w:val="22"/>
          <w:lang w:val="es-ES"/>
        </w:rPr>
        <w:t xml:space="preserve">Alienta </w:t>
      </w:r>
      <w:r w:rsidRPr="00B431FF">
        <w:rPr>
          <w:rFonts w:ascii="Arial" w:hAnsi="Arial" w:cs="Arial"/>
          <w:iCs/>
          <w:sz w:val="22"/>
          <w:szCs w:val="22"/>
          <w:lang w:val="es-ES"/>
        </w:rPr>
        <w:t xml:space="preserve">a las Partes a hacer uso de las Áreas Importantes de Tiburones y Rayas (ISRA) identificadas y publicadas en el sitio web de ISRA (https://sharkrayareas.org) a la hora de designar áreas marinas protegidas o, en general, para los procesos de planificación espacial marina, con el fin de apoyar la conservación de </w:t>
      </w:r>
      <w:r w:rsidRPr="00B431FF">
        <w:rPr>
          <w:rFonts w:ascii="Arial" w:hAnsi="Arial" w:cs="Arial"/>
          <w:iCs/>
          <w:sz w:val="22"/>
          <w:szCs w:val="22"/>
          <w:lang w:val="es-ES"/>
        </w:rPr>
        <w:br/>
        <w:t>los tiburones y rayas incluidos en la CMS</w:t>
      </w:r>
      <w:r w:rsidR="00D51B3A" w:rsidRPr="00B431FF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46F66146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74FE8E0C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649C5778" w14:textId="1EE781E7" w:rsidR="00E63CEC" w:rsidRDefault="00E63CEC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5CD49333" w14:textId="022EF052" w:rsidR="00D82C56" w:rsidRPr="00FD2360" w:rsidRDefault="00FD2360" w:rsidP="0076412C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lastRenderedPageBreak/>
        <w:t>PROYECTO DE DECISI</w:t>
      </w:r>
      <w:r w:rsidR="00E728FD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4B82206A" w14:textId="77777777" w:rsidR="0076412C" w:rsidRPr="0076412C" w:rsidRDefault="0076412C" w:rsidP="0076412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b/>
          <w:caps/>
          <w:sz w:val="22"/>
          <w:szCs w:val="22"/>
          <w:lang w:val="es-ES"/>
        </w:rPr>
        <w:t>Áreas Importantes de Tiburones y Rayas (ISRA)</w:t>
      </w:r>
    </w:p>
    <w:p w14:paraId="5A226377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44EA7B7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08850F5F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73AB5499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ED96E6A" w14:textId="77777777" w:rsidR="0076412C" w:rsidRPr="0076412C" w:rsidRDefault="0076412C" w:rsidP="0076412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76412C">
        <w:rPr>
          <w:rFonts w:ascii="Arial" w:eastAsiaTheme="minorHAnsi" w:hAnsi="Arial" w:cs="Arial"/>
          <w:iCs/>
          <w:sz w:val="22"/>
          <w:szCs w:val="22"/>
          <w:lang w:val="es-ES"/>
        </w:rPr>
        <w:t>Se solicita a las Partes:</w:t>
      </w:r>
    </w:p>
    <w:p w14:paraId="466DA3A9" w14:textId="77777777" w:rsidR="0076412C" w:rsidRPr="0076412C" w:rsidRDefault="0076412C" w:rsidP="0076412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1C99FCA" w14:textId="77777777" w:rsidR="00EB4A4B" w:rsidRDefault="00EB4A4B" w:rsidP="00EB4A4B">
      <w:pPr>
        <w:pStyle w:val="ListParagraph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B5677C9" w14:textId="620F3490" w:rsidR="00EB4A4B" w:rsidRDefault="00EB4A4B" w:rsidP="00EB4A4B">
      <w:pPr>
        <w:widowControl/>
        <w:numPr>
          <w:ilvl w:val="0"/>
          <w:numId w:val="2"/>
        </w:numPr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EB4A4B">
        <w:rPr>
          <w:rFonts w:ascii="Arial" w:eastAsiaTheme="minorHAnsi" w:hAnsi="Arial" w:cs="Arial"/>
          <w:iCs/>
          <w:sz w:val="22"/>
          <w:szCs w:val="22"/>
          <w:lang w:val="es-ES"/>
        </w:rPr>
        <w:t>apoyen la identificación de nuevas ISRA</w:t>
      </w:r>
      <w:r>
        <w:rPr>
          <w:rFonts w:ascii="Arial" w:eastAsiaTheme="minorHAnsi" w:hAnsi="Arial" w:cs="Arial"/>
          <w:iCs/>
          <w:sz w:val="22"/>
          <w:szCs w:val="22"/>
          <w:lang w:val="es-ES"/>
        </w:rPr>
        <w:t>;</w:t>
      </w:r>
    </w:p>
    <w:p w14:paraId="3253EF94" w14:textId="77777777" w:rsidR="00EB4A4B" w:rsidRPr="00EB4A4B" w:rsidRDefault="00EB4A4B" w:rsidP="00EB4A4B">
      <w:pPr>
        <w:widowControl/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F3E5F18" w14:textId="772B8163" w:rsidR="00EB4A4B" w:rsidRDefault="00EB4A4B" w:rsidP="00EB4A4B">
      <w:pPr>
        <w:widowControl/>
        <w:numPr>
          <w:ilvl w:val="0"/>
          <w:numId w:val="2"/>
        </w:numPr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EB4A4B">
        <w:rPr>
          <w:rFonts w:ascii="Arial" w:eastAsiaTheme="minorHAnsi" w:hAnsi="Arial" w:cs="Arial"/>
          <w:iCs/>
          <w:sz w:val="22"/>
          <w:szCs w:val="22"/>
          <w:lang w:val="es-ES"/>
        </w:rPr>
        <w:t xml:space="preserve">tengan en cuenta las ISRA identificadas para la planificación espacial y las acciones de conservación con vistas a la aplicación de las Metas 1 y 3 del Marco Mundial para la Diversidad Biológica, incluso a través de las Estrategias y Planes de Acción Nacionales </w:t>
      </w:r>
      <w:r>
        <w:rPr>
          <w:rFonts w:ascii="Arial" w:eastAsiaTheme="minorHAnsi" w:hAnsi="Arial" w:cs="Arial"/>
          <w:iCs/>
          <w:sz w:val="22"/>
          <w:szCs w:val="22"/>
          <w:lang w:val="es-ES"/>
        </w:rPr>
        <w:t xml:space="preserve">en materia de </w:t>
      </w:r>
      <w:r w:rsidRPr="00EB4A4B">
        <w:rPr>
          <w:rFonts w:ascii="Arial" w:eastAsiaTheme="minorHAnsi" w:hAnsi="Arial" w:cs="Arial"/>
          <w:iCs/>
          <w:sz w:val="22"/>
          <w:szCs w:val="22"/>
          <w:lang w:val="es-ES"/>
        </w:rPr>
        <w:t xml:space="preserve">Diversidad Biológica (EPANB); </w:t>
      </w:r>
      <w:r>
        <w:rPr>
          <w:rFonts w:ascii="Arial" w:eastAsiaTheme="minorHAnsi" w:hAnsi="Arial" w:cs="Arial"/>
          <w:iCs/>
          <w:sz w:val="22"/>
          <w:szCs w:val="22"/>
          <w:lang w:val="es-ES"/>
        </w:rPr>
        <w:t>e</w:t>
      </w:r>
    </w:p>
    <w:p w14:paraId="2C03D890" w14:textId="77777777" w:rsidR="00EB4A4B" w:rsidRDefault="00EB4A4B" w:rsidP="00EB4A4B">
      <w:pPr>
        <w:pStyle w:val="ListParagraph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4DC1759B" w14:textId="3618BB8A" w:rsidR="00EB4A4B" w:rsidRPr="0076412C" w:rsidRDefault="00EB4A4B" w:rsidP="00EB4A4B">
      <w:pPr>
        <w:widowControl/>
        <w:numPr>
          <w:ilvl w:val="0"/>
          <w:numId w:val="2"/>
        </w:numPr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EB4A4B">
        <w:rPr>
          <w:rFonts w:ascii="Arial" w:eastAsiaTheme="minorHAnsi" w:hAnsi="Arial" w:cs="Arial"/>
          <w:iCs/>
          <w:sz w:val="22"/>
          <w:szCs w:val="22"/>
          <w:lang w:val="es-ES"/>
        </w:rPr>
        <w:t>informen a la Conferencia de las Partes en su 15ª reunión sobre los progresos realizados en la aplicación de la decisión de mitigar las amenazas a las ISRA a través de sus Informes Nacionales.</w:t>
      </w:r>
    </w:p>
    <w:p w14:paraId="7F22B3FA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15F7D7F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Partes, organizaciones intergubernamentales y no gubernamentales</w:t>
      </w:r>
    </w:p>
    <w:p w14:paraId="775E5EC1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EA201DA" w14:textId="630517C4" w:rsidR="0076412C" w:rsidRPr="0076412C" w:rsidRDefault="0076412C" w:rsidP="00B431FF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ab/>
        <w:t>Se alienta a las Partes, a las organizaciones intergubernamentales y no gubernamentales a</w:t>
      </w:r>
      <w:r w:rsidR="00B431FF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>colaborar activamente con el Grupo de Especialistas en Tiburones de la CSE de la UICN y prestarle apoyo técnico en el proceso de identificación de áreas importantes para los tiburones y rayas a escala mundial.</w:t>
      </w:r>
    </w:p>
    <w:p w14:paraId="182DCE2E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304B8737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5C8F0DEA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715A80A" w14:textId="77777777" w:rsidR="0076412C" w:rsidRPr="0076412C" w:rsidRDefault="0076412C" w:rsidP="0076412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Científico:</w:t>
      </w:r>
    </w:p>
    <w:p w14:paraId="14DC8644" w14:textId="77777777" w:rsidR="0076412C" w:rsidRPr="0076412C" w:rsidRDefault="0076412C" w:rsidP="0076412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B179147" w14:textId="4AAE5548" w:rsidR="0076412C" w:rsidRPr="0076412C" w:rsidRDefault="0024795B" w:rsidP="0076412C">
      <w:pPr>
        <w:widowControl/>
        <w:numPr>
          <w:ilvl w:val="0"/>
          <w:numId w:val="4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>
        <w:rPr>
          <w:rFonts w:ascii="Arial" w:eastAsiaTheme="minorHAnsi" w:hAnsi="Arial" w:cs="Arial"/>
          <w:sz w:val="22"/>
          <w:szCs w:val="22"/>
          <w:lang w:val="es-ES"/>
        </w:rPr>
        <w:t xml:space="preserve">trabajar con el </w:t>
      </w:r>
      <w:r w:rsidR="0076412C" w:rsidRPr="0076412C">
        <w:rPr>
          <w:rFonts w:ascii="Arial" w:eastAsiaTheme="minorHAnsi" w:hAnsi="Arial" w:cs="Arial"/>
          <w:bCs/>
          <w:iCs/>
          <w:sz w:val="22"/>
          <w:szCs w:val="22"/>
          <w:lang w:val="es-ES"/>
        </w:rPr>
        <w:t>Grupo de Especialistas en Tiburones de la CSE de la UICN, en</w:t>
      </w:r>
      <w:r w:rsidR="0076412C" w:rsidRPr="0076412C">
        <w:rPr>
          <w:rFonts w:ascii="Arial" w:eastAsiaTheme="minorHAnsi" w:hAnsi="Arial" w:cs="Arial"/>
          <w:sz w:val="22"/>
          <w:szCs w:val="22"/>
          <w:lang w:val="es-ES"/>
        </w:rPr>
        <w:t xml:space="preserve"> colaboración con 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expertos de los organismos de gestión de la pesca y órganos asesores, grupos (especialistas) de la Convención de los Mares Regionales y </w:t>
      </w:r>
      <w:r w:rsidR="0076412C" w:rsidRPr="0076412C">
        <w:rPr>
          <w:rFonts w:ascii="Arial" w:eastAsiaTheme="minorHAnsi" w:hAnsi="Arial" w:cs="Arial"/>
          <w:sz w:val="22"/>
          <w:szCs w:val="22"/>
          <w:lang w:val="es-ES"/>
        </w:rPr>
        <w:t>el Comité Asesor del MdE sobre tiburones,</w:t>
      </w:r>
      <w:r w:rsidR="0076412C" w:rsidRPr="0076412C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 </w:t>
      </w:r>
      <w:r w:rsidRPr="0024795B">
        <w:rPr>
          <w:rFonts w:ascii="Arial" w:eastAsiaTheme="minorHAnsi" w:hAnsi="Arial" w:cs="Arial"/>
          <w:bCs/>
          <w:iCs/>
          <w:sz w:val="22"/>
          <w:szCs w:val="22"/>
          <w:lang w:val="es-ES"/>
        </w:rPr>
        <w:t>de manera rentable y sin duplicaciones</w:t>
      </w:r>
      <w:r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, </w:t>
      </w:r>
      <w:r w:rsidR="0076412C" w:rsidRPr="0076412C">
        <w:rPr>
          <w:rFonts w:ascii="Arial" w:eastAsiaTheme="minorHAnsi" w:hAnsi="Arial" w:cs="Arial"/>
          <w:bCs/>
          <w:iCs/>
          <w:sz w:val="22"/>
          <w:szCs w:val="22"/>
          <w:lang w:val="es-ES"/>
        </w:rPr>
        <w:t>en la identificación de las ISRA para las especies de tiburones y rayas incluidas en la lista de la CMS, compartiendo información y datos y contribuyendo a los talleres de expertos en ISRA</w:t>
      </w:r>
      <w:r w:rsidR="0076412C" w:rsidRPr="0076412C">
        <w:rPr>
          <w:rFonts w:ascii="Arial" w:eastAsiaTheme="minorHAnsi" w:hAnsi="Arial" w:cs="Arial"/>
          <w:sz w:val="22"/>
          <w:szCs w:val="22"/>
          <w:lang w:val="es-ES"/>
        </w:rPr>
        <w:t>.</w:t>
      </w:r>
    </w:p>
    <w:p w14:paraId="022D41F0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1D475275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543303CF" w14:textId="77777777" w:rsidR="0076412C" w:rsidRPr="0076412C" w:rsidRDefault="0076412C" w:rsidP="0076412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425FA9C" w14:textId="77777777" w:rsidR="0076412C" w:rsidRPr="0076412C" w:rsidRDefault="0076412C" w:rsidP="0076412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sz w:val="22"/>
          <w:szCs w:val="22"/>
          <w:lang w:val="es-ES"/>
        </w:rPr>
        <w:t>14.DD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ab/>
        <w:t>La Secretaría deberá:</w:t>
      </w:r>
    </w:p>
    <w:p w14:paraId="000C076C" w14:textId="77777777" w:rsidR="0076412C" w:rsidRPr="0076412C" w:rsidRDefault="0076412C" w:rsidP="0076412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6885580E" w14:textId="77777777" w:rsidR="0076412C" w:rsidRDefault="0076412C" w:rsidP="0076412C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bCs/>
          <w:iCs/>
          <w:sz w:val="22"/>
          <w:szCs w:val="22"/>
          <w:lang w:val="es-ES"/>
        </w:rPr>
        <w:t>seguir en contacto con el Grupo de Especialistas en Tiburones de la CSE de la UICN para promover el valor de las ISRA para la conservación de los tiburones y rayas incluidos en las listas de la CMS;</w:t>
      </w:r>
    </w:p>
    <w:p w14:paraId="7B352842" w14:textId="77777777" w:rsidR="0024795B" w:rsidRDefault="0024795B" w:rsidP="0024795B">
      <w:pPr>
        <w:widowControl/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0F6C7406" w14:textId="437DB7BB" w:rsidR="0024795B" w:rsidRPr="0076412C" w:rsidRDefault="0024795B" w:rsidP="0076412C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185556">
        <w:rPr>
          <w:rFonts w:ascii="Arial" w:hAnsi="Arial" w:cs="Arial"/>
          <w:iCs/>
          <w:sz w:val="22"/>
          <w:szCs w:val="22"/>
          <w:lang w:val="es-ES"/>
        </w:rPr>
        <w:t>prom</w:t>
      </w:r>
      <w:r>
        <w:rPr>
          <w:rFonts w:ascii="Arial" w:hAnsi="Arial" w:cs="Arial"/>
          <w:iCs/>
          <w:sz w:val="22"/>
          <w:szCs w:val="22"/>
          <w:lang w:val="es-ES"/>
        </w:rPr>
        <w:t xml:space="preserve">over </w:t>
      </w:r>
      <w:r w:rsidRPr="00185556">
        <w:rPr>
          <w:rFonts w:ascii="Arial" w:hAnsi="Arial" w:cs="Arial"/>
          <w:iCs/>
          <w:sz w:val="22"/>
          <w:szCs w:val="22"/>
          <w:lang w:val="es-ES"/>
        </w:rPr>
        <w:t>las consultas y la coordinación entre el Grupo de Especialistas en Tiburones de la CSE de la UICN, las Partes, los Estados del área de distribución, las organizaciones internacionales y regionales pertinentes y los órganos consultivos y de gestión de la pesca pertinentes, con miras a apoyar mutuamente el objetivo de la conservación basada en la ciencia y la sostenibilidad de la pesca de tiburones y rayas a partir de un enfoque basado en la ciencia y en el ecosistema;</w:t>
      </w:r>
    </w:p>
    <w:p w14:paraId="5E8FF62A" w14:textId="77777777" w:rsidR="0076412C" w:rsidRPr="0076412C" w:rsidRDefault="0076412C" w:rsidP="0076412C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53E39202" w14:textId="25E545C2" w:rsidR="0076412C" w:rsidRPr="0076412C" w:rsidRDefault="0076412C" w:rsidP="0076412C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76412C">
        <w:rPr>
          <w:rFonts w:ascii="Arial" w:eastAsiaTheme="minorHAnsi" w:hAnsi="Arial" w:cs="Arial"/>
          <w:sz w:val="22"/>
          <w:szCs w:val="22"/>
          <w:lang w:val="es-ES"/>
        </w:rPr>
        <w:t>informar al Consejo Científico</w:t>
      </w:r>
      <w:r w:rsidR="009C2579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>a las Partes</w:t>
      </w:r>
      <w:r w:rsidR="009C2579">
        <w:rPr>
          <w:rFonts w:ascii="Arial" w:eastAsiaTheme="minorHAnsi" w:hAnsi="Arial" w:cs="Arial"/>
          <w:sz w:val="22"/>
          <w:szCs w:val="22"/>
          <w:lang w:val="es-ES"/>
        </w:rPr>
        <w:t xml:space="preserve"> y otros órganos competentes,</w:t>
      </w:r>
      <w:r w:rsidRPr="0076412C">
        <w:rPr>
          <w:rFonts w:ascii="Arial" w:eastAsiaTheme="minorHAnsi" w:hAnsi="Arial" w:cs="Arial"/>
          <w:sz w:val="22"/>
          <w:szCs w:val="22"/>
          <w:lang w:val="es-ES"/>
        </w:rPr>
        <w:t xml:space="preserve"> de las nuevas ISRA identificadas; e</w:t>
      </w:r>
    </w:p>
    <w:p w14:paraId="5C652E04" w14:textId="77777777" w:rsidR="0076412C" w:rsidRPr="0076412C" w:rsidRDefault="0076412C" w:rsidP="0076412C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30A340BF" w14:textId="77777777" w:rsidR="0076412C" w:rsidRPr="0076412C" w:rsidRDefault="0076412C" w:rsidP="0076412C">
      <w:pPr>
        <w:widowControl/>
        <w:numPr>
          <w:ilvl w:val="0"/>
          <w:numId w:val="5"/>
        </w:numPr>
        <w:autoSpaceDE/>
        <w:autoSpaceDN/>
        <w:ind w:left="1080"/>
        <w:contextualSpacing/>
        <w:jc w:val="both"/>
        <w:textAlignment w:val="auto"/>
        <w:rPr>
          <w:rFonts w:ascii="Arial" w:hAnsi="Arial" w:cs="Arial"/>
          <w:sz w:val="22"/>
          <w:szCs w:val="22"/>
          <w:lang w:val="es-ES" w:eastAsia="es-ES"/>
        </w:rPr>
      </w:pPr>
      <w:r w:rsidRPr="0076412C">
        <w:rPr>
          <w:rFonts w:ascii="Arial" w:eastAsiaTheme="minorHAnsi" w:hAnsi="Arial" w:cs="Arial"/>
          <w:bCs/>
          <w:iCs/>
          <w:sz w:val="22"/>
          <w:szCs w:val="22"/>
          <w:lang w:val="es-ES"/>
        </w:rPr>
        <w:t>informar a la Conferencia de las Partes en su 15.</w:t>
      </w:r>
      <w:r w:rsidRPr="0076412C">
        <w:rPr>
          <w:rFonts w:ascii="Arial" w:eastAsiaTheme="minorHAnsi" w:hAnsi="Arial" w:cs="Arial"/>
          <w:iCs/>
          <w:sz w:val="22"/>
          <w:szCs w:val="22"/>
          <w:vertAlign w:val="superscript"/>
          <w:lang w:val="es-ES"/>
        </w:rPr>
        <w:t>ª</w:t>
      </w:r>
      <w:r w:rsidRPr="0076412C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Reunión sobre la aplicación de esta Decisión.</w:t>
      </w:r>
    </w:p>
    <w:p w14:paraId="7D13B44A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77F883D9" w14:textId="77777777" w:rsidR="00D82C56" w:rsidRPr="00FD2360" w:rsidRDefault="00D82C56" w:rsidP="0076412C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76412C">
      <w:pPr>
        <w:rPr>
          <w:rFonts w:ascii="Arial" w:hAnsi="Arial" w:cs="Arial"/>
          <w:lang w:val="es-ES"/>
        </w:rPr>
      </w:pPr>
    </w:p>
    <w:sectPr w:rsidR="00227282" w:rsidRPr="00FD2360" w:rsidSect="00037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6247" w14:textId="77777777" w:rsidR="00861A0D" w:rsidRDefault="00861A0D">
      <w:r>
        <w:separator/>
      </w:r>
    </w:p>
  </w:endnote>
  <w:endnote w:type="continuationSeparator" w:id="0">
    <w:p w14:paraId="3AB7D3E9" w14:textId="77777777" w:rsidR="00861A0D" w:rsidRDefault="00861A0D">
      <w:r>
        <w:continuationSeparator/>
      </w:r>
    </w:p>
  </w:endnote>
  <w:endnote w:type="continuationNotice" w:id="1">
    <w:p w14:paraId="52765128" w14:textId="77777777" w:rsidR="00861A0D" w:rsidRDefault="00861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7A51" w14:textId="77777777" w:rsidR="00861A0D" w:rsidRDefault="00861A0D">
      <w:r>
        <w:rPr>
          <w:color w:val="000000"/>
        </w:rPr>
        <w:separator/>
      </w:r>
    </w:p>
  </w:footnote>
  <w:footnote w:type="continuationSeparator" w:id="0">
    <w:p w14:paraId="0192F9B8" w14:textId="77777777" w:rsidR="00861A0D" w:rsidRDefault="00861A0D">
      <w:r>
        <w:continuationSeparator/>
      </w:r>
    </w:p>
  </w:footnote>
  <w:footnote w:type="continuationNotice" w:id="1">
    <w:p w14:paraId="7958DEF3" w14:textId="77777777" w:rsidR="00861A0D" w:rsidRDefault="00861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4B922C7" w:rsidR="0041439A" w:rsidRPr="00FC0AB6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FC0AB6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FC0AB6">
      <w:rPr>
        <w:rFonts w:ascii="Arial" w:hAnsi="Arial" w:cs="Arial"/>
        <w:i/>
        <w:sz w:val="18"/>
        <w:szCs w:val="18"/>
        <w:lang w:val="en-GB"/>
      </w:rPr>
      <w:t>4</w:t>
    </w:r>
    <w:r w:rsidRPr="00FC0AB6">
      <w:rPr>
        <w:rFonts w:ascii="Arial" w:hAnsi="Arial" w:cs="Arial"/>
        <w:i/>
        <w:sz w:val="18"/>
        <w:szCs w:val="18"/>
        <w:lang w:val="en-GB"/>
      </w:rPr>
      <w:t>/CRP</w:t>
    </w:r>
    <w:r w:rsidR="0076412C" w:rsidRPr="00FC0AB6">
      <w:rPr>
        <w:rFonts w:ascii="Arial" w:hAnsi="Arial" w:cs="Arial"/>
        <w:i/>
        <w:sz w:val="18"/>
        <w:szCs w:val="18"/>
        <w:lang w:val="en-GB"/>
      </w:rPr>
      <w:t>27.4.2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7CC97C37" w:rsidR="0041439A" w:rsidRPr="00E63CEC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E63CEC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E63CEC">
      <w:rPr>
        <w:rFonts w:ascii="Arial" w:hAnsi="Arial" w:cs="Arial"/>
        <w:i/>
        <w:sz w:val="18"/>
        <w:szCs w:val="18"/>
        <w:lang w:val="en-GB"/>
      </w:rPr>
      <w:t>4</w:t>
    </w:r>
    <w:r w:rsidRPr="00E63CEC">
      <w:rPr>
        <w:rFonts w:ascii="Arial" w:hAnsi="Arial" w:cs="Arial"/>
        <w:i/>
        <w:sz w:val="18"/>
        <w:szCs w:val="18"/>
        <w:lang w:val="en-GB"/>
      </w:rPr>
      <w:t>/CRP</w:t>
    </w:r>
    <w:r w:rsidR="0076412C" w:rsidRPr="00E63CEC">
      <w:rPr>
        <w:rFonts w:ascii="Arial" w:hAnsi="Arial" w:cs="Arial"/>
        <w:i/>
        <w:sz w:val="18"/>
        <w:szCs w:val="18"/>
        <w:lang w:val="en-GB"/>
      </w:rPr>
      <w:t>27.4.2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28F5C844" w:rsidR="007A1066" w:rsidRPr="00FC0AB6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FC0AB6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FC0AB6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FC0AB6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E25F2B" w:rsidRPr="00FC0AB6">
      <w:rPr>
        <w:rFonts w:ascii="Arial" w:hAnsi="Arial" w:cs="Arial"/>
        <w:bCs/>
        <w:i/>
        <w:iCs/>
        <w:sz w:val="18"/>
        <w:szCs w:val="18"/>
        <w:lang w:val="en-GB"/>
      </w:rPr>
      <w:t>27.4.2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611"/>
    <w:multiLevelType w:val="hybridMultilevel"/>
    <w:tmpl w:val="2466D07A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B703F8E"/>
    <w:multiLevelType w:val="hybridMultilevel"/>
    <w:tmpl w:val="0D20E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76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143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733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054234">
    <w:abstractNumId w:val="4"/>
  </w:num>
  <w:num w:numId="5" w16cid:durableId="73199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37E2F"/>
    <w:rsid w:val="000B0D60"/>
    <w:rsid w:val="001125D7"/>
    <w:rsid w:val="002243FE"/>
    <w:rsid w:val="00227282"/>
    <w:rsid w:val="0024795B"/>
    <w:rsid w:val="002F5B3A"/>
    <w:rsid w:val="003276D3"/>
    <w:rsid w:val="00350A82"/>
    <w:rsid w:val="003F1AD8"/>
    <w:rsid w:val="0041439A"/>
    <w:rsid w:val="0043102F"/>
    <w:rsid w:val="004E740D"/>
    <w:rsid w:val="005645C4"/>
    <w:rsid w:val="0058757D"/>
    <w:rsid w:val="005D43E4"/>
    <w:rsid w:val="005F0639"/>
    <w:rsid w:val="0076412C"/>
    <w:rsid w:val="007A1066"/>
    <w:rsid w:val="008059EE"/>
    <w:rsid w:val="00861A0D"/>
    <w:rsid w:val="008E7CD2"/>
    <w:rsid w:val="009365FF"/>
    <w:rsid w:val="0098787C"/>
    <w:rsid w:val="009C2579"/>
    <w:rsid w:val="00AA138B"/>
    <w:rsid w:val="00B431FF"/>
    <w:rsid w:val="00BC1674"/>
    <w:rsid w:val="00BC5963"/>
    <w:rsid w:val="00D43A9F"/>
    <w:rsid w:val="00D50F95"/>
    <w:rsid w:val="00D51B3A"/>
    <w:rsid w:val="00D82C56"/>
    <w:rsid w:val="00DB0F6D"/>
    <w:rsid w:val="00E25F2B"/>
    <w:rsid w:val="00E34545"/>
    <w:rsid w:val="00E45B44"/>
    <w:rsid w:val="00E63CEC"/>
    <w:rsid w:val="00E728FD"/>
    <w:rsid w:val="00E829C9"/>
    <w:rsid w:val="00EB4A4B"/>
    <w:rsid w:val="00ED41D7"/>
    <w:rsid w:val="00EF79BD"/>
    <w:rsid w:val="00FC0AB6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51B3A"/>
    <w:pPr>
      <w:ind w:left="720"/>
      <w:contextualSpacing/>
    </w:pPr>
  </w:style>
  <w:style w:type="character" w:customStyle="1" w:styleId="normaltextrun">
    <w:name w:val="normaltextrun"/>
    <w:basedOn w:val="DefaultParagraphFont"/>
    <w:rsid w:val="00350A82"/>
  </w:style>
  <w:style w:type="character" w:customStyle="1" w:styleId="eop">
    <w:name w:val="eop"/>
    <w:basedOn w:val="DefaultParagraphFont"/>
    <w:rsid w:val="0035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30</cp:revision>
  <cp:lastPrinted>2024-02-14T20:11:00Z</cp:lastPrinted>
  <dcterms:created xsi:type="dcterms:W3CDTF">2020-02-04T13:27:00Z</dcterms:created>
  <dcterms:modified xsi:type="dcterms:W3CDTF">2024-02-14T20:47:00Z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