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6617" w14:textId="77777777" w:rsidR="00852F5F" w:rsidRPr="00852F5F" w:rsidRDefault="00852F5F" w:rsidP="00955268">
      <w:pPr>
        <w:spacing w:after="12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52F5F">
        <w:rPr>
          <w:rFonts w:ascii="Arial" w:hAnsi="Arial" w:cs="Arial"/>
          <w:b/>
          <w:bCs/>
          <w:sz w:val="22"/>
          <w:szCs w:val="22"/>
          <w:lang w:val="es-ES"/>
        </w:rPr>
        <w:t>ÁREAS IMPORTANTES PARA LOS MAMÍFEROS MARINOS (IMMA)</w:t>
      </w:r>
    </w:p>
    <w:p w14:paraId="77BA811D" w14:textId="7C33BCD4" w:rsidR="00D82C56" w:rsidRPr="0058757D" w:rsidRDefault="005D43E4" w:rsidP="00955268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1125D7">
        <w:rPr>
          <w:rFonts w:ascii="Arial" w:hAnsi="Arial" w:cs="Arial"/>
          <w:sz w:val="22"/>
          <w:szCs w:val="22"/>
          <w:lang w:val="es-ES"/>
        </w:rPr>
        <w:t>4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98126B">
        <w:rPr>
          <w:rFonts w:ascii="Arial" w:hAnsi="Arial" w:cs="Arial"/>
          <w:sz w:val="22"/>
          <w:szCs w:val="22"/>
          <w:lang w:val="es-ES"/>
        </w:rPr>
        <w:t>27.4.1</w:t>
      </w:r>
    </w:p>
    <w:p w14:paraId="73A89732" w14:textId="45345C7D" w:rsidR="00D82C56" w:rsidRPr="00FD2360" w:rsidRDefault="005D43E4" w:rsidP="00A35C5F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715A17">
        <w:rPr>
          <w:rFonts w:ascii="Arial" w:hAnsi="Arial" w:cs="Arial"/>
          <w:i/>
          <w:sz w:val="22"/>
          <w:szCs w:val="22"/>
          <w:lang w:val="es-ES"/>
        </w:rPr>
        <w:t>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A35C5F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A35C5F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59586A60" w:rsidR="00D82C56" w:rsidRPr="00FD2360" w:rsidRDefault="00FD2360" w:rsidP="00A35C5F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</w:t>
      </w:r>
      <w:r w:rsidR="00955268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77777777" w:rsidR="00D82C56" w:rsidRPr="00FD2360" w:rsidRDefault="00D82C56" w:rsidP="00A35C5F">
      <w:pPr>
        <w:rPr>
          <w:rFonts w:ascii="Arial" w:hAnsi="Arial" w:cs="Arial"/>
          <w:sz w:val="22"/>
          <w:szCs w:val="22"/>
          <w:lang w:val="es-ES"/>
        </w:rPr>
      </w:pPr>
    </w:p>
    <w:p w14:paraId="027789F1" w14:textId="77777777" w:rsidR="00A35C5F" w:rsidRPr="00A35C5F" w:rsidRDefault="00A35C5F" w:rsidP="00A35C5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"/>
        </w:rPr>
      </w:pPr>
      <w:r w:rsidRPr="00A35C5F">
        <w:rPr>
          <w:rFonts w:ascii="Arial" w:eastAsiaTheme="minorHAnsi" w:hAnsi="Arial" w:cs="Arial"/>
          <w:b/>
          <w:caps/>
          <w:sz w:val="22"/>
          <w:szCs w:val="22"/>
          <w:lang w:val="es-ES"/>
        </w:rPr>
        <w:t>ÁREAS IMPORTANTES PARA LOS MAMÍFEROS MARINOS</w:t>
      </w:r>
    </w:p>
    <w:p w14:paraId="3EF39A4C" w14:textId="77777777" w:rsidR="00A35C5F" w:rsidRPr="00A35C5F" w:rsidRDefault="00A35C5F" w:rsidP="00A35C5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227334D9" w14:textId="77777777" w:rsidR="00A35C5F" w:rsidRPr="00A35C5F" w:rsidRDefault="00A35C5F" w:rsidP="00A35C5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38BF2E24" w14:textId="77777777" w:rsidR="00A35C5F" w:rsidRPr="00A35C5F" w:rsidRDefault="00A35C5F" w:rsidP="00A35C5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A35C5F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 las Partes </w:t>
      </w:r>
    </w:p>
    <w:p w14:paraId="1959F598" w14:textId="77777777" w:rsidR="00A35C5F" w:rsidRPr="00A35C5F" w:rsidRDefault="00A35C5F" w:rsidP="00A35C5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B2F8BE1" w14:textId="77777777" w:rsidR="00A35C5F" w:rsidRPr="00A35C5F" w:rsidRDefault="00A35C5F" w:rsidP="00A35C5F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A35C5F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A35C5F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A35C5F">
        <w:rPr>
          <w:rFonts w:ascii="Arial" w:eastAsiaTheme="minorHAnsi" w:hAnsi="Arial" w:cs="Arial"/>
          <w:iCs/>
          <w:sz w:val="22"/>
          <w:szCs w:val="22"/>
          <w:lang w:val="es-ES"/>
        </w:rPr>
        <w:t xml:space="preserve">Se solicita a las Partes que: </w:t>
      </w:r>
    </w:p>
    <w:p w14:paraId="5A161166" w14:textId="77777777" w:rsidR="00A35C5F" w:rsidRPr="00A35C5F" w:rsidRDefault="00A35C5F" w:rsidP="00A35C5F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1BA66E04" w14:textId="1F89E2E4" w:rsidR="00A35C5F" w:rsidRPr="00A35C5F" w:rsidRDefault="00715A17" w:rsidP="00A35C5F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>
        <w:rPr>
          <w:rFonts w:ascii="Arial" w:eastAsiaTheme="minorHAnsi" w:hAnsi="Arial" w:cs="Arial"/>
          <w:iCs/>
          <w:sz w:val="22"/>
          <w:szCs w:val="22"/>
          <w:lang w:val="es-ES"/>
        </w:rPr>
        <w:t>Q</w:t>
      </w:r>
      <w:r w:rsidR="00A35C5F" w:rsidRPr="00A35C5F">
        <w:rPr>
          <w:rFonts w:ascii="Arial" w:eastAsiaTheme="minorHAnsi" w:hAnsi="Arial" w:cs="Arial"/>
          <w:iCs/>
          <w:sz w:val="22"/>
          <w:szCs w:val="22"/>
          <w:lang w:val="es-ES"/>
        </w:rPr>
        <w:t>ue utilicen, según proceda, las áreas importantes para mamíferos marinos (AIMM) identificadas y publicadas en el sitio web del Grupo de Trabajo conjunto de la Comisión Supervivencia de Especies/Comisión Mundial de Áreas Protegidas (CSE/CMAP) de la UICN sobre áreas protegidas para los mamíferos marinos (</w:t>
      </w:r>
      <w:hyperlink r:id="rId10" w:history="1">
        <w:r w:rsidR="00A35C5F" w:rsidRPr="00A35C5F">
          <w:rPr>
            <w:rFonts w:ascii="Arial" w:eastAsiaTheme="minorHAnsi" w:hAnsi="Arial" w:cs="Arial"/>
            <w:iCs/>
            <w:color w:val="0563C1" w:themeColor="hyperlink"/>
            <w:sz w:val="22"/>
            <w:szCs w:val="22"/>
            <w:u w:val="single"/>
            <w:lang w:val="es-ES"/>
          </w:rPr>
          <w:t>www.marinemammalhabitat.org</w:t>
        </w:r>
      </w:hyperlink>
      <w:r w:rsidR="00A35C5F" w:rsidRPr="00A35C5F">
        <w:rPr>
          <w:rFonts w:ascii="Arial" w:eastAsiaTheme="minorHAnsi" w:hAnsi="Arial" w:cs="Arial"/>
          <w:iCs/>
          <w:sz w:val="22"/>
          <w:szCs w:val="22"/>
          <w:lang w:val="es-ES"/>
        </w:rPr>
        <w:t>) cuando se trate de identificar los hábitats en riesgo o de diseñar medidas de mitigación de amenazas y al designar áreas marinas protegidas o en general con fines de planificación espacial de las áreas marinas para apoyar la conservación de los mamíferos marinos.</w:t>
      </w:r>
    </w:p>
    <w:p w14:paraId="5AD761DF" w14:textId="77777777" w:rsidR="00A35C5F" w:rsidRPr="00A35C5F" w:rsidRDefault="00A35C5F" w:rsidP="00A35C5F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iCs/>
          <w:sz w:val="22"/>
          <w:szCs w:val="22"/>
          <w:highlight w:val="yellow"/>
          <w:lang w:val="es-ES"/>
        </w:rPr>
      </w:pPr>
    </w:p>
    <w:p w14:paraId="13D2A0B9" w14:textId="20CD305E" w:rsidR="00A35C5F" w:rsidRDefault="00715A17" w:rsidP="00A35C5F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u w:val="single"/>
          <w:lang w:val="es-ES"/>
        </w:rPr>
      </w:pPr>
      <w:r>
        <w:rPr>
          <w:rFonts w:ascii="Arial" w:eastAsiaTheme="minorHAnsi" w:hAnsi="Arial" w:cs="Arial"/>
          <w:iCs/>
          <w:sz w:val="22"/>
          <w:szCs w:val="22"/>
          <w:lang w:val="es-ES"/>
        </w:rPr>
        <w:t>I</w:t>
      </w:r>
      <w:r w:rsidR="00A35C5F" w:rsidRPr="00A35C5F">
        <w:rPr>
          <w:rFonts w:ascii="Arial" w:eastAsiaTheme="minorHAnsi" w:hAnsi="Arial" w:cs="Arial"/>
          <w:iCs/>
          <w:sz w:val="22"/>
          <w:szCs w:val="22"/>
          <w:lang w:val="es-ES"/>
        </w:rPr>
        <w:t>nformen a la Conferencia de las Partes en su 15.</w:t>
      </w:r>
      <w:r w:rsidR="00A35C5F" w:rsidRPr="00715A17">
        <w:rPr>
          <w:rFonts w:ascii="Arial" w:eastAsiaTheme="minorHAnsi" w:hAnsi="Arial" w:cs="Arial"/>
          <w:iCs/>
          <w:sz w:val="22"/>
          <w:szCs w:val="22"/>
          <w:lang w:val="es-ES"/>
        </w:rPr>
        <w:t>ª</w:t>
      </w:r>
      <w:r w:rsidR="00A35C5F" w:rsidRPr="00A35C5F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reunión sobre los progresos realizados en la aplicación de la decisión.</w:t>
      </w:r>
      <w:r w:rsidR="00A35C5F" w:rsidRPr="00A35C5F">
        <w:rPr>
          <w:rFonts w:ascii="Arial" w:eastAsiaTheme="minorHAnsi" w:hAnsi="Arial" w:cs="Arial"/>
          <w:iCs/>
          <w:sz w:val="22"/>
          <w:szCs w:val="22"/>
          <w:u w:val="single"/>
          <w:lang w:val="es-ES"/>
        </w:rPr>
        <w:t xml:space="preserve"> </w:t>
      </w:r>
    </w:p>
    <w:p w14:paraId="54B64D58" w14:textId="77777777" w:rsidR="00715A17" w:rsidRDefault="00715A17" w:rsidP="00715A17">
      <w:pPr>
        <w:pStyle w:val="ListParagraph"/>
        <w:rPr>
          <w:rFonts w:ascii="Arial" w:eastAsiaTheme="minorHAnsi" w:hAnsi="Arial" w:cs="Arial"/>
          <w:iCs/>
          <w:sz w:val="22"/>
          <w:szCs w:val="22"/>
          <w:u w:val="single"/>
          <w:lang w:val="es-ES"/>
        </w:rPr>
      </w:pPr>
    </w:p>
    <w:p w14:paraId="7D8AE669" w14:textId="2FF5BD97" w:rsidR="00715A17" w:rsidRPr="00715A17" w:rsidRDefault="00715A17" w:rsidP="00955268">
      <w:pPr>
        <w:widowControl/>
        <w:autoSpaceDE/>
        <w:autoSpaceDN/>
        <w:adjustRightInd w:val="0"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715A17">
        <w:rPr>
          <w:rFonts w:ascii="Arial" w:eastAsiaTheme="minorHAnsi" w:hAnsi="Arial" w:cs="Arial"/>
          <w:iCs/>
          <w:sz w:val="22"/>
          <w:szCs w:val="22"/>
          <w:lang w:val="es-ES"/>
        </w:rPr>
        <w:t xml:space="preserve">14.BB </w:t>
      </w:r>
      <w:r w:rsidRPr="00715A17">
        <w:rPr>
          <w:rFonts w:ascii="Arial" w:eastAsiaTheme="minorHAnsi" w:hAnsi="Arial" w:cs="Arial"/>
          <w:iCs/>
          <w:sz w:val="22"/>
          <w:szCs w:val="22"/>
          <w:lang w:val="es-ES"/>
        </w:rPr>
        <w:tab/>
        <w:t xml:space="preserve">Se alienta a las Partes a </w:t>
      </w:r>
      <w:r w:rsidR="00AB5D25">
        <w:rPr>
          <w:rFonts w:ascii="Arial" w:eastAsiaTheme="minorHAnsi" w:hAnsi="Arial" w:cs="Arial"/>
          <w:iCs/>
          <w:sz w:val="22"/>
          <w:szCs w:val="22"/>
          <w:lang w:val="es-ES"/>
        </w:rPr>
        <w:t xml:space="preserve">que apliquen </w:t>
      </w:r>
      <w:r w:rsidRPr="00715A17">
        <w:rPr>
          <w:rFonts w:ascii="Arial" w:eastAsiaTheme="minorHAnsi" w:hAnsi="Arial" w:cs="Arial"/>
          <w:iCs/>
          <w:sz w:val="22"/>
          <w:szCs w:val="22"/>
          <w:lang w:val="es-ES"/>
        </w:rPr>
        <w:t>los criterios relativos a las AIMM para identificar zonas importantes para los mamíferos marinos, incluso en regiones que aún no han sido evaluadas por la CSE/CMAP de la UICN.</w:t>
      </w:r>
    </w:p>
    <w:p w14:paraId="126CA497" w14:textId="77777777" w:rsidR="00A35C5F" w:rsidRPr="00715A17" w:rsidRDefault="00A35C5F" w:rsidP="00A35C5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highlight w:val="yellow"/>
          <w:lang w:val="es-ES"/>
        </w:rPr>
      </w:pPr>
    </w:p>
    <w:p w14:paraId="6CF2DDFD" w14:textId="77777777" w:rsidR="00A35C5F" w:rsidRPr="00A35C5F" w:rsidRDefault="00A35C5F" w:rsidP="00A35C5F">
      <w:pPr>
        <w:widowControl/>
        <w:autoSpaceDE/>
        <w:autoSpaceDN/>
        <w:textAlignment w:val="auto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  <w:r w:rsidRPr="00A35C5F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  <w:t>Dirigido al Consejo Científico</w:t>
      </w:r>
    </w:p>
    <w:p w14:paraId="3C3B2866" w14:textId="77777777" w:rsidR="00A35C5F" w:rsidRPr="00A35C5F" w:rsidRDefault="00A35C5F" w:rsidP="00A35C5F">
      <w:pPr>
        <w:widowControl/>
        <w:autoSpaceDE/>
        <w:autoSpaceDN/>
        <w:textAlignment w:val="auto"/>
        <w:rPr>
          <w:rFonts w:ascii="Arial" w:eastAsiaTheme="minorHAnsi" w:hAnsi="Arial" w:cstheme="minorBidi"/>
          <w:sz w:val="22"/>
          <w:szCs w:val="22"/>
          <w:highlight w:val="yellow"/>
          <w:lang w:val="es-ES"/>
        </w:rPr>
      </w:pPr>
    </w:p>
    <w:p w14:paraId="4489A3B3" w14:textId="29F68DAB" w:rsidR="00A35C5F" w:rsidRPr="00A35C5F" w:rsidRDefault="00A35C5F" w:rsidP="00A35C5F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A35C5F">
        <w:rPr>
          <w:rFonts w:ascii="Arial" w:eastAsiaTheme="minorHAnsi" w:hAnsi="Arial" w:cstheme="minorBidi"/>
          <w:sz w:val="22"/>
          <w:szCs w:val="22"/>
          <w:lang w:val="es-ES"/>
        </w:rPr>
        <w:t>14.</w:t>
      </w:r>
      <w:r w:rsidR="00715A17">
        <w:rPr>
          <w:rFonts w:ascii="Arial" w:eastAsiaTheme="minorHAnsi" w:hAnsi="Arial" w:cstheme="minorBidi"/>
          <w:sz w:val="22"/>
          <w:szCs w:val="22"/>
          <w:lang w:val="es-ES"/>
        </w:rPr>
        <w:t>CC</w:t>
      </w:r>
      <w:r w:rsidRPr="00A35C5F">
        <w:rPr>
          <w:rFonts w:ascii="Arial" w:eastAsiaTheme="minorHAnsi" w:hAnsi="Arial" w:cstheme="minorBidi"/>
          <w:sz w:val="22"/>
          <w:szCs w:val="22"/>
          <w:lang w:val="es-ES"/>
        </w:rPr>
        <w:tab/>
        <w:t xml:space="preserve">Se solicita al Consejo Científico </w:t>
      </w:r>
      <w:r w:rsidR="00915490">
        <w:rPr>
          <w:rFonts w:ascii="Arial" w:eastAsiaTheme="minorHAnsi" w:hAnsi="Arial" w:cstheme="minorBidi"/>
          <w:sz w:val="22"/>
          <w:szCs w:val="22"/>
          <w:lang w:val="es-ES"/>
        </w:rPr>
        <w:t xml:space="preserve">que colabore </w:t>
      </w:r>
      <w:r w:rsidRPr="00A35C5F">
        <w:rPr>
          <w:rFonts w:ascii="Arial" w:eastAsiaTheme="minorHAnsi" w:hAnsi="Arial" w:cstheme="minorBidi"/>
          <w:sz w:val="22"/>
          <w:szCs w:val="22"/>
          <w:lang w:val="es-ES"/>
        </w:rPr>
        <w:t>con el Grupo de Trabajo conjunto de</w:t>
      </w:r>
      <w:r w:rsidR="00AB5D25">
        <w:rPr>
          <w:rFonts w:ascii="Arial" w:eastAsiaTheme="minorHAnsi" w:hAnsi="Arial" w:cstheme="minorBidi"/>
          <w:sz w:val="22"/>
          <w:szCs w:val="22"/>
          <w:lang w:val="es-ES"/>
        </w:rPr>
        <w:t xml:space="preserve"> la </w:t>
      </w:r>
      <w:r w:rsidRPr="00A35C5F">
        <w:rPr>
          <w:rFonts w:ascii="Arial" w:eastAsiaTheme="minorHAnsi" w:hAnsi="Arial" w:cstheme="minorBidi"/>
          <w:sz w:val="22"/>
          <w:szCs w:val="22"/>
          <w:lang w:val="es-ES"/>
        </w:rPr>
        <w:t xml:space="preserve">CSE/CMAP de la UICN sobre áreas protegidas para los mamíferos marinos con el fin de incluir datos sobre los mamíferos marinos incluidos en la CMS en la identificación de </w:t>
      </w:r>
      <w:r w:rsidR="00186E0F">
        <w:rPr>
          <w:rFonts w:ascii="Arial" w:eastAsiaTheme="minorHAnsi" w:hAnsi="Arial" w:cstheme="minorBidi"/>
          <w:sz w:val="22"/>
          <w:szCs w:val="22"/>
          <w:lang w:val="es-ES"/>
        </w:rPr>
        <w:t xml:space="preserve">las </w:t>
      </w:r>
      <w:r w:rsidRPr="00A35C5F">
        <w:rPr>
          <w:rFonts w:ascii="Arial" w:eastAsiaTheme="minorHAnsi" w:hAnsi="Arial" w:cstheme="minorBidi"/>
          <w:sz w:val="22"/>
          <w:szCs w:val="22"/>
          <w:lang w:val="es-ES"/>
        </w:rPr>
        <w:t>AIMM.</w:t>
      </w:r>
    </w:p>
    <w:p w14:paraId="6F59F147" w14:textId="77777777" w:rsidR="00A35C5F" w:rsidRPr="00A35C5F" w:rsidRDefault="00A35C5F" w:rsidP="00A35C5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highlight w:val="yellow"/>
          <w:lang w:val="es-ES"/>
        </w:rPr>
      </w:pPr>
    </w:p>
    <w:p w14:paraId="688A162B" w14:textId="77777777" w:rsidR="00A35C5F" w:rsidRPr="00A35C5F" w:rsidRDefault="00A35C5F" w:rsidP="00A35C5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A35C5F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148166AF" w14:textId="77777777" w:rsidR="00A35C5F" w:rsidRPr="00A35C5F" w:rsidRDefault="00A35C5F" w:rsidP="00A35C5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highlight w:val="yellow"/>
          <w:lang w:val="es-ES"/>
        </w:rPr>
      </w:pPr>
    </w:p>
    <w:p w14:paraId="434D131A" w14:textId="07EBED4C" w:rsidR="00A35C5F" w:rsidRPr="00A35C5F" w:rsidRDefault="00A35C5F" w:rsidP="00A35C5F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35C5F">
        <w:rPr>
          <w:rFonts w:ascii="Arial" w:eastAsiaTheme="minorHAnsi" w:hAnsi="Arial" w:cs="Arial"/>
          <w:sz w:val="22"/>
          <w:szCs w:val="22"/>
          <w:lang w:val="es-ES"/>
        </w:rPr>
        <w:t>14.</w:t>
      </w:r>
      <w:r w:rsidR="00AA4DCB">
        <w:rPr>
          <w:rFonts w:ascii="Arial" w:eastAsiaTheme="minorHAnsi" w:hAnsi="Arial" w:cs="Arial"/>
          <w:sz w:val="22"/>
          <w:szCs w:val="22"/>
          <w:lang w:val="es-ES"/>
        </w:rPr>
        <w:t>DD</w:t>
      </w:r>
      <w:r w:rsidRPr="00A35C5F">
        <w:rPr>
          <w:rFonts w:ascii="Arial" w:eastAsiaTheme="minorHAnsi" w:hAnsi="Arial" w:cs="Arial"/>
          <w:sz w:val="22"/>
          <w:szCs w:val="22"/>
          <w:lang w:val="es-ES"/>
        </w:rPr>
        <w:tab/>
        <w:t>La Secretaría deberá</w:t>
      </w:r>
      <w:r w:rsidR="00AA4DCB">
        <w:rPr>
          <w:rFonts w:ascii="Arial" w:eastAsiaTheme="minorHAnsi" w:hAnsi="Arial" w:cs="Arial"/>
          <w:sz w:val="22"/>
          <w:szCs w:val="22"/>
          <w:lang w:val="es-ES"/>
        </w:rPr>
        <w:t>:</w:t>
      </w:r>
    </w:p>
    <w:p w14:paraId="7D13B44A" w14:textId="77777777" w:rsidR="00D82C56" w:rsidRDefault="00D82C56" w:rsidP="00A35C5F">
      <w:pPr>
        <w:rPr>
          <w:rFonts w:ascii="Arial" w:hAnsi="Arial" w:cs="Arial"/>
          <w:sz w:val="22"/>
          <w:szCs w:val="22"/>
          <w:lang w:val="es-ES"/>
        </w:rPr>
      </w:pPr>
    </w:p>
    <w:p w14:paraId="42906E8A" w14:textId="4D0F79B1" w:rsidR="00715A17" w:rsidRPr="00955268" w:rsidRDefault="00715A17" w:rsidP="00955268">
      <w:pPr>
        <w:pStyle w:val="ListParagraph"/>
        <w:numPr>
          <w:ilvl w:val="0"/>
          <w:numId w:val="2"/>
        </w:numPr>
        <w:ind w:left="1440" w:hanging="540"/>
        <w:jc w:val="both"/>
        <w:rPr>
          <w:rFonts w:ascii="Arial" w:hAnsi="Arial" w:cs="Arial"/>
          <w:sz w:val="22"/>
          <w:szCs w:val="22"/>
          <w:lang w:val="es-ES"/>
        </w:rPr>
      </w:pPr>
      <w:r w:rsidRPr="00955268">
        <w:rPr>
          <w:rFonts w:ascii="Arial" w:hAnsi="Arial" w:cs="Arial"/>
          <w:sz w:val="22"/>
          <w:szCs w:val="22"/>
          <w:lang w:val="es-ES"/>
        </w:rPr>
        <w:t>Informar a las Partes de las AIMM recientemente identificadas y de las especies pertinentes incluidas en la CMS;</w:t>
      </w:r>
    </w:p>
    <w:p w14:paraId="39ED79ED" w14:textId="77777777" w:rsidR="00715A17" w:rsidRPr="00965B6A" w:rsidRDefault="00715A17" w:rsidP="00955268">
      <w:pPr>
        <w:ind w:left="1440" w:hanging="540"/>
        <w:jc w:val="both"/>
        <w:rPr>
          <w:rFonts w:ascii="Arial" w:hAnsi="Arial" w:cs="Arial"/>
          <w:sz w:val="22"/>
          <w:szCs w:val="22"/>
          <w:lang w:val="es-ES"/>
        </w:rPr>
      </w:pPr>
    </w:p>
    <w:p w14:paraId="666B521C" w14:textId="3365B0E3" w:rsidR="00715A17" w:rsidRPr="00955268" w:rsidRDefault="00715A17" w:rsidP="00955268">
      <w:pPr>
        <w:pStyle w:val="ListParagraph"/>
        <w:numPr>
          <w:ilvl w:val="0"/>
          <w:numId w:val="2"/>
        </w:numPr>
        <w:ind w:left="1440" w:hanging="540"/>
        <w:jc w:val="both"/>
        <w:rPr>
          <w:rFonts w:ascii="Arial" w:hAnsi="Arial" w:cs="Arial"/>
          <w:sz w:val="22"/>
          <w:szCs w:val="22"/>
          <w:lang w:val="es-ES"/>
        </w:rPr>
      </w:pPr>
      <w:r w:rsidRPr="00955268">
        <w:rPr>
          <w:rFonts w:ascii="Arial" w:hAnsi="Arial" w:cs="Arial"/>
          <w:sz w:val="22"/>
          <w:szCs w:val="22"/>
          <w:lang w:val="es-ES"/>
        </w:rPr>
        <w:t>Establecer contacto con otras organizaciones regionales e internacionales competentes para señalar a su atención el valor de la identificación de las AIMM para la planificación de la conservación, así como de las AIMM ya identificadas;</w:t>
      </w:r>
    </w:p>
    <w:p w14:paraId="3E39F448" w14:textId="77777777" w:rsidR="00715A17" w:rsidRPr="00965B6A" w:rsidRDefault="00715A17" w:rsidP="00955268">
      <w:pPr>
        <w:ind w:left="1440" w:hanging="540"/>
        <w:jc w:val="both"/>
        <w:rPr>
          <w:rFonts w:ascii="Arial" w:hAnsi="Arial" w:cs="Arial"/>
          <w:sz w:val="22"/>
          <w:szCs w:val="22"/>
          <w:lang w:val="es-ES"/>
        </w:rPr>
      </w:pPr>
    </w:p>
    <w:p w14:paraId="505D4E83" w14:textId="2C1D0936" w:rsidR="00715A17" w:rsidRPr="00955268" w:rsidRDefault="00715A17" w:rsidP="00955268">
      <w:pPr>
        <w:pStyle w:val="ListParagraph"/>
        <w:numPr>
          <w:ilvl w:val="0"/>
          <w:numId w:val="2"/>
        </w:numPr>
        <w:ind w:left="1440" w:hanging="540"/>
        <w:jc w:val="both"/>
        <w:rPr>
          <w:lang w:val="es-ES"/>
        </w:rPr>
      </w:pPr>
      <w:r w:rsidRPr="00955268">
        <w:rPr>
          <w:rFonts w:ascii="Arial" w:hAnsi="Arial" w:cs="Arial"/>
          <w:sz w:val="22"/>
          <w:szCs w:val="22"/>
          <w:lang w:val="es-ES"/>
        </w:rPr>
        <w:t>Buscar una mayor cooperación y coordinación con el Acuerdo en el marco de la Convención de las Naciones Unidas sobre el Derecho del Mar relativo a la conservación y el uso sostenible de la diversidad biológica marina de las zonas situadas fuera de la jurisdicción nacional.</w:t>
      </w:r>
    </w:p>
    <w:sectPr w:rsidR="00715A17" w:rsidRPr="00955268" w:rsidSect="009552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4BC" w14:textId="77777777" w:rsidR="00092DAE" w:rsidRDefault="00092DAE">
      <w:r>
        <w:separator/>
      </w:r>
    </w:p>
  </w:endnote>
  <w:endnote w:type="continuationSeparator" w:id="0">
    <w:p w14:paraId="5C439238" w14:textId="77777777" w:rsidR="00092DAE" w:rsidRDefault="00092DAE">
      <w:r>
        <w:continuationSeparator/>
      </w:r>
    </w:p>
  </w:endnote>
  <w:endnote w:type="continuationNotice" w:id="1">
    <w:p w14:paraId="5E0FFFA1" w14:textId="77777777" w:rsidR="00092DAE" w:rsidRDefault="00092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29AD" w14:textId="77777777" w:rsidR="00092DAE" w:rsidRDefault="00092DAE">
      <w:r>
        <w:rPr>
          <w:color w:val="000000"/>
        </w:rPr>
        <w:separator/>
      </w:r>
    </w:p>
  </w:footnote>
  <w:footnote w:type="continuationSeparator" w:id="0">
    <w:p w14:paraId="2EF192E2" w14:textId="77777777" w:rsidR="00092DAE" w:rsidRDefault="00092DAE">
      <w:r>
        <w:continuationSeparator/>
      </w:r>
    </w:p>
  </w:footnote>
  <w:footnote w:type="continuationNotice" w:id="1">
    <w:p w14:paraId="09A7104F" w14:textId="77777777" w:rsidR="00092DAE" w:rsidRDefault="00092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4657D92E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496031F6" w:rsidR="007A1066" w:rsidRPr="000B5302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0B5302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0B5302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0B5302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98126B" w:rsidRPr="000B5302">
      <w:rPr>
        <w:rFonts w:ascii="Arial" w:hAnsi="Arial" w:cs="Arial"/>
        <w:bCs/>
        <w:i/>
        <w:iCs/>
        <w:sz w:val="18"/>
        <w:szCs w:val="18"/>
        <w:lang w:val="en-GB"/>
      </w:rPr>
      <w:t>27.4.1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BF448F0"/>
    <w:multiLevelType w:val="hybridMultilevel"/>
    <w:tmpl w:val="A3963C18"/>
    <w:lvl w:ilvl="0" w:tplc="BEA8E14A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15568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31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92DAE"/>
    <w:rsid w:val="000B0D60"/>
    <w:rsid w:val="000B5302"/>
    <w:rsid w:val="001125D7"/>
    <w:rsid w:val="00186E0F"/>
    <w:rsid w:val="002243FE"/>
    <w:rsid w:val="00227282"/>
    <w:rsid w:val="003F1AD8"/>
    <w:rsid w:val="0041439A"/>
    <w:rsid w:val="0043102F"/>
    <w:rsid w:val="0053539B"/>
    <w:rsid w:val="005645C4"/>
    <w:rsid w:val="0058757D"/>
    <w:rsid w:val="005D43E4"/>
    <w:rsid w:val="005F0639"/>
    <w:rsid w:val="00715A17"/>
    <w:rsid w:val="007A1066"/>
    <w:rsid w:val="00852F5F"/>
    <w:rsid w:val="00915490"/>
    <w:rsid w:val="00955268"/>
    <w:rsid w:val="0098126B"/>
    <w:rsid w:val="00A35C5F"/>
    <w:rsid w:val="00AA138B"/>
    <w:rsid w:val="00AA4DCB"/>
    <w:rsid w:val="00AB5D25"/>
    <w:rsid w:val="00BB5DE7"/>
    <w:rsid w:val="00D50F95"/>
    <w:rsid w:val="00D82C56"/>
    <w:rsid w:val="00E001CB"/>
    <w:rsid w:val="00E45B44"/>
    <w:rsid w:val="00E829C9"/>
    <w:rsid w:val="00ED41D7"/>
    <w:rsid w:val="00F1206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1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marinemammalhabita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B5EADE0D-BAA5-45D3-9B17-963A699E4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20</cp:revision>
  <cp:lastPrinted>2020-02-03T15:02:00Z</cp:lastPrinted>
  <dcterms:created xsi:type="dcterms:W3CDTF">2020-02-04T13:27:00Z</dcterms:created>
  <dcterms:modified xsi:type="dcterms:W3CDTF">2024-02-13T20:00:00Z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