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30043" w14:textId="77777777" w:rsidR="00650B2F" w:rsidRPr="00DB3ABB" w:rsidRDefault="00650B2F" w:rsidP="00DB3ABB">
      <w:pPr>
        <w:spacing w:after="120"/>
        <w:jc w:val="center"/>
        <w:rPr>
          <w:rFonts w:ascii="Arial" w:hAnsi="Arial" w:cs="Arial"/>
          <w:b/>
          <w:bCs/>
          <w:sz w:val="22"/>
          <w:szCs w:val="22"/>
          <w:lang w:val="fr-FR"/>
        </w:rPr>
      </w:pPr>
      <w:r w:rsidRPr="00DB3ABB">
        <w:rPr>
          <w:rFonts w:ascii="Arial" w:hAnsi="Arial" w:cs="Arial"/>
          <w:b/>
          <w:bCs/>
          <w:sz w:val="22"/>
          <w:szCs w:val="22"/>
          <w:lang w:val="fr-FR"/>
        </w:rPr>
        <w:t>PRISES ACCESSOIRES</w:t>
      </w:r>
    </w:p>
    <w:p w14:paraId="48F82B79" w14:textId="3D0400A0" w:rsidR="00D82C56" w:rsidRPr="00DB3ABB" w:rsidRDefault="005D43E4" w:rsidP="00DB3ABB">
      <w:pPr>
        <w:spacing w:after="120"/>
        <w:jc w:val="center"/>
        <w:rPr>
          <w:rFonts w:ascii="Arial" w:hAnsi="Arial" w:cs="Arial"/>
          <w:sz w:val="22"/>
          <w:szCs w:val="22"/>
          <w:lang w:val="fr-FR"/>
        </w:rPr>
      </w:pPr>
      <w:r w:rsidRPr="00DB3ABB">
        <w:rPr>
          <w:rFonts w:ascii="Arial" w:hAnsi="Arial" w:cs="Arial"/>
          <w:sz w:val="22"/>
          <w:szCs w:val="22"/>
          <w:lang w:val="fr-FR"/>
        </w:rPr>
        <w:t>UNEP/CMS/COP1</w:t>
      </w:r>
      <w:r w:rsidR="002B3E88" w:rsidRPr="00DB3ABB">
        <w:rPr>
          <w:rFonts w:ascii="Arial" w:hAnsi="Arial" w:cs="Arial"/>
          <w:sz w:val="22"/>
          <w:szCs w:val="22"/>
          <w:lang w:val="fr-FR"/>
        </w:rPr>
        <w:t>4</w:t>
      </w:r>
      <w:r w:rsidRPr="00DB3ABB">
        <w:rPr>
          <w:rFonts w:ascii="Arial" w:hAnsi="Arial" w:cs="Arial"/>
          <w:sz w:val="22"/>
          <w:szCs w:val="22"/>
          <w:lang w:val="fr-FR"/>
        </w:rPr>
        <w:t>/Doc.</w:t>
      </w:r>
      <w:r w:rsidR="00836A1B" w:rsidRPr="00DB3ABB">
        <w:rPr>
          <w:rFonts w:ascii="Arial" w:hAnsi="Arial" w:cs="Arial"/>
          <w:sz w:val="22"/>
          <w:szCs w:val="22"/>
          <w:lang w:val="fr-FR"/>
        </w:rPr>
        <w:t>27.1.1/Rev.1</w:t>
      </w:r>
    </w:p>
    <w:p w14:paraId="73A89732" w14:textId="5B2C50D9" w:rsidR="00D82C56" w:rsidRPr="00DB3ABB" w:rsidRDefault="005D43E4" w:rsidP="00F472DB">
      <w:pPr>
        <w:jc w:val="center"/>
        <w:rPr>
          <w:rFonts w:ascii="Arial" w:hAnsi="Arial" w:cs="Arial"/>
          <w:i/>
          <w:sz w:val="22"/>
          <w:szCs w:val="22"/>
          <w:lang w:val="fr-FR"/>
        </w:rPr>
      </w:pPr>
      <w:r w:rsidRPr="00DB3ABB">
        <w:rPr>
          <w:rFonts w:ascii="Arial" w:hAnsi="Arial" w:cs="Arial"/>
          <w:i/>
          <w:sz w:val="22"/>
          <w:szCs w:val="22"/>
          <w:lang w:val="fr-FR"/>
        </w:rPr>
        <w:t>(</w:t>
      </w:r>
      <w:r w:rsidR="00F472DB" w:rsidRPr="00DB3ABB">
        <w:rPr>
          <w:rFonts w:ascii="Arial" w:hAnsi="Arial" w:cs="Arial"/>
          <w:i/>
          <w:sz w:val="22"/>
          <w:szCs w:val="22"/>
          <w:lang w:val="fr-FR"/>
        </w:rPr>
        <w:t>Préparé</w:t>
      </w:r>
      <w:r w:rsidR="00A048E3" w:rsidRPr="00DB3ABB">
        <w:rPr>
          <w:rFonts w:ascii="Arial" w:hAnsi="Arial" w:cs="Arial"/>
          <w:i/>
          <w:sz w:val="22"/>
          <w:szCs w:val="22"/>
          <w:lang w:val="fr-FR"/>
        </w:rPr>
        <w:t xml:space="preserve"> par</w:t>
      </w:r>
      <w:r w:rsidRPr="00DB3ABB">
        <w:rPr>
          <w:rFonts w:ascii="Arial" w:hAnsi="Arial" w:cs="Arial"/>
          <w:i/>
          <w:sz w:val="22"/>
          <w:szCs w:val="22"/>
          <w:lang w:val="fr-FR"/>
        </w:rPr>
        <w:t xml:space="preserve"> </w:t>
      </w:r>
      <w:r w:rsidR="00F472DB" w:rsidRPr="00DB3ABB">
        <w:rPr>
          <w:rFonts w:ascii="Arial" w:hAnsi="Arial" w:cs="Arial"/>
          <w:i/>
          <w:sz w:val="22"/>
          <w:szCs w:val="22"/>
          <w:lang w:val="fr-FR"/>
        </w:rPr>
        <w:t>le Groupe de travail sur les espèces aquatiques et le Comité plénier</w:t>
      </w:r>
      <w:r w:rsidRPr="00DB3ABB">
        <w:rPr>
          <w:rFonts w:ascii="Arial" w:hAnsi="Arial" w:cs="Arial"/>
          <w:i/>
          <w:sz w:val="22"/>
          <w:szCs w:val="22"/>
          <w:lang w:val="fr-FR"/>
        </w:rPr>
        <w:t>)</w:t>
      </w:r>
    </w:p>
    <w:p w14:paraId="25BD5BFE" w14:textId="77777777" w:rsidR="00D82C56" w:rsidRPr="00DB3ABB" w:rsidRDefault="00D82C56" w:rsidP="003D74EF">
      <w:pPr>
        <w:rPr>
          <w:rFonts w:ascii="Arial" w:hAnsi="Arial" w:cs="Arial"/>
          <w:sz w:val="22"/>
          <w:szCs w:val="22"/>
          <w:lang w:val="fr-FR"/>
        </w:rPr>
      </w:pPr>
    </w:p>
    <w:p w14:paraId="6C7ED871" w14:textId="77777777" w:rsidR="00D82C56" w:rsidRPr="00DB3ABB" w:rsidRDefault="00D82C56" w:rsidP="003D74EF">
      <w:pPr>
        <w:rPr>
          <w:rFonts w:ascii="Arial" w:hAnsi="Arial" w:cs="Arial"/>
          <w:sz w:val="22"/>
          <w:szCs w:val="22"/>
          <w:lang w:val="fr-FR"/>
        </w:rPr>
      </w:pPr>
    </w:p>
    <w:p w14:paraId="5CD49333" w14:textId="4FEE21BA" w:rsidR="00D82C56" w:rsidRPr="00DB3ABB" w:rsidRDefault="00A048E3" w:rsidP="003D74EF">
      <w:pPr>
        <w:jc w:val="center"/>
        <w:rPr>
          <w:rFonts w:ascii="Arial" w:hAnsi="Arial" w:cs="Arial"/>
          <w:sz w:val="22"/>
          <w:szCs w:val="22"/>
          <w:lang w:val="fr-FR"/>
        </w:rPr>
      </w:pPr>
      <w:r w:rsidRPr="00DB3ABB">
        <w:rPr>
          <w:rFonts w:ascii="Arial" w:hAnsi="Arial" w:cs="Arial"/>
          <w:sz w:val="22"/>
          <w:szCs w:val="22"/>
          <w:lang w:val="fr-FR"/>
        </w:rPr>
        <w:t>PROJET DE</w:t>
      </w:r>
      <w:r w:rsidR="005D43E4" w:rsidRPr="00DB3ABB">
        <w:rPr>
          <w:rFonts w:ascii="Arial" w:hAnsi="Arial" w:cs="Arial"/>
          <w:sz w:val="22"/>
          <w:szCs w:val="22"/>
          <w:lang w:val="fr-FR"/>
        </w:rPr>
        <w:t xml:space="preserve"> D</w:t>
      </w:r>
      <w:r w:rsidRPr="00DB3ABB">
        <w:rPr>
          <w:rFonts w:ascii="Arial" w:hAnsi="Arial" w:cs="Arial"/>
          <w:sz w:val="22"/>
          <w:szCs w:val="22"/>
          <w:lang w:val="fr-FR"/>
        </w:rPr>
        <w:t>É</w:t>
      </w:r>
      <w:r w:rsidR="005D43E4" w:rsidRPr="00DB3ABB">
        <w:rPr>
          <w:rFonts w:ascii="Arial" w:hAnsi="Arial" w:cs="Arial"/>
          <w:sz w:val="22"/>
          <w:szCs w:val="22"/>
          <w:lang w:val="fr-FR"/>
        </w:rPr>
        <w:t>CISION</w:t>
      </w:r>
    </w:p>
    <w:p w14:paraId="621FE7FD" w14:textId="77777777" w:rsidR="00D82C56" w:rsidRPr="00DB3ABB" w:rsidRDefault="00D82C56" w:rsidP="003D74EF">
      <w:pPr>
        <w:rPr>
          <w:rFonts w:ascii="Arial" w:hAnsi="Arial" w:cs="Arial"/>
          <w:sz w:val="22"/>
          <w:szCs w:val="22"/>
          <w:lang w:val="fr-FR"/>
        </w:rPr>
      </w:pPr>
    </w:p>
    <w:p w14:paraId="080143ED" w14:textId="77777777" w:rsidR="0095659D" w:rsidRPr="00DB3ABB" w:rsidRDefault="0095659D" w:rsidP="003D74EF">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DB3ABB">
        <w:rPr>
          <w:rFonts w:ascii="Arial" w:eastAsiaTheme="minorHAnsi" w:hAnsi="Arial" w:cs="Arial"/>
          <w:b/>
          <w:caps/>
          <w:sz w:val="22"/>
          <w:szCs w:val="22"/>
          <w:lang w:val="fr-FR"/>
        </w:rPr>
        <w:t>LES PRISES ACCESSOIRES ET LES AUTRES FORMES DE MORTALITÉ DUES À LA PÊCHE</w:t>
      </w:r>
    </w:p>
    <w:p w14:paraId="7D13B44A" w14:textId="77777777" w:rsidR="00D82C56" w:rsidRPr="00DB3ABB" w:rsidRDefault="00D82C56" w:rsidP="003D74EF">
      <w:pPr>
        <w:rPr>
          <w:rFonts w:ascii="Arial" w:hAnsi="Arial" w:cs="Arial"/>
          <w:sz w:val="22"/>
          <w:szCs w:val="22"/>
          <w:lang w:val="fr-FR"/>
        </w:rPr>
      </w:pPr>
    </w:p>
    <w:p w14:paraId="4AEBBDB2" w14:textId="77777777" w:rsidR="00DB3ABB" w:rsidRPr="00DB3ABB" w:rsidRDefault="00DB3ABB" w:rsidP="003D74EF">
      <w:pPr>
        <w:rPr>
          <w:rFonts w:ascii="Arial" w:hAnsi="Arial" w:cs="Arial"/>
          <w:sz w:val="22"/>
          <w:szCs w:val="22"/>
          <w:lang w:val="fr-FR"/>
        </w:rPr>
      </w:pPr>
    </w:p>
    <w:p w14:paraId="5843300E" w14:textId="70788899" w:rsidR="003D74EF" w:rsidRPr="00DB3ABB" w:rsidRDefault="003D74EF" w:rsidP="003D74EF">
      <w:pPr>
        <w:widowControl/>
        <w:autoSpaceDE/>
        <w:autoSpaceDN/>
        <w:jc w:val="both"/>
        <w:textAlignment w:val="auto"/>
        <w:rPr>
          <w:rFonts w:ascii="Arial" w:eastAsiaTheme="minorHAnsi" w:hAnsi="Arial" w:cs="Arial"/>
          <w:b/>
          <w:i/>
          <w:sz w:val="22"/>
          <w:szCs w:val="22"/>
          <w:lang w:val="fr-FR"/>
        </w:rPr>
      </w:pPr>
      <w:r w:rsidRPr="00DB3ABB">
        <w:rPr>
          <w:rFonts w:ascii="Arial" w:eastAsiaTheme="minorHAnsi" w:hAnsi="Arial" w:cs="Arial"/>
          <w:b/>
          <w:i/>
          <w:sz w:val="22"/>
          <w:szCs w:val="22"/>
          <w:lang w:val="fr-FR"/>
        </w:rPr>
        <w:t>À l'a</w:t>
      </w:r>
      <w:r w:rsidR="00F472DB" w:rsidRPr="00DB3ABB">
        <w:rPr>
          <w:rFonts w:ascii="Arial" w:eastAsiaTheme="minorHAnsi" w:hAnsi="Arial" w:cs="Arial"/>
          <w:b/>
          <w:i/>
          <w:sz w:val="22"/>
          <w:szCs w:val="22"/>
          <w:lang w:val="fr-FR"/>
        </w:rPr>
        <w:t xml:space="preserve">dresse </w:t>
      </w:r>
      <w:r w:rsidRPr="00DB3ABB">
        <w:rPr>
          <w:rFonts w:ascii="Arial" w:eastAsiaTheme="minorHAnsi" w:hAnsi="Arial" w:cs="Arial"/>
          <w:b/>
          <w:i/>
          <w:sz w:val="22"/>
          <w:szCs w:val="22"/>
          <w:lang w:val="fr-FR"/>
        </w:rPr>
        <w:t xml:space="preserve">des Parties </w:t>
      </w:r>
    </w:p>
    <w:p w14:paraId="2497724A" w14:textId="77777777" w:rsidR="003D74EF" w:rsidRPr="00DB3ABB" w:rsidRDefault="003D74EF" w:rsidP="003D74EF">
      <w:pPr>
        <w:widowControl/>
        <w:autoSpaceDE/>
        <w:autoSpaceDN/>
        <w:jc w:val="both"/>
        <w:textAlignment w:val="auto"/>
        <w:rPr>
          <w:rFonts w:ascii="Arial" w:eastAsiaTheme="minorHAnsi" w:hAnsi="Arial" w:cs="Arial"/>
          <w:sz w:val="22"/>
          <w:szCs w:val="22"/>
          <w:lang w:val="fr-FR"/>
        </w:rPr>
      </w:pPr>
    </w:p>
    <w:p w14:paraId="61083542" w14:textId="77777777" w:rsidR="003D74EF" w:rsidRPr="00DB3ABB" w:rsidRDefault="003D74EF" w:rsidP="003D74EF">
      <w:pPr>
        <w:widowControl/>
        <w:autoSpaceDE/>
        <w:autoSpaceDN/>
        <w:ind w:left="851" w:hanging="851"/>
        <w:jc w:val="both"/>
        <w:textAlignment w:val="auto"/>
        <w:rPr>
          <w:rFonts w:ascii="Arial" w:eastAsiaTheme="minorHAnsi" w:hAnsi="Arial" w:cs="Arial"/>
          <w:iCs/>
          <w:sz w:val="22"/>
          <w:szCs w:val="22"/>
          <w:lang w:val="fr-FR"/>
        </w:rPr>
      </w:pPr>
      <w:r w:rsidRPr="00DB3ABB">
        <w:rPr>
          <w:rFonts w:ascii="Arial" w:eastAsiaTheme="minorHAnsi" w:hAnsi="Arial" w:cs="Arial"/>
          <w:sz w:val="22"/>
          <w:szCs w:val="22"/>
          <w:lang w:val="fr-FR"/>
        </w:rPr>
        <w:t>14.AA</w:t>
      </w:r>
      <w:r w:rsidRPr="00DB3ABB">
        <w:rPr>
          <w:rFonts w:ascii="Arial" w:eastAsiaTheme="minorHAnsi" w:hAnsi="Arial" w:cs="Arial"/>
          <w:sz w:val="22"/>
          <w:szCs w:val="22"/>
          <w:lang w:val="fr-FR"/>
        </w:rPr>
        <w:tab/>
      </w:r>
      <w:r w:rsidRPr="00DB3ABB">
        <w:rPr>
          <w:rFonts w:ascii="Arial" w:eastAsiaTheme="minorHAnsi" w:hAnsi="Arial" w:cs="Arial"/>
          <w:iCs/>
          <w:sz w:val="22"/>
          <w:szCs w:val="22"/>
          <w:lang w:val="fr-FR"/>
        </w:rPr>
        <w:t>Les Parties sont invitées à :</w:t>
      </w:r>
    </w:p>
    <w:p w14:paraId="12EFFD8B" w14:textId="77777777" w:rsidR="003D74EF" w:rsidRPr="00DB3ABB" w:rsidRDefault="003D74EF" w:rsidP="003D74EF">
      <w:pPr>
        <w:widowControl/>
        <w:autoSpaceDE/>
        <w:autoSpaceDN/>
        <w:ind w:left="720" w:hanging="720"/>
        <w:jc w:val="both"/>
        <w:textAlignment w:val="auto"/>
        <w:rPr>
          <w:rFonts w:ascii="Arial" w:eastAsiaTheme="minorHAnsi" w:hAnsi="Arial" w:cs="Arial"/>
          <w:iCs/>
          <w:sz w:val="22"/>
          <w:szCs w:val="22"/>
          <w:lang w:val="fr-FR"/>
        </w:rPr>
      </w:pPr>
    </w:p>
    <w:p w14:paraId="1BDE8BCC" w14:textId="77777777" w:rsidR="003D74EF" w:rsidRPr="00DB3ABB" w:rsidRDefault="003D74EF" w:rsidP="003D74EF">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DB3ABB">
        <w:rPr>
          <w:rFonts w:ascii="Arial" w:eastAsiaTheme="minorHAnsi" w:hAnsi="Arial" w:cs="Arial"/>
          <w:iCs/>
          <w:sz w:val="22"/>
          <w:szCs w:val="22"/>
          <w:lang w:val="fr-FR"/>
        </w:rPr>
        <w:t>tenir compte des Directives techniques de l'Organisation des Nations Unies pour l'Alimentation et l'Agriculture (FAO) pour prévenir et réduire les prises accessoires de mammifères marins dans les pêcheries et les fiches technologiques associées (2023), en sus des meilleurs avis scientifiques disponibles pour les pêcheries concernées, et à mettre en œuvre des mesures de réduction efficaces des prises accessoires de mammifères marins, en fonction de leurs activités de pêche, y compris l’introduction d’autres engins de pêche ;</w:t>
      </w:r>
    </w:p>
    <w:p w14:paraId="43A5E3D5" w14:textId="77777777" w:rsidR="003D74EF" w:rsidRPr="00DB3ABB" w:rsidRDefault="003D74EF" w:rsidP="003D74EF">
      <w:pPr>
        <w:adjustRightInd w:val="0"/>
        <w:ind w:left="1418"/>
        <w:jc w:val="both"/>
        <w:textAlignment w:val="auto"/>
        <w:rPr>
          <w:rFonts w:ascii="Arial" w:eastAsiaTheme="minorHAnsi" w:hAnsi="Arial" w:cs="Arial"/>
          <w:iCs/>
          <w:sz w:val="22"/>
          <w:szCs w:val="22"/>
          <w:lang w:val="fr-FR"/>
        </w:rPr>
      </w:pPr>
    </w:p>
    <w:p w14:paraId="4E222A3C" w14:textId="77777777" w:rsidR="003D74EF" w:rsidRPr="00DB3ABB" w:rsidRDefault="003D74EF" w:rsidP="00DB3ABB">
      <w:pPr>
        <w:widowControl/>
        <w:numPr>
          <w:ilvl w:val="0"/>
          <w:numId w:val="2"/>
        </w:numPr>
        <w:autoSpaceDE/>
        <w:autoSpaceDN/>
        <w:adjustRightInd w:val="0"/>
        <w:spacing w:after="8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 xml:space="preserve">appliquer les recommandations incluses dans </w:t>
      </w:r>
      <w:proofErr w:type="spellStart"/>
      <w:r w:rsidRPr="00DB3ABB">
        <w:rPr>
          <w:rFonts w:ascii="Arial" w:eastAsiaTheme="minorHAnsi" w:hAnsi="Arial" w:cs="Arial"/>
          <w:sz w:val="22"/>
          <w:szCs w:val="22"/>
          <w:lang w:val="fr-FR"/>
        </w:rPr>
        <w:t>Drynan</w:t>
      </w:r>
      <w:proofErr w:type="spellEnd"/>
      <w:r w:rsidRPr="00DB3ABB">
        <w:rPr>
          <w:rFonts w:ascii="Arial" w:eastAsiaTheme="minorHAnsi" w:hAnsi="Arial" w:cs="Arial"/>
          <w:sz w:val="22"/>
          <w:szCs w:val="22"/>
          <w:lang w:val="fr-FR"/>
        </w:rPr>
        <w:t xml:space="preserve"> et Baker (2023), </w:t>
      </w:r>
      <w:r w:rsidRPr="00DB3ABB">
        <w:rPr>
          <w:rFonts w:ascii="Arial" w:eastAsiaTheme="minorHAnsi" w:hAnsi="Arial" w:cs="Arial"/>
          <w:i/>
          <w:sz w:val="22"/>
          <w:szCs w:val="22"/>
          <w:lang w:val="fr-FR"/>
        </w:rPr>
        <w:t>Techniques d'atténuation visant à réduire les prises accessoires de requins,</w:t>
      </w:r>
      <w:r w:rsidRPr="00DB3ABB">
        <w:rPr>
          <w:rFonts w:ascii="Arial" w:eastAsiaTheme="minorHAnsi" w:hAnsi="Arial" w:cs="Arial"/>
          <w:sz w:val="22"/>
          <w:szCs w:val="22"/>
          <w:lang w:val="fr-FR"/>
        </w:rPr>
        <w:t xml:space="preserve"> fournies dans l'annexe 2 du document UNEP/CMS/COP14/Doc.27.1.1, en mettant l'accent sur </w:t>
      </w:r>
    </w:p>
    <w:p w14:paraId="0FBB210F" w14:textId="77777777" w:rsidR="003D74EF" w:rsidRPr="00DB3ABB" w:rsidRDefault="003D74EF"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la mise en œuvre de solutions adaptées aux différentes pêcheries avec des plans d'action limités dans le temps;</w:t>
      </w:r>
    </w:p>
    <w:p w14:paraId="18EFE716" w14:textId="6987710D" w:rsidR="003D74EF" w:rsidRPr="00DB3ABB" w:rsidRDefault="003D74EF"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la spécificité des espèces et des objectifs de gestion</w:t>
      </w:r>
      <w:r w:rsidR="00F472DB" w:rsidRPr="00DB3ABB">
        <w:rPr>
          <w:rFonts w:ascii="Arial" w:eastAsiaTheme="minorHAnsi" w:hAnsi="Arial" w:cs="Arial"/>
          <w:sz w:val="22"/>
          <w:szCs w:val="22"/>
          <w:lang w:val="fr-FR"/>
        </w:rPr>
        <w:t>, notamment pour le pêche individuelle</w:t>
      </w:r>
      <w:r w:rsidRPr="00DB3ABB">
        <w:rPr>
          <w:rFonts w:ascii="Arial" w:eastAsiaTheme="minorHAnsi" w:hAnsi="Arial" w:cs="Arial"/>
          <w:sz w:val="22"/>
          <w:szCs w:val="22"/>
          <w:lang w:val="fr-FR"/>
        </w:rPr>
        <w:t xml:space="preserve"> ;</w:t>
      </w:r>
    </w:p>
    <w:p w14:paraId="4680F808" w14:textId="77777777" w:rsidR="003D74EF" w:rsidRPr="00DB3ABB" w:rsidRDefault="003D74EF"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l'équilibre entre les prises ciblées et la réduction des prises accessoires tout en tenant compte des incidences non intentionnelles ;</w:t>
      </w:r>
    </w:p>
    <w:p w14:paraId="4E916CD0" w14:textId="68904D9D" w:rsidR="00F472DB" w:rsidRPr="00DB3ABB" w:rsidRDefault="00F472DB"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les techniques doivent être évaluées pour les espèces</w:t>
      </w:r>
      <w:r w:rsidRPr="00DB3ABB">
        <w:rPr>
          <w:lang w:val="fr-FR"/>
        </w:rPr>
        <w:t xml:space="preserve"> </w:t>
      </w:r>
      <w:r w:rsidRPr="00DB3ABB">
        <w:rPr>
          <w:rFonts w:ascii="Arial" w:eastAsiaTheme="minorHAnsi" w:hAnsi="Arial" w:cs="Arial"/>
          <w:sz w:val="22"/>
          <w:szCs w:val="22"/>
          <w:lang w:val="fr-FR"/>
        </w:rPr>
        <w:t>et les régions où elles seront déployées, et la participation de l'industrie de la pêche doit être encouragée et activement recherchée dès le début du processus ;</w:t>
      </w:r>
    </w:p>
    <w:p w14:paraId="76FAE7CE" w14:textId="2660E35E" w:rsidR="00F472DB" w:rsidRPr="00DB3ABB" w:rsidRDefault="001B0659"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si la capture ne peut être évitée, il faut s'efforcer de relâcher l’animal avant de remonter l'engin ;</w:t>
      </w:r>
    </w:p>
    <w:p w14:paraId="2D86B1F1" w14:textId="4255962D" w:rsidR="001B0659" w:rsidRPr="00DB3ABB" w:rsidRDefault="001B0659"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si l’animal ne peut pas s'échapper avant la remontée de l'engin, il faut s'efforcer de réduire la mortalité à bord du navire et d'augmenter le taux de survie après la remise à l'eau ;</w:t>
      </w:r>
    </w:p>
    <w:p w14:paraId="5CB817DB" w14:textId="77777777" w:rsidR="003D74EF" w:rsidRPr="00DB3ABB" w:rsidRDefault="003D74EF" w:rsidP="00DB3ABB">
      <w:pPr>
        <w:widowControl/>
        <w:numPr>
          <w:ilvl w:val="1"/>
          <w:numId w:val="3"/>
        </w:numPr>
        <w:autoSpaceDE/>
        <w:autoSpaceDN/>
        <w:adjustRightInd w:val="0"/>
        <w:spacing w:after="8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 xml:space="preserve">le recueil en priorité des données détaillées sur les mouvements des espèces de requins et les caractéristiques de leur cycle de vie ; </w:t>
      </w:r>
    </w:p>
    <w:p w14:paraId="1D781B4E" w14:textId="4B4D69ED" w:rsidR="003D74EF" w:rsidRPr="00DB3ABB" w:rsidRDefault="003D74EF" w:rsidP="00DB3ABB">
      <w:pPr>
        <w:widowControl/>
        <w:numPr>
          <w:ilvl w:val="1"/>
          <w:numId w:val="3"/>
        </w:numPr>
        <w:autoSpaceDE/>
        <w:autoSpaceDN/>
        <w:adjustRightInd w:val="0"/>
        <w:spacing w:after="80"/>
        <w:ind w:left="1984"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la mise à profit des connaissances et du soutien du secteur de la pêche,</w:t>
      </w:r>
      <w:r w:rsidR="001B0659" w:rsidRPr="00DB3ABB">
        <w:rPr>
          <w:rFonts w:ascii="Arial" w:eastAsiaTheme="minorHAnsi" w:hAnsi="Arial" w:cs="Arial"/>
          <w:sz w:val="22"/>
          <w:szCs w:val="22"/>
          <w:lang w:val="fr-FR"/>
        </w:rPr>
        <w:t xml:space="preserve"> des</w:t>
      </w:r>
      <w:r w:rsidRPr="00DB3ABB">
        <w:rPr>
          <w:rFonts w:ascii="Arial" w:eastAsiaTheme="minorHAnsi" w:hAnsi="Arial" w:cs="Arial"/>
          <w:sz w:val="22"/>
          <w:szCs w:val="22"/>
          <w:lang w:val="fr-FR"/>
        </w:rPr>
        <w:t xml:space="preserve"> </w:t>
      </w:r>
      <w:r w:rsidR="001B0659" w:rsidRPr="00DB3ABB">
        <w:rPr>
          <w:rFonts w:ascii="Arial" w:eastAsiaTheme="minorHAnsi" w:hAnsi="Arial" w:cs="Arial"/>
          <w:sz w:val="22"/>
          <w:szCs w:val="22"/>
          <w:lang w:val="fr-FR"/>
        </w:rPr>
        <w:t xml:space="preserve">organes de gestion des pêches et des organes consultatifs sont </w:t>
      </w:r>
      <w:r w:rsidRPr="00DB3ABB">
        <w:rPr>
          <w:rFonts w:ascii="Arial" w:eastAsiaTheme="minorHAnsi" w:hAnsi="Arial" w:cs="Arial"/>
          <w:sz w:val="22"/>
          <w:szCs w:val="22"/>
          <w:lang w:val="fr-FR"/>
        </w:rPr>
        <w:t>nécessaires à l'élaboration et au déploiement de stratégies d'atténuation efficaces en matière de prises accessoires</w:t>
      </w:r>
      <w:r w:rsidR="001B0659" w:rsidRPr="00DB3ABB">
        <w:rPr>
          <w:rFonts w:ascii="Arial" w:eastAsiaTheme="minorHAnsi" w:hAnsi="Arial" w:cs="Arial"/>
          <w:sz w:val="22"/>
          <w:szCs w:val="22"/>
          <w:lang w:val="fr-FR"/>
        </w:rPr>
        <w:t xml:space="preserve"> et de stratégies de survie après la remise à l’eau ; et</w:t>
      </w:r>
    </w:p>
    <w:p w14:paraId="23BC44A6" w14:textId="6B0889DA" w:rsidR="003D74EF" w:rsidRPr="00DB3ABB" w:rsidRDefault="003D74EF" w:rsidP="003D74EF">
      <w:pPr>
        <w:widowControl/>
        <w:numPr>
          <w:ilvl w:val="1"/>
          <w:numId w:val="3"/>
        </w:numPr>
        <w:autoSpaceDE/>
        <w:autoSpaceDN/>
        <w:adjustRightInd w:val="0"/>
        <w:ind w:left="1985" w:hanging="425"/>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lastRenderedPageBreak/>
        <w:t xml:space="preserve">aider les pêcheurs à modifier leurs techniques de pêche et garantir des mesures réglementaires appropriées, </w:t>
      </w:r>
      <w:r w:rsidR="00310EDC" w:rsidRPr="00DB3ABB">
        <w:rPr>
          <w:rFonts w:ascii="Arial" w:eastAsiaTheme="minorHAnsi" w:hAnsi="Arial" w:cs="Arial"/>
          <w:sz w:val="22"/>
          <w:szCs w:val="22"/>
          <w:lang w:val="fr-FR"/>
        </w:rPr>
        <w:t xml:space="preserve">avec </w:t>
      </w:r>
      <w:r w:rsidRPr="00DB3ABB">
        <w:rPr>
          <w:rFonts w:ascii="Arial" w:eastAsiaTheme="minorHAnsi" w:hAnsi="Arial" w:cs="Arial"/>
          <w:sz w:val="22"/>
          <w:szCs w:val="22"/>
          <w:lang w:val="fr-FR"/>
        </w:rPr>
        <w:t>une surveillance et une pénalisation adéquate en cas de non-respect des règles.</w:t>
      </w:r>
    </w:p>
    <w:p w14:paraId="08A24875" w14:textId="77777777" w:rsidR="003D74EF" w:rsidRPr="00DB3ABB" w:rsidRDefault="003D74EF" w:rsidP="003D74EF">
      <w:pPr>
        <w:adjustRightInd w:val="0"/>
        <w:jc w:val="both"/>
        <w:textAlignment w:val="auto"/>
        <w:rPr>
          <w:rFonts w:ascii="Arial" w:eastAsiaTheme="minorHAnsi" w:hAnsi="Arial" w:cs="Arial"/>
          <w:sz w:val="22"/>
          <w:szCs w:val="22"/>
          <w:lang w:val="fr-FR"/>
        </w:rPr>
      </w:pPr>
    </w:p>
    <w:p w14:paraId="54C2742A" w14:textId="680E1E31" w:rsidR="003D74EF" w:rsidRPr="00DB3ABB" w:rsidRDefault="003D74EF" w:rsidP="003D74EF">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DB3ABB">
        <w:rPr>
          <w:rFonts w:ascii="Arial" w:eastAsiaTheme="minorHAnsi" w:hAnsi="Arial" w:cs="Arial"/>
          <w:iCs/>
          <w:sz w:val="22"/>
          <w:szCs w:val="22"/>
          <w:lang w:val="fr-FR"/>
        </w:rPr>
        <w:t>faire rapport à la Conférence des Parties lors de sa 15</w:t>
      </w:r>
      <w:r w:rsidRPr="00DB3ABB">
        <w:rPr>
          <w:rFonts w:ascii="Arial" w:eastAsiaTheme="minorHAnsi" w:hAnsi="Arial" w:cs="Arial"/>
          <w:iCs/>
          <w:sz w:val="22"/>
          <w:szCs w:val="22"/>
          <w:vertAlign w:val="superscript"/>
          <w:lang w:val="fr-FR"/>
        </w:rPr>
        <w:t>e</w:t>
      </w:r>
      <w:r w:rsidRPr="00DB3ABB">
        <w:rPr>
          <w:rFonts w:ascii="Arial" w:eastAsiaTheme="minorHAnsi" w:hAnsi="Arial" w:cs="Arial"/>
          <w:iCs/>
          <w:sz w:val="22"/>
          <w:szCs w:val="22"/>
          <w:lang w:val="fr-FR"/>
        </w:rPr>
        <w:t xml:space="preserve"> réunion sur la mise en œuvre de la Décision </w:t>
      </w:r>
      <w:r w:rsidRPr="00DB3ABB">
        <w:rPr>
          <w:rFonts w:ascii="Arial" w:eastAsiaTheme="minorHAnsi" w:hAnsi="Arial" w:cs="Arial"/>
          <w:sz w:val="22"/>
          <w:szCs w:val="22"/>
          <w:lang w:val="fr-FR"/>
        </w:rPr>
        <w:t xml:space="preserve">14.AA b) </w:t>
      </w:r>
      <w:r w:rsidR="00310EDC" w:rsidRPr="00DB3ABB">
        <w:rPr>
          <w:rFonts w:ascii="Arial" w:eastAsiaTheme="minorHAnsi" w:hAnsi="Arial" w:cs="Arial"/>
          <w:sz w:val="22"/>
          <w:szCs w:val="22"/>
          <w:lang w:val="fr-FR"/>
        </w:rPr>
        <w:t xml:space="preserve">lors de la présentation des </w:t>
      </w:r>
      <w:r w:rsidRPr="00DB3ABB">
        <w:rPr>
          <w:rFonts w:ascii="Arial" w:eastAsiaTheme="minorHAnsi" w:hAnsi="Arial" w:cs="Arial"/>
          <w:iCs/>
          <w:sz w:val="22"/>
          <w:szCs w:val="22"/>
          <w:lang w:val="fr-FR"/>
        </w:rPr>
        <w:t xml:space="preserve">rapports nationaux. </w:t>
      </w:r>
    </w:p>
    <w:p w14:paraId="42EF49EC" w14:textId="65E58B34" w:rsidR="003D74EF" w:rsidRPr="00DB3ABB" w:rsidRDefault="003D74EF" w:rsidP="003D74EF">
      <w:pPr>
        <w:widowControl/>
        <w:autoSpaceDE/>
        <w:autoSpaceDN/>
        <w:jc w:val="both"/>
        <w:textAlignment w:val="auto"/>
        <w:rPr>
          <w:rFonts w:ascii="Arial" w:eastAsiaTheme="minorHAnsi" w:hAnsi="Arial" w:cs="Arial"/>
          <w:sz w:val="22"/>
          <w:szCs w:val="22"/>
          <w:lang w:val="fr-FR"/>
        </w:rPr>
      </w:pPr>
    </w:p>
    <w:p w14:paraId="69CE12B0" w14:textId="77777777" w:rsidR="003D74EF" w:rsidRPr="00DB3ABB" w:rsidRDefault="003D74EF" w:rsidP="003D74EF">
      <w:pPr>
        <w:widowControl/>
        <w:autoSpaceDE/>
        <w:autoSpaceDN/>
        <w:jc w:val="both"/>
        <w:textAlignment w:val="auto"/>
        <w:rPr>
          <w:rFonts w:ascii="Arial" w:eastAsiaTheme="minorHAnsi" w:hAnsi="Arial" w:cs="Arial"/>
          <w:b/>
          <w:i/>
          <w:sz w:val="22"/>
          <w:szCs w:val="22"/>
          <w:lang w:val="fr-FR"/>
        </w:rPr>
      </w:pPr>
    </w:p>
    <w:p w14:paraId="70F3B454" w14:textId="055004A0" w:rsidR="003D74EF" w:rsidRPr="00DB3ABB" w:rsidRDefault="003D74EF" w:rsidP="003D74EF">
      <w:pPr>
        <w:widowControl/>
        <w:autoSpaceDE/>
        <w:autoSpaceDN/>
        <w:jc w:val="both"/>
        <w:textAlignment w:val="auto"/>
        <w:rPr>
          <w:rFonts w:ascii="Arial" w:eastAsiaTheme="minorHAnsi" w:hAnsi="Arial" w:cs="Arial"/>
          <w:b/>
          <w:i/>
          <w:sz w:val="22"/>
          <w:szCs w:val="22"/>
          <w:lang w:val="fr-FR"/>
        </w:rPr>
      </w:pPr>
      <w:r w:rsidRPr="00DB3ABB">
        <w:rPr>
          <w:rFonts w:ascii="Arial" w:eastAsiaTheme="minorHAnsi" w:hAnsi="Arial" w:cs="Arial"/>
          <w:b/>
          <w:i/>
          <w:sz w:val="22"/>
          <w:szCs w:val="22"/>
          <w:lang w:val="fr-FR"/>
        </w:rPr>
        <w:t>À l'attention des Parties qui sont des États de l'aire de répartition du marsouin commun de la Baltique centrale</w:t>
      </w:r>
    </w:p>
    <w:p w14:paraId="5059F34D" w14:textId="77777777" w:rsidR="003D74EF" w:rsidRPr="00DB3ABB" w:rsidRDefault="003D74EF" w:rsidP="003D74EF">
      <w:pPr>
        <w:widowControl/>
        <w:autoSpaceDE/>
        <w:autoSpaceDN/>
        <w:jc w:val="both"/>
        <w:textAlignment w:val="auto"/>
        <w:rPr>
          <w:rFonts w:ascii="Arial" w:eastAsiaTheme="minorHAnsi" w:hAnsi="Arial" w:cs="Arial"/>
          <w:bCs/>
          <w:iCs/>
          <w:sz w:val="22"/>
          <w:szCs w:val="22"/>
          <w:lang w:val="fr-FR"/>
        </w:rPr>
      </w:pPr>
    </w:p>
    <w:p w14:paraId="25D7A352" w14:textId="77777777" w:rsidR="003D74EF" w:rsidRPr="00DB3ABB" w:rsidRDefault="003D74EF" w:rsidP="003D74EF">
      <w:pPr>
        <w:widowControl/>
        <w:autoSpaceDE/>
        <w:autoSpaceDN/>
        <w:ind w:left="851" w:hanging="851"/>
        <w:jc w:val="both"/>
        <w:textAlignment w:val="auto"/>
        <w:rPr>
          <w:rFonts w:ascii="Arial" w:eastAsiaTheme="minorHAnsi" w:hAnsi="Arial" w:cs="Arial"/>
          <w:bCs/>
          <w:iCs/>
          <w:sz w:val="22"/>
          <w:szCs w:val="22"/>
          <w:lang w:val="fr-FR"/>
        </w:rPr>
      </w:pPr>
      <w:r w:rsidRPr="00DB3ABB">
        <w:rPr>
          <w:rFonts w:ascii="Arial" w:eastAsiaTheme="minorHAnsi" w:hAnsi="Arial" w:cs="Arial"/>
          <w:bCs/>
          <w:iCs/>
          <w:sz w:val="22"/>
          <w:szCs w:val="22"/>
          <w:lang w:val="fr-FR"/>
        </w:rPr>
        <w:t xml:space="preserve">14.BB </w:t>
      </w:r>
      <w:r w:rsidRPr="00DB3ABB">
        <w:rPr>
          <w:rFonts w:ascii="Arial" w:eastAsiaTheme="minorHAnsi" w:hAnsi="Arial" w:cs="Arial"/>
          <w:bCs/>
          <w:iCs/>
          <w:sz w:val="22"/>
          <w:szCs w:val="22"/>
          <w:lang w:val="fr-FR"/>
        </w:rPr>
        <w:tab/>
        <w:t xml:space="preserve">Les Parties qui sont des États de l'aire de répartition du marsouin commun de la Baltique centrale sont invitées à : </w:t>
      </w:r>
    </w:p>
    <w:p w14:paraId="5CA14C2A" w14:textId="77777777" w:rsidR="003D74EF" w:rsidRPr="00DB3ABB" w:rsidRDefault="003D74EF" w:rsidP="003D74EF">
      <w:pPr>
        <w:widowControl/>
        <w:autoSpaceDE/>
        <w:autoSpaceDN/>
        <w:ind w:left="851" w:hanging="851"/>
        <w:jc w:val="both"/>
        <w:textAlignment w:val="auto"/>
        <w:rPr>
          <w:rFonts w:ascii="Arial" w:eastAsiaTheme="minorHAnsi" w:hAnsi="Arial" w:cs="Arial"/>
          <w:bCs/>
          <w:iCs/>
          <w:sz w:val="22"/>
          <w:szCs w:val="22"/>
          <w:lang w:val="fr-FR"/>
        </w:rPr>
      </w:pPr>
    </w:p>
    <w:p w14:paraId="32F3DD1F" w14:textId="77777777" w:rsidR="003D74EF" w:rsidRPr="00DB3ABB" w:rsidRDefault="003D74EF" w:rsidP="003D74EF">
      <w:pPr>
        <w:widowControl/>
        <w:numPr>
          <w:ilvl w:val="0"/>
          <w:numId w:val="4"/>
        </w:numPr>
        <w:autoSpaceDE/>
        <w:autoSpaceDN/>
        <w:ind w:left="1418" w:hanging="567"/>
        <w:contextualSpacing/>
        <w:jc w:val="both"/>
        <w:textAlignment w:val="auto"/>
        <w:rPr>
          <w:rFonts w:ascii="Arial" w:eastAsiaTheme="minorHAnsi" w:hAnsi="Arial" w:cs="Arial"/>
          <w:bCs/>
          <w:iCs/>
          <w:sz w:val="22"/>
          <w:szCs w:val="22"/>
          <w:lang w:val="fr-FR"/>
        </w:rPr>
      </w:pPr>
      <w:r w:rsidRPr="00DB3ABB">
        <w:rPr>
          <w:rFonts w:ascii="Arial" w:eastAsiaTheme="minorHAnsi" w:hAnsi="Arial" w:cs="Arial"/>
          <w:bCs/>
          <w:iCs/>
          <w:sz w:val="22"/>
          <w:szCs w:val="22"/>
          <w:lang w:val="fr-FR"/>
        </w:rPr>
        <w:t xml:space="preserve">mettre en œuvre d'urgence </w:t>
      </w:r>
      <w:r w:rsidRPr="00DB3ABB">
        <w:rPr>
          <w:rFonts w:ascii="Arial" w:eastAsiaTheme="minorHAnsi" w:hAnsi="Arial" w:cs="Arial"/>
          <w:sz w:val="22"/>
          <w:szCs w:val="22"/>
          <w:lang w:val="fr-FR"/>
        </w:rPr>
        <w:t>des plans d'action limités dans le temps</w:t>
      </w:r>
      <w:r w:rsidRPr="00DB3ABB">
        <w:rPr>
          <w:rFonts w:ascii="Arial" w:eastAsiaTheme="minorHAnsi" w:hAnsi="Arial" w:cs="Arial"/>
          <w:bCs/>
          <w:iCs/>
          <w:sz w:val="22"/>
          <w:szCs w:val="22"/>
          <w:lang w:val="fr-FR"/>
        </w:rPr>
        <w:t xml:space="preserve"> et des mesures d'atténuation des prises accessoires ;</w:t>
      </w:r>
    </w:p>
    <w:p w14:paraId="5076BD63" w14:textId="77777777" w:rsidR="003D74EF" w:rsidRPr="00DB3ABB" w:rsidRDefault="003D74EF" w:rsidP="003D74EF">
      <w:pPr>
        <w:widowControl/>
        <w:autoSpaceDE/>
        <w:autoSpaceDN/>
        <w:ind w:left="1418"/>
        <w:contextualSpacing/>
        <w:jc w:val="both"/>
        <w:textAlignment w:val="auto"/>
        <w:rPr>
          <w:rFonts w:ascii="Arial" w:eastAsiaTheme="minorHAnsi" w:hAnsi="Arial" w:cs="Arial"/>
          <w:bCs/>
          <w:iCs/>
          <w:sz w:val="22"/>
          <w:szCs w:val="22"/>
          <w:lang w:val="fr-FR"/>
        </w:rPr>
      </w:pPr>
    </w:p>
    <w:p w14:paraId="764C519C" w14:textId="77777777" w:rsidR="003D74EF" w:rsidRPr="00DB3ABB" w:rsidRDefault="003D74EF" w:rsidP="003D74EF">
      <w:pPr>
        <w:widowControl/>
        <w:numPr>
          <w:ilvl w:val="0"/>
          <w:numId w:val="4"/>
        </w:numPr>
        <w:autoSpaceDE/>
        <w:autoSpaceDN/>
        <w:ind w:left="1418" w:hanging="567"/>
        <w:contextualSpacing/>
        <w:jc w:val="both"/>
        <w:textAlignment w:val="auto"/>
        <w:rPr>
          <w:rFonts w:ascii="Arial" w:eastAsiaTheme="minorHAnsi" w:hAnsi="Arial" w:cs="Arial"/>
          <w:bCs/>
          <w:iCs/>
          <w:sz w:val="22"/>
          <w:szCs w:val="22"/>
          <w:lang w:val="fr-FR"/>
        </w:rPr>
      </w:pPr>
      <w:r w:rsidRPr="00DB3ABB">
        <w:rPr>
          <w:rFonts w:ascii="Arial" w:eastAsiaTheme="minorHAnsi" w:hAnsi="Arial" w:cs="Arial"/>
          <w:bCs/>
          <w:iCs/>
          <w:sz w:val="22"/>
          <w:szCs w:val="22"/>
          <w:lang w:val="fr-FR"/>
        </w:rPr>
        <w:t>faire rapport à la Conférence des Parties lors de sa 15</w:t>
      </w:r>
      <w:r w:rsidRPr="00DB3ABB">
        <w:rPr>
          <w:rFonts w:ascii="Arial" w:eastAsiaTheme="minorHAnsi" w:hAnsi="Arial" w:cs="Arial"/>
          <w:bCs/>
          <w:iCs/>
          <w:sz w:val="22"/>
          <w:szCs w:val="22"/>
          <w:vertAlign w:val="superscript"/>
          <w:lang w:val="fr-FR"/>
        </w:rPr>
        <w:t>e</w:t>
      </w:r>
      <w:r w:rsidRPr="00DB3ABB">
        <w:rPr>
          <w:rFonts w:ascii="Arial" w:eastAsiaTheme="minorHAnsi" w:hAnsi="Arial" w:cs="Arial"/>
          <w:bCs/>
          <w:iCs/>
          <w:sz w:val="22"/>
          <w:szCs w:val="22"/>
          <w:lang w:val="fr-FR"/>
        </w:rPr>
        <w:t xml:space="preserve"> réunion sur la mise en œuvre de la Décision 14.BB a) au moyen de leurs rapports nationaux.</w:t>
      </w:r>
    </w:p>
    <w:p w14:paraId="68E3B4EC" w14:textId="77777777" w:rsidR="003D74EF" w:rsidRPr="00DB3ABB" w:rsidRDefault="003D74EF" w:rsidP="003D74EF">
      <w:pPr>
        <w:widowControl/>
        <w:autoSpaceDE/>
        <w:autoSpaceDN/>
        <w:jc w:val="both"/>
        <w:textAlignment w:val="auto"/>
        <w:rPr>
          <w:rFonts w:ascii="Arial" w:eastAsiaTheme="minorHAnsi" w:hAnsi="Arial" w:cs="Arial"/>
          <w:bCs/>
          <w:iCs/>
          <w:sz w:val="22"/>
          <w:szCs w:val="22"/>
          <w:lang w:val="fr-FR"/>
        </w:rPr>
      </w:pPr>
    </w:p>
    <w:p w14:paraId="02A0A744" w14:textId="77777777" w:rsidR="003D74EF" w:rsidRPr="00DB3ABB" w:rsidRDefault="003D74EF" w:rsidP="003D74EF">
      <w:pPr>
        <w:widowControl/>
        <w:autoSpaceDE/>
        <w:autoSpaceDN/>
        <w:jc w:val="both"/>
        <w:textAlignment w:val="auto"/>
        <w:rPr>
          <w:rFonts w:ascii="Arial" w:eastAsiaTheme="minorHAnsi" w:hAnsi="Arial" w:cs="Arial"/>
          <w:bCs/>
          <w:iCs/>
          <w:sz w:val="22"/>
          <w:szCs w:val="22"/>
          <w:lang w:val="fr-FR"/>
        </w:rPr>
      </w:pPr>
    </w:p>
    <w:p w14:paraId="683D93E6" w14:textId="77777777" w:rsidR="003D74EF" w:rsidRPr="00DB3ABB" w:rsidRDefault="003D74EF" w:rsidP="003D74EF">
      <w:pPr>
        <w:widowControl/>
        <w:autoSpaceDE/>
        <w:autoSpaceDN/>
        <w:jc w:val="both"/>
        <w:textAlignment w:val="auto"/>
        <w:rPr>
          <w:rFonts w:ascii="Arial" w:eastAsiaTheme="minorHAnsi" w:hAnsi="Arial" w:cs="Arial"/>
          <w:sz w:val="22"/>
          <w:szCs w:val="22"/>
          <w:lang w:val="fr-FR"/>
        </w:rPr>
      </w:pPr>
      <w:r w:rsidRPr="00DB3ABB">
        <w:rPr>
          <w:rFonts w:ascii="Arial" w:eastAsiaTheme="minorHAnsi" w:hAnsi="Arial" w:cs="Arial"/>
          <w:b/>
          <w:i/>
          <w:sz w:val="22"/>
          <w:szCs w:val="22"/>
          <w:lang w:val="fr-FR"/>
        </w:rPr>
        <w:t xml:space="preserve">À l'attention du Conseil scientifique </w:t>
      </w:r>
    </w:p>
    <w:p w14:paraId="1D5FC13D" w14:textId="77777777" w:rsidR="003D74EF" w:rsidRPr="00DB3ABB" w:rsidRDefault="003D74EF" w:rsidP="003D74EF">
      <w:pPr>
        <w:widowControl/>
        <w:autoSpaceDE/>
        <w:autoSpaceDN/>
        <w:jc w:val="both"/>
        <w:textAlignment w:val="auto"/>
        <w:rPr>
          <w:rFonts w:ascii="Arial" w:eastAsiaTheme="minorHAnsi" w:hAnsi="Arial" w:cs="Arial"/>
          <w:sz w:val="22"/>
          <w:szCs w:val="22"/>
          <w:lang w:val="fr-FR"/>
        </w:rPr>
      </w:pPr>
    </w:p>
    <w:p w14:paraId="7D85141A" w14:textId="00A9382A" w:rsidR="003D74EF" w:rsidRPr="00DB3ABB" w:rsidRDefault="003D74EF" w:rsidP="003D74EF">
      <w:pPr>
        <w:widowControl/>
        <w:autoSpaceDE/>
        <w:autoSpaceDN/>
        <w:ind w:left="851" w:hanging="851"/>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14.CC</w:t>
      </w:r>
      <w:r w:rsidRPr="00DB3ABB">
        <w:rPr>
          <w:rFonts w:ascii="Arial" w:eastAsiaTheme="minorHAnsi" w:hAnsi="Arial" w:cs="Arial"/>
          <w:sz w:val="22"/>
          <w:szCs w:val="22"/>
          <w:lang w:val="fr-FR"/>
        </w:rPr>
        <w:tab/>
        <w:t xml:space="preserve"> Le Conseil scientifique, sous réserve de la disponibilité de ressources externes, est prié</w:t>
      </w:r>
      <w:r w:rsidR="00310EDC" w:rsidRPr="00DB3ABB">
        <w:rPr>
          <w:rFonts w:ascii="Arial" w:eastAsiaTheme="minorHAnsi" w:hAnsi="Arial" w:cs="Arial"/>
          <w:sz w:val="22"/>
          <w:szCs w:val="22"/>
          <w:lang w:val="fr-FR"/>
        </w:rPr>
        <w:t xml:space="preserve"> </w:t>
      </w:r>
      <w:r w:rsidRPr="00DB3ABB">
        <w:rPr>
          <w:rFonts w:ascii="Arial" w:eastAsiaTheme="minorHAnsi" w:hAnsi="Arial" w:cs="Arial"/>
          <w:sz w:val="22"/>
          <w:szCs w:val="22"/>
          <w:lang w:val="fr-FR"/>
        </w:rPr>
        <w:t>:</w:t>
      </w:r>
    </w:p>
    <w:p w14:paraId="75612C91" w14:textId="77777777" w:rsidR="003D74EF" w:rsidRPr="00DB3ABB" w:rsidRDefault="003D74EF" w:rsidP="003D74EF">
      <w:pPr>
        <w:widowControl/>
        <w:autoSpaceDE/>
        <w:autoSpaceDN/>
        <w:ind w:left="720" w:hanging="720"/>
        <w:jc w:val="both"/>
        <w:textAlignment w:val="auto"/>
        <w:rPr>
          <w:rFonts w:ascii="Arial" w:eastAsiaTheme="minorHAnsi" w:hAnsi="Arial" w:cs="Arial"/>
          <w:sz w:val="22"/>
          <w:szCs w:val="22"/>
          <w:lang w:val="fr-FR"/>
        </w:rPr>
      </w:pPr>
    </w:p>
    <w:p w14:paraId="2BF7B216" w14:textId="1AA296E4" w:rsidR="003D74EF" w:rsidRPr="00DB3ABB" w:rsidRDefault="003D74EF" w:rsidP="003D74EF">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 xml:space="preserve">d’identifier les régions où l'examen des niveaux relatifs de prises accessoires de mammifères marins et de tortues marines inscrits aux Annexes de la CMS dans les pêcheries commerciales et artisanales serait une priorité et /ou bénéfique, </w:t>
      </w:r>
      <w:r w:rsidR="00310EDC" w:rsidRPr="00DB3ABB">
        <w:rPr>
          <w:rFonts w:ascii="Arial" w:eastAsiaTheme="minorHAnsi" w:hAnsi="Arial" w:cs="Arial"/>
          <w:sz w:val="22"/>
          <w:szCs w:val="22"/>
          <w:lang w:val="fr-FR"/>
        </w:rPr>
        <w:t xml:space="preserve">de collaborer avec toutes les organisations intéressées, notamment les organes de gestions des pêches pour élaborer </w:t>
      </w:r>
      <w:r w:rsidRPr="00DB3ABB">
        <w:rPr>
          <w:rFonts w:ascii="Arial" w:eastAsiaTheme="minorHAnsi" w:hAnsi="Arial" w:cs="Arial"/>
          <w:sz w:val="22"/>
          <w:szCs w:val="22"/>
          <w:lang w:val="fr-FR"/>
        </w:rPr>
        <w:t xml:space="preserve">des études régionales </w:t>
      </w:r>
      <w:r w:rsidR="00310EDC" w:rsidRPr="00DB3ABB">
        <w:rPr>
          <w:rFonts w:ascii="Arial" w:eastAsiaTheme="minorHAnsi" w:hAnsi="Arial" w:cs="Arial"/>
          <w:sz w:val="22"/>
          <w:szCs w:val="22"/>
          <w:lang w:val="fr-FR"/>
        </w:rPr>
        <w:t xml:space="preserve">dans le but de réduire </w:t>
      </w:r>
      <w:r w:rsidRPr="00DB3ABB">
        <w:rPr>
          <w:rFonts w:ascii="Arial" w:eastAsiaTheme="minorHAnsi" w:hAnsi="Arial" w:cs="Arial"/>
          <w:sz w:val="22"/>
          <w:szCs w:val="22"/>
          <w:lang w:val="fr-FR"/>
        </w:rPr>
        <w:t xml:space="preserve">les niveaux de prises accessoires de tous les mammifères marins et tortues inscrits sur la liste de la CMS dans les pêcheries commerciales et artisanales ; de recenser et hiérarchiser les pêcheries et les zones dans lesquelles les incidences négatives des prises accessoires sont les plus élevées pour les mammifères marins et les tortues inscrits sur la liste de la CMS ; </w:t>
      </w:r>
      <w:r w:rsidR="00310EDC" w:rsidRPr="00DB3ABB">
        <w:rPr>
          <w:rFonts w:ascii="Arial" w:eastAsiaTheme="minorHAnsi" w:hAnsi="Arial" w:cs="Arial"/>
          <w:sz w:val="22"/>
          <w:szCs w:val="22"/>
          <w:lang w:val="fr-FR"/>
        </w:rPr>
        <w:t xml:space="preserve">coopérer avec les organisations pertinentes, notamment les </w:t>
      </w:r>
      <w:r w:rsidR="004F3B9A" w:rsidRPr="00DB3ABB">
        <w:rPr>
          <w:rFonts w:ascii="Arial" w:eastAsiaTheme="minorHAnsi" w:hAnsi="Arial" w:cs="Arial"/>
          <w:sz w:val="22"/>
          <w:szCs w:val="22"/>
          <w:lang w:val="fr-FR"/>
        </w:rPr>
        <w:t>organismes de pêche afin de</w:t>
      </w:r>
      <w:r w:rsidRPr="00DB3ABB">
        <w:rPr>
          <w:rFonts w:ascii="Arial" w:eastAsiaTheme="minorHAnsi" w:hAnsi="Arial" w:cs="Arial"/>
          <w:sz w:val="22"/>
          <w:szCs w:val="22"/>
          <w:lang w:val="fr-FR"/>
        </w:rPr>
        <w:t xml:space="preserve"> définir les mesures d'atténuation appropriées des prises accessoires pour les pêcheries relevant de la plus haute priorité et d’élaborer des mesures appropriées d'atténuation des captures accessoires, assorties de plans d'action limités dans le temps ;</w:t>
      </w:r>
    </w:p>
    <w:p w14:paraId="5877AFC3" w14:textId="77777777" w:rsidR="003D74EF" w:rsidRPr="00DB3ABB" w:rsidRDefault="003D74EF" w:rsidP="003D74EF">
      <w:pPr>
        <w:adjustRightInd w:val="0"/>
        <w:ind w:left="1418"/>
        <w:jc w:val="both"/>
        <w:textAlignment w:val="auto"/>
        <w:rPr>
          <w:rFonts w:ascii="Arial" w:eastAsiaTheme="minorHAnsi" w:hAnsi="Arial" w:cs="Arial"/>
          <w:sz w:val="22"/>
          <w:szCs w:val="22"/>
          <w:lang w:val="fr-FR"/>
        </w:rPr>
      </w:pPr>
    </w:p>
    <w:p w14:paraId="029EA768" w14:textId="19049B68" w:rsidR="003D74EF" w:rsidRPr="00DB3ABB" w:rsidRDefault="003D74EF" w:rsidP="003D74EF">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d’examiner, en collaboration avec le l'IOSEA Tortues marines et, si possible, la Convention interaméricaine pour la protection et la conservation des tortues marines</w:t>
      </w:r>
      <w:r w:rsidR="00D95E06" w:rsidRPr="00DB3ABB">
        <w:rPr>
          <w:rFonts w:ascii="Arial" w:eastAsiaTheme="minorHAnsi" w:hAnsi="Arial" w:cs="Arial"/>
          <w:sz w:val="22"/>
          <w:szCs w:val="22"/>
          <w:lang w:val="fr-FR"/>
        </w:rPr>
        <w:t xml:space="preserve"> et le Programme pour l’environnement des Caraïbes,</w:t>
      </w:r>
      <w:r w:rsidRPr="00DB3ABB">
        <w:rPr>
          <w:rFonts w:ascii="Arial" w:eastAsiaTheme="minorHAnsi" w:hAnsi="Arial" w:cs="Arial"/>
          <w:sz w:val="22"/>
          <w:szCs w:val="22"/>
          <w:lang w:val="fr-FR"/>
        </w:rPr>
        <w:t xml:space="preserve"> les connaissances actuelles sur les mesures visant à réduire et à atténuer les prises accessoires de tortues marines pour la pêche commerciale et la pêche artisanale, et de formuler des recommandations aux Parties et aux États signataires de l'IOSEA Tortues marines sur les mesures les plus efficaces et les plus appropriées pour réduire et atténuer les prises accessoires, tout en veillant à ce que les mesures recommandées n'agissent pas au détriment d'autres espèces marines inscrites sur la liste de la CMS ;</w:t>
      </w:r>
    </w:p>
    <w:p w14:paraId="1B88F2E9" w14:textId="77777777" w:rsidR="003D74EF" w:rsidRPr="00DB3ABB" w:rsidRDefault="003D74EF" w:rsidP="003D74EF">
      <w:pPr>
        <w:adjustRightInd w:val="0"/>
        <w:ind w:left="1418"/>
        <w:jc w:val="both"/>
        <w:textAlignment w:val="auto"/>
        <w:rPr>
          <w:rFonts w:ascii="Arial" w:eastAsiaTheme="minorHAnsi" w:hAnsi="Arial" w:cs="Arial"/>
          <w:sz w:val="22"/>
          <w:szCs w:val="22"/>
          <w:lang w:val="fr-FR"/>
        </w:rPr>
      </w:pPr>
    </w:p>
    <w:p w14:paraId="6FDB9BFA" w14:textId="47C3D947" w:rsidR="003D74EF" w:rsidRPr="00DB3ABB" w:rsidRDefault="003D74EF" w:rsidP="003D74EF">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 xml:space="preserve">d’examiner et d’évaluer, en collaboration avec le Comité consultatif du </w:t>
      </w:r>
      <w:proofErr w:type="spellStart"/>
      <w:r w:rsidRPr="00DB3ABB">
        <w:rPr>
          <w:rFonts w:ascii="Arial" w:eastAsiaTheme="minorHAnsi" w:hAnsi="Arial" w:cs="Arial"/>
          <w:sz w:val="22"/>
          <w:szCs w:val="22"/>
          <w:lang w:val="fr-FR"/>
        </w:rPr>
        <w:t>MdE</w:t>
      </w:r>
      <w:proofErr w:type="spellEnd"/>
      <w:r w:rsidRPr="00DB3ABB">
        <w:rPr>
          <w:rFonts w:ascii="Arial" w:eastAsiaTheme="minorHAnsi" w:hAnsi="Arial" w:cs="Arial"/>
          <w:sz w:val="22"/>
          <w:szCs w:val="22"/>
          <w:lang w:val="fr-FR"/>
        </w:rPr>
        <w:t xml:space="preserve"> requins, les données et connaissances actuelles concernant les niveaux de </w:t>
      </w:r>
      <w:r w:rsidRPr="00DB3ABB">
        <w:rPr>
          <w:rFonts w:ascii="Arial" w:eastAsiaTheme="minorHAnsi" w:hAnsi="Arial" w:cs="Arial"/>
          <w:sz w:val="22"/>
          <w:szCs w:val="22"/>
          <w:lang w:val="fr-FR"/>
        </w:rPr>
        <w:lastRenderedPageBreak/>
        <w:t xml:space="preserve">mortalité liée à la pêche des espèces de requins et de raies inscrites sur les listes de la CMS et du </w:t>
      </w:r>
      <w:proofErr w:type="spellStart"/>
      <w:r w:rsidRPr="00DB3ABB">
        <w:rPr>
          <w:rFonts w:ascii="Arial" w:eastAsiaTheme="minorHAnsi" w:hAnsi="Arial" w:cs="Arial"/>
          <w:sz w:val="22"/>
          <w:szCs w:val="22"/>
          <w:lang w:val="fr-FR"/>
        </w:rPr>
        <w:t>MdE</w:t>
      </w:r>
      <w:proofErr w:type="spellEnd"/>
      <w:r w:rsidRPr="00DB3ABB">
        <w:rPr>
          <w:rFonts w:ascii="Arial" w:eastAsiaTheme="minorHAnsi" w:hAnsi="Arial" w:cs="Arial"/>
          <w:sz w:val="22"/>
          <w:szCs w:val="22"/>
          <w:lang w:val="fr-FR"/>
        </w:rPr>
        <w:t xml:space="preserve"> requins</w:t>
      </w:r>
      <w:r w:rsidR="00E545F2" w:rsidRPr="00DB3ABB">
        <w:rPr>
          <w:rFonts w:ascii="Arial" w:eastAsiaTheme="minorHAnsi" w:hAnsi="Arial" w:cs="Arial"/>
          <w:sz w:val="22"/>
          <w:szCs w:val="22"/>
          <w:lang w:val="fr-FR"/>
        </w:rPr>
        <w:t xml:space="preserve">, et préparer des recommandations </w:t>
      </w:r>
      <w:r w:rsidR="005C28C1" w:rsidRPr="00DB3ABB">
        <w:rPr>
          <w:rFonts w:ascii="Arial" w:eastAsiaTheme="minorHAnsi" w:hAnsi="Arial" w:cs="Arial"/>
          <w:sz w:val="22"/>
          <w:szCs w:val="22"/>
          <w:lang w:val="fr-FR"/>
        </w:rPr>
        <w:t>concernant la réduction de la mortalité due à la pêche</w:t>
      </w:r>
      <w:r w:rsidRPr="00DB3ABB">
        <w:rPr>
          <w:rFonts w:ascii="Arial" w:eastAsiaTheme="minorHAnsi" w:hAnsi="Arial" w:cs="Arial"/>
          <w:sz w:val="22"/>
          <w:szCs w:val="22"/>
          <w:lang w:val="fr-FR"/>
        </w:rPr>
        <w:t xml:space="preserve"> ; </w:t>
      </w:r>
    </w:p>
    <w:p w14:paraId="56FBB3AA" w14:textId="77777777" w:rsidR="003D74EF" w:rsidRPr="00DB3ABB" w:rsidRDefault="003D74EF" w:rsidP="003D74EF">
      <w:pPr>
        <w:adjustRightInd w:val="0"/>
        <w:ind w:left="1418"/>
        <w:jc w:val="both"/>
        <w:textAlignment w:val="auto"/>
        <w:rPr>
          <w:rFonts w:ascii="Arial" w:eastAsiaTheme="minorHAnsi" w:hAnsi="Arial" w:cs="Arial"/>
          <w:sz w:val="22"/>
          <w:szCs w:val="22"/>
          <w:lang w:val="fr-FR"/>
        </w:rPr>
      </w:pPr>
    </w:p>
    <w:p w14:paraId="112865B0" w14:textId="2BF39D02" w:rsidR="003D74EF" w:rsidRPr="00DB3ABB" w:rsidRDefault="003D74EF" w:rsidP="003D74EF">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en collaboration avec d'autres parties prenantes concernées, d’assurer le recoupement avec les travaux sur les prises accessoires d'oiseaux de mer, afin de garantir la prise en compte des implications entre les taxons, et d’identifier les possibilités de collaboration future entre les taxons sur le traitement de la mortalité induite par la pêche</w:t>
      </w:r>
      <w:r w:rsidR="005C28C1" w:rsidRPr="00DB3ABB">
        <w:rPr>
          <w:rFonts w:ascii="Arial" w:eastAsiaTheme="minorHAnsi" w:hAnsi="Arial" w:cs="Arial"/>
          <w:sz w:val="22"/>
          <w:szCs w:val="22"/>
          <w:lang w:val="fr-FR"/>
        </w:rPr>
        <w:t> ;</w:t>
      </w:r>
    </w:p>
    <w:p w14:paraId="0319BE5E" w14:textId="77777777" w:rsidR="005C28C1" w:rsidRPr="00DB3ABB" w:rsidRDefault="005C28C1" w:rsidP="005C28C1">
      <w:pPr>
        <w:pStyle w:val="ListParagraph"/>
        <w:rPr>
          <w:rFonts w:ascii="Arial" w:eastAsiaTheme="minorHAnsi" w:hAnsi="Arial" w:cs="Arial"/>
          <w:sz w:val="22"/>
          <w:szCs w:val="22"/>
          <w:lang w:val="fr-FR"/>
        </w:rPr>
      </w:pPr>
    </w:p>
    <w:p w14:paraId="62918149" w14:textId="736054B9" w:rsidR="005C28C1" w:rsidRPr="00DB3ABB" w:rsidRDefault="005C28C1" w:rsidP="003D74EF">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d'évaluer l'expérience acquise en matière de stratégies d'atténuation des prises accidentelles pour les mammifères marins telles qu’élaborées pour la COP13, les requins et les raies préparées pour la COP14, les oiseaux de mer telles que conçues par l'AEWA et le Groupe de travail sur les prises accidentelles d'oiseaux de mer de l'ACAP en collaboration avec la CMS, et les tortues marines telles qu’élaborées dans le cadre du paragraphe 14.CC b), ainsi que toute nouvelle information scientifique pertinente, de préparer un rapport de synthèse sur toutes les espèces et une mise à jour de la Résolution 12.22 sur les prises accidentelles pour la COP15.</w:t>
      </w:r>
    </w:p>
    <w:p w14:paraId="55D1DE1D" w14:textId="2A07975D" w:rsidR="003D74EF" w:rsidRPr="00DB3ABB" w:rsidRDefault="003D74EF" w:rsidP="003D74EF">
      <w:pPr>
        <w:widowControl/>
        <w:autoSpaceDE/>
        <w:autoSpaceDN/>
        <w:ind w:left="720"/>
        <w:textAlignment w:val="auto"/>
        <w:rPr>
          <w:rFonts w:ascii="Arial" w:eastAsiaTheme="minorHAnsi" w:hAnsi="Arial" w:cs="Arial"/>
          <w:sz w:val="22"/>
          <w:szCs w:val="22"/>
          <w:lang w:val="fr-FR"/>
        </w:rPr>
      </w:pPr>
    </w:p>
    <w:p w14:paraId="6F42DBD1" w14:textId="77777777" w:rsidR="003D74EF" w:rsidRPr="00DB3ABB" w:rsidRDefault="003D74EF" w:rsidP="003D74EF">
      <w:pPr>
        <w:widowControl/>
        <w:numPr>
          <w:ilvl w:val="0"/>
          <w:numId w:val="1"/>
        </w:numPr>
        <w:autoSpaceDE/>
        <w:autoSpaceDN/>
        <w:adjustRightInd w:val="0"/>
        <w:ind w:left="1418" w:hanging="567"/>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de rendre compte des progrès accomplis dans la mise en œuvre de cette Décision lors de la 15</w:t>
      </w:r>
      <w:r w:rsidRPr="00DB3ABB">
        <w:rPr>
          <w:rFonts w:ascii="Arial" w:eastAsiaTheme="minorHAnsi" w:hAnsi="Arial" w:cs="Arial"/>
          <w:sz w:val="22"/>
          <w:szCs w:val="22"/>
          <w:vertAlign w:val="superscript"/>
          <w:lang w:val="fr-FR"/>
        </w:rPr>
        <w:t>e</w:t>
      </w:r>
      <w:r w:rsidRPr="00DB3ABB">
        <w:rPr>
          <w:rFonts w:ascii="Arial" w:eastAsiaTheme="minorHAnsi" w:hAnsi="Arial" w:cs="Arial"/>
          <w:sz w:val="22"/>
          <w:szCs w:val="22"/>
          <w:lang w:val="fr-FR"/>
        </w:rPr>
        <w:t xml:space="preserve"> Session de la Conférence des Parties.</w:t>
      </w:r>
    </w:p>
    <w:p w14:paraId="72F7E698" w14:textId="77777777" w:rsidR="003D74EF" w:rsidRPr="00DB3ABB" w:rsidRDefault="003D74EF" w:rsidP="003D74EF">
      <w:pPr>
        <w:widowControl/>
        <w:autoSpaceDE/>
        <w:autoSpaceDN/>
        <w:jc w:val="both"/>
        <w:textAlignment w:val="auto"/>
        <w:rPr>
          <w:rFonts w:ascii="Arial" w:eastAsiaTheme="minorHAnsi" w:hAnsi="Arial" w:cs="Arial"/>
          <w:b/>
          <w:i/>
          <w:sz w:val="22"/>
          <w:szCs w:val="22"/>
          <w:lang w:val="fr-FR"/>
        </w:rPr>
      </w:pPr>
    </w:p>
    <w:p w14:paraId="2B565739" w14:textId="77777777" w:rsidR="003D74EF" w:rsidRPr="00DB3ABB" w:rsidRDefault="003D74EF" w:rsidP="003D74EF">
      <w:pPr>
        <w:widowControl/>
        <w:autoSpaceDE/>
        <w:autoSpaceDN/>
        <w:jc w:val="both"/>
        <w:textAlignment w:val="auto"/>
        <w:rPr>
          <w:rFonts w:ascii="Arial" w:eastAsiaTheme="minorHAnsi" w:hAnsi="Arial" w:cs="Arial"/>
          <w:b/>
          <w:i/>
          <w:sz w:val="22"/>
          <w:szCs w:val="22"/>
          <w:lang w:val="fr-FR"/>
        </w:rPr>
      </w:pPr>
    </w:p>
    <w:p w14:paraId="2A5CDEE1" w14:textId="77777777" w:rsidR="003D74EF" w:rsidRPr="00DB3ABB" w:rsidRDefault="003D74EF" w:rsidP="003D74EF">
      <w:pPr>
        <w:widowControl/>
        <w:autoSpaceDE/>
        <w:autoSpaceDN/>
        <w:jc w:val="both"/>
        <w:textAlignment w:val="auto"/>
        <w:rPr>
          <w:rFonts w:ascii="Arial" w:eastAsiaTheme="minorHAnsi" w:hAnsi="Arial" w:cs="Arial"/>
          <w:b/>
          <w:i/>
          <w:sz w:val="22"/>
          <w:szCs w:val="22"/>
          <w:lang w:val="fr-FR"/>
        </w:rPr>
      </w:pPr>
      <w:r w:rsidRPr="00DB3ABB">
        <w:rPr>
          <w:rFonts w:ascii="Arial" w:eastAsiaTheme="minorHAnsi" w:hAnsi="Arial" w:cs="Arial"/>
          <w:b/>
          <w:i/>
          <w:sz w:val="22"/>
          <w:szCs w:val="22"/>
          <w:lang w:val="fr-FR"/>
        </w:rPr>
        <w:t>À l'attention du Secrétariat</w:t>
      </w:r>
    </w:p>
    <w:p w14:paraId="47DF27EB" w14:textId="77777777" w:rsidR="003D74EF" w:rsidRPr="00DB3ABB" w:rsidRDefault="003D74EF" w:rsidP="003D74EF">
      <w:pPr>
        <w:widowControl/>
        <w:autoSpaceDE/>
        <w:autoSpaceDN/>
        <w:jc w:val="both"/>
        <w:textAlignment w:val="auto"/>
        <w:rPr>
          <w:rFonts w:ascii="Arial" w:eastAsiaTheme="minorHAnsi" w:hAnsi="Arial" w:cs="Arial"/>
          <w:sz w:val="22"/>
          <w:szCs w:val="22"/>
          <w:lang w:val="fr-FR"/>
        </w:rPr>
      </w:pPr>
    </w:p>
    <w:p w14:paraId="570B3577" w14:textId="77777777" w:rsidR="003D74EF" w:rsidRPr="00DB3ABB" w:rsidRDefault="003D74EF" w:rsidP="003D74EF">
      <w:pPr>
        <w:widowControl/>
        <w:autoSpaceDE/>
        <w:autoSpaceDN/>
        <w:ind w:left="851" w:hanging="851"/>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14.DD</w:t>
      </w:r>
      <w:r w:rsidRPr="00DB3ABB">
        <w:rPr>
          <w:rFonts w:ascii="Arial" w:eastAsiaTheme="minorHAnsi" w:hAnsi="Arial" w:cs="Arial"/>
          <w:sz w:val="22"/>
          <w:szCs w:val="22"/>
          <w:lang w:val="fr-FR"/>
        </w:rPr>
        <w:tab/>
        <w:t xml:space="preserve"> Le Secrétariat, sous réserve de la disponibilité de ressources externes :</w:t>
      </w:r>
    </w:p>
    <w:p w14:paraId="640F00ED" w14:textId="77777777" w:rsidR="003D74EF" w:rsidRPr="00DB3ABB" w:rsidRDefault="003D74EF" w:rsidP="003D74EF">
      <w:pPr>
        <w:widowControl/>
        <w:autoSpaceDE/>
        <w:autoSpaceDN/>
        <w:jc w:val="both"/>
        <w:textAlignment w:val="auto"/>
        <w:rPr>
          <w:rFonts w:ascii="Arial" w:eastAsiaTheme="minorHAnsi" w:hAnsi="Arial" w:cs="Arial"/>
          <w:sz w:val="22"/>
          <w:szCs w:val="22"/>
          <w:lang w:val="fr-FR"/>
        </w:rPr>
      </w:pPr>
    </w:p>
    <w:p w14:paraId="2EA3771D" w14:textId="77777777" w:rsidR="003D74EF" w:rsidRPr="00DB3ABB" w:rsidRDefault="003D74EF" w:rsidP="003D74EF">
      <w:pPr>
        <w:widowControl/>
        <w:numPr>
          <w:ilvl w:val="0"/>
          <w:numId w:val="5"/>
        </w:numPr>
        <w:autoSpaceDE/>
        <w:autoSpaceDN/>
        <w:ind w:left="1418" w:hanging="567"/>
        <w:contextualSpacing/>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 xml:space="preserve">soutient le Conseil scientifique dans la mise en œuvre de la Décision 14.CC ; </w:t>
      </w:r>
    </w:p>
    <w:p w14:paraId="501D6668" w14:textId="77777777" w:rsidR="003D74EF" w:rsidRPr="00DB3ABB" w:rsidRDefault="003D74EF" w:rsidP="003D74EF">
      <w:pPr>
        <w:widowControl/>
        <w:autoSpaceDE/>
        <w:autoSpaceDN/>
        <w:ind w:left="1418"/>
        <w:contextualSpacing/>
        <w:jc w:val="both"/>
        <w:textAlignment w:val="auto"/>
        <w:rPr>
          <w:rFonts w:ascii="Arial" w:eastAsiaTheme="minorHAnsi" w:hAnsi="Arial" w:cs="Arial"/>
          <w:sz w:val="22"/>
          <w:szCs w:val="22"/>
          <w:lang w:val="fr-FR"/>
        </w:rPr>
      </w:pPr>
    </w:p>
    <w:p w14:paraId="12EE7994" w14:textId="77777777" w:rsidR="003D74EF" w:rsidRPr="00DB3ABB" w:rsidRDefault="003D74EF" w:rsidP="003D74EF">
      <w:pPr>
        <w:widowControl/>
        <w:numPr>
          <w:ilvl w:val="0"/>
          <w:numId w:val="5"/>
        </w:numPr>
        <w:autoSpaceDE/>
        <w:autoSpaceDN/>
        <w:ind w:left="1418" w:hanging="567"/>
        <w:contextualSpacing/>
        <w:jc w:val="both"/>
        <w:textAlignment w:val="auto"/>
        <w:rPr>
          <w:rFonts w:ascii="Arial" w:eastAsiaTheme="minorHAnsi" w:hAnsi="Arial" w:cs="Arial"/>
          <w:sz w:val="22"/>
          <w:szCs w:val="22"/>
          <w:lang w:val="fr-FR"/>
        </w:rPr>
      </w:pPr>
      <w:r w:rsidRPr="00DB3ABB">
        <w:rPr>
          <w:rFonts w:ascii="Arial" w:eastAsiaTheme="minorHAnsi" w:hAnsi="Arial" w:cs="Arial"/>
          <w:sz w:val="22"/>
          <w:szCs w:val="22"/>
          <w:lang w:val="fr-FR"/>
        </w:rPr>
        <w:t>s'engage avec la Commission baleinière internationale (CBI), l'Organisation des Nations Unies pour l'Alimentation et l'Agriculture (FAO), les organes régionaux des pêches (ORP), les Conventions sur les mers régionales (CMR) et les Plans d'action concernant les prises accessoires d'espèces aquatiques inscrites sur la liste de la CMS.</w:t>
      </w:r>
    </w:p>
    <w:p w14:paraId="1EEE6BE9" w14:textId="77777777" w:rsidR="00CB22BB" w:rsidRPr="00DB3ABB" w:rsidRDefault="00CB22BB" w:rsidP="003D74EF">
      <w:pPr>
        <w:rPr>
          <w:rFonts w:ascii="Arial" w:hAnsi="Arial" w:cs="Arial"/>
          <w:sz w:val="22"/>
          <w:szCs w:val="22"/>
          <w:lang w:val="fr-FR"/>
        </w:rPr>
      </w:pPr>
    </w:p>
    <w:sectPr w:rsidR="00CB22BB" w:rsidRPr="00DB3ABB" w:rsidSect="00DB3ABB">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7DC1A" w14:textId="77777777" w:rsidR="00E43C6E" w:rsidRDefault="00E43C6E">
      <w:r>
        <w:separator/>
      </w:r>
    </w:p>
  </w:endnote>
  <w:endnote w:type="continuationSeparator" w:id="0">
    <w:p w14:paraId="2397A62A" w14:textId="77777777" w:rsidR="00E43C6E" w:rsidRDefault="00E43C6E">
      <w:r>
        <w:continuationSeparator/>
      </w:r>
    </w:p>
  </w:endnote>
  <w:endnote w:type="continuationNotice" w:id="1">
    <w:p w14:paraId="07791668" w14:textId="77777777" w:rsidR="00E43C6E" w:rsidRDefault="00E4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AEBA" w14:textId="77777777" w:rsidR="00E43C6E" w:rsidRDefault="00E43C6E">
      <w:r>
        <w:rPr>
          <w:color w:val="000000"/>
        </w:rPr>
        <w:separator/>
      </w:r>
    </w:p>
  </w:footnote>
  <w:footnote w:type="continuationSeparator" w:id="0">
    <w:p w14:paraId="78383531" w14:textId="77777777" w:rsidR="00E43C6E" w:rsidRDefault="00E43C6E">
      <w:r>
        <w:continuationSeparator/>
      </w:r>
    </w:p>
  </w:footnote>
  <w:footnote w:type="continuationNotice" w:id="1">
    <w:p w14:paraId="61DB0E87" w14:textId="77777777" w:rsidR="00E43C6E" w:rsidRDefault="00E43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07BBBEF" w:rsidR="002B3E88" w:rsidRPr="00DB3ABB"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B3ABB">
      <w:rPr>
        <w:rFonts w:ascii="Arial" w:hAnsi="Arial" w:cs="Arial"/>
        <w:i/>
        <w:sz w:val="18"/>
        <w:szCs w:val="18"/>
        <w:lang w:val="en-GB"/>
      </w:rPr>
      <w:t>UNEP/CMS/COP1</w:t>
    </w:r>
    <w:r w:rsidR="00CB22BB" w:rsidRPr="00DB3ABB">
      <w:rPr>
        <w:rFonts w:ascii="Arial" w:hAnsi="Arial" w:cs="Arial"/>
        <w:i/>
        <w:sz w:val="18"/>
        <w:szCs w:val="18"/>
        <w:lang w:val="en-GB"/>
      </w:rPr>
      <w:t>4</w:t>
    </w:r>
    <w:r w:rsidRPr="00DB3ABB">
      <w:rPr>
        <w:rFonts w:ascii="Arial" w:hAnsi="Arial" w:cs="Arial"/>
        <w:i/>
        <w:sz w:val="18"/>
        <w:szCs w:val="18"/>
        <w:lang w:val="en-GB"/>
      </w:rPr>
      <w:t>/CRP</w:t>
    </w:r>
    <w:r w:rsidR="003D74EF" w:rsidRPr="00DB3ABB">
      <w:rPr>
        <w:rFonts w:ascii="Arial" w:hAnsi="Arial" w:cs="Arial"/>
        <w:i/>
        <w:sz w:val="18"/>
        <w:szCs w:val="18"/>
        <w:lang w:val="en-GB"/>
      </w:rPr>
      <w:t>27.1.1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6B19202" w:rsidR="002B3E88" w:rsidRPr="00DB3ABB"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DB3ABB">
      <w:rPr>
        <w:rFonts w:ascii="Arial" w:hAnsi="Arial" w:cs="Arial"/>
        <w:i/>
        <w:sz w:val="18"/>
        <w:szCs w:val="18"/>
        <w:lang w:val="en-GB"/>
      </w:rPr>
      <w:t>UNEP/CMS/COP1</w:t>
    </w:r>
    <w:r w:rsidR="00CB22BB" w:rsidRPr="00DB3ABB">
      <w:rPr>
        <w:rFonts w:ascii="Arial" w:hAnsi="Arial" w:cs="Arial"/>
        <w:i/>
        <w:sz w:val="18"/>
        <w:szCs w:val="18"/>
        <w:lang w:val="en-GB"/>
      </w:rPr>
      <w:t>4</w:t>
    </w:r>
    <w:r w:rsidRPr="00DB3ABB">
      <w:rPr>
        <w:rFonts w:ascii="Arial" w:hAnsi="Arial" w:cs="Arial"/>
        <w:i/>
        <w:sz w:val="18"/>
        <w:szCs w:val="18"/>
        <w:lang w:val="en-GB"/>
      </w:rPr>
      <w:t>/CRP</w:t>
    </w:r>
    <w:r w:rsidR="003D74EF" w:rsidRPr="00DB3ABB">
      <w:rPr>
        <w:rFonts w:ascii="Arial" w:hAnsi="Arial" w:cs="Arial"/>
        <w:i/>
        <w:sz w:val="18"/>
        <w:szCs w:val="18"/>
        <w:lang w:val="en-GB"/>
      </w:rPr>
      <w:t>27.1.1</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EE6B16E" w:rsidR="007A1066" w:rsidRPr="00DB3AB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B3ABB">
      <w:rPr>
        <w:rFonts w:ascii="Arial" w:hAnsi="Arial" w:cs="Arial"/>
        <w:bCs/>
        <w:i/>
        <w:iCs/>
        <w:sz w:val="18"/>
        <w:szCs w:val="18"/>
        <w:lang w:val="en-GB"/>
      </w:rPr>
      <w:t>UNEP/CMS/COP1</w:t>
    </w:r>
    <w:r w:rsidR="002B3E88" w:rsidRPr="00DB3ABB">
      <w:rPr>
        <w:rFonts w:ascii="Arial" w:hAnsi="Arial" w:cs="Arial"/>
        <w:bCs/>
        <w:i/>
        <w:iCs/>
        <w:sz w:val="18"/>
        <w:szCs w:val="18"/>
        <w:lang w:val="en-GB"/>
      </w:rPr>
      <w:t>4</w:t>
    </w:r>
    <w:r w:rsidRPr="00DB3ABB">
      <w:rPr>
        <w:rFonts w:ascii="Arial" w:hAnsi="Arial" w:cs="Arial"/>
        <w:bCs/>
        <w:i/>
        <w:iCs/>
        <w:sz w:val="18"/>
        <w:szCs w:val="18"/>
        <w:lang w:val="en-GB"/>
      </w:rPr>
      <w:t>/CRP</w:t>
    </w:r>
    <w:r w:rsidR="00836A1B" w:rsidRPr="00DB3ABB">
      <w:rPr>
        <w:rFonts w:ascii="Arial" w:hAnsi="Arial" w:cs="Arial"/>
        <w:bCs/>
        <w:i/>
        <w:iCs/>
        <w:sz w:val="18"/>
        <w:szCs w:val="18"/>
        <w:lang w:val="en-GB"/>
      </w:rPr>
      <w:t>27.1.1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3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215104">
    <w:abstractNumId w:val="1"/>
  </w:num>
  <w:num w:numId="3" w16cid:durableId="1652979816">
    <w:abstractNumId w:val="2"/>
  </w:num>
  <w:num w:numId="4" w16cid:durableId="815100927">
    <w:abstractNumId w:val="4"/>
  </w:num>
  <w:num w:numId="5" w16cid:durableId="1508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1B0659"/>
    <w:rsid w:val="002223BB"/>
    <w:rsid w:val="002B3E88"/>
    <w:rsid w:val="00310EDC"/>
    <w:rsid w:val="003D74EF"/>
    <w:rsid w:val="003F1AD8"/>
    <w:rsid w:val="0043102F"/>
    <w:rsid w:val="00487D0A"/>
    <w:rsid w:val="004F3B9A"/>
    <w:rsid w:val="005645C4"/>
    <w:rsid w:val="005C28C1"/>
    <w:rsid w:val="005D43E4"/>
    <w:rsid w:val="005F0639"/>
    <w:rsid w:val="00650B2F"/>
    <w:rsid w:val="006744D1"/>
    <w:rsid w:val="007906F0"/>
    <w:rsid w:val="007A1066"/>
    <w:rsid w:val="00836A1B"/>
    <w:rsid w:val="0095659D"/>
    <w:rsid w:val="009E4F83"/>
    <w:rsid w:val="00A048E3"/>
    <w:rsid w:val="00B50BC0"/>
    <w:rsid w:val="00C32FF1"/>
    <w:rsid w:val="00CB22BB"/>
    <w:rsid w:val="00CE1FE6"/>
    <w:rsid w:val="00D82C56"/>
    <w:rsid w:val="00D95E06"/>
    <w:rsid w:val="00DB24E8"/>
    <w:rsid w:val="00DB3ABB"/>
    <w:rsid w:val="00E43C6E"/>
    <w:rsid w:val="00E545F2"/>
    <w:rsid w:val="00E829C9"/>
    <w:rsid w:val="00EF07CB"/>
    <w:rsid w:val="00F4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5C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2024-02-15T16:28:00Z</dcterms:created>
  <dcterms:modified xsi:type="dcterms:W3CDTF">2024-02-15T16:28:00Z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