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1719" w14:textId="77777777" w:rsidR="00854A80" w:rsidRPr="009B65AC" w:rsidRDefault="00854A80" w:rsidP="002D43F0">
      <w:pPr>
        <w:spacing w:after="120"/>
        <w:jc w:val="center"/>
        <w:rPr>
          <w:rFonts w:ascii="Arial" w:hAnsi="Arial" w:cs="Arial"/>
          <w:b/>
          <w:bCs/>
          <w:sz w:val="22"/>
          <w:szCs w:val="22"/>
          <w:lang w:val="es-ES"/>
        </w:rPr>
      </w:pPr>
      <w:r w:rsidRPr="009B65AC">
        <w:rPr>
          <w:rFonts w:ascii="Arial" w:hAnsi="Arial" w:cs="Arial"/>
          <w:b/>
          <w:bCs/>
          <w:sz w:val="22"/>
          <w:szCs w:val="22"/>
          <w:lang w:val="es-ES"/>
        </w:rPr>
        <w:t xml:space="preserve">MECANISMO DE REVISIÓN Y PROGRAMA DE LEGISLACIÓN NACIONAL </w:t>
      </w:r>
    </w:p>
    <w:p w14:paraId="77BA811D" w14:textId="28691737" w:rsidR="00D82C56" w:rsidRPr="009B65AC" w:rsidRDefault="005D43E4" w:rsidP="002D43F0">
      <w:pPr>
        <w:spacing w:after="120"/>
        <w:jc w:val="center"/>
        <w:rPr>
          <w:rFonts w:ascii="Arial" w:hAnsi="Arial" w:cs="Arial"/>
          <w:sz w:val="22"/>
          <w:szCs w:val="22"/>
          <w:lang w:val="es-ES"/>
        </w:rPr>
      </w:pPr>
      <w:r w:rsidRPr="009B65AC">
        <w:rPr>
          <w:rFonts w:ascii="Arial" w:hAnsi="Arial" w:cs="Arial"/>
          <w:sz w:val="22"/>
          <w:szCs w:val="22"/>
          <w:lang w:val="es-ES"/>
        </w:rPr>
        <w:t>UNEP/CMS/COP1</w:t>
      </w:r>
      <w:r w:rsidR="001125D7" w:rsidRPr="009B65AC">
        <w:rPr>
          <w:rFonts w:ascii="Arial" w:hAnsi="Arial" w:cs="Arial"/>
          <w:sz w:val="22"/>
          <w:szCs w:val="22"/>
          <w:lang w:val="es-ES"/>
        </w:rPr>
        <w:t>4</w:t>
      </w:r>
      <w:r w:rsidRPr="009B65AC">
        <w:rPr>
          <w:rFonts w:ascii="Arial" w:hAnsi="Arial" w:cs="Arial"/>
          <w:sz w:val="22"/>
          <w:szCs w:val="22"/>
          <w:lang w:val="es-ES"/>
        </w:rPr>
        <w:t>/Doc.</w:t>
      </w:r>
      <w:r w:rsidR="004A7024" w:rsidRPr="009B65AC">
        <w:rPr>
          <w:rFonts w:ascii="Arial" w:hAnsi="Arial" w:cs="Arial"/>
          <w:sz w:val="22"/>
          <w:szCs w:val="22"/>
          <w:lang w:val="es-ES"/>
        </w:rPr>
        <w:t>24</w:t>
      </w:r>
    </w:p>
    <w:p w14:paraId="73A89732" w14:textId="2AD286AD" w:rsidR="00D82C56" w:rsidRPr="009B65AC" w:rsidRDefault="005D43E4" w:rsidP="00DA5200">
      <w:pPr>
        <w:jc w:val="center"/>
        <w:rPr>
          <w:rFonts w:ascii="Arial" w:hAnsi="Arial" w:cs="Arial"/>
          <w:i/>
          <w:sz w:val="22"/>
          <w:szCs w:val="22"/>
          <w:lang w:val="es-ES"/>
        </w:rPr>
      </w:pPr>
      <w:r w:rsidRPr="00CA2E19">
        <w:rPr>
          <w:rFonts w:ascii="Arial" w:hAnsi="Arial" w:cs="Arial"/>
          <w:i/>
          <w:sz w:val="22"/>
          <w:szCs w:val="22"/>
          <w:lang w:val="es-ES"/>
        </w:rPr>
        <w:t>(Prepar</w:t>
      </w:r>
      <w:r w:rsidR="00FD2360" w:rsidRPr="00CA2E19">
        <w:rPr>
          <w:rFonts w:ascii="Arial" w:hAnsi="Arial" w:cs="Arial"/>
          <w:i/>
          <w:sz w:val="22"/>
          <w:szCs w:val="22"/>
          <w:lang w:val="es-ES"/>
        </w:rPr>
        <w:t xml:space="preserve">ado por </w:t>
      </w:r>
      <w:r w:rsidR="003E2FE9">
        <w:rPr>
          <w:rFonts w:ascii="Arial" w:hAnsi="Arial" w:cs="Arial"/>
          <w:i/>
          <w:sz w:val="22"/>
          <w:szCs w:val="22"/>
          <w:lang w:val="es-ES"/>
        </w:rPr>
        <w:t>el Comité Plenario</w:t>
      </w:r>
      <w:r w:rsidRPr="00CA2E19">
        <w:rPr>
          <w:rFonts w:ascii="Arial" w:hAnsi="Arial" w:cs="Arial"/>
          <w:i/>
          <w:sz w:val="22"/>
          <w:szCs w:val="22"/>
          <w:lang w:val="es-ES"/>
        </w:rPr>
        <w:t>)</w:t>
      </w:r>
    </w:p>
    <w:p w14:paraId="6C7ED871" w14:textId="77777777" w:rsidR="00D82C56" w:rsidRPr="009B65AC" w:rsidRDefault="00D82C56" w:rsidP="00DA5200">
      <w:pPr>
        <w:rPr>
          <w:rFonts w:ascii="Arial" w:hAnsi="Arial" w:cs="Arial"/>
          <w:sz w:val="22"/>
          <w:szCs w:val="22"/>
          <w:lang w:val="es-ES"/>
        </w:rPr>
      </w:pPr>
    </w:p>
    <w:p w14:paraId="61273576" w14:textId="77777777" w:rsidR="00D82C56" w:rsidRPr="009B65AC" w:rsidRDefault="00D82C56" w:rsidP="00DA5200">
      <w:pPr>
        <w:rPr>
          <w:rFonts w:ascii="Arial" w:hAnsi="Arial" w:cs="Arial"/>
          <w:sz w:val="22"/>
          <w:szCs w:val="22"/>
          <w:lang w:val="es-ES"/>
        </w:rPr>
      </w:pPr>
    </w:p>
    <w:p w14:paraId="3043C2FF" w14:textId="77777777" w:rsidR="003E2FE9" w:rsidRDefault="00A96D6A" w:rsidP="00DA5200">
      <w:pPr>
        <w:widowControl/>
        <w:autoSpaceDE/>
        <w:autoSpaceDN/>
        <w:jc w:val="center"/>
        <w:rPr>
          <w:rFonts w:ascii="Arial" w:hAnsi="Arial" w:cs="Arial"/>
          <w:b/>
          <w:bCs/>
          <w:sz w:val="22"/>
          <w:szCs w:val="22"/>
          <w:lang w:val="es-ES"/>
        </w:rPr>
      </w:pPr>
      <w:r w:rsidRPr="009B65AC">
        <w:rPr>
          <w:rFonts w:ascii="Arial" w:hAnsi="Arial" w:cs="Arial"/>
          <w:b/>
          <w:bCs/>
          <w:sz w:val="22"/>
          <w:szCs w:val="22"/>
          <w:lang w:val="es-ES"/>
        </w:rPr>
        <w:t xml:space="preserve">DIRECTRICES OPERATIVAS PROPUESTAS PARA </w:t>
      </w:r>
    </w:p>
    <w:p w14:paraId="54CE2487" w14:textId="1AF8CBDE" w:rsidR="00A96D6A" w:rsidRPr="003E2FE9" w:rsidRDefault="00A96D6A" w:rsidP="003E2FE9">
      <w:pPr>
        <w:widowControl/>
        <w:autoSpaceDE/>
        <w:autoSpaceDN/>
        <w:jc w:val="center"/>
        <w:rPr>
          <w:rFonts w:ascii="Arial" w:hAnsi="Arial" w:cs="Arial"/>
          <w:b/>
          <w:bCs/>
          <w:sz w:val="22"/>
          <w:szCs w:val="22"/>
          <w:lang w:val="es-ES"/>
        </w:rPr>
      </w:pPr>
      <w:r w:rsidRPr="009B65AC">
        <w:rPr>
          <w:rFonts w:ascii="Arial" w:hAnsi="Arial" w:cs="Arial"/>
          <w:b/>
          <w:bCs/>
          <w:sz w:val="22"/>
          <w:szCs w:val="22"/>
          <w:lang w:val="es-ES"/>
        </w:rPr>
        <w:t>EL MECANISMO</w:t>
      </w:r>
      <w:r w:rsidR="003E2FE9">
        <w:rPr>
          <w:rFonts w:ascii="Arial" w:hAnsi="Arial" w:cs="Arial"/>
          <w:b/>
          <w:bCs/>
          <w:sz w:val="22"/>
          <w:szCs w:val="22"/>
          <w:lang w:val="es-ES"/>
        </w:rPr>
        <w:t xml:space="preserve"> </w:t>
      </w:r>
      <w:r w:rsidRPr="009B65AC">
        <w:rPr>
          <w:rFonts w:ascii="Arial" w:hAnsi="Arial" w:cs="Arial"/>
          <w:b/>
          <w:bCs/>
          <w:sz w:val="22"/>
          <w:szCs w:val="22"/>
          <w:lang w:val="es-ES"/>
        </w:rPr>
        <w:t>DE REVISIÓN DE</w:t>
      </w:r>
      <w:r w:rsidR="003E2FE9">
        <w:rPr>
          <w:rFonts w:ascii="Arial" w:hAnsi="Arial" w:cs="Arial"/>
          <w:b/>
          <w:bCs/>
          <w:sz w:val="22"/>
          <w:szCs w:val="22"/>
          <w:lang w:val="es-ES"/>
        </w:rPr>
        <w:t xml:space="preserve"> </w:t>
      </w:r>
      <w:r w:rsidRPr="009B65AC">
        <w:rPr>
          <w:rFonts w:ascii="Arial" w:hAnsi="Arial" w:cs="Arial"/>
          <w:b/>
          <w:bCs/>
          <w:sz w:val="22"/>
          <w:szCs w:val="22"/>
          <w:lang w:val="es-ES"/>
        </w:rPr>
        <w:t>LA CMS</w:t>
      </w:r>
    </w:p>
    <w:p w14:paraId="6F5C771A" w14:textId="77777777" w:rsidR="00A96D6A" w:rsidRPr="009B65AC" w:rsidRDefault="00A96D6A" w:rsidP="00DA5200">
      <w:pPr>
        <w:rPr>
          <w:rFonts w:ascii="Arial" w:hAnsi="Arial" w:cs="Arial"/>
          <w:sz w:val="22"/>
          <w:szCs w:val="22"/>
          <w:lang w:val="es-ES"/>
        </w:rPr>
      </w:pPr>
    </w:p>
    <w:p w14:paraId="275A2F4F" w14:textId="77777777" w:rsidR="009F177F" w:rsidRPr="009B65AC" w:rsidRDefault="009F177F" w:rsidP="00DA5200">
      <w:pPr>
        <w:widowControl/>
        <w:numPr>
          <w:ilvl w:val="0"/>
          <w:numId w:val="1"/>
        </w:numPr>
        <w:autoSpaceDE/>
        <w:autoSpaceDN/>
        <w:spacing w:after="160" w:line="259" w:lineRule="auto"/>
        <w:ind w:hanging="720"/>
        <w:jc w:val="both"/>
        <w:textAlignment w:val="auto"/>
        <w:rPr>
          <w:rFonts w:ascii="Arial" w:eastAsiaTheme="minorHAnsi" w:hAnsi="Arial" w:cstheme="minorBidi"/>
          <w:i/>
          <w:iCs/>
          <w:sz w:val="22"/>
          <w:szCs w:val="22"/>
          <w:lang w:val="es-ES"/>
        </w:rPr>
      </w:pPr>
      <w:r w:rsidRPr="009B65AC">
        <w:rPr>
          <w:rFonts w:ascii="Arial" w:eastAsiaTheme="minorHAnsi" w:hAnsi="Arial" w:cstheme="minorBidi"/>
          <w:b/>
          <w:bCs/>
          <w:sz w:val="22"/>
          <w:szCs w:val="22"/>
          <w:lang w:val="es-ES"/>
        </w:rPr>
        <w:t>Apertura y transparencia de los hallazgos e informes, así como creación de un registro en línea para el Mecanismo de Revisión.</w:t>
      </w:r>
    </w:p>
    <w:p w14:paraId="49D5B18E" w14:textId="77777777" w:rsidR="009F177F" w:rsidRPr="009B65AC" w:rsidRDefault="009F177F" w:rsidP="00DA5200">
      <w:pPr>
        <w:widowControl/>
        <w:autoSpaceDE/>
        <w:autoSpaceDN/>
        <w:jc w:val="both"/>
        <w:textAlignment w:val="auto"/>
        <w:rPr>
          <w:rFonts w:ascii="Arial" w:eastAsiaTheme="minorHAnsi" w:hAnsi="Arial" w:cstheme="minorBidi"/>
          <w:i/>
          <w:sz w:val="22"/>
          <w:szCs w:val="22"/>
          <w:lang w:val="es-ES"/>
        </w:rPr>
      </w:pPr>
    </w:p>
    <w:p w14:paraId="260975D8" w14:textId="77777777" w:rsidR="009F177F" w:rsidRPr="009B65AC" w:rsidRDefault="009F177F" w:rsidP="00DA5200">
      <w:pPr>
        <w:widowControl/>
        <w:autoSpaceDE/>
        <w:autoSpaceDN/>
        <w:jc w:val="both"/>
        <w:textAlignment w:val="auto"/>
        <w:rPr>
          <w:rFonts w:ascii="Arial" w:eastAsiaTheme="minorHAnsi" w:hAnsi="Arial" w:cstheme="minorBidi"/>
          <w:i/>
          <w:sz w:val="22"/>
          <w:szCs w:val="22"/>
          <w:lang w:val="es-ES"/>
        </w:rPr>
      </w:pPr>
      <w:r w:rsidRPr="009B65AC">
        <w:rPr>
          <w:rFonts w:ascii="Arial" w:eastAsiaTheme="minorHAnsi" w:hAnsi="Arial" w:cstheme="minorBidi"/>
          <w:i/>
          <w:sz w:val="22"/>
          <w:szCs w:val="22"/>
          <w:lang w:val="es-ES"/>
        </w:rPr>
        <w:t>Cuestión</w:t>
      </w:r>
    </w:p>
    <w:p w14:paraId="53FAB077" w14:textId="77777777" w:rsidR="009F177F" w:rsidRPr="009B65AC" w:rsidRDefault="009F177F" w:rsidP="00DA5200">
      <w:pPr>
        <w:widowControl/>
        <w:autoSpaceDE/>
        <w:autoSpaceDN/>
        <w:jc w:val="both"/>
        <w:textAlignment w:val="auto"/>
        <w:rPr>
          <w:rFonts w:ascii="Arial" w:eastAsiaTheme="minorHAnsi" w:hAnsi="Arial" w:cstheme="minorBidi"/>
          <w:i/>
          <w:iCs/>
          <w:sz w:val="22"/>
          <w:szCs w:val="22"/>
          <w:lang w:val="es-ES"/>
        </w:rPr>
      </w:pPr>
    </w:p>
    <w:p w14:paraId="5350ACA1"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theme="minorBidi"/>
          <w:sz w:val="22"/>
          <w:szCs w:val="22"/>
          <w:lang w:val="es-ES"/>
        </w:rPr>
        <w:t>La Resolución 12.9 recalca que, como norma general, «los hallazgos e informes sobre cuestiones de implementación se tratarán de manera abierta y transparente</w:t>
      </w:r>
      <w:r w:rsidRPr="009B65AC">
        <w:rPr>
          <w:rFonts w:ascii="Arial" w:eastAsiaTheme="minorHAnsi" w:hAnsi="Arial" w:cs="Arial"/>
          <w:i/>
          <w:iCs/>
          <w:sz w:val="22"/>
          <w:szCs w:val="22"/>
          <w:lang w:val="es-ES"/>
        </w:rPr>
        <w:t>».</w:t>
      </w:r>
      <w:r w:rsidRPr="009B65AC">
        <w:rPr>
          <w:rFonts w:ascii="Arial" w:eastAsiaTheme="minorHAnsi" w:hAnsi="Arial" w:cs="Arial"/>
          <w:i/>
          <w:iCs/>
          <w:sz w:val="22"/>
          <w:szCs w:val="22"/>
          <w:vertAlign w:val="superscript"/>
          <w:lang w:val="es-ES"/>
        </w:rPr>
        <w:footnoteReference w:id="2"/>
      </w:r>
      <w:r w:rsidRPr="009B65AC">
        <w:rPr>
          <w:rFonts w:ascii="Arial" w:eastAsiaTheme="minorHAnsi" w:hAnsi="Arial" w:cstheme="minorBidi"/>
          <w:sz w:val="22"/>
          <w:szCs w:val="22"/>
          <w:lang w:val="es-ES"/>
        </w:rPr>
        <w:t xml:space="preserve"> Sin embargo, no define los tipos de hallazgos e informes que deben adherirse a este principio, quién puede acceder a dicha información y en qué fases de la revisión. Por otra parte, la Resolución 12.9 establece que «las comunicaciones entre la Secretaría y cada una de las Partes sobre cuestiones concretas de implementación generalmente son confidenciales»,</w:t>
      </w:r>
      <w:r w:rsidRPr="009B65AC">
        <w:rPr>
          <w:rFonts w:ascii="Arial" w:eastAsiaTheme="minorHAnsi" w:hAnsi="Arial" w:cs="Arial"/>
          <w:i/>
          <w:iCs/>
          <w:sz w:val="22"/>
          <w:szCs w:val="22"/>
          <w:vertAlign w:val="superscript"/>
          <w:lang w:val="es-ES"/>
        </w:rPr>
        <w:footnoteReference w:id="3"/>
      </w:r>
      <w:r w:rsidRPr="009B65AC">
        <w:rPr>
          <w:rFonts w:ascii="Arial" w:eastAsiaTheme="minorHAnsi" w:hAnsi="Arial" w:cstheme="minorBidi"/>
          <w:sz w:val="22"/>
          <w:szCs w:val="22"/>
          <w:lang w:val="es-ES"/>
        </w:rPr>
        <w:t xml:space="preserve"> «a menos que la Parte implicada renuncie a la confidencialidad».</w:t>
      </w:r>
      <w:r w:rsidRPr="009B65AC">
        <w:rPr>
          <w:rFonts w:ascii="Arial" w:eastAsiaTheme="minorHAnsi" w:hAnsi="Arial" w:cs="Arial"/>
          <w:sz w:val="22"/>
          <w:szCs w:val="22"/>
          <w:vertAlign w:val="superscript"/>
          <w:lang w:val="es-ES"/>
        </w:rPr>
        <w:footnoteReference w:id="4"/>
      </w:r>
      <w:r w:rsidRPr="009B65AC">
        <w:rPr>
          <w:rFonts w:ascii="Arial" w:eastAsiaTheme="minorHAnsi" w:hAnsi="Arial" w:cstheme="minorBidi"/>
          <w:sz w:val="22"/>
          <w:szCs w:val="22"/>
          <w:lang w:val="es-ES"/>
        </w:rPr>
        <w:t xml:space="preserve"> La misma excepción se aplica a las comunicaciones entre la Parte implicada y el Comité Permanente (StC) cuando actúa como Órgano de Revisión.</w:t>
      </w:r>
      <w:r w:rsidRPr="009B65AC">
        <w:rPr>
          <w:rFonts w:ascii="Arial" w:eastAsiaTheme="minorHAnsi" w:hAnsi="Arial" w:cs="Arial"/>
          <w:sz w:val="22"/>
          <w:szCs w:val="22"/>
          <w:vertAlign w:val="superscript"/>
          <w:lang w:val="es-ES"/>
        </w:rPr>
        <w:footnoteReference w:id="5"/>
      </w:r>
      <w:r w:rsidRPr="009B65AC">
        <w:rPr>
          <w:rFonts w:ascii="Arial" w:eastAsiaTheme="minorHAnsi" w:hAnsi="Arial" w:cs="Arial"/>
          <w:sz w:val="22"/>
          <w:szCs w:val="22"/>
          <w:lang w:val="es-ES"/>
        </w:rPr>
        <w:t xml:space="preserve"> </w:t>
      </w:r>
    </w:p>
    <w:p w14:paraId="58FB8FCD"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p>
    <w:p w14:paraId="45C89A37"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La necesidad de contar con orientaciones sobre la apertura y la transparencia de los hallazgos y los informes se puso de manifiesto durante el trabajo de la Secretaría sobre el primer expediente de revisión admitido (expediente n.º 2021/01, elaboración del proyecto en el Paisaje Protegido de Vjosa-Narta</w:t>
      </w:r>
      <w:r w:rsidRPr="009B65AC">
        <w:rPr>
          <w:rFonts w:ascii="Arial" w:eastAsiaTheme="minorHAnsi" w:hAnsi="Arial" w:cs="Arial"/>
          <w:sz w:val="22"/>
          <w:szCs w:val="22"/>
          <w:vertAlign w:val="superscript"/>
          <w:lang w:val="es-ES"/>
        </w:rPr>
        <w:footnoteReference w:id="6"/>
      </w:r>
      <w:r w:rsidRPr="009B65AC">
        <w:rPr>
          <w:rFonts w:ascii="Arial" w:eastAsiaTheme="minorHAnsi" w:hAnsi="Arial" w:cs="Arial"/>
          <w:sz w:val="22"/>
          <w:szCs w:val="22"/>
          <w:lang w:val="es-ES"/>
        </w:rPr>
        <w:t>). Durante su 53.</w:t>
      </w:r>
      <w:r w:rsidRPr="009B65AC">
        <w:rPr>
          <w:rFonts w:ascii="Arial" w:eastAsiaTheme="minorHAnsi" w:hAnsi="Arial" w:cs="Arial"/>
          <w:sz w:val="22"/>
          <w:szCs w:val="22"/>
          <w:vertAlign w:val="superscript"/>
          <w:lang w:val="es-ES"/>
        </w:rPr>
        <w:t>a</w:t>
      </w:r>
      <w:r w:rsidRPr="009B65AC">
        <w:rPr>
          <w:rFonts w:ascii="Arial" w:eastAsiaTheme="minorHAnsi" w:hAnsi="Arial" w:cs="Arial"/>
          <w:sz w:val="22"/>
          <w:szCs w:val="22"/>
          <w:lang w:val="es-ES"/>
        </w:rPr>
        <w:t xml:space="preserve"> reunión, la falta de claridad con respecto a la apertura y la transparencia disuadió a la Secretaría de compartir información con las Partes y el StC sobre el expediente admitido a pesar de que la información ya estaba a disposición del público a través de otros acuerdos multilaterales sobre medio ambiente (AMUMA).</w:t>
      </w:r>
      <w:r w:rsidRPr="009B65AC">
        <w:rPr>
          <w:rFonts w:ascii="Arial" w:eastAsiaTheme="minorHAnsi" w:hAnsi="Arial" w:cs="Arial"/>
          <w:sz w:val="22"/>
          <w:szCs w:val="22"/>
          <w:vertAlign w:val="superscript"/>
          <w:lang w:val="es-ES"/>
        </w:rPr>
        <w:footnoteReference w:id="7"/>
      </w:r>
      <w:r w:rsidRPr="009B65AC">
        <w:rPr>
          <w:rFonts w:ascii="Arial" w:eastAsiaTheme="minorHAnsi" w:hAnsi="Arial" w:cs="Arial"/>
          <w:sz w:val="22"/>
          <w:szCs w:val="22"/>
          <w:lang w:val="es-ES"/>
        </w:rPr>
        <w:t xml:space="preserve"> </w:t>
      </w:r>
    </w:p>
    <w:p w14:paraId="3BD11BA7"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p>
    <w:p w14:paraId="601EB02E"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Aunque la Resolución 12.9 ordena a la Secretaría que señale una cuestión de implementación a la atención del StC solo cuando una Parte no lo aborde,</w:t>
      </w:r>
      <w:r w:rsidRPr="009B65AC">
        <w:rPr>
          <w:rFonts w:ascii="Arial" w:eastAsiaTheme="minorHAnsi" w:hAnsi="Arial" w:cs="Arial"/>
          <w:sz w:val="22"/>
          <w:szCs w:val="22"/>
          <w:vertAlign w:val="superscript"/>
          <w:lang w:val="es-ES"/>
        </w:rPr>
        <w:footnoteReference w:id="8"/>
      </w:r>
      <w:r w:rsidRPr="009B65AC">
        <w:rPr>
          <w:rFonts w:ascii="Arial" w:eastAsiaTheme="minorHAnsi" w:hAnsi="Arial" w:cs="Arial"/>
          <w:sz w:val="22"/>
          <w:szCs w:val="22"/>
          <w:lang w:val="es-ES"/>
        </w:rPr>
        <w:t xml:space="preserve"> el StC se beneficiaría de una comprensión general de los expedientes en curso. Esto ayudaría al StC en su función como Órgano de Revisión cuando se admite un expediente para su revisión.</w:t>
      </w:r>
    </w:p>
    <w:p w14:paraId="1459BEBD"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p>
    <w:p w14:paraId="51F70CF6"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La Secretaría se ha esmerado en mantener la confidencialidad de las comunicaciones con las Partes implicadas. Sin embargo, hacer públicos los hallazgos y los informes, como se prevé en la Resolución 12.9, mejoraría el acceso al Mecanismo de Revisión y su visibilidad, lo que podría ayudar a difundir buenas prácticas y conocimientos valiosos, contribuyendo al cumplimiento de las obligaciones establecidas en los Artículos III.4, III.5, III.7 y VI.2 de la Convención y fomentando el uso del Mecanismo de Revisión.</w:t>
      </w:r>
    </w:p>
    <w:p w14:paraId="0DB90AF8"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p>
    <w:p w14:paraId="0EE67828"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lastRenderedPageBreak/>
        <w:t>El establecimiento de un registro en línea para los mecanismos de revisión o cumplimiento es una práctica común en otros AMUMA.</w:t>
      </w:r>
      <w:r w:rsidRPr="009B65AC">
        <w:rPr>
          <w:rFonts w:ascii="Arial" w:eastAsiaTheme="minorHAnsi" w:hAnsi="Arial" w:cs="Arial"/>
          <w:sz w:val="22"/>
          <w:szCs w:val="22"/>
          <w:vertAlign w:val="superscript"/>
          <w:lang w:val="es-ES"/>
        </w:rPr>
        <w:footnoteReference w:id="9"/>
      </w:r>
      <w:r w:rsidRPr="009B65AC">
        <w:rPr>
          <w:rFonts w:ascii="Arial" w:eastAsiaTheme="minorHAnsi" w:hAnsi="Arial" w:cs="Arial"/>
          <w:sz w:val="22"/>
          <w:szCs w:val="22"/>
          <w:lang w:val="es-ES"/>
        </w:rPr>
        <w:t xml:space="preserve"> Para el Mecanismo de Revisión de la CMS, dicho registro ofrecería a las Partes implicadas un medio de fácil acceso para rastrear la información, reduciendo así la carga de trabajo de la Secretaría que se deriva de las innecesarias solicitudes de información de cada uno.</w:t>
      </w:r>
    </w:p>
    <w:p w14:paraId="3A9C4284"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p>
    <w:p w14:paraId="17B08D55" w14:textId="77777777" w:rsidR="009F177F" w:rsidRPr="009B65AC" w:rsidRDefault="009F177F" w:rsidP="00DA5200">
      <w:pPr>
        <w:widowControl/>
        <w:autoSpaceDE/>
        <w:autoSpaceDN/>
        <w:jc w:val="both"/>
        <w:textAlignment w:val="auto"/>
        <w:rPr>
          <w:rFonts w:ascii="Arial" w:eastAsiaTheme="minorHAnsi" w:hAnsi="Arial" w:cstheme="minorBidi"/>
          <w:i/>
          <w:iCs/>
          <w:sz w:val="22"/>
          <w:szCs w:val="22"/>
          <w:lang w:val="es-ES"/>
        </w:rPr>
      </w:pPr>
      <w:r w:rsidRPr="009B65AC">
        <w:rPr>
          <w:rFonts w:ascii="Arial" w:eastAsiaTheme="minorHAnsi" w:hAnsi="Arial" w:cstheme="minorBidi"/>
          <w:i/>
          <w:iCs/>
          <w:sz w:val="22"/>
          <w:szCs w:val="22"/>
          <w:lang w:val="es-ES"/>
        </w:rPr>
        <w:t>Directrices</w:t>
      </w:r>
    </w:p>
    <w:p w14:paraId="6B2AC560" w14:textId="77777777" w:rsidR="009F177F" w:rsidRPr="009B65AC" w:rsidRDefault="009F177F" w:rsidP="00DA5200">
      <w:pPr>
        <w:widowControl/>
        <w:autoSpaceDE/>
        <w:autoSpaceDN/>
        <w:jc w:val="both"/>
        <w:textAlignment w:val="auto"/>
        <w:rPr>
          <w:rFonts w:ascii="Arial" w:eastAsiaTheme="minorHAnsi" w:hAnsi="Arial" w:cstheme="minorBidi"/>
          <w:i/>
          <w:iCs/>
          <w:sz w:val="22"/>
          <w:szCs w:val="22"/>
          <w:lang w:val="es-ES"/>
        </w:rPr>
      </w:pPr>
    </w:p>
    <w:p w14:paraId="62E2E95C" w14:textId="77777777" w:rsidR="009F177F" w:rsidRPr="009B65AC" w:rsidRDefault="009F177F" w:rsidP="00DA5200">
      <w:pPr>
        <w:widowControl/>
        <w:autoSpaceDE/>
        <w:autoSpaceDN/>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Según la disponibilidad de fondos, la Secretaría creará un registro en línea de los expedientes del Mecanismo de Revisión. Este registro servirá de archivo digital centralizado, que ofrecerá información general sobre los expedientes actuales y pasados. Asimismo, incluirá datos sobre el estado de los expedientes, así como cualquier hito, hallazgos e informes asociados, de acuerdo con el Párrafo 3 de la Sección I.A. de la Resolución 12.9. El registro será accesible al público en la sección Mecanismo de Revisión de la página web de la CMS (</w:t>
      </w:r>
      <w:r w:rsidR="00A53CE6">
        <w:fldChar w:fldCharType="begin"/>
      </w:r>
      <w:r w:rsidR="00A53CE6" w:rsidRPr="00A53CE6">
        <w:rPr>
          <w:lang w:val="es-ES"/>
        </w:rPr>
        <w:instrText>HYPERLINK "http://www.cms.int/en/activities/review-mechanism" \t "_new"</w:instrText>
      </w:r>
      <w:r w:rsidR="00A53CE6">
        <w:fldChar w:fldCharType="separate"/>
      </w:r>
      <w:r w:rsidRPr="009B65AC">
        <w:rPr>
          <w:rFonts w:ascii="Arial" w:eastAsiaTheme="minorHAnsi" w:hAnsi="Arial" w:cstheme="minorBidi"/>
          <w:color w:val="0563C1" w:themeColor="hyperlink"/>
          <w:sz w:val="22"/>
          <w:szCs w:val="22"/>
          <w:u w:val="single"/>
          <w:lang w:val="es-ES"/>
        </w:rPr>
        <w:t>www.cms.int/en/activities/review-mechanism</w:t>
      </w:r>
      <w:r w:rsidR="00A53CE6">
        <w:rPr>
          <w:rFonts w:ascii="Arial" w:eastAsiaTheme="minorHAnsi" w:hAnsi="Arial" w:cstheme="minorBidi"/>
          <w:color w:val="0563C1" w:themeColor="hyperlink"/>
          <w:sz w:val="22"/>
          <w:szCs w:val="22"/>
          <w:u w:val="single"/>
          <w:lang w:val="es-ES"/>
        </w:rPr>
        <w:fldChar w:fldCharType="end"/>
      </w:r>
      <w:r w:rsidRPr="009B65AC">
        <w:rPr>
          <w:rFonts w:ascii="Arial" w:eastAsiaTheme="minorHAnsi" w:hAnsi="Arial" w:cstheme="minorBidi"/>
          <w:sz w:val="22"/>
          <w:szCs w:val="22"/>
          <w:lang w:val="es-ES"/>
        </w:rPr>
        <w:t>).</w:t>
      </w:r>
    </w:p>
    <w:p w14:paraId="361F676F" w14:textId="77777777" w:rsidR="009F177F" w:rsidRPr="009B65AC" w:rsidRDefault="009F177F" w:rsidP="00DA5200">
      <w:pPr>
        <w:widowControl/>
        <w:autoSpaceDE/>
        <w:autoSpaceDN/>
        <w:spacing w:after="160" w:line="259" w:lineRule="auto"/>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En el registro en línea se publicará la siguiente información:</w:t>
      </w:r>
    </w:p>
    <w:p w14:paraId="6DCFCE36" w14:textId="77777777" w:rsidR="009F177F" w:rsidRPr="009B65AC" w:rsidRDefault="009F177F" w:rsidP="00DA5200">
      <w:pPr>
        <w:widowControl/>
        <w:numPr>
          <w:ilvl w:val="0"/>
          <w:numId w:val="2"/>
        </w:numPr>
        <w:autoSpaceDE/>
        <w:autoSpaceDN/>
        <w:spacing w:after="120" w:line="259" w:lineRule="auto"/>
        <w:ind w:left="567" w:hanging="567"/>
        <w:jc w:val="both"/>
        <w:textAlignment w:val="auto"/>
        <w:rPr>
          <w:rFonts w:ascii="Arial" w:eastAsiaTheme="minorHAnsi" w:hAnsi="Arial" w:cs="Arial"/>
          <w:sz w:val="22"/>
          <w:szCs w:val="22"/>
          <w:lang w:val="es-ES"/>
        </w:rPr>
      </w:pPr>
      <w:r w:rsidRPr="009B65AC">
        <w:rPr>
          <w:rFonts w:ascii="Arial" w:eastAsiaTheme="minorHAnsi" w:hAnsi="Arial" w:cstheme="minorBidi"/>
          <w:sz w:val="22"/>
          <w:szCs w:val="22"/>
          <w:lang w:val="es-ES"/>
        </w:rPr>
        <w:t>Número de referencia asignado al expediente;</w:t>
      </w:r>
    </w:p>
    <w:p w14:paraId="5826D2FE" w14:textId="77777777" w:rsidR="009F177F" w:rsidRPr="009B65AC" w:rsidRDefault="009F177F" w:rsidP="00DA5200">
      <w:pPr>
        <w:widowControl/>
        <w:numPr>
          <w:ilvl w:val="0"/>
          <w:numId w:val="2"/>
        </w:numPr>
        <w:autoSpaceDE/>
        <w:autoSpaceDN/>
        <w:spacing w:after="120" w:line="259" w:lineRule="auto"/>
        <w:ind w:left="567" w:hanging="567"/>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Estado del expediente: recibido, admitido, desestimado (ya sea por la Secretaría o por el StC), en revisión por el StC, o cerrado;</w:t>
      </w:r>
    </w:p>
    <w:p w14:paraId="64795155" w14:textId="77777777" w:rsidR="009F177F" w:rsidRPr="009B65AC" w:rsidRDefault="009F177F" w:rsidP="00DA5200">
      <w:pPr>
        <w:widowControl/>
        <w:numPr>
          <w:ilvl w:val="0"/>
          <w:numId w:val="2"/>
        </w:numPr>
        <w:autoSpaceDE/>
        <w:autoSpaceDN/>
        <w:spacing w:after="120" w:line="259" w:lineRule="auto"/>
        <w:ind w:left="567" w:hanging="567"/>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Nombre de la(s) Parte(s) implicada(s) (la Secretaría tomará medidas para mantener la confidencialidad de los datos personales);</w:t>
      </w:r>
    </w:p>
    <w:p w14:paraId="1D321BC6" w14:textId="77777777" w:rsidR="009F177F" w:rsidRPr="009B65AC" w:rsidRDefault="009F177F" w:rsidP="00DA5200">
      <w:pPr>
        <w:widowControl/>
        <w:numPr>
          <w:ilvl w:val="0"/>
          <w:numId w:val="2"/>
        </w:numPr>
        <w:autoSpaceDE/>
        <w:autoSpaceDN/>
        <w:spacing w:after="120" w:line="259" w:lineRule="auto"/>
        <w:ind w:left="567" w:hanging="567"/>
        <w:jc w:val="both"/>
        <w:textAlignment w:val="auto"/>
        <w:rPr>
          <w:rFonts w:ascii="Arial" w:eastAsiaTheme="minorHAnsi" w:hAnsi="Arial" w:cs="Arial"/>
          <w:sz w:val="22"/>
          <w:szCs w:val="22"/>
          <w:lang w:val="es-ES"/>
        </w:rPr>
      </w:pPr>
      <w:r w:rsidRPr="009B65AC">
        <w:rPr>
          <w:rFonts w:ascii="Arial" w:eastAsiaTheme="minorHAnsi" w:hAnsi="Arial" w:cstheme="minorBidi"/>
          <w:sz w:val="22"/>
          <w:szCs w:val="22"/>
          <w:lang w:val="es-ES"/>
        </w:rPr>
        <w:t xml:space="preserve">Cuestión </w:t>
      </w:r>
      <w:r w:rsidRPr="009B65AC">
        <w:rPr>
          <w:rFonts w:ascii="Arial" w:eastAsiaTheme="minorHAnsi" w:hAnsi="Arial" w:cs="Arial"/>
          <w:sz w:val="22"/>
          <w:szCs w:val="22"/>
          <w:lang w:val="es-ES"/>
        </w:rPr>
        <w:t>y especies incluidas en el Apéndice I implicadas en la cuestión de implementación;</w:t>
      </w:r>
    </w:p>
    <w:p w14:paraId="26603201" w14:textId="77777777" w:rsidR="009F177F" w:rsidRPr="009B65AC" w:rsidRDefault="009F177F" w:rsidP="00DA5200">
      <w:pPr>
        <w:widowControl/>
        <w:numPr>
          <w:ilvl w:val="0"/>
          <w:numId w:val="2"/>
        </w:numPr>
        <w:autoSpaceDE/>
        <w:autoSpaceDN/>
        <w:spacing w:after="120" w:line="259" w:lineRule="auto"/>
        <w:ind w:left="567" w:hanging="567"/>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 xml:space="preserve">El artículo o artículos de la Convención sujetos a revisión; </w:t>
      </w:r>
    </w:p>
    <w:p w14:paraId="536B173F" w14:textId="77777777" w:rsidR="009F177F" w:rsidRPr="009B65AC" w:rsidRDefault="009F177F" w:rsidP="00DA5200">
      <w:pPr>
        <w:widowControl/>
        <w:numPr>
          <w:ilvl w:val="0"/>
          <w:numId w:val="2"/>
        </w:numPr>
        <w:autoSpaceDE/>
        <w:autoSpaceDN/>
        <w:spacing w:after="120" w:line="259" w:lineRule="auto"/>
        <w:ind w:left="567" w:hanging="567"/>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Hitos del proceso de revisión, incluidas las fechas de presentación, admisión por la Secretaría, misiones y presentación del expediente al Órgano de Revisión del StC;</w:t>
      </w:r>
    </w:p>
    <w:p w14:paraId="4E679F48" w14:textId="77777777" w:rsidR="009F177F" w:rsidRPr="009B65AC" w:rsidRDefault="009F177F" w:rsidP="00DA5200">
      <w:pPr>
        <w:widowControl/>
        <w:numPr>
          <w:ilvl w:val="0"/>
          <w:numId w:val="2"/>
        </w:numPr>
        <w:autoSpaceDE/>
        <w:autoSpaceDN/>
        <w:spacing w:after="80" w:line="259" w:lineRule="auto"/>
        <w:ind w:left="567" w:hanging="567"/>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 xml:space="preserve">Hallazgos e informes del expediente de revisión, incluidos: </w:t>
      </w:r>
    </w:p>
    <w:p w14:paraId="78566D5C" w14:textId="77777777" w:rsidR="009F177F" w:rsidRPr="009B65AC" w:rsidRDefault="009F177F" w:rsidP="00DA5200">
      <w:pPr>
        <w:widowControl/>
        <w:numPr>
          <w:ilvl w:val="0"/>
          <w:numId w:val="3"/>
        </w:numPr>
        <w:autoSpaceDE/>
        <w:autoSpaceDN/>
        <w:spacing w:after="80" w:line="259" w:lineRule="auto"/>
        <w:ind w:left="851" w:hanging="284"/>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cualquier informe presentado por la Parte implicada que comente/aborde la cuestión de implementación</w:t>
      </w:r>
    </w:p>
    <w:p w14:paraId="26AE6B51" w14:textId="77777777" w:rsidR="009F177F" w:rsidRPr="009B65AC" w:rsidRDefault="009F177F" w:rsidP="00DA5200">
      <w:pPr>
        <w:widowControl/>
        <w:numPr>
          <w:ilvl w:val="0"/>
          <w:numId w:val="3"/>
        </w:numPr>
        <w:autoSpaceDE/>
        <w:autoSpaceDN/>
        <w:spacing w:after="80" w:line="259" w:lineRule="auto"/>
        <w:ind w:left="851" w:hanging="284"/>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informes de las misiones de investigación</w:t>
      </w:r>
    </w:p>
    <w:p w14:paraId="0C57D6E0" w14:textId="77777777" w:rsidR="009F177F" w:rsidRPr="009B65AC" w:rsidRDefault="009F177F" w:rsidP="00DA5200">
      <w:pPr>
        <w:widowControl/>
        <w:numPr>
          <w:ilvl w:val="0"/>
          <w:numId w:val="3"/>
        </w:numPr>
        <w:autoSpaceDE/>
        <w:autoSpaceDN/>
        <w:spacing w:after="80" w:line="259" w:lineRule="auto"/>
        <w:ind w:left="851" w:hanging="284"/>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informe de la presentación del expediente al Órgano de Revisión del</w:t>
      </w:r>
      <w:r w:rsidRPr="009B65AC">
        <w:rPr>
          <w:rFonts w:ascii="Arial" w:eastAsiaTheme="minorHAnsi" w:hAnsi="Arial" w:cstheme="minorBidi"/>
          <w:color w:val="FF0000"/>
          <w:sz w:val="22"/>
          <w:szCs w:val="22"/>
          <w:lang w:val="es-ES"/>
        </w:rPr>
        <w:t xml:space="preserve"> </w:t>
      </w:r>
      <w:r w:rsidRPr="009B65AC">
        <w:rPr>
          <w:rFonts w:ascii="Arial" w:eastAsiaTheme="minorHAnsi" w:hAnsi="Arial" w:cstheme="minorBidi"/>
          <w:sz w:val="22"/>
          <w:szCs w:val="22"/>
          <w:lang w:val="es-ES"/>
        </w:rPr>
        <w:t>StC</w:t>
      </w:r>
      <w:r w:rsidRPr="009B65AC">
        <w:rPr>
          <w:rFonts w:ascii="Arial" w:eastAsiaTheme="minorHAnsi" w:hAnsi="Arial" w:cstheme="minorBidi"/>
          <w:sz w:val="22"/>
          <w:szCs w:val="22"/>
          <w:vertAlign w:val="superscript"/>
          <w:lang w:val="es-ES"/>
        </w:rPr>
        <w:footnoteReference w:id="10"/>
      </w:r>
    </w:p>
    <w:p w14:paraId="20DAF7B0" w14:textId="77777777" w:rsidR="009F177F" w:rsidRPr="009B65AC" w:rsidRDefault="009F177F" w:rsidP="00DA5200">
      <w:pPr>
        <w:widowControl/>
        <w:numPr>
          <w:ilvl w:val="0"/>
          <w:numId w:val="3"/>
        </w:numPr>
        <w:autoSpaceDE/>
        <w:autoSpaceDN/>
        <w:spacing w:after="80" w:line="259" w:lineRule="auto"/>
        <w:ind w:left="851" w:hanging="284"/>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asesoramiento y otros documentos de capacitación resultantes de la revisión del StC</w:t>
      </w:r>
      <w:r w:rsidRPr="009B65AC">
        <w:rPr>
          <w:rFonts w:ascii="Arial" w:eastAsiaTheme="minorHAnsi" w:hAnsi="Arial" w:cstheme="minorBidi"/>
          <w:sz w:val="22"/>
          <w:szCs w:val="22"/>
          <w:vertAlign w:val="superscript"/>
          <w:lang w:val="es-ES"/>
        </w:rPr>
        <w:footnoteReference w:id="11"/>
      </w:r>
    </w:p>
    <w:p w14:paraId="0B5CEA24" w14:textId="77777777" w:rsidR="009F177F" w:rsidRPr="009B65AC" w:rsidRDefault="009F177F" w:rsidP="00DA5200">
      <w:pPr>
        <w:widowControl/>
        <w:numPr>
          <w:ilvl w:val="0"/>
          <w:numId w:val="3"/>
        </w:numPr>
        <w:autoSpaceDE/>
        <w:autoSpaceDN/>
        <w:spacing w:after="80" w:line="259" w:lineRule="auto"/>
        <w:ind w:left="851" w:hanging="284"/>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planes de implementación que la Parte implicada deberá presentar al StC en los que se determinen los retos, los pasos necesarios, un calendario para su finalización y los medios para evaluar si se han completado satisfactoriamente</w:t>
      </w:r>
      <w:r w:rsidRPr="009B65AC">
        <w:rPr>
          <w:rFonts w:ascii="Arial" w:eastAsiaTheme="minorHAnsi" w:hAnsi="Arial" w:cstheme="minorBidi"/>
          <w:sz w:val="22"/>
          <w:szCs w:val="22"/>
          <w:vertAlign w:val="superscript"/>
          <w:lang w:val="es-ES"/>
        </w:rPr>
        <w:footnoteReference w:id="12"/>
      </w:r>
    </w:p>
    <w:p w14:paraId="068F1A55" w14:textId="77777777" w:rsidR="009F177F" w:rsidRPr="009B65AC" w:rsidRDefault="009F177F" w:rsidP="00DA5200">
      <w:pPr>
        <w:widowControl/>
        <w:numPr>
          <w:ilvl w:val="0"/>
          <w:numId w:val="3"/>
        </w:numPr>
        <w:autoSpaceDE/>
        <w:autoSpaceDN/>
        <w:spacing w:after="120" w:line="259" w:lineRule="auto"/>
        <w:ind w:left="850" w:hanging="288"/>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Informe del StC a la Conferencia de las Partes sobre las revisiones en curso;</w:t>
      </w:r>
    </w:p>
    <w:p w14:paraId="3AF1EBA5" w14:textId="77777777" w:rsidR="009F177F" w:rsidRPr="009B65AC" w:rsidRDefault="009F177F" w:rsidP="00DA5200">
      <w:pPr>
        <w:widowControl/>
        <w:numPr>
          <w:ilvl w:val="0"/>
          <w:numId w:val="2"/>
        </w:numPr>
        <w:autoSpaceDE/>
        <w:autoSpaceDN/>
        <w:spacing w:after="160" w:line="259" w:lineRule="auto"/>
        <w:ind w:left="540" w:hanging="540"/>
        <w:contextualSpacing/>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t>Fecha de sobreseimiento/cierre del expediente de revisión.</w:t>
      </w:r>
      <w:r w:rsidRPr="009B65AC">
        <w:rPr>
          <w:rFonts w:ascii="Arial" w:eastAsiaTheme="minorHAnsi" w:hAnsi="Arial" w:cstheme="minorBidi"/>
          <w:sz w:val="22"/>
          <w:szCs w:val="22"/>
          <w:vertAlign w:val="superscript"/>
          <w:lang w:val="es-ES"/>
        </w:rPr>
        <w:footnoteReference w:id="13"/>
      </w:r>
    </w:p>
    <w:p w14:paraId="6DE9FEB1" w14:textId="77777777" w:rsidR="009F177F" w:rsidRPr="009B65AC" w:rsidRDefault="009F177F" w:rsidP="00DA5200">
      <w:pPr>
        <w:widowControl/>
        <w:autoSpaceDE/>
        <w:autoSpaceDN/>
        <w:spacing w:line="259" w:lineRule="auto"/>
        <w:jc w:val="both"/>
        <w:textAlignment w:val="auto"/>
        <w:rPr>
          <w:rFonts w:ascii="Arial" w:eastAsiaTheme="minorHAnsi" w:hAnsi="Arial" w:cstheme="minorBidi"/>
          <w:sz w:val="22"/>
          <w:szCs w:val="22"/>
          <w:lang w:val="es-ES"/>
        </w:rPr>
      </w:pPr>
    </w:p>
    <w:p w14:paraId="44DCBFC4" w14:textId="470B1978" w:rsidR="009F177F" w:rsidRPr="009B65AC" w:rsidRDefault="009F177F" w:rsidP="00DA5200">
      <w:pPr>
        <w:widowControl/>
        <w:autoSpaceDE/>
        <w:autoSpaceDN/>
        <w:jc w:val="both"/>
        <w:textAlignment w:val="auto"/>
        <w:rPr>
          <w:rFonts w:ascii="Arial" w:eastAsiaTheme="minorHAnsi" w:hAnsi="Arial" w:cstheme="minorBidi"/>
          <w:sz w:val="22"/>
          <w:szCs w:val="22"/>
          <w:lang w:val="es-ES"/>
        </w:rPr>
      </w:pPr>
      <w:r w:rsidRPr="009B65AC">
        <w:rPr>
          <w:rFonts w:ascii="Arial" w:eastAsiaTheme="minorHAnsi" w:hAnsi="Arial" w:cstheme="minorBidi"/>
          <w:sz w:val="22"/>
          <w:szCs w:val="22"/>
          <w:lang w:val="es-ES"/>
        </w:rPr>
        <w:lastRenderedPageBreak/>
        <w:t>Las Partes pueden renunciar a la confidencialidad de la</w:t>
      </w:r>
      <w:r w:rsidR="003E2FE9">
        <w:rPr>
          <w:rFonts w:ascii="Arial" w:eastAsiaTheme="minorHAnsi" w:hAnsi="Arial" w:cstheme="minorBidi"/>
          <w:sz w:val="22"/>
          <w:szCs w:val="22"/>
          <w:lang w:val="es-ES"/>
        </w:rPr>
        <w:t xml:space="preserve"> información y las</w:t>
      </w:r>
      <w:r w:rsidRPr="009B65AC">
        <w:rPr>
          <w:rFonts w:ascii="Arial" w:eastAsiaTheme="minorHAnsi" w:hAnsi="Arial" w:cstheme="minorBidi"/>
          <w:sz w:val="22"/>
          <w:szCs w:val="22"/>
          <w:lang w:val="es-ES"/>
        </w:rPr>
        <w:t xml:space="preserve"> comunicaciones que se intercambian con la Secretaría en relación con cuestiones de implementación concretas, permitiendo que se publiquen a través del registro en línea.</w:t>
      </w:r>
      <w:r w:rsidRPr="009B65AC">
        <w:rPr>
          <w:rFonts w:ascii="Arial" w:eastAsiaTheme="minorHAnsi" w:hAnsi="Arial" w:cstheme="minorBidi"/>
          <w:sz w:val="22"/>
          <w:szCs w:val="22"/>
          <w:vertAlign w:val="superscript"/>
          <w:lang w:val="es-ES"/>
        </w:rPr>
        <w:footnoteReference w:id="14"/>
      </w:r>
      <w:r w:rsidRPr="009B65AC">
        <w:rPr>
          <w:rFonts w:ascii="Segoe UI" w:eastAsiaTheme="minorHAnsi" w:hAnsi="Segoe UI" w:cs="Segoe UI"/>
          <w:color w:val="374151"/>
          <w:sz w:val="22"/>
          <w:szCs w:val="22"/>
          <w:shd w:val="clear" w:color="auto" w:fill="F7F7F8"/>
          <w:lang w:val="es-ES"/>
        </w:rPr>
        <w:t xml:space="preserve"> </w:t>
      </w:r>
      <w:r w:rsidRPr="009B65AC">
        <w:rPr>
          <w:rFonts w:ascii="Arial" w:eastAsiaTheme="minorHAnsi" w:hAnsi="Arial" w:cstheme="minorBidi"/>
          <w:sz w:val="22"/>
          <w:szCs w:val="22"/>
          <w:lang w:val="es-ES"/>
        </w:rPr>
        <w:t>De acuerdo con la Sección I.C., Párrafo 5, de la Resolución 12.9, la Secretaría permitirá el acceso del StC a las comunicaciones confidenciales con las Partes implicadas solo después de poner en su conocimiento la cuestión de implementación.</w:t>
      </w:r>
    </w:p>
    <w:p w14:paraId="63B59898" w14:textId="77777777" w:rsidR="009F177F" w:rsidRPr="009B65AC" w:rsidRDefault="009F177F" w:rsidP="00DA5200">
      <w:pPr>
        <w:widowControl/>
        <w:autoSpaceDE/>
        <w:autoSpaceDN/>
        <w:jc w:val="both"/>
        <w:textAlignment w:val="auto"/>
        <w:rPr>
          <w:rFonts w:ascii="Arial" w:eastAsiaTheme="minorHAnsi" w:hAnsi="Arial" w:cs="Arial"/>
          <w:b/>
          <w:bCs/>
          <w:i/>
          <w:iCs/>
          <w:sz w:val="22"/>
          <w:szCs w:val="22"/>
          <w:lang w:val="es-ES"/>
        </w:rPr>
      </w:pPr>
    </w:p>
    <w:p w14:paraId="48ABE99E" w14:textId="77777777" w:rsidR="009F177F" w:rsidRPr="009B65AC" w:rsidRDefault="009F177F" w:rsidP="00DA5200">
      <w:pPr>
        <w:widowControl/>
        <w:numPr>
          <w:ilvl w:val="0"/>
          <w:numId w:val="1"/>
        </w:numPr>
        <w:autoSpaceDE/>
        <w:autoSpaceDN/>
        <w:spacing w:after="160" w:line="259" w:lineRule="auto"/>
        <w:ind w:hanging="720"/>
        <w:jc w:val="both"/>
        <w:textAlignment w:val="auto"/>
        <w:rPr>
          <w:rFonts w:ascii="Arial" w:eastAsiaTheme="minorHAnsi" w:hAnsi="Arial" w:cs="Arial"/>
          <w:b/>
          <w:bCs/>
          <w:sz w:val="22"/>
          <w:szCs w:val="22"/>
          <w:lang w:val="es-ES"/>
        </w:rPr>
      </w:pPr>
      <w:r w:rsidRPr="009B65AC">
        <w:rPr>
          <w:rFonts w:ascii="Arial" w:eastAsiaTheme="minorHAnsi" w:hAnsi="Arial" w:cs="Arial"/>
          <w:b/>
          <w:bCs/>
          <w:sz w:val="22"/>
          <w:szCs w:val="22"/>
          <w:lang w:val="es-ES"/>
        </w:rPr>
        <w:t>Recopilación de información adicional por parte de la Secretaría para el tratamiento y selección de las cuestiones de implementación.</w:t>
      </w:r>
    </w:p>
    <w:p w14:paraId="062E298B" w14:textId="77777777" w:rsidR="009F177F" w:rsidRPr="009B65AC" w:rsidRDefault="009F177F" w:rsidP="00DA5200">
      <w:pPr>
        <w:widowControl/>
        <w:autoSpaceDE/>
        <w:autoSpaceDN/>
        <w:jc w:val="both"/>
        <w:textAlignment w:val="auto"/>
        <w:rPr>
          <w:rFonts w:ascii="Arial" w:eastAsiaTheme="minorHAnsi" w:hAnsi="Arial" w:cs="Arial"/>
          <w:i/>
          <w:iCs/>
          <w:sz w:val="22"/>
          <w:szCs w:val="22"/>
          <w:lang w:val="es-ES"/>
        </w:rPr>
      </w:pPr>
    </w:p>
    <w:p w14:paraId="33FC767D" w14:textId="77777777" w:rsidR="009F177F" w:rsidRPr="009B65AC" w:rsidRDefault="009F177F" w:rsidP="00DA5200">
      <w:pPr>
        <w:widowControl/>
        <w:autoSpaceDE/>
        <w:autoSpaceDN/>
        <w:jc w:val="both"/>
        <w:textAlignment w:val="auto"/>
        <w:rPr>
          <w:rFonts w:ascii="Arial" w:eastAsiaTheme="minorHAnsi" w:hAnsi="Arial" w:cs="Arial"/>
          <w:i/>
          <w:iCs/>
          <w:sz w:val="22"/>
          <w:szCs w:val="22"/>
          <w:lang w:val="es-ES"/>
        </w:rPr>
      </w:pPr>
      <w:r w:rsidRPr="009B65AC">
        <w:rPr>
          <w:rFonts w:ascii="Arial" w:eastAsiaTheme="minorHAnsi" w:hAnsi="Arial" w:cs="Arial"/>
          <w:i/>
          <w:iCs/>
          <w:sz w:val="22"/>
          <w:szCs w:val="22"/>
          <w:lang w:val="es-ES"/>
        </w:rPr>
        <w:t>Cuestión</w:t>
      </w:r>
    </w:p>
    <w:p w14:paraId="775A6DB4" w14:textId="77777777" w:rsidR="009F177F" w:rsidRPr="009B65AC" w:rsidRDefault="009F177F" w:rsidP="00DA5200">
      <w:pPr>
        <w:widowControl/>
        <w:autoSpaceDE/>
        <w:autoSpaceDN/>
        <w:jc w:val="both"/>
        <w:textAlignment w:val="auto"/>
        <w:rPr>
          <w:rFonts w:ascii="Arial" w:eastAsiaTheme="minorHAnsi" w:hAnsi="Arial" w:cs="Arial"/>
          <w:i/>
          <w:iCs/>
          <w:sz w:val="22"/>
          <w:szCs w:val="22"/>
          <w:lang w:val="es-ES"/>
        </w:rPr>
      </w:pPr>
    </w:p>
    <w:p w14:paraId="632F797D"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En virtud de la Resolución 12.9, la Secretaría se encarga de recibir, evaluar y, en caso necesario, solicitar información adicional sobre la cuestión de implementación para poder decidir sobre su admisibilidad. Una vez admitida la información, y antes de presentar la cuestión al StC, la Secretaría también podrá solicitar información para permitir formular observaciones o abordar la cuestión a la Parte implicada.</w:t>
      </w:r>
      <w:r w:rsidRPr="009B65AC">
        <w:rPr>
          <w:rFonts w:ascii="Arial" w:eastAsiaTheme="minorHAnsi" w:hAnsi="Arial" w:cs="Arial"/>
          <w:sz w:val="22"/>
          <w:szCs w:val="22"/>
          <w:vertAlign w:val="superscript"/>
          <w:lang w:val="es-ES"/>
        </w:rPr>
        <w:footnoteReference w:id="15"/>
      </w:r>
    </w:p>
    <w:p w14:paraId="2F54AE37"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p>
    <w:p w14:paraId="5EAC4CD8"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La revisión del expediente n.º 2021/01 por parte de la Secretaría ha puesto de manifiesto que, después de la admisión de un expediente, existen casos en los que es necesario recopilar información adicional, a menudo, en forma de misión de investigación in situ. Esto es fundamental para llevar a cabo una evaluación exhaustiva de la cuestión o para ayudar a la Parte afectada a abordar la cuestión de implementación.</w:t>
      </w:r>
      <w:r w:rsidRPr="009B65AC">
        <w:rPr>
          <w:rFonts w:ascii="Arial" w:eastAsiaTheme="minorHAnsi" w:hAnsi="Arial" w:cs="Arial"/>
          <w:sz w:val="22"/>
          <w:szCs w:val="22"/>
          <w:vertAlign w:val="superscript"/>
          <w:lang w:val="es-ES"/>
        </w:rPr>
        <w:footnoteReference w:id="16"/>
      </w:r>
      <w:r w:rsidRPr="009B65AC">
        <w:rPr>
          <w:rFonts w:ascii="Arial" w:eastAsiaTheme="minorHAnsi" w:hAnsi="Arial" w:cs="Arial"/>
          <w:sz w:val="22"/>
          <w:szCs w:val="22"/>
          <w:lang w:val="es-ES"/>
        </w:rPr>
        <w:t xml:space="preserve"> </w:t>
      </w:r>
    </w:p>
    <w:p w14:paraId="130CE4A5"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p>
    <w:p w14:paraId="70AC502D"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Como parte de la revisión del desarrollo del proyecto en el Paisaje Protegido de Vjosa-Narta, la Secretaría participó en una misión conjunta de investigación organizada por el Convenio de Berna y el Acuerdo sobre la Conservación de las Aves Acuáticas Migratorias de África y Eurasia (AEWA).</w:t>
      </w:r>
      <w:r w:rsidRPr="009B65AC">
        <w:rPr>
          <w:rFonts w:ascii="Arial" w:eastAsiaTheme="minorHAnsi" w:hAnsi="Arial" w:cs="Arial"/>
          <w:sz w:val="22"/>
          <w:szCs w:val="22"/>
          <w:vertAlign w:val="superscript"/>
          <w:lang w:val="es-ES"/>
        </w:rPr>
        <w:footnoteReference w:id="17"/>
      </w:r>
      <w:r w:rsidRPr="009B65AC">
        <w:rPr>
          <w:rFonts w:ascii="Arial" w:eastAsiaTheme="minorHAnsi" w:hAnsi="Arial" w:cs="Arial"/>
          <w:sz w:val="22"/>
          <w:szCs w:val="22"/>
          <w:lang w:val="es-ES"/>
        </w:rPr>
        <w:t xml:space="preserve"> </w:t>
      </w:r>
    </w:p>
    <w:p w14:paraId="1D8CBE11"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p>
    <w:p w14:paraId="3B64656C"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Aunque la Secretaría de la CMS pudo alcanzar un acuerdo con el Gobierno albanés sobre la misión y sus términos de referencia, la Resolución 12.9 carecía de directrices con respecto a la práctica y los parámetros de las misiones de investigación. Dentro del contexto del Mecanismo de Revisión de la CMS, es fundamental contar con directrices específicas para esclarecer diversos aspectos de estas misiones, incluyendo los nombramientos de expertos, los términos de referencia, la financiación, las etapas del proceso de revisión en las que tienen lugar las misiones de investigación, la participación de las partes interesadas, como las Partes implicadas, así como la realización de informes de las misiones de investigación.</w:t>
      </w:r>
    </w:p>
    <w:p w14:paraId="1593B282"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p>
    <w:p w14:paraId="5E33E9A2"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Las directrices sobre la recopilación de información adicional a través de misiones de investigación otorgarían al Mecanismo de Revisión un alto grado de certidumbre, coherencia y transparencia. Además, estas directrices contribuirían a agilizar el trabajo de la Secretaría, ya que se elimina la necesidad de realizar múltiples solicitudes de información y permite el esclarecimiento eficaz de los hechos in situ, garantizando que «las cuestiones de implementación se tramiten de manera eficiente en el tiempo».</w:t>
      </w:r>
      <w:r w:rsidRPr="009B65AC">
        <w:rPr>
          <w:rFonts w:ascii="Arial" w:eastAsiaTheme="minorHAnsi" w:hAnsi="Arial" w:cs="Arial"/>
          <w:sz w:val="22"/>
          <w:szCs w:val="22"/>
          <w:vertAlign w:val="superscript"/>
          <w:lang w:val="es-ES"/>
        </w:rPr>
        <w:footnoteReference w:id="18"/>
      </w:r>
    </w:p>
    <w:p w14:paraId="0896E5D7"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p>
    <w:p w14:paraId="1FFC117E" w14:textId="77777777" w:rsidR="009F177F" w:rsidRPr="009B65AC" w:rsidRDefault="009F177F" w:rsidP="00DA5200">
      <w:pPr>
        <w:widowControl/>
        <w:autoSpaceDE/>
        <w:autoSpaceDN/>
        <w:textAlignment w:val="auto"/>
        <w:rPr>
          <w:rFonts w:ascii="Arial" w:eastAsiaTheme="minorHAnsi" w:hAnsi="Arial" w:cstheme="minorBidi"/>
          <w:i/>
          <w:iCs/>
          <w:sz w:val="22"/>
          <w:szCs w:val="22"/>
          <w:lang w:val="es-ES"/>
        </w:rPr>
      </w:pPr>
      <w:r w:rsidRPr="009B65AC">
        <w:rPr>
          <w:rFonts w:ascii="Arial" w:eastAsiaTheme="minorHAnsi" w:hAnsi="Arial" w:cstheme="minorBidi"/>
          <w:i/>
          <w:iCs/>
          <w:sz w:val="22"/>
          <w:szCs w:val="22"/>
          <w:lang w:val="es-ES"/>
        </w:rPr>
        <w:t>Directrices</w:t>
      </w:r>
    </w:p>
    <w:p w14:paraId="2437E4F1" w14:textId="77777777" w:rsidR="009F177F" w:rsidRPr="009B65AC" w:rsidRDefault="009F177F" w:rsidP="00DA5200">
      <w:pPr>
        <w:widowControl/>
        <w:autoSpaceDE/>
        <w:autoSpaceDN/>
        <w:textAlignment w:val="auto"/>
        <w:rPr>
          <w:rFonts w:ascii="Arial" w:eastAsiaTheme="minorHAnsi" w:hAnsi="Arial" w:cstheme="minorBidi"/>
          <w:i/>
          <w:sz w:val="22"/>
          <w:szCs w:val="22"/>
          <w:lang w:val="es-ES"/>
        </w:rPr>
      </w:pPr>
    </w:p>
    <w:p w14:paraId="0F56C70C" w14:textId="77777777" w:rsidR="009F177F" w:rsidRPr="009B65AC" w:rsidRDefault="009F177F" w:rsidP="00DA5200">
      <w:pPr>
        <w:widowControl/>
        <w:autoSpaceDE/>
        <w:autoSpaceDN/>
        <w:jc w:val="both"/>
        <w:rPr>
          <w:rFonts w:ascii="Arial" w:hAnsi="Arial" w:cs="Arial"/>
          <w:sz w:val="22"/>
          <w:szCs w:val="22"/>
          <w:lang w:val="es-ES"/>
        </w:rPr>
      </w:pPr>
      <w:r w:rsidRPr="009B65AC">
        <w:rPr>
          <w:rFonts w:ascii="Arial" w:hAnsi="Arial" w:cs="Arial"/>
          <w:sz w:val="22"/>
          <w:szCs w:val="22"/>
          <w:lang w:val="es-ES"/>
        </w:rPr>
        <w:lastRenderedPageBreak/>
        <w:t xml:space="preserve">En situaciones en las que la información proporcionada por el individuo y/o la Parte implicada se considere insuficiente o contradictoria, o cuando las condiciones in situ evolucionen, la Secretaría podrá </w:t>
      </w:r>
      <w:r w:rsidRPr="009B65AC">
        <w:rPr>
          <w:rFonts w:ascii="Arial" w:hAnsi="Arial" w:cs="Arial"/>
          <w:color w:val="000000" w:themeColor="text1"/>
          <w:sz w:val="22"/>
          <w:szCs w:val="22"/>
          <w:lang w:val="es-ES"/>
        </w:rPr>
        <w:t xml:space="preserve">solicitar a la </w:t>
      </w:r>
      <w:r w:rsidRPr="009B65AC">
        <w:rPr>
          <w:rFonts w:ascii="Arial" w:hAnsi="Arial" w:cs="Arial"/>
          <w:sz w:val="22"/>
          <w:szCs w:val="22"/>
          <w:lang w:val="es-ES"/>
        </w:rPr>
        <w:t>Parte implicada que acepte una misión de investigación (FFM) en cualquier momento durante el tratamiento y selección de la cuestión de implementación. Las FFM incluyen visitas de expertos independientes para recopilar información adicional sobre la implementación de cualquiera de los Artículos III.4, III.5, III.7 y VI.2 de la Convención.</w:t>
      </w:r>
    </w:p>
    <w:p w14:paraId="0F1ED481" w14:textId="77777777" w:rsidR="009F177F" w:rsidRPr="009B65AC" w:rsidRDefault="009F177F" w:rsidP="00DA5200">
      <w:pPr>
        <w:widowControl/>
        <w:autoSpaceDE/>
        <w:autoSpaceDN/>
        <w:jc w:val="both"/>
        <w:rPr>
          <w:rFonts w:ascii="Arial" w:hAnsi="Arial" w:cs="Arial"/>
          <w:sz w:val="22"/>
          <w:szCs w:val="22"/>
          <w:lang w:val="es-ES"/>
        </w:rPr>
      </w:pPr>
    </w:p>
    <w:p w14:paraId="2CCB14BC" w14:textId="77777777" w:rsidR="009F177F" w:rsidRPr="009B65AC" w:rsidRDefault="009F177F" w:rsidP="00DA5200">
      <w:pPr>
        <w:widowControl/>
        <w:autoSpaceDE/>
        <w:autoSpaceDN/>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La Secretaría solicitará a la Parte implicada que autorice una FFM mediante comunicación escrita</w:t>
      </w:r>
      <w:r w:rsidRPr="009B65AC">
        <w:rPr>
          <w:rFonts w:ascii="Segoe UI" w:eastAsiaTheme="minorHAnsi" w:hAnsi="Segoe UI" w:cs="Segoe UI"/>
          <w:color w:val="374151"/>
          <w:sz w:val="22"/>
          <w:szCs w:val="22"/>
          <w:shd w:val="clear" w:color="auto" w:fill="F7F7F8"/>
          <w:lang w:val="es-ES"/>
        </w:rPr>
        <w:t xml:space="preserve">. </w:t>
      </w:r>
      <w:r w:rsidRPr="009B65AC">
        <w:rPr>
          <w:rFonts w:ascii="Arial" w:eastAsiaTheme="minorHAnsi" w:hAnsi="Arial" w:cs="Arial"/>
          <w:sz w:val="22"/>
          <w:szCs w:val="22"/>
          <w:lang w:val="es-ES"/>
        </w:rPr>
        <w:t>La comunicación expondrá la finalidad de la FFM y la información concreta que falta o es contradictoria, o las razones subyacentes que hacen necesaria esta solicitud.</w:t>
      </w:r>
    </w:p>
    <w:p w14:paraId="05E728CC" w14:textId="77777777" w:rsidR="009F177F" w:rsidRPr="009B65AC" w:rsidRDefault="009F177F" w:rsidP="00DA5200">
      <w:pPr>
        <w:widowControl/>
        <w:autoSpaceDE/>
        <w:autoSpaceDN/>
        <w:jc w:val="both"/>
        <w:textAlignment w:val="auto"/>
        <w:rPr>
          <w:rFonts w:ascii="Arial" w:eastAsiaTheme="minorHAnsi" w:hAnsi="Arial" w:cs="Arial"/>
          <w:i/>
          <w:iCs/>
          <w:sz w:val="22"/>
          <w:szCs w:val="22"/>
          <w:lang w:val="es-ES"/>
        </w:rPr>
      </w:pPr>
    </w:p>
    <w:p w14:paraId="1014CBF1" w14:textId="77777777" w:rsidR="009F177F" w:rsidRPr="009B65AC" w:rsidRDefault="009F177F" w:rsidP="00DA5200">
      <w:pPr>
        <w:widowControl/>
        <w:autoSpaceDE/>
        <w:autoSpaceDN/>
        <w:jc w:val="both"/>
        <w:rPr>
          <w:rFonts w:ascii="Arial" w:hAnsi="Arial" w:cs="Arial"/>
          <w:sz w:val="22"/>
          <w:szCs w:val="22"/>
          <w:lang w:val="es-ES"/>
        </w:rPr>
      </w:pPr>
      <w:r w:rsidRPr="009B65AC">
        <w:rPr>
          <w:rFonts w:ascii="Arial" w:hAnsi="Arial" w:cs="Arial"/>
          <w:sz w:val="22"/>
          <w:szCs w:val="22"/>
          <w:lang w:val="es-ES"/>
        </w:rPr>
        <w:t>La FFM se llevará a cabo por un experto independiente, designado por la Secretaría de acuerdo con la Parte implicada. El experto designado no debe representar ni haber representado legalmente a la Parte implicada. Además, el experto no puede tener la nacionalidad del país sujeto a la FFM.</w:t>
      </w:r>
    </w:p>
    <w:p w14:paraId="08E08803" w14:textId="77777777" w:rsidR="009F177F" w:rsidRPr="009B65AC" w:rsidRDefault="009F177F" w:rsidP="00DA5200">
      <w:pPr>
        <w:widowControl/>
        <w:autoSpaceDE/>
        <w:autoSpaceDN/>
        <w:jc w:val="both"/>
        <w:rPr>
          <w:rFonts w:ascii="Arial" w:hAnsi="Arial" w:cs="Arial"/>
          <w:sz w:val="22"/>
          <w:szCs w:val="22"/>
          <w:lang w:val="es-ES"/>
        </w:rPr>
      </w:pPr>
    </w:p>
    <w:p w14:paraId="28CE9C0E" w14:textId="77777777" w:rsidR="009F177F" w:rsidRPr="009B65AC" w:rsidRDefault="009F177F" w:rsidP="00DA5200">
      <w:pPr>
        <w:widowControl/>
        <w:autoSpaceDE/>
        <w:autoSpaceDN/>
        <w:spacing w:after="120"/>
        <w:jc w:val="both"/>
        <w:rPr>
          <w:rFonts w:ascii="Arial" w:hAnsi="Arial" w:cs="Arial"/>
          <w:sz w:val="22"/>
          <w:szCs w:val="22"/>
          <w:lang w:val="es-ES"/>
        </w:rPr>
      </w:pPr>
      <w:r w:rsidRPr="009B65AC">
        <w:rPr>
          <w:rFonts w:ascii="Arial" w:hAnsi="Arial" w:cs="Arial"/>
          <w:sz w:val="22"/>
          <w:szCs w:val="22"/>
          <w:lang w:val="es-ES"/>
        </w:rPr>
        <w:t>La Secretaría y la Parte implicada trabajarán juntas en la elaboración de los términos de referencia de la FFM. Estos términos incluirán, como mínimo, lo siguiente:</w:t>
      </w:r>
    </w:p>
    <w:p w14:paraId="19458B12" w14:textId="77777777" w:rsidR="009F177F" w:rsidRPr="009B65AC" w:rsidRDefault="009F177F" w:rsidP="00DA5200">
      <w:pPr>
        <w:widowControl/>
        <w:numPr>
          <w:ilvl w:val="0"/>
          <w:numId w:val="4"/>
        </w:numPr>
        <w:autoSpaceDE/>
        <w:autoSpaceDN/>
        <w:spacing w:after="12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Antecedentes de la cuestión de implementación</w:t>
      </w:r>
    </w:p>
    <w:p w14:paraId="1BF4FE0B" w14:textId="77777777" w:rsidR="009F177F" w:rsidRPr="009B65AC" w:rsidRDefault="009F177F" w:rsidP="00DA5200">
      <w:pPr>
        <w:widowControl/>
        <w:numPr>
          <w:ilvl w:val="0"/>
          <w:numId w:val="4"/>
        </w:numPr>
        <w:autoSpaceDE/>
        <w:autoSpaceDN/>
        <w:spacing w:after="12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Objetivos de la FFM</w:t>
      </w:r>
    </w:p>
    <w:p w14:paraId="20C2B0EF" w14:textId="77777777" w:rsidR="009F177F" w:rsidRPr="009B65AC" w:rsidRDefault="009F177F" w:rsidP="00DA5200">
      <w:pPr>
        <w:widowControl/>
        <w:numPr>
          <w:ilvl w:val="0"/>
          <w:numId w:val="4"/>
        </w:numPr>
        <w:autoSpaceDE/>
        <w:autoSpaceDN/>
        <w:spacing w:after="12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 xml:space="preserve">Composición del equipo de la misión </w:t>
      </w:r>
    </w:p>
    <w:p w14:paraId="680A787E" w14:textId="77777777" w:rsidR="009F177F" w:rsidRPr="009B65AC" w:rsidRDefault="009F177F" w:rsidP="00DA5200">
      <w:pPr>
        <w:widowControl/>
        <w:numPr>
          <w:ilvl w:val="0"/>
          <w:numId w:val="4"/>
        </w:numPr>
        <w:autoSpaceDE/>
        <w:autoSpaceDN/>
        <w:spacing w:after="12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Lista de autoridades nacionales y otras partes interesadas que deben participar, junto con su respectiva información de contacto</w:t>
      </w:r>
    </w:p>
    <w:p w14:paraId="74BD7866" w14:textId="77777777" w:rsidR="009F177F" w:rsidRPr="009B65AC" w:rsidRDefault="009F177F" w:rsidP="00DA5200">
      <w:pPr>
        <w:widowControl/>
        <w:numPr>
          <w:ilvl w:val="0"/>
          <w:numId w:val="4"/>
        </w:numPr>
        <w:autoSpaceDE/>
        <w:autoSpaceDN/>
        <w:spacing w:after="12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Información acerca de la financiación y las organizaciones involucradas en la FFM</w:t>
      </w:r>
    </w:p>
    <w:p w14:paraId="23C0E036" w14:textId="77777777" w:rsidR="009F177F" w:rsidRPr="009B65AC" w:rsidRDefault="009F177F" w:rsidP="00DA5200">
      <w:pPr>
        <w:widowControl/>
        <w:numPr>
          <w:ilvl w:val="0"/>
          <w:numId w:val="4"/>
        </w:numPr>
        <w:autoSpaceDE/>
        <w:autoSpaceDN/>
        <w:spacing w:after="12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Resultados previstos de la misión</w:t>
      </w:r>
    </w:p>
    <w:p w14:paraId="39663489" w14:textId="77777777" w:rsidR="009F177F" w:rsidRPr="009B65AC" w:rsidRDefault="009F177F" w:rsidP="00DA5200">
      <w:pPr>
        <w:widowControl/>
        <w:numPr>
          <w:ilvl w:val="0"/>
          <w:numId w:val="4"/>
        </w:numPr>
        <w:autoSpaceDE/>
        <w:autoSpaceDN/>
        <w:spacing w:after="16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Calendario provisional</w:t>
      </w:r>
    </w:p>
    <w:p w14:paraId="20FA3919" w14:textId="77777777" w:rsidR="009F177F" w:rsidRPr="009B65AC" w:rsidRDefault="009F177F" w:rsidP="00DA5200">
      <w:pPr>
        <w:widowControl/>
        <w:autoSpaceDE/>
        <w:autoSpaceDN/>
        <w:jc w:val="both"/>
        <w:rPr>
          <w:rFonts w:ascii="Arial" w:hAnsi="Arial" w:cs="Arial"/>
          <w:sz w:val="22"/>
          <w:szCs w:val="22"/>
          <w:lang w:val="es-ES"/>
        </w:rPr>
      </w:pPr>
    </w:p>
    <w:p w14:paraId="3A6D38F1" w14:textId="77777777" w:rsidR="009F177F" w:rsidRPr="009B65AC" w:rsidRDefault="009F177F" w:rsidP="00DA5200">
      <w:pPr>
        <w:widowControl/>
        <w:autoSpaceDE/>
        <w:autoSpaceDN/>
        <w:jc w:val="both"/>
        <w:rPr>
          <w:rFonts w:ascii="Arial" w:hAnsi="Arial" w:cs="Arial"/>
          <w:sz w:val="22"/>
          <w:szCs w:val="22"/>
          <w:lang w:val="es-ES"/>
        </w:rPr>
      </w:pPr>
      <w:r w:rsidRPr="009B65AC">
        <w:rPr>
          <w:rFonts w:ascii="Arial" w:hAnsi="Arial" w:cs="Arial"/>
          <w:sz w:val="22"/>
          <w:szCs w:val="22"/>
          <w:lang w:val="es-ES"/>
        </w:rPr>
        <w:t>El experto recabará información in situ, acompañado por un miembro de la Secretaría, la Parte implicada, las autoridades nacionales y, en su caso, otras partes interesadas, como otros AMUMA que participen en la misión.</w:t>
      </w:r>
    </w:p>
    <w:p w14:paraId="0B2E4C9F" w14:textId="77777777" w:rsidR="009F177F" w:rsidRPr="009B65AC" w:rsidRDefault="009F177F" w:rsidP="00DA5200">
      <w:pPr>
        <w:widowControl/>
        <w:autoSpaceDE/>
        <w:autoSpaceDN/>
        <w:jc w:val="both"/>
        <w:rPr>
          <w:rFonts w:ascii="Arial" w:hAnsi="Arial" w:cs="Arial"/>
          <w:sz w:val="22"/>
          <w:szCs w:val="22"/>
          <w:lang w:val="es-ES"/>
        </w:rPr>
      </w:pPr>
    </w:p>
    <w:p w14:paraId="0A3E25CA" w14:textId="77777777" w:rsidR="009F177F" w:rsidRPr="009B65AC" w:rsidRDefault="009F177F" w:rsidP="00DA5200">
      <w:pPr>
        <w:widowControl/>
        <w:autoSpaceDE/>
        <w:autoSpaceDN/>
        <w:jc w:val="both"/>
        <w:rPr>
          <w:rFonts w:ascii="Arial" w:hAnsi="Arial" w:cs="Arial"/>
          <w:sz w:val="22"/>
          <w:szCs w:val="22"/>
          <w:lang w:val="es-ES"/>
        </w:rPr>
      </w:pPr>
      <w:r w:rsidRPr="009B65AC">
        <w:rPr>
          <w:rFonts w:ascii="Arial" w:hAnsi="Arial" w:cs="Arial"/>
          <w:sz w:val="22"/>
          <w:szCs w:val="22"/>
          <w:lang w:val="es-ES"/>
        </w:rPr>
        <w:t>La Secretaría sufragará los gastos de contratación, viaje y estancia relacionados con la FFM, siempre que se disponga de suficientes fondos, y en colaboración con la Parte interesada.</w:t>
      </w:r>
    </w:p>
    <w:p w14:paraId="0D3C6870" w14:textId="77777777" w:rsidR="009F177F" w:rsidRPr="009B65AC" w:rsidRDefault="009F177F" w:rsidP="00DA5200">
      <w:pPr>
        <w:widowControl/>
        <w:autoSpaceDE/>
        <w:autoSpaceDN/>
        <w:jc w:val="both"/>
        <w:rPr>
          <w:rFonts w:ascii="Arial" w:hAnsi="Arial" w:cs="Arial"/>
          <w:sz w:val="22"/>
          <w:szCs w:val="22"/>
          <w:lang w:val="es-ES"/>
        </w:rPr>
      </w:pPr>
    </w:p>
    <w:p w14:paraId="617F510D" w14:textId="77777777" w:rsidR="009F177F" w:rsidRPr="009B65AC" w:rsidRDefault="009F177F" w:rsidP="00DA5200">
      <w:pPr>
        <w:widowControl/>
        <w:autoSpaceDE/>
        <w:autoSpaceDN/>
        <w:spacing w:after="120"/>
        <w:jc w:val="both"/>
        <w:rPr>
          <w:rFonts w:ascii="Arial" w:hAnsi="Arial" w:cs="Arial"/>
          <w:sz w:val="22"/>
          <w:szCs w:val="22"/>
          <w:lang w:val="es-ES"/>
        </w:rPr>
      </w:pPr>
      <w:r w:rsidRPr="009B65AC">
        <w:rPr>
          <w:rFonts w:ascii="Arial" w:hAnsi="Arial" w:cs="Arial"/>
          <w:sz w:val="22"/>
          <w:szCs w:val="22"/>
          <w:lang w:val="es-ES"/>
        </w:rPr>
        <w:t>El experto presentará un informe por escrito de los hallazgos de la FFM (en una de las lenguas oficiales de la CMS) que incluya, como mínimo, la siguiente información:</w:t>
      </w:r>
    </w:p>
    <w:p w14:paraId="6C553AAF" w14:textId="77777777" w:rsidR="009F177F" w:rsidRPr="009B65AC" w:rsidRDefault="009F177F" w:rsidP="00DA5200">
      <w:pPr>
        <w:widowControl/>
        <w:numPr>
          <w:ilvl w:val="0"/>
          <w:numId w:val="5"/>
        </w:numPr>
        <w:autoSpaceDE/>
        <w:autoSpaceDN/>
        <w:spacing w:after="12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Un resumen de la información recopilada</w:t>
      </w:r>
    </w:p>
    <w:p w14:paraId="1CB9390C" w14:textId="77777777" w:rsidR="009F177F" w:rsidRPr="009B65AC" w:rsidRDefault="009F177F" w:rsidP="00DA5200">
      <w:pPr>
        <w:widowControl/>
        <w:numPr>
          <w:ilvl w:val="0"/>
          <w:numId w:val="5"/>
        </w:numPr>
        <w:autoSpaceDE/>
        <w:autoSpaceDN/>
        <w:spacing w:after="12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Una descripción de las actividades realizadas</w:t>
      </w:r>
    </w:p>
    <w:p w14:paraId="08CE4360" w14:textId="77777777" w:rsidR="009F177F" w:rsidRPr="009B65AC" w:rsidRDefault="009F177F" w:rsidP="00DA5200">
      <w:pPr>
        <w:widowControl/>
        <w:numPr>
          <w:ilvl w:val="0"/>
          <w:numId w:val="5"/>
        </w:numPr>
        <w:autoSpaceDE/>
        <w:autoSpaceDN/>
        <w:spacing w:after="12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La relevancia de la información recopilada para la implementación de los Artículos III.4, III.5, III.7 y VI.2 de la Convención, según proceda, sobre todo, los efectos sobre las especies del Apéndice I y sus hábitats</w:t>
      </w:r>
    </w:p>
    <w:p w14:paraId="6BFB6E53" w14:textId="77777777" w:rsidR="009F177F" w:rsidRPr="009B65AC" w:rsidRDefault="009F177F" w:rsidP="00DA5200">
      <w:pPr>
        <w:widowControl/>
        <w:numPr>
          <w:ilvl w:val="0"/>
          <w:numId w:val="5"/>
        </w:numPr>
        <w:autoSpaceDE/>
        <w:autoSpaceDN/>
        <w:spacing w:after="12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Conclusiones de la FFM y recomendaciones</w:t>
      </w:r>
    </w:p>
    <w:p w14:paraId="27C445B0" w14:textId="77777777" w:rsidR="009F177F" w:rsidRPr="009B65AC" w:rsidRDefault="009F177F" w:rsidP="00DA5200">
      <w:pPr>
        <w:widowControl/>
        <w:numPr>
          <w:ilvl w:val="0"/>
          <w:numId w:val="5"/>
        </w:numPr>
        <w:autoSpaceDE/>
        <w:autoSpaceDN/>
        <w:spacing w:after="160" w:line="259" w:lineRule="auto"/>
        <w:ind w:left="567" w:hanging="567"/>
        <w:jc w:val="both"/>
        <w:textAlignment w:val="auto"/>
        <w:rPr>
          <w:rFonts w:ascii="Arial" w:hAnsi="Arial" w:cs="Arial"/>
          <w:sz w:val="22"/>
          <w:szCs w:val="22"/>
          <w:lang w:val="es-ES"/>
        </w:rPr>
      </w:pPr>
      <w:r w:rsidRPr="009B65AC">
        <w:rPr>
          <w:rFonts w:ascii="Arial" w:hAnsi="Arial" w:cs="Arial"/>
          <w:sz w:val="22"/>
          <w:szCs w:val="22"/>
          <w:lang w:val="es-ES"/>
        </w:rPr>
        <w:t>Información complementaria</w:t>
      </w:r>
    </w:p>
    <w:p w14:paraId="2FB23B31" w14:textId="77777777" w:rsidR="009F177F" w:rsidRPr="009B65AC" w:rsidRDefault="009F177F" w:rsidP="00DA5200">
      <w:pPr>
        <w:widowControl/>
        <w:autoSpaceDE/>
        <w:autoSpaceDN/>
        <w:ind w:left="567" w:hanging="567"/>
        <w:jc w:val="both"/>
        <w:rPr>
          <w:rFonts w:ascii="Arial" w:hAnsi="Arial" w:cs="Arial"/>
          <w:sz w:val="22"/>
          <w:szCs w:val="22"/>
          <w:lang w:val="es-ES"/>
        </w:rPr>
      </w:pPr>
    </w:p>
    <w:p w14:paraId="6395A0DD" w14:textId="77777777" w:rsidR="009F177F" w:rsidRPr="009B65AC" w:rsidRDefault="009F177F" w:rsidP="00DA5200">
      <w:pPr>
        <w:widowControl/>
        <w:autoSpaceDE/>
        <w:autoSpaceDN/>
        <w:jc w:val="both"/>
        <w:textAlignment w:val="auto"/>
        <w:rPr>
          <w:rFonts w:ascii="Arial" w:eastAsiaTheme="minorHAnsi" w:hAnsi="Arial" w:cstheme="minorBidi"/>
          <w:sz w:val="22"/>
          <w:szCs w:val="22"/>
          <w:lang w:val="es-ES"/>
        </w:rPr>
      </w:pPr>
      <w:r w:rsidRPr="009B65AC">
        <w:rPr>
          <w:rFonts w:ascii="Arial" w:eastAsiaTheme="minorHAnsi" w:hAnsi="Arial" w:cs="Arial"/>
          <w:sz w:val="22"/>
          <w:szCs w:val="22"/>
          <w:lang w:val="es-ES"/>
        </w:rPr>
        <w:lastRenderedPageBreak/>
        <w:t>Para garantizar que «las revisiones se realicen de forma sinérgica y cooperativa con otros procesos pertinentes tanto dentro como fuera de la CMS»,</w:t>
      </w:r>
      <w:r w:rsidRPr="009B65AC">
        <w:rPr>
          <w:rFonts w:ascii="Arial" w:eastAsiaTheme="minorHAnsi" w:hAnsi="Arial" w:cs="Arial"/>
          <w:sz w:val="22"/>
          <w:szCs w:val="22"/>
          <w:vertAlign w:val="superscript"/>
          <w:lang w:val="es-ES"/>
        </w:rPr>
        <w:footnoteReference w:id="19"/>
      </w:r>
      <w:r w:rsidRPr="009B65AC">
        <w:rPr>
          <w:rFonts w:ascii="Arial" w:eastAsiaTheme="minorHAnsi" w:hAnsi="Arial" w:cs="Arial"/>
          <w:sz w:val="22"/>
          <w:szCs w:val="22"/>
          <w:lang w:val="es-ES"/>
        </w:rPr>
        <w:t xml:space="preserve"> la Secretaría buscará de forma proactiva la colaboración en las FFM si tiene conocimiento de que otro AMUMA está tratando la misma cuestión de implementación. Las FFM conjuntas se esforzarán por evitar la duplicidad de esfuerzos y las posiciones contradictorias a nivel internacional y la Secretaría de la CMS, cuando proponga una FFM conjunta a una Parte implicada, debe respetar estas directrices operativas.</w:t>
      </w:r>
    </w:p>
    <w:p w14:paraId="6695A6A5" w14:textId="77777777" w:rsidR="00A96D6A" w:rsidRPr="009B65AC" w:rsidRDefault="00A96D6A" w:rsidP="00DA5200">
      <w:pPr>
        <w:rPr>
          <w:rFonts w:ascii="Arial" w:hAnsi="Arial" w:cs="Arial"/>
          <w:sz w:val="22"/>
          <w:szCs w:val="22"/>
          <w:lang w:val="es-ES"/>
        </w:rPr>
      </w:pPr>
    </w:p>
    <w:p w14:paraId="6F39DE64" w14:textId="77777777" w:rsidR="00854A80" w:rsidRPr="009B65AC" w:rsidRDefault="00854A80" w:rsidP="00DA5200">
      <w:pPr>
        <w:rPr>
          <w:rFonts w:ascii="Arial" w:hAnsi="Arial" w:cs="Arial"/>
          <w:sz w:val="22"/>
          <w:szCs w:val="22"/>
          <w:lang w:val="es-ES"/>
        </w:rPr>
      </w:pPr>
    </w:p>
    <w:p w14:paraId="383AE881" w14:textId="77777777" w:rsidR="00D82C56" w:rsidRPr="009B65AC" w:rsidRDefault="00D82C56" w:rsidP="00DA5200">
      <w:pPr>
        <w:rPr>
          <w:rFonts w:ascii="Arial" w:hAnsi="Arial" w:cs="Arial"/>
          <w:sz w:val="22"/>
          <w:szCs w:val="22"/>
          <w:lang w:val="es-ES"/>
        </w:rPr>
      </w:pPr>
    </w:p>
    <w:p w14:paraId="46F66146" w14:textId="6C7FA489" w:rsidR="002D43F0" w:rsidRDefault="002D43F0">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6E2610A1" w:rsidR="00D82C56" w:rsidRPr="009B65AC" w:rsidRDefault="00FD2360" w:rsidP="00DA5200">
      <w:pPr>
        <w:jc w:val="center"/>
        <w:rPr>
          <w:rFonts w:ascii="Arial" w:hAnsi="Arial" w:cs="Arial"/>
          <w:sz w:val="22"/>
          <w:szCs w:val="22"/>
          <w:lang w:val="es-ES"/>
        </w:rPr>
      </w:pPr>
      <w:r w:rsidRPr="009B65AC">
        <w:rPr>
          <w:rFonts w:ascii="Arial" w:hAnsi="Arial" w:cs="Arial"/>
          <w:sz w:val="22"/>
          <w:szCs w:val="22"/>
          <w:lang w:val="es-ES"/>
        </w:rPr>
        <w:lastRenderedPageBreak/>
        <w:t>PROYECTO DE DECISI</w:t>
      </w:r>
      <w:r w:rsidR="002D43F0">
        <w:rPr>
          <w:rFonts w:ascii="Arial" w:hAnsi="Arial" w:cs="Arial"/>
          <w:sz w:val="22"/>
          <w:szCs w:val="22"/>
          <w:lang w:val="es-ES"/>
        </w:rPr>
        <w:t>ONES</w:t>
      </w:r>
    </w:p>
    <w:p w14:paraId="621FE7FD" w14:textId="77777777" w:rsidR="00D82C56" w:rsidRPr="009B65AC" w:rsidRDefault="00D82C56" w:rsidP="00DA5200">
      <w:pPr>
        <w:rPr>
          <w:rFonts w:ascii="Arial" w:hAnsi="Arial" w:cs="Arial"/>
          <w:sz w:val="22"/>
          <w:szCs w:val="22"/>
          <w:lang w:val="es-ES"/>
        </w:rPr>
      </w:pPr>
    </w:p>
    <w:p w14:paraId="4B576DCF" w14:textId="77777777" w:rsidR="00DA5200" w:rsidRPr="009B65AC" w:rsidRDefault="00DA5200" w:rsidP="00DA5200">
      <w:pPr>
        <w:widowControl/>
        <w:autoSpaceDE/>
        <w:autoSpaceDN/>
        <w:jc w:val="center"/>
        <w:textAlignment w:val="auto"/>
        <w:rPr>
          <w:rFonts w:ascii="Arial" w:eastAsiaTheme="minorHAnsi" w:hAnsi="Arial" w:cs="Arial"/>
          <w:b/>
          <w:sz w:val="22"/>
          <w:szCs w:val="22"/>
          <w:lang w:val="es-ES"/>
        </w:rPr>
      </w:pPr>
      <w:r w:rsidRPr="009B65AC">
        <w:rPr>
          <w:rFonts w:ascii="Arial" w:eastAsiaTheme="minorHAnsi" w:hAnsi="Arial" w:cs="Arial"/>
          <w:b/>
          <w:sz w:val="22"/>
          <w:szCs w:val="22"/>
          <w:lang w:val="es-ES"/>
        </w:rPr>
        <w:t xml:space="preserve">MECANISMO DE REVISIÓN Y PROGRAMA DE LEGISLACIÓN NACIONAL </w:t>
      </w:r>
    </w:p>
    <w:p w14:paraId="741C7F87" w14:textId="77777777" w:rsidR="00DA5200" w:rsidRDefault="00DA5200" w:rsidP="00DA5200">
      <w:pPr>
        <w:widowControl/>
        <w:autoSpaceDE/>
        <w:autoSpaceDN/>
        <w:jc w:val="center"/>
        <w:textAlignment w:val="auto"/>
        <w:rPr>
          <w:rFonts w:ascii="Arial" w:eastAsiaTheme="minorHAnsi" w:hAnsi="Arial" w:cs="Arial"/>
          <w:sz w:val="22"/>
          <w:szCs w:val="22"/>
          <w:lang w:val="es-ES"/>
        </w:rPr>
      </w:pPr>
    </w:p>
    <w:p w14:paraId="7F61701E" w14:textId="77777777" w:rsidR="002D43F0" w:rsidRPr="009B65AC" w:rsidRDefault="002D43F0" w:rsidP="00DA5200">
      <w:pPr>
        <w:widowControl/>
        <w:autoSpaceDE/>
        <w:autoSpaceDN/>
        <w:jc w:val="center"/>
        <w:textAlignment w:val="auto"/>
        <w:rPr>
          <w:rFonts w:ascii="Arial" w:eastAsiaTheme="minorHAnsi" w:hAnsi="Arial" w:cs="Arial"/>
          <w:sz w:val="22"/>
          <w:szCs w:val="22"/>
          <w:lang w:val="es-ES"/>
        </w:rPr>
      </w:pPr>
    </w:p>
    <w:p w14:paraId="04555C60" w14:textId="77777777" w:rsidR="00DA5200" w:rsidRPr="009B65AC" w:rsidRDefault="00DA5200" w:rsidP="00DA5200">
      <w:pPr>
        <w:widowControl/>
        <w:autoSpaceDE/>
        <w:autoSpaceDN/>
        <w:jc w:val="both"/>
        <w:textAlignment w:val="auto"/>
        <w:rPr>
          <w:rFonts w:ascii="Arial" w:eastAsia="Calibri" w:hAnsi="Arial" w:cstheme="minorBidi"/>
          <w:b/>
          <w:bCs/>
          <w:i/>
          <w:iCs/>
          <w:sz w:val="22"/>
          <w:szCs w:val="22"/>
          <w:lang w:val="es-ES"/>
        </w:rPr>
      </w:pPr>
      <w:r w:rsidRPr="009B65AC">
        <w:rPr>
          <w:rFonts w:ascii="Arial" w:eastAsia="Calibri" w:hAnsi="Arial" w:cstheme="minorBidi"/>
          <w:b/>
          <w:bCs/>
          <w:i/>
          <w:iCs/>
          <w:sz w:val="22"/>
          <w:szCs w:val="22"/>
          <w:lang w:val="es-ES"/>
        </w:rPr>
        <w:t>Dirigido a la Secretaría</w:t>
      </w:r>
    </w:p>
    <w:p w14:paraId="59C58BF1" w14:textId="77777777" w:rsidR="00DA5200" w:rsidRPr="009B65AC" w:rsidRDefault="00DA5200" w:rsidP="00DA5200">
      <w:pPr>
        <w:widowControl/>
        <w:autoSpaceDE/>
        <w:autoSpaceDN/>
        <w:jc w:val="both"/>
        <w:textAlignment w:val="auto"/>
        <w:rPr>
          <w:rFonts w:ascii="Arial" w:eastAsia="Calibri" w:hAnsi="Arial" w:cstheme="minorBidi"/>
          <w:b/>
          <w:bCs/>
          <w:i/>
          <w:iCs/>
          <w:sz w:val="22"/>
          <w:szCs w:val="22"/>
          <w:lang w:val="es-ES"/>
        </w:rPr>
      </w:pPr>
    </w:p>
    <w:p w14:paraId="0A9677D1" w14:textId="77777777" w:rsidR="00DA5200" w:rsidRDefault="00DA5200" w:rsidP="002D43F0">
      <w:pPr>
        <w:widowControl/>
        <w:autoSpaceDE/>
        <w:autoSpaceDN/>
        <w:ind w:left="850" w:hanging="850"/>
        <w:jc w:val="both"/>
        <w:textAlignment w:val="auto"/>
        <w:rPr>
          <w:rFonts w:ascii="Arial" w:eastAsia="Calibri" w:hAnsi="Arial" w:cstheme="minorBidi"/>
          <w:bCs/>
          <w:sz w:val="22"/>
          <w:szCs w:val="22"/>
          <w:lang w:val="es-ES"/>
        </w:rPr>
      </w:pPr>
      <w:r w:rsidRPr="009B65AC">
        <w:rPr>
          <w:rFonts w:ascii="Arial" w:eastAsia="Calibri" w:hAnsi="Arial" w:cstheme="minorBidi"/>
          <w:bCs/>
          <w:sz w:val="22"/>
          <w:szCs w:val="22"/>
          <w:lang w:val="es-ES"/>
        </w:rPr>
        <w:t xml:space="preserve">14. AA </w:t>
      </w:r>
      <w:r w:rsidRPr="009B65AC">
        <w:rPr>
          <w:rFonts w:ascii="Arial" w:eastAsia="Calibri" w:hAnsi="Arial" w:cstheme="minorBidi"/>
          <w:bCs/>
          <w:sz w:val="22"/>
          <w:szCs w:val="22"/>
          <w:lang w:val="es-ES"/>
        </w:rPr>
        <w:tab/>
        <w:t xml:space="preserve">Se solicita a la Secretaría que: </w:t>
      </w:r>
    </w:p>
    <w:p w14:paraId="4A1935D1" w14:textId="77777777" w:rsidR="002D43F0" w:rsidRPr="009B65AC" w:rsidRDefault="002D43F0" w:rsidP="002D43F0">
      <w:pPr>
        <w:widowControl/>
        <w:autoSpaceDE/>
        <w:autoSpaceDN/>
        <w:ind w:left="850" w:hanging="850"/>
        <w:jc w:val="both"/>
        <w:textAlignment w:val="auto"/>
        <w:rPr>
          <w:rFonts w:ascii="Arial" w:eastAsiaTheme="minorHAnsi" w:hAnsi="Arial" w:cs="Arial"/>
          <w:strike/>
          <w:sz w:val="22"/>
          <w:szCs w:val="22"/>
          <w:lang w:val="es-ES"/>
        </w:rPr>
      </w:pPr>
    </w:p>
    <w:p w14:paraId="497F498B" w14:textId="77777777" w:rsidR="00DA5200" w:rsidRPr="009B65AC" w:rsidRDefault="00DA5200" w:rsidP="002D43F0">
      <w:pPr>
        <w:widowControl/>
        <w:numPr>
          <w:ilvl w:val="0"/>
          <w:numId w:val="6"/>
        </w:numPr>
        <w:autoSpaceDE/>
        <w:autoSpaceDN/>
        <w:adjustRightInd w:val="0"/>
        <w:ind w:left="1418" w:hanging="567"/>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Realice un seguimiento con las Partes que hayan completado y presentado el cuestionario del Programa de Legislación Nacional (PLN) sobre sus avances en la implementación de las acciones recomendadas y proporcione apoyo técnico para ayudar a las Partes a redactar la legislación nacional adecuada para implementar las disposiciones del Artículo III, Párrafo 5, de la Convención, según sea posible y apropiado;</w:t>
      </w:r>
    </w:p>
    <w:p w14:paraId="33353150" w14:textId="77777777" w:rsidR="00DA5200" w:rsidRPr="009B65AC" w:rsidRDefault="00DA5200" w:rsidP="002D43F0">
      <w:pPr>
        <w:widowControl/>
        <w:autoSpaceDE/>
        <w:autoSpaceDN/>
        <w:adjustRightInd w:val="0"/>
        <w:ind w:left="1418" w:hanging="567"/>
        <w:jc w:val="both"/>
        <w:textAlignment w:val="auto"/>
        <w:rPr>
          <w:rFonts w:ascii="Arial" w:eastAsiaTheme="minorHAnsi" w:hAnsi="Arial" w:cs="Arial"/>
          <w:sz w:val="22"/>
          <w:szCs w:val="22"/>
          <w:lang w:val="es-ES"/>
        </w:rPr>
      </w:pPr>
    </w:p>
    <w:p w14:paraId="1AB19F69" w14:textId="77777777" w:rsidR="00DA5200" w:rsidRPr="009B65AC" w:rsidRDefault="00DA5200" w:rsidP="002D43F0">
      <w:pPr>
        <w:widowControl/>
        <w:numPr>
          <w:ilvl w:val="0"/>
          <w:numId w:val="6"/>
        </w:numPr>
        <w:autoSpaceDE/>
        <w:autoSpaceDN/>
        <w:ind w:left="1418" w:hanging="567"/>
        <w:jc w:val="both"/>
        <w:textAlignment w:val="auto"/>
        <w:rPr>
          <w:rFonts w:ascii="Arial" w:eastAsia="Calibri" w:hAnsi="Arial" w:cs="Arial"/>
          <w:iCs/>
          <w:sz w:val="22"/>
          <w:szCs w:val="22"/>
          <w:lang w:val="es-ES"/>
        </w:rPr>
      </w:pPr>
      <w:r w:rsidRPr="009B65AC">
        <w:rPr>
          <w:rFonts w:ascii="Arial" w:eastAsiaTheme="minorHAnsi" w:hAnsi="Arial" w:cs="Arial"/>
          <w:sz w:val="22"/>
          <w:szCs w:val="22"/>
          <w:lang w:val="es-ES"/>
        </w:rPr>
        <w:t>Anime a las Partes que aún no se hayan adherido al Programa de Legislación Nacional a cumplimentar el cuestionario del PLN y remitirlo a la Secretaría;</w:t>
      </w:r>
    </w:p>
    <w:p w14:paraId="2B3D2E5A" w14:textId="77777777" w:rsidR="00DA5200" w:rsidRPr="009B65AC" w:rsidRDefault="00DA5200" w:rsidP="002D43F0">
      <w:pPr>
        <w:widowControl/>
        <w:autoSpaceDE/>
        <w:autoSpaceDN/>
        <w:ind w:left="1418" w:hanging="567"/>
        <w:jc w:val="both"/>
        <w:textAlignment w:val="auto"/>
        <w:rPr>
          <w:rFonts w:ascii="Arial" w:eastAsia="Calibri" w:hAnsi="Arial" w:cs="Arial"/>
          <w:sz w:val="22"/>
          <w:szCs w:val="22"/>
          <w:lang w:val="es-ES"/>
        </w:rPr>
      </w:pPr>
    </w:p>
    <w:p w14:paraId="6527F6CE" w14:textId="77777777" w:rsidR="00DA5200" w:rsidRPr="009B65AC" w:rsidRDefault="00DA5200" w:rsidP="002D43F0">
      <w:pPr>
        <w:widowControl/>
        <w:numPr>
          <w:ilvl w:val="0"/>
          <w:numId w:val="6"/>
        </w:numPr>
        <w:autoSpaceDE/>
        <w:autoSpaceDN/>
        <w:ind w:left="1418" w:hanging="567"/>
        <w:jc w:val="both"/>
        <w:textAlignment w:val="auto"/>
        <w:rPr>
          <w:rFonts w:ascii="Arial" w:eastAsia="Calibri" w:hAnsi="Arial" w:cs="Arial"/>
          <w:sz w:val="22"/>
          <w:szCs w:val="22"/>
          <w:lang w:val="es-ES"/>
        </w:rPr>
      </w:pPr>
      <w:r w:rsidRPr="009B65AC">
        <w:rPr>
          <w:rFonts w:ascii="Arial" w:eastAsiaTheme="minorHAnsi" w:hAnsi="Arial" w:cs="Arial"/>
          <w:sz w:val="22"/>
          <w:szCs w:val="22"/>
          <w:lang w:val="es-ES"/>
        </w:rPr>
        <w:t>En estrecha colaboración con el PNUMA, organice un taller específico para el PNUMA y las Partes de la CMS para apoyarles en el fortalecimiento de los marcos jurídicos nacionales durante la implementación de la CMS;</w:t>
      </w:r>
    </w:p>
    <w:p w14:paraId="49341AF2" w14:textId="77777777" w:rsidR="00DA5200" w:rsidRPr="009B65AC" w:rsidRDefault="00DA5200" w:rsidP="002D43F0">
      <w:pPr>
        <w:widowControl/>
        <w:autoSpaceDE/>
        <w:autoSpaceDN/>
        <w:ind w:left="1418" w:hanging="567"/>
        <w:jc w:val="both"/>
        <w:textAlignment w:val="auto"/>
        <w:rPr>
          <w:rFonts w:ascii="Arial" w:eastAsia="Calibri" w:hAnsi="Arial" w:cs="Arial"/>
          <w:sz w:val="22"/>
          <w:szCs w:val="22"/>
          <w:lang w:val="es-ES"/>
        </w:rPr>
      </w:pPr>
    </w:p>
    <w:p w14:paraId="6EFA9525" w14:textId="77777777" w:rsidR="00DA5200" w:rsidRPr="009B65AC" w:rsidRDefault="00DA5200" w:rsidP="002D43F0">
      <w:pPr>
        <w:widowControl/>
        <w:numPr>
          <w:ilvl w:val="0"/>
          <w:numId w:val="6"/>
        </w:numPr>
        <w:autoSpaceDE/>
        <w:autoSpaceDN/>
        <w:ind w:left="1418" w:hanging="567"/>
        <w:jc w:val="both"/>
        <w:textAlignment w:val="auto"/>
        <w:rPr>
          <w:rFonts w:ascii="Arial" w:eastAsia="Calibri" w:hAnsi="Arial" w:cs="Arial"/>
          <w:sz w:val="22"/>
          <w:szCs w:val="22"/>
          <w:lang w:val="es-ES"/>
        </w:rPr>
      </w:pPr>
      <w:r w:rsidRPr="009B65AC">
        <w:rPr>
          <w:rFonts w:ascii="Arial" w:eastAsiaTheme="minorHAnsi" w:hAnsi="Arial" w:cs="Arial"/>
          <w:sz w:val="22"/>
          <w:szCs w:val="22"/>
          <w:lang w:val="es-ES"/>
        </w:rPr>
        <w:t>Con sujeción a la disponibilidad de recursos externos, encargue un estudio sobre sanciones, incluyendo tanto las penales como las administrativas, con el fin de determinar si la legislación nacional permite sanciones efectivas, disuasorias y proporcionadas para las especies del Apéndice I que se capturan violando la Convención;</w:t>
      </w:r>
    </w:p>
    <w:p w14:paraId="1E38A77A" w14:textId="77777777" w:rsidR="00DA5200" w:rsidRPr="009B65AC" w:rsidRDefault="00DA5200" w:rsidP="002D43F0">
      <w:pPr>
        <w:widowControl/>
        <w:autoSpaceDE/>
        <w:autoSpaceDN/>
        <w:ind w:left="1418" w:hanging="567"/>
        <w:jc w:val="both"/>
        <w:textAlignment w:val="auto"/>
        <w:rPr>
          <w:rFonts w:ascii="Arial" w:eastAsia="Calibri" w:hAnsi="Arial" w:cs="Arial"/>
          <w:iCs/>
          <w:sz w:val="22"/>
          <w:szCs w:val="22"/>
          <w:lang w:val="es-ES"/>
        </w:rPr>
      </w:pPr>
    </w:p>
    <w:p w14:paraId="7E7DB0AF" w14:textId="77777777" w:rsidR="00DA5200" w:rsidRPr="009B65AC" w:rsidRDefault="00DA5200" w:rsidP="002D43F0">
      <w:pPr>
        <w:widowControl/>
        <w:numPr>
          <w:ilvl w:val="0"/>
          <w:numId w:val="6"/>
        </w:numPr>
        <w:autoSpaceDE/>
        <w:autoSpaceDN/>
        <w:ind w:left="1418" w:hanging="567"/>
        <w:jc w:val="both"/>
        <w:textAlignment w:val="auto"/>
        <w:rPr>
          <w:rFonts w:ascii="Arial" w:eastAsia="Calibri" w:hAnsi="Arial" w:cs="Arial"/>
          <w:iCs/>
          <w:sz w:val="22"/>
          <w:szCs w:val="22"/>
          <w:lang w:val="es-ES"/>
        </w:rPr>
      </w:pPr>
      <w:r w:rsidRPr="009B65AC">
        <w:rPr>
          <w:rFonts w:ascii="Arial" w:eastAsia="Calibri" w:hAnsi="Arial" w:cs="Arial"/>
          <w:sz w:val="22"/>
          <w:szCs w:val="22"/>
          <w:lang w:val="es-ES"/>
        </w:rPr>
        <w:t>Elabore un registro en línea de los expedientes del Mecanismo de Revisión y lo actualice con la información correspondiente sobre los expedientes en curso;</w:t>
      </w:r>
    </w:p>
    <w:p w14:paraId="36F020B6" w14:textId="77777777" w:rsidR="00DA5200" w:rsidRPr="009B65AC" w:rsidRDefault="00DA5200" w:rsidP="002D43F0">
      <w:pPr>
        <w:widowControl/>
        <w:autoSpaceDE/>
        <w:autoSpaceDN/>
        <w:ind w:left="1418" w:hanging="567"/>
        <w:jc w:val="both"/>
        <w:textAlignment w:val="auto"/>
        <w:rPr>
          <w:rFonts w:ascii="Arial" w:eastAsia="Calibri" w:hAnsi="Arial" w:cs="Arial"/>
          <w:iCs/>
          <w:sz w:val="22"/>
          <w:szCs w:val="22"/>
          <w:lang w:val="es-ES"/>
        </w:rPr>
      </w:pPr>
    </w:p>
    <w:p w14:paraId="3523B8C4" w14:textId="77777777" w:rsidR="00DA5200" w:rsidRPr="009B65AC" w:rsidRDefault="00DA5200" w:rsidP="002D43F0">
      <w:pPr>
        <w:widowControl/>
        <w:numPr>
          <w:ilvl w:val="0"/>
          <w:numId w:val="6"/>
        </w:numPr>
        <w:autoSpaceDE/>
        <w:autoSpaceDN/>
        <w:ind w:left="1418" w:hanging="567"/>
        <w:jc w:val="both"/>
        <w:textAlignment w:val="auto"/>
        <w:rPr>
          <w:rFonts w:ascii="Arial" w:eastAsia="Calibri" w:hAnsi="Arial" w:cs="Arial"/>
          <w:iCs/>
          <w:sz w:val="22"/>
          <w:szCs w:val="22"/>
          <w:lang w:val="es-ES"/>
        </w:rPr>
      </w:pPr>
      <w:r w:rsidRPr="009B65AC">
        <w:rPr>
          <w:rFonts w:ascii="Arial" w:eastAsia="Calibri" w:hAnsi="Arial" w:cs="Arial"/>
          <w:sz w:val="22"/>
          <w:szCs w:val="22"/>
          <w:lang w:val="es-ES"/>
        </w:rPr>
        <w:t>Informe a la Conferencia de las Partes en su 15.</w:t>
      </w:r>
      <w:r w:rsidRPr="009B65AC">
        <w:rPr>
          <w:rFonts w:ascii="Arial" w:eastAsia="Calibri" w:hAnsi="Arial" w:cs="Arial"/>
          <w:sz w:val="22"/>
          <w:szCs w:val="22"/>
          <w:vertAlign w:val="superscript"/>
          <w:lang w:val="es-ES"/>
        </w:rPr>
        <w:t>a</w:t>
      </w:r>
      <w:r w:rsidRPr="009B65AC">
        <w:rPr>
          <w:rFonts w:ascii="Arial" w:eastAsia="Calibri" w:hAnsi="Arial" w:cs="Arial"/>
          <w:sz w:val="22"/>
          <w:szCs w:val="22"/>
          <w:lang w:val="es-ES"/>
        </w:rPr>
        <w:t xml:space="preserve"> reunión acerca de los avances realizados en la implementación de la presente Decisión.</w:t>
      </w:r>
    </w:p>
    <w:p w14:paraId="6B2D7671" w14:textId="77777777" w:rsidR="00C70E9C" w:rsidRPr="009B65AC" w:rsidRDefault="00C70E9C" w:rsidP="002D43F0">
      <w:pPr>
        <w:pStyle w:val="ListParagraph"/>
        <w:rPr>
          <w:rFonts w:ascii="Arial" w:eastAsia="Calibri" w:hAnsi="Arial" w:cs="Arial"/>
          <w:iCs/>
          <w:sz w:val="22"/>
          <w:szCs w:val="22"/>
          <w:lang w:val="es-ES"/>
        </w:rPr>
      </w:pPr>
    </w:p>
    <w:p w14:paraId="0D435556" w14:textId="72796FC3" w:rsidR="00C70E9C" w:rsidRPr="006A58AC" w:rsidRDefault="006A58AC" w:rsidP="006A58AC">
      <w:pPr>
        <w:widowControl/>
        <w:numPr>
          <w:ilvl w:val="0"/>
          <w:numId w:val="6"/>
        </w:numPr>
        <w:autoSpaceDE/>
        <w:autoSpaceDN/>
        <w:ind w:left="1418" w:hanging="567"/>
        <w:jc w:val="both"/>
        <w:textAlignment w:val="auto"/>
        <w:rPr>
          <w:rFonts w:ascii="Arial" w:hAnsi="Arial"/>
          <w:sz w:val="22"/>
          <w:lang w:val="es-ES"/>
        </w:rPr>
      </w:pPr>
      <w:r w:rsidRPr="006A58AC">
        <w:rPr>
          <w:rFonts w:ascii="Arial" w:hAnsi="Arial"/>
          <w:sz w:val="22"/>
          <w:lang w:val="es-ES"/>
        </w:rPr>
        <w:t xml:space="preserve">Continuar y mejorar la colaboración con iniciativas existentes </w:t>
      </w:r>
      <w:r>
        <w:rPr>
          <w:rFonts w:ascii="Arial" w:hAnsi="Arial"/>
          <w:sz w:val="22"/>
          <w:lang w:val="es-ES"/>
        </w:rPr>
        <w:t>que facilit</w:t>
      </w:r>
      <w:r w:rsidR="00C50E62">
        <w:rPr>
          <w:rFonts w:ascii="Arial" w:hAnsi="Arial"/>
          <w:sz w:val="22"/>
          <w:lang w:val="es-ES"/>
        </w:rPr>
        <w:t>en un análisis de las</w:t>
      </w:r>
      <w:r w:rsidRPr="006A58AC">
        <w:rPr>
          <w:rFonts w:ascii="Arial" w:hAnsi="Arial"/>
          <w:sz w:val="22"/>
          <w:lang w:val="es-ES"/>
        </w:rPr>
        <w:t xml:space="preserve"> legisla</w:t>
      </w:r>
      <w:r w:rsidR="00C50E62">
        <w:rPr>
          <w:rFonts w:ascii="Arial" w:hAnsi="Arial"/>
          <w:sz w:val="22"/>
          <w:lang w:val="es-ES"/>
        </w:rPr>
        <w:t>ciones</w:t>
      </w:r>
      <w:r w:rsidRPr="006A58AC">
        <w:rPr>
          <w:rFonts w:ascii="Arial" w:hAnsi="Arial"/>
          <w:sz w:val="22"/>
          <w:lang w:val="es-ES"/>
        </w:rPr>
        <w:t xml:space="preserve"> nacional</w:t>
      </w:r>
      <w:r w:rsidR="00C50E62">
        <w:rPr>
          <w:rFonts w:ascii="Arial" w:hAnsi="Arial"/>
          <w:sz w:val="22"/>
          <w:lang w:val="es-ES"/>
        </w:rPr>
        <w:t>es</w:t>
      </w:r>
      <w:r w:rsidRPr="006A58AC">
        <w:rPr>
          <w:rFonts w:ascii="Arial" w:hAnsi="Arial"/>
          <w:sz w:val="22"/>
          <w:lang w:val="es-ES"/>
        </w:rPr>
        <w:t xml:space="preserve">, tales como </w:t>
      </w:r>
      <w:r>
        <w:rPr>
          <w:rFonts w:ascii="Arial" w:hAnsi="Arial"/>
          <w:sz w:val="22"/>
          <w:lang w:val="es-ES"/>
        </w:rPr>
        <w:t xml:space="preserve">el Proyecto de legislación nacional de </w:t>
      </w:r>
      <w:r w:rsidR="009B65AC" w:rsidRPr="006A58AC">
        <w:rPr>
          <w:rFonts w:ascii="Arial" w:hAnsi="Arial"/>
          <w:sz w:val="22"/>
          <w:lang w:val="es-ES"/>
        </w:rPr>
        <w:t xml:space="preserve">la Convención sobre el Comercio Internacional de Especies Amenazadas de Fauna y Flora Silvestres (CITES) y el Programa de gestión sostenible de la fauna silvestre dirigido por la Organización de las Naciones Unidas para la Alimentación y la Agricultura (FAO) </w:t>
      </w:r>
      <w:r>
        <w:rPr>
          <w:rFonts w:ascii="Arial" w:hAnsi="Arial"/>
          <w:sz w:val="22"/>
          <w:lang w:val="es-ES"/>
        </w:rPr>
        <w:t>con un</w:t>
      </w:r>
      <w:r w:rsidR="009B65AC" w:rsidRPr="006A58AC">
        <w:rPr>
          <w:rFonts w:ascii="Arial" w:hAnsi="Arial"/>
          <w:sz w:val="22"/>
          <w:lang w:val="es-ES"/>
        </w:rPr>
        <w:t xml:space="preserve"> consorcio</w:t>
      </w:r>
      <w:r>
        <w:rPr>
          <w:rFonts w:ascii="Arial" w:hAnsi="Arial"/>
          <w:sz w:val="22"/>
          <w:lang w:val="es-ES"/>
        </w:rPr>
        <w:t xml:space="preserve"> de socios</w:t>
      </w:r>
      <w:r w:rsidR="009B65AC" w:rsidRPr="006A58AC">
        <w:rPr>
          <w:rFonts w:ascii="Arial" w:hAnsi="Arial"/>
          <w:sz w:val="22"/>
          <w:lang w:val="es-ES"/>
        </w:rPr>
        <w:t xml:space="preserve"> que incluye</w:t>
      </w:r>
      <w:r w:rsidR="00C50E62">
        <w:rPr>
          <w:rFonts w:ascii="Arial" w:hAnsi="Arial"/>
          <w:sz w:val="22"/>
          <w:lang w:val="es-ES"/>
        </w:rPr>
        <w:t>n</w:t>
      </w:r>
      <w:r w:rsidR="009B65AC" w:rsidRPr="006A58AC">
        <w:rPr>
          <w:rFonts w:ascii="Arial" w:hAnsi="Arial"/>
          <w:sz w:val="22"/>
          <w:lang w:val="es-ES"/>
        </w:rPr>
        <w:t xml:space="preserve"> </w:t>
      </w:r>
      <w:r w:rsidRPr="006A58AC">
        <w:rPr>
          <w:rFonts w:ascii="Arial" w:hAnsi="Arial"/>
          <w:sz w:val="22"/>
          <w:lang w:val="es-ES"/>
        </w:rPr>
        <w:t>el Centro de Investigación Forestal Internacional</w:t>
      </w:r>
      <w:r>
        <w:rPr>
          <w:rFonts w:ascii="Arial" w:hAnsi="Arial"/>
          <w:sz w:val="22"/>
          <w:lang w:val="es-ES"/>
        </w:rPr>
        <w:t xml:space="preserve"> (CIFOR), </w:t>
      </w:r>
      <w:r w:rsidRPr="006A58AC">
        <w:rPr>
          <w:rFonts w:ascii="Arial" w:hAnsi="Arial"/>
          <w:sz w:val="22"/>
          <w:lang w:val="es-ES"/>
        </w:rPr>
        <w:t xml:space="preserve">el Centre de </w:t>
      </w:r>
      <w:proofErr w:type="spellStart"/>
      <w:r w:rsidRPr="006A58AC">
        <w:rPr>
          <w:rFonts w:ascii="Arial" w:hAnsi="Arial"/>
          <w:sz w:val="22"/>
          <w:lang w:val="es-ES"/>
        </w:rPr>
        <w:t>Coopération</w:t>
      </w:r>
      <w:proofErr w:type="spellEnd"/>
      <w:r w:rsidRPr="006A58AC">
        <w:rPr>
          <w:rFonts w:ascii="Arial" w:hAnsi="Arial"/>
          <w:sz w:val="22"/>
          <w:lang w:val="es-ES"/>
        </w:rPr>
        <w:t xml:space="preserve"> </w:t>
      </w:r>
      <w:proofErr w:type="spellStart"/>
      <w:r w:rsidRPr="006A58AC">
        <w:rPr>
          <w:rFonts w:ascii="Arial" w:hAnsi="Arial"/>
          <w:sz w:val="22"/>
          <w:lang w:val="es-ES"/>
        </w:rPr>
        <w:t>Internationale</w:t>
      </w:r>
      <w:proofErr w:type="spellEnd"/>
      <w:r w:rsidRPr="006A58AC">
        <w:rPr>
          <w:rFonts w:ascii="Arial" w:hAnsi="Arial"/>
          <w:sz w:val="22"/>
          <w:lang w:val="es-ES"/>
        </w:rPr>
        <w:t xml:space="preserve"> en </w:t>
      </w:r>
      <w:proofErr w:type="spellStart"/>
      <w:r w:rsidRPr="006A58AC">
        <w:rPr>
          <w:rFonts w:ascii="Arial" w:hAnsi="Arial"/>
          <w:sz w:val="22"/>
          <w:lang w:val="es-ES"/>
        </w:rPr>
        <w:t>Recherche</w:t>
      </w:r>
      <w:proofErr w:type="spellEnd"/>
      <w:r w:rsidRPr="006A58AC">
        <w:rPr>
          <w:rFonts w:ascii="Arial" w:hAnsi="Arial"/>
          <w:sz w:val="22"/>
          <w:lang w:val="es-ES"/>
        </w:rPr>
        <w:t xml:space="preserve"> </w:t>
      </w:r>
      <w:proofErr w:type="spellStart"/>
      <w:r w:rsidRPr="006A58AC">
        <w:rPr>
          <w:rFonts w:ascii="Arial" w:hAnsi="Arial"/>
          <w:sz w:val="22"/>
          <w:lang w:val="es-ES"/>
        </w:rPr>
        <w:t>Agronomique</w:t>
      </w:r>
      <w:proofErr w:type="spellEnd"/>
      <w:r w:rsidRPr="006A58AC">
        <w:rPr>
          <w:rFonts w:ascii="Arial" w:hAnsi="Arial"/>
          <w:sz w:val="22"/>
          <w:lang w:val="es-ES"/>
        </w:rPr>
        <w:t xml:space="preserve"> </w:t>
      </w:r>
      <w:proofErr w:type="spellStart"/>
      <w:r w:rsidRPr="006A58AC">
        <w:rPr>
          <w:rFonts w:ascii="Arial" w:hAnsi="Arial"/>
          <w:sz w:val="22"/>
          <w:lang w:val="es-ES"/>
        </w:rPr>
        <w:t>pour</w:t>
      </w:r>
      <w:proofErr w:type="spellEnd"/>
      <w:r w:rsidRPr="006A58AC">
        <w:rPr>
          <w:rFonts w:ascii="Arial" w:hAnsi="Arial"/>
          <w:sz w:val="22"/>
          <w:lang w:val="es-ES"/>
        </w:rPr>
        <w:t xml:space="preserve"> le </w:t>
      </w:r>
      <w:proofErr w:type="spellStart"/>
      <w:r w:rsidRPr="006A58AC">
        <w:rPr>
          <w:rFonts w:ascii="Arial" w:hAnsi="Arial"/>
          <w:sz w:val="22"/>
          <w:lang w:val="es-ES"/>
        </w:rPr>
        <w:t>Développement</w:t>
      </w:r>
      <w:proofErr w:type="spellEnd"/>
      <w:r w:rsidRPr="006A58AC">
        <w:rPr>
          <w:rFonts w:ascii="Arial" w:hAnsi="Arial"/>
          <w:sz w:val="22"/>
          <w:lang w:val="es-ES"/>
        </w:rPr>
        <w:t xml:space="preserve"> (CIRAD)</w:t>
      </w:r>
      <w:r>
        <w:rPr>
          <w:rFonts w:ascii="Arial" w:hAnsi="Arial"/>
          <w:sz w:val="22"/>
          <w:lang w:val="es-ES"/>
        </w:rPr>
        <w:t xml:space="preserve">, y Wildlife </w:t>
      </w:r>
      <w:proofErr w:type="spellStart"/>
      <w:r>
        <w:rPr>
          <w:rFonts w:ascii="Arial" w:hAnsi="Arial"/>
          <w:sz w:val="22"/>
          <w:lang w:val="es-ES"/>
        </w:rPr>
        <w:t>Conservation</w:t>
      </w:r>
      <w:proofErr w:type="spellEnd"/>
      <w:r>
        <w:rPr>
          <w:rFonts w:ascii="Arial" w:hAnsi="Arial"/>
          <w:sz w:val="22"/>
          <w:lang w:val="es-ES"/>
        </w:rPr>
        <w:t xml:space="preserve"> </w:t>
      </w:r>
      <w:proofErr w:type="spellStart"/>
      <w:r>
        <w:rPr>
          <w:rFonts w:ascii="Arial" w:hAnsi="Arial"/>
          <w:sz w:val="22"/>
          <w:lang w:val="es-ES"/>
        </w:rPr>
        <w:t>Society</w:t>
      </w:r>
      <w:proofErr w:type="spellEnd"/>
      <w:r w:rsidR="009B65AC" w:rsidRPr="006A58AC">
        <w:rPr>
          <w:rFonts w:ascii="Arial" w:hAnsi="Arial"/>
          <w:sz w:val="22"/>
          <w:lang w:val="es-ES"/>
        </w:rPr>
        <w:t xml:space="preserve"> (WCS).</w:t>
      </w:r>
    </w:p>
    <w:p w14:paraId="3673F818" w14:textId="77777777" w:rsidR="00DA5200" w:rsidRPr="002D43F0" w:rsidRDefault="00DA5200" w:rsidP="002D43F0">
      <w:pPr>
        <w:widowControl/>
        <w:autoSpaceDE/>
        <w:autoSpaceDN/>
        <w:jc w:val="both"/>
        <w:textAlignment w:val="auto"/>
        <w:rPr>
          <w:rFonts w:ascii="Arial" w:eastAsiaTheme="minorHAnsi" w:hAnsi="Arial" w:cs="Arial"/>
          <w:b/>
          <w:sz w:val="22"/>
          <w:szCs w:val="22"/>
          <w:lang w:val="es-ES"/>
        </w:rPr>
      </w:pPr>
    </w:p>
    <w:p w14:paraId="1A016FBC" w14:textId="77777777" w:rsidR="00DA5200" w:rsidRPr="009B65AC" w:rsidRDefault="00DA5200" w:rsidP="002D43F0">
      <w:pPr>
        <w:widowControl/>
        <w:autoSpaceDE/>
        <w:autoSpaceDN/>
        <w:textAlignment w:val="auto"/>
        <w:rPr>
          <w:rFonts w:ascii="Arial" w:eastAsiaTheme="minorHAnsi" w:hAnsi="Arial" w:cs="Arial"/>
          <w:b/>
          <w:i/>
          <w:iCs/>
          <w:sz w:val="22"/>
          <w:szCs w:val="22"/>
          <w:lang w:val="es-ES"/>
        </w:rPr>
      </w:pPr>
      <w:r w:rsidRPr="009B65AC">
        <w:rPr>
          <w:rFonts w:ascii="Arial" w:eastAsiaTheme="minorHAnsi" w:hAnsi="Arial" w:cs="Arial"/>
          <w:b/>
          <w:i/>
          <w:iCs/>
          <w:sz w:val="22"/>
          <w:szCs w:val="22"/>
          <w:lang w:val="es-ES"/>
        </w:rPr>
        <w:t xml:space="preserve">Dirigido a las Partes </w:t>
      </w:r>
    </w:p>
    <w:p w14:paraId="44284FEB" w14:textId="77777777" w:rsidR="00DA5200" w:rsidRPr="002D43F0" w:rsidRDefault="00DA5200" w:rsidP="002D43F0">
      <w:pPr>
        <w:widowControl/>
        <w:autoSpaceDE/>
        <w:autoSpaceDN/>
        <w:textAlignment w:val="auto"/>
        <w:rPr>
          <w:rFonts w:ascii="Arial" w:eastAsiaTheme="minorHAnsi" w:hAnsi="Arial" w:cs="Arial"/>
          <w:sz w:val="22"/>
          <w:szCs w:val="22"/>
          <w:lang w:val="es-ES"/>
        </w:rPr>
      </w:pPr>
    </w:p>
    <w:p w14:paraId="598ED54B" w14:textId="77777777" w:rsidR="00DA5200" w:rsidRPr="009B65AC" w:rsidRDefault="00DA5200" w:rsidP="002D43F0">
      <w:pPr>
        <w:widowControl/>
        <w:autoSpaceDE/>
        <w:autoSpaceDN/>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14.BB.</w:t>
      </w:r>
    </w:p>
    <w:p w14:paraId="57997FCD" w14:textId="402C88F1" w:rsidR="00DA5200" w:rsidRPr="009B65AC" w:rsidRDefault="00DA5200" w:rsidP="002D43F0">
      <w:pPr>
        <w:widowControl/>
        <w:numPr>
          <w:ilvl w:val="0"/>
          <w:numId w:val="7"/>
        </w:numPr>
        <w:autoSpaceDE/>
        <w:autoSpaceDN/>
        <w:ind w:left="1418" w:hanging="567"/>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t xml:space="preserve">Se </w:t>
      </w:r>
      <w:r w:rsidR="00C70E9C" w:rsidRPr="009B65AC">
        <w:rPr>
          <w:rFonts w:ascii="Arial" w:eastAsiaTheme="minorHAnsi" w:hAnsi="Arial" w:cs="Arial"/>
          <w:sz w:val="22"/>
          <w:szCs w:val="22"/>
          <w:lang w:val="es-ES"/>
        </w:rPr>
        <w:t xml:space="preserve">insta </w:t>
      </w:r>
      <w:r w:rsidRPr="009B65AC">
        <w:rPr>
          <w:rFonts w:ascii="Arial" w:eastAsiaTheme="minorHAnsi" w:hAnsi="Arial" w:cs="Arial"/>
          <w:sz w:val="22"/>
          <w:szCs w:val="22"/>
          <w:lang w:val="es-ES"/>
        </w:rPr>
        <w:t>a las Partes que hayan presentado el cuestionario de Legislación Nacional y recibido un Perfil Legislativo Nacional de la Secretaría a adoptar las medidas apropiadas para implementar el Artículo III, Párrafo 5, de conformidad con las acciones recomendadas por la Secretaría, tal y como se indica en el Perfil Legislativo Nacional;</w:t>
      </w:r>
    </w:p>
    <w:p w14:paraId="36C8C858" w14:textId="77777777" w:rsidR="00DA5200" w:rsidRPr="009B65AC" w:rsidRDefault="00DA5200" w:rsidP="002D43F0">
      <w:pPr>
        <w:widowControl/>
        <w:autoSpaceDE/>
        <w:autoSpaceDN/>
        <w:ind w:left="1418" w:hanging="567"/>
        <w:jc w:val="both"/>
        <w:textAlignment w:val="auto"/>
        <w:rPr>
          <w:rFonts w:ascii="Arial" w:eastAsiaTheme="minorHAnsi" w:hAnsi="Arial" w:cs="Arial"/>
          <w:sz w:val="22"/>
          <w:szCs w:val="22"/>
          <w:lang w:val="es-ES"/>
        </w:rPr>
      </w:pPr>
    </w:p>
    <w:p w14:paraId="4FBAAEE3" w14:textId="77777777" w:rsidR="00DA5200" w:rsidRPr="009B65AC" w:rsidRDefault="00DA5200" w:rsidP="002D43F0">
      <w:pPr>
        <w:widowControl/>
        <w:numPr>
          <w:ilvl w:val="0"/>
          <w:numId w:val="7"/>
        </w:numPr>
        <w:autoSpaceDE/>
        <w:autoSpaceDN/>
        <w:ind w:left="1418" w:hanging="567"/>
        <w:jc w:val="both"/>
        <w:textAlignment w:val="auto"/>
        <w:rPr>
          <w:rFonts w:ascii="Arial" w:eastAsiaTheme="minorHAnsi" w:hAnsi="Arial" w:cs="Arial"/>
          <w:sz w:val="22"/>
          <w:szCs w:val="22"/>
          <w:lang w:val="es-ES"/>
        </w:rPr>
      </w:pPr>
      <w:r w:rsidRPr="009B65AC">
        <w:rPr>
          <w:rFonts w:ascii="Arial" w:eastAsiaTheme="minorHAnsi" w:hAnsi="Arial" w:cs="Arial"/>
          <w:sz w:val="22"/>
          <w:szCs w:val="22"/>
          <w:lang w:val="es-ES"/>
        </w:rPr>
        <w:lastRenderedPageBreak/>
        <w:t xml:space="preserve">A las Partes que no hayan completado y enviado el cuestionario se les anima a que lo hagan; </w:t>
      </w:r>
    </w:p>
    <w:p w14:paraId="47D408EA" w14:textId="77777777" w:rsidR="00DA5200" w:rsidRPr="009B65AC" w:rsidRDefault="00DA5200" w:rsidP="002D43F0">
      <w:pPr>
        <w:widowControl/>
        <w:autoSpaceDE/>
        <w:autoSpaceDN/>
        <w:ind w:left="1418" w:hanging="567"/>
        <w:jc w:val="both"/>
        <w:textAlignment w:val="auto"/>
        <w:rPr>
          <w:rFonts w:ascii="Arial" w:eastAsiaTheme="minorHAnsi" w:hAnsi="Arial" w:cs="Arial"/>
          <w:sz w:val="22"/>
          <w:szCs w:val="22"/>
          <w:lang w:val="es-ES"/>
        </w:rPr>
      </w:pPr>
    </w:p>
    <w:p w14:paraId="2C66D9AB" w14:textId="77777777" w:rsidR="00DA5200" w:rsidRPr="009B65AC" w:rsidRDefault="00DA5200" w:rsidP="002D43F0">
      <w:pPr>
        <w:widowControl/>
        <w:numPr>
          <w:ilvl w:val="0"/>
          <w:numId w:val="7"/>
        </w:numPr>
        <w:autoSpaceDE/>
        <w:autoSpaceDN/>
        <w:ind w:left="1418" w:hanging="567"/>
        <w:jc w:val="both"/>
        <w:textAlignment w:val="auto"/>
        <w:rPr>
          <w:rFonts w:ascii="Arial" w:eastAsia="Calibri" w:hAnsi="Arial" w:cs="Arial"/>
          <w:sz w:val="22"/>
          <w:szCs w:val="22"/>
          <w:lang w:val="es-ES"/>
        </w:rPr>
      </w:pPr>
      <w:r w:rsidRPr="009B65AC">
        <w:rPr>
          <w:rFonts w:ascii="Arial" w:eastAsia="Calibri" w:hAnsi="Arial" w:cs="Arial"/>
          <w:sz w:val="22"/>
          <w:szCs w:val="22"/>
          <w:lang w:val="es-ES"/>
        </w:rPr>
        <w:t>Se recuerda a las Partes que deben informar a la Secretaría de cualquier excepción que se haga en virtud del Apartado 5 del Artículo III de la Convención;</w:t>
      </w:r>
    </w:p>
    <w:p w14:paraId="00B934BD" w14:textId="77777777" w:rsidR="00DA5200" w:rsidRPr="009B65AC" w:rsidRDefault="00DA5200" w:rsidP="002D43F0">
      <w:pPr>
        <w:widowControl/>
        <w:autoSpaceDE/>
        <w:autoSpaceDN/>
        <w:ind w:left="720"/>
        <w:contextualSpacing/>
        <w:textAlignment w:val="auto"/>
        <w:rPr>
          <w:rFonts w:ascii="Arial" w:eastAsia="Calibri" w:hAnsi="Arial" w:cs="Arial"/>
          <w:sz w:val="22"/>
          <w:szCs w:val="22"/>
          <w:lang w:val="es-ES"/>
        </w:rPr>
      </w:pPr>
    </w:p>
    <w:p w14:paraId="252D3654" w14:textId="74BE8787" w:rsidR="00227282" w:rsidRPr="009B65AC" w:rsidRDefault="00DA5200" w:rsidP="002D43F0">
      <w:pPr>
        <w:widowControl/>
        <w:numPr>
          <w:ilvl w:val="0"/>
          <w:numId w:val="7"/>
        </w:numPr>
        <w:autoSpaceDE/>
        <w:autoSpaceDN/>
        <w:ind w:left="1418" w:hanging="567"/>
        <w:jc w:val="both"/>
        <w:textAlignment w:val="auto"/>
        <w:rPr>
          <w:rFonts w:ascii="Arial" w:eastAsia="Calibri" w:hAnsi="Arial" w:cs="Arial"/>
          <w:sz w:val="22"/>
          <w:szCs w:val="22"/>
          <w:lang w:val="es-ES"/>
        </w:rPr>
      </w:pPr>
      <w:r w:rsidRPr="009B65AC">
        <w:rPr>
          <w:rFonts w:ascii="Arial" w:eastAsia="Calibri" w:hAnsi="Arial" w:cs="Arial"/>
          <w:sz w:val="22"/>
          <w:szCs w:val="22"/>
          <w:lang w:val="es-ES"/>
        </w:rPr>
        <w:t>Se invita a las Partes a proporcionar apoyo financiero o técnico para continuar fortaleciendo los marcos jurídicos y la capacidad institucional mediante la implementación del Programa de Legislación Nacional y el Mecanismo de Revisión.</w:t>
      </w:r>
    </w:p>
    <w:sectPr w:rsidR="00227282" w:rsidRPr="009B65AC" w:rsidSect="00167384">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E2AC" w14:textId="77777777" w:rsidR="001B11E0" w:rsidRDefault="001B11E0">
      <w:r>
        <w:separator/>
      </w:r>
    </w:p>
  </w:endnote>
  <w:endnote w:type="continuationSeparator" w:id="0">
    <w:p w14:paraId="47235543" w14:textId="77777777" w:rsidR="001B11E0" w:rsidRDefault="001B11E0">
      <w:r>
        <w:continuationSeparator/>
      </w:r>
    </w:p>
  </w:endnote>
  <w:endnote w:type="continuationNotice" w:id="1">
    <w:p w14:paraId="35B5309F" w14:textId="77777777" w:rsidR="001B11E0" w:rsidRDefault="001B1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07D5" w14:textId="77777777" w:rsidR="001B11E0" w:rsidRDefault="001B11E0">
      <w:r>
        <w:rPr>
          <w:color w:val="000000"/>
        </w:rPr>
        <w:separator/>
      </w:r>
    </w:p>
  </w:footnote>
  <w:footnote w:type="continuationSeparator" w:id="0">
    <w:p w14:paraId="6E4208DC" w14:textId="77777777" w:rsidR="001B11E0" w:rsidRDefault="001B11E0">
      <w:r>
        <w:continuationSeparator/>
      </w:r>
    </w:p>
  </w:footnote>
  <w:footnote w:type="continuationNotice" w:id="1">
    <w:p w14:paraId="139AA850" w14:textId="77777777" w:rsidR="001B11E0" w:rsidRDefault="001B11E0"/>
  </w:footnote>
  <w:footnote w:id="2">
    <w:p w14:paraId="7E4924DC" w14:textId="77777777" w:rsidR="009F177F" w:rsidRPr="006D017A" w:rsidRDefault="009F177F" w:rsidP="009F177F">
      <w:pPr>
        <w:pStyle w:val="FootnoteText"/>
        <w:rPr>
          <w:rFonts w:cs="Arial"/>
          <w:sz w:val="16"/>
          <w:szCs w:val="16"/>
          <w:lang w:val="es-ES"/>
        </w:rPr>
      </w:pPr>
      <w:r w:rsidRPr="006D2346">
        <w:rPr>
          <w:rStyle w:val="FootnoteReference"/>
          <w:rFonts w:cs="Arial"/>
          <w:sz w:val="16"/>
          <w:szCs w:val="16"/>
          <w:lang w:val="es-ES"/>
        </w:rPr>
        <w:footnoteRef/>
      </w:r>
      <w:r w:rsidRPr="000C46FB">
        <w:rPr>
          <w:rFonts w:cs="Arial"/>
          <w:sz w:val="16"/>
          <w:szCs w:val="16"/>
          <w:lang w:val="es-ES"/>
        </w:rPr>
        <w:t xml:space="preserve"> Resolución 12.9, Sección I.A., Párrafo 3</w:t>
      </w:r>
    </w:p>
  </w:footnote>
  <w:footnote w:id="3">
    <w:p w14:paraId="5717FF4F" w14:textId="77777777" w:rsidR="009F177F" w:rsidRPr="006D017A" w:rsidRDefault="009F177F" w:rsidP="009F177F">
      <w:pPr>
        <w:pStyle w:val="FootnoteText"/>
        <w:jc w:val="both"/>
        <w:rPr>
          <w:rFonts w:cs="Arial"/>
          <w:sz w:val="16"/>
          <w:szCs w:val="16"/>
          <w:lang w:val="es-ES"/>
        </w:rPr>
      </w:pPr>
      <w:r w:rsidRPr="006D2346">
        <w:rPr>
          <w:rStyle w:val="FootnoteReference"/>
          <w:rFonts w:cs="Arial"/>
          <w:sz w:val="16"/>
          <w:szCs w:val="16"/>
          <w:lang w:val="es-ES"/>
        </w:rPr>
        <w:footnoteRef/>
      </w:r>
      <w:r w:rsidRPr="000C46FB">
        <w:rPr>
          <w:rFonts w:cs="Arial"/>
          <w:sz w:val="16"/>
          <w:szCs w:val="16"/>
          <w:lang w:val="es-ES"/>
        </w:rPr>
        <w:t xml:space="preserve"> Resolución 12.9, Sección I.A., Párrafo 3</w:t>
      </w:r>
    </w:p>
  </w:footnote>
  <w:footnote w:id="4">
    <w:p w14:paraId="4EAA6F69" w14:textId="77777777" w:rsidR="009F177F" w:rsidRPr="006D017A" w:rsidRDefault="009F177F" w:rsidP="009F177F">
      <w:pPr>
        <w:pStyle w:val="FootnoteText"/>
        <w:jc w:val="both"/>
        <w:rPr>
          <w:rFonts w:cs="Arial"/>
          <w:sz w:val="16"/>
          <w:szCs w:val="16"/>
          <w:lang w:val="es-ES"/>
        </w:rPr>
      </w:pPr>
      <w:r w:rsidRPr="006D2346">
        <w:rPr>
          <w:rStyle w:val="FootnoteReference"/>
          <w:rFonts w:cs="Arial"/>
          <w:sz w:val="16"/>
          <w:szCs w:val="16"/>
          <w:lang w:val="es-ES"/>
        </w:rPr>
        <w:footnoteRef/>
      </w:r>
      <w:r w:rsidRPr="006D2346">
        <w:rPr>
          <w:rFonts w:cs="Arial"/>
          <w:sz w:val="16"/>
          <w:szCs w:val="16"/>
          <w:lang w:val="es-ES"/>
        </w:rPr>
        <w:t xml:space="preserve"> Resolución 12.9, Sección I.C., Párrafo 3</w:t>
      </w:r>
    </w:p>
  </w:footnote>
  <w:footnote w:id="5">
    <w:p w14:paraId="7B80F6B1" w14:textId="77777777" w:rsidR="009F177F" w:rsidRPr="006D017A" w:rsidRDefault="009F177F" w:rsidP="009F177F">
      <w:pPr>
        <w:pStyle w:val="FootnoteText"/>
        <w:jc w:val="both"/>
        <w:rPr>
          <w:rFonts w:cs="Arial"/>
          <w:lang w:val="es-ES"/>
        </w:rPr>
      </w:pPr>
      <w:r w:rsidRPr="006D2346">
        <w:rPr>
          <w:rStyle w:val="FootnoteReference"/>
          <w:rFonts w:cs="Arial"/>
          <w:sz w:val="16"/>
          <w:szCs w:val="16"/>
          <w:lang w:val="es-ES"/>
        </w:rPr>
        <w:footnoteRef/>
      </w:r>
      <w:r w:rsidRPr="006D2346">
        <w:rPr>
          <w:rFonts w:cs="Arial"/>
          <w:sz w:val="16"/>
          <w:szCs w:val="16"/>
          <w:lang w:val="es-ES"/>
        </w:rPr>
        <w:t xml:space="preserve"> Resolución 12.9, Sección I.F., Párrafo 4</w:t>
      </w:r>
    </w:p>
  </w:footnote>
  <w:footnote w:id="6">
    <w:p w14:paraId="1D84E58E" w14:textId="77777777" w:rsidR="009F177F" w:rsidRPr="006D017A" w:rsidRDefault="009F177F" w:rsidP="009F177F">
      <w:pPr>
        <w:pStyle w:val="FootnoteText"/>
        <w:jc w:val="both"/>
        <w:rPr>
          <w:rFonts w:cs="Arial"/>
          <w:sz w:val="16"/>
          <w:szCs w:val="16"/>
          <w:lang w:val="es-ES"/>
        </w:rPr>
      </w:pPr>
      <w:r w:rsidRPr="006D2346">
        <w:rPr>
          <w:rStyle w:val="FootnoteReference"/>
          <w:rFonts w:cs="Arial"/>
          <w:sz w:val="16"/>
          <w:szCs w:val="16"/>
          <w:lang w:val="es-ES"/>
        </w:rPr>
        <w:footnoteRef/>
      </w:r>
      <w:r w:rsidRPr="006D2346">
        <w:rPr>
          <w:rFonts w:cs="Arial"/>
          <w:sz w:val="16"/>
          <w:szCs w:val="16"/>
          <w:lang w:val="es-ES"/>
        </w:rPr>
        <w:t xml:space="preserve"> </w:t>
      </w:r>
      <w:r>
        <w:rPr>
          <w:rFonts w:cs="Arial"/>
          <w:sz w:val="16"/>
          <w:szCs w:val="16"/>
          <w:lang w:val="es-ES"/>
        </w:rPr>
        <w:t>Véase</w:t>
      </w:r>
      <w:r w:rsidRPr="006D2346">
        <w:rPr>
          <w:rFonts w:cs="Arial"/>
          <w:sz w:val="16"/>
          <w:szCs w:val="16"/>
          <w:vertAlign w:val="superscript"/>
          <w:lang w:val="es-ES"/>
        </w:rPr>
        <w:t xml:space="preserve"> </w:t>
      </w:r>
      <w:r w:rsidRPr="006D2346">
        <w:rPr>
          <w:rFonts w:cs="Arial"/>
          <w:sz w:val="16"/>
          <w:szCs w:val="16"/>
          <w:lang w:val="es-ES"/>
        </w:rPr>
        <w:t>Anexo a UNEP/CMS/StC53/Doc.16 sobre el Expediente N.º 1</w:t>
      </w:r>
    </w:p>
  </w:footnote>
  <w:footnote w:id="7">
    <w:p w14:paraId="0E6738CE" w14:textId="77777777" w:rsidR="009F177F" w:rsidRPr="006D017A" w:rsidRDefault="009F177F" w:rsidP="009F177F">
      <w:pPr>
        <w:pStyle w:val="FootnoteText"/>
        <w:jc w:val="both"/>
        <w:rPr>
          <w:rFonts w:cs="Arial"/>
          <w:sz w:val="16"/>
          <w:szCs w:val="16"/>
          <w:lang w:val="es-ES"/>
        </w:rPr>
      </w:pPr>
      <w:r w:rsidRPr="006D2346">
        <w:rPr>
          <w:rStyle w:val="FootnoteReference"/>
          <w:rFonts w:cs="Arial"/>
          <w:sz w:val="16"/>
          <w:szCs w:val="16"/>
          <w:lang w:val="es-ES"/>
        </w:rPr>
        <w:footnoteRef/>
      </w:r>
      <w:r w:rsidRPr="006D2346">
        <w:rPr>
          <w:rFonts w:cs="Arial"/>
          <w:sz w:val="16"/>
          <w:szCs w:val="16"/>
          <w:lang w:val="es-ES"/>
        </w:rPr>
        <w:t>Informe de la 53.</w:t>
      </w:r>
      <w:r w:rsidRPr="006D2346">
        <w:rPr>
          <w:rFonts w:cs="Arial"/>
          <w:sz w:val="16"/>
          <w:szCs w:val="16"/>
          <w:vertAlign w:val="superscript"/>
          <w:lang w:val="es-ES"/>
        </w:rPr>
        <w:t>a</w:t>
      </w:r>
      <w:r w:rsidRPr="006D2346">
        <w:rPr>
          <w:rFonts w:cs="Arial"/>
          <w:sz w:val="16"/>
          <w:szCs w:val="16"/>
          <w:lang w:val="es-ES"/>
        </w:rPr>
        <w:t xml:space="preserve"> reunión del StC, Párrafos 120 y 125</w:t>
      </w:r>
    </w:p>
  </w:footnote>
  <w:footnote w:id="8">
    <w:p w14:paraId="28FADD80" w14:textId="77777777" w:rsidR="009F177F" w:rsidRPr="006D017A" w:rsidRDefault="009F177F" w:rsidP="009F177F">
      <w:pPr>
        <w:pStyle w:val="FootnoteText"/>
        <w:jc w:val="both"/>
        <w:rPr>
          <w:rFonts w:cs="Arial"/>
          <w:sz w:val="16"/>
          <w:szCs w:val="16"/>
          <w:lang w:val="es-ES"/>
        </w:rPr>
      </w:pPr>
      <w:r w:rsidRPr="006D2346">
        <w:rPr>
          <w:rStyle w:val="FootnoteReference"/>
          <w:rFonts w:cs="Arial"/>
          <w:sz w:val="16"/>
          <w:szCs w:val="16"/>
          <w:lang w:val="es-ES"/>
        </w:rPr>
        <w:footnoteRef/>
      </w:r>
      <w:r w:rsidRPr="006D2346">
        <w:rPr>
          <w:rFonts w:cs="Arial"/>
          <w:sz w:val="16"/>
          <w:szCs w:val="16"/>
          <w:lang w:val="es-ES"/>
        </w:rPr>
        <w:t xml:space="preserve"> Resolución 12.9, Sección I.C., Párrafo 5</w:t>
      </w:r>
    </w:p>
  </w:footnote>
  <w:footnote w:id="9">
    <w:p w14:paraId="3B1046DA" w14:textId="77777777" w:rsidR="009F177F" w:rsidRPr="006D017A" w:rsidRDefault="009F177F" w:rsidP="009F177F">
      <w:pPr>
        <w:pStyle w:val="FootnoteText"/>
        <w:jc w:val="both"/>
        <w:rPr>
          <w:sz w:val="16"/>
          <w:szCs w:val="16"/>
          <w:lang w:val="es-ES"/>
        </w:rPr>
      </w:pPr>
      <w:r w:rsidRPr="006D2346">
        <w:rPr>
          <w:rStyle w:val="FootnoteReference"/>
          <w:rFonts w:cs="Arial"/>
          <w:sz w:val="16"/>
          <w:szCs w:val="16"/>
          <w:lang w:val="es-ES"/>
        </w:rPr>
        <w:footnoteRef/>
      </w:r>
      <w:r w:rsidRPr="006D2346">
        <w:rPr>
          <w:rFonts w:cs="Arial"/>
          <w:sz w:val="16"/>
          <w:szCs w:val="16"/>
          <w:lang w:val="es-ES"/>
        </w:rPr>
        <w:t xml:space="preserve"> Véase, por ejemplo, el Párrafo C.9. del documento T-PVS/Inf (2022)28 «Sistema de expedientes: Propuestas para aumentar la eficiencia y eficacia del sistema de expedientes en el futuro», Convenio sobre la Conservación de la Vida Silvestre y el Hábitat Natural de Europa.</w:t>
      </w:r>
    </w:p>
  </w:footnote>
  <w:footnote w:id="10">
    <w:p w14:paraId="7A7ADA61" w14:textId="77777777" w:rsidR="009F177F" w:rsidRPr="001C3153" w:rsidRDefault="009F177F" w:rsidP="009F177F">
      <w:pPr>
        <w:pStyle w:val="FootnoteText"/>
        <w:jc w:val="both"/>
        <w:rPr>
          <w:rFonts w:cs="Arial"/>
          <w:sz w:val="16"/>
          <w:szCs w:val="16"/>
          <w:lang w:val="es-ES"/>
        </w:rPr>
      </w:pPr>
      <w:r w:rsidRPr="001C3153">
        <w:rPr>
          <w:rStyle w:val="FootnoteReference"/>
          <w:rFonts w:cs="Arial"/>
          <w:sz w:val="16"/>
          <w:szCs w:val="16"/>
          <w:lang w:val="es-ES"/>
        </w:rPr>
        <w:footnoteRef/>
      </w:r>
      <w:r w:rsidRPr="001C3153">
        <w:rPr>
          <w:rFonts w:cs="Arial"/>
          <w:sz w:val="16"/>
          <w:szCs w:val="16"/>
          <w:lang w:val="es-ES"/>
        </w:rPr>
        <w:t xml:space="preserve"> Véase Resolución 12.9, Sección I.C., Párrafo 5</w:t>
      </w:r>
    </w:p>
  </w:footnote>
  <w:footnote w:id="11">
    <w:p w14:paraId="5618BC7D" w14:textId="77777777" w:rsidR="009F177F" w:rsidRPr="001C3153" w:rsidRDefault="009F177F" w:rsidP="009F177F">
      <w:pPr>
        <w:pStyle w:val="FootnoteText"/>
        <w:jc w:val="both"/>
        <w:rPr>
          <w:rFonts w:cs="Arial"/>
          <w:sz w:val="16"/>
          <w:szCs w:val="16"/>
          <w:lang w:val="es-ES"/>
        </w:rPr>
      </w:pPr>
      <w:r w:rsidRPr="001C3153">
        <w:rPr>
          <w:rStyle w:val="FootnoteReference"/>
          <w:rFonts w:cs="Arial"/>
          <w:sz w:val="16"/>
          <w:szCs w:val="16"/>
          <w:lang w:val="es-ES"/>
        </w:rPr>
        <w:footnoteRef/>
      </w:r>
      <w:r w:rsidRPr="001C3153">
        <w:rPr>
          <w:rFonts w:cs="Arial"/>
          <w:sz w:val="16"/>
          <w:szCs w:val="16"/>
          <w:lang w:val="es-ES"/>
        </w:rPr>
        <w:t xml:space="preserve"> Resolución 12.9, Sección I.F., Párrafo 6(a).</w:t>
      </w:r>
    </w:p>
  </w:footnote>
  <w:footnote w:id="12">
    <w:p w14:paraId="0E03EDFE" w14:textId="77777777" w:rsidR="009F177F" w:rsidRPr="001C3153" w:rsidRDefault="009F177F" w:rsidP="009F177F">
      <w:pPr>
        <w:pStyle w:val="FootnoteText"/>
        <w:jc w:val="both"/>
        <w:rPr>
          <w:rFonts w:cs="Arial"/>
          <w:sz w:val="16"/>
          <w:szCs w:val="16"/>
          <w:lang w:val="es-ES"/>
        </w:rPr>
      </w:pPr>
      <w:r w:rsidRPr="001C3153">
        <w:rPr>
          <w:rStyle w:val="FootnoteReference"/>
          <w:rFonts w:cs="Arial"/>
          <w:sz w:val="16"/>
          <w:szCs w:val="16"/>
          <w:lang w:val="es-ES"/>
        </w:rPr>
        <w:footnoteRef/>
      </w:r>
      <w:r w:rsidRPr="001C3153">
        <w:rPr>
          <w:rFonts w:cs="Arial"/>
          <w:sz w:val="16"/>
          <w:szCs w:val="16"/>
          <w:lang w:val="es-ES"/>
        </w:rPr>
        <w:t xml:space="preserve"> Resolución 12.9, Sección I.F., Párrafo 6(g).</w:t>
      </w:r>
    </w:p>
  </w:footnote>
  <w:footnote w:id="13">
    <w:p w14:paraId="47CDCFF0" w14:textId="77777777" w:rsidR="009F177F" w:rsidRPr="001C3153" w:rsidRDefault="009F177F" w:rsidP="009F177F">
      <w:pPr>
        <w:pStyle w:val="FootnoteText"/>
        <w:jc w:val="both"/>
        <w:rPr>
          <w:rFonts w:cs="Arial"/>
          <w:sz w:val="16"/>
          <w:szCs w:val="16"/>
          <w:lang w:val="es-ES"/>
        </w:rPr>
      </w:pPr>
      <w:r w:rsidRPr="001C3153">
        <w:rPr>
          <w:rStyle w:val="FootnoteReference"/>
          <w:rFonts w:cs="Arial"/>
          <w:sz w:val="16"/>
          <w:szCs w:val="16"/>
          <w:lang w:val="es-ES"/>
        </w:rPr>
        <w:footnoteRef/>
      </w:r>
      <w:r w:rsidRPr="001C3153">
        <w:rPr>
          <w:rFonts w:cs="Arial"/>
          <w:sz w:val="16"/>
          <w:szCs w:val="16"/>
          <w:lang w:val="es-ES"/>
        </w:rPr>
        <w:t xml:space="preserve"> La Secretaría desestimará la información presentada por ser «trivial» cuando tenga poca importancia para el cumplimiento de las obligaciones establecidas en los Artículos III.4, III.5, III.7 y VI.2 de la Convención. Se considerará que una información es «infundada» cuando no esté basada en pruebas o indicios adecuados, o no se base en hechos o en la verdad.</w:t>
      </w:r>
    </w:p>
  </w:footnote>
  <w:footnote w:id="14">
    <w:p w14:paraId="3DAEF989" w14:textId="77777777" w:rsidR="009F177F" w:rsidRPr="006D017A" w:rsidRDefault="009F177F" w:rsidP="009F177F">
      <w:pPr>
        <w:pStyle w:val="FootnoteText"/>
        <w:jc w:val="both"/>
        <w:rPr>
          <w:lang w:val="es-ES"/>
        </w:rPr>
      </w:pPr>
      <w:r w:rsidRPr="001C3153">
        <w:rPr>
          <w:rStyle w:val="FootnoteReference"/>
          <w:rFonts w:cs="Arial"/>
          <w:sz w:val="16"/>
          <w:szCs w:val="16"/>
          <w:lang w:val="es-ES"/>
        </w:rPr>
        <w:footnoteRef/>
      </w:r>
      <w:r w:rsidRPr="001C3153">
        <w:rPr>
          <w:rFonts w:cs="Arial"/>
          <w:sz w:val="16"/>
          <w:szCs w:val="16"/>
          <w:lang w:val="es-ES"/>
        </w:rPr>
        <w:t xml:space="preserve"> De acuerdo con la Resolución 12.9, Sección I.C., Párrafo 3,</w:t>
      </w:r>
    </w:p>
  </w:footnote>
  <w:footnote w:id="15">
    <w:p w14:paraId="7CA7E451" w14:textId="77777777" w:rsidR="009F177F" w:rsidRPr="00EE46C1" w:rsidRDefault="009F177F" w:rsidP="009F177F">
      <w:pPr>
        <w:pStyle w:val="FootnoteText"/>
        <w:jc w:val="both"/>
        <w:rPr>
          <w:rFonts w:cs="Arial"/>
          <w:sz w:val="16"/>
          <w:szCs w:val="16"/>
          <w:lang w:val="es-ES"/>
        </w:rPr>
      </w:pPr>
      <w:r w:rsidRPr="00EE46C1">
        <w:rPr>
          <w:rStyle w:val="FootnoteReference"/>
          <w:rFonts w:cs="Arial"/>
          <w:sz w:val="16"/>
          <w:szCs w:val="16"/>
          <w:lang w:val="es-ES"/>
        </w:rPr>
        <w:footnoteRef/>
      </w:r>
      <w:r w:rsidRPr="00EE46C1">
        <w:rPr>
          <w:rFonts w:cs="Arial"/>
          <w:sz w:val="16"/>
          <w:szCs w:val="16"/>
          <w:lang w:val="es-ES"/>
        </w:rPr>
        <w:t xml:space="preserve"> Resolución 12.9, Sección C.I., Párrafos 1(b) y 4, </w:t>
      </w:r>
    </w:p>
  </w:footnote>
  <w:footnote w:id="16">
    <w:p w14:paraId="4FEEF8AD" w14:textId="77777777" w:rsidR="009F177F" w:rsidRPr="00EE46C1" w:rsidRDefault="009F177F" w:rsidP="009F177F">
      <w:pPr>
        <w:pStyle w:val="FootnoteText"/>
        <w:jc w:val="both"/>
        <w:rPr>
          <w:rFonts w:cs="Arial"/>
          <w:sz w:val="16"/>
          <w:szCs w:val="16"/>
          <w:lang w:val="es-ES"/>
        </w:rPr>
      </w:pPr>
      <w:r w:rsidRPr="00EE46C1">
        <w:rPr>
          <w:rStyle w:val="FootnoteReference"/>
          <w:rFonts w:cs="Arial"/>
          <w:sz w:val="16"/>
          <w:szCs w:val="16"/>
          <w:lang w:val="es-ES"/>
        </w:rPr>
        <w:footnoteRef/>
      </w:r>
      <w:r w:rsidRPr="00EE46C1">
        <w:rPr>
          <w:rFonts w:cs="Arial"/>
          <w:sz w:val="16"/>
          <w:szCs w:val="16"/>
          <w:lang w:val="es-ES"/>
        </w:rPr>
        <w:t xml:space="preserve"> Resolución 12.9, Sección C.I., Párrafo 4</w:t>
      </w:r>
    </w:p>
  </w:footnote>
  <w:footnote w:id="17">
    <w:p w14:paraId="1DC6EB6D" w14:textId="77777777" w:rsidR="009F177F" w:rsidRPr="00EE46C1" w:rsidRDefault="009F177F" w:rsidP="009F177F">
      <w:pPr>
        <w:pStyle w:val="FootnoteText"/>
        <w:jc w:val="both"/>
        <w:rPr>
          <w:rFonts w:cs="Arial"/>
          <w:sz w:val="16"/>
          <w:szCs w:val="16"/>
          <w:lang w:val="es-ES"/>
        </w:rPr>
      </w:pPr>
      <w:r w:rsidRPr="00EE46C1">
        <w:rPr>
          <w:rStyle w:val="FootnoteReference"/>
          <w:rFonts w:cs="Arial"/>
          <w:sz w:val="16"/>
          <w:szCs w:val="16"/>
          <w:lang w:val="es-ES"/>
        </w:rPr>
        <w:footnoteRef/>
      </w:r>
      <w:r w:rsidRPr="00EE46C1">
        <w:rPr>
          <w:rFonts w:cs="Arial"/>
          <w:sz w:val="16"/>
          <w:szCs w:val="16"/>
          <w:lang w:val="es-ES"/>
        </w:rPr>
        <w:t xml:space="preserve"> Véase el informe «Proceso de Revisión de la Implementación del AEWA (IRP): Una Misión de Evaluación Conjunta in situ por el Convenio de Berna, el AEWA y la CMS». Del 29 de agosto al 2 de septiembre de 2022. </w:t>
      </w:r>
      <w:hyperlink r:id="rId1" w:history="1">
        <w:r w:rsidRPr="00EE46C1">
          <w:rPr>
            <w:rStyle w:val="Hyperlink"/>
            <w:rFonts w:cs="Arial"/>
            <w:sz w:val="16"/>
            <w:szCs w:val="16"/>
            <w:lang w:val="es-ES"/>
          </w:rPr>
          <w:t>https://www.unep-aewa.org/sites/default/files/uploads/aewa_final_albania_irp_report_0.pdf</w:t>
        </w:r>
      </w:hyperlink>
    </w:p>
  </w:footnote>
  <w:footnote w:id="18">
    <w:p w14:paraId="7342819F" w14:textId="77777777" w:rsidR="009F177F" w:rsidRPr="006D017A" w:rsidRDefault="009F177F" w:rsidP="009F177F">
      <w:pPr>
        <w:pStyle w:val="FootnoteText"/>
        <w:jc w:val="both"/>
        <w:rPr>
          <w:rFonts w:cs="Arial"/>
          <w:sz w:val="16"/>
          <w:szCs w:val="16"/>
          <w:lang w:val="es-ES"/>
        </w:rPr>
      </w:pPr>
      <w:r w:rsidRPr="00EE46C1">
        <w:rPr>
          <w:rStyle w:val="FootnoteReference"/>
          <w:rFonts w:cs="Arial"/>
          <w:sz w:val="16"/>
          <w:szCs w:val="16"/>
          <w:lang w:val="es-ES"/>
        </w:rPr>
        <w:footnoteRef/>
      </w:r>
      <w:r w:rsidRPr="00EE46C1">
        <w:rPr>
          <w:rFonts w:cs="Arial"/>
          <w:sz w:val="16"/>
          <w:szCs w:val="16"/>
          <w:lang w:val="es-ES"/>
        </w:rPr>
        <w:t xml:space="preserve"> Res</w:t>
      </w:r>
      <w:r w:rsidRPr="001C3153">
        <w:rPr>
          <w:rFonts w:cs="Arial"/>
          <w:sz w:val="16"/>
          <w:szCs w:val="16"/>
          <w:lang w:val="es-ES"/>
        </w:rPr>
        <w:t>olución 12.9, Sección I.A., Párrafo 2.</w:t>
      </w:r>
    </w:p>
  </w:footnote>
  <w:footnote w:id="19">
    <w:p w14:paraId="5973A679" w14:textId="77777777" w:rsidR="009F177F" w:rsidRPr="006D017A" w:rsidRDefault="009F177F" w:rsidP="009F177F">
      <w:pPr>
        <w:pStyle w:val="FootnoteText"/>
        <w:rPr>
          <w:lang w:val="es-ES"/>
        </w:rPr>
      </w:pPr>
      <w:r w:rsidRPr="00AB59C5">
        <w:rPr>
          <w:rStyle w:val="FootnoteReference"/>
          <w:rFonts w:cs="Arial"/>
          <w:sz w:val="16"/>
          <w:szCs w:val="16"/>
        </w:rPr>
        <w:footnoteRef/>
      </w:r>
      <w:r w:rsidRPr="006D017A">
        <w:rPr>
          <w:rFonts w:cs="Arial"/>
          <w:sz w:val="16"/>
          <w:szCs w:val="16"/>
          <w:lang w:val="es-ES"/>
        </w:rPr>
        <w:t xml:space="preserve"> Resolución 12.9, Sección I.A., Párrafo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758511CE" w:rsidR="0041439A" w:rsidRPr="00CA2E19"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CA2E19">
      <w:rPr>
        <w:rFonts w:ascii="Arial" w:hAnsi="Arial" w:cs="Arial"/>
        <w:i/>
        <w:sz w:val="18"/>
        <w:szCs w:val="18"/>
        <w:lang w:val="en-GB"/>
      </w:rPr>
      <w:t>UNEP/CMS/COP1</w:t>
    </w:r>
    <w:r w:rsidR="00227282" w:rsidRPr="00CA2E19">
      <w:rPr>
        <w:rFonts w:ascii="Arial" w:hAnsi="Arial" w:cs="Arial"/>
        <w:i/>
        <w:sz w:val="18"/>
        <w:szCs w:val="18"/>
        <w:lang w:val="en-GB"/>
      </w:rPr>
      <w:t>4</w:t>
    </w:r>
    <w:r w:rsidRPr="00CA2E19">
      <w:rPr>
        <w:rFonts w:ascii="Arial" w:hAnsi="Arial" w:cs="Arial"/>
        <w:i/>
        <w:sz w:val="18"/>
        <w:szCs w:val="18"/>
        <w:lang w:val="en-GB"/>
      </w:rPr>
      <w:t>/CRP</w:t>
    </w:r>
    <w:r w:rsidR="00DA5200" w:rsidRPr="00CA2E19">
      <w:rPr>
        <w:rFonts w:ascii="Arial" w:hAnsi="Arial" w:cs="Arial"/>
        <w:i/>
        <w:sz w:val="18"/>
        <w:szCs w:val="18"/>
        <w:lang w:val="en-GB"/>
      </w:rPr>
      <w:t>24</w:t>
    </w:r>
    <w:r w:rsidR="003E2FE9">
      <w:rPr>
        <w:rFonts w:ascii="Arial" w:hAnsi="Arial" w:cs="Arial"/>
        <w:i/>
        <w:sz w:val="18"/>
        <w:szCs w:val="18"/>
        <w:lang w:val="en-GB"/>
      </w:rPr>
      <w:t>/Rev.1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5613BBCA" w:rsidR="0041439A" w:rsidRPr="002D43F0"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2D43F0">
      <w:rPr>
        <w:rFonts w:ascii="Arial" w:hAnsi="Arial" w:cs="Arial"/>
        <w:i/>
        <w:sz w:val="18"/>
        <w:szCs w:val="18"/>
        <w:lang w:val="en-GB"/>
      </w:rPr>
      <w:t>UNEP/CMS/COP1</w:t>
    </w:r>
    <w:r w:rsidR="00227282" w:rsidRPr="002D43F0">
      <w:rPr>
        <w:rFonts w:ascii="Arial" w:hAnsi="Arial" w:cs="Arial"/>
        <w:i/>
        <w:sz w:val="18"/>
        <w:szCs w:val="18"/>
        <w:lang w:val="en-GB"/>
      </w:rPr>
      <w:t>4</w:t>
    </w:r>
    <w:r w:rsidRPr="002D43F0">
      <w:rPr>
        <w:rFonts w:ascii="Arial" w:hAnsi="Arial" w:cs="Arial"/>
        <w:i/>
        <w:sz w:val="18"/>
        <w:szCs w:val="18"/>
        <w:lang w:val="en-GB"/>
      </w:rPr>
      <w:t>/CRP</w:t>
    </w:r>
    <w:r w:rsidR="00DA5200" w:rsidRPr="002D43F0">
      <w:rPr>
        <w:rFonts w:ascii="Arial" w:hAnsi="Arial" w:cs="Arial"/>
        <w:i/>
        <w:sz w:val="18"/>
        <w:szCs w:val="18"/>
        <w:lang w:val="en-GB"/>
      </w:rPr>
      <w:t>24</w:t>
    </w:r>
    <w:r w:rsidR="009E69F0">
      <w:rPr>
        <w:rFonts w:ascii="Arial" w:hAnsi="Arial" w:cs="Arial"/>
        <w:i/>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340F179C" w:rsidR="007A1066" w:rsidRPr="00CA2E1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A2E19">
      <w:rPr>
        <w:rFonts w:ascii="Arial" w:hAnsi="Arial" w:cs="Arial"/>
        <w:bCs/>
        <w:i/>
        <w:iCs/>
        <w:sz w:val="18"/>
        <w:szCs w:val="18"/>
        <w:lang w:val="en-GB"/>
      </w:rPr>
      <w:t>UNEP/CMS/COP1</w:t>
    </w:r>
    <w:r w:rsidR="001125D7" w:rsidRPr="00CA2E19">
      <w:rPr>
        <w:rFonts w:ascii="Arial" w:hAnsi="Arial" w:cs="Arial"/>
        <w:bCs/>
        <w:i/>
        <w:iCs/>
        <w:sz w:val="18"/>
        <w:szCs w:val="18"/>
        <w:lang w:val="en-GB"/>
      </w:rPr>
      <w:t>4</w:t>
    </w:r>
    <w:r w:rsidRPr="00CA2E19">
      <w:rPr>
        <w:rFonts w:ascii="Arial" w:hAnsi="Arial" w:cs="Arial"/>
        <w:bCs/>
        <w:i/>
        <w:iCs/>
        <w:sz w:val="18"/>
        <w:szCs w:val="18"/>
        <w:lang w:val="en-GB"/>
      </w:rPr>
      <w:t>/CRP</w:t>
    </w:r>
    <w:r w:rsidR="004A7024" w:rsidRPr="00CA2E19">
      <w:rPr>
        <w:rFonts w:ascii="Arial" w:hAnsi="Arial" w:cs="Arial"/>
        <w:bCs/>
        <w:i/>
        <w:iCs/>
        <w:sz w:val="18"/>
        <w:szCs w:val="18"/>
        <w:lang w:val="en-GB"/>
      </w:rPr>
      <w:t>24</w:t>
    </w:r>
    <w:r w:rsidR="003E2FE9">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17617"/>
    <w:multiLevelType w:val="hybridMultilevel"/>
    <w:tmpl w:val="30EC3C50"/>
    <w:lvl w:ilvl="0" w:tplc="AA7025B2">
      <w:start w:val="1"/>
      <w:numFmt w:val="lowerRoman"/>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 w15:restartNumberingAfterBreak="0">
    <w:nsid w:val="36AC2060"/>
    <w:multiLevelType w:val="hybridMultilevel"/>
    <w:tmpl w:val="DFA08444"/>
    <w:lvl w:ilvl="0" w:tplc="60667D3A">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1814080"/>
    <w:multiLevelType w:val="hybridMultilevel"/>
    <w:tmpl w:val="7BDE81EA"/>
    <w:lvl w:ilvl="0" w:tplc="67049A7E">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45409"/>
    <w:multiLevelType w:val="hybridMultilevel"/>
    <w:tmpl w:val="52760084"/>
    <w:lvl w:ilvl="0" w:tplc="AA7025B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A329F3"/>
    <w:multiLevelType w:val="hybridMultilevel"/>
    <w:tmpl w:val="940030C0"/>
    <w:lvl w:ilvl="0" w:tplc="AA7025B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34554"/>
    <w:multiLevelType w:val="hybridMultilevel"/>
    <w:tmpl w:val="BD0E65B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BF75FAB"/>
    <w:multiLevelType w:val="hybridMultilevel"/>
    <w:tmpl w:val="C3B8242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6DE36E43"/>
    <w:multiLevelType w:val="hybridMultilevel"/>
    <w:tmpl w:val="C3B8242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872425857">
    <w:abstractNumId w:val="2"/>
  </w:num>
  <w:num w:numId="2" w16cid:durableId="1980069070">
    <w:abstractNumId w:val="4"/>
  </w:num>
  <w:num w:numId="3" w16cid:durableId="1312178354">
    <w:abstractNumId w:val="1"/>
  </w:num>
  <w:num w:numId="4" w16cid:durableId="1940946569">
    <w:abstractNumId w:val="3"/>
  </w:num>
  <w:num w:numId="5" w16cid:durableId="1836846594">
    <w:abstractNumId w:val="0"/>
  </w:num>
  <w:num w:numId="6" w16cid:durableId="1567108633">
    <w:abstractNumId w:val="7"/>
  </w:num>
  <w:num w:numId="7" w16cid:durableId="478616912">
    <w:abstractNumId w:val="5"/>
  </w:num>
  <w:num w:numId="8" w16cid:durableId="566961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0516"/>
    <w:rsid w:val="000B0D60"/>
    <w:rsid w:val="001125D7"/>
    <w:rsid w:val="00167384"/>
    <w:rsid w:val="001B11E0"/>
    <w:rsid w:val="00223A82"/>
    <w:rsid w:val="002243FE"/>
    <w:rsid w:val="00227282"/>
    <w:rsid w:val="002B0F1C"/>
    <w:rsid w:val="002D43F0"/>
    <w:rsid w:val="003B3037"/>
    <w:rsid w:val="003E2FE9"/>
    <w:rsid w:val="003F1AD8"/>
    <w:rsid w:val="0041439A"/>
    <w:rsid w:val="0043102F"/>
    <w:rsid w:val="004A7024"/>
    <w:rsid w:val="004D5839"/>
    <w:rsid w:val="005645C4"/>
    <w:rsid w:val="0058757D"/>
    <w:rsid w:val="005D43E4"/>
    <w:rsid w:val="005F0639"/>
    <w:rsid w:val="006A58AC"/>
    <w:rsid w:val="007A1066"/>
    <w:rsid w:val="00853C6A"/>
    <w:rsid w:val="00854A80"/>
    <w:rsid w:val="00951546"/>
    <w:rsid w:val="009B65AC"/>
    <w:rsid w:val="009E69F0"/>
    <w:rsid w:val="009F177F"/>
    <w:rsid w:val="00A53CE6"/>
    <w:rsid w:val="00A96D6A"/>
    <w:rsid w:val="00AA138B"/>
    <w:rsid w:val="00B217B5"/>
    <w:rsid w:val="00C50E62"/>
    <w:rsid w:val="00C70E9C"/>
    <w:rsid w:val="00CA2E19"/>
    <w:rsid w:val="00D41607"/>
    <w:rsid w:val="00D50F95"/>
    <w:rsid w:val="00D82C56"/>
    <w:rsid w:val="00DA5200"/>
    <w:rsid w:val="00E45B44"/>
    <w:rsid w:val="00E829C9"/>
    <w:rsid w:val="00ED41D7"/>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Hyperlink">
    <w:name w:val="Hyperlink"/>
    <w:basedOn w:val="DefaultParagraphFont"/>
    <w:uiPriority w:val="99"/>
    <w:unhideWhenUsed/>
    <w:rsid w:val="009F177F"/>
    <w:rPr>
      <w:color w:val="0563C1" w:themeColor="hyperlink"/>
      <w:u w:val="single"/>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
    <w:link w:val="FootnotesymbolCarZchn"/>
    <w:qFormat/>
    <w:rsid w:val="009F177F"/>
  </w:style>
  <w:style w:type="paragraph" w:styleId="FootnoteText">
    <w:name w:val="footnote text"/>
    <w:aliases w:val="fn,Footnote text,Reference,Fußnote,Footnote Text Char Char,Footnote Text Char Char Char Char,Footnote Text1,Footnote Text Char Char Char,Fu§notentext Char,Fu§notentext Char1 Char1,Fu§notentext Char Char Char Char,o,Fußn,Fußnotentextf,f,ft"/>
    <w:basedOn w:val="Normal"/>
    <w:link w:val="FootnoteTextChar"/>
    <w:uiPriority w:val="99"/>
    <w:unhideWhenUsed/>
    <w:qFormat/>
    <w:rsid w:val="009F177F"/>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aliases w:val="fn Char,Footnote text Char,Reference Char,Fußnote Char,Footnote Text Char Char Char1,Footnote Text Char Char Char Char Char,Footnote Text1 Char,Footnote Text Char Char Char Char1,Fu§notentext Char Char,Fu§notentext Char1 Char1 Char"/>
    <w:basedOn w:val="DefaultParagraphFont"/>
    <w:link w:val="FootnoteText"/>
    <w:uiPriority w:val="99"/>
    <w:rsid w:val="009F177F"/>
    <w:rPr>
      <w:rFonts w:eastAsiaTheme="minorHAnsi" w:cstheme="minorBidi"/>
      <w:sz w:val="20"/>
      <w:szCs w:val="20"/>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9F177F"/>
    <w:pPr>
      <w:widowControl/>
      <w:suppressAutoHyphens w:val="0"/>
      <w:autoSpaceDE/>
      <w:autoSpaceDN/>
      <w:spacing w:after="160" w:line="240" w:lineRule="exact"/>
      <w:jc w:val="both"/>
      <w:textAlignment w:val="auto"/>
    </w:pPr>
    <w:rPr>
      <w:rFonts w:ascii="Arial" w:eastAsia="Calibri" w:hAnsi="Arial"/>
      <w:sz w:val="22"/>
      <w:szCs w:val="22"/>
    </w:rPr>
  </w:style>
  <w:style w:type="paragraph" w:styleId="Revision">
    <w:name w:val="Revision"/>
    <w:hidden/>
    <w:uiPriority w:val="99"/>
    <w:semiHidden/>
    <w:rsid w:val="00C70E9C"/>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C70E9C"/>
    <w:rPr>
      <w:sz w:val="16"/>
      <w:szCs w:val="16"/>
    </w:rPr>
  </w:style>
  <w:style w:type="paragraph" w:styleId="CommentText">
    <w:name w:val="annotation text"/>
    <w:basedOn w:val="Normal"/>
    <w:link w:val="CommentTextChar"/>
    <w:uiPriority w:val="99"/>
    <w:unhideWhenUsed/>
    <w:rsid w:val="00C70E9C"/>
    <w:rPr>
      <w:szCs w:val="20"/>
    </w:rPr>
  </w:style>
  <w:style w:type="character" w:customStyle="1" w:styleId="CommentTextChar">
    <w:name w:val="Comment Text Char"/>
    <w:basedOn w:val="DefaultParagraphFont"/>
    <w:link w:val="CommentText"/>
    <w:uiPriority w:val="99"/>
    <w:rsid w:val="00C70E9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0E9C"/>
    <w:rPr>
      <w:b/>
      <w:bCs/>
    </w:rPr>
  </w:style>
  <w:style w:type="character" w:customStyle="1" w:styleId="CommentSubjectChar">
    <w:name w:val="Comment Subject Char"/>
    <w:basedOn w:val="CommentTextChar"/>
    <w:link w:val="CommentSubject"/>
    <w:uiPriority w:val="99"/>
    <w:semiHidden/>
    <w:rsid w:val="00C70E9C"/>
    <w:rPr>
      <w:rFonts w:ascii="Times New Roman" w:eastAsia="Times New Roman" w:hAnsi="Times New Roman"/>
      <w:b/>
      <w:bCs/>
      <w:sz w:val="20"/>
      <w:szCs w:val="20"/>
    </w:rPr>
  </w:style>
  <w:style w:type="paragraph" w:styleId="ListParagraph">
    <w:name w:val="List Paragraph"/>
    <w:basedOn w:val="Normal"/>
    <w:uiPriority w:val="34"/>
    <w:qFormat/>
    <w:rsid w:val="00C70E9C"/>
    <w:pPr>
      <w:ind w:left="720"/>
      <w:contextualSpacing/>
    </w:pPr>
  </w:style>
  <w:style w:type="paragraph" w:styleId="BalloonText">
    <w:name w:val="Balloon Text"/>
    <w:basedOn w:val="Normal"/>
    <w:link w:val="BalloonTextChar"/>
    <w:uiPriority w:val="99"/>
    <w:semiHidden/>
    <w:unhideWhenUsed/>
    <w:rsid w:val="006A5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8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091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ep-aewa.org/sites/default/files/uploads/aewa_final_albania_irp_repor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2137</Words>
  <Characters>12185</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7</cp:revision>
  <cp:lastPrinted>2020-02-03T15:02:00Z</cp:lastPrinted>
  <dcterms:created xsi:type="dcterms:W3CDTF">2024-02-15T19:25:00Z</dcterms:created>
  <dcterms:modified xsi:type="dcterms:W3CDTF">2024-02-15T20:05:00Z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