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B6477" w14:textId="77777777" w:rsidR="00343934" w:rsidRPr="00343934" w:rsidRDefault="00343934" w:rsidP="000663D8">
      <w:pPr>
        <w:spacing w:after="120"/>
        <w:jc w:val="center"/>
        <w:rPr>
          <w:rFonts w:ascii="Arial" w:hAnsi="Arial" w:cs="Arial"/>
          <w:b/>
          <w:bCs/>
          <w:sz w:val="22"/>
          <w:szCs w:val="22"/>
          <w:lang w:val="fr-FR"/>
        </w:rPr>
      </w:pPr>
      <w:r w:rsidRPr="00343934">
        <w:rPr>
          <w:rFonts w:ascii="Arial" w:hAnsi="Arial" w:cs="Arial"/>
          <w:b/>
          <w:bCs/>
          <w:sz w:val="22"/>
          <w:szCs w:val="22"/>
          <w:lang w:val="fr-FR"/>
        </w:rPr>
        <w:t xml:space="preserve">MÉCANISME D’EXAMEN ET PROGRAMME SUR LA LÉGISLATION NATIONALE </w:t>
      </w:r>
    </w:p>
    <w:p w14:paraId="48F82B79" w14:textId="2731DDC4" w:rsidR="00D82C56" w:rsidRPr="002B3E88" w:rsidRDefault="005D43E4" w:rsidP="000663D8">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343934">
        <w:rPr>
          <w:rFonts w:ascii="Arial" w:hAnsi="Arial" w:cs="Arial"/>
          <w:sz w:val="22"/>
          <w:szCs w:val="22"/>
          <w:lang w:val="fr-FR"/>
        </w:rPr>
        <w:t>24</w:t>
      </w:r>
    </w:p>
    <w:p w14:paraId="73A89732" w14:textId="21FA08EF" w:rsidR="00D82C56" w:rsidRPr="00A048E3" w:rsidRDefault="005D43E4" w:rsidP="00A4099F">
      <w:pPr>
        <w:jc w:val="center"/>
        <w:rPr>
          <w:rFonts w:ascii="Arial" w:hAnsi="Arial" w:cs="Arial"/>
          <w:i/>
          <w:sz w:val="22"/>
          <w:szCs w:val="22"/>
          <w:lang w:val="fr-FR"/>
        </w:rPr>
      </w:pPr>
      <w:r w:rsidRPr="000663D8">
        <w:rPr>
          <w:rFonts w:ascii="Arial" w:hAnsi="Arial" w:cs="Arial"/>
          <w:i/>
          <w:sz w:val="22"/>
          <w:szCs w:val="22"/>
          <w:lang w:val="fr-FR"/>
        </w:rPr>
        <w:t>(Pr</w:t>
      </w:r>
      <w:r w:rsidR="005C762A" w:rsidRPr="000663D8">
        <w:rPr>
          <w:rFonts w:ascii="Arial" w:hAnsi="Arial" w:cs="Arial"/>
          <w:i/>
          <w:sz w:val="22"/>
          <w:szCs w:val="22"/>
          <w:lang w:val="fr-FR"/>
        </w:rPr>
        <w:t>é</w:t>
      </w:r>
      <w:r w:rsidRPr="000663D8">
        <w:rPr>
          <w:rFonts w:ascii="Arial" w:hAnsi="Arial" w:cs="Arial"/>
          <w:i/>
          <w:sz w:val="22"/>
          <w:szCs w:val="22"/>
          <w:lang w:val="fr-FR"/>
        </w:rPr>
        <w:t>par</w:t>
      </w:r>
      <w:r w:rsidR="00A048E3" w:rsidRPr="000663D8">
        <w:rPr>
          <w:rFonts w:ascii="Arial" w:hAnsi="Arial" w:cs="Arial"/>
          <w:i/>
          <w:sz w:val="22"/>
          <w:szCs w:val="22"/>
          <w:lang w:val="fr-FR"/>
        </w:rPr>
        <w:t>é par</w:t>
      </w:r>
      <w:r w:rsidRPr="000663D8">
        <w:rPr>
          <w:rFonts w:ascii="Arial" w:hAnsi="Arial" w:cs="Arial"/>
          <w:i/>
          <w:sz w:val="22"/>
          <w:szCs w:val="22"/>
          <w:lang w:val="fr-FR"/>
        </w:rPr>
        <w:t xml:space="preserve"> </w:t>
      </w:r>
      <w:r w:rsidR="0099284E" w:rsidRPr="000663D8">
        <w:rPr>
          <w:rFonts w:ascii="Arial" w:hAnsi="Arial" w:cs="Arial"/>
          <w:i/>
          <w:sz w:val="22"/>
          <w:szCs w:val="22"/>
          <w:lang w:val="fr-FR"/>
        </w:rPr>
        <w:t xml:space="preserve">le </w:t>
      </w:r>
      <w:r w:rsidR="00D11113">
        <w:rPr>
          <w:rFonts w:ascii="Arial" w:hAnsi="Arial" w:cs="Arial"/>
          <w:i/>
          <w:sz w:val="22"/>
          <w:szCs w:val="22"/>
          <w:lang w:val="fr-FR"/>
        </w:rPr>
        <w:t>Comité plénier</w:t>
      </w:r>
      <w:r w:rsidRPr="000663D8">
        <w:rPr>
          <w:rFonts w:ascii="Arial" w:hAnsi="Arial" w:cs="Arial"/>
          <w:i/>
          <w:sz w:val="22"/>
          <w:szCs w:val="22"/>
          <w:lang w:val="fr-FR"/>
        </w:rPr>
        <w:t>)</w:t>
      </w:r>
    </w:p>
    <w:p w14:paraId="25BD5BFE" w14:textId="77777777" w:rsidR="00D82C56" w:rsidRPr="00A048E3" w:rsidRDefault="00D82C56" w:rsidP="00A4099F">
      <w:pPr>
        <w:rPr>
          <w:rFonts w:ascii="Arial" w:hAnsi="Arial" w:cs="Arial"/>
          <w:sz w:val="22"/>
          <w:szCs w:val="22"/>
          <w:lang w:val="fr-FR"/>
        </w:rPr>
      </w:pPr>
    </w:p>
    <w:p w14:paraId="6C7ED871" w14:textId="77777777" w:rsidR="00D82C56" w:rsidRPr="00A048E3" w:rsidRDefault="00D82C56" w:rsidP="00A4099F">
      <w:pPr>
        <w:rPr>
          <w:rFonts w:ascii="Arial" w:hAnsi="Arial" w:cs="Arial"/>
          <w:sz w:val="22"/>
          <w:szCs w:val="22"/>
          <w:lang w:val="fr-FR"/>
        </w:rPr>
      </w:pPr>
    </w:p>
    <w:p w14:paraId="04572AC0" w14:textId="77777777" w:rsidR="005D1880" w:rsidRDefault="005D1880" w:rsidP="00A4099F">
      <w:pPr>
        <w:pStyle w:val="paragraph"/>
        <w:suppressAutoHyphens/>
        <w:spacing w:before="0" w:beforeAutospacing="0" w:after="0" w:afterAutospacing="0"/>
        <w:jc w:val="center"/>
        <w:textAlignment w:val="baseline"/>
        <w:rPr>
          <w:rStyle w:val="normaltextrun"/>
          <w:rFonts w:ascii="Arial" w:hAnsi="Arial" w:cs="Arial"/>
          <w:b/>
          <w:bCs/>
          <w:sz w:val="22"/>
          <w:szCs w:val="22"/>
          <w:lang w:val="fr-FR"/>
        </w:rPr>
      </w:pPr>
      <w:r w:rsidRPr="00B160C0">
        <w:rPr>
          <w:rStyle w:val="normaltextrun"/>
          <w:rFonts w:ascii="Arial" w:hAnsi="Arial" w:cs="Arial"/>
          <w:b/>
          <w:bCs/>
          <w:sz w:val="22"/>
          <w:szCs w:val="22"/>
          <w:lang w:val="fr-FR"/>
        </w:rPr>
        <w:t>PROPOSITION DE DIRECTIVES OPÉRATIONNELLES POUR LE MÉCANISME</w:t>
      </w:r>
    </w:p>
    <w:p w14:paraId="44E58CF8" w14:textId="7AE6D3C5" w:rsidR="005D1880" w:rsidRDefault="005D1880" w:rsidP="00A4099F">
      <w:pPr>
        <w:pStyle w:val="paragraph"/>
        <w:suppressAutoHyphens/>
        <w:spacing w:before="0" w:beforeAutospacing="0" w:after="120" w:afterAutospacing="0"/>
        <w:jc w:val="center"/>
        <w:textAlignment w:val="baseline"/>
        <w:rPr>
          <w:rStyle w:val="normaltextrun"/>
          <w:rFonts w:ascii="Arial" w:hAnsi="Arial" w:cs="Arial"/>
          <w:b/>
          <w:bCs/>
          <w:sz w:val="22"/>
          <w:szCs w:val="22"/>
          <w:lang w:val="fr-FR"/>
        </w:rPr>
      </w:pPr>
      <w:r w:rsidRPr="00B160C0">
        <w:rPr>
          <w:rStyle w:val="normaltextrun"/>
          <w:rFonts w:ascii="Arial" w:hAnsi="Arial" w:cs="Arial"/>
          <w:b/>
          <w:bCs/>
          <w:sz w:val="22"/>
          <w:szCs w:val="22"/>
          <w:lang w:val="fr-FR"/>
        </w:rPr>
        <w:t>D’EXAMEN DE LA C</w:t>
      </w:r>
      <w:r>
        <w:rPr>
          <w:rStyle w:val="normaltextrun"/>
          <w:rFonts w:ascii="Arial" w:hAnsi="Arial" w:cs="Arial"/>
          <w:b/>
          <w:bCs/>
          <w:sz w:val="22"/>
          <w:szCs w:val="22"/>
          <w:lang w:val="fr-FR"/>
        </w:rPr>
        <w:t>MS</w:t>
      </w:r>
    </w:p>
    <w:p w14:paraId="7EAC6790" w14:textId="77777777" w:rsidR="005D1880" w:rsidRDefault="005D1880" w:rsidP="00A4099F">
      <w:pPr>
        <w:pStyle w:val="paragraph"/>
        <w:suppressAutoHyphens/>
        <w:spacing w:before="0" w:beforeAutospacing="0" w:after="120" w:afterAutospacing="0"/>
        <w:jc w:val="center"/>
        <w:textAlignment w:val="baseline"/>
        <w:rPr>
          <w:rStyle w:val="normaltextrun"/>
          <w:rFonts w:ascii="Arial" w:hAnsi="Arial" w:cs="Arial"/>
          <w:b/>
          <w:bCs/>
          <w:sz w:val="22"/>
          <w:szCs w:val="22"/>
          <w:lang w:val="fr-FR"/>
        </w:rPr>
      </w:pPr>
    </w:p>
    <w:p w14:paraId="6D05F7AA" w14:textId="77777777" w:rsidR="00FB1551" w:rsidRPr="00FB1551" w:rsidRDefault="00FB1551" w:rsidP="00A4099F">
      <w:pPr>
        <w:widowControl/>
        <w:numPr>
          <w:ilvl w:val="0"/>
          <w:numId w:val="1"/>
        </w:numPr>
        <w:autoSpaceDE/>
        <w:autoSpaceDN/>
        <w:ind w:hanging="720"/>
        <w:jc w:val="both"/>
        <w:textAlignment w:val="auto"/>
        <w:rPr>
          <w:rFonts w:ascii="Arial" w:eastAsiaTheme="minorHAnsi" w:hAnsi="Arial" w:cstheme="minorBidi"/>
          <w:i/>
          <w:iCs/>
          <w:sz w:val="22"/>
          <w:szCs w:val="22"/>
          <w:lang w:val="fr-FR"/>
        </w:rPr>
      </w:pPr>
      <w:r w:rsidRPr="00FB1551">
        <w:rPr>
          <w:rFonts w:ascii="Arial" w:eastAsiaTheme="minorHAnsi" w:hAnsi="Arial" w:cstheme="minorBidi"/>
          <w:b/>
          <w:bCs/>
          <w:sz w:val="22"/>
          <w:szCs w:val="22"/>
          <w:lang w:val="fr-FR"/>
        </w:rPr>
        <w:t>Ouverture et transparence des conclusions et des rapports, et création d’un registre en ligne pour le mécanisme d’examen.</w:t>
      </w:r>
    </w:p>
    <w:p w14:paraId="18FB247B" w14:textId="77777777" w:rsidR="00FB1551" w:rsidRPr="00FB1551" w:rsidRDefault="00FB1551" w:rsidP="00A4099F">
      <w:pPr>
        <w:widowControl/>
        <w:autoSpaceDE/>
        <w:autoSpaceDN/>
        <w:jc w:val="both"/>
        <w:textAlignment w:val="auto"/>
        <w:rPr>
          <w:rFonts w:ascii="Arial" w:eastAsiaTheme="minorHAnsi" w:hAnsi="Arial" w:cstheme="minorBidi"/>
          <w:i/>
          <w:sz w:val="22"/>
          <w:szCs w:val="22"/>
          <w:lang w:val="fr-FR"/>
        </w:rPr>
      </w:pPr>
    </w:p>
    <w:p w14:paraId="75B32F90" w14:textId="77777777" w:rsidR="00FB1551" w:rsidRPr="00FB1551" w:rsidRDefault="00FB1551" w:rsidP="00A4099F">
      <w:pPr>
        <w:widowControl/>
        <w:autoSpaceDE/>
        <w:autoSpaceDN/>
        <w:jc w:val="both"/>
        <w:textAlignment w:val="auto"/>
        <w:rPr>
          <w:rFonts w:ascii="Arial" w:eastAsiaTheme="minorHAnsi" w:hAnsi="Arial" w:cstheme="minorBidi"/>
          <w:i/>
          <w:sz w:val="22"/>
          <w:szCs w:val="22"/>
          <w:lang w:val="fr-FR"/>
        </w:rPr>
      </w:pPr>
      <w:r w:rsidRPr="00FB1551">
        <w:rPr>
          <w:rFonts w:ascii="Arial" w:eastAsiaTheme="minorHAnsi" w:hAnsi="Arial" w:cstheme="minorBidi"/>
          <w:i/>
          <w:sz w:val="22"/>
          <w:szCs w:val="22"/>
          <w:lang w:val="fr-FR"/>
        </w:rPr>
        <w:t>Enjeu</w:t>
      </w:r>
    </w:p>
    <w:p w14:paraId="76349FF2" w14:textId="77777777" w:rsidR="00FB1551" w:rsidRPr="00FB1551" w:rsidRDefault="00FB1551" w:rsidP="00A4099F">
      <w:pPr>
        <w:widowControl/>
        <w:autoSpaceDE/>
        <w:autoSpaceDN/>
        <w:jc w:val="both"/>
        <w:textAlignment w:val="auto"/>
        <w:rPr>
          <w:rFonts w:ascii="Arial" w:eastAsiaTheme="minorHAnsi" w:hAnsi="Arial" w:cstheme="minorBidi"/>
          <w:i/>
          <w:iCs/>
          <w:sz w:val="22"/>
          <w:szCs w:val="22"/>
          <w:lang w:val="fr-FR"/>
        </w:rPr>
      </w:pPr>
    </w:p>
    <w:p w14:paraId="5BE8F1D6"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theme="minorBidi"/>
          <w:sz w:val="22"/>
          <w:szCs w:val="22"/>
          <w:lang w:val="fr-FR"/>
        </w:rPr>
        <w:t>La Résolution 12.9 souligne que, en tant que principe général, « </w:t>
      </w:r>
      <w:r w:rsidRPr="00FB1551">
        <w:rPr>
          <w:rFonts w:ascii="Arial" w:eastAsiaTheme="minorHAnsi" w:hAnsi="Arial" w:cs="Arial"/>
          <w:sz w:val="22"/>
          <w:szCs w:val="22"/>
          <w:lang w:val="fr-FR"/>
        </w:rPr>
        <w:t>les conclusions et rapports sur les questions de mise en œuvre sont traités de manière ouverte et transparente</w:t>
      </w:r>
      <w:r w:rsidRPr="00FB1551">
        <w:rPr>
          <w:rFonts w:ascii="Arial" w:eastAsiaTheme="minorHAnsi" w:hAnsi="Arial" w:cs="Arial"/>
          <w:i/>
          <w:iCs/>
          <w:sz w:val="22"/>
          <w:szCs w:val="22"/>
          <w:lang w:val="fr-FR"/>
        </w:rPr>
        <w:t xml:space="preserve"> »</w:t>
      </w:r>
      <w:r w:rsidRPr="00FB1551">
        <w:rPr>
          <w:rFonts w:ascii="Arial" w:eastAsiaTheme="minorHAnsi" w:hAnsi="Arial" w:cs="Arial"/>
          <w:i/>
          <w:iCs/>
          <w:sz w:val="22"/>
          <w:szCs w:val="22"/>
          <w:vertAlign w:val="superscript"/>
          <w:lang w:val="fr-FR"/>
        </w:rPr>
        <w:footnoteReference w:id="2"/>
      </w:r>
      <w:r w:rsidRPr="00FB1551">
        <w:rPr>
          <w:rFonts w:ascii="Arial" w:eastAsiaTheme="minorHAnsi" w:hAnsi="Arial" w:cs="Arial"/>
          <w:i/>
          <w:iCs/>
          <w:sz w:val="22"/>
          <w:szCs w:val="22"/>
          <w:lang w:val="fr-FR"/>
        </w:rPr>
        <w:t>.</w:t>
      </w:r>
      <w:r w:rsidRPr="00FB1551">
        <w:rPr>
          <w:rFonts w:ascii="Arial" w:eastAsiaTheme="minorHAnsi" w:hAnsi="Arial" w:cs="Arial"/>
          <w:sz w:val="22"/>
          <w:szCs w:val="22"/>
          <w:lang w:val="fr-FR"/>
        </w:rPr>
        <w:t xml:space="preserve"> Elle ne donne toutefois aucune définition des types de conclusions et de rapports qui devraient respecter ce principe, des personnes qui peuvent avoir accès à ces informations ni des étapes de l’examen concernées. En outre, la Résolution 12.9 établit que « les communications entre le Secrétariat et les différentes Parties sur des questions de mise en œuvre spécifiques sont généralement confidentielles »</w:t>
      </w:r>
      <w:r w:rsidRPr="00FB1551">
        <w:rPr>
          <w:rFonts w:ascii="Arial" w:eastAsiaTheme="minorHAnsi" w:hAnsi="Arial" w:cs="Arial"/>
          <w:i/>
          <w:iCs/>
          <w:sz w:val="22"/>
          <w:szCs w:val="22"/>
          <w:vertAlign w:val="superscript"/>
          <w:lang w:val="fr-FR"/>
        </w:rPr>
        <w:footnoteReference w:id="3"/>
      </w:r>
      <w:r w:rsidRPr="00FB1551">
        <w:rPr>
          <w:rFonts w:ascii="Arial" w:eastAsiaTheme="minorHAnsi" w:hAnsi="Arial" w:cs="Arial"/>
          <w:sz w:val="22"/>
          <w:szCs w:val="22"/>
          <w:lang w:val="fr-FR"/>
        </w:rPr>
        <w:t>, « sauf si la Partie concernée renonce à la confidentialité »</w:t>
      </w:r>
      <w:r w:rsidRPr="00FB1551">
        <w:rPr>
          <w:rFonts w:ascii="Arial" w:eastAsiaTheme="minorHAnsi" w:hAnsi="Arial" w:cs="Arial"/>
          <w:sz w:val="22"/>
          <w:szCs w:val="22"/>
          <w:vertAlign w:val="superscript"/>
          <w:lang w:val="fr-FR"/>
        </w:rPr>
        <w:footnoteReference w:id="4"/>
      </w:r>
      <w:r w:rsidRPr="00FB1551">
        <w:rPr>
          <w:rFonts w:ascii="Arial" w:eastAsiaTheme="minorHAnsi" w:hAnsi="Arial" w:cs="Arial"/>
          <w:sz w:val="22"/>
          <w:szCs w:val="22"/>
          <w:lang w:val="fr-FR"/>
        </w:rPr>
        <w:t>. Cette exception s’applique aux communications entre la Partie concernée et le Comité permanent (</w:t>
      </w:r>
      <w:proofErr w:type="spellStart"/>
      <w:r w:rsidRPr="00FB1551">
        <w:rPr>
          <w:rFonts w:ascii="Arial" w:eastAsiaTheme="minorHAnsi" w:hAnsi="Arial" w:cs="Arial"/>
          <w:sz w:val="22"/>
          <w:szCs w:val="22"/>
          <w:lang w:val="fr-FR"/>
        </w:rPr>
        <w:t>StC</w:t>
      </w:r>
      <w:proofErr w:type="spellEnd"/>
      <w:r w:rsidRPr="00FB1551">
        <w:rPr>
          <w:rFonts w:ascii="Arial" w:eastAsiaTheme="minorHAnsi" w:hAnsi="Arial" w:cs="Arial"/>
          <w:sz w:val="22"/>
          <w:szCs w:val="22"/>
          <w:lang w:val="fr-FR"/>
        </w:rPr>
        <w:t>) lorsque celui-ci agit en qualité d’organe d’examen</w:t>
      </w:r>
      <w:r w:rsidRPr="00FB1551">
        <w:rPr>
          <w:rFonts w:ascii="Arial" w:eastAsiaTheme="minorHAnsi" w:hAnsi="Arial" w:cs="Arial"/>
          <w:sz w:val="22"/>
          <w:szCs w:val="22"/>
          <w:vertAlign w:val="superscript"/>
          <w:lang w:val="fr-FR"/>
        </w:rPr>
        <w:footnoteReference w:id="5"/>
      </w:r>
      <w:r w:rsidRPr="00FB1551">
        <w:rPr>
          <w:rFonts w:ascii="Arial" w:eastAsiaTheme="minorHAnsi" w:hAnsi="Arial" w:cs="Arial"/>
          <w:sz w:val="22"/>
          <w:szCs w:val="22"/>
          <w:lang w:val="fr-FR"/>
        </w:rPr>
        <w:t xml:space="preserve">. </w:t>
      </w:r>
    </w:p>
    <w:p w14:paraId="12928060"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1953B05B"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 xml:space="preserve">C’est au cours des travaux du Secrétariat sur le premier dossier d’examen admis (Dossier nº 2021-01, projet d’aménagement dans le paysage protégé de </w:t>
      </w:r>
      <w:proofErr w:type="spellStart"/>
      <w:r w:rsidRPr="00FB1551">
        <w:rPr>
          <w:rFonts w:ascii="Arial" w:eastAsiaTheme="minorHAnsi" w:hAnsi="Arial" w:cs="Arial"/>
          <w:sz w:val="22"/>
          <w:szCs w:val="22"/>
          <w:lang w:val="fr-FR"/>
        </w:rPr>
        <w:t>Vjosa</w:t>
      </w:r>
      <w:proofErr w:type="spellEnd"/>
      <w:r w:rsidRPr="00FB1551">
        <w:rPr>
          <w:rFonts w:ascii="Arial" w:eastAsiaTheme="minorHAnsi" w:hAnsi="Arial" w:cs="Arial"/>
          <w:sz w:val="22"/>
          <w:szCs w:val="22"/>
          <w:lang w:val="fr-FR"/>
        </w:rPr>
        <w:t>-Narta</w:t>
      </w:r>
      <w:r w:rsidRPr="00FB1551">
        <w:rPr>
          <w:rFonts w:ascii="Arial" w:eastAsiaTheme="minorHAnsi" w:hAnsi="Arial" w:cs="Arial"/>
          <w:sz w:val="22"/>
          <w:szCs w:val="22"/>
          <w:vertAlign w:val="superscript"/>
          <w:lang w:val="fr-FR"/>
        </w:rPr>
        <w:footnoteReference w:id="6"/>
      </w:r>
      <w:r w:rsidRPr="00FB1551">
        <w:rPr>
          <w:rFonts w:ascii="Arial" w:eastAsiaTheme="minorHAnsi" w:hAnsi="Arial" w:cs="Arial"/>
          <w:sz w:val="22"/>
          <w:szCs w:val="22"/>
          <w:lang w:val="fr-FR"/>
        </w:rPr>
        <w:t xml:space="preserve">) qu’est apparu le besoin d’orientations concernant le traitement ouvert et transparent des conclusions et des rapports. Face au manque de clarté sur ce point, le Secrétariat a décidé de ne pas partager les informations sur le dossier admis avec les Parties et le </w:t>
      </w:r>
      <w:proofErr w:type="spellStart"/>
      <w:r w:rsidRPr="00FB1551">
        <w:rPr>
          <w:rFonts w:ascii="Arial" w:eastAsiaTheme="minorHAnsi" w:hAnsi="Arial" w:cs="Arial"/>
          <w:sz w:val="22"/>
          <w:szCs w:val="22"/>
          <w:lang w:val="fr-FR"/>
        </w:rPr>
        <w:t>StC</w:t>
      </w:r>
      <w:proofErr w:type="spellEnd"/>
      <w:r w:rsidRPr="00FB1551">
        <w:rPr>
          <w:rFonts w:ascii="Arial" w:eastAsiaTheme="minorHAnsi" w:hAnsi="Arial" w:cs="Arial"/>
          <w:sz w:val="22"/>
          <w:szCs w:val="22"/>
          <w:lang w:val="fr-FR"/>
        </w:rPr>
        <w:t xml:space="preserve"> lors de sa 53</w:t>
      </w:r>
      <w:r w:rsidRPr="00FB1551">
        <w:rPr>
          <w:rFonts w:ascii="Arial" w:eastAsiaTheme="minorHAnsi" w:hAnsi="Arial" w:cs="Arial"/>
          <w:sz w:val="22"/>
          <w:szCs w:val="22"/>
          <w:vertAlign w:val="superscript"/>
          <w:lang w:val="fr-FR"/>
        </w:rPr>
        <w:t>e </w:t>
      </w:r>
      <w:r w:rsidRPr="00FB1551">
        <w:rPr>
          <w:rFonts w:ascii="Arial" w:eastAsiaTheme="minorHAnsi" w:hAnsi="Arial" w:cs="Arial"/>
          <w:sz w:val="22"/>
          <w:szCs w:val="22"/>
          <w:lang w:val="fr-FR"/>
        </w:rPr>
        <w:t>réunion, alors même que les informations étaient déjà accessibles au public dans le cadre d’autres accords multilatéraux sur l’environnement (AME)</w:t>
      </w:r>
      <w:r w:rsidRPr="00FB1551">
        <w:rPr>
          <w:rFonts w:ascii="Arial" w:eastAsiaTheme="minorHAnsi" w:hAnsi="Arial" w:cs="Arial"/>
          <w:sz w:val="22"/>
          <w:szCs w:val="22"/>
          <w:vertAlign w:val="superscript"/>
          <w:lang w:val="fr-FR"/>
        </w:rPr>
        <w:footnoteReference w:id="7"/>
      </w:r>
      <w:r w:rsidRPr="00FB1551">
        <w:rPr>
          <w:rFonts w:ascii="Arial" w:eastAsiaTheme="minorHAnsi" w:hAnsi="Arial" w:cs="Arial"/>
          <w:sz w:val="22"/>
          <w:szCs w:val="22"/>
          <w:lang w:val="fr-FR"/>
        </w:rPr>
        <w:t xml:space="preserve">. </w:t>
      </w:r>
    </w:p>
    <w:p w14:paraId="3AA13F7E"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570D9399"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 xml:space="preserve">Bien que la Résolution 12.9 charge le Secrétariat de porter une question de mise en œuvre à l’attention du </w:t>
      </w:r>
      <w:proofErr w:type="spellStart"/>
      <w:r w:rsidRPr="00FB1551">
        <w:rPr>
          <w:rFonts w:ascii="Arial" w:eastAsiaTheme="minorHAnsi" w:hAnsi="Arial" w:cs="Arial"/>
          <w:sz w:val="22"/>
          <w:szCs w:val="22"/>
          <w:lang w:val="fr-FR"/>
        </w:rPr>
        <w:t>StC</w:t>
      </w:r>
      <w:proofErr w:type="spellEnd"/>
      <w:r w:rsidRPr="00FB1551">
        <w:rPr>
          <w:rFonts w:ascii="Arial" w:eastAsiaTheme="minorHAnsi" w:hAnsi="Arial" w:cs="Arial"/>
          <w:sz w:val="22"/>
          <w:szCs w:val="22"/>
          <w:lang w:val="fr-FR"/>
        </w:rPr>
        <w:t xml:space="preserve"> uniquement lorsqu’une Partie n’y répond pas</w:t>
      </w:r>
      <w:r w:rsidRPr="00FB1551">
        <w:rPr>
          <w:rFonts w:ascii="Arial" w:eastAsiaTheme="minorHAnsi" w:hAnsi="Arial" w:cs="Arial"/>
          <w:sz w:val="22"/>
          <w:szCs w:val="22"/>
          <w:vertAlign w:val="superscript"/>
          <w:lang w:val="fr-FR"/>
        </w:rPr>
        <w:footnoteReference w:id="8"/>
      </w:r>
      <w:r w:rsidRPr="00FB1551">
        <w:rPr>
          <w:rFonts w:ascii="Arial" w:eastAsiaTheme="minorHAnsi" w:hAnsi="Arial" w:cs="Arial"/>
          <w:sz w:val="22"/>
          <w:szCs w:val="22"/>
          <w:lang w:val="fr-FR"/>
        </w:rPr>
        <w:t xml:space="preserve">, le </w:t>
      </w:r>
      <w:proofErr w:type="spellStart"/>
      <w:r w:rsidRPr="00FB1551">
        <w:rPr>
          <w:rFonts w:ascii="Arial" w:eastAsiaTheme="minorHAnsi" w:hAnsi="Arial" w:cs="Arial"/>
          <w:sz w:val="22"/>
          <w:szCs w:val="22"/>
          <w:lang w:val="fr-FR"/>
        </w:rPr>
        <w:t>StC</w:t>
      </w:r>
      <w:proofErr w:type="spellEnd"/>
      <w:r w:rsidRPr="00FB1551">
        <w:rPr>
          <w:rFonts w:ascii="Arial" w:eastAsiaTheme="minorHAnsi" w:hAnsi="Arial" w:cs="Arial"/>
          <w:sz w:val="22"/>
          <w:szCs w:val="22"/>
          <w:lang w:val="fr-FR"/>
        </w:rPr>
        <w:t xml:space="preserve"> bénéficierait d’une compréhension générale des dossiers en cours. Cela l’aiderait dans son rôle d’organe d’examen lorsqu’un dossier est jugé admissible pour examen.</w:t>
      </w:r>
    </w:p>
    <w:p w14:paraId="3EE431B8"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53543137"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Le Secrétariat a veillé à préserver la confidentialité des communications avec les Parties concernées. Mais comme le prévoit la résolution 12.9, la publication des conclusions et des rapports améliorerait l’accès au mécanisme d’examen et la visibilité de celui-ci. Cela pourrait contribuer à la diffusion de bonnes pratiques et de connaissances précieuses, en assurant le respect des obligations énoncées aux paragraphes 4, 5 et 7 de l’article III, ainsi qu’au paragraphe 2 de l’article VI de la Convention, mais aussi encourager l’utilisation du mécanisme d’examen.</w:t>
      </w:r>
    </w:p>
    <w:p w14:paraId="5FF0EEDC"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39084CA2"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lastRenderedPageBreak/>
        <w:t>La création d’un registre en ligne dédié aux mécanismes d’examen ou au contrôle du respect des dispositions est une pratique courante dans d’autres AME</w:t>
      </w:r>
      <w:r w:rsidRPr="00FB1551">
        <w:rPr>
          <w:rFonts w:ascii="Arial" w:eastAsiaTheme="minorHAnsi" w:hAnsi="Arial" w:cs="Arial"/>
          <w:sz w:val="22"/>
          <w:szCs w:val="22"/>
          <w:vertAlign w:val="superscript"/>
          <w:lang w:val="fr-FR"/>
        </w:rPr>
        <w:footnoteReference w:id="9"/>
      </w:r>
      <w:r w:rsidRPr="00FB1551">
        <w:rPr>
          <w:rFonts w:ascii="Arial" w:eastAsiaTheme="minorHAnsi" w:hAnsi="Arial" w:cs="Arial"/>
          <w:sz w:val="22"/>
          <w:szCs w:val="22"/>
          <w:lang w:val="fr-FR"/>
        </w:rPr>
        <w:t>. En ce qui concerne le mécanisme d’examen de la CMS, un tel registre permettrait aux Parties concernées d’accéder facilement aux informations, réduisant ainsi la charge de travail du Secrétariat découlant de demandes d’informations individuelles redondantes.</w:t>
      </w:r>
    </w:p>
    <w:p w14:paraId="0E70AD1C" w14:textId="77777777" w:rsidR="00FB1551" w:rsidRPr="00FB1551" w:rsidRDefault="00FB1551" w:rsidP="00A4099F">
      <w:pPr>
        <w:widowControl/>
        <w:autoSpaceDE/>
        <w:autoSpaceDN/>
        <w:jc w:val="both"/>
        <w:textAlignment w:val="auto"/>
        <w:rPr>
          <w:rFonts w:ascii="Arial" w:eastAsiaTheme="minorHAnsi" w:hAnsi="Arial" w:cstheme="minorBidi"/>
          <w:i/>
          <w:iCs/>
          <w:sz w:val="22"/>
          <w:szCs w:val="22"/>
          <w:lang w:val="fr-FR"/>
        </w:rPr>
      </w:pPr>
    </w:p>
    <w:p w14:paraId="13ADBEE0" w14:textId="77777777" w:rsidR="00FB1551" w:rsidRPr="00FB1551" w:rsidRDefault="00FB1551" w:rsidP="00A4099F">
      <w:pPr>
        <w:widowControl/>
        <w:autoSpaceDE/>
        <w:autoSpaceDN/>
        <w:jc w:val="both"/>
        <w:textAlignment w:val="auto"/>
        <w:rPr>
          <w:rFonts w:ascii="Arial" w:eastAsiaTheme="minorHAnsi" w:hAnsi="Arial" w:cstheme="minorBidi"/>
          <w:i/>
          <w:iCs/>
          <w:sz w:val="22"/>
          <w:szCs w:val="22"/>
          <w:lang w:val="fr-FR"/>
        </w:rPr>
      </w:pPr>
      <w:r w:rsidRPr="00FB1551">
        <w:rPr>
          <w:rFonts w:ascii="Arial" w:eastAsiaTheme="minorHAnsi" w:hAnsi="Arial" w:cstheme="minorBidi"/>
          <w:i/>
          <w:iCs/>
          <w:sz w:val="22"/>
          <w:szCs w:val="22"/>
          <w:lang w:val="fr-FR"/>
        </w:rPr>
        <w:t>Directives</w:t>
      </w:r>
    </w:p>
    <w:p w14:paraId="0B805798" w14:textId="77777777" w:rsidR="00FB1551" w:rsidRPr="00FB1551" w:rsidRDefault="00FB1551" w:rsidP="00A4099F">
      <w:pPr>
        <w:widowControl/>
        <w:autoSpaceDE/>
        <w:autoSpaceDN/>
        <w:jc w:val="both"/>
        <w:textAlignment w:val="auto"/>
        <w:rPr>
          <w:rFonts w:ascii="Arial" w:eastAsiaTheme="minorHAnsi" w:hAnsi="Arial" w:cstheme="minorBidi"/>
          <w:i/>
          <w:iCs/>
          <w:sz w:val="22"/>
          <w:szCs w:val="22"/>
          <w:lang w:val="fr-FR"/>
        </w:rPr>
      </w:pPr>
    </w:p>
    <w:p w14:paraId="55AD08E1" w14:textId="77777777" w:rsidR="00FB1551" w:rsidRPr="00FB1551" w:rsidRDefault="00FB1551" w:rsidP="00A4099F">
      <w:pPr>
        <w:widowControl/>
        <w:autoSpaceDE/>
        <w:autoSpaceDN/>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Le Secrétariat établira un registre en ligne des dossiers du mécanisme d’examen, sous réserve de la disponibilité des fonds. Ce registre fera office de recueil numérique centralisé et fournira des informations générales sur les dossiers en cours et clôturés. Il fournira des informations sur l’état d’avancement des dossiers, ainsi que les étapes, les conclusions et les rapports connexes, conformément au paragraphe 3 de la section I.A de la résolution 12.9. Le registre sera accessible au public sur le site web de la CMS, dans la rubrique Mécanisme d’examen (</w:t>
      </w:r>
      <w:hyperlink r:id="rId10" w:tgtFrame="_new" w:history="1">
        <w:r w:rsidRPr="00FB1551">
          <w:rPr>
            <w:rFonts w:ascii="Arial" w:eastAsiaTheme="minorHAnsi" w:hAnsi="Arial" w:cstheme="minorBidi"/>
            <w:color w:val="0563C1" w:themeColor="hyperlink"/>
            <w:sz w:val="22"/>
            <w:szCs w:val="22"/>
            <w:u w:val="single"/>
            <w:lang w:val="fr-FR"/>
          </w:rPr>
          <w:t>https://www.cms.int/fr/node/15642</w:t>
        </w:r>
      </w:hyperlink>
      <w:r w:rsidRPr="00FB1551">
        <w:rPr>
          <w:rFonts w:ascii="Arial" w:eastAsiaTheme="minorHAnsi" w:hAnsi="Arial" w:cstheme="minorBidi"/>
          <w:sz w:val="22"/>
          <w:szCs w:val="22"/>
          <w:lang w:val="fr-FR"/>
        </w:rPr>
        <w:t>).</w:t>
      </w:r>
    </w:p>
    <w:p w14:paraId="6A3A9573" w14:textId="77777777" w:rsidR="00FB1551" w:rsidRPr="00FB1551" w:rsidRDefault="00FB1551" w:rsidP="00A4099F">
      <w:pPr>
        <w:widowControl/>
        <w:autoSpaceDE/>
        <w:autoSpaceDN/>
        <w:spacing w:after="120"/>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Les informations suivantes seront publiées dans le registre en ligne :</w:t>
      </w:r>
    </w:p>
    <w:p w14:paraId="64844454" w14:textId="77777777" w:rsidR="00FB1551" w:rsidRPr="00FB1551" w:rsidRDefault="00FB1551" w:rsidP="00A4099F">
      <w:pPr>
        <w:widowControl/>
        <w:numPr>
          <w:ilvl w:val="0"/>
          <w:numId w:val="2"/>
        </w:numPr>
        <w:autoSpaceDE/>
        <w:autoSpaceDN/>
        <w:spacing w:after="120"/>
        <w:ind w:left="567" w:hanging="567"/>
        <w:jc w:val="both"/>
        <w:textAlignment w:val="auto"/>
        <w:rPr>
          <w:rFonts w:ascii="Arial" w:eastAsiaTheme="minorHAnsi" w:hAnsi="Arial" w:cs="Arial"/>
          <w:sz w:val="22"/>
          <w:szCs w:val="22"/>
          <w:lang w:val="fr-FR"/>
        </w:rPr>
      </w:pPr>
      <w:r w:rsidRPr="00FB1551">
        <w:rPr>
          <w:rFonts w:ascii="Arial" w:eastAsiaTheme="minorHAnsi" w:hAnsi="Arial" w:cstheme="minorBidi"/>
          <w:sz w:val="22"/>
          <w:szCs w:val="22"/>
          <w:lang w:val="fr-FR"/>
        </w:rPr>
        <w:t>le numéro de référence attribué au dossier ;</w:t>
      </w:r>
    </w:p>
    <w:p w14:paraId="413E2567" w14:textId="0738635D" w:rsidR="00FB1551" w:rsidRPr="00FB1551" w:rsidRDefault="00FB1551" w:rsidP="00A4099F">
      <w:pPr>
        <w:widowControl/>
        <w:numPr>
          <w:ilvl w:val="0"/>
          <w:numId w:val="2"/>
        </w:numPr>
        <w:autoSpaceDE/>
        <w:autoSpaceDN/>
        <w:spacing w:after="120"/>
        <w:ind w:left="567" w:hanging="567"/>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l’état d’avancement du dossier</w:t>
      </w:r>
      <w:r w:rsidR="005C762A">
        <w:rPr>
          <w:rFonts w:ascii="Arial" w:eastAsiaTheme="minorHAnsi" w:hAnsi="Arial" w:cstheme="minorBidi"/>
          <w:sz w:val="22"/>
          <w:szCs w:val="22"/>
          <w:lang w:val="fr-FR"/>
        </w:rPr>
        <w:t> </w:t>
      </w:r>
      <w:r w:rsidRPr="00FB1551">
        <w:rPr>
          <w:rFonts w:ascii="Arial" w:eastAsiaTheme="minorHAnsi" w:hAnsi="Arial" w:cstheme="minorBidi"/>
          <w:sz w:val="22"/>
          <w:szCs w:val="22"/>
          <w:lang w:val="fr-FR"/>
        </w:rPr>
        <w:t xml:space="preserve">: reçu, admis, rejeté (par le Secrétariat ou le </w:t>
      </w:r>
      <w:proofErr w:type="spellStart"/>
      <w:r w:rsidRPr="00FB1551">
        <w:rPr>
          <w:rFonts w:ascii="Arial" w:eastAsiaTheme="minorHAnsi" w:hAnsi="Arial" w:cstheme="minorBidi"/>
          <w:sz w:val="22"/>
          <w:szCs w:val="22"/>
          <w:lang w:val="fr-FR"/>
        </w:rPr>
        <w:t>StC</w:t>
      </w:r>
      <w:proofErr w:type="spellEnd"/>
      <w:r w:rsidRPr="00FB1551">
        <w:rPr>
          <w:rFonts w:ascii="Arial" w:eastAsiaTheme="minorHAnsi" w:hAnsi="Arial" w:cstheme="minorBidi"/>
          <w:sz w:val="22"/>
          <w:szCs w:val="22"/>
          <w:lang w:val="fr-FR"/>
        </w:rPr>
        <w:t xml:space="preserve">), en cours d’examen par le </w:t>
      </w:r>
      <w:proofErr w:type="spellStart"/>
      <w:r w:rsidRPr="00FB1551">
        <w:rPr>
          <w:rFonts w:ascii="Arial" w:eastAsiaTheme="minorHAnsi" w:hAnsi="Arial" w:cstheme="minorBidi"/>
          <w:sz w:val="22"/>
          <w:szCs w:val="22"/>
          <w:lang w:val="fr-FR"/>
        </w:rPr>
        <w:t>StC</w:t>
      </w:r>
      <w:proofErr w:type="spellEnd"/>
      <w:r w:rsidRPr="00FB1551">
        <w:rPr>
          <w:rFonts w:ascii="Arial" w:eastAsiaTheme="minorHAnsi" w:hAnsi="Arial" w:cstheme="minorBidi"/>
          <w:sz w:val="22"/>
          <w:szCs w:val="22"/>
          <w:lang w:val="fr-FR"/>
        </w:rPr>
        <w:t>, ou clôturé ;</w:t>
      </w:r>
    </w:p>
    <w:p w14:paraId="082DC6EC" w14:textId="77777777" w:rsidR="00FB1551" w:rsidRPr="00FB1551" w:rsidRDefault="00FB1551" w:rsidP="00A4099F">
      <w:pPr>
        <w:widowControl/>
        <w:numPr>
          <w:ilvl w:val="0"/>
          <w:numId w:val="2"/>
        </w:numPr>
        <w:autoSpaceDE/>
        <w:autoSpaceDN/>
        <w:spacing w:after="120"/>
        <w:ind w:left="567" w:hanging="567"/>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le nom de la/des Partie(s) concernée(s) (le Secrétariat prendra les mesures qui s’imposent pour préserver la confidentialité des données personnelles de chaque Partie) ;</w:t>
      </w:r>
    </w:p>
    <w:p w14:paraId="5F3511CA" w14:textId="77777777" w:rsidR="00FB1551" w:rsidRPr="00FB1551" w:rsidRDefault="00FB1551" w:rsidP="00A4099F">
      <w:pPr>
        <w:widowControl/>
        <w:numPr>
          <w:ilvl w:val="0"/>
          <w:numId w:val="2"/>
        </w:numPr>
        <w:autoSpaceDE/>
        <w:autoSpaceDN/>
        <w:spacing w:after="120"/>
        <w:ind w:left="567" w:hanging="567"/>
        <w:jc w:val="both"/>
        <w:textAlignment w:val="auto"/>
        <w:rPr>
          <w:rFonts w:ascii="Arial" w:eastAsiaTheme="minorHAnsi" w:hAnsi="Arial" w:cs="Arial"/>
          <w:sz w:val="22"/>
          <w:szCs w:val="22"/>
          <w:lang w:val="fr-FR"/>
        </w:rPr>
      </w:pPr>
      <w:r w:rsidRPr="00FB1551">
        <w:rPr>
          <w:rFonts w:ascii="Arial" w:eastAsiaTheme="minorHAnsi" w:hAnsi="Arial" w:cstheme="minorBidi"/>
          <w:sz w:val="22"/>
          <w:szCs w:val="22"/>
          <w:lang w:val="fr-FR"/>
        </w:rPr>
        <w:t>le problème e</w:t>
      </w:r>
      <w:r w:rsidRPr="00FB1551">
        <w:rPr>
          <w:rFonts w:ascii="Arial" w:eastAsiaTheme="minorHAnsi" w:hAnsi="Arial" w:cs="Arial"/>
          <w:sz w:val="22"/>
          <w:szCs w:val="22"/>
          <w:lang w:val="fr-FR"/>
        </w:rPr>
        <w:t>t l’espèce inscrite à l’Annexe I concernée par la question de mise en œuvre ;</w:t>
      </w:r>
    </w:p>
    <w:p w14:paraId="11F86C38" w14:textId="77777777" w:rsidR="00FB1551" w:rsidRPr="00FB1551" w:rsidRDefault="00FB1551" w:rsidP="00A4099F">
      <w:pPr>
        <w:widowControl/>
        <w:numPr>
          <w:ilvl w:val="0"/>
          <w:numId w:val="2"/>
        </w:numPr>
        <w:autoSpaceDE/>
        <w:autoSpaceDN/>
        <w:spacing w:after="120"/>
        <w:ind w:left="567" w:hanging="567"/>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 xml:space="preserve">le ou les article(s) de la Convention faisant l’objet de l’examen ; </w:t>
      </w:r>
    </w:p>
    <w:p w14:paraId="025C6129" w14:textId="77777777" w:rsidR="00FB1551" w:rsidRPr="00FB1551" w:rsidRDefault="00FB1551" w:rsidP="00A4099F">
      <w:pPr>
        <w:widowControl/>
        <w:numPr>
          <w:ilvl w:val="0"/>
          <w:numId w:val="2"/>
        </w:numPr>
        <w:autoSpaceDE/>
        <w:autoSpaceDN/>
        <w:spacing w:after="120"/>
        <w:ind w:left="567" w:hanging="567"/>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 xml:space="preserve">les étapes importantes du processus d’examen, notamment les dates de dépôt et de recevabilité du dossier, des missions et de dépôt du dossier par le Secrétariat auprès de l’organe d’examen du </w:t>
      </w:r>
      <w:proofErr w:type="spellStart"/>
      <w:r w:rsidRPr="00FB1551">
        <w:rPr>
          <w:rFonts w:ascii="Arial" w:eastAsiaTheme="minorHAnsi" w:hAnsi="Arial" w:cstheme="minorBidi"/>
          <w:sz w:val="22"/>
          <w:szCs w:val="22"/>
          <w:lang w:val="fr-FR"/>
        </w:rPr>
        <w:t>StC</w:t>
      </w:r>
      <w:proofErr w:type="spellEnd"/>
      <w:r w:rsidRPr="00FB1551">
        <w:rPr>
          <w:rFonts w:ascii="Arial" w:eastAsiaTheme="minorHAnsi" w:hAnsi="Arial" w:cstheme="minorBidi"/>
          <w:sz w:val="22"/>
          <w:szCs w:val="22"/>
          <w:lang w:val="fr-FR"/>
        </w:rPr>
        <w:t> ;</w:t>
      </w:r>
    </w:p>
    <w:p w14:paraId="2D0819F1" w14:textId="77777777" w:rsidR="00FB1551" w:rsidRPr="00FB1551" w:rsidRDefault="00FB1551" w:rsidP="00A4099F">
      <w:pPr>
        <w:widowControl/>
        <w:numPr>
          <w:ilvl w:val="0"/>
          <w:numId w:val="2"/>
        </w:numPr>
        <w:autoSpaceDE/>
        <w:autoSpaceDN/>
        <w:spacing w:after="80"/>
        <w:ind w:left="567" w:hanging="567"/>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les conclusions et rapports</w:t>
      </w:r>
      <w:r w:rsidRPr="00FB1551">
        <w:rPr>
          <w:rFonts w:ascii="Arial" w:eastAsiaTheme="minorHAnsi" w:hAnsi="Arial" w:cstheme="minorBidi"/>
          <w:color w:val="FF0000"/>
          <w:sz w:val="22"/>
          <w:szCs w:val="22"/>
          <w:lang w:val="fr-FR"/>
        </w:rPr>
        <w:t xml:space="preserve"> </w:t>
      </w:r>
      <w:r w:rsidRPr="00FB1551">
        <w:rPr>
          <w:rFonts w:ascii="Arial" w:eastAsiaTheme="minorHAnsi" w:hAnsi="Arial" w:cstheme="minorBidi"/>
          <w:sz w:val="22"/>
          <w:szCs w:val="22"/>
          <w:lang w:val="fr-FR"/>
        </w:rPr>
        <w:t xml:space="preserve">du dossier d’examen, notamment : </w:t>
      </w:r>
    </w:p>
    <w:p w14:paraId="2AD8074C" w14:textId="77777777" w:rsidR="00FB1551" w:rsidRPr="00FB1551" w:rsidRDefault="00FB1551" w:rsidP="00A4099F">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tout rapport soumis par la Partie concernée commentant/abordant la question de la mise en œuvre</w:t>
      </w:r>
    </w:p>
    <w:p w14:paraId="3C9CC9CC" w14:textId="77777777" w:rsidR="00FB1551" w:rsidRPr="00FB1551" w:rsidRDefault="00FB1551" w:rsidP="00A4099F">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les rapports des missions d’enquête</w:t>
      </w:r>
    </w:p>
    <w:p w14:paraId="65F6731F" w14:textId="77777777" w:rsidR="00FB1551" w:rsidRPr="00FB1551" w:rsidRDefault="00FB1551" w:rsidP="00A4099F">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le rapport de soumission du dossier adressé à l’organe d’examen</w:t>
      </w:r>
      <w:r w:rsidRPr="00FB1551">
        <w:rPr>
          <w:rFonts w:ascii="Arial" w:eastAsiaTheme="minorHAnsi" w:hAnsi="Arial" w:cstheme="minorBidi"/>
          <w:sz w:val="22"/>
          <w:szCs w:val="22"/>
          <w:vertAlign w:val="superscript"/>
          <w:lang w:val="fr-FR"/>
        </w:rPr>
        <w:footnoteReference w:id="10"/>
      </w:r>
      <w:r w:rsidRPr="00FB1551">
        <w:rPr>
          <w:rFonts w:ascii="Arial" w:eastAsiaTheme="minorHAnsi" w:hAnsi="Arial" w:cstheme="minorBidi"/>
          <w:sz w:val="22"/>
          <w:szCs w:val="22"/>
          <w:lang w:val="fr-FR"/>
        </w:rPr>
        <w:t xml:space="preserve"> du </w:t>
      </w:r>
      <w:proofErr w:type="spellStart"/>
      <w:r w:rsidRPr="00FB1551">
        <w:rPr>
          <w:rFonts w:ascii="Arial" w:eastAsiaTheme="minorHAnsi" w:hAnsi="Arial" w:cstheme="minorBidi"/>
          <w:sz w:val="22"/>
          <w:szCs w:val="22"/>
          <w:lang w:val="fr-FR"/>
        </w:rPr>
        <w:t>StC</w:t>
      </w:r>
      <w:proofErr w:type="spellEnd"/>
    </w:p>
    <w:p w14:paraId="3AAB4833" w14:textId="77777777" w:rsidR="00FB1551" w:rsidRPr="00FB1551" w:rsidRDefault="00FB1551" w:rsidP="00A4099F">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 xml:space="preserve">les conseils et les autres documents de renforcement des capacités fournis à l’issue de l’examen du </w:t>
      </w:r>
      <w:proofErr w:type="spellStart"/>
      <w:r w:rsidRPr="00FB1551">
        <w:rPr>
          <w:rFonts w:ascii="Arial" w:eastAsiaTheme="minorHAnsi" w:hAnsi="Arial" w:cstheme="minorBidi"/>
          <w:sz w:val="22"/>
          <w:szCs w:val="22"/>
          <w:lang w:val="fr-FR"/>
        </w:rPr>
        <w:t>StC</w:t>
      </w:r>
      <w:proofErr w:type="spellEnd"/>
      <w:r w:rsidRPr="00FB1551">
        <w:rPr>
          <w:rFonts w:ascii="Arial" w:eastAsiaTheme="minorHAnsi" w:hAnsi="Arial" w:cstheme="minorBidi"/>
          <w:sz w:val="22"/>
          <w:szCs w:val="22"/>
          <w:vertAlign w:val="superscript"/>
          <w:lang w:val="fr-FR"/>
        </w:rPr>
        <w:footnoteReference w:id="11"/>
      </w:r>
    </w:p>
    <w:p w14:paraId="57FDA17F" w14:textId="77777777" w:rsidR="00FB1551" w:rsidRPr="00FB1551" w:rsidRDefault="00FB1551" w:rsidP="00A4099F">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 xml:space="preserve">les plans de mise en œuvre à soumettre au </w:t>
      </w:r>
      <w:proofErr w:type="spellStart"/>
      <w:r w:rsidRPr="00FB1551">
        <w:rPr>
          <w:rFonts w:ascii="Arial" w:eastAsiaTheme="minorHAnsi" w:hAnsi="Arial" w:cstheme="minorBidi"/>
          <w:sz w:val="22"/>
          <w:szCs w:val="22"/>
          <w:lang w:val="fr-FR"/>
        </w:rPr>
        <w:t>StC</w:t>
      </w:r>
      <w:proofErr w:type="spellEnd"/>
      <w:r w:rsidRPr="00FB1551">
        <w:rPr>
          <w:rFonts w:ascii="Arial" w:eastAsiaTheme="minorHAnsi" w:hAnsi="Arial" w:cstheme="minorBidi"/>
          <w:sz w:val="22"/>
          <w:szCs w:val="22"/>
          <w:lang w:val="fr-FR"/>
        </w:rPr>
        <w:t xml:space="preserve"> par la Partie concernée, qui précisent les difficultés, les mesures appropriées à prendre, le calendrier de la mise en œuvre et les moyens permettant d’évaluer sa bonne réalisation</w:t>
      </w:r>
      <w:r w:rsidRPr="00FB1551">
        <w:rPr>
          <w:rFonts w:ascii="Arial" w:eastAsiaTheme="minorHAnsi" w:hAnsi="Arial" w:cstheme="minorBidi"/>
          <w:sz w:val="22"/>
          <w:szCs w:val="22"/>
          <w:vertAlign w:val="superscript"/>
          <w:lang w:val="fr-FR"/>
        </w:rPr>
        <w:footnoteReference w:id="12"/>
      </w:r>
    </w:p>
    <w:p w14:paraId="38295E3A" w14:textId="77777777" w:rsidR="00FB1551" w:rsidRDefault="00FB1551" w:rsidP="00A4099F">
      <w:pPr>
        <w:widowControl/>
        <w:numPr>
          <w:ilvl w:val="0"/>
          <w:numId w:val="3"/>
        </w:numPr>
        <w:autoSpaceDE/>
        <w:autoSpaceDN/>
        <w:ind w:left="851" w:hanging="284"/>
        <w:contextualSpacing/>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 xml:space="preserve">le rapport du </w:t>
      </w:r>
      <w:proofErr w:type="spellStart"/>
      <w:r w:rsidRPr="00FB1551">
        <w:rPr>
          <w:rFonts w:ascii="Arial" w:eastAsiaTheme="minorHAnsi" w:hAnsi="Arial" w:cstheme="minorBidi"/>
          <w:sz w:val="22"/>
          <w:szCs w:val="22"/>
          <w:lang w:val="fr-FR"/>
        </w:rPr>
        <w:t>StC</w:t>
      </w:r>
      <w:proofErr w:type="spellEnd"/>
      <w:r w:rsidRPr="00FB1551">
        <w:rPr>
          <w:rFonts w:ascii="Arial" w:eastAsiaTheme="minorHAnsi" w:hAnsi="Arial" w:cstheme="minorBidi"/>
          <w:sz w:val="22"/>
          <w:szCs w:val="22"/>
          <w:lang w:val="fr-FR"/>
        </w:rPr>
        <w:t xml:space="preserve"> à la Conférence des Parties sur les examens en cours,</w:t>
      </w:r>
    </w:p>
    <w:p w14:paraId="0322BF6D" w14:textId="77777777" w:rsidR="00A4099F" w:rsidRPr="00FB1551" w:rsidRDefault="00A4099F" w:rsidP="00A4099F">
      <w:pPr>
        <w:widowControl/>
        <w:autoSpaceDE/>
        <w:autoSpaceDN/>
        <w:ind w:left="851"/>
        <w:contextualSpacing/>
        <w:jc w:val="both"/>
        <w:textAlignment w:val="auto"/>
        <w:rPr>
          <w:rFonts w:ascii="Arial" w:eastAsiaTheme="minorHAnsi" w:hAnsi="Arial" w:cstheme="minorBidi"/>
          <w:sz w:val="22"/>
          <w:szCs w:val="22"/>
          <w:lang w:val="fr-FR"/>
        </w:rPr>
      </w:pPr>
    </w:p>
    <w:p w14:paraId="2610AFCA" w14:textId="77777777" w:rsidR="00FB1551" w:rsidRPr="00FB1551" w:rsidRDefault="00FB1551" w:rsidP="00A4099F">
      <w:pPr>
        <w:widowControl/>
        <w:numPr>
          <w:ilvl w:val="0"/>
          <w:numId w:val="2"/>
        </w:numPr>
        <w:autoSpaceDE/>
        <w:autoSpaceDN/>
        <w:ind w:left="567" w:hanging="567"/>
        <w:contextualSpacing/>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t>la date de rejet/de clôture du dossier d’examen</w:t>
      </w:r>
      <w:r w:rsidRPr="00FB1551">
        <w:rPr>
          <w:rFonts w:ascii="Arial" w:eastAsiaTheme="minorHAnsi" w:hAnsi="Arial" w:cstheme="minorBidi"/>
          <w:sz w:val="22"/>
          <w:szCs w:val="22"/>
          <w:vertAlign w:val="superscript"/>
          <w:lang w:val="fr-FR"/>
        </w:rPr>
        <w:footnoteReference w:id="13"/>
      </w:r>
      <w:r w:rsidRPr="00FB1551">
        <w:rPr>
          <w:rFonts w:ascii="Arial" w:eastAsiaTheme="minorHAnsi" w:hAnsi="Arial" w:cstheme="minorBidi"/>
          <w:sz w:val="22"/>
          <w:szCs w:val="22"/>
          <w:lang w:val="fr-FR"/>
        </w:rPr>
        <w:t>.</w:t>
      </w:r>
    </w:p>
    <w:p w14:paraId="20424475" w14:textId="593FFE6C" w:rsidR="00FB1551" w:rsidRPr="00FB1551" w:rsidRDefault="00FB1551" w:rsidP="00A4099F">
      <w:pPr>
        <w:widowControl/>
        <w:autoSpaceDE/>
        <w:autoSpaceDN/>
        <w:jc w:val="both"/>
        <w:textAlignment w:val="auto"/>
        <w:rPr>
          <w:rFonts w:ascii="Arial" w:eastAsiaTheme="minorHAnsi" w:hAnsi="Arial" w:cstheme="minorBidi"/>
          <w:sz w:val="22"/>
          <w:szCs w:val="22"/>
          <w:lang w:val="fr-FR"/>
        </w:rPr>
      </w:pPr>
      <w:r w:rsidRPr="00FB1551">
        <w:rPr>
          <w:rFonts w:ascii="Arial" w:eastAsiaTheme="minorHAnsi" w:hAnsi="Arial" w:cstheme="minorBidi"/>
          <w:sz w:val="22"/>
          <w:szCs w:val="22"/>
          <w:lang w:val="fr-FR"/>
        </w:rPr>
        <w:lastRenderedPageBreak/>
        <w:t>Les Parties peuvent lever la confidentialité des</w:t>
      </w:r>
      <w:r w:rsidR="00D11113">
        <w:rPr>
          <w:rFonts w:ascii="Arial" w:eastAsiaTheme="minorHAnsi" w:hAnsi="Arial" w:cstheme="minorBidi"/>
          <w:sz w:val="22"/>
          <w:szCs w:val="22"/>
          <w:lang w:val="fr-FR"/>
        </w:rPr>
        <w:t xml:space="preserve"> informations et</w:t>
      </w:r>
      <w:r w:rsidRPr="00FB1551">
        <w:rPr>
          <w:rFonts w:ascii="Arial" w:eastAsiaTheme="minorHAnsi" w:hAnsi="Arial" w:cstheme="minorBidi"/>
          <w:sz w:val="22"/>
          <w:szCs w:val="22"/>
          <w:lang w:val="fr-FR"/>
        </w:rPr>
        <w:t xml:space="preserve"> communications échangées avec le Secrétariat concernant des questions spécifiques de mise en œuvre, permettant ainsi leur publication dans le registre en ligne</w:t>
      </w:r>
      <w:r w:rsidRPr="00FB1551">
        <w:rPr>
          <w:rFonts w:ascii="Arial" w:eastAsiaTheme="minorHAnsi" w:hAnsi="Arial" w:cstheme="minorBidi"/>
          <w:sz w:val="22"/>
          <w:szCs w:val="22"/>
          <w:vertAlign w:val="superscript"/>
          <w:lang w:val="fr-FR"/>
        </w:rPr>
        <w:footnoteReference w:id="14"/>
      </w:r>
      <w:r w:rsidRPr="00FB1551">
        <w:rPr>
          <w:rFonts w:ascii="Arial" w:eastAsiaTheme="minorHAnsi" w:hAnsi="Arial" w:cstheme="minorBidi"/>
          <w:sz w:val="22"/>
          <w:szCs w:val="22"/>
          <w:lang w:val="fr-FR"/>
        </w:rPr>
        <w:t>.</w:t>
      </w:r>
      <w:r w:rsidRPr="00FB1551">
        <w:rPr>
          <w:rFonts w:ascii="Segoe UI" w:eastAsiaTheme="minorHAnsi" w:hAnsi="Segoe UI" w:cs="Segoe UI"/>
          <w:color w:val="374151"/>
          <w:sz w:val="22"/>
          <w:szCs w:val="22"/>
          <w:shd w:val="clear" w:color="auto" w:fill="F7F7F8"/>
          <w:lang w:val="fr-FR"/>
        </w:rPr>
        <w:t xml:space="preserve"> L</w:t>
      </w:r>
      <w:r w:rsidRPr="00FB1551">
        <w:rPr>
          <w:rFonts w:ascii="Arial" w:eastAsiaTheme="minorHAnsi" w:hAnsi="Arial" w:cstheme="minorBidi"/>
          <w:sz w:val="22"/>
          <w:szCs w:val="22"/>
          <w:lang w:val="fr-FR"/>
        </w:rPr>
        <w:t xml:space="preserve">e Secrétariat n’accordera au </w:t>
      </w:r>
      <w:proofErr w:type="spellStart"/>
      <w:r w:rsidRPr="00FB1551">
        <w:rPr>
          <w:rFonts w:ascii="Arial" w:eastAsiaTheme="minorHAnsi" w:hAnsi="Arial" w:cstheme="minorBidi"/>
          <w:sz w:val="22"/>
          <w:szCs w:val="22"/>
          <w:lang w:val="fr-FR"/>
        </w:rPr>
        <w:t>StC</w:t>
      </w:r>
      <w:proofErr w:type="spellEnd"/>
      <w:r w:rsidRPr="00FB1551">
        <w:rPr>
          <w:rFonts w:ascii="Arial" w:eastAsiaTheme="minorHAnsi" w:hAnsi="Arial" w:cstheme="minorBidi"/>
          <w:sz w:val="22"/>
          <w:szCs w:val="22"/>
          <w:lang w:val="fr-FR"/>
        </w:rPr>
        <w:t xml:space="preserve"> l’accès aux communications confidentielles avec les Parties concernées qu’après avoir porté la question de la mise en œuvre à son attention, conformément au paragraphe 5 de la section I.C de la Résolution 12.9.</w:t>
      </w:r>
    </w:p>
    <w:p w14:paraId="2949051C" w14:textId="77777777" w:rsidR="00FB1551" w:rsidRPr="00FB1551" w:rsidRDefault="00FB1551" w:rsidP="00A4099F">
      <w:pPr>
        <w:widowControl/>
        <w:autoSpaceDE/>
        <w:autoSpaceDN/>
        <w:jc w:val="both"/>
        <w:textAlignment w:val="auto"/>
        <w:rPr>
          <w:rFonts w:ascii="Arial" w:eastAsiaTheme="minorHAnsi" w:hAnsi="Arial" w:cstheme="minorBidi"/>
          <w:sz w:val="22"/>
          <w:szCs w:val="22"/>
          <w:lang w:val="fr-FR"/>
        </w:rPr>
      </w:pPr>
    </w:p>
    <w:p w14:paraId="7155DD62" w14:textId="5387EC4E" w:rsidR="00FB1551" w:rsidRPr="00FB1551" w:rsidRDefault="00FB1551" w:rsidP="00A4099F">
      <w:pPr>
        <w:widowControl/>
        <w:numPr>
          <w:ilvl w:val="0"/>
          <w:numId w:val="1"/>
        </w:numPr>
        <w:autoSpaceDE/>
        <w:autoSpaceDN/>
        <w:ind w:hanging="720"/>
        <w:jc w:val="both"/>
        <w:textAlignment w:val="auto"/>
        <w:rPr>
          <w:rFonts w:ascii="Arial" w:eastAsiaTheme="minorHAnsi" w:hAnsi="Arial" w:cs="Arial"/>
          <w:b/>
          <w:bCs/>
          <w:sz w:val="22"/>
          <w:szCs w:val="22"/>
          <w:lang w:val="fr-FR"/>
        </w:rPr>
      </w:pPr>
      <w:r w:rsidRPr="00FB1551">
        <w:rPr>
          <w:rFonts w:ascii="Arial" w:eastAsiaTheme="minorHAnsi" w:hAnsi="Arial" w:cs="Arial"/>
          <w:b/>
          <w:bCs/>
          <w:sz w:val="22"/>
          <w:szCs w:val="22"/>
          <w:lang w:val="fr-FR"/>
        </w:rPr>
        <w:t>Collecte d’informations supplémentaires en vue du traitement et de l’examen des questions de m</w:t>
      </w:r>
      <w:r w:rsidR="005C762A">
        <w:rPr>
          <w:rFonts w:ascii="Arial" w:eastAsiaTheme="minorHAnsi" w:hAnsi="Arial" w:cs="Arial"/>
          <w:b/>
          <w:bCs/>
          <w:sz w:val="22"/>
          <w:szCs w:val="22"/>
          <w:lang w:val="fr-FR"/>
        </w:rPr>
        <w:t>ise en œuvre par le Secrétariat</w:t>
      </w:r>
    </w:p>
    <w:p w14:paraId="061AED1E" w14:textId="77777777" w:rsidR="00FB1551" w:rsidRPr="00FB1551" w:rsidRDefault="00FB1551" w:rsidP="00A4099F">
      <w:pPr>
        <w:widowControl/>
        <w:autoSpaceDE/>
        <w:autoSpaceDN/>
        <w:jc w:val="both"/>
        <w:textAlignment w:val="auto"/>
        <w:rPr>
          <w:rFonts w:ascii="Arial" w:eastAsiaTheme="minorHAnsi" w:hAnsi="Arial" w:cs="Arial"/>
          <w:i/>
          <w:iCs/>
          <w:sz w:val="22"/>
          <w:szCs w:val="22"/>
          <w:lang w:val="fr-FR"/>
        </w:rPr>
      </w:pPr>
    </w:p>
    <w:p w14:paraId="52075CC2" w14:textId="77777777" w:rsidR="00FB1551" w:rsidRPr="00FB1551" w:rsidRDefault="00FB1551" w:rsidP="00A4099F">
      <w:pPr>
        <w:widowControl/>
        <w:autoSpaceDE/>
        <w:autoSpaceDN/>
        <w:jc w:val="both"/>
        <w:textAlignment w:val="auto"/>
        <w:rPr>
          <w:rFonts w:ascii="Arial" w:eastAsiaTheme="minorHAnsi" w:hAnsi="Arial" w:cs="Arial"/>
          <w:i/>
          <w:iCs/>
          <w:sz w:val="22"/>
          <w:szCs w:val="22"/>
          <w:lang w:val="fr-FR"/>
        </w:rPr>
      </w:pPr>
      <w:r w:rsidRPr="00FB1551">
        <w:rPr>
          <w:rFonts w:ascii="Arial" w:eastAsiaTheme="minorHAnsi" w:hAnsi="Arial" w:cs="Arial"/>
          <w:i/>
          <w:iCs/>
          <w:sz w:val="22"/>
          <w:szCs w:val="22"/>
          <w:lang w:val="fr-FR"/>
        </w:rPr>
        <w:t>Enjeu</w:t>
      </w:r>
    </w:p>
    <w:p w14:paraId="7F7E558A" w14:textId="77777777" w:rsidR="00FB1551" w:rsidRPr="00FB1551" w:rsidRDefault="00FB1551" w:rsidP="00A4099F">
      <w:pPr>
        <w:widowControl/>
        <w:autoSpaceDE/>
        <w:autoSpaceDN/>
        <w:jc w:val="both"/>
        <w:textAlignment w:val="auto"/>
        <w:rPr>
          <w:rFonts w:ascii="Arial" w:eastAsiaTheme="minorHAnsi" w:hAnsi="Arial" w:cs="Arial"/>
          <w:i/>
          <w:iCs/>
          <w:sz w:val="22"/>
          <w:szCs w:val="22"/>
          <w:lang w:val="fr-FR"/>
        </w:rPr>
      </w:pPr>
    </w:p>
    <w:p w14:paraId="2CA491E2"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 xml:space="preserve">En vertu de la Résolution 12.9, le Secrétariat est chargé de recevoir, d’évaluer et, le cas échéant, de demander des informations supplémentaires relatives à la question de mise en œuvre pour l’aider à décider de sa recevabilité. À l’admission des informations et avant de présenter la question au </w:t>
      </w:r>
      <w:proofErr w:type="spellStart"/>
      <w:r w:rsidRPr="00FB1551">
        <w:rPr>
          <w:rFonts w:ascii="Arial" w:eastAsiaTheme="minorHAnsi" w:hAnsi="Arial" w:cs="Arial"/>
          <w:sz w:val="22"/>
          <w:szCs w:val="22"/>
          <w:lang w:val="fr-FR"/>
        </w:rPr>
        <w:t>StC</w:t>
      </w:r>
      <w:proofErr w:type="spellEnd"/>
      <w:r w:rsidRPr="00FB1551">
        <w:rPr>
          <w:rFonts w:ascii="Arial" w:eastAsiaTheme="minorHAnsi" w:hAnsi="Arial" w:cs="Arial"/>
          <w:sz w:val="22"/>
          <w:szCs w:val="22"/>
          <w:lang w:val="fr-FR"/>
        </w:rPr>
        <w:t>, le Secrétariat peut également demander des informations et ainsi donner l’occasion à la Partie concernée de formuler des commentaires ou de répondre à la question</w:t>
      </w:r>
      <w:r w:rsidRPr="00FB1551">
        <w:rPr>
          <w:rFonts w:ascii="Arial" w:eastAsiaTheme="minorHAnsi" w:hAnsi="Arial" w:cs="Arial"/>
          <w:sz w:val="22"/>
          <w:szCs w:val="22"/>
          <w:vertAlign w:val="superscript"/>
          <w:lang w:val="fr-FR"/>
        </w:rPr>
        <w:footnoteReference w:id="15"/>
      </w:r>
      <w:r w:rsidRPr="00FB1551">
        <w:rPr>
          <w:rFonts w:ascii="Arial" w:eastAsiaTheme="minorHAnsi" w:hAnsi="Arial" w:cs="Arial"/>
          <w:sz w:val="22"/>
          <w:szCs w:val="22"/>
          <w:lang w:val="fr-FR"/>
        </w:rPr>
        <w:t>.</w:t>
      </w:r>
    </w:p>
    <w:p w14:paraId="407D6398"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2562858D"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 xml:space="preserve">L’examen du Dossier nº 2021/01 par le Secrétariat a montré qu’il est parfois nécessaire, </w:t>
      </w:r>
      <w:r w:rsidRPr="00FB1551">
        <w:rPr>
          <w:rFonts w:ascii="Segoe UI" w:eastAsiaTheme="minorHAnsi" w:hAnsi="Segoe UI" w:cs="Segoe UI"/>
          <w:color w:val="374151"/>
          <w:sz w:val="22"/>
          <w:szCs w:val="22"/>
          <w:shd w:val="clear" w:color="auto" w:fill="F7F7F8"/>
          <w:lang w:val="fr-FR"/>
        </w:rPr>
        <w:t>a</w:t>
      </w:r>
      <w:r w:rsidRPr="00FB1551">
        <w:rPr>
          <w:rFonts w:ascii="Arial" w:eastAsiaTheme="minorHAnsi" w:hAnsi="Arial" w:cs="Arial"/>
          <w:sz w:val="22"/>
          <w:szCs w:val="22"/>
          <w:lang w:val="fr-FR"/>
        </w:rPr>
        <w:t>près avoir jugé un dossier comme recevable, de collecter des informations supplémentaires, souvent dans le cadre d’une mission d’enquête sur le terrain. Cela est essentiel pour procéder à une évaluation exhaustive de la question ou pour aider la Partie concernée à traiter la question de la mise en œuvre</w:t>
      </w:r>
      <w:r w:rsidRPr="00FB1551">
        <w:rPr>
          <w:rFonts w:ascii="Arial" w:eastAsiaTheme="minorHAnsi" w:hAnsi="Arial" w:cs="Arial"/>
          <w:sz w:val="22"/>
          <w:szCs w:val="22"/>
          <w:vertAlign w:val="superscript"/>
          <w:lang w:val="fr-FR"/>
        </w:rPr>
        <w:footnoteReference w:id="16"/>
      </w:r>
      <w:r w:rsidRPr="00FB1551">
        <w:rPr>
          <w:rFonts w:ascii="Arial" w:eastAsiaTheme="minorHAnsi" w:hAnsi="Arial" w:cs="Arial"/>
          <w:sz w:val="22"/>
          <w:szCs w:val="22"/>
          <w:lang w:val="fr-FR"/>
        </w:rPr>
        <w:t xml:space="preserve">. </w:t>
      </w:r>
    </w:p>
    <w:p w14:paraId="4FAA4910"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52C1D8A8"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 xml:space="preserve">Dans le cadre de l’examen du projet d’aménagement dans le paysage protégé de </w:t>
      </w:r>
      <w:proofErr w:type="spellStart"/>
      <w:r w:rsidRPr="00FB1551">
        <w:rPr>
          <w:rFonts w:ascii="Arial" w:eastAsiaTheme="minorHAnsi" w:hAnsi="Arial" w:cs="Arial"/>
          <w:sz w:val="22"/>
          <w:szCs w:val="22"/>
          <w:lang w:val="fr-FR"/>
        </w:rPr>
        <w:t>Vjosa</w:t>
      </w:r>
      <w:proofErr w:type="spellEnd"/>
      <w:r w:rsidRPr="00FB1551">
        <w:rPr>
          <w:rFonts w:ascii="Arial" w:eastAsiaTheme="minorHAnsi" w:hAnsi="Arial" w:cs="Arial"/>
          <w:sz w:val="22"/>
          <w:szCs w:val="22"/>
          <w:lang w:val="fr-FR"/>
        </w:rPr>
        <w:t>-Narta, le Secrétariat a participé à une mission d’enquête conjointe organisée par la Convention de Berne et l’Accord sur la conservation des oiseaux d’eau migrateurs d’Afrique-Eurasie (AEWA)</w:t>
      </w:r>
      <w:r w:rsidRPr="00FB1551">
        <w:rPr>
          <w:rFonts w:ascii="Arial" w:eastAsiaTheme="minorHAnsi" w:hAnsi="Arial" w:cs="Arial"/>
          <w:sz w:val="22"/>
          <w:szCs w:val="22"/>
          <w:vertAlign w:val="superscript"/>
          <w:lang w:val="fr-FR"/>
        </w:rPr>
        <w:footnoteReference w:id="17"/>
      </w:r>
      <w:r w:rsidRPr="00FB1551">
        <w:rPr>
          <w:rFonts w:ascii="Arial" w:eastAsiaTheme="minorHAnsi" w:hAnsi="Arial" w:cs="Arial"/>
          <w:sz w:val="22"/>
          <w:szCs w:val="22"/>
          <w:lang w:val="fr-FR"/>
        </w:rPr>
        <w:t xml:space="preserve">. </w:t>
      </w:r>
    </w:p>
    <w:p w14:paraId="71A189CF"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5D30AFCD"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Bien que le Secrétariat de la CMS ait pu parvenir à un accord avec le Gouvernement albanais sur la mission et son mandat, la résolution 12.9 manque d’orientations en ce qui concerne le recours aux missions d’enquête et les paramètres de celles-ci. Dans le cadre du mécanisme d’examen de la CMS, des orientations spécifiques sont essentielles pour clarifier différents aspects de ces missions, notamment les nominations d’experts, les mandats, le financement, les étapes du processus d’examen au cours desquelles ont lieu les missions d’enquête, l’implication des parties prenantes telles que les Parties concernées, et la production des rapports de mission d’enquête.</w:t>
      </w:r>
    </w:p>
    <w:p w14:paraId="2FD53100"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p>
    <w:p w14:paraId="20C5AB90" w14:textId="35B498C5"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L’existence de directives portant sur la collecte d’informations supplémentaires par des missions d’enquête conférerait au mécanisme d’examen un plus grand degré de certitude, de cohérence et de transparence. Ces orientations contribueraient également à simplifier le travail du Secrétariat en mettant fin aux multiples demandes d’information et en permettant de clarifier efficacement les faits sur le terrain, de manière à garantir que «</w:t>
      </w:r>
      <w:r w:rsidR="005C762A">
        <w:rPr>
          <w:rFonts w:ascii="Arial" w:eastAsiaTheme="minorHAnsi" w:hAnsi="Arial" w:cs="Arial"/>
          <w:sz w:val="22"/>
          <w:szCs w:val="22"/>
          <w:lang w:val="fr-FR"/>
        </w:rPr>
        <w:t> </w:t>
      </w:r>
      <w:r w:rsidRPr="00FB1551">
        <w:rPr>
          <w:rFonts w:ascii="Arial" w:eastAsiaTheme="minorHAnsi" w:hAnsi="Arial" w:cs="Arial"/>
          <w:sz w:val="22"/>
          <w:szCs w:val="22"/>
          <w:lang w:val="fr-FR"/>
        </w:rPr>
        <w:t>les questions de mise en œuvre sont traitées dans les meilleurs délais</w:t>
      </w:r>
      <w:r w:rsidR="005C762A">
        <w:rPr>
          <w:rFonts w:ascii="Arial" w:eastAsiaTheme="minorHAnsi" w:hAnsi="Arial" w:cs="Arial"/>
          <w:sz w:val="22"/>
          <w:szCs w:val="22"/>
          <w:lang w:val="fr-FR"/>
        </w:rPr>
        <w:t> </w:t>
      </w:r>
      <w:r w:rsidRPr="00FB1551">
        <w:rPr>
          <w:rFonts w:ascii="Arial" w:eastAsiaTheme="minorHAnsi" w:hAnsi="Arial" w:cs="Arial"/>
          <w:sz w:val="22"/>
          <w:szCs w:val="22"/>
          <w:lang w:val="fr-FR"/>
        </w:rPr>
        <w:t>»</w:t>
      </w:r>
      <w:r w:rsidRPr="00FB1551">
        <w:rPr>
          <w:rFonts w:ascii="Arial" w:eastAsiaTheme="minorHAnsi" w:hAnsi="Arial" w:cs="Arial"/>
          <w:sz w:val="22"/>
          <w:szCs w:val="22"/>
          <w:vertAlign w:val="superscript"/>
          <w:lang w:val="fr-FR"/>
        </w:rPr>
        <w:footnoteReference w:id="18"/>
      </w:r>
      <w:r w:rsidRPr="00FB1551">
        <w:rPr>
          <w:rFonts w:ascii="Arial" w:eastAsiaTheme="minorHAnsi" w:hAnsi="Arial" w:cs="Arial"/>
          <w:sz w:val="22"/>
          <w:szCs w:val="22"/>
          <w:lang w:val="fr-FR"/>
        </w:rPr>
        <w:t>.</w:t>
      </w:r>
    </w:p>
    <w:p w14:paraId="4DEE55CB" w14:textId="77777777" w:rsidR="00FB1551" w:rsidRPr="00FB1551" w:rsidRDefault="00FB1551" w:rsidP="00A4099F">
      <w:pPr>
        <w:widowControl/>
        <w:autoSpaceDE/>
        <w:autoSpaceDN/>
        <w:textAlignment w:val="auto"/>
        <w:rPr>
          <w:rFonts w:ascii="Arial" w:eastAsiaTheme="minorHAnsi" w:hAnsi="Arial" w:cstheme="minorBidi"/>
          <w:i/>
          <w:iCs/>
          <w:sz w:val="22"/>
          <w:szCs w:val="22"/>
          <w:lang w:val="fr-FR"/>
        </w:rPr>
      </w:pPr>
      <w:r w:rsidRPr="00FB1551">
        <w:rPr>
          <w:rFonts w:ascii="Arial" w:eastAsiaTheme="minorHAnsi" w:hAnsi="Arial" w:cstheme="minorBidi"/>
          <w:i/>
          <w:iCs/>
          <w:sz w:val="22"/>
          <w:szCs w:val="22"/>
          <w:lang w:val="fr-FR"/>
        </w:rPr>
        <w:t>Directives</w:t>
      </w:r>
    </w:p>
    <w:p w14:paraId="77C70578" w14:textId="77777777" w:rsidR="00FB1551" w:rsidRPr="00FB1551" w:rsidRDefault="00FB1551" w:rsidP="00A4099F">
      <w:pPr>
        <w:widowControl/>
        <w:autoSpaceDE/>
        <w:autoSpaceDN/>
        <w:jc w:val="both"/>
        <w:rPr>
          <w:rFonts w:ascii="Arial" w:hAnsi="Arial" w:cs="Arial"/>
          <w:sz w:val="22"/>
          <w:szCs w:val="22"/>
          <w:lang w:val="fr-FR"/>
        </w:rPr>
      </w:pPr>
      <w:r w:rsidRPr="00FB1551">
        <w:rPr>
          <w:rFonts w:ascii="Arial" w:hAnsi="Arial" w:cs="Arial"/>
          <w:sz w:val="22"/>
          <w:szCs w:val="22"/>
          <w:lang w:val="fr-FR"/>
        </w:rPr>
        <w:lastRenderedPageBreak/>
        <w:t xml:space="preserve">Lorsque les informations fournies par la personne et/ou la Partie concernée sont jugées insuffisantes ou contradictoires, ou lorsque les conditions sur le terrain évoluent, le Secrétariat peut </w:t>
      </w:r>
      <w:r w:rsidRPr="00FB1551">
        <w:rPr>
          <w:rFonts w:ascii="Arial" w:hAnsi="Arial" w:cs="Arial"/>
          <w:color w:val="000000" w:themeColor="text1"/>
          <w:sz w:val="22"/>
          <w:szCs w:val="22"/>
          <w:lang w:val="fr-FR"/>
        </w:rPr>
        <w:t xml:space="preserve">demander, à tout moment au cours du traitement et de l’examen de la question de mise en œuvre, à la Partie concernée de consentir à une </w:t>
      </w:r>
      <w:r w:rsidRPr="00FB1551">
        <w:rPr>
          <w:rFonts w:ascii="Arial" w:hAnsi="Arial" w:cs="Arial"/>
          <w:sz w:val="22"/>
          <w:szCs w:val="22"/>
          <w:lang w:val="fr-FR"/>
        </w:rPr>
        <w:t>mission d’enquête. Les missions d’enquête consistent en des visites d’experts indépendants dans le but de collecter des informations supplémentaires sur la mise en œuvre des paragraphes 4, 5 ou 7 de l’article III ou du paragraphe 2 de l’article VI de la Convention.</w:t>
      </w:r>
    </w:p>
    <w:p w14:paraId="2929C528" w14:textId="77777777" w:rsidR="00FB1551" w:rsidRPr="00FB1551" w:rsidRDefault="00FB1551" w:rsidP="00A4099F">
      <w:pPr>
        <w:widowControl/>
        <w:autoSpaceDE/>
        <w:autoSpaceDN/>
        <w:jc w:val="both"/>
        <w:rPr>
          <w:rFonts w:ascii="Arial" w:hAnsi="Arial" w:cs="Arial"/>
          <w:sz w:val="22"/>
          <w:szCs w:val="22"/>
          <w:lang w:val="fr-FR"/>
        </w:rPr>
      </w:pPr>
    </w:p>
    <w:p w14:paraId="427D4D0C" w14:textId="77777777" w:rsidR="00FB1551" w:rsidRPr="00FB1551" w:rsidRDefault="00FB1551" w:rsidP="00A4099F">
      <w:pPr>
        <w:widowControl/>
        <w:autoSpaceDE/>
        <w:autoSpaceDN/>
        <w:jc w:val="both"/>
        <w:textAlignment w:val="auto"/>
        <w:rPr>
          <w:rFonts w:ascii="Arial" w:eastAsiaTheme="minorHAnsi" w:hAnsi="Arial" w:cs="Arial"/>
          <w:sz w:val="22"/>
          <w:szCs w:val="22"/>
          <w:lang w:val="fr-FR"/>
        </w:rPr>
      </w:pPr>
      <w:r w:rsidRPr="00FB1551">
        <w:rPr>
          <w:rFonts w:ascii="Arial" w:eastAsiaTheme="minorHAnsi" w:hAnsi="Arial" w:cs="Arial"/>
          <w:sz w:val="22"/>
          <w:szCs w:val="22"/>
          <w:lang w:val="fr-FR"/>
        </w:rPr>
        <w:t>Le Secrétariat demande par écrit à la Partie concernée de consentir à la mission d’enquête</w:t>
      </w:r>
      <w:r w:rsidRPr="00FB1551">
        <w:rPr>
          <w:rFonts w:ascii="Segoe UI" w:eastAsiaTheme="minorHAnsi" w:hAnsi="Segoe UI" w:cs="Segoe UI"/>
          <w:color w:val="374151"/>
          <w:sz w:val="22"/>
          <w:szCs w:val="22"/>
          <w:shd w:val="clear" w:color="auto" w:fill="F7F7F8"/>
          <w:lang w:val="fr-FR"/>
        </w:rPr>
        <w:t xml:space="preserve">. </w:t>
      </w:r>
      <w:r w:rsidRPr="00FB1551">
        <w:rPr>
          <w:rFonts w:ascii="Arial" w:eastAsiaTheme="minorHAnsi" w:hAnsi="Arial" w:cs="Arial"/>
          <w:sz w:val="22"/>
          <w:szCs w:val="22"/>
          <w:lang w:val="fr-FR"/>
        </w:rPr>
        <w:t>Cette communication expose dans les grandes lignes l’objectif de la mission d’enquête et les informations spécifiques manquantes ou contradictoires, ou encore les raisons sous-jacentes justifiant cette demande de mission d’enquête.</w:t>
      </w:r>
    </w:p>
    <w:p w14:paraId="5C01A411" w14:textId="77777777" w:rsidR="00FB1551" w:rsidRPr="00FB1551" w:rsidRDefault="00FB1551" w:rsidP="00A4099F">
      <w:pPr>
        <w:widowControl/>
        <w:autoSpaceDE/>
        <w:autoSpaceDN/>
        <w:jc w:val="both"/>
        <w:textAlignment w:val="auto"/>
        <w:rPr>
          <w:rFonts w:ascii="Arial" w:eastAsiaTheme="minorHAnsi" w:hAnsi="Arial" w:cs="Arial"/>
          <w:i/>
          <w:iCs/>
          <w:sz w:val="22"/>
          <w:szCs w:val="22"/>
          <w:lang w:val="fr-FR"/>
        </w:rPr>
      </w:pPr>
    </w:p>
    <w:p w14:paraId="460010CB" w14:textId="77777777" w:rsidR="00FB1551" w:rsidRPr="00FB1551" w:rsidRDefault="00FB1551" w:rsidP="00A4099F">
      <w:pPr>
        <w:widowControl/>
        <w:autoSpaceDE/>
        <w:autoSpaceDN/>
        <w:jc w:val="both"/>
        <w:rPr>
          <w:rFonts w:ascii="Arial" w:hAnsi="Arial" w:cs="Arial"/>
          <w:sz w:val="22"/>
          <w:szCs w:val="22"/>
          <w:lang w:val="fr-FR"/>
        </w:rPr>
      </w:pPr>
      <w:r w:rsidRPr="00FB1551">
        <w:rPr>
          <w:rFonts w:ascii="Arial" w:hAnsi="Arial" w:cs="Arial"/>
          <w:sz w:val="22"/>
          <w:szCs w:val="22"/>
          <w:lang w:val="fr-FR"/>
        </w:rPr>
        <w:t>La mission d’enquête sera effectuée par un expert indépendant, désigné par le Secrétariat en accord avec la Partie concernée. L’expert désigné ne doit pas représenter ou avoir représenté légalement la Partie concernée. Il ne peut pas non plus être un ressortissant du pays où aura lieu la mission d’enquête.</w:t>
      </w:r>
    </w:p>
    <w:p w14:paraId="0B9115D0" w14:textId="77777777" w:rsidR="00FB1551" w:rsidRPr="00FB1551" w:rsidRDefault="00FB1551" w:rsidP="00A4099F">
      <w:pPr>
        <w:widowControl/>
        <w:autoSpaceDE/>
        <w:autoSpaceDN/>
        <w:jc w:val="both"/>
        <w:rPr>
          <w:rFonts w:ascii="Arial" w:hAnsi="Arial" w:cs="Arial"/>
          <w:sz w:val="22"/>
          <w:szCs w:val="22"/>
          <w:lang w:val="fr-FR"/>
        </w:rPr>
      </w:pPr>
    </w:p>
    <w:p w14:paraId="57FE8CC6" w14:textId="136F35B4" w:rsidR="00FB1551" w:rsidRPr="00FB1551" w:rsidRDefault="00FB1551" w:rsidP="00A4099F">
      <w:pPr>
        <w:widowControl/>
        <w:autoSpaceDE/>
        <w:autoSpaceDN/>
        <w:spacing w:after="120"/>
        <w:jc w:val="both"/>
        <w:rPr>
          <w:rFonts w:ascii="Arial" w:hAnsi="Arial" w:cs="Arial"/>
          <w:sz w:val="22"/>
          <w:szCs w:val="22"/>
          <w:lang w:val="fr-FR"/>
        </w:rPr>
      </w:pPr>
      <w:r w:rsidRPr="00FB1551">
        <w:rPr>
          <w:rFonts w:ascii="Arial" w:hAnsi="Arial" w:cs="Arial"/>
          <w:sz w:val="22"/>
          <w:szCs w:val="22"/>
          <w:lang w:val="fr-FR"/>
        </w:rPr>
        <w:t>Le Secrétariat et la Partie concernée détermineront ensemble le mandat de la mission d’enquête. Le mandat doit au moins préciser les éléments suivants</w:t>
      </w:r>
      <w:r w:rsidR="005C762A">
        <w:rPr>
          <w:rFonts w:ascii="Arial" w:hAnsi="Arial" w:cs="Arial"/>
          <w:sz w:val="22"/>
          <w:szCs w:val="22"/>
          <w:lang w:val="fr-FR"/>
        </w:rPr>
        <w:t> </w:t>
      </w:r>
      <w:r w:rsidRPr="00FB1551">
        <w:rPr>
          <w:rFonts w:ascii="Arial" w:hAnsi="Arial" w:cs="Arial"/>
          <w:sz w:val="22"/>
          <w:szCs w:val="22"/>
          <w:lang w:val="fr-FR"/>
        </w:rPr>
        <w:t>:</w:t>
      </w:r>
    </w:p>
    <w:p w14:paraId="5B6B7B51" w14:textId="77777777" w:rsidR="00FB1551" w:rsidRPr="00FB1551" w:rsidRDefault="00FB1551" w:rsidP="00A4099F">
      <w:pPr>
        <w:widowControl/>
        <w:numPr>
          <w:ilvl w:val="0"/>
          <w:numId w:val="4"/>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le contexte de la question de mise en œuvre ;</w:t>
      </w:r>
    </w:p>
    <w:p w14:paraId="4566C823" w14:textId="77777777" w:rsidR="00FB1551" w:rsidRPr="00FB1551" w:rsidRDefault="00FB1551" w:rsidP="00A4099F">
      <w:pPr>
        <w:widowControl/>
        <w:numPr>
          <w:ilvl w:val="0"/>
          <w:numId w:val="4"/>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les objectifs de la mission d’enquête ;</w:t>
      </w:r>
    </w:p>
    <w:p w14:paraId="1318CE45" w14:textId="77777777" w:rsidR="00FB1551" w:rsidRPr="00FB1551" w:rsidRDefault="00FB1551" w:rsidP="00A4099F">
      <w:pPr>
        <w:widowControl/>
        <w:numPr>
          <w:ilvl w:val="0"/>
          <w:numId w:val="4"/>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 xml:space="preserve">la composition de l’équipe de la mission ; </w:t>
      </w:r>
    </w:p>
    <w:p w14:paraId="39ADE198" w14:textId="77777777" w:rsidR="00FB1551" w:rsidRPr="00FB1551" w:rsidRDefault="00FB1551" w:rsidP="00A4099F">
      <w:pPr>
        <w:widowControl/>
        <w:numPr>
          <w:ilvl w:val="0"/>
          <w:numId w:val="4"/>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la liste des autorités nationales et des autres parties prenantes concernées, avec leurs coordonnées respectives ;</w:t>
      </w:r>
    </w:p>
    <w:p w14:paraId="5EB4445B" w14:textId="77777777" w:rsidR="00FB1551" w:rsidRPr="00FB1551" w:rsidRDefault="00FB1551" w:rsidP="00A4099F">
      <w:pPr>
        <w:widowControl/>
        <w:numPr>
          <w:ilvl w:val="0"/>
          <w:numId w:val="4"/>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les informations relatives au financement et aux organisations participant à la mission d’enquête ;</w:t>
      </w:r>
    </w:p>
    <w:p w14:paraId="44AF437B" w14:textId="77777777" w:rsidR="00FB1551" w:rsidRPr="00FB1551" w:rsidRDefault="00FB1551" w:rsidP="00A4099F">
      <w:pPr>
        <w:widowControl/>
        <w:numPr>
          <w:ilvl w:val="0"/>
          <w:numId w:val="4"/>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les résultats escomptés de la mission ;</w:t>
      </w:r>
    </w:p>
    <w:p w14:paraId="12BC9928" w14:textId="77777777" w:rsidR="00FB1551" w:rsidRPr="00FB1551" w:rsidRDefault="00FB1551" w:rsidP="00A4099F">
      <w:pPr>
        <w:widowControl/>
        <w:numPr>
          <w:ilvl w:val="0"/>
          <w:numId w:val="4"/>
        </w:numPr>
        <w:autoSpaceDE/>
        <w:autoSpaceDN/>
        <w:ind w:left="567" w:hanging="567"/>
        <w:jc w:val="both"/>
        <w:textAlignment w:val="auto"/>
        <w:rPr>
          <w:rFonts w:ascii="Arial" w:hAnsi="Arial" w:cs="Arial"/>
          <w:sz w:val="22"/>
          <w:szCs w:val="22"/>
          <w:lang w:val="fr-FR"/>
        </w:rPr>
      </w:pPr>
      <w:r w:rsidRPr="00FB1551">
        <w:rPr>
          <w:rFonts w:ascii="Arial" w:hAnsi="Arial" w:cs="Arial"/>
          <w:sz w:val="22"/>
          <w:szCs w:val="22"/>
          <w:lang w:val="fr-FR"/>
        </w:rPr>
        <w:t>le calendrier provisoire.</w:t>
      </w:r>
    </w:p>
    <w:p w14:paraId="684C5458" w14:textId="77777777" w:rsidR="00FB1551" w:rsidRPr="00FB1551" w:rsidRDefault="00FB1551" w:rsidP="00A4099F">
      <w:pPr>
        <w:widowControl/>
        <w:autoSpaceDE/>
        <w:autoSpaceDN/>
        <w:jc w:val="both"/>
        <w:rPr>
          <w:rFonts w:ascii="Arial" w:hAnsi="Arial" w:cs="Arial"/>
          <w:sz w:val="22"/>
          <w:szCs w:val="22"/>
          <w:lang w:val="fr-FR"/>
        </w:rPr>
      </w:pPr>
    </w:p>
    <w:p w14:paraId="534C9261" w14:textId="77777777" w:rsidR="00FB1551" w:rsidRPr="00FB1551" w:rsidRDefault="00FB1551" w:rsidP="00A4099F">
      <w:pPr>
        <w:widowControl/>
        <w:autoSpaceDE/>
        <w:autoSpaceDN/>
        <w:jc w:val="both"/>
        <w:rPr>
          <w:rFonts w:ascii="Arial" w:hAnsi="Arial" w:cs="Arial"/>
          <w:sz w:val="22"/>
          <w:szCs w:val="22"/>
          <w:lang w:val="fr-FR"/>
        </w:rPr>
      </w:pPr>
      <w:r w:rsidRPr="00FB1551">
        <w:rPr>
          <w:rFonts w:ascii="Arial" w:hAnsi="Arial" w:cs="Arial"/>
          <w:sz w:val="22"/>
          <w:szCs w:val="22"/>
          <w:lang w:val="fr-FR"/>
        </w:rPr>
        <w:t>L’expert collecte les informations sur le terrain, accompagné d’un membre du Secrétariat, de la Partie concernée, des autorités nationales et, le cas échéant, d’autres parties prenantes telles que d’autres AME participant à la mission.</w:t>
      </w:r>
    </w:p>
    <w:p w14:paraId="3B9867FC" w14:textId="77777777" w:rsidR="00FB1551" w:rsidRPr="00FB1551" w:rsidRDefault="00FB1551" w:rsidP="00A4099F">
      <w:pPr>
        <w:widowControl/>
        <w:autoSpaceDE/>
        <w:autoSpaceDN/>
        <w:jc w:val="both"/>
        <w:rPr>
          <w:rFonts w:ascii="Arial" w:hAnsi="Arial" w:cs="Arial"/>
          <w:sz w:val="22"/>
          <w:szCs w:val="22"/>
          <w:lang w:val="fr-FR"/>
        </w:rPr>
      </w:pPr>
    </w:p>
    <w:p w14:paraId="60D9F2BB" w14:textId="77777777" w:rsidR="00FB1551" w:rsidRPr="00FB1551" w:rsidRDefault="00FB1551" w:rsidP="00A4099F">
      <w:pPr>
        <w:widowControl/>
        <w:autoSpaceDE/>
        <w:autoSpaceDN/>
        <w:jc w:val="both"/>
        <w:rPr>
          <w:rFonts w:ascii="Arial" w:hAnsi="Arial" w:cs="Arial"/>
          <w:sz w:val="22"/>
          <w:szCs w:val="22"/>
          <w:lang w:val="fr-FR"/>
        </w:rPr>
      </w:pPr>
      <w:r w:rsidRPr="00FB1551">
        <w:rPr>
          <w:rFonts w:ascii="Arial" w:hAnsi="Arial" w:cs="Arial"/>
          <w:sz w:val="22"/>
          <w:szCs w:val="22"/>
          <w:lang w:val="fr-FR"/>
        </w:rPr>
        <w:t>Le Secrétariat prendra en charge les frais de sous-traitance, de voyage et de séjour en lien avec la mission d’enquête, sous réserve de la disponibilité de fonds suffisants, et en collaboration avec la Partie concernée.</w:t>
      </w:r>
    </w:p>
    <w:p w14:paraId="2441D504" w14:textId="77777777" w:rsidR="00FB1551" w:rsidRPr="00FB1551" w:rsidRDefault="00FB1551" w:rsidP="00A4099F">
      <w:pPr>
        <w:widowControl/>
        <w:autoSpaceDE/>
        <w:autoSpaceDN/>
        <w:jc w:val="both"/>
        <w:rPr>
          <w:rFonts w:ascii="Arial" w:hAnsi="Arial" w:cs="Arial"/>
          <w:sz w:val="22"/>
          <w:szCs w:val="22"/>
          <w:lang w:val="fr-FR"/>
        </w:rPr>
      </w:pPr>
    </w:p>
    <w:p w14:paraId="0C95AF35" w14:textId="42607D07" w:rsidR="00FB1551" w:rsidRPr="00FB1551" w:rsidRDefault="00FB1551" w:rsidP="00A4099F">
      <w:pPr>
        <w:widowControl/>
        <w:autoSpaceDE/>
        <w:autoSpaceDN/>
        <w:spacing w:after="120"/>
        <w:jc w:val="both"/>
        <w:rPr>
          <w:rFonts w:ascii="Arial" w:hAnsi="Arial" w:cs="Arial"/>
          <w:sz w:val="22"/>
          <w:szCs w:val="22"/>
          <w:lang w:val="fr-FR"/>
        </w:rPr>
      </w:pPr>
      <w:r w:rsidRPr="00FB1551">
        <w:rPr>
          <w:rFonts w:ascii="Arial" w:hAnsi="Arial" w:cs="Arial"/>
          <w:sz w:val="22"/>
          <w:szCs w:val="22"/>
          <w:lang w:val="fr-FR"/>
        </w:rPr>
        <w:t>L’expert remet un rapport écrit sur les conclusions de la mission d’enquête (dans l’une des langues officielles de la CMS) qui comprend, au moins, les informations suivantes</w:t>
      </w:r>
      <w:r w:rsidR="005C762A">
        <w:rPr>
          <w:rFonts w:ascii="Arial" w:hAnsi="Arial" w:cs="Arial"/>
          <w:sz w:val="22"/>
          <w:szCs w:val="22"/>
          <w:lang w:val="fr-FR"/>
        </w:rPr>
        <w:t> </w:t>
      </w:r>
      <w:r w:rsidRPr="00FB1551">
        <w:rPr>
          <w:rFonts w:ascii="Arial" w:hAnsi="Arial" w:cs="Arial"/>
          <w:sz w:val="22"/>
          <w:szCs w:val="22"/>
          <w:lang w:val="fr-FR"/>
        </w:rPr>
        <w:t>:</w:t>
      </w:r>
    </w:p>
    <w:p w14:paraId="656F32EF" w14:textId="77777777" w:rsidR="00FB1551" w:rsidRPr="00FB1551" w:rsidRDefault="00FB1551" w:rsidP="00A4099F">
      <w:pPr>
        <w:widowControl/>
        <w:numPr>
          <w:ilvl w:val="0"/>
          <w:numId w:val="5"/>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un résumé des informations collectées ;</w:t>
      </w:r>
    </w:p>
    <w:p w14:paraId="7601DAE1" w14:textId="77777777" w:rsidR="00FB1551" w:rsidRPr="00FB1551" w:rsidRDefault="00FB1551" w:rsidP="00A4099F">
      <w:pPr>
        <w:widowControl/>
        <w:numPr>
          <w:ilvl w:val="0"/>
          <w:numId w:val="5"/>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une description des activités entreprises ;</w:t>
      </w:r>
    </w:p>
    <w:p w14:paraId="4036E4B2" w14:textId="77777777" w:rsidR="00FB1551" w:rsidRPr="00FB1551" w:rsidRDefault="00FB1551" w:rsidP="00A4099F">
      <w:pPr>
        <w:widowControl/>
        <w:numPr>
          <w:ilvl w:val="0"/>
          <w:numId w:val="5"/>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la pertinence des informations collectées pour la mise en œuvre des paragraphes 4, 5 et 7 de l’article III et du paragraphe 2 de l’article VI de la Convention, le cas échéant, notamment les impacts sur les espèces inscrites à l’Annexe I et sur leurs habitats ;</w:t>
      </w:r>
    </w:p>
    <w:p w14:paraId="14F05D5A" w14:textId="77777777" w:rsidR="00FB1551" w:rsidRPr="00FB1551" w:rsidRDefault="00FB1551" w:rsidP="00A4099F">
      <w:pPr>
        <w:widowControl/>
        <w:numPr>
          <w:ilvl w:val="0"/>
          <w:numId w:val="5"/>
        </w:numPr>
        <w:autoSpaceDE/>
        <w:autoSpaceDN/>
        <w:spacing w:after="120"/>
        <w:ind w:left="567" w:hanging="567"/>
        <w:jc w:val="both"/>
        <w:textAlignment w:val="auto"/>
        <w:rPr>
          <w:rFonts w:ascii="Arial" w:hAnsi="Arial" w:cs="Arial"/>
          <w:sz w:val="22"/>
          <w:szCs w:val="22"/>
          <w:lang w:val="fr-FR"/>
        </w:rPr>
      </w:pPr>
      <w:r w:rsidRPr="00FB1551">
        <w:rPr>
          <w:rFonts w:ascii="Arial" w:hAnsi="Arial" w:cs="Arial"/>
          <w:sz w:val="22"/>
          <w:szCs w:val="22"/>
          <w:lang w:val="fr-FR"/>
        </w:rPr>
        <w:t>les conclusions de la mission d’enquête et les recommandations formulées ;</w:t>
      </w:r>
    </w:p>
    <w:p w14:paraId="643A139E" w14:textId="77777777" w:rsidR="00FB1551" w:rsidRPr="00FB1551" w:rsidRDefault="00FB1551" w:rsidP="00A4099F">
      <w:pPr>
        <w:widowControl/>
        <w:numPr>
          <w:ilvl w:val="0"/>
          <w:numId w:val="5"/>
        </w:numPr>
        <w:autoSpaceDE/>
        <w:autoSpaceDN/>
        <w:ind w:left="567" w:hanging="567"/>
        <w:jc w:val="both"/>
        <w:textAlignment w:val="auto"/>
        <w:rPr>
          <w:rFonts w:ascii="Arial" w:hAnsi="Arial" w:cs="Arial"/>
          <w:sz w:val="22"/>
          <w:szCs w:val="22"/>
          <w:lang w:val="fr-FR"/>
        </w:rPr>
      </w:pPr>
      <w:r w:rsidRPr="00FB1551">
        <w:rPr>
          <w:rFonts w:ascii="Arial" w:hAnsi="Arial" w:cs="Arial"/>
          <w:sz w:val="22"/>
          <w:szCs w:val="22"/>
          <w:lang w:val="fr-FR"/>
        </w:rPr>
        <w:t>les informations complémentaires.</w:t>
      </w:r>
    </w:p>
    <w:p w14:paraId="7E9B51AA" w14:textId="7B3DBCF7" w:rsidR="005D1880" w:rsidRPr="000663D8" w:rsidRDefault="00FB1551" w:rsidP="000663D8">
      <w:pPr>
        <w:widowControl/>
        <w:autoSpaceDE/>
        <w:autoSpaceDN/>
        <w:jc w:val="both"/>
        <w:textAlignment w:val="auto"/>
        <w:rPr>
          <w:rFonts w:ascii="Arial" w:eastAsiaTheme="minorHAnsi" w:hAnsi="Arial" w:cstheme="minorBidi"/>
          <w:sz w:val="22"/>
          <w:szCs w:val="22"/>
          <w:lang w:val="fr-FR"/>
        </w:rPr>
      </w:pPr>
      <w:r w:rsidRPr="00FB1551">
        <w:rPr>
          <w:rFonts w:ascii="Arial" w:eastAsiaTheme="minorHAnsi" w:hAnsi="Arial" w:cs="Arial"/>
          <w:sz w:val="22"/>
          <w:szCs w:val="22"/>
          <w:lang w:val="fr-FR"/>
        </w:rPr>
        <w:lastRenderedPageBreak/>
        <w:t>Pour s’assurer que « les examens sont effectués en synergie et en coopération avec d’autres processus pertinents au sein de la CMS et en dehors »</w:t>
      </w:r>
      <w:r w:rsidRPr="00FB1551">
        <w:rPr>
          <w:rFonts w:ascii="Arial" w:eastAsiaTheme="minorHAnsi" w:hAnsi="Arial" w:cs="Arial"/>
          <w:sz w:val="22"/>
          <w:szCs w:val="22"/>
          <w:vertAlign w:val="superscript"/>
          <w:lang w:val="fr-FR"/>
        </w:rPr>
        <w:footnoteReference w:id="19"/>
      </w:r>
      <w:r w:rsidRPr="00FB1551">
        <w:rPr>
          <w:rFonts w:ascii="Arial" w:eastAsiaTheme="minorHAnsi" w:hAnsi="Arial" w:cs="Arial"/>
          <w:sz w:val="22"/>
          <w:szCs w:val="22"/>
          <w:lang w:val="fr-FR"/>
        </w:rPr>
        <w:t>, le Secrétariat cherchera de manière proactive à nouer des collaborations dans ses missions d’enquête s’il est informé qu’un autre AME traite de la même question de mise en œuvre. Les missions d’enquête conjointes s’efforceront d’éviter la duplication des efforts et les positions contradictoires au niveau international, et le Secrétariat de la CMS devra respecter ces directives opérationnelles au moment de proposer une mission d’enquête conjointe à une Partie concernée.</w:t>
      </w:r>
    </w:p>
    <w:p w14:paraId="61273576" w14:textId="052928F5" w:rsidR="000663D8" w:rsidRDefault="000663D8" w:rsidP="00A4099F">
      <w:pPr>
        <w:rPr>
          <w:rFonts w:ascii="Arial" w:hAnsi="Arial" w:cs="Arial"/>
          <w:sz w:val="22"/>
          <w:szCs w:val="22"/>
          <w:lang w:val="fr-FR"/>
        </w:rPr>
      </w:pPr>
      <w:r>
        <w:rPr>
          <w:rFonts w:ascii="Arial" w:hAnsi="Arial" w:cs="Arial"/>
          <w:sz w:val="22"/>
          <w:szCs w:val="22"/>
          <w:lang w:val="fr-FR"/>
        </w:rPr>
        <w:br w:type="page"/>
      </w:r>
    </w:p>
    <w:p w14:paraId="5CD49333" w14:textId="299CE8C7" w:rsidR="00D82C56" w:rsidRPr="00A048E3" w:rsidRDefault="00A048E3" w:rsidP="00A4099F">
      <w:pPr>
        <w:jc w:val="center"/>
        <w:rPr>
          <w:rFonts w:ascii="Arial" w:hAnsi="Arial" w:cs="Arial"/>
          <w:sz w:val="22"/>
          <w:szCs w:val="22"/>
          <w:lang w:val="fr-FR"/>
        </w:rPr>
      </w:pPr>
      <w:r w:rsidRPr="00A048E3">
        <w:rPr>
          <w:rFonts w:ascii="Arial" w:hAnsi="Arial" w:cs="Arial"/>
          <w:sz w:val="22"/>
          <w:szCs w:val="22"/>
          <w:lang w:val="fr-FR"/>
        </w:rPr>
        <w:lastRenderedPageBreak/>
        <w:t>PROJET</w:t>
      </w:r>
      <w:r w:rsidR="000663D8">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0663D8">
        <w:rPr>
          <w:rFonts w:ascii="Arial" w:hAnsi="Arial" w:cs="Arial"/>
          <w:sz w:val="22"/>
          <w:szCs w:val="22"/>
          <w:lang w:val="fr-FR"/>
        </w:rPr>
        <w:t>S</w:t>
      </w:r>
    </w:p>
    <w:p w14:paraId="621FE7FD" w14:textId="77777777" w:rsidR="00D82C56" w:rsidRPr="00A048E3" w:rsidRDefault="00D82C56" w:rsidP="00A4099F">
      <w:pPr>
        <w:rPr>
          <w:rFonts w:ascii="Arial" w:hAnsi="Arial" w:cs="Arial"/>
          <w:sz w:val="22"/>
          <w:szCs w:val="22"/>
          <w:lang w:val="fr-FR"/>
        </w:rPr>
      </w:pPr>
    </w:p>
    <w:p w14:paraId="512E8CF5" w14:textId="77777777" w:rsidR="00A4099F" w:rsidRPr="00A4099F" w:rsidRDefault="00A4099F" w:rsidP="00A4099F">
      <w:pPr>
        <w:widowControl/>
        <w:autoSpaceDE/>
        <w:autoSpaceDN/>
        <w:jc w:val="center"/>
        <w:textAlignment w:val="auto"/>
        <w:rPr>
          <w:rFonts w:ascii="Arial" w:eastAsiaTheme="minorHAnsi" w:hAnsi="Arial" w:cs="Arial"/>
          <w:b/>
          <w:sz w:val="22"/>
          <w:szCs w:val="22"/>
          <w:lang w:val="fr-FR"/>
        </w:rPr>
      </w:pPr>
      <w:r w:rsidRPr="00A4099F">
        <w:rPr>
          <w:rFonts w:ascii="Arial" w:eastAsiaTheme="minorHAnsi" w:hAnsi="Arial" w:cs="Arial"/>
          <w:b/>
          <w:sz w:val="22"/>
          <w:szCs w:val="22"/>
          <w:lang w:val="fr-FR"/>
        </w:rPr>
        <w:t xml:space="preserve">MÉCANISME D’EXAMEN ET PROGRAMME SUR LA LÉGISLATION NATIONALE </w:t>
      </w:r>
    </w:p>
    <w:p w14:paraId="01E260C9" w14:textId="77777777" w:rsidR="00A4099F" w:rsidRPr="00A4099F" w:rsidRDefault="00A4099F" w:rsidP="00B15B88">
      <w:pPr>
        <w:widowControl/>
        <w:autoSpaceDE/>
        <w:autoSpaceDN/>
        <w:textAlignment w:val="auto"/>
        <w:rPr>
          <w:rFonts w:ascii="Arial" w:eastAsiaTheme="minorHAnsi" w:hAnsi="Arial" w:cs="Arial"/>
          <w:sz w:val="22"/>
          <w:szCs w:val="22"/>
          <w:lang w:val="fr-FR"/>
        </w:rPr>
      </w:pPr>
    </w:p>
    <w:p w14:paraId="64A7A0F6" w14:textId="77777777" w:rsidR="00A4099F" w:rsidRPr="00A4099F" w:rsidRDefault="00A4099F" w:rsidP="00B15B88">
      <w:pPr>
        <w:widowControl/>
        <w:autoSpaceDE/>
        <w:autoSpaceDN/>
        <w:textAlignment w:val="auto"/>
        <w:rPr>
          <w:rFonts w:ascii="Arial" w:eastAsiaTheme="minorHAnsi" w:hAnsi="Arial" w:cs="Arial"/>
          <w:sz w:val="22"/>
          <w:szCs w:val="22"/>
          <w:lang w:val="fr-FR"/>
        </w:rPr>
      </w:pPr>
    </w:p>
    <w:p w14:paraId="0DD6E214" w14:textId="77777777" w:rsidR="00A4099F" w:rsidRPr="00A4099F" w:rsidRDefault="00A4099F" w:rsidP="00A4099F">
      <w:pPr>
        <w:widowControl/>
        <w:autoSpaceDE/>
        <w:autoSpaceDN/>
        <w:jc w:val="both"/>
        <w:textAlignment w:val="auto"/>
        <w:rPr>
          <w:rFonts w:ascii="Arial" w:eastAsia="Calibri" w:hAnsi="Arial" w:cstheme="minorBidi"/>
          <w:b/>
          <w:bCs/>
          <w:i/>
          <w:iCs/>
          <w:sz w:val="22"/>
          <w:szCs w:val="22"/>
          <w:lang w:val="fr-FR"/>
        </w:rPr>
      </w:pPr>
      <w:r w:rsidRPr="00A4099F">
        <w:rPr>
          <w:rFonts w:ascii="Arial" w:eastAsia="Calibri" w:hAnsi="Arial" w:cstheme="minorBidi"/>
          <w:b/>
          <w:bCs/>
          <w:i/>
          <w:iCs/>
          <w:sz w:val="22"/>
          <w:szCs w:val="22"/>
          <w:lang w:val="fr-FR"/>
        </w:rPr>
        <w:t>Adressée au Secrétariat</w:t>
      </w:r>
    </w:p>
    <w:p w14:paraId="07ABC22E" w14:textId="77777777" w:rsidR="00A4099F" w:rsidRPr="00A4099F" w:rsidRDefault="00A4099F" w:rsidP="00A4099F">
      <w:pPr>
        <w:widowControl/>
        <w:autoSpaceDE/>
        <w:autoSpaceDN/>
        <w:jc w:val="both"/>
        <w:textAlignment w:val="auto"/>
        <w:rPr>
          <w:rFonts w:ascii="Arial" w:eastAsia="Calibri" w:hAnsi="Arial" w:cstheme="minorBidi"/>
          <w:b/>
          <w:bCs/>
          <w:i/>
          <w:iCs/>
          <w:sz w:val="22"/>
          <w:szCs w:val="22"/>
          <w:lang w:val="fr-FR"/>
        </w:rPr>
      </w:pPr>
    </w:p>
    <w:p w14:paraId="634518EE" w14:textId="1E7F1B72" w:rsidR="00A4099F" w:rsidRPr="00A4099F" w:rsidRDefault="00A4099F" w:rsidP="00A4099F">
      <w:pPr>
        <w:widowControl/>
        <w:autoSpaceDE/>
        <w:autoSpaceDN/>
        <w:ind w:left="851" w:hanging="851"/>
        <w:jc w:val="both"/>
        <w:textAlignment w:val="auto"/>
        <w:rPr>
          <w:rFonts w:ascii="Arial" w:eastAsiaTheme="minorHAnsi" w:hAnsi="Arial" w:cs="Arial"/>
          <w:strike/>
          <w:sz w:val="22"/>
          <w:szCs w:val="22"/>
          <w:lang w:val="fr-FR"/>
        </w:rPr>
      </w:pPr>
      <w:r w:rsidRPr="00A4099F">
        <w:rPr>
          <w:rFonts w:ascii="Arial" w:eastAsia="Calibri" w:hAnsi="Arial" w:cstheme="minorBidi"/>
          <w:bCs/>
          <w:sz w:val="22"/>
          <w:szCs w:val="22"/>
          <w:lang w:val="fr-FR"/>
        </w:rPr>
        <w:t xml:space="preserve">14. AA </w:t>
      </w:r>
      <w:r w:rsidRPr="00A4099F">
        <w:rPr>
          <w:rFonts w:ascii="Arial" w:eastAsia="Calibri" w:hAnsi="Arial" w:cstheme="minorBidi"/>
          <w:bCs/>
          <w:sz w:val="22"/>
          <w:szCs w:val="22"/>
          <w:lang w:val="fr-FR"/>
        </w:rPr>
        <w:tab/>
      </w:r>
      <w:r w:rsidRPr="00A4099F">
        <w:rPr>
          <w:rFonts w:ascii="Arial" w:eastAsia="Calibri" w:hAnsi="Arial" w:cs="Arial"/>
          <w:sz w:val="22"/>
          <w:szCs w:val="22"/>
          <w:lang w:val="fr-FR"/>
        </w:rPr>
        <w:t>Le Secrétariat est prié</w:t>
      </w:r>
      <w:r w:rsidR="005C762A">
        <w:rPr>
          <w:rFonts w:ascii="Arial" w:eastAsia="Calibri" w:hAnsi="Arial" w:cs="Arial"/>
          <w:sz w:val="22"/>
          <w:szCs w:val="22"/>
          <w:lang w:val="fr-FR"/>
        </w:rPr>
        <w:t> </w:t>
      </w:r>
      <w:r w:rsidRPr="00A4099F">
        <w:rPr>
          <w:rFonts w:ascii="Arial" w:eastAsia="Calibri" w:hAnsi="Arial" w:cs="Arial"/>
          <w:sz w:val="22"/>
          <w:szCs w:val="22"/>
          <w:lang w:val="fr-FR"/>
        </w:rPr>
        <w:t xml:space="preserve">: </w:t>
      </w:r>
    </w:p>
    <w:p w14:paraId="6CDA4178" w14:textId="77777777" w:rsidR="00A4099F" w:rsidRPr="00A4099F" w:rsidRDefault="00A4099F" w:rsidP="00A4099F">
      <w:pPr>
        <w:widowControl/>
        <w:autoSpaceDE/>
        <w:autoSpaceDN/>
        <w:jc w:val="both"/>
        <w:textAlignment w:val="auto"/>
        <w:rPr>
          <w:rFonts w:ascii="Arial" w:eastAsia="Calibri" w:hAnsi="Arial" w:cs="Arial"/>
          <w:iCs/>
          <w:sz w:val="22"/>
          <w:szCs w:val="22"/>
          <w:lang w:val="fr-FR"/>
        </w:rPr>
      </w:pPr>
    </w:p>
    <w:p w14:paraId="0C0E7EB9" w14:textId="77777777" w:rsidR="00A4099F" w:rsidRPr="00A4099F" w:rsidRDefault="00A4099F" w:rsidP="00A4099F">
      <w:pPr>
        <w:widowControl/>
        <w:numPr>
          <w:ilvl w:val="0"/>
          <w:numId w:val="6"/>
        </w:numPr>
        <w:autoSpaceDE/>
        <w:autoSpaceDN/>
        <w:adjustRightInd w:val="0"/>
        <w:ind w:left="1418" w:hanging="567"/>
        <w:jc w:val="both"/>
        <w:textAlignment w:val="auto"/>
        <w:rPr>
          <w:rFonts w:ascii="Arial" w:eastAsiaTheme="minorHAnsi" w:hAnsi="Arial" w:cs="Arial"/>
          <w:sz w:val="22"/>
          <w:szCs w:val="22"/>
          <w:lang w:val="fr-FR"/>
        </w:rPr>
      </w:pPr>
      <w:r w:rsidRPr="00A4099F">
        <w:rPr>
          <w:rFonts w:ascii="Arial" w:eastAsiaTheme="minorHAnsi" w:hAnsi="Arial" w:cs="Arial"/>
          <w:sz w:val="22"/>
          <w:szCs w:val="22"/>
          <w:lang w:val="fr-FR"/>
        </w:rPr>
        <w:t>d’assurer le suivi des Parties qui ont rempli et retourné le questionnaire du Programme sur la législation nationale portant sur les progrès qu’elles ont accomplis dans la mise en œuvre des actions recommandées, et d’apporter un soutien technique aux Parties pour les aider à rédiger une législation nationale adéquate en vue de la mise en œuvre des dispositions du paragraphe 5 de l’article III de la Convention, dans la mesure du possible et de manière appropriée ;</w:t>
      </w:r>
    </w:p>
    <w:p w14:paraId="232048DD" w14:textId="77777777" w:rsidR="00A4099F" w:rsidRPr="00A4099F" w:rsidRDefault="00A4099F" w:rsidP="00A4099F">
      <w:pPr>
        <w:widowControl/>
        <w:autoSpaceDE/>
        <w:autoSpaceDN/>
        <w:adjustRightInd w:val="0"/>
        <w:ind w:left="1418" w:hanging="567"/>
        <w:jc w:val="both"/>
        <w:textAlignment w:val="auto"/>
        <w:rPr>
          <w:rFonts w:ascii="Arial" w:eastAsiaTheme="minorHAnsi" w:hAnsi="Arial" w:cs="Arial"/>
          <w:sz w:val="22"/>
          <w:szCs w:val="22"/>
          <w:lang w:val="fr-FR"/>
        </w:rPr>
      </w:pPr>
    </w:p>
    <w:p w14:paraId="28980EF8" w14:textId="77777777" w:rsidR="00A4099F" w:rsidRPr="00A4099F" w:rsidRDefault="00A4099F" w:rsidP="00A4099F">
      <w:pPr>
        <w:widowControl/>
        <w:numPr>
          <w:ilvl w:val="0"/>
          <w:numId w:val="6"/>
        </w:numPr>
        <w:autoSpaceDE/>
        <w:autoSpaceDN/>
        <w:ind w:left="1418" w:hanging="567"/>
        <w:jc w:val="both"/>
        <w:textAlignment w:val="auto"/>
        <w:rPr>
          <w:rFonts w:ascii="Arial" w:eastAsia="Calibri" w:hAnsi="Arial" w:cs="Arial"/>
          <w:iCs/>
          <w:sz w:val="22"/>
          <w:szCs w:val="22"/>
          <w:lang w:val="fr-FR"/>
        </w:rPr>
      </w:pPr>
      <w:r w:rsidRPr="00A4099F">
        <w:rPr>
          <w:rFonts w:ascii="Arial" w:eastAsiaTheme="minorHAnsi" w:hAnsi="Arial" w:cs="Arial"/>
          <w:sz w:val="22"/>
          <w:szCs w:val="22"/>
          <w:lang w:val="fr-FR"/>
        </w:rPr>
        <w:t>d’encourager les Parties qui n’ont pas encore adhéré au Programme sur la législation nationale</w:t>
      </w:r>
      <w:r w:rsidRPr="00A4099F">
        <w:rPr>
          <w:rFonts w:ascii="Arial" w:eastAsiaTheme="minorHAnsi" w:hAnsi="Arial" w:cstheme="minorBidi"/>
          <w:sz w:val="22"/>
          <w:szCs w:val="22"/>
          <w:lang w:val="fr-FR"/>
        </w:rPr>
        <w:t xml:space="preserve"> à remplir le questionnaire du Programme sur la législation nationale et à le retourner au Secrétariat</w:t>
      </w:r>
      <w:r w:rsidRPr="00A4099F">
        <w:rPr>
          <w:rFonts w:ascii="Arial" w:eastAsiaTheme="minorHAnsi" w:hAnsi="Arial" w:cs="Arial"/>
          <w:sz w:val="22"/>
          <w:szCs w:val="22"/>
          <w:lang w:val="fr-FR"/>
        </w:rPr>
        <w:t> ;</w:t>
      </w:r>
    </w:p>
    <w:p w14:paraId="6C82FAE9" w14:textId="77777777" w:rsidR="00A4099F" w:rsidRPr="00A4099F" w:rsidRDefault="00A4099F" w:rsidP="00A4099F">
      <w:pPr>
        <w:widowControl/>
        <w:autoSpaceDE/>
        <w:autoSpaceDN/>
        <w:ind w:left="1418" w:hanging="567"/>
        <w:jc w:val="both"/>
        <w:textAlignment w:val="auto"/>
        <w:rPr>
          <w:rFonts w:ascii="Arial" w:eastAsia="Calibri" w:hAnsi="Arial" w:cs="Arial"/>
          <w:sz w:val="22"/>
          <w:szCs w:val="22"/>
          <w:lang w:val="fr-FR"/>
        </w:rPr>
      </w:pPr>
    </w:p>
    <w:p w14:paraId="77E0AD09" w14:textId="77777777" w:rsidR="00A4099F" w:rsidRPr="00A4099F" w:rsidRDefault="00A4099F" w:rsidP="00A4099F">
      <w:pPr>
        <w:widowControl/>
        <w:numPr>
          <w:ilvl w:val="0"/>
          <w:numId w:val="6"/>
        </w:numPr>
        <w:autoSpaceDE/>
        <w:autoSpaceDN/>
        <w:ind w:left="1418" w:hanging="567"/>
        <w:jc w:val="both"/>
        <w:textAlignment w:val="auto"/>
        <w:rPr>
          <w:rFonts w:ascii="Arial" w:eastAsia="Calibri" w:hAnsi="Arial" w:cs="Arial"/>
          <w:sz w:val="22"/>
          <w:szCs w:val="22"/>
          <w:lang w:val="fr-FR"/>
        </w:rPr>
      </w:pPr>
      <w:r w:rsidRPr="00A4099F">
        <w:rPr>
          <w:rFonts w:ascii="Arial" w:eastAsiaTheme="minorHAnsi" w:hAnsi="Arial" w:cs="Arial"/>
          <w:sz w:val="22"/>
          <w:szCs w:val="22"/>
          <w:lang w:val="fr-FR"/>
        </w:rPr>
        <w:t>d’organiser, en étroite collaboration avec le PNUE, un atelier dédié au PNUE et aux Parties à la CMS pour les aider à renforcer leurs cadres juridiques nationaux en vue de la mise en œuvre de la CMS ;</w:t>
      </w:r>
    </w:p>
    <w:p w14:paraId="015B1DCC" w14:textId="77777777" w:rsidR="00A4099F" w:rsidRPr="00A4099F" w:rsidRDefault="00A4099F" w:rsidP="00A4099F">
      <w:pPr>
        <w:widowControl/>
        <w:autoSpaceDE/>
        <w:autoSpaceDN/>
        <w:ind w:left="1418" w:hanging="567"/>
        <w:jc w:val="both"/>
        <w:textAlignment w:val="auto"/>
        <w:rPr>
          <w:rFonts w:ascii="Arial" w:eastAsia="Calibri" w:hAnsi="Arial" w:cs="Arial"/>
          <w:sz w:val="22"/>
          <w:szCs w:val="22"/>
          <w:lang w:val="fr-FR"/>
        </w:rPr>
      </w:pPr>
    </w:p>
    <w:p w14:paraId="1F92C166" w14:textId="77777777" w:rsidR="00A4099F" w:rsidRPr="00A4099F" w:rsidRDefault="00A4099F" w:rsidP="00A4099F">
      <w:pPr>
        <w:widowControl/>
        <w:numPr>
          <w:ilvl w:val="0"/>
          <w:numId w:val="6"/>
        </w:numPr>
        <w:autoSpaceDE/>
        <w:autoSpaceDN/>
        <w:ind w:left="1418" w:hanging="567"/>
        <w:jc w:val="both"/>
        <w:textAlignment w:val="auto"/>
        <w:rPr>
          <w:rFonts w:ascii="Arial" w:eastAsia="Calibri" w:hAnsi="Arial" w:cs="Arial"/>
          <w:sz w:val="22"/>
          <w:szCs w:val="22"/>
          <w:lang w:val="fr-FR"/>
        </w:rPr>
      </w:pPr>
      <w:r w:rsidRPr="00A4099F">
        <w:rPr>
          <w:rFonts w:ascii="Arial" w:eastAsiaTheme="minorHAnsi" w:hAnsi="Arial" w:cs="Arial"/>
          <w:sz w:val="22"/>
          <w:szCs w:val="22"/>
          <w:lang w:val="fr-FR"/>
        </w:rPr>
        <w:t xml:space="preserve">de commander, sous réserve de la </w:t>
      </w:r>
      <w:r w:rsidRPr="00A4099F">
        <w:rPr>
          <w:rFonts w:ascii="Arial" w:eastAsiaTheme="minorHAnsi" w:hAnsi="Arial" w:cstheme="minorBidi"/>
          <w:sz w:val="22"/>
          <w:szCs w:val="22"/>
          <w:lang w:val="fr-FR"/>
        </w:rPr>
        <w:t>disponibilité de ressources externes,</w:t>
      </w:r>
      <w:r w:rsidRPr="00A4099F">
        <w:rPr>
          <w:rFonts w:ascii="Arial" w:eastAsiaTheme="minorHAnsi" w:hAnsi="Arial" w:cs="Arial"/>
          <w:sz w:val="22"/>
          <w:szCs w:val="22"/>
          <w:lang w:val="fr-FR"/>
        </w:rPr>
        <w:t xml:space="preserve"> une étude sur les sanctions, notamment les sanctions pénales et administratives, afin de déterminer si les législations nationales prévoient des sanctions efficaces, dissuasives et proportionnées pour les espèces inscrites à l’Annexe I et prélevées en violation de la Convention ;</w:t>
      </w:r>
    </w:p>
    <w:p w14:paraId="5C1238ED" w14:textId="77777777" w:rsidR="00A4099F" w:rsidRPr="00A4099F" w:rsidRDefault="00A4099F" w:rsidP="00A4099F">
      <w:pPr>
        <w:widowControl/>
        <w:autoSpaceDE/>
        <w:autoSpaceDN/>
        <w:ind w:left="1418" w:hanging="567"/>
        <w:jc w:val="both"/>
        <w:textAlignment w:val="auto"/>
        <w:rPr>
          <w:rFonts w:ascii="Arial" w:eastAsia="Calibri" w:hAnsi="Arial" w:cs="Arial"/>
          <w:iCs/>
          <w:sz w:val="22"/>
          <w:szCs w:val="22"/>
          <w:lang w:val="fr-FR"/>
        </w:rPr>
      </w:pPr>
    </w:p>
    <w:p w14:paraId="421EBD64" w14:textId="77777777" w:rsidR="00A4099F" w:rsidRPr="00A4099F" w:rsidRDefault="00A4099F" w:rsidP="00A4099F">
      <w:pPr>
        <w:widowControl/>
        <w:numPr>
          <w:ilvl w:val="0"/>
          <w:numId w:val="6"/>
        </w:numPr>
        <w:autoSpaceDE/>
        <w:autoSpaceDN/>
        <w:ind w:left="1418" w:hanging="567"/>
        <w:jc w:val="both"/>
        <w:textAlignment w:val="auto"/>
        <w:rPr>
          <w:rFonts w:ascii="Arial" w:eastAsia="Calibri" w:hAnsi="Arial" w:cs="Arial"/>
          <w:iCs/>
          <w:sz w:val="22"/>
          <w:szCs w:val="22"/>
          <w:lang w:val="fr-FR"/>
        </w:rPr>
      </w:pPr>
      <w:r w:rsidRPr="00A4099F">
        <w:rPr>
          <w:rFonts w:ascii="Arial" w:eastAsia="Calibri" w:hAnsi="Arial" w:cs="Arial"/>
          <w:sz w:val="22"/>
          <w:szCs w:val="22"/>
          <w:lang w:val="fr-FR"/>
        </w:rPr>
        <w:t>d’établir un registre en ligne des dossiers du mécanisme d’examen et de le mettre à jour avec les informations pertinentes sur les dossiers en cours ;</w:t>
      </w:r>
    </w:p>
    <w:p w14:paraId="30548D08" w14:textId="77777777" w:rsidR="00A4099F" w:rsidRPr="00A4099F" w:rsidRDefault="00A4099F" w:rsidP="00A4099F">
      <w:pPr>
        <w:widowControl/>
        <w:autoSpaceDE/>
        <w:autoSpaceDN/>
        <w:ind w:left="1418" w:hanging="567"/>
        <w:jc w:val="both"/>
        <w:textAlignment w:val="auto"/>
        <w:rPr>
          <w:rFonts w:ascii="Arial" w:eastAsia="Calibri" w:hAnsi="Arial" w:cs="Arial"/>
          <w:iCs/>
          <w:sz w:val="22"/>
          <w:szCs w:val="22"/>
          <w:lang w:val="fr-FR"/>
        </w:rPr>
      </w:pPr>
    </w:p>
    <w:p w14:paraId="36B32E5E" w14:textId="42F29BB9" w:rsidR="00A4099F" w:rsidRPr="006D0AD6" w:rsidRDefault="00A4099F" w:rsidP="006D0AD6">
      <w:pPr>
        <w:widowControl/>
        <w:numPr>
          <w:ilvl w:val="0"/>
          <w:numId w:val="6"/>
        </w:numPr>
        <w:autoSpaceDE/>
        <w:autoSpaceDN/>
        <w:ind w:left="1418" w:hanging="567"/>
        <w:jc w:val="both"/>
        <w:textAlignment w:val="auto"/>
        <w:rPr>
          <w:rFonts w:ascii="Arial" w:eastAsia="Calibri" w:hAnsi="Arial" w:cs="Arial"/>
          <w:iCs/>
          <w:sz w:val="22"/>
          <w:szCs w:val="22"/>
          <w:lang w:val="fr-FR"/>
        </w:rPr>
      </w:pPr>
      <w:r w:rsidRPr="00A4099F">
        <w:rPr>
          <w:rFonts w:ascii="Arial" w:eastAsia="Calibri" w:hAnsi="Arial" w:cs="Arial"/>
          <w:sz w:val="22"/>
          <w:szCs w:val="22"/>
          <w:lang w:val="fr-FR"/>
        </w:rPr>
        <w:t>de rendre compte des progrès accomplis dans la mise en œuvre de cette décision lors de la 15</w:t>
      </w:r>
      <w:r w:rsidRPr="00A4099F">
        <w:rPr>
          <w:rFonts w:ascii="Arial" w:eastAsia="Calibri" w:hAnsi="Arial" w:cs="Arial"/>
          <w:sz w:val="22"/>
          <w:szCs w:val="22"/>
          <w:vertAlign w:val="superscript"/>
          <w:lang w:val="fr-FR"/>
        </w:rPr>
        <w:t>e</w:t>
      </w:r>
      <w:r w:rsidR="005C762A">
        <w:rPr>
          <w:rFonts w:ascii="Arial" w:eastAsia="Calibri" w:hAnsi="Arial" w:cs="Arial"/>
          <w:sz w:val="22"/>
          <w:szCs w:val="22"/>
          <w:lang w:val="fr-FR"/>
        </w:rPr>
        <w:t> </w:t>
      </w:r>
      <w:r w:rsidRPr="00A4099F">
        <w:rPr>
          <w:rFonts w:ascii="Arial" w:eastAsia="Calibri" w:hAnsi="Arial" w:cs="Arial"/>
          <w:sz w:val="22"/>
          <w:szCs w:val="22"/>
          <w:lang w:val="fr-FR"/>
        </w:rPr>
        <w:t>Sessi</w:t>
      </w:r>
      <w:r w:rsidR="006D0AD6">
        <w:rPr>
          <w:rFonts w:ascii="Arial" w:eastAsia="Calibri" w:hAnsi="Arial" w:cs="Arial"/>
          <w:sz w:val="22"/>
          <w:szCs w:val="22"/>
          <w:lang w:val="fr-FR"/>
        </w:rPr>
        <w:t>on de la Conférence des Parties ;</w:t>
      </w:r>
    </w:p>
    <w:p w14:paraId="72BFF9DB" w14:textId="77777777" w:rsidR="006D0AD6" w:rsidRDefault="006D0AD6" w:rsidP="006D0AD6">
      <w:pPr>
        <w:pStyle w:val="ListParagraph"/>
        <w:contextualSpacing w:val="0"/>
        <w:rPr>
          <w:rFonts w:ascii="Arial" w:eastAsia="Calibri" w:hAnsi="Arial" w:cs="Arial"/>
          <w:iCs/>
          <w:sz w:val="22"/>
          <w:szCs w:val="22"/>
          <w:lang w:val="fr-FR"/>
        </w:rPr>
      </w:pPr>
    </w:p>
    <w:p w14:paraId="465CD764" w14:textId="44DBC3E1" w:rsidR="006D0AD6" w:rsidRPr="00A4099F" w:rsidRDefault="007204EF" w:rsidP="006D0AD6">
      <w:pPr>
        <w:widowControl/>
        <w:numPr>
          <w:ilvl w:val="0"/>
          <w:numId w:val="6"/>
        </w:numPr>
        <w:autoSpaceDE/>
        <w:autoSpaceDN/>
        <w:ind w:left="1418" w:hanging="567"/>
        <w:jc w:val="both"/>
        <w:textAlignment w:val="auto"/>
        <w:rPr>
          <w:rFonts w:ascii="Arial" w:eastAsia="Calibri" w:hAnsi="Arial" w:cs="Arial"/>
          <w:iCs/>
          <w:sz w:val="22"/>
          <w:szCs w:val="22"/>
          <w:lang w:val="fr-FR"/>
        </w:rPr>
      </w:pPr>
      <w:r>
        <w:rPr>
          <w:rFonts w:ascii="Arial" w:eastAsia="Calibri" w:hAnsi="Arial" w:cs="Arial"/>
          <w:iCs/>
          <w:sz w:val="22"/>
          <w:szCs w:val="22"/>
          <w:lang w:val="fr-FR"/>
        </w:rPr>
        <w:t xml:space="preserve">de </w:t>
      </w:r>
      <w:r w:rsidR="00D11113">
        <w:rPr>
          <w:rFonts w:ascii="Arial" w:eastAsia="Calibri" w:hAnsi="Arial" w:cs="Arial"/>
          <w:iCs/>
          <w:sz w:val="22"/>
          <w:szCs w:val="22"/>
          <w:lang w:val="fr-FR"/>
        </w:rPr>
        <w:t xml:space="preserve">poursuivre et </w:t>
      </w:r>
      <w:r w:rsidR="006A621C">
        <w:rPr>
          <w:rFonts w:ascii="Arial" w:eastAsia="Calibri" w:hAnsi="Arial" w:cs="Arial"/>
          <w:iCs/>
          <w:sz w:val="22"/>
          <w:szCs w:val="22"/>
          <w:lang w:val="fr-FR"/>
        </w:rPr>
        <w:t xml:space="preserve">de </w:t>
      </w:r>
      <w:r w:rsidR="00D11113">
        <w:rPr>
          <w:rFonts w:ascii="Arial" w:eastAsia="Calibri" w:hAnsi="Arial" w:cs="Arial"/>
          <w:iCs/>
          <w:sz w:val="22"/>
          <w:szCs w:val="22"/>
          <w:lang w:val="fr-FR"/>
        </w:rPr>
        <w:t xml:space="preserve">renforcer la collaboration avec les initiatives existantes </w:t>
      </w:r>
      <w:r w:rsidR="003B49C4">
        <w:rPr>
          <w:rFonts w:ascii="Arial" w:eastAsia="Calibri" w:hAnsi="Arial" w:cs="Arial"/>
          <w:iCs/>
          <w:sz w:val="22"/>
          <w:szCs w:val="22"/>
          <w:lang w:val="fr-FR"/>
        </w:rPr>
        <w:t>qui facilitent</w:t>
      </w:r>
      <w:r w:rsidR="00D11113">
        <w:rPr>
          <w:rFonts w:ascii="Arial" w:eastAsia="Calibri" w:hAnsi="Arial" w:cs="Arial"/>
          <w:iCs/>
          <w:sz w:val="22"/>
          <w:szCs w:val="22"/>
          <w:lang w:val="fr-FR"/>
        </w:rPr>
        <w:t xml:space="preserve"> l’examen des législations nationales, telles que le Projet sur les législations nationales de</w:t>
      </w:r>
      <w:r w:rsidR="006D0AD6" w:rsidRPr="006D0AD6">
        <w:rPr>
          <w:rFonts w:ascii="Arial" w:eastAsia="Calibri" w:hAnsi="Arial" w:cs="Arial"/>
          <w:iCs/>
          <w:sz w:val="22"/>
          <w:szCs w:val="22"/>
          <w:lang w:val="fr-FR"/>
        </w:rPr>
        <w:t xml:space="preserve"> la Convention sur le commerce international des espèces de faune et de flore sauvages menacées d</w:t>
      </w:r>
      <w:r w:rsidR="005C762A">
        <w:rPr>
          <w:rFonts w:ascii="Arial" w:eastAsia="Calibri" w:hAnsi="Arial" w:cs="Arial"/>
          <w:iCs/>
          <w:sz w:val="22"/>
          <w:szCs w:val="22"/>
          <w:lang w:val="fr-FR"/>
        </w:rPr>
        <w:t>’</w:t>
      </w:r>
      <w:r w:rsidR="006D0AD6" w:rsidRPr="006D0AD6">
        <w:rPr>
          <w:rFonts w:ascii="Arial" w:eastAsia="Calibri" w:hAnsi="Arial" w:cs="Arial"/>
          <w:iCs/>
          <w:sz w:val="22"/>
          <w:szCs w:val="22"/>
          <w:lang w:val="fr-FR"/>
        </w:rPr>
        <w:t xml:space="preserve">extinction (CITES) et </w:t>
      </w:r>
      <w:r w:rsidR="00D11113">
        <w:rPr>
          <w:rFonts w:ascii="Arial" w:eastAsia="Calibri" w:hAnsi="Arial" w:cs="Arial"/>
          <w:iCs/>
          <w:sz w:val="22"/>
          <w:szCs w:val="22"/>
          <w:lang w:val="fr-FR"/>
        </w:rPr>
        <w:t>le</w:t>
      </w:r>
      <w:r w:rsidR="006D0AD6" w:rsidRPr="006D0AD6">
        <w:rPr>
          <w:rFonts w:ascii="Arial" w:eastAsia="Calibri" w:hAnsi="Arial" w:cs="Arial"/>
          <w:iCs/>
          <w:sz w:val="22"/>
          <w:szCs w:val="22"/>
          <w:lang w:val="fr-FR"/>
        </w:rPr>
        <w:t xml:space="preserve"> </w:t>
      </w:r>
      <w:r w:rsidRPr="006D0AD6">
        <w:rPr>
          <w:rFonts w:ascii="Arial" w:eastAsia="Calibri" w:hAnsi="Arial" w:cs="Arial"/>
          <w:iCs/>
          <w:sz w:val="22"/>
          <w:szCs w:val="22"/>
          <w:lang w:val="fr-FR"/>
        </w:rPr>
        <w:t xml:space="preserve">Programme </w:t>
      </w:r>
      <w:r w:rsidR="006D0AD6" w:rsidRPr="006D0AD6">
        <w:rPr>
          <w:rFonts w:ascii="Arial" w:eastAsia="Calibri" w:hAnsi="Arial" w:cs="Arial"/>
          <w:iCs/>
          <w:sz w:val="22"/>
          <w:szCs w:val="22"/>
          <w:lang w:val="fr-FR"/>
        </w:rPr>
        <w:t xml:space="preserve">de gestion durable </w:t>
      </w:r>
      <w:r>
        <w:rPr>
          <w:rFonts w:ascii="Arial" w:eastAsia="Calibri" w:hAnsi="Arial" w:cs="Arial"/>
          <w:iCs/>
          <w:sz w:val="22"/>
          <w:szCs w:val="22"/>
          <w:lang w:val="fr-FR"/>
        </w:rPr>
        <w:t>de la faune sauvage</w:t>
      </w:r>
      <w:r w:rsidR="006D0AD6" w:rsidRPr="006D0AD6">
        <w:rPr>
          <w:rFonts w:ascii="Arial" w:eastAsia="Calibri" w:hAnsi="Arial" w:cs="Arial"/>
          <w:iCs/>
          <w:sz w:val="22"/>
          <w:szCs w:val="22"/>
          <w:lang w:val="fr-FR"/>
        </w:rPr>
        <w:t xml:space="preserve"> mené par l</w:t>
      </w:r>
      <w:r w:rsidR="005C762A">
        <w:rPr>
          <w:rFonts w:ascii="Arial" w:eastAsia="Calibri" w:hAnsi="Arial" w:cs="Arial"/>
          <w:iCs/>
          <w:sz w:val="22"/>
          <w:szCs w:val="22"/>
          <w:lang w:val="fr-FR"/>
        </w:rPr>
        <w:t>’</w:t>
      </w:r>
      <w:r w:rsidR="006D0AD6" w:rsidRPr="006D0AD6">
        <w:rPr>
          <w:rFonts w:ascii="Arial" w:eastAsia="Calibri" w:hAnsi="Arial" w:cs="Arial"/>
          <w:iCs/>
          <w:sz w:val="22"/>
          <w:szCs w:val="22"/>
          <w:lang w:val="fr-FR"/>
        </w:rPr>
        <w:t>Organisation des Nations unies pour l</w:t>
      </w:r>
      <w:r w:rsidR="005C762A">
        <w:rPr>
          <w:rFonts w:ascii="Arial" w:eastAsia="Calibri" w:hAnsi="Arial" w:cs="Arial"/>
          <w:iCs/>
          <w:sz w:val="22"/>
          <w:szCs w:val="22"/>
          <w:lang w:val="fr-FR"/>
        </w:rPr>
        <w:t>’</w:t>
      </w:r>
      <w:r w:rsidR="006D0AD6" w:rsidRPr="006D0AD6">
        <w:rPr>
          <w:rFonts w:ascii="Arial" w:eastAsia="Calibri" w:hAnsi="Arial" w:cs="Arial"/>
          <w:iCs/>
          <w:sz w:val="22"/>
          <w:szCs w:val="22"/>
          <w:lang w:val="fr-FR"/>
        </w:rPr>
        <w:t>alimentation et l</w:t>
      </w:r>
      <w:r w:rsidR="005C762A">
        <w:rPr>
          <w:rFonts w:ascii="Arial" w:eastAsia="Calibri" w:hAnsi="Arial" w:cs="Arial"/>
          <w:iCs/>
          <w:sz w:val="22"/>
          <w:szCs w:val="22"/>
          <w:lang w:val="fr-FR"/>
        </w:rPr>
        <w:t>’</w:t>
      </w:r>
      <w:r w:rsidR="006D0AD6" w:rsidRPr="006D0AD6">
        <w:rPr>
          <w:rFonts w:ascii="Arial" w:eastAsia="Calibri" w:hAnsi="Arial" w:cs="Arial"/>
          <w:iCs/>
          <w:sz w:val="22"/>
          <w:szCs w:val="22"/>
          <w:lang w:val="fr-FR"/>
        </w:rPr>
        <w:t xml:space="preserve">agriculture (FAO) avec </w:t>
      </w:r>
      <w:r w:rsidR="00D11113">
        <w:rPr>
          <w:rFonts w:ascii="Arial" w:eastAsia="Calibri" w:hAnsi="Arial" w:cs="Arial"/>
          <w:iCs/>
          <w:sz w:val="22"/>
          <w:szCs w:val="22"/>
          <w:lang w:val="fr-FR"/>
        </w:rPr>
        <w:t>un</w:t>
      </w:r>
      <w:r w:rsidR="006D0AD6" w:rsidRPr="006D0AD6">
        <w:rPr>
          <w:rFonts w:ascii="Arial" w:eastAsia="Calibri" w:hAnsi="Arial" w:cs="Arial"/>
          <w:iCs/>
          <w:sz w:val="22"/>
          <w:szCs w:val="22"/>
          <w:lang w:val="fr-FR"/>
        </w:rPr>
        <w:t xml:space="preserve"> consortium</w:t>
      </w:r>
      <w:r w:rsidR="00D11113">
        <w:rPr>
          <w:rFonts w:ascii="Arial" w:eastAsia="Calibri" w:hAnsi="Arial" w:cs="Arial"/>
          <w:iCs/>
          <w:sz w:val="22"/>
          <w:szCs w:val="22"/>
          <w:lang w:val="fr-FR"/>
        </w:rPr>
        <w:t xml:space="preserve"> de partenaires</w:t>
      </w:r>
      <w:r w:rsidR="006D0AD6" w:rsidRPr="006D0AD6">
        <w:rPr>
          <w:rFonts w:ascii="Arial" w:eastAsia="Calibri" w:hAnsi="Arial" w:cs="Arial"/>
          <w:iCs/>
          <w:sz w:val="22"/>
          <w:szCs w:val="22"/>
          <w:lang w:val="fr-FR"/>
        </w:rPr>
        <w:t xml:space="preserve"> comprenant </w:t>
      </w:r>
      <w:r w:rsidR="00D11113" w:rsidRPr="006D0AD6">
        <w:rPr>
          <w:rFonts w:ascii="Arial" w:eastAsia="Calibri" w:hAnsi="Arial" w:cs="Arial"/>
          <w:iCs/>
          <w:sz w:val="22"/>
          <w:szCs w:val="22"/>
          <w:lang w:val="fr-FR"/>
        </w:rPr>
        <w:t>le Centre de recherche forestière</w:t>
      </w:r>
      <w:r w:rsidR="00D11113">
        <w:rPr>
          <w:rFonts w:ascii="Arial" w:eastAsia="Calibri" w:hAnsi="Arial" w:cs="Arial"/>
          <w:iCs/>
          <w:sz w:val="22"/>
          <w:szCs w:val="22"/>
          <w:lang w:val="fr-FR"/>
        </w:rPr>
        <w:t xml:space="preserve"> internationale </w:t>
      </w:r>
      <w:r w:rsidR="00D11113" w:rsidRPr="006D0AD6">
        <w:rPr>
          <w:rFonts w:ascii="Arial" w:eastAsia="Calibri" w:hAnsi="Arial" w:cs="Arial"/>
          <w:iCs/>
          <w:sz w:val="22"/>
          <w:szCs w:val="22"/>
          <w:lang w:val="fr-FR"/>
        </w:rPr>
        <w:t xml:space="preserve">(CIFOR), </w:t>
      </w:r>
      <w:r w:rsidR="006D0AD6" w:rsidRPr="006D0AD6">
        <w:rPr>
          <w:rFonts w:ascii="Arial" w:eastAsia="Calibri" w:hAnsi="Arial" w:cs="Arial"/>
          <w:iCs/>
          <w:sz w:val="22"/>
          <w:szCs w:val="22"/>
          <w:lang w:val="fr-FR"/>
        </w:rPr>
        <w:t xml:space="preserve">le Centre de coopération internationale en recherche agronomique pour le développement (CIRAD) et la </w:t>
      </w:r>
      <w:proofErr w:type="spellStart"/>
      <w:r w:rsidR="006D0AD6" w:rsidRPr="006D0AD6">
        <w:rPr>
          <w:rFonts w:ascii="Arial" w:eastAsia="Calibri" w:hAnsi="Arial" w:cs="Arial"/>
          <w:iCs/>
          <w:sz w:val="22"/>
          <w:szCs w:val="22"/>
          <w:lang w:val="fr-FR"/>
        </w:rPr>
        <w:t>Wildlife</w:t>
      </w:r>
      <w:proofErr w:type="spellEnd"/>
      <w:r w:rsidR="006D0AD6" w:rsidRPr="006D0AD6">
        <w:rPr>
          <w:rFonts w:ascii="Arial" w:eastAsia="Calibri" w:hAnsi="Arial" w:cs="Arial"/>
          <w:iCs/>
          <w:sz w:val="22"/>
          <w:szCs w:val="22"/>
          <w:lang w:val="fr-FR"/>
        </w:rPr>
        <w:t xml:space="preserve"> Conservation Society (WCS).</w:t>
      </w:r>
    </w:p>
    <w:p w14:paraId="1306AA69" w14:textId="77777777" w:rsidR="00A4099F" w:rsidRPr="00A4099F" w:rsidRDefault="00A4099F" w:rsidP="00A4099F">
      <w:pPr>
        <w:widowControl/>
        <w:autoSpaceDE/>
        <w:autoSpaceDN/>
        <w:jc w:val="both"/>
        <w:textAlignment w:val="auto"/>
        <w:rPr>
          <w:rFonts w:ascii="Arial" w:eastAsia="Calibri" w:hAnsi="Arial" w:cs="Arial"/>
          <w:iCs/>
          <w:sz w:val="22"/>
          <w:szCs w:val="22"/>
          <w:lang w:val="fr-FR"/>
        </w:rPr>
      </w:pPr>
    </w:p>
    <w:p w14:paraId="01C444F5" w14:textId="655ECA07" w:rsidR="000663D8" w:rsidRDefault="000663D8" w:rsidP="00A4099F">
      <w:pPr>
        <w:widowControl/>
        <w:autoSpaceDE/>
        <w:autoSpaceDN/>
        <w:jc w:val="both"/>
        <w:textAlignment w:val="auto"/>
        <w:rPr>
          <w:rFonts w:ascii="Arial" w:eastAsiaTheme="minorHAnsi" w:hAnsi="Arial" w:cs="Arial"/>
          <w:b/>
          <w:sz w:val="22"/>
          <w:szCs w:val="22"/>
          <w:lang w:val="fr-FR"/>
        </w:rPr>
      </w:pPr>
      <w:r>
        <w:rPr>
          <w:rFonts w:ascii="Arial" w:eastAsiaTheme="minorHAnsi" w:hAnsi="Arial" w:cs="Arial"/>
          <w:b/>
          <w:sz w:val="22"/>
          <w:szCs w:val="22"/>
          <w:lang w:val="fr-FR"/>
        </w:rPr>
        <w:br w:type="page"/>
      </w:r>
    </w:p>
    <w:p w14:paraId="61961111" w14:textId="77777777" w:rsidR="00A4099F" w:rsidRPr="00A4099F" w:rsidRDefault="00A4099F" w:rsidP="00A4099F">
      <w:pPr>
        <w:widowControl/>
        <w:autoSpaceDE/>
        <w:autoSpaceDN/>
        <w:textAlignment w:val="auto"/>
        <w:rPr>
          <w:rFonts w:ascii="Arial" w:eastAsiaTheme="minorHAnsi" w:hAnsi="Arial" w:cs="Arial"/>
          <w:b/>
          <w:i/>
          <w:iCs/>
          <w:sz w:val="22"/>
          <w:szCs w:val="22"/>
          <w:lang w:val="fr-FR"/>
        </w:rPr>
      </w:pPr>
      <w:r w:rsidRPr="00A4099F">
        <w:rPr>
          <w:rFonts w:ascii="Arial" w:eastAsiaTheme="minorHAnsi" w:hAnsi="Arial" w:cs="Arial"/>
          <w:b/>
          <w:i/>
          <w:iCs/>
          <w:sz w:val="22"/>
          <w:szCs w:val="22"/>
          <w:lang w:val="fr-FR"/>
        </w:rPr>
        <w:lastRenderedPageBreak/>
        <w:t xml:space="preserve">Adressée aux Parties </w:t>
      </w:r>
    </w:p>
    <w:p w14:paraId="55199D82" w14:textId="77777777" w:rsidR="00A4099F" w:rsidRPr="00A4099F" w:rsidRDefault="00A4099F" w:rsidP="00A4099F">
      <w:pPr>
        <w:widowControl/>
        <w:autoSpaceDE/>
        <w:autoSpaceDN/>
        <w:textAlignment w:val="auto"/>
        <w:rPr>
          <w:rFonts w:ascii="Arial" w:eastAsiaTheme="minorHAnsi" w:hAnsi="Arial" w:cs="Arial"/>
          <w:sz w:val="22"/>
          <w:szCs w:val="22"/>
          <w:lang w:val="fr-FR"/>
        </w:rPr>
      </w:pPr>
    </w:p>
    <w:p w14:paraId="52BC5706" w14:textId="77777777" w:rsidR="00A4099F" w:rsidRPr="00A4099F" w:rsidRDefault="00A4099F" w:rsidP="00A4099F">
      <w:pPr>
        <w:widowControl/>
        <w:autoSpaceDE/>
        <w:autoSpaceDN/>
        <w:textAlignment w:val="auto"/>
        <w:rPr>
          <w:rFonts w:ascii="Arial" w:eastAsiaTheme="minorHAnsi" w:hAnsi="Arial" w:cs="Arial"/>
          <w:sz w:val="22"/>
          <w:szCs w:val="22"/>
          <w:lang w:val="en-GB"/>
        </w:rPr>
      </w:pPr>
      <w:r w:rsidRPr="00A4099F">
        <w:rPr>
          <w:rFonts w:ascii="Arial" w:eastAsiaTheme="minorHAnsi" w:hAnsi="Arial" w:cs="Arial"/>
          <w:sz w:val="22"/>
          <w:szCs w:val="22"/>
          <w:lang w:val="en-GB"/>
        </w:rPr>
        <w:t>14.BB</w:t>
      </w:r>
    </w:p>
    <w:p w14:paraId="1E635002" w14:textId="442CFAA2" w:rsidR="00A4099F" w:rsidRPr="00A4099F" w:rsidRDefault="00A4099F" w:rsidP="00A4099F">
      <w:pPr>
        <w:widowControl/>
        <w:numPr>
          <w:ilvl w:val="0"/>
          <w:numId w:val="7"/>
        </w:numPr>
        <w:autoSpaceDE/>
        <w:autoSpaceDN/>
        <w:ind w:left="1418" w:hanging="567"/>
        <w:jc w:val="both"/>
        <w:textAlignment w:val="auto"/>
        <w:rPr>
          <w:rFonts w:ascii="Arial" w:eastAsiaTheme="minorHAnsi" w:hAnsi="Arial" w:cs="Arial"/>
          <w:sz w:val="22"/>
          <w:szCs w:val="22"/>
          <w:lang w:val="fr-FR"/>
        </w:rPr>
      </w:pPr>
      <w:r w:rsidRPr="00A4099F">
        <w:rPr>
          <w:rFonts w:ascii="Arial" w:eastAsiaTheme="minorHAnsi" w:hAnsi="Arial" w:cs="Arial"/>
          <w:sz w:val="22"/>
          <w:szCs w:val="22"/>
          <w:lang w:val="fr-FR"/>
        </w:rPr>
        <w:t xml:space="preserve">Les Parties qui ont retourné le questionnaire sur la législation nationale et reçu de la part du Secrétariat un profil de législation nationale </w:t>
      </w:r>
      <w:r w:rsidRPr="005C762A">
        <w:rPr>
          <w:rFonts w:ascii="Arial" w:eastAsiaTheme="minorHAnsi" w:hAnsi="Arial" w:cs="Arial"/>
          <w:sz w:val="22"/>
          <w:szCs w:val="22"/>
          <w:lang w:val="fr-FR"/>
        </w:rPr>
        <w:t xml:space="preserve">sont </w:t>
      </w:r>
      <w:r w:rsidR="007204EF" w:rsidRPr="005C762A">
        <w:rPr>
          <w:rFonts w:ascii="Arial" w:eastAsiaTheme="minorHAnsi" w:hAnsi="Arial" w:cs="Arial"/>
          <w:sz w:val="22"/>
          <w:szCs w:val="22"/>
          <w:lang w:val="fr-FR"/>
        </w:rPr>
        <w:t>instamment priées</w:t>
      </w:r>
      <w:r w:rsidRPr="00A4099F">
        <w:rPr>
          <w:rFonts w:ascii="Arial" w:eastAsiaTheme="minorHAnsi" w:hAnsi="Arial" w:cs="Arial"/>
          <w:sz w:val="22"/>
          <w:szCs w:val="22"/>
          <w:lang w:val="fr-FR"/>
        </w:rPr>
        <w:t xml:space="preserve"> </w:t>
      </w:r>
      <w:r w:rsidR="001360EE">
        <w:rPr>
          <w:rFonts w:ascii="Arial" w:eastAsiaTheme="minorHAnsi" w:hAnsi="Arial" w:cs="Arial"/>
          <w:sz w:val="22"/>
          <w:szCs w:val="22"/>
          <w:lang w:val="fr-FR"/>
        </w:rPr>
        <w:t>de</w:t>
      </w:r>
      <w:r w:rsidRPr="00A4099F">
        <w:rPr>
          <w:rFonts w:ascii="Arial" w:eastAsia="Calibri" w:hAnsi="Arial" w:cstheme="minorBidi"/>
          <w:sz w:val="22"/>
          <w:szCs w:val="22"/>
          <w:lang w:val="fr-FR"/>
        </w:rPr>
        <w:t xml:space="preserve"> prendre les mesures appropriées pour la mise en œuvre du paragraphe 5 de l’article III, conformément aux actions recommandées par le Secrétariat, comme indiqué dans le profil de législation nationale ;</w:t>
      </w:r>
    </w:p>
    <w:p w14:paraId="6301137F" w14:textId="77777777" w:rsidR="00A4099F" w:rsidRPr="00A4099F" w:rsidRDefault="00A4099F" w:rsidP="00A4099F">
      <w:pPr>
        <w:widowControl/>
        <w:autoSpaceDE/>
        <w:autoSpaceDN/>
        <w:ind w:left="1418" w:hanging="567"/>
        <w:jc w:val="both"/>
        <w:textAlignment w:val="auto"/>
        <w:rPr>
          <w:rFonts w:ascii="Arial" w:eastAsiaTheme="minorHAnsi" w:hAnsi="Arial" w:cs="Arial"/>
          <w:sz w:val="22"/>
          <w:szCs w:val="22"/>
          <w:lang w:val="fr-FR"/>
        </w:rPr>
      </w:pPr>
    </w:p>
    <w:p w14:paraId="3B55E6DF" w14:textId="77777777" w:rsidR="00A4099F" w:rsidRPr="00A4099F" w:rsidRDefault="00A4099F" w:rsidP="00A4099F">
      <w:pPr>
        <w:widowControl/>
        <w:numPr>
          <w:ilvl w:val="0"/>
          <w:numId w:val="7"/>
        </w:numPr>
        <w:autoSpaceDE/>
        <w:autoSpaceDN/>
        <w:ind w:left="1418" w:hanging="567"/>
        <w:jc w:val="both"/>
        <w:textAlignment w:val="auto"/>
        <w:rPr>
          <w:rFonts w:ascii="Arial" w:eastAsiaTheme="minorHAnsi" w:hAnsi="Arial" w:cs="Arial"/>
          <w:sz w:val="22"/>
          <w:szCs w:val="22"/>
          <w:lang w:val="fr-FR"/>
        </w:rPr>
      </w:pPr>
      <w:r w:rsidRPr="00A4099F">
        <w:rPr>
          <w:rFonts w:ascii="Arial" w:eastAsiaTheme="minorHAnsi" w:hAnsi="Arial" w:cs="Arial"/>
          <w:sz w:val="22"/>
          <w:szCs w:val="22"/>
          <w:lang w:val="fr-FR"/>
        </w:rPr>
        <w:t xml:space="preserve">Les Parties qui n’ont pas encore rempli et retourné le questionnaire sont vivement encouragées à le faire ; </w:t>
      </w:r>
    </w:p>
    <w:p w14:paraId="6986DCE4" w14:textId="77777777" w:rsidR="00A4099F" w:rsidRPr="00A4099F" w:rsidRDefault="00A4099F" w:rsidP="00A4099F">
      <w:pPr>
        <w:widowControl/>
        <w:autoSpaceDE/>
        <w:autoSpaceDN/>
        <w:ind w:left="1418" w:hanging="567"/>
        <w:jc w:val="both"/>
        <w:textAlignment w:val="auto"/>
        <w:rPr>
          <w:rFonts w:ascii="Arial" w:eastAsiaTheme="minorHAnsi" w:hAnsi="Arial" w:cs="Arial"/>
          <w:sz w:val="22"/>
          <w:szCs w:val="22"/>
          <w:lang w:val="fr-FR"/>
        </w:rPr>
      </w:pPr>
    </w:p>
    <w:p w14:paraId="75D4F589" w14:textId="77777777" w:rsidR="00A4099F" w:rsidRPr="00A4099F" w:rsidRDefault="00A4099F" w:rsidP="00A4099F">
      <w:pPr>
        <w:widowControl/>
        <w:numPr>
          <w:ilvl w:val="0"/>
          <w:numId w:val="7"/>
        </w:numPr>
        <w:autoSpaceDE/>
        <w:autoSpaceDN/>
        <w:ind w:left="1418" w:hanging="567"/>
        <w:jc w:val="both"/>
        <w:textAlignment w:val="auto"/>
        <w:rPr>
          <w:rFonts w:ascii="Arial" w:eastAsia="Calibri" w:hAnsi="Arial" w:cs="Arial"/>
          <w:sz w:val="22"/>
          <w:szCs w:val="22"/>
          <w:lang w:val="fr-FR"/>
        </w:rPr>
      </w:pPr>
      <w:r w:rsidRPr="00A4099F">
        <w:rPr>
          <w:rFonts w:ascii="Arial" w:eastAsia="Calibri" w:hAnsi="Arial" w:cs="Arial"/>
          <w:sz w:val="22"/>
          <w:szCs w:val="22"/>
          <w:lang w:val="fr-FR"/>
        </w:rPr>
        <w:t>Il est rappelé aux Parties qu’elles doivent informer le Secrétariat de toute exception faite en vertu du paragraphe 5 de l’article III de la Convention ;</w:t>
      </w:r>
    </w:p>
    <w:p w14:paraId="05DC7964" w14:textId="77777777" w:rsidR="00A4099F" w:rsidRPr="00A4099F" w:rsidRDefault="00A4099F" w:rsidP="00A4099F">
      <w:pPr>
        <w:widowControl/>
        <w:autoSpaceDE/>
        <w:autoSpaceDN/>
        <w:ind w:left="1418" w:hanging="567"/>
        <w:jc w:val="both"/>
        <w:textAlignment w:val="auto"/>
        <w:rPr>
          <w:rFonts w:ascii="Arial" w:eastAsia="Calibri" w:hAnsi="Arial" w:cs="Arial"/>
          <w:sz w:val="22"/>
          <w:szCs w:val="22"/>
          <w:lang w:val="fr-FR"/>
        </w:rPr>
      </w:pPr>
    </w:p>
    <w:p w14:paraId="7629A51A" w14:textId="77777777" w:rsidR="00A4099F" w:rsidRPr="00A4099F" w:rsidRDefault="00A4099F" w:rsidP="00A4099F">
      <w:pPr>
        <w:widowControl/>
        <w:numPr>
          <w:ilvl w:val="0"/>
          <w:numId w:val="7"/>
        </w:numPr>
        <w:autoSpaceDE/>
        <w:autoSpaceDN/>
        <w:ind w:left="1418" w:hanging="567"/>
        <w:jc w:val="both"/>
        <w:textAlignment w:val="auto"/>
        <w:rPr>
          <w:rFonts w:ascii="Arial" w:eastAsia="Calibri" w:hAnsi="Arial" w:cs="Arial"/>
          <w:sz w:val="22"/>
          <w:szCs w:val="22"/>
          <w:lang w:val="fr-FR"/>
        </w:rPr>
      </w:pPr>
      <w:r w:rsidRPr="00A4099F">
        <w:rPr>
          <w:rFonts w:ascii="Arial" w:eastAsia="Calibri" w:hAnsi="Arial" w:cs="Arial"/>
          <w:sz w:val="22"/>
          <w:szCs w:val="22"/>
          <w:lang w:val="fr-FR"/>
        </w:rPr>
        <w:t>Les Parties sont invitées à apporter un soutien financier ou technique afin de renforcer davantage leurs cadres juridiques et leurs capacités institutionnelles par la mise en œuvre du Programme sur la législation nationale et du mécanisme d’examen</w:t>
      </w:r>
      <w:bookmarkStart w:id="0" w:name="page2"/>
      <w:bookmarkStart w:id="1" w:name="d_1_B"/>
      <w:bookmarkStart w:id="2" w:name="d_2_A"/>
      <w:bookmarkStart w:id="3" w:name="d_2_B"/>
      <w:bookmarkStart w:id="4" w:name="d_2_C"/>
      <w:bookmarkEnd w:id="0"/>
      <w:bookmarkEnd w:id="1"/>
      <w:bookmarkEnd w:id="2"/>
      <w:bookmarkEnd w:id="3"/>
      <w:bookmarkEnd w:id="4"/>
      <w:r w:rsidRPr="00A4099F">
        <w:rPr>
          <w:rFonts w:ascii="Arial" w:eastAsia="Calibri" w:hAnsi="Arial" w:cs="Arial"/>
          <w:sz w:val="22"/>
          <w:szCs w:val="22"/>
          <w:lang w:val="fr-FR"/>
        </w:rPr>
        <w:t>.</w:t>
      </w:r>
    </w:p>
    <w:p w14:paraId="7D13B44A" w14:textId="77777777" w:rsidR="00D82C56" w:rsidRPr="00A048E3" w:rsidRDefault="00D82C56" w:rsidP="00A4099F">
      <w:pPr>
        <w:rPr>
          <w:rFonts w:ascii="Arial" w:hAnsi="Arial" w:cs="Arial"/>
          <w:sz w:val="22"/>
          <w:szCs w:val="22"/>
          <w:lang w:val="fr-FR"/>
        </w:rPr>
      </w:pPr>
    </w:p>
    <w:p w14:paraId="77F883D9" w14:textId="77777777" w:rsidR="00D82C56" w:rsidRPr="00A048E3" w:rsidRDefault="00D82C56" w:rsidP="00A4099F">
      <w:pPr>
        <w:rPr>
          <w:rFonts w:ascii="Arial" w:hAnsi="Arial" w:cs="Arial"/>
          <w:sz w:val="22"/>
          <w:szCs w:val="22"/>
          <w:lang w:val="fr-FR"/>
        </w:rPr>
      </w:pPr>
    </w:p>
    <w:p w14:paraId="13E71D89" w14:textId="77777777" w:rsidR="00D82C56" w:rsidRPr="00A048E3" w:rsidRDefault="00D82C56" w:rsidP="00A4099F">
      <w:pPr>
        <w:rPr>
          <w:rFonts w:ascii="Arial" w:hAnsi="Arial" w:cs="Arial"/>
          <w:sz w:val="22"/>
          <w:szCs w:val="22"/>
          <w:lang w:val="fr-FR"/>
        </w:rPr>
      </w:pPr>
    </w:p>
    <w:p w14:paraId="1EEE6BE9" w14:textId="77777777" w:rsidR="00CB22BB" w:rsidRPr="00A048E3" w:rsidRDefault="00CB22BB" w:rsidP="00A4099F">
      <w:pPr>
        <w:rPr>
          <w:rFonts w:ascii="Arial" w:hAnsi="Arial" w:cs="Arial"/>
          <w:lang w:val="fr-FR"/>
        </w:rPr>
      </w:pPr>
    </w:p>
    <w:sectPr w:rsidR="00CB22BB" w:rsidRPr="00A048E3" w:rsidSect="00723451">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F227" w14:textId="77777777" w:rsidR="00723451" w:rsidRDefault="00723451">
      <w:r>
        <w:separator/>
      </w:r>
    </w:p>
  </w:endnote>
  <w:endnote w:type="continuationSeparator" w:id="0">
    <w:p w14:paraId="17867055" w14:textId="77777777" w:rsidR="00723451" w:rsidRDefault="00723451">
      <w:r>
        <w:continuationSeparator/>
      </w:r>
    </w:p>
  </w:endnote>
  <w:endnote w:type="continuationNotice" w:id="1">
    <w:p w14:paraId="078E82AF" w14:textId="77777777" w:rsidR="00723451" w:rsidRDefault="00723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99284E">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99284E">
      <w:rPr>
        <w:rFonts w:ascii="Arial" w:hAnsi="Arial" w:cs="Arial"/>
        <w:noProof/>
        <w:sz w:val="18"/>
        <w:szCs w:val="18"/>
      </w:rPr>
      <w:t>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77482" w14:textId="77777777" w:rsidR="00723451" w:rsidRDefault="00723451">
      <w:r>
        <w:rPr>
          <w:color w:val="000000"/>
        </w:rPr>
        <w:separator/>
      </w:r>
    </w:p>
  </w:footnote>
  <w:footnote w:type="continuationSeparator" w:id="0">
    <w:p w14:paraId="66B018BD" w14:textId="77777777" w:rsidR="00723451" w:rsidRDefault="00723451">
      <w:r>
        <w:continuationSeparator/>
      </w:r>
    </w:p>
  </w:footnote>
  <w:footnote w:type="continuationNotice" w:id="1">
    <w:p w14:paraId="22411586" w14:textId="77777777" w:rsidR="00723451" w:rsidRDefault="00723451"/>
  </w:footnote>
  <w:footnote w:id="2">
    <w:p w14:paraId="1178110A"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I.A., par. 3</w:t>
      </w:r>
    </w:p>
  </w:footnote>
  <w:footnote w:id="3">
    <w:p w14:paraId="463268E0"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I.A., par. 3</w:t>
      </w:r>
    </w:p>
  </w:footnote>
  <w:footnote w:id="4">
    <w:p w14:paraId="16EE34B7"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I.C., par. 3</w:t>
      </w:r>
    </w:p>
  </w:footnote>
  <w:footnote w:id="5">
    <w:p w14:paraId="4B691411" w14:textId="77777777" w:rsidR="00FB1551" w:rsidRPr="00416FA7" w:rsidRDefault="00FB1551" w:rsidP="00FB1551">
      <w:pPr>
        <w:pStyle w:val="FootnoteText"/>
        <w:rPr>
          <w:rFonts w:cs="Arial"/>
          <w:lang w:val="fr-FR"/>
        </w:rPr>
      </w:pPr>
      <w:r>
        <w:rPr>
          <w:rStyle w:val="FootnoteReference"/>
          <w:rFonts w:cs="Arial"/>
          <w:sz w:val="16"/>
          <w:szCs w:val="16"/>
          <w:lang w:val="fr-FR"/>
        </w:rPr>
        <w:footnoteRef/>
      </w:r>
      <w:r>
        <w:rPr>
          <w:rFonts w:cs="Arial"/>
          <w:sz w:val="16"/>
          <w:szCs w:val="16"/>
          <w:lang w:val="fr-FR"/>
        </w:rPr>
        <w:t xml:space="preserve"> Résolution 12.9, Section I.F., par. 4</w:t>
      </w:r>
    </w:p>
  </w:footnote>
  <w:footnote w:id="6">
    <w:p w14:paraId="1933A3E0" w14:textId="144018FD"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Voir</w:t>
      </w:r>
      <w:r>
        <w:rPr>
          <w:rFonts w:cs="Arial"/>
          <w:sz w:val="16"/>
          <w:szCs w:val="16"/>
          <w:vertAlign w:val="superscript"/>
          <w:lang w:val="fr-FR"/>
        </w:rPr>
        <w:t xml:space="preserve"> </w:t>
      </w:r>
      <w:r>
        <w:rPr>
          <w:rFonts w:cs="Arial"/>
          <w:sz w:val="16"/>
          <w:szCs w:val="16"/>
          <w:lang w:val="fr-FR"/>
        </w:rPr>
        <w:t>l</w:t>
      </w:r>
      <w:r w:rsidR="005C762A">
        <w:rPr>
          <w:rFonts w:cs="Arial"/>
          <w:sz w:val="16"/>
          <w:szCs w:val="16"/>
          <w:lang w:val="fr-FR"/>
        </w:rPr>
        <w:t>’</w:t>
      </w:r>
      <w:r>
        <w:rPr>
          <w:rFonts w:cs="Arial"/>
          <w:sz w:val="16"/>
          <w:szCs w:val="16"/>
          <w:lang w:val="fr-FR"/>
        </w:rPr>
        <w:t>annexe de UNEP/CMS/StC53/Doc.16 sur le dossier n</w:t>
      </w:r>
      <w:r w:rsidRPr="00D50EBF">
        <w:rPr>
          <w:rFonts w:cs="Arial"/>
          <w:sz w:val="16"/>
          <w:szCs w:val="16"/>
          <w:vertAlign w:val="superscript"/>
          <w:lang w:val="fr-FR"/>
        </w:rPr>
        <w:t>o</w:t>
      </w:r>
      <w:r>
        <w:rPr>
          <w:rFonts w:cs="Arial"/>
          <w:sz w:val="16"/>
          <w:szCs w:val="16"/>
          <w:lang w:val="fr-FR"/>
        </w:rPr>
        <w:t> 1</w:t>
      </w:r>
    </w:p>
  </w:footnote>
  <w:footnote w:id="7">
    <w:p w14:paraId="6D2277BA" w14:textId="7A0B584E"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Rapport de la 53</w:t>
      </w:r>
      <w:r>
        <w:rPr>
          <w:rFonts w:cs="Arial"/>
          <w:sz w:val="16"/>
          <w:szCs w:val="16"/>
          <w:vertAlign w:val="superscript"/>
          <w:lang w:val="fr-FR"/>
        </w:rPr>
        <w:t>e</w:t>
      </w:r>
      <w:r w:rsidR="005C762A">
        <w:rPr>
          <w:rFonts w:cs="Arial"/>
          <w:sz w:val="16"/>
          <w:szCs w:val="16"/>
          <w:lang w:val="fr-FR"/>
        </w:rPr>
        <w:t> </w:t>
      </w:r>
      <w:r>
        <w:rPr>
          <w:rFonts w:cs="Arial"/>
          <w:sz w:val="16"/>
          <w:szCs w:val="16"/>
          <w:lang w:val="fr-FR"/>
        </w:rPr>
        <w:t xml:space="preserve">réunion du </w:t>
      </w:r>
      <w:proofErr w:type="spellStart"/>
      <w:r>
        <w:rPr>
          <w:rFonts w:cs="Arial"/>
          <w:sz w:val="16"/>
          <w:szCs w:val="16"/>
          <w:lang w:val="fr-FR"/>
        </w:rPr>
        <w:t>StC</w:t>
      </w:r>
      <w:proofErr w:type="spellEnd"/>
      <w:r>
        <w:rPr>
          <w:rFonts w:cs="Arial"/>
          <w:sz w:val="16"/>
          <w:szCs w:val="16"/>
          <w:lang w:val="fr-FR"/>
        </w:rPr>
        <w:t>, par. 120 et 125</w:t>
      </w:r>
    </w:p>
  </w:footnote>
  <w:footnote w:id="8">
    <w:p w14:paraId="5E5812FB"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I.C., par. 5</w:t>
      </w:r>
    </w:p>
  </w:footnote>
  <w:footnote w:id="9">
    <w:p w14:paraId="73DCFD20" w14:textId="137BA2CF" w:rsidR="00FB1551" w:rsidRPr="00416FA7" w:rsidRDefault="00FB1551" w:rsidP="00FB1551">
      <w:pPr>
        <w:pStyle w:val="FootnoteText"/>
        <w:rPr>
          <w:sz w:val="16"/>
          <w:szCs w:val="16"/>
          <w:lang w:val="fr-FR"/>
        </w:rPr>
      </w:pPr>
      <w:r>
        <w:rPr>
          <w:rStyle w:val="FootnoteReference"/>
          <w:rFonts w:cs="Arial"/>
          <w:sz w:val="16"/>
          <w:szCs w:val="16"/>
          <w:lang w:val="fr-FR"/>
        </w:rPr>
        <w:footnoteRef/>
      </w:r>
      <w:r>
        <w:rPr>
          <w:rFonts w:cs="Arial"/>
          <w:sz w:val="16"/>
          <w:szCs w:val="16"/>
          <w:lang w:val="fr-FR"/>
        </w:rPr>
        <w:t xml:space="preserve"> Voir, par exemple, par. C.9. du document T-PVS/</w:t>
      </w:r>
      <w:proofErr w:type="spellStart"/>
      <w:r>
        <w:rPr>
          <w:rFonts w:cs="Arial"/>
          <w:sz w:val="16"/>
          <w:szCs w:val="16"/>
          <w:lang w:val="fr-FR"/>
        </w:rPr>
        <w:t>Inf</w:t>
      </w:r>
      <w:proofErr w:type="spellEnd"/>
      <w:r>
        <w:rPr>
          <w:rFonts w:cs="Arial"/>
          <w:sz w:val="16"/>
          <w:szCs w:val="16"/>
          <w:lang w:val="fr-FR"/>
        </w:rPr>
        <w:t xml:space="preserve"> (2022)28, «</w:t>
      </w:r>
      <w:r w:rsidR="005C762A">
        <w:rPr>
          <w:rFonts w:cs="Arial"/>
          <w:sz w:val="16"/>
          <w:szCs w:val="16"/>
          <w:lang w:val="fr-FR"/>
        </w:rPr>
        <w:t> </w:t>
      </w:r>
      <w:r>
        <w:rPr>
          <w:rFonts w:cs="Arial"/>
          <w:sz w:val="16"/>
          <w:szCs w:val="16"/>
          <w:lang w:val="fr-FR"/>
        </w:rPr>
        <w:t xml:space="preserve">Case-File System: </w:t>
      </w:r>
      <w:proofErr w:type="spellStart"/>
      <w:r>
        <w:rPr>
          <w:rFonts w:cs="Arial"/>
          <w:sz w:val="16"/>
          <w:szCs w:val="16"/>
          <w:lang w:val="fr-FR"/>
        </w:rPr>
        <w:t>Proposals</w:t>
      </w:r>
      <w:proofErr w:type="spellEnd"/>
      <w:r>
        <w:rPr>
          <w:rFonts w:cs="Arial"/>
          <w:sz w:val="16"/>
          <w:szCs w:val="16"/>
          <w:lang w:val="fr-FR"/>
        </w:rPr>
        <w:t xml:space="preserve"> for </w:t>
      </w:r>
      <w:proofErr w:type="spellStart"/>
      <w:r>
        <w:rPr>
          <w:rFonts w:cs="Arial"/>
          <w:sz w:val="16"/>
          <w:szCs w:val="16"/>
          <w:lang w:val="fr-FR"/>
        </w:rPr>
        <w:t>increasing</w:t>
      </w:r>
      <w:proofErr w:type="spellEnd"/>
      <w:r>
        <w:rPr>
          <w:rFonts w:cs="Arial"/>
          <w:sz w:val="16"/>
          <w:szCs w:val="16"/>
          <w:lang w:val="fr-FR"/>
        </w:rPr>
        <w:t xml:space="preserve"> the </w:t>
      </w:r>
      <w:proofErr w:type="spellStart"/>
      <w:r>
        <w:rPr>
          <w:rFonts w:cs="Arial"/>
          <w:sz w:val="16"/>
          <w:szCs w:val="16"/>
          <w:lang w:val="fr-FR"/>
        </w:rPr>
        <w:t>efficiency</w:t>
      </w:r>
      <w:proofErr w:type="spellEnd"/>
      <w:r>
        <w:rPr>
          <w:rFonts w:cs="Arial"/>
          <w:sz w:val="16"/>
          <w:szCs w:val="16"/>
          <w:lang w:val="fr-FR"/>
        </w:rPr>
        <w:t xml:space="preserve"> and </w:t>
      </w:r>
      <w:proofErr w:type="spellStart"/>
      <w:r>
        <w:rPr>
          <w:rFonts w:cs="Arial"/>
          <w:sz w:val="16"/>
          <w:szCs w:val="16"/>
          <w:lang w:val="fr-FR"/>
        </w:rPr>
        <w:t>effectiveness</w:t>
      </w:r>
      <w:proofErr w:type="spellEnd"/>
      <w:r>
        <w:rPr>
          <w:rFonts w:cs="Arial"/>
          <w:sz w:val="16"/>
          <w:szCs w:val="16"/>
          <w:lang w:val="fr-FR"/>
        </w:rPr>
        <w:t xml:space="preserve"> of the case-file system </w:t>
      </w:r>
      <w:proofErr w:type="spellStart"/>
      <w:r>
        <w:rPr>
          <w:rFonts w:cs="Arial"/>
          <w:sz w:val="16"/>
          <w:szCs w:val="16"/>
          <w:lang w:val="fr-FR"/>
        </w:rPr>
        <w:t>going</w:t>
      </w:r>
      <w:proofErr w:type="spellEnd"/>
      <w:r>
        <w:rPr>
          <w:rFonts w:cs="Arial"/>
          <w:sz w:val="16"/>
          <w:szCs w:val="16"/>
          <w:lang w:val="fr-FR"/>
        </w:rPr>
        <w:t xml:space="preserve"> </w:t>
      </w:r>
      <w:proofErr w:type="spellStart"/>
      <w:r>
        <w:rPr>
          <w:rFonts w:cs="Arial"/>
          <w:sz w:val="16"/>
          <w:szCs w:val="16"/>
          <w:lang w:val="fr-FR"/>
        </w:rPr>
        <w:t>forward</w:t>
      </w:r>
      <w:proofErr w:type="spellEnd"/>
      <w:r w:rsidR="005C762A">
        <w:rPr>
          <w:rFonts w:cs="Arial"/>
          <w:sz w:val="16"/>
          <w:szCs w:val="16"/>
          <w:lang w:val="fr-FR"/>
        </w:rPr>
        <w:t> </w:t>
      </w:r>
      <w:r>
        <w:rPr>
          <w:rFonts w:cs="Arial"/>
          <w:sz w:val="16"/>
          <w:szCs w:val="16"/>
          <w:lang w:val="fr-FR"/>
        </w:rPr>
        <w:t>», Convention relative à la conservation de la vie sauvage et du milieu naturel de l’Europe.</w:t>
      </w:r>
    </w:p>
  </w:footnote>
  <w:footnote w:id="10">
    <w:p w14:paraId="7FE79B93"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Voir Résolution 12.9, section I.C., par. 5.</w:t>
      </w:r>
    </w:p>
  </w:footnote>
  <w:footnote w:id="11">
    <w:p w14:paraId="7348466B"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I.F., par. 6a).</w:t>
      </w:r>
    </w:p>
  </w:footnote>
  <w:footnote w:id="12">
    <w:p w14:paraId="36C265FE"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I.F., par. 6g).</w:t>
      </w:r>
    </w:p>
  </w:footnote>
  <w:footnote w:id="13">
    <w:p w14:paraId="5ACF8322" w14:textId="6355AF24"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Le Secrétariat rejettera les informations soumises au motif qu’elles sont «</w:t>
      </w:r>
      <w:r w:rsidR="005C762A">
        <w:rPr>
          <w:rFonts w:cs="Arial"/>
          <w:sz w:val="16"/>
          <w:szCs w:val="16"/>
          <w:lang w:val="fr-FR"/>
        </w:rPr>
        <w:t> </w:t>
      </w:r>
      <w:r>
        <w:rPr>
          <w:rFonts w:cs="Arial"/>
          <w:sz w:val="16"/>
          <w:szCs w:val="16"/>
          <w:lang w:val="fr-FR"/>
        </w:rPr>
        <w:t>insignifiantes</w:t>
      </w:r>
      <w:r w:rsidR="005C762A">
        <w:rPr>
          <w:rFonts w:cs="Arial"/>
          <w:sz w:val="16"/>
          <w:szCs w:val="16"/>
          <w:lang w:val="fr-FR"/>
        </w:rPr>
        <w:t> </w:t>
      </w:r>
      <w:r>
        <w:rPr>
          <w:rFonts w:cs="Arial"/>
          <w:sz w:val="16"/>
          <w:szCs w:val="16"/>
          <w:lang w:val="fr-FR"/>
        </w:rPr>
        <w:t>» lorsqu’elles revêtent peu d’importance pour le respect des obligations énoncées aux Articles III.4, III.5, III.7 et VI.2 de la Convention. Une information sera considérée comme «</w:t>
      </w:r>
      <w:r w:rsidR="005C762A">
        <w:rPr>
          <w:rFonts w:cs="Arial"/>
          <w:sz w:val="16"/>
          <w:szCs w:val="16"/>
          <w:lang w:val="fr-FR"/>
        </w:rPr>
        <w:t> </w:t>
      </w:r>
      <w:r>
        <w:rPr>
          <w:rFonts w:cs="Arial"/>
          <w:sz w:val="16"/>
          <w:szCs w:val="16"/>
          <w:lang w:val="fr-FR"/>
        </w:rPr>
        <w:t>infondée</w:t>
      </w:r>
      <w:r w:rsidR="005C762A">
        <w:rPr>
          <w:rFonts w:cs="Arial"/>
          <w:sz w:val="16"/>
          <w:szCs w:val="16"/>
          <w:lang w:val="fr-FR"/>
        </w:rPr>
        <w:t> </w:t>
      </w:r>
      <w:r>
        <w:rPr>
          <w:rFonts w:cs="Arial"/>
          <w:sz w:val="16"/>
          <w:szCs w:val="16"/>
          <w:lang w:val="fr-FR"/>
        </w:rPr>
        <w:t>» si elle ne repose pas sur des preuves ou des éléments de preuve appropriés, ou si elle n’est pas basée sur des faits ou la vérité.</w:t>
      </w:r>
    </w:p>
  </w:footnote>
  <w:footnote w:id="14">
    <w:p w14:paraId="65E6A297" w14:textId="77777777" w:rsidR="00FB1551" w:rsidRPr="00416FA7" w:rsidRDefault="00FB1551" w:rsidP="00FB1551">
      <w:pPr>
        <w:pStyle w:val="FootnoteText"/>
        <w:rPr>
          <w:lang w:val="fr-FR"/>
        </w:rPr>
      </w:pPr>
      <w:r>
        <w:rPr>
          <w:rStyle w:val="FootnoteReference"/>
          <w:rFonts w:cs="Arial"/>
          <w:sz w:val="16"/>
          <w:szCs w:val="16"/>
          <w:lang w:val="fr-FR"/>
        </w:rPr>
        <w:footnoteRef/>
      </w:r>
      <w:r>
        <w:rPr>
          <w:rFonts w:cs="Arial"/>
          <w:sz w:val="16"/>
          <w:szCs w:val="16"/>
          <w:lang w:val="fr-FR"/>
        </w:rPr>
        <w:t xml:space="preserve"> Conformément à la résolution 12.9, section I.C., par. 3.</w:t>
      </w:r>
    </w:p>
  </w:footnote>
  <w:footnote w:id="15">
    <w:p w14:paraId="5BF862A1"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C.I., par. 1b) et 4</w:t>
      </w:r>
    </w:p>
  </w:footnote>
  <w:footnote w:id="16">
    <w:p w14:paraId="62ECAA48"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C.I., par. 4</w:t>
      </w:r>
    </w:p>
  </w:footnote>
  <w:footnote w:id="17">
    <w:p w14:paraId="2C4D664C" w14:textId="765FE45C" w:rsidR="00FB1551" w:rsidRPr="00DB6466" w:rsidRDefault="00FB1551" w:rsidP="00FB1551">
      <w:pPr>
        <w:pStyle w:val="FootnoteText"/>
        <w:rPr>
          <w:rFonts w:cs="Arial"/>
          <w:sz w:val="16"/>
          <w:szCs w:val="16"/>
        </w:rPr>
      </w:pPr>
      <w:r>
        <w:rPr>
          <w:rStyle w:val="FootnoteReference"/>
          <w:rFonts w:cs="Arial"/>
          <w:sz w:val="16"/>
          <w:szCs w:val="16"/>
          <w:lang w:val="fr-FR"/>
        </w:rPr>
        <w:footnoteRef/>
      </w:r>
      <w:r>
        <w:rPr>
          <w:rFonts w:cs="Arial"/>
          <w:sz w:val="16"/>
          <w:szCs w:val="16"/>
          <w:lang w:val="fr-FR"/>
        </w:rPr>
        <w:t xml:space="preserve"> Voir le rapport sur «</w:t>
      </w:r>
      <w:r w:rsidR="005C762A">
        <w:rPr>
          <w:rFonts w:cs="Arial"/>
          <w:sz w:val="16"/>
          <w:szCs w:val="16"/>
          <w:lang w:val="fr-FR"/>
        </w:rPr>
        <w:t> </w:t>
      </w:r>
      <w:r>
        <w:rPr>
          <w:rFonts w:cs="Arial"/>
          <w:sz w:val="16"/>
          <w:szCs w:val="16"/>
          <w:lang w:val="fr-FR"/>
        </w:rPr>
        <w:t xml:space="preserve">AEWA </w:t>
      </w:r>
      <w:proofErr w:type="spellStart"/>
      <w:r>
        <w:rPr>
          <w:rFonts w:cs="Arial"/>
          <w:sz w:val="16"/>
          <w:szCs w:val="16"/>
          <w:lang w:val="fr-FR"/>
        </w:rPr>
        <w:t>Implementation</w:t>
      </w:r>
      <w:proofErr w:type="spellEnd"/>
      <w:r>
        <w:rPr>
          <w:rFonts w:cs="Arial"/>
          <w:sz w:val="16"/>
          <w:szCs w:val="16"/>
          <w:lang w:val="fr-FR"/>
        </w:rPr>
        <w:t xml:space="preserve"> </w:t>
      </w:r>
      <w:proofErr w:type="spellStart"/>
      <w:r>
        <w:rPr>
          <w:rFonts w:cs="Arial"/>
          <w:sz w:val="16"/>
          <w:szCs w:val="16"/>
          <w:lang w:val="fr-FR"/>
        </w:rPr>
        <w:t>Review</w:t>
      </w:r>
      <w:proofErr w:type="spellEnd"/>
      <w:r>
        <w:rPr>
          <w:rFonts w:cs="Arial"/>
          <w:sz w:val="16"/>
          <w:szCs w:val="16"/>
          <w:lang w:val="fr-FR"/>
        </w:rPr>
        <w:t xml:space="preserve"> Process (IRP) – A Joint On-the-spot </w:t>
      </w:r>
      <w:proofErr w:type="spellStart"/>
      <w:r>
        <w:rPr>
          <w:rFonts w:cs="Arial"/>
          <w:sz w:val="16"/>
          <w:szCs w:val="16"/>
          <w:lang w:val="fr-FR"/>
        </w:rPr>
        <w:t>Assessment</w:t>
      </w:r>
      <w:proofErr w:type="spellEnd"/>
      <w:r>
        <w:rPr>
          <w:rFonts w:cs="Arial"/>
          <w:sz w:val="16"/>
          <w:szCs w:val="16"/>
          <w:lang w:val="fr-FR"/>
        </w:rPr>
        <w:t xml:space="preserve"> Mission by the Bern Convention, AEWA and CMS</w:t>
      </w:r>
      <w:r w:rsidR="005C762A">
        <w:rPr>
          <w:rFonts w:cs="Arial"/>
          <w:sz w:val="16"/>
          <w:szCs w:val="16"/>
          <w:lang w:val="fr-FR"/>
        </w:rPr>
        <w:t> </w:t>
      </w:r>
      <w:r>
        <w:rPr>
          <w:rFonts w:cs="Arial"/>
          <w:sz w:val="16"/>
          <w:szCs w:val="16"/>
          <w:lang w:val="fr-FR"/>
        </w:rPr>
        <w:t xml:space="preserve">». du 29 août au 2 septembre 2022. </w:t>
      </w:r>
      <w:r w:rsidR="00B15B88">
        <w:fldChar w:fldCharType="begin"/>
      </w:r>
      <w:r w:rsidR="00B15B88" w:rsidRPr="00B15B88">
        <w:rPr>
          <w:lang w:val="fr-FR"/>
        </w:rPr>
        <w:instrText>HYPERLINK "https://www.unep-aewa.org/sites/default/files/uploads/aewa_final_albania_irp_report_0.pdf"</w:instrText>
      </w:r>
      <w:r w:rsidR="00B15B88">
        <w:fldChar w:fldCharType="separate"/>
      </w:r>
      <w:r w:rsidRPr="00DB6466">
        <w:rPr>
          <w:rStyle w:val="Hyperlink"/>
          <w:rFonts w:cs="Arial"/>
          <w:sz w:val="16"/>
          <w:szCs w:val="16"/>
        </w:rPr>
        <w:t>https://www.unep-aewa.org/sites/default/files/uploads/aewa_final_albania_irp_report_0.pdf</w:t>
      </w:r>
      <w:r w:rsidR="00B15B88">
        <w:rPr>
          <w:rStyle w:val="Hyperlink"/>
          <w:rFonts w:cs="Arial"/>
          <w:sz w:val="16"/>
          <w:szCs w:val="16"/>
        </w:rPr>
        <w:fldChar w:fldCharType="end"/>
      </w:r>
    </w:p>
  </w:footnote>
  <w:footnote w:id="18">
    <w:p w14:paraId="305A38CB" w14:textId="77777777" w:rsidR="00FB1551" w:rsidRPr="00416FA7" w:rsidRDefault="00FB1551" w:rsidP="00FB1551">
      <w:pPr>
        <w:pStyle w:val="FootnoteText"/>
        <w:rPr>
          <w:rFonts w:cs="Arial"/>
          <w:sz w:val="16"/>
          <w:szCs w:val="16"/>
          <w:lang w:val="fr-FR"/>
        </w:rPr>
      </w:pPr>
      <w:r>
        <w:rPr>
          <w:rStyle w:val="FootnoteReference"/>
          <w:rFonts w:cs="Arial"/>
          <w:sz w:val="16"/>
          <w:szCs w:val="16"/>
          <w:lang w:val="fr-FR"/>
        </w:rPr>
        <w:footnoteRef/>
      </w:r>
      <w:r>
        <w:rPr>
          <w:rFonts w:cs="Arial"/>
          <w:sz w:val="16"/>
          <w:szCs w:val="16"/>
          <w:lang w:val="fr-FR"/>
        </w:rPr>
        <w:t xml:space="preserve"> Résolution 12.9, Section I.A., par. 2.</w:t>
      </w:r>
    </w:p>
  </w:footnote>
  <w:footnote w:id="19">
    <w:p w14:paraId="10418CA8" w14:textId="77777777" w:rsidR="00FB1551" w:rsidRPr="00416FA7" w:rsidRDefault="00FB1551" w:rsidP="00FB1551">
      <w:pPr>
        <w:pStyle w:val="FootnoteText"/>
        <w:rPr>
          <w:lang w:val="fr-FR"/>
        </w:rPr>
      </w:pPr>
      <w:r>
        <w:rPr>
          <w:rStyle w:val="FootnoteReference"/>
          <w:rFonts w:cs="Arial"/>
          <w:sz w:val="16"/>
          <w:szCs w:val="16"/>
          <w:lang w:val="fr-FR"/>
        </w:rPr>
        <w:footnoteRef/>
      </w:r>
      <w:r>
        <w:rPr>
          <w:rFonts w:cs="Arial"/>
          <w:sz w:val="16"/>
          <w:szCs w:val="16"/>
          <w:lang w:val="fr-FR"/>
        </w:rPr>
        <w:t xml:space="preserve"> Résolution 12.9, Section I.A., par.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86D1A1F" w:rsidR="002B3E88" w:rsidRPr="000663D8"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663D8">
      <w:rPr>
        <w:rFonts w:ascii="Arial" w:hAnsi="Arial" w:cs="Arial"/>
        <w:i/>
        <w:sz w:val="18"/>
        <w:szCs w:val="18"/>
        <w:lang w:val="en-GB"/>
      </w:rPr>
      <w:t>UNEP/CMS/COP1</w:t>
    </w:r>
    <w:r w:rsidR="00CB22BB" w:rsidRPr="000663D8">
      <w:rPr>
        <w:rFonts w:ascii="Arial" w:hAnsi="Arial" w:cs="Arial"/>
        <w:i/>
        <w:sz w:val="18"/>
        <w:szCs w:val="18"/>
        <w:lang w:val="en-GB"/>
      </w:rPr>
      <w:t>4</w:t>
    </w:r>
    <w:r w:rsidRPr="000663D8">
      <w:rPr>
        <w:rFonts w:ascii="Arial" w:hAnsi="Arial" w:cs="Arial"/>
        <w:i/>
        <w:sz w:val="18"/>
        <w:szCs w:val="18"/>
        <w:lang w:val="en-GB"/>
      </w:rPr>
      <w:t>/CRP</w:t>
    </w:r>
    <w:r w:rsidR="00A4099F" w:rsidRPr="000663D8">
      <w:rPr>
        <w:rFonts w:ascii="Arial" w:hAnsi="Arial" w:cs="Arial"/>
        <w:i/>
        <w:sz w:val="18"/>
        <w:szCs w:val="18"/>
        <w:lang w:val="en-GB"/>
      </w:rPr>
      <w:t>24</w:t>
    </w:r>
    <w:r w:rsidR="00D512B0">
      <w:rPr>
        <w:rFonts w:ascii="Arial" w:hAnsi="Arial" w:cs="Arial"/>
        <w:i/>
        <w:sz w:val="18"/>
        <w:szCs w:val="18"/>
        <w:lang w:val="en-GB"/>
      </w:rPr>
      <w:t>/Rev.1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0AFEC820" w:rsidR="002B3E88" w:rsidRPr="000663D8"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663D8">
      <w:rPr>
        <w:rFonts w:ascii="Arial" w:hAnsi="Arial" w:cs="Arial"/>
        <w:i/>
        <w:sz w:val="18"/>
        <w:szCs w:val="18"/>
        <w:lang w:val="en-GB"/>
      </w:rPr>
      <w:t>UNEP/CMS/COP1</w:t>
    </w:r>
    <w:r w:rsidR="00CB22BB" w:rsidRPr="000663D8">
      <w:rPr>
        <w:rFonts w:ascii="Arial" w:hAnsi="Arial" w:cs="Arial"/>
        <w:i/>
        <w:sz w:val="18"/>
        <w:szCs w:val="18"/>
        <w:lang w:val="en-GB"/>
      </w:rPr>
      <w:t>4</w:t>
    </w:r>
    <w:r w:rsidRPr="000663D8">
      <w:rPr>
        <w:rFonts w:ascii="Arial" w:hAnsi="Arial" w:cs="Arial"/>
        <w:i/>
        <w:sz w:val="18"/>
        <w:szCs w:val="18"/>
        <w:lang w:val="en-GB"/>
      </w:rPr>
      <w:t>/CRP</w:t>
    </w:r>
    <w:r w:rsidR="00A4099F" w:rsidRPr="000663D8">
      <w:rPr>
        <w:rFonts w:ascii="Arial" w:hAnsi="Arial" w:cs="Arial"/>
        <w:i/>
        <w:sz w:val="18"/>
        <w:szCs w:val="18"/>
        <w:lang w:val="en-GB"/>
      </w:rPr>
      <w:t>24</w:t>
    </w:r>
    <w:r w:rsidR="00D512B0">
      <w:rPr>
        <w:rFonts w:ascii="Arial" w:hAnsi="Arial" w:cs="Arial"/>
        <w:i/>
        <w:sz w:val="18"/>
        <w:szCs w:val="18"/>
        <w:lang w:val="en-GB"/>
      </w:rPr>
      <w:t>/Rev.1</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4E7EAC5" w:rsidR="007A1066" w:rsidRPr="000663D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663D8">
      <w:rPr>
        <w:rFonts w:ascii="Arial" w:hAnsi="Arial" w:cs="Arial"/>
        <w:bCs/>
        <w:i/>
        <w:iCs/>
        <w:sz w:val="18"/>
        <w:szCs w:val="18"/>
        <w:lang w:val="en-GB"/>
      </w:rPr>
      <w:t>UNEP/CMS/COP1</w:t>
    </w:r>
    <w:r w:rsidR="002B3E88" w:rsidRPr="000663D8">
      <w:rPr>
        <w:rFonts w:ascii="Arial" w:hAnsi="Arial" w:cs="Arial"/>
        <w:bCs/>
        <w:i/>
        <w:iCs/>
        <w:sz w:val="18"/>
        <w:szCs w:val="18"/>
        <w:lang w:val="en-GB"/>
      </w:rPr>
      <w:t>4</w:t>
    </w:r>
    <w:r w:rsidRPr="000663D8">
      <w:rPr>
        <w:rFonts w:ascii="Arial" w:hAnsi="Arial" w:cs="Arial"/>
        <w:bCs/>
        <w:i/>
        <w:iCs/>
        <w:sz w:val="18"/>
        <w:szCs w:val="18"/>
        <w:lang w:val="en-GB"/>
      </w:rPr>
      <w:t>/CRP</w:t>
    </w:r>
    <w:r w:rsidR="007543C5" w:rsidRPr="000663D8">
      <w:rPr>
        <w:rFonts w:ascii="Arial" w:hAnsi="Arial" w:cs="Arial"/>
        <w:bCs/>
        <w:i/>
        <w:iCs/>
        <w:sz w:val="18"/>
        <w:szCs w:val="18"/>
        <w:lang w:val="en-GB"/>
      </w:rPr>
      <w:t>24</w:t>
    </w:r>
    <w:r w:rsidR="00D512B0">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17617"/>
    <w:multiLevelType w:val="hybridMultilevel"/>
    <w:tmpl w:val="30EC3C50"/>
    <w:lvl w:ilvl="0" w:tplc="AA7025B2">
      <w:start w:val="1"/>
      <w:numFmt w:val="lowerRoman"/>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36AC2060"/>
    <w:multiLevelType w:val="hybridMultilevel"/>
    <w:tmpl w:val="DFA08444"/>
    <w:lvl w:ilvl="0" w:tplc="60667D3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1814080"/>
    <w:multiLevelType w:val="hybridMultilevel"/>
    <w:tmpl w:val="7BDE81EA"/>
    <w:lvl w:ilvl="0" w:tplc="67049A7E">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45409"/>
    <w:multiLevelType w:val="hybridMultilevel"/>
    <w:tmpl w:val="52760084"/>
    <w:lvl w:ilvl="0" w:tplc="AA7025B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A329F3"/>
    <w:multiLevelType w:val="hybridMultilevel"/>
    <w:tmpl w:val="940030C0"/>
    <w:lvl w:ilvl="0" w:tplc="AA7025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34554"/>
    <w:multiLevelType w:val="hybridMultilevel"/>
    <w:tmpl w:val="BD0E65B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DE36E43"/>
    <w:multiLevelType w:val="hybridMultilevel"/>
    <w:tmpl w:val="C3B8242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909029707">
    <w:abstractNumId w:val="2"/>
  </w:num>
  <w:num w:numId="2" w16cid:durableId="332799912">
    <w:abstractNumId w:val="4"/>
  </w:num>
  <w:num w:numId="3" w16cid:durableId="1484931584">
    <w:abstractNumId w:val="1"/>
  </w:num>
  <w:num w:numId="4" w16cid:durableId="239608011">
    <w:abstractNumId w:val="3"/>
  </w:num>
  <w:num w:numId="5" w16cid:durableId="262495220">
    <w:abstractNumId w:val="0"/>
  </w:num>
  <w:num w:numId="6" w16cid:durableId="1556350439">
    <w:abstractNumId w:val="6"/>
  </w:num>
  <w:num w:numId="7" w16cid:durableId="396127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56"/>
    <w:rsid w:val="0006501F"/>
    <w:rsid w:val="000663D8"/>
    <w:rsid w:val="000B0D60"/>
    <w:rsid w:val="000C2B61"/>
    <w:rsid w:val="000E4C64"/>
    <w:rsid w:val="001360EE"/>
    <w:rsid w:val="001648A3"/>
    <w:rsid w:val="002223BB"/>
    <w:rsid w:val="002B3E88"/>
    <w:rsid w:val="00343934"/>
    <w:rsid w:val="003B49C4"/>
    <w:rsid w:val="003C4D2A"/>
    <w:rsid w:val="003F1AD8"/>
    <w:rsid w:val="0043102F"/>
    <w:rsid w:val="00487D0A"/>
    <w:rsid w:val="004920F1"/>
    <w:rsid w:val="005645C4"/>
    <w:rsid w:val="005C762A"/>
    <w:rsid w:val="005D1880"/>
    <w:rsid w:val="005D43E4"/>
    <w:rsid w:val="005F0639"/>
    <w:rsid w:val="0068089B"/>
    <w:rsid w:val="006A621C"/>
    <w:rsid w:val="006D0AD6"/>
    <w:rsid w:val="00705779"/>
    <w:rsid w:val="007204EF"/>
    <w:rsid w:val="00723451"/>
    <w:rsid w:val="007279FF"/>
    <w:rsid w:val="007543C5"/>
    <w:rsid w:val="007906F0"/>
    <w:rsid w:val="007A1066"/>
    <w:rsid w:val="0099284E"/>
    <w:rsid w:val="009F2A0B"/>
    <w:rsid w:val="00A048E3"/>
    <w:rsid w:val="00A4099F"/>
    <w:rsid w:val="00AB31C2"/>
    <w:rsid w:val="00B15B88"/>
    <w:rsid w:val="00B50BC0"/>
    <w:rsid w:val="00C32FF1"/>
    <w:rsid w:val="00CB22BB"/>
    <w:rsid w:val="00D11113"/>
    <w:rsid w:val="00D512B0"/>
    <w:rsid w:val="00D82C56"/>
    <w:rsid w:val="00E53F1F"/>
    <w:rsid w:val="00E829C9"/>
    <w:rsid w:val="00EE6894"/>
    <w:rsid w:val="00FB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725F78C6-0D34-4E3B-A3B9-6DEF93D7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paragraph">
    <w:name w:val="paragraph"/>
    <w:basedOn w:val="Normal"/>
    <w:rsid w:val="005D1880"/>
    <w:pPr>
      <w:widowControl/>
      <w:suppressAutoHyphens w:val="0"/>
      <w:autoSpaceDE/>
      <w:autoSpaceDN/>
      <w:spacing w:before="100" w:beforeAutospacing="1" w:after="100" w:afterAutospacing="1"/>
      <w:textAlignment w:val="auto"/>
    </w:pPr>
    <w:rPr>
      <w:sz w:val="24"/>
      <w:lang w:val="en-GB"/>
    </w:rPr>
  </w:style>
  <w:style w:type="character" w:customStyle="1" w:styleId="normaltextrun">
    <w:name w:val="normaltextrun"/>
    <w:basedOn w:val="DefaultParagraphFont"/>
    <w:rsid w:val="005D1880"/>
  </w:style>
  <w:style w:type="character" w:styleId="Hyperlink">
    <w:name w:val="Hyperlink"/>
    <w:basedOn w:val="DefaultParagraphFont"/>
    <w:uiPriority w:val="99"/>
    <w:unhideWhenUsed/>
    <w:rsid w:val="00FB1551"/>
    <w:rPr>
      <w:color w:val="0563C1" w:themeColor="hyperlink"/>
      <w:u w:val="single"/>
    </w:rPr>
  </w:style>
  <w:style w:type="paragraph" w:styleId="FootnoteText">
    <w:name w:val="footnote text"/>
    <w:aliases w:val="fn,Footnote text,Reference,Fußnote,Footnote Text Char Char,Footnote Text Char Char Char Char,Footnote Text1,Footnote Text Char Char Char,Fu§notentext Char,Fu§notentext Char1 Char1,Fu§notentext Char Char Char Char,o,Fußn,Fußnotentextf"/>
    <w:basedOn w:val="Normal"/>
    <w:link w:val="FootnoteTextChar"/>
    <w:uiPriority w:val="99"/>
    <w:unhideWhenUsed/>
    <w:qFormat/>
    <w:rsid w:val="00FB1551"/>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aliases w:val="fn Char,Footnote text Char,Reference Char,Fußnote Char,Footnote Text Char Char Char1,Footnote Text Char Char Char Char Char,Footnote Text1 Char,Footnote Text Char Char Char Char1,Fu§notentext Char Char,Fu§notentext Char1 Char1 Char"/>
    <w:basedOn w:val="DefaultParagraphFont"/>
    <w:link w:val="FootnoteText"/>
    <w:uiPriority w:val="99"/>
    <w:rsid w:val="00FB1551"/>
    <w:rPr>
      <w:rFonts w:eastAsiaTheme="minorHAnsi" w:cstheme="minorBidi"/>
      <w:sz w:val="20"/>
      <w:szCs w:val="20"/>
      <w:lang w:val="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basedOn w:val="DefaultParagraphFont"/>
    <w:link w:val="FootnotesymbolCarZchn"/>
    <w:unhideWhenUsed/>
    <w:qFormat/>
    <w:rsid w:val="00FB155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FB1551"/>
    <w:pPr>
      <w:widowControl/>
      <w:suppressAutoHyphens w:val="0"/>
      <w:autoSpaceDE/>
      <w:autoSpaceDN/>
      <w:spacing w:line="240" w:lineRule="exact"/>
      <w:jc w:val="both"/>
      <w:textAlignment w:val="auto"/>
    </w:pPr>
    <w:rPr>
      <w:rFonts w:ascii="Arial" w:eastAsia="Calibri" w:hAnsi="Arial"/>
      <w:sz w:val="22"/>
      <w:szCs w:val="22"/>
      <w:vertAlign w:val="superscript"/>
    </w:rPr>
  </w:style>
  <w:style w:type="paragraph" w:styleId="ListParagraph">
    <w:name w:val="List Paragraph"/>
    <w:basedOn w:val="Normal"/>
    <w:uiPriority w:val="34"/>
    <w:qFormat/>
    <w:rsid w:val="006D0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fr/node/156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2227</Words>
  <Characters>12698</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2</cp:revision>
  <cp:lastPrinted>2020-02-03T15:02:00Z</cp:lastPrinted>
  <dcterms:created xsi:type="dcterms:W3CDTF">2024-02-15T18:54:00Z</dcterms:created>
  <dcterms:modified xsi:type="dcterms:W3CDTF">2024-02-15T18:54:00Z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