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39F" w:rsidRDefault="001F739F">
      <w:pPr>
        <w:widowControl w:val="0"/>
        <w:tabs>
          <w:tab w:val="left" w:pos="-1057"/>
          <w:tab w:val="left" w:pos="-720"/>
        </w:tabs>
        <w:autoSpaceDE w:val="0"/>
        <w:spacing w:after="0"/>
        <w:ind w:left="-90"/>
        <w:rPr>
          <w:rFonts w:eastAsia="Times New Roman" w:cs="Arial"/>
          <w:spacing w:val="-8"/>
          <w:sz w:val="12"/>
          <w:szCs w:val="12"/>
          <w:lang w:val="fr-FR"/>
        </w:rPr>
      </w:pPr>
      <w:bookmarkStart w:id="0" w:name="_GoBack"/>
      <w:bookmarkEnd w:id="0"/>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1F739F" w:rsidRPr="00A13B8C">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rsidR="001F739F" w:rsidRDefault="00EC3E83">
            <w:pPr>
              <w:widowControl w:val="0"/>
              <w:autoSpaceDE w:val="0"/>
              <w:spacing w:after="0"/>
            </w:pPr>
            <w:r>
              <w:rPr>
                <w:rFonts w:eastAsia="Times New Roman" w:cs="Arial"/>
                <w:noProof/>
                <w:lang w:val="fr-FR"/>
              </w:rPr>
              <w:drawing>
                <wp:inline distT="0" distB="0" distL="0" distR="0">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533" t="-726" r="-2533" b="-726"/>
                          <a:stretch>
                            <a:fillRect/>
                          </a:stretch>
                        </pic:blipFill>
                        <pic:spPr>
                          <a:xfrm>
                            <a:off x="0" y="0"/>
                            <a:ext cx="752478" cy="771525"/>
                          </a:xfrm>
                          <a:prstGeom prst="rect">
                            <a:avLst/>
                          </a:prstGeom>
                          <a:noFill/>
                          <a:ln>
                            <a:noFill/>
                            <a:prstDash/>
                          </a:ln>
                        </pic:spPr>
                      </pic:pic>
                    </a:graphicData>
                  </a:graphic>
                </wp:inline>
              </w:drawing>
            </w:r>
          </w:p>
          <w:p w:rsidR="001F739F" w:rsidRDefault="001F739F">
            <w:pPr>
              <w:widowControl w:val="0"/>
              <w:autoSpaceDE w:val="0"/>
              <w:spacing w:after="0"/>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rsidR="001F739F" w:rsidRDefault="001F739F">
            <w:pPr>
              <w:keepNext/>
              <w:widowControl w:val="0"/>
              <w:autoSpaceDE w:val="0"/>
              <w:spacing w:after="0"/>
              <w:ind w:left="-108"/>
              <w:outlineLvl w:val="1"/>
              <w:rPr>
                <w:rFonts w:eastAsia="Times New Roman" w:cs="Arial"/>
                <w:sz w:val="12"/>
                <w:szCs w:val="12"/>
                <w:lang w:val="fr-FR"/>
              </w:rPr>
            </w:pPr>
          </w:p>
          <w:p w:rsidR="001F739F" w:rsidRPr="00EC3E83" w:rsidRDefault="00EC3E83">
            <w:pPr>
              <w:keepNext/>
              <w:widowControl w:val="0"/>
              <w:autoSpaceDE w:val="0"/>
              <w:spacing w:after="0"/>
              <w:ind w:left="-108"/>
              <w:outlineLvl w:val="1"/>
              <w:rPr>
                <w:lang w:val="fr-FR"/>
              </w:rPr>
            </w:pPr>
            <w:r>
              <w:rPr>
                <w:rFonts w:eastAsia="Arial" w:cs="Arial"/>
                <w:b/>
                <w:bCs/>
                <w:sz w:val="32"/>
                <w:szCs w:val="32"/>
                <w:lang w:val="fr-FR"/>
              </w:rPr>
              <w:t>CONVENTION SUR</w:t>
            </w:r>
          </w:p>
          <w:p w:rsidR="001F739F" w:rsidRPr="00EC3E83" w:rsidRDefault="00EC3E83">
            <w:pPr>
              <w:keepNext/>
              <w:widowControl w:val="0"/>
              <w:autoSpaceDE w:val="0"/>
              <w:spacing w:after="0"/>
              <w:ind w:left="-108"/>
              <w:outlineLvl w:val="1"/>
              <w:rPr>
                <w:lang w:val="fr-FR"/>
              </w:rPr>
            </w:pPr>
            <w:r>
              <w:rPr>
                <w:rFonts w:eastAsia="Arial" w:cs="Arial"/>
                <w:b/>
                <w:bCs/>
                <w:sz w:val="32"/>
                <w:szCs w:val="32"/>
                <w:lang w:val="fr-FR"/>
              </w:rPr>
              <w:t>LES ESPÈCES</w:t>
            </w:r>
          </w:p>
          <w:p w:rsidR="001F739F" w:rsidRPr="00EC3E83" w:rsidRDefault="00EC3E83">
            <w:pPr>
              <w:keepNext/>
              <w:widowControl w:val="0"/>
              <w:autoSpaceDE w:val="0"/>
              <w:spacing w:after="0"/>
              <w:ind w:left="-108"/>
              <w:outlineLvl w:val="1"/>
              <w:rPr>
                <w:lang w:val="fr-FR"/>
              </w:rPr>
            </w:pPr>
            <w:r>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rsidR="001126E0" w:rsidRDefault="00EC3E83" w:rsidP="00CE4BFD">
            <w:pPr>
              <w:widowControl w:val="0"/>
              <w:tabs>
                <w:tab w:val="left" w:pos="5040"/>
                <w:tab w:val="left" w:pos="5760"/>
                <w:tab w:val="left" w:pos="6008"/>
                <w:tab w:val="left" w:pos="6480"/>
                <w:tab w:val="left" w:pos="7200"/>
                <w:tab w:val="left" w:pos="7920"/>
                <w:tab w:val="left" w:pos="8640"/>
              </w:tabs>
              <w:autoSpaceDE w:val="0"/>
              <w:spacing w:before="120" w:after="120"/>
              <w:rPr>
                <w:rFonts w:eastAsia="Arial" w:cs="Arial"/>
                <w:lang w:val="fr-FR"/>
              </w:rPr>
            </w:pPr>
            <w:r>
              <w:rPr>
                <w:rFonts w:eastAsia="Arial" w:cs="Arial"/>
                <w:lang w:val="fr-FR"/>
              </w:rPr>
              <w:t>UNEP/CMS/COP13/Doc.</w:t>
            </w:r>
            <w:r w:rsidR="00CE4BFD">
              <w:rPr>
                <w:rFonts w:eastAsia="Arial" w:cs="Arial"/>
                <w:lang w:val="fr-FR"/>
              </w:rPr>
              <w:t>28.2.5</w:t>
            </w:r>
          </w:p>
          <w:p w:rsidR="001F739F" w:rsidRPr="00CE4BFD" w:rsidRDefault="00CE4BFD" w:rsidP="00CE4BFD">
            <w:pPr>
              <w:widowControl w:val="0"/>
              <w:tabs>
                <w:tab w:val="left" w:pos="5040"/>
                <w:tab w:val="left" w:pos="5760"/>
                <w:tab w:val="left" w:pos="6008"/>
                <w:tab w:val="left" w:pos="6480"/>
                <w:tab w:val="left" w:pos="7200"/>
                <w:tab w:val="left" w:pos="7920"/>
                <w:tab w:val="left" w:pos="8640"/>
              </w:tabs>
              <w:autoSpaceDE w:val="0"/>
              <w:spacing w:before="120" w:after="120"/>
              <w:rPr>
                <w:lang w:val="fr-FR"/>
              </w:rPr>
            </w:pPr>
            <w:r>
              <w:rPr>
                <w:lang w:val="fr-FR"/>
              </w:rPr>
              <w:t>24 septembre</w:t>
            </w:r>
            <w:r w:rsidR="00A13B8C">
              <w:rPr>
                <w:lang w:val="fr-FR"/>
              </w:rPr>
              <w:t xml:space="preserve"> 2019</w:t>
            </w:r>
          </w:p>
          <w:p w:rsidR="001F739F" w:rsidRPr="00A13B8C" w:rsidRDefault="00EC3E83" w:rsidP="00CE4BFD">
            <w:pPr>
              <w:widowControl w:val="0"/>
              <w:autoSpaceDE w:val="0"/>
              <w:spacing w:before="120" w:after="120"/>
              <w:rPr>
                <w:lang w:val="fr-FR"/>
              </w:rPr>
            </w:pPr>
            <w:r>
              <w:rPr>
                <w:rFonts w:eastAsia="Arial" w:cs="Arial"/>
                <w:lang w:val="fr-FR"/>
              </w:rPr>
              <w:t>Français</w:t>
            </w:r>
          </w:p>
          <w:p w:rsidR="001F739F" w:rsidRPr="00A13B8C" w:rsidRDefault="00EC3E83" w:rsidP="00CE4BFD">
            <w:pPr>
              <w:widowControl w:val="0"/>
              <w:autoSpaceDE w:val="0"/>
              <w:spacing w:before="120" w:after="120"/>
              <w:rPr>
                <w:lang w:val="fr-FR"/>
              </w:rPr>
            </w:pPr>
            <w:r>
              <w:rPr>
                <w:rFonts w:eastAsia="Arial" w:cs="Arial"/>
                <w:lang w:val="fr-FR"/>
              </w:rPr>
              <w:t>Original : Anglais</w:t>
            </w:r>
          </w:p>
          <w:p w:rsidR="001F739F" w:rsidRDefault="001F739F">
            <w:pPr>
              <w:widowControl w:val="0"/>
              <w:autoSpaceDE w:val="0"/>
              <w:spacing w:after="0"/>
              <w:rPr>
                <w:rFonts w:eastAsia="Times New Roman" w:cs="Arial"/>
                <w:sz w:val="12"/>
                <w:szCs w:val="12"/>
                <w:lang w:val="fr-FR"/>
              </w:rPr>
            </w:pPr>
          </w:p>
        </w:tc>
      </w:tr>
    </w:tbl>
    <w:p w:rsidR="001F739F" w:rsidRDefault="001F739F">
      <w:pPr>
        <w:widowControl w:val="0"/>
        <w:tabs>
          <w:tab w:val="left" w:pos="-1057"/>
          <w:tab w:val="left" w:pos="-720"/>
        </w:tabs>
        <w:autoSpaceDE w:val="0"/>
        <w:spacing w:after="0"/>
        <w:rPr>
          <w:rFonts w:eastAsia="Arial" w:cs="Arial"/>
          <w:sz w:val="8"/>
          <w:szCs w:val="8"/>
          <w:lang w:val="fr-FR"/>
        </w:rPr>
      </w:pPr>
    </w:p>
    <w:p w:rsidR="001F739F" w:rsidRPr="00EC3E83" w:rsidRDefault="00EC3E83">
      <w:pPr>
        <w:widowControl w:val="0"/>
        <w:tabs>
          <w:tab w:val="left" w:pos="-1057"/>
          <w:tab w:val="left" w:pos="-720"/>
        </w:tabs>
        <w:autoSpaceDE w:val="0"/>
        <w:spacing w:after="0"/>
        <w:rPr>
          <w:lang w:val="fr-FR"/>
        </w:rPr>
      </w:pPr>
      <w:r>
        <w:rPr>
          <w:rFonts w:eastAsia="Arial" w:cs="Arial"/>
          <w:lang w:val="fr-FR"/>
        </w:rPr>
        <w:t>13</w:t>
      </w:r>
      <w:r>
        <w:rPr>
          <w:rFonts w:eastAsia="Arial" w:cs="Arial"/>
          <w:vertAlign w:val="superscript"/>
          <w:lang w:val="fr-FR"/>
        </w:rPr>
        <w:t>ème</w:t>
      </w:r>
      <w:r>
        <w:rPr>
          <w:rFonts w:eastAsia="Arial" w:cs="Arial"/>
          <w:lang w:val="fr-FR"/>
        </w:rPr>
        <w:t xml:space="preserve"> SESSION DE LA CONFÉRENCE DES PARTIES</w:t>
      </w:r>
    </w:p>
    <w:p w:rsidR="001F739F" w:rsidRPr="00EC3E83" w:rsidRDefault="00EC3E83">
      <w:pPr>
        <w:widowControl w:val="0"/>
        <w:pBdr>
          <w:top w:val="single" w:sz="6" w:space="0" w:color="FFFFFF"/>
          <w:left w:val="single" w:sz="6" w:space="0" w:color="FFFFFF"/>
          <w:bottom w:val="single" w:sz="6" w:space="0" w:color="FFFFFF"/>
          <w:right w:val="single" w:sz="6" w:space="0" w:color="FFFFFF"/>
        </w:pBdr>
        <w:autoSpaceDE w:val="0"/>
        <w:spacing w:after="0"/>
        <w:outlineLvl w:val="1"/>
        <w:rPr>
          <w:lang w:val="fr-FR"/>
        </w:rPr>
      </w:pPr>
      <w:r>
        <w:rPr>
          <w:rFonts w:eastAsia="Arial" w:cs="Arial"/>
          <w:bCs/>
          <w:lang w:val="fr-FR"/>
        </w:rPr>
        <w:t>Gand</w:t>
      </w:r>
      <w:r w:rsidR="00C5756A">
        <w:rPr>
          <w:rFonts w:eastAsia="Arial" w:cs="Arial"/>
          <w:bCs/>
          <w:lang w:val="fr-FR"/>
        </w:rPr>
        <w:t>h</w:t>
      </w:r>
      <w:r>
        <w:rPr>
          <w:rFonts w:eastAsia="Arial" w:cs="Arial"/>
          <w:bCs/>
          <w:lang w:val="fr-FR"/>
        </w:rPr>
        <w:t>inagar, Inde, 17 – 22 février 2020</w:t>
      </w:r>
    </w:p>
    <w:p w:rsidR="001F739F" w:rsidRPr="00EC3E83" w:rsidRDefault="00EC3E83">
      <w:pPr>
        <w:widowControl w:val="0"/>
        <w:autoSpaceDE w:val="0"/>
        <w:spacing w:after="0"/>
        <w:rPr>
          <w:lang w:val="fr-FR"/>
        </w:rPr>
      </w:pPr>
      <w:r>
        <w:rPr>
          <w:rFonts w:eastAsia="Arial" w:cs="Arial"/>
          <w:iCs/>
          <w:lang w:val="fr-FR"/>
        </w:rPr>
        <w:t>Point</w:t>
      </w:r>
      <w:r w:rsidR="00A13B8C">
        <w:rPr>
          <w:rFonts w:eastAsia="Arial" w:cs="Arial"/>
          <w:iCs/>
          <w:lang w:val="fr-FR"/>
        </w:rPr>
        <w:t xml:space="preserve"> </w:t>
      </w:r>
      <w:r w:rsidR="00CE4BFD">
        <w:rPr>
          <w:rFonts w:eastAsia="Arial" w:cs="Arial"/>
          <w:iCs/>
          <w:lang w:val="fr-FR"/>
        </w:rPr>
        <w:t>28.2</w:t>
      </w:r>
      <w:r>
        <w:rPr>
          <w:rFonts w:eastAsia="Arial" w:cs="Arial"/>
          <w:iCs/>
          <w:lang w:val="fr-FR"/>
        </w:rPr>
        <w:t xml:space="preserve"> de l’ordre du jour</w:t>
      </w:r>
    </w:p>
    <w:p w:rsidR="001F739F" w:rsidRDefault="001F739F">
      <w:pPr>
        <w:widowControl w:val="0"/>
        <w:tabs>
          <w:tab w:val="left" w:pos="7020"/>
        </w:tabs>
        <w:autoSpaceDE w:val="0"/>
        <w:spacing w:after="0"/>
        <w:rPr>
          <w:rFonts w:eastAsia="Times New Roman" w:cs="Arial"/>
          <w:lang w:val="fr-FR"/>
        </w:rPr>
      </w:pPr>
    </w:p>
    <w:p w:rsidR="001F739F" w:rsidRDefault="001F739F">
      <w:pPr>
        <w:widowControl w:val="0"/>
        <w:tabs>
          <w:tab w:val="left" w:pos="7020"/>
        </w:tabs>
        <w:autoSpaceDE w:val="0"/>
        <w:spacing w:after="0"/>
        <w:rPr>
          <w:rFonts w:eastAsia="Times New Roman" w:cs="Arial"/>
          <w:lang w:val="fr-FR"/>
        </w:rPr>
      </w:pPr>
    </w:p>
    <w:p w:rsidR="00CE4BFD" w:rsidRPr="00CE4BFD" w:rsidRDefault="00CE4BFD" w:rsidP="00CE4BFD">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rFonts w:eastAsia="Times New Roman" w:cs="Arial"/>
          <w:b/>
          <w:bCs/>
          <w:lang w:val="fr-FR"/>
        </w:rPr>
      </w:pPr>
      <w:r w:rsidRPr="00CE4BFD">
        <w:rPr>
          <w:b/>
          <w:bCs/>
          <w:lang w:val="fr-FR"/>
        </w:rPr>
        <w:t>PROPOSITION D’ACTION CONCERTÉE</w:t>
      </w:r>
    </w:p>
    <w:p w:rsidR="00CE4BFD" w:rsidRPr="00CE4BFD" w:rsidRDefault="00CE4BFD" w:rsidP="00CE4BFD">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lang w:val="fr-FR"/>
        </w:rPr>
      </w:pPr>
      <w:r w:rsidRPr="00CE4BFD">
        <w:rPr>
          <w:b/>
          <w:lang w:val="fr-FR"/>
        </w:rPr>
        <w:t>POUR LE</w:t>
      </w:r>
      <w:r w:rsidRPr="00CE4BFD">
        <w:rPr>
          <w:b/>
          <w:bCs/>
          <w:lang w:val="fr-FR"/>
        </w:rPr>
        <w:t xml:space="preserve"> DAUPHIN DE l’</w:t>
      </w:r>
      <w:r w:rsidRPr="00CE4BFD">
        <w:rPr>
          <w:b/>
          <w:lang w:val="fr-FR"/>
        </w:rPr>
        <w:t>IRRAWADDY</w:t>
      </w:r>
      <w:r w:rsidRPr="00CE4BFD">
        <w:rPr>
          <w:b/>
          <w:bCs/>
          <w:lang w:val="fr-FR"/>
        </w:rPr>
        <w:t xml:space="preserve"> (</w:t>
      </w:r>
      <w:proofErr w:type="spellStart"/>
      <w:r w:rsidRPr="00CE4BFD">
        <w:rPr>
          <w:b/>
          <w:i/>
          <w:lang w:val="fr-FR"/>
        </w:rPr>
        <w:t>Orcaella</w:t>
      </w:r>
      <w:proofErr w:type="spellEnd"/>
      <w:r w:rsidRPr="00CE4BFD">
        <w:rPr>
          <w:b/>
          <w:i/>
          <w:lang w:val="fr-FR"/>
        </w:rPr>
        <w:t xml:space="preserve"> </w:t>
      </w:r>
      <w:proofErr w:type="spellStart"/>
      <w:r w:rsidRPr="00CE4BFD">
        <w:rPr>
          <w:b/>
          <w:i/>
          <w:lang w:val="fr-FR"/>
        </w:rPr>
        <w:t>brevirostris</w:t>
      </w:r>
      <w:proofErr w:type="spellEnd"/>
      <w:r w:rsidRPr="00CE4BFD">
        <w:rPr>
          <w:b/>
          <w:bCs/>
          <w:lang w:val="fr-FR"/>
        </w:rPr>
        <w:t>), DÉJÀ INSCRIT</w:t>
      </w:r>
    </w:p>
    <w:p w:rsidR="00CE4BFD" w:rsidRPr="00CE4BFD" w:rsidRDefault="00CE4BFD" w:rsidP="00CE4BFD">
      <w:pPr>
        <w:widowControl w:val="0"/>
        <w:pBdr>
          <w:top w:val="single" w:sz="6" w:space="0" w:color="FFFFFF"/>
          <w:left w:val="single" w:sz="6" w:space="0" w:color="FFFFFF"/>
          <w:bottom w:val="single" w:sz="6" w:space="0" w:color="FFFFFF"/>
          <w:right w:val="single" w:sz="6" w:space="0" w:color="FFFFFF"/>
        </w:pBdr>
        <w:autoSpaceDE w:val="0"/>
        <w:spacing w:after="120"/>
        <w:ind w:left="-91" w:right="-369"/>
        <w:jc w:val="center"/>
        <w:outlineLvl w:val="1"/>
        <w:rPr>
          <w:lang w:val="fr-FR"/>
        </w:rPr>
      </w:pPr>
      <w:r w:rsidRPr="00CE4BFD">
        <w:rPr>
          <w:b/>
          <w:bCs/>
          <w:lang w:val="fr-FR"/>
        </w:rPr>
        <w:t>AUX ANNEXES I ET II DE LA CONVENTION</w:t>
      </w:r>
      <w:r w:rsidRPr="00CE4BFD">
        <w:rPr>
          <w:sz w:val="18"/>
          <w:szCs w:val="18"/>
          <w:lang w:val="fr-FR"/>
        </w:rPr>
        <w:t>*</w:t>
      </w:r>
    </w:p>
    <w:p w:rsidR="00CE4BFD" w:rsidRPr="00CE4BFD" w:rsidRDefault="00CE4BFD" w:rsidP="00CE4BFD">
      <w:pPr>
        <w:widowControl w:val="0"/>
        <w:autoSpaceDE w:val="0"/>
        <w:spacing w:after="0"/>
        <w:jc w:val="center"/>
        <w:rPr>
          <w:rFonts w:ascii="Calibri" w:hAnsi="Calibri"/>
          <w:lang w:val="fr-FR"/>
        </w:rPr>
      </w:pPr>
      <w:r w:rsidRPr="00CE4BFD">
        <w:rPr>
          <w:i/>
          <w:lang w:val="fr-FR"/>
        </w:rPr>
        <w:t>(Préparé par le Gouvernement de l’Inde)</w:t>
      </w:r>
    </w:p>
    <w:p w:rsidR="001F739F" w:rsidRPr="00EC3E83" w:rsidRDefault="001F739F">
      <w:pPr>
        <w:widowControl w:val="0"/>
        <w:pBdr>
          <w:top w:val="single" w:sz="6" w:space="0" w:color="FFFFFF"/>
          <w:left w:val="single" w:sz="6" w:space="0" w:color="FFFFFF"/>
          <w:bottom w:val="single" w:sz="6" w:space="0" w:color="FFFFFF"/>
          <w:right w:val="single" w:sz="6" w:space="0" w:color="FFFFFF"/>
        </w:pBdr>
        <w:autoSpaceDE w:val="0"/>
        <w:spacing w:after="0"/>
        <w:jc w:val="center"/>
        <w:outlineLvl w:val="1"/>
        <w:rPr>
          <w:lang w:val="fr-FR"/>
        </w:rPr>
      </w:pPr>
    </w:p>
    <w:p w:rsidR="001F739F" w:rsidRDefault="001F739F">
      <w:pPr>
        <w:widowControl w:val="0"/>
        <w:autoSpaceDE w:val="0"/>
        <w:spacing w:after="0"/>
        <w:rPr>
          <w:rFonts w:eastAsia="Times New Roman" w:cs="Arial"/>
          <w:sz w:val="8"/>
          <w:szCs w:val="8"/>
          <w:lang w:val="fr-FR"/>
        </w:rPr>
      </w:pPr>
    </w:p>
    <w:p w:rsidR="001F739F" w:rsidRDefault="001F739F">
      <w:pPr>
        <w:widowControl w:val="0"/>
        <w:autoSpaceDE w:val="0"/>
        <w:spacing w:after="0"/>
        <w:rPr>
          <w:rFonts w:eastAsia="Times New Roman" w:cs="Arial"/>
          <w:i/>
          <w:lang w:val="fr-FR"/>
        </w:rPr>
      </w:pPr>
    </w:p>
    <w:p w:rsidR="001F739F" w:rsidRDefault="001F739F">
      <w:pPr>
        <w:widowControl w:val="0"/>
        <w:autoSpaceDE w:val="0"/>
        <w:spacing w:after="0"/>
        <w:jc w:val="both"/>
        <w:rPr>
          <w:rFonts w:eastAsia="Times New Roman" w:cs="Arial"/>
          <w:sz w:val="21"/>
          <w:szCs w:val="21"/>
          <w:lang w:val="fr-FR"/>
        </w:rPr>
      </w:pPr>
    </w:p>
    <w:p w:rsidR="001F739F" w:rsidRDefault="001F739F">
      <w:pPr>
        <w:widowControl w:val="0"/>
        <w:tabs>
          <w:tab w:val="left" w:pos="8295"/>
        </w:tabs>
        <w:autoSpaceDE w:val="0"/>
        <w:spacing w:after="0"/>
        <w:jc w:val="both"/>
        <w:rPr>
          <w:rFonts w:eastAsia="Times New Roman" w:cs="Arial"/>
          <w:sz w:val="21"/>
          <w:szCs w:val="21"/>
          <w:lang w:val="fr-FR"/>
        </w:rPr>
      </w:pPr>
    </w:p>
    <w:p w:rsidR="001F739F" w:rsidRPr="00EC3E83" w:rsidRDefault="00EC3E83">
      <w:pPr>
        <w:widowControl w:val="0"/>
        <w:autoSpaceDE w:val="0"/>
        <w:spacing w:after="0"/>
        <w:rPr>
          <w:lang w:val="fr-FR"/>
        </w:rPr>
      </w:pPr>
      <w:r>
        <w:rPr>
          <w:rFonts w:eastAsia="Times New Roman" w:cs="Arial"/>
          <w:noProof/>
          <w:sz w:val="21"/>
          <w:szCs w:val="21"/>
          <w:lang w:val="fr-FR"/>
        </w:rPr>
        <mc:AlternateContent>
          <mc:Choice Requires="wps">
            <w:drawing>
              <wp:anchor distT="0" distB="0" distL="114300" distR="114300" simplePos="0" relativeHeight="251659264" behindDoc="0" locked="0" layoutInCell="1" allowOverlap="1">
                <wp:simplePos x="0" y="0"/>
                <wp:positionH relativeFrom="column">
                  <wp:posOffset>780416</wp:posOffset>
                </wp:positionH>
                <wp:positionV relativeFrom="paragraph">
                  <wp:posOffset>145415</wp:posOffset>
                </wp:positionV>
                <wp:extent cx="4114800" cy="1419225"/>
                <wp:effectExtent l="0" t="0" r="19050" b="28575"/>
                <wp:wrapNone/>
                <wp:docPr id="5" name="Text Box 4"/>
                <wp:cNvGraphicFramePr/>
                <a:graphic xmlns:a="http://schemas.openxmlformats.org/drawingml/2006/main">
                  <a:graphicData uri="http://schemas.microsoft.com/office/word/2010/wordprocessingShape">
                    <wps:wsp>
                      <wps:cNvSpPr txBox="1"/>
                      <wps:spPr>
                        <a:xfrm>
                          <a:off x="0" y="0"/>
                          <a:ext cx="4114800" cy="1419225"/>
                        </a:xfrm>
                        <a:prstGeom prst="rect">
                          <a:avLst/>
                        </a:prstGeom>
                        <a:solidFill>
                          <a:srgbClr val="FFFFFF"/>
                        </a:solidFill>
                        <a:ln w="3172">
                          <a:solidFill>
                            <a:srgbClr val="000000"/>
                          </a:solidFill>
                          <a:prstDash val="solid"/>
                        </a:ln>
                      </wps:spPr>
                      <wps:txbx>
                        <w:txbxContent>
                          <w:p w:rsidR="00CE4BFD" w:rsidRPr="00CE4BFD" w:rsidRDefault="00CE4BFD" w:rsidP="00CE4BFD">
                            <w:pPr>
                              <w:spacing w:after="0"/>
                              <w:rPr>
                                <w:lang w:val="fr-FR"/>
                              </w:rPr>
                            </w:pPr>
                            <w:r>
                              <w:rPr>
                                <w:rFonts w:eastAsia="Arial" w:cs="Arial"/>
                                <w:lang w:val="fr-FR"/>
                              </w:rPr>
                              <w:t>Résumé:</w:t>
                            </w:r>
                          </w:p>
                          <w:p w:rsidR="00CE4BFD" w:rsidRPr="00CE4BFD" w:rsidRDefault="00CE4BFD" w:rsidP="00CE4BFD">
                            <w:pPr>
                              <w:spacing w:after="0"/>
                              <w:jc w:val="both"/>
                              <w:rPr>
                                <w:rFonts w:cs="Arial"/>
                                <w:lang w:val="fr-FR"/>
                              </w:rPr>
                            </w:pPr>
                          </w:p>
                          <w:p w:rsidR="00CE4BFD" w:rsidRDefault="00CE4BFD" w:rsidP="00CE4BFD">
                            <w:pPr>
                              <w:widowControl w:val="0"/>
                              <w:suppressAutoHyphens w:val="0"/>
                              <w:autoSpaceDE w:val="0"/>
                              <w:spacing w:after="0"/>
                              <w:jc w:val="both"/>
                              <w:textAlignment w:val="auto"/>
                              <w:rPr>
                                <w:lang w:val="fr-FR"/>
                              </w:rPr>
                            </w:pPr>
                            <w:r w:rsidRPr="00CE4BFD">
                              <w:rPr>
                                <w:lang w:val="fr-FR"/>
                              </w:rPr>
                              <w:t>Le Gouvernement de l’Inde a présenté la proposition jointe pour une Action concertée en faveur du dauphin de l’Irrawaddy</w:t>
                            </w:r>
                          </w:p>
                          <w:p w:rsidR="00CE4BFD" w:rsidRPr="00CE4BFD" w:rsidRDefault="00CE4BFD" w:rsidP="00CE4BFD">
                            <w:pPr>
                              <w:widowControl w:val="0"/>
                              <w:suppressAutoHyphens w:val="0"/>
                              <w:autoSpaceDE w:val="0"/>
                              <w:spacing w:after="0"/>
                              <w:jc w:val="both"/>
                              <w:textAlignment w:val="auto"/>
                              <w:rPr>
                                <w:lang w:val="fr-FR"/>
                              </w:rPr>
                            </w:pPr>
                            <w:r w:rsidRPr="00CE4BFD">
                              <w:rPr>
                                <w:lang w:val="fr-FR"/>
                              </w:rPr>
                              <w:t>(</w:t>
                            </w:r>
                            <w:proofErr w:type="spellStart"/>
                            <w:r w:rsidRPr="00CE4BFD">
                              <w:rPr>
                                <w:i/>
                                <w:lang w:val="fr-FR"/>
                              </w:rPr>
                              <w:t>Orcaella</w:t>
                            </w:r>
                            <w:proofErr w:type="spellEnd"/>
                            <w:r w:rsidRPr="00CE4BFD">
                              <w:rPr>
                                <w:i/>
                                <w:lang w:val="fr-FR"/>
                              </w:rPr>
                              <w:t xml:space="preserve"> </w:t>
                            </w:r>
                            <w:proofErr w:type="spellStart"/>
                            <w:r w:rsidRPr="00CE4BFD">
                              <w:rPr>
                                <w:i/>
                                <w:lang w:val="fr-FR"/>
                              </w:rPr>
                              <w:t>brevirostris</w:t>
                            </w:r>
                            <w:proofErr w:type="spellEnd"/>
                            <w:r w:rsidRPr="00CE4BFD">
                              <w:rPr>
                                <w:lang w:val="fr-FR"/>
                              </w:rPr>
                              <w:t>) conformément au processus établi dans la Résolution 1</w:t>
                            </w:r>
                            <w:r>
                              <w:rPr>
                                <w:lang w:val="fr-FR"/>
                              </w:rPr>
                              <w:t>2.28</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1.45pt;margin-top:11.45pt;width:324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" strokeweight=".08811mm">
                <v:textbox>
                  <w:txbxContent>
                    <w:p w:rsidR="00CE4BFD" w:rsidRPr="00CE4BFD" w:rsidRDefault="00CE4BFD" w:rsidP="00CE4BFD">
                      <w:pPr>
                        <w:spacing w:after="0"/>
                        <w:rPr>
                          <w:lang w:val="fr-FR"/>
                        </w:rPr>
                      </w:pPr>
                      <w:r>
                        <w:rPr>
                          <w:rFonts w:eastAsia="Arial" w:cs="Arial"/>
                          <w:lang w:val="fr-FR"/>
                        </w:rPr>
                        <w:t>Résumé:</w:t>
                      </w:r>
                    </w:p>
                    <w:p w:rsidR="00CE4BFD" w:rsidRPr="00CE4BFD" w:rsidRDefault="00CE4BFD" w:rsidP="00CE4BFD">
                      <w:pPr>
                        <w:spacing w:after="0"/>
                        <w:jc w:val="both"/>
                        <w:rPr>
                          <w:rFonts w:cs="Arial"/>
                          <w:lang w:val="fr-FR"/>
                        </w:rPr>
                      </w:pPr>
                    </w:p>
                    <w:p w:rsidR="00CE4BFD" w:rsidRDefault="00CE4BFD" w:rsidP="00CE4BFD">
                      <w:pPr>
                        <w:widowControl w:val="0"/>
                        <w:suppressAutoHyphens w:val="0"/>
                        <w:autoSpaceDE w:val="0"/>
                        <w:spacing w:after="0"/>
                        <w:jc w:val="both"/>
                        <w:textAlignment w:val="auto"/>
                        <w:rPr>
                          <w:lang w:val="fr-FR"/>
                        </w:rPr>
                      </w:pPr>
                      <w:r w:rsidRPr="00CE4BFD">
                        <w:rPr>
                          <w:lang w:val="fr-FR"/>
                        </w:rPr>
                        <w:t>Le Gouvernement de l’Inde a présenté la proposition jointe pour une Action concertée en faveur du dauphin de l’Irrawaddy</w:t>
                      </w:r>
                    </w:p>
                    <w:p w:rsidR="00CE4BFD" w:rsidRPr="00CE4BFD" w:rsidRDefault="00CE4BFD" w:rsidP="00CE4BFD">
                      <w:pPr>
                        <w:widowControl w:val="0"/>
                        <w:suppressAutoHyphens w:val="0"/>
                        <w:autoSpaceDE w:val="0"/>
                        <w:spacing w:after="0"/>
                        <w:jc w:val="both"/>
                        <w:textAlignment w:val="auto"/>
                        <w:rPr>
                          <w:lang w:val="fr-FR"/>
                        </w:rPr>
                      </w:pPr>
                      <w:r w:rsidRPr="00CE4BFD">
                        <w:rPr>
                          <w:lang w:val="fr-FR"/>
                        </w:rPr>
                        <w:t>(</w:t>
                      </w:r>
                      <w:proofErr w:type="spellStart"/>
                      <w:r w:rsidRPr="00CE4BFD">
                        <w:rPr>
                          <w:i/>
                          <w:lang w:val="fr-FR"/>
                        </w:rPr>
                        <w:t>Orcaella</w:t>
                      </w:r>
                      <w:proofErr w:type="spellEnd"/>
                      <w:r w:rsidRPr="00CE4BFD">
                        <w:rPr>
                          <w:i/>
                          <w:lang w:val="fr-FR"/>
                        </w:rPr>
                        <w:t xml:space="preserve"> </w:t>
                      </w:r>
                      <w:proofErr w:type="spellStart"/>
                      <w:r w:rsidRPr="00CE4BFD">
                        <w:rPr>
                          <w:i/>
                          <w:lang w:val="fr-FR"/>
                        </w:rPr>
                        <w:t>brevirostris</w:t>
                      </w:r>
                      <w:proofErr w:type="spellEnd"/>
                      <w:r w:rsidRPr="00CE4BFD">
                        <w:rPr>
                          <w:lang w:val="fr-FR"/>
                        </w:rPr>
                        <w:t>) conformément au processus établi dans la Résolution 1</w:t>
                      </w:r>
                      <w:r>
                        <w:rPr>
                          <w:lang w:val="fr-FR"/>
                        </w:rPr>
                        <w:t>2.28</w:t>
                      </w:r>
                    </w:p>
                  </w:txbxContent>
                </v:textbox>
              </v:shape>
            </w:pict>
          </mc:Fallback>
        </mc:AlternateContent>
      </w: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sz w:val="21"/>
          <w:szCs w:val="21"/>
          <w:lang w:val="fr-FR"/>
        </w:rPr>
      </w:pPr>
    </w:p>
    <w:p w:rsidR="001F739F" w:rsidRDefault="001F739F">
      <w:pPr>
        <w:widowControl w:val="0"/>
        <w:autoSpaceDE w:val="0"/>
        <w:spacing w:after="0"/>
        <w:rPr>
          <w:rFonts w:eastAsia="Times New Roman" w:cs="Arial"/>
          <w:lang w:val="fr-FR"/>
        </w:rPr>
      </w:pPr>
    </w:p>
    <w:p w:rsidR="001F739F" w:rsidRDefault="001F739F">
      <w:pPr>
        <w:widowControl w:val="0"/>
        <w:autoSpaceDE w:val="0"/>
        <w:spacing w:after="0"/>
        <w:rPr>
          <w:rFonts w:eastAsia="Times New Roman" w:cs="Arial"/>
          <w:lang w:val="fr-FR"/>
        </w:rPr>
      </w:pPr>
    </w:p>
    <w:p w:rsidR="001F739F" w:rsidRDefault="001F739F">
      <w:pPr>
        <w:widowControl w:val="0"/>
        <w:autoSpaceDE w:val="0"/>
        <w:spacing w:after="0"/>
        <w:rPr>
          <w:rFonts w:eastAsia="Times New Roman" w:cs="Arial"/>
          <w:lang w:val="fr-FR"/>
        </w:rPr>
      </w:pPr>
    </w:p>
    <w:p w:rsidR="001F739F" w:rsidRDefault="001F739F">
      <w:pPr>
        <w:widowControl w:val="0"/>
        <w:autoSpaceDE w:val="0"/>
        <w:spacing w:after="0"/>
        <w:rPr>
          <w:rFonts w:eastAsia="Times New Roman" w:cs="Arial"/>
          <w:lang w:val="fr-FR"/>
        </w:rPr>
      </w:pPr>
    </w:p>
    <w:p w:rsidR="001F739F" w:rsidRDefault="001F739F">
      <w:pPr>
        <w:widowControl w:val="0"/>
        <w:autoSpaceDE w:val="0"/>
        <w:spacing w:after="0"/>
        <w:rPr>
          <w:rFonts w:eastAsia="Times New Roman" w:cs="Arial"/>
          <w:lang w:val="fr-FR"/>
        </w:rPr>
      </w:pPr>
    </w:p>
    <w:p w:rsidR="001F739F" w:rsidRDefault="001F739F">
      <w:pPr>
        <w:widowControl w:val="0"/>
        <w:autoSpaceDE w:val="0"/>
        <w:spacing w:after="0"/>
        <w:rPr>
          <w:rFonts w:eastAsia="Times New Roman" w:cs="Arial"/>
          <w:lang w:val="fr-FR"/>
        </w:rPr>
      </w:pPr>
    </w:p>
    <w:p w:rsidR="001F739F" w:rsidRDefault="001F739F">
      <w:pPr>
        <w:widowControl w:val="0"/>
        <w:autoSpaceDE w:val="0"/>
        <w:spacing w:after="0"/>
        <w:rPr>
          <w:rFonts w:eastAsia="Times New Roman" w:cs="Arial"/>
          <w:lang w:val="fr-FR"/>
        </w:rPr>
      </w:pPr>
    </w:p>
    <w:p w:rsidR="001F739F" w:rsidRDefault="001F739F">
      <w:pPr>
        <w:widowControl w:val="0"/>
        <w:autoSpaceDE w:val="0"/>
        <w:spacing w:after="0"/>
        <w:rPr>
          <w:rFonts w:eastAsia="Times New Roman" w:cs="Arial"/>
          <w:lang w:val="fr-FR"/>
        </w:rPr>
      </w:pPr>
    </w:p>
    <w:p w:rsidR="001F739F" w:rsidRDefault="001F739F">
      <w:pPr>
        <w:widowControl w:val="0"/>
        <w:autoSpaceDE w:val="0"/>
        <w:spacing w:after="0"/>
        <w:rPr>
          <w:rFonts w:eastAsia="Times New Roman" w:cs="Arial"/>
          <w:lang w:val="fr-FR"/>
        </w:rPr>
      </w:pPr>
    </w:p>
    <w:p w:rsidR="001F739F" w:rsidRDefault="001F739F">
      <w:pPr>
        <w:widowControl w:val="0"/>
        <w:autoSpaceDE w:val="0"/>
        <w:spacing w:after="0"/>
        <w:rPr>
          <w:rFonts w:eastAsia="Times New Roman" w:cs="Arial"/>
          <w:lang w:val="fr-FR"/>
        </w:rPr>
      </w:pPr>
    </w:p>
    <w:p w:rsidR="001F739F" w:rsidRDefault="001F739F">
      <w:pPr>
        <w:widowControl w:val="0"/>
        <w:autoSpaceDE w:val="0"/>
        <w:spacing w:after="0"/>
        <w:rPr>
          <w:rFonts w:eastAsia="Times New Roman" w:cs="Arial"/>
          <w:lang w:val="fr-FR"/>
        </w:rPr>
      </w:pPr>
    </w:p>
    <w:p w:rsidR="001F739F" w:rsidRDefault="001F739F">
      <w:pPr>
        <w:widowControl w:val="0"/>
        <w:autoSpaceDE w:val="0"/>
        <w:spacing w:after="0"/>
        <w:rPr>
          <w:rFonts w:eastAsia="Times New Roman" w:cs="Arial"/>
          <w:lang w:val="fr-FR"/>
        </w:rPr>
      </w:pPr>
    </w:p>
    <w:p w:rsidR="001F739F" w:rsidRPr="00EC3E83" w:rsidRDefault="00EC3E83">
      <w:pPr>
        <w:widowControl w:val="0"/>
        <w:autoSpaceDE w:val="0"/>
        <w:spacing w:after="0"/>
        <w:jc w:val="both"/>
        <w:rPr>
          <w:lang w:val="fr-FR"/>
        </w:rPr>
        <w:sectPr w:rsidR="001F739F" w:rsidRPr="00EC3E83">
          <w:headerReference w:type="default" r:id="rId8"/>
          <w:footerReference w:type="default" r:id="rId9"/>
          <w:headerReference w:type="first" r:id="rId10"/>
          <w:footerReference w:type="first" r:id="rId11"/>
          <w:pgSz w:w="11905" w:h="16837"/>
          <w:pgMar w:top="1008" w:right="1411" w:bottom="1152" w:left="1411" w:header="432" w:footer="432" w:gutter="0"/>
          <w:cols w:space="720"/>
          <w:titlePg/>
        </w:sectPr>
      </w:pPr>
      <w:r>
        <w:rPr>
          <w:rFonts w:eastAsia="Times New Roman" w:cs="Arial"/>
          <w:sz w:val="18"/>
          <w:szCs w:val="24"/>
          <w:lang w:val="fr-FR"/>
        </w:rPr>
        <w:t>* Les appellations géographiques utilisées dans ce document n'impliquent d'aucune manière l'opinion de la part du Secrétariat de la CMS (ou du Programme des Nations Unies pour l'Environnement) concernant le statut juridique de tout pays, territoire ou zone ou concernant la délimitation de ses frontières ou limites. La responsabilité du contenu du document repose exclusivement sur son auteur.</w:t>
      </w:r>
    </w:p>
    <w:p w:rsidR="00CE4BFD" w:rsidRDefault="00CE4BFD" w:rsidP="00CE4BFD">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b/>
          <w:bCs/>
        </w:rPr>
      </w:pPr>
    </w:p>
    <w:p w:rsidR="00CE4BFD" w:rsidRPr="00CE4BFD" w:rsidRDefault="00CE4BFD" w:rsidP="00CE4BFD">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rFonts w:eastAsia="Times New Roman" w:cs="Arial"/>
          <w:b/>
          <w:bCs/>
          <w:lang w:val="fr-FR"/>
        </w:rPr>
      </w:pPr>
      <w:r w:rsidRPr="00CE4BFD">
        <w:rPr>
          <w:b/>
          <w:bCs/>
          <w:lang w:val="fr-FR"/>
        </w:rPr>
        <w:t>PROPOSITION D’ACTION CONCERTÉE</w:t>
      </w:r>
    </w:p>
    <w:p w:rsidR="00CE4BFD" w:rsidRPr="00CE4BFD" w:rsidRDefault="00CE4BFD" w:rsidP="00CE4BFD">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lang w:val="fr-FR"/>
        </w:rPr>
      </w:pPr>
      <w:r w:rsidRPr="00CE4BFD">
        <w:rPr>
          <w:b/>
          <w:bCs/>
          <w:lang w:val="fr-FR"/>
        </w:rPr>
        <w:t>POUR LE DAUPHIN DE l’</w:t>
      </w:r>
      <w:r w:rsidRPr="00CE4BFD">
        <w:rPr>
          <w:b/>
          <w:lang w:val="fr-FR"/>
        </w:rPr>
        <w:t>IRRAWADDY</w:t>
      </w:r>
      <w:r w:rsidRPr="00CE4BFD">
        <w:rPr>
          <w:b/>
          <w:bCs/>
          <w:lang w:val="fr-FR"/>
        </w:rPr>
        <w:t xml:space="preserve"> (</w:t>
      </w:r>
      <w:proofErr w:type="spellStart"/>
      <w:r w:rsidRPr="00CE4BFD">
        <w:rPr>
          <w:b/>
          <w:i/>
          <w:lang w:val="fr-FR"/>
        </w:rPr>
        <w:t>Orcaella</w:t>
      </w:r>
      <w:proofErr w:type="spellEnd"/>
      <w:r w:rsidRPr="00CE4BFD">
        <w:rPr>
          <w:b/>
          <w:i/>
          <w:lang w:val="fr-FR"/>
        </w:rPr>
        <w:t xml:space="preserve"> </w:t>
      </w:r>
      <w:proofErr w:type="spellStart"/>
      <w:r w:rsidRPr="00CE4BFD">
        <w:rPr>
          <w:b/>
          <w:i/>
          <w:lang w:val="fr-FR"/>
        </w:rPr>
        <w:t>brevirostris</w:t>
      </w:r>
      <w:proofErr w:type="spellEnd"/>
      <w:r w:rsidRPr="00CE4BFD">
        <w:rPr>
          <w:b/>
          <w:bCs/>
          <w:lang w:val="fr-FR"/>
        </w:rPr>
        <w:t>), DÉJÀ INSCRIT</w:t>
      </w:r>
    </w:p>
    <w:p w:rsidR="00CE4BFD" w:rsidRPr="00CE4BFD" w:rsidRDefault="00CE4BFD" w:rsidP="00CE4BFD">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b/>
          <w:bCs/>
          <w:lang w:val="fr-FR"/>
        </w:rPr>
      </w:pPr>
      <w:r w:rsidRPr="00CE4BFD">
        <w:rPr>
          <w:b/>
          <w:bCs/>
          <w:lang w:val="fr-FR"/>
        </w:rPr>
        <w:t>AUX ANNEXES I ET II DE LA CONVENTION</w:t>
      </w:r>
    </w:p>
    <w:p w:rsidR="00CE4BFD" w:rsidRPr="00CE4BFD" w:rsidRDefault="00CE4BFD" w:rsidP="00CE4BFD">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sz w:val="21"/>
          <w:lang w:val="fr-FR"/>
        </w:rPr>
      </w:pPr>
    </w:p>
    <w:p w:rsidR="00CE4BFD" w:rsidRPr="00CE4BFD" w:rsidRDefault="00CE4BFD" w:rsidP="00CE4BFD">
      <w:pPr>
        <w:pStyle w:val="Heading1"/>
        <w:keepNext w:val="0"/>
        <w:numPr>
          <w:ilvl w:val="0"/>
          <w:numId w:val="13"/>
        </w:numPr>
        <w:tabs>
          <w:tab w:val="clear" w:pos="-1057"/>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 w:val="left" w:pos="733"/>
        </w:tabs>
        <w:suppressAutoHyphens w:val="0"/>
        <w:ind w:left="732" w:hanging="342"/>
        <w:jc w:val="both"/>
        <w:textAlignment w:val="auto"/>
        <w:rPr>
          <w:rFonts w:cs="Arial"/>
          <w:b w:val="0"/>
          <w:sz w:val="22"/>
          <w:szCs w:val="22"/>
          <w:lang w:val="fr-FR"/>
        </w:rPr>
      </w:pPr>
      <w:r w:rsidRPr="00CE4BFD">
        <w:rPr>
          <w:sz w:val="22"/>
          <w:szCs w:val="22"/>
          <w:lang w:val="fr-FR"/>
        </w:rPr>
        <w:t>Espèces/populations cibles et leur statut dans les Annexes de la CMS</w:t>
      </w:r>
    </w:p>
    <w:p w:rsidR="00CE4BFD" w:rsidRPr="00CE4BFD" w:rsidRDefault="00CE4BFD" w:rsidP="00CE4BFD">
      <w:pPr>
        <w:spacing w:before="233"/>
        <w:ind w:firstLine="390"/>
        <w:jc w:val="both"/>
        <w:rPr>
          <w:rFonts w:cs="Arial"/>
          <w:u w:val="single"/>
          <w:lang w:val="fr-FR"/>
        </w:rPr>
      </w:pPr>
      <w:r w:rsidRPr="00CE4BFD">
        <w:rPr>
          <w:u w:val="single"/>
          <w:lang w:val="fr-FR"/>
        </w:rPr>
        <w:t xml:space="preserve">Espèce/population cible : </w:t>
      </w:r>
    </w:p>
    <w:p w:rsidR="00CE4BFD" w:rsidRPr="00CE4BFD" w:rsidRDefault="00CE4BFD" w:rsidP="00CE4BFD">
      <w:pPr>
        <w:spacing w:before="233"/>
        <w:ind w:left="391"/>
        <w:jc w:val="both"/>
        <w:rPr>
          <w:lang w:val="fr-FR"/>
        </w:rPr>
      </w:pPr>
      <w:r w:rsidRPr="00CE4BFD">
        <w:rPr>
          <w:lang w:val="fr-FR"/>
        </w:rPr>
        <w:t xml:space="preserve">Dauphin de l’Irrawaddy, </w:t>
      </w:r>
      <w:proofErr w:type="spellStart"/>
      <w:r w:rsidRPr="00CE4BFD">
        <w:rPr>
          <w:i/>
          <w:iCs/>
          <w:lang w:val="fr-FR"/>
        </w:rPr>
        <w:t>Orcaella</w:t>
      </w:r>
      <w:proofErr w:type="spellEnd"/>
      <w:r w:rsidRPr="00CE4BFD">
        <w:rPr>
          <w:i/>
          <w:iCs/>
          <w:lang w:val="fr-FR"/>
        </w:rPr>
        <w:t xml:space="preserve"> </w:t>
      </w:r>
      <w:proofErr w:type="spellStart"/>
      <w:r w:rsidRPr="00CE4BFD">
        <w:rPr>
          <w:i/>
          <w:iCs/>
          <w:lang w:val="fr-FR"/>
        </w:rPr>
        <w:t>brevirostris</w:t>
      </w:r>
      <w:proofErr w:type="spellEnd"/>
      <w:r w:rsidRPr="00CE4BFD">
        <w:rPr>
          <w:lang w:val="fr-FR"/>
        </w:rPr>
        <w:t>, Annexes I et II de la CMS.</w:t>
      </w:r>
    </w:p>
    <w:p w:rsidR="00CE4BFD" w:rsidRPr="00CE4BFD" w:rsidRDefault="00CE4BFD" w:rsidP="00CE4BFD">
      <w:pPr>
        <w:spacing w:before="78"/>
        <w:ind w:firstLine="391"/>
        <w:jc w:val="both"/>
        <w:rPr>
          <w:u w:val="single"/>
          <w:lang w:val="fr-FR"/>
        </w:rPr>
      </w:pPr>
      <w:r w:rsidRPr="00CE4BFD">
        <w:rPr>
          <w:u w:val="single"/>
          <w:lang w:val="fr-FR"/>
        </w:rPr>
        <w:t xml:space="preserve">Sous-populations à travers les frontières nationales pour une Action concertée : </w:t>
      </w:r>
    </w:p>
    <w:p w:rsidR="00CE4BFD" w:rsidRPr="00CE4BFD" w:rsidRDefault="00CE4BFD" w:rsidP="00CE4BFD">
      <w:pPr>
        <w:pStyle w:val="ListParagraph"/>
        <w:numPr>
          <w:ilvl w:val="0"/>
          <w:numId w:val="16"/>
        </w:numPr>
        <w:suppressAutoHyphens w:val="0"/>
        <w:spacing w:before="78"/>
        <w:contextualSpacing/>
        <w:jc w:val="both"/>
        <w:textAlignment w:val="auto"/>
        <w:rPr>
          <w:sz w:val="22"/>
          <w:szCs w:val="22"/>
          <w:lang w:val="fr-FR"/>
        </w:rPr>
      </w:pPr>
      <w:r w:rsidRPr="00CE4BFD">
        <w:rPr>
          <w:sz w:val="22"/>
          <w:szCs w:val="22"/>
          <w:lang w:val="fr-FR"/>
        </w:rPr>
        <w:t>Sundarbans de l’Inde et du Bangladesh</w:t>
      </w:r>
    </w:p>
    <w:p w:rsidR="00CE4BFD" w:rsidRPr="00CE4BFD" w:rsidRDefault="00CE4BFD" w:rsidP="00CE4BFD">
      <w:pPr>
        <w:pStyle w:val="ListParagraph"/>
        <w:numPr>
          <w:ilvl w:val="0"/>
          <w:numId w:val="16"/>
        </w:numPr>
        <w:suppressAutoHyphens w:val="0"/>
        <w:spacing w:before="78"/>
        <w:contextualSpacing/>
        <w:jc w:val="both"/>
        <w:textAlignment w:val="auto"/>
        <w:rPr>
          <w:sz w:val="22"/>
          <w:szCs w:val="22"/>
        </w:rPr>
      </w:pPr>
      <w:proofErr w:type="spellStart"/>
      <w:r w:rsidRPr="00CE4BFD">
        <w:rPr>
          <w:sz w:val="22"/>
          <w:szCs w:val="22"/>
        </w:rPr>
        <w:t>Fleuve</w:t>
      </w:r>
      <w:proofErr w:type="spellEnd"/>
      <w:r w:rsidRPr="00CE4BFD">
        <w:rPr>
          <w:sz w:val="22"/>
          <w:szCs w:val="22"/>
        </w:rPr>
        <w:t xml:space="preserve"> </w:t>
      </w:r>
      <w:proofErr w:type="spellStart"/>
      <w:r w:rsidRPr="00CE4BFD">
        <w:rPr>
          <w:sz w:val="22"/>
          <w:szCs w:val="22"/>
        </w:rPr>
        <w:t>Mékong</w:t>
      </w:r>
      <w:proofErr w:type="spellEnd"/>
      <w:r w:rsidRPr="00CE4BFD">
        <w:rPr>
          <w:sz w:val="22"/>
          <w:szCs w:val="22"/>
        </w:rPr>
        <w:t xml:space="preserve"> : Laos, </w:t>
      </w:r>
      <w:proofErr w:type="spellStart"/>
      <w:r w:rsidRPr="00CE4BFD">
        <w:rPr>
          <w:sz w:val="22"/>
          <w:szCs w:val="22"/>
        </w:rPr>
        <w:t>Cambodge</w:t>
      </w:r>
      <w:proofErr w:type="spellEnd"/>
      <w:r w:rsidRPr="00CE4BFD">
        <w:rPr>
          <w:sz w:val="22"/>
          <w:szCs w:val="22"/>
        </w:rPr>
        <w:t xml:space="preserve"> et Vietnam</w:t>
      </w:r>
    </w:p>
    <w:p w:rsidR="00CE4BFD" w:rsidRPr="00CE4BFD" w:rsidRDefault="00CE4BFD" w:rsidP="00CE4BFD">
      <w:pPr>
        <w:pStyle w:val="ListParagraph"/>
        <w:numPr>
          <w:ilvl w:val="0"/>
          <w:numId w:val="16"/>
        </w:numPr>
        <w:suppressAutoHyphens w:val="0"/>
        <w:spacing w:before="78"/>
        <w:contextualSpacing/>
        <w:jc w:val="both"/>
        <w:textAlignment w:val="auto"/>
        <w:rPr>
          <w:sz w:val="22"/>
          <w:szCs w:val="22"/>
        </w:rPr>
      </w:pPr>
      <w:proofErr w:type="spellStart"/>
      <w:r w:rsidRPr="00CE4BFD">
        <w:rPr>
          <w:sz w:val="22"/>
          <w:szCs w:val="22"/>
        </w:rPr>
        <w:t>Îles</w:t>
      </w:r>
      <w:proofErr w:type="spellEnd"/>
      <w:r w:rsidRPr="00CE4BFD">
        <w:rPr>
          <w:sz w:val="22"/>
          <w:szCs w:val="22"/>
        </w:rPr>
        <w:t xml:space="preserve"> du </w:t>
      </w:r>
      <w:proofErr w:type="spellStart"/>
      <w:r w:rsidRPr="00CE4BFD">
        <w:rPr>
          <w:sz w:val="22"/>
          <w:szCs w:val="22"/>
        </w:rPr>
        <w:t>Pacifique</w:t>
      </w:r>
      <w:proofErr w:type="spellEnd"/>
    </w:p>
    <w:p w:rsidR="00CE4BFD" w:rsidRPr="00CE4BFD" w:rsidRDefault="00CE4BFD" w:rsidP="00CE4BFD">
      <w:pPr>
        <w:pStyle w:val="ListParagraph"/>
        <w:numPr>
          <w:ilvl w:val="0"/>
          <w:numId w:val="16"/>
        </w:numPr>
        <w:suppressAutoHyphens w:val="0"/>
        <w:spacing w:before="78"/>
        <w:contextualSpacing/>
        <w:jc w:val="both"/>
        <w:textAlignment w:val="auto"/>
        <w:rPr>
          <w:sz w:val="22"/>
          <w:szCs w:val="22"/>
          <w:lang w:val="fr-FR"/>
        </w:rPr>
      </w:pPr>
      <w:r w:rsidRPr="00CE4BFD">
        <w:rPr>
          <w:sz w:val="22"/>
          <w:szCs w:val="22"/>
          <w:lang w:val="fr-FR"/>
        </w:rPr>
        <w:t>La gestion de la conservation doit accorder la priorité à toutes les autres populations isolées et de petite taille.</w:t>
      </w:r>
    </w:p>
    <w:p w:rsidR="00CE4BFD" w:rsidRPr="00CE4BFD" w:rsidRDefault="00CE4BFD" w:rsidP="00CE4BFD">
      <w:pPr>
        <w:ind w:left="391"/>
        <w:jc w:val="both"/>
        <w:rPr>
          <w:b/>
          <w:lang w:val="fr-FR"/>
        </w:rPr>
      </w:pPr>
    </w:p>
    <w:p w:rsidR="00CE4BFD" w:rsidRPr="00CE4BFD" w:rsidRDefault="00CE4BFD" w:rsidP="00CE4BFD">
      <w:pPr>
        <w:ind w:left="391"/>
        <w:jc w:val="both"/>
        <w:rPr>
          <w:u w:val="single"/>
          <w:lang w:val="fr-FR"/>
        </w:rPr>
      </w:pPr>
      <w:r w:rsidRPr="00CE4BFD">
        <w:rPr>
          <w:u w:val="single"/>
          <w:lang w:val="fr-FR"/>
        </w:rPr>
        <w:t>Annexe de la CMS :</w:t>
      </w:r>
    </w:p>
    <w:p w:rsidR="00CE4BFD" w:rsidRPr="00CE4BFD" w:rsidRDefault="00CE4BFD" w:rsidP="00CE4BFD">
      <w:pPr>
        <w:ind w:left="391"/>
        <w:jc w:val="both"/>
        <w:rPr>
          <w:lang w:val="fr-FR"/>
        </w:rPr>
      </w:pPr>
      <w:r w:rsidRPr="00CE4BFD">
        <w:rPr>
          <w:lang w:val="fr-FR"/>
        </w:rPr>
        <w:t>Annexes I et II</w:t>
      </w:r>
    </w:p>
    <w:p w:rsidR="00CE4BFD" w:rsidRPr="00CE4BFD" w:rsidRDefault="00CE4BFD" w:rsidP="00CE4BFD">
      <w:pPr>
        <w:spacing w:before="197"/>
        <w:ind w:left="391"/>
        <w:jc w:val="both"/>
        <w:rPr>
          <w:u w:val="single"/>
          <w:lang w:val="fr-FR"/>
        </w:rPr>
      </w:pPr>
      <w:r w:rsidRPr="00CE4BFD">
        <w:rPr>
          <w:u w:val="single"/>
          <w:lang w:val="fr-FR"/>
        </w:rPr>
        <w:t>Description de l’aire de répartition </w:t>
      </w:r>
      <w:r w:rsidRPr="006720AD">
        <w:rPr>
          <w:rStyle w:val="FootnoteReference"/>
          <w:u w:val="single"/>
        </w:rPr>
        <w:footnoteReference w:id="1"/>
      </w:r>
    </w:p>
    <w:p w:rsidR="00CE4BFD" w:rsidRPr="00CE4BFD" w:rsidRDefault="00CE4BFD" w:rsidP="00CE4BFD">
      <w:pPr>
        <w:ind w:left="391" w:right="341" w:firstLine="6"/>
        <w:jc w:val="both"/>
        <w:rPr>
          <w:rFonts w:eastAsia="Times New Roman"/>
          <w:spacing w:val="2"/>
          <w:lang w:val="fr-FR"/>
        </w:rPr>
      </w:pPr>
      <w:r w:rsidRPr="00CE4BFD">
        <w:rPr>
          <w:lang w:val="fr-FR"/>
        </w:rPr>
        <w:t xml:space="preserve">Les dauphins de l’Irrawaddy, </w:t>
      </w:r>
      <w:proofErr w:type="spellStart"/>
      <w:r w:rsidRPr="00CE4BFD">
        <w:rPr>
          <w:i/>
          <w:iCs/>
          <w:lang w:val="fr-FR"/>
        </w:rPr>
        <w:t>Orcaella</w:t>
      </w:r>
      <w:proofErr w:type="spellEnd"/>
      <w:r w:rsidRPr="00CE4BFD">
        <w:rPr>
          <w:i/>
          <w:iCs/>
          <w:lang w:val="fr-FR"/>
        </w:rPr>
        <w:t xml:space="preserve"> </w:t>
      </w:r>
      <w:proofErr w:type="spellStart"/>
      <w:r w:rsidRPr="00CE4BFD">
        <w:rPr>
          <w:i/>
          <w:iCs/>
          <w:lang w:val="fr-FR"/>
        </w:rPr>
        <w:t>brevirostris</w:t>
      </w:r>
      <w:proofErr w:type="spellEnd"/>
      <w:r w:rsidRPr="00CE4BFD">
        <w:rPr>
          <w:lang w:val="fr-FR"/>
        </w:rPr>
        <w:t xml:space="preserve">, sont présents dans les eaux tropicales et subtropicales de la région </w:t>
      </w:r>
      <w:proofErr w:type="spellStart"/>
      <w:r w:rsidRPr="00CE4BFD">
        <w:rPr>
          <w:lang w:val="fr-FR"/>
        </w:rPr>
        <w:t>indo-pacifique</w:t>
      </w:r>
      <w:proofErr w:type="spellEnd"/>
      <w:r w:rsidRPr="00CE4BFD">
        <w:rPr>
          <w:lang w:val="fr-FR"/>
        </w:rPr>
        <w:t xml:space="preserve"> occidentale. La population mondiale de dauphins de l’Irrawaddy semble être inférieure à 7 000 habitants. Il s’agit d’une espèce facultative et euryhaline de dauphins, en raison de sa capacité d’adaptation à des environnements d’eau douce et d’eau salée. On retrouve les populations côtières et estuariennes près de l’embouchure des fleuves et dans les lagunes d’eau saumâtre. Les sous-populations d’eau douce établies restent à l’intérieur des réseaux hydrographiques et ne se déplacent pas vers les zones côtières (Stacey et Arnold, 1999).</w:t>
      </w:r>
    </w:p>
    <w:p w:rsidR="00CE4BFD" w:rsidRPr="00CE4BFD" w:rsidRDefault="00CE4BFD" w:rsidP="00CE4BFD">
      <w:pPr>
        <w:ind w:left="426" w:right="341"/>
        <w:jc w:val="both"/>
        <w:rPr>
          <w:rFonts w:eastAsia="Times New Roman"/>
          <w:spacing w:val="2"/>
          <w:lang w:val="fr-FR"/>
        </w:rPr>
      </w:pPr>
      <w:r w:rsidRPr="00CE4BFD">
        <w:rPr>
          <w:lang w:val="fr-FR"/>
        </w:rPr>
        <w:t>L’aire de répartition d’</w:t>
      </w:r>
      <w:proofErr w:type="spellStart"/>
      <w:r w:rsidRPr="00CE4BFD">
        <w:rPr>
          <w:lang w:val="fr-FR"/>
        </w:rPr>
        <w:t>Orcaella</w:t>
      </w:r>
      <w:proofErr w:type="spellEnd"/>
      <w:r w:rsidRPr="00CE4BFD">
        <w:rPr>
          <w:lang w:val="fr-FR"/>
        </w:rPr>
        <w:t xml:space="preserve"> </w:t>
      </w:r>
      <w:proofErr w:type="spellStart"/>
      <w:r w:rsidRPr="00CE4BFD">
        <w:rPr>
          <w:lang w:val="fr-FR"/>
        </w:rPr>
        <w:t>brevirostris</w:t>
      </w:r>
      <w:proofErr w:type="spellEnd"/>
      <w:r w:rsidRPr="00CE4BFD">
        <w:rPr>
          <w:lang w:val="fr-FR"/>
        </w:rPr>
        <w:t xml:space="preserve"> s’étend de l’ouest de la baie du Bengale, le long des côtes de l’Inde et du Bangladesh, et vers le sud jusqu’au Myanmar, la Thaïlande, le Cambodge, le Vietnam, les Philippines (Palawan), la Malaisie, Brunéi Darussalam, Singapour et l’Indonésie (Figure 1) (Stacey &amp; Arnold 1999). Des aires importantes pour les mammifères marins ont été identifiées en Asie du Sud et du Sud-Est en raison de la présence de dauphins de l’Irrawaddy.</w:t>
      </w:r>
    </w:p>
    <w:p w:rsidR="00CE4BFD" w:rsidRPr="00CE4BFD" w:rsidRDefault="00CE4BFD" w:rsidP="00CE4BFD">
      <w:pPr>
        <w:ind w:left="426" w:right="341"/>
        <w:jc w:val="both"/>
        <w:rPr>
          <w:rFonts w:eastAsia="Times New Roman"/>
          <w:spacing w:val="1"/>
          <w:lang w:val="fr-FR"/>
        </w:rPr>
      </w:pPr>
      <w:r w:rsidRPr="00CE4BFD">
        <w:rPr>
          <w:lang w:val="fr-FR"/>
        </w:rPr>
        <w:t>Des populations côtières d’</w:t>
      </w:r>
      <w:r w:rsidRPr="00CE4BFD">
        <w:rPr>
          <w:i/>
          <w:iCs/>
          <w:lang w:val="fr-FR"/>
        </w:rPr>
        <w:t xml:space="preserve">O. </w:t>
      </w:r>
      <w:proofErr w:type="spellStart"/>
      <w:r w:rsidRPr="00CE4BFD">
        <w:rPr>
          <w:i/>
          <w:iCs/>
          <w:lang w:val="fr-FR"/>
        </w:rPr>
        <w:t>brevirostris</w:t>
      </w:r>
      <w:proofErr w:type="spellEnd"/>
      <w:r w:rsidRPr="00CE4BFD">
        <w:rPr>
          <w:lang w:val="fr-FR"/>
        </w:rPr>
        <w:t xml:space="preserve"> sont étudiées le long des côtes de l’Inde (</w:t>
      </w:r>
      <w:proofErr w:type="spellStart"/>
      <w:r w:rsidRPr="00CE4BFD">
        <w:rPr>
          <w:lang w:val="fr-FR"/>
        </w:rPr>
        <w:t>Sutaria</w:t>
      </w:r>
      <w:proofErr w:type="spellEnd"/>
      <w:r w:rsidRPr="00CE4BFD">
        <w:rPr>
          <w:lang w:val="fr-FR"/>
        </w:rPr>
        <w:t xml:space="preserve"> 2009, D’Lima 2014, </w:t>
      </w:r>
      <w:proofErr w:type="spellStart"/>
      <w:r w:rsidRPr="00CE4BFD">
        <w:rPr>
          <w:lang w:val="fr-FR"/>
        </w:rPr>
        <w:t>Chilika</w:t>
      </w:r>
      <w:proofErr w:type="spellEnd"/>
      <w:r w:rsidRPr="00CE4BFD">
        <w:rPr>
          <w:lang w:val="fr-FR"/>
        </w:rPr>
        <w:t xml:space="preserve"> </w:t>
      </w:r>
      <w:proofErr w:type="spellStart"/>
      <w:r w:rsidRPr="00CE4BFD">
        <w:rPr>
          <w:lang w:val="fr-FR"/>
        </w:rPr>
        <w:t>Development</w:t>
      </w:r>
      <w:proofErr w:type="spellEnd"/>
      <w:r w:rsidRPr="00CE4BFD">
        <w:rPr>
          <w:lang w:val="fr-FR"/>
        </w:rPr>
        <w:t xml:space="preserve"> </w:t>
      </w:r>
      <w:proofErr w:type="spellStart"/>
      <w:r w:rsidRPr="00CE4BFD">
        <w:rPr>
          <w:lang w:val="fr-FR"/>
        </w:rPr>
        <w:t>Authority</w:t>
      </w:r>
      <w:proofErr w:type="spellEnd"/>
      <w:r w:rsidRPr="00CE4BFD">
        <w:rPr>
          <w:lang w:val="fr-FR"/>
        </w:rPr>
        <w:t xml:space="preserve"> et Orissa State Forest </w:t>
      </w:r>
      <w:proofErr w:type="spellStart"/>
      <w:r w:rsidRPr="00CE4BFD">
        <w:rPr>
          <w:lang w:val="fr-FR"/>
        </w:rPr>
        <w:t>Department</w:t>
      </w:r>
      <w:proofErr w:type="spellEnd"/>
      <w:r w:rsidRPr="00CE4BFD">
        <w:rPr>
          <w:lang w:val="fr-FR"/>
        </w:rPr>
        <w:t>), du Bangladesh et du Myanmar (Smith et al.), du Golfe de Thaïlande (Hines et al.), de la Malaisie (</w:t>
      </w:r>
      <w:proofErr w:type="spellStart"/>
      <w:r w:rsidRPr="00CE4BFD">
        <w:rPr>
          <w:lang w:val="fr-FR"/>
        </w:rPr>
        <w:t>Ponnampalam</w:t>
      </w:r>
      <w:proofErr w:type="spellEnd"/>
      <w:r w:rsidRPr="00CE4BFD">
        <w:rPr>
          <w:lang w:val="fr-FR"/>
        </w:rPr>
        <w:t xml:space="preserve"> et al.) et du détroit de </w:t>
      </w:r>
      <w:proofErr w:type="spellStart"/>
      <w:r w:rsidRPr="00CE4BFD">
        <w:rPr>
          <w:lang w:val="fr-FR"/>
        </w:rPr>
        <w:t>Malampaya</w:t>
      </w:r>
      <w:proofErr w:type="spellEnd"/>
      <w:r w:rsidRPr="00CE4BFD">
        <w:rPr>
          <w:lang w:val="fr-FR"/>
        </w:rPr>
        <w:t xml:space="preserve"> aux Philippines (</w:t>
      </w:r>
      <w:proofErr w:type="spellStart"/>
      <w:r w:rsidRPr="00CE4BFD">
        <w:rPr>
          <w:lang w:val="fr-FR"/>
        </w:rPr>
        <w:t>Dolar</w:t>
      </w:r>
      <w:proofErr w:type="spellEnd"/>
      <w:r w:rsidRPr="00CE4BFD">
        <w:rPr>
          <w:lang w:val="fr-FR"/>
        </w:rPr>
        <w:t xml:space="preserve"> 2002, Smith et al. 2004). </w:t>
      </w:r>
    </w:p>
    <w:p w:rsidR="00CE4BFD" w:rsidRPr="00CE4BFD" w:rsidRDefault="00CE4BFD" w:rsidP="00CE4BFD">
      <w:pPr>
        <w:ind w:left="426" w:right="274"/>
        <w:jc w:val="both"/>
        <w:rPr>
          <w:rFonts w:eastAsia="Times New Roman"/>
          <w:lang w:val="fr-FR"/>
        </w:rPr>
      </w:pPr>
      <w:r w:rsidRPr="00CE4BFD">
        <w:rPr>
          <w:lang w:val="fr-FR"/>
        </w:rPr>
        <w:t>Les populations d’eau douce sont présentes dans trois grands réseaux hydrographiques : le Mahakam (Kalimantan, Indonésie), le Mékong (Laos, Cambodge, Vietnam) et l’</w:t>
      </w:r>
      <w:proofErr w:type="spellStart"/>
      <w:r w:rsidRPr="00CE4BFD">
        <w:rPr>
          <w:lang w:val="fr-FR"/>
        </w:rPr>
        <w:t>Ayeyarwady</w:t>
      </w:r>
      <w:proofErr w:type="spellEnd"/>
      <w:r w:rsidRPr="00CE4BFD">
        <w:rPr>
          <w:lang w:val="fr-FR"/>
        </w:rPr>
        <w:t xml:space="preserve"> (Myanmar) (Figure 1). L’essentiel des efforts de recherche a été orienté vers ces populations (</w:t>
      </w:r>
      <w:proofErr w:type="spellStart"/>
      <w:r w:rsidRPr="00CE4BFD">
        <w:rPr>
          <w:lang w:val="fr-FR"/>
        </w:rPr>
        <w:t>Kreb</w:t>
      </w:r>
      <w:proofErr w:type="spellEnd"/>
      <w:r w:rsidRPr="00CE4BFD">
        <w:rPr>
          <w:lang w:val="fr-FR"/>
        </w:rPr>
        <w:t xml:space="preserve"> 2007 ; </w:t>
      </w:r>
      <w:proofErr w:type="spellStart"/>
      <w:r w:rsidRPr="00CE4BFD">
        <w:rPr>
          <w:lang w:val="fr-FR"/>
        </w:rPr>
        <w:t>Beasley</w:t>
      </w:r>
      <w:proofErr w:type="spellEnd"/>
      <w:r w:rsidRPr="00CE4BFD">
        <w:rPr>
          <w:lang w:val="fr-FR"/>
        </w:rPr>
        <w:t xml:space="preserve"> et al. 2007). Des populations d’eau saumâtre sont présentes dans les lagunes de Songkhla (Thaïlande) et de </w:t>
      </w:r>
      <w:proofErr w:type="spellStart"/>
      <w:r w:rsidRPr="00CE4BFD">
        <w:rPr>
          <w:lang w:val="fr-FR"/>
        </w:rPr>
        <w:t>Chilika</w:t>
      </w:r>
      <w:proofErr w:type="spellEnd"/>
      <w:r w:rsidRPr="00CE4BFD">
        <w:rPr>
          <w:lang w:val="fr-FR"/>
        </w:rPr>
        <w:t xml:space="preserve"> (Inde), et ces deux populations sont actuellement étudiées et surveillées (</w:t>
      </w:r>
      <w:proofErr w:type="spellStart"/>
      <w:r w:rsidRPr="00CE4BFD">
        <w:rPr>
          <w:lang w:val="fr-FR"/>
        </w:rPr>
        <w:t>Kittiwattanawong</w:t>
      </w:r>
      <w:proofErr w:type="spellEnd"/>
      <w:r w:rsidRPr="00CE4BFD">
        <w:rPr>
          <w:lang w:val="fr-FR"/>
        </w:rPr>
        <w:t xml:space="preserve"> et al. 2007; </w:t>
      </w:r>
      <w:proofErr w:type="spellStart"/>
      <w:r w:rsidRPr="00CE4BFD">
        <w:rPr>
          <w:lang w:val="fr-FR"/>
        </w:rPr>
        <w:t>Pattnaik</w:t>
      </w:r>
      <w:proofErr w:type="spellEnd"/>
      <w:r w:rsidRPr="00CE4BFD">
        <w:rPr>
          <w:lang w:val="fr-FR"/>
        </w:rPr>
        <w:t xml:space="preserve"> et al. 2007).</w:t>
      </w:r>
    </w:p>
    <w:p w:rsidR="00CE4BFD" w:rsidRPr="00CE4BFD" w:rsidRDefault="00CE4BFD" w:rsidP="00CE4BFD">
      <w:pPr>
        <w:ind w:left="426" w:right="274"/>
        <w:jc w:val="both"/>
        <w:rPr>
          <w:rFonts w:eastAsia="Times New Roman"/>
          <w:lang w:val="fr-FR"/>
        </w:rPr>
      </w:pPr>
      <w:r w:rsidRPr="00CE4BFD">
        <w:rPr>
          <w:lang w:val="fr-FR"/>
        </w:rPr>
        <w:t>La possibilité de mouvement à travers les frontières politiques en Asie du Sud-Est est élevée, tout comme le mouvement à travers l’Inde et le Bangladesh ou au sein des populations fluviales dans le Mékong. Cependant, des correspondances de nageoire dorsale n’ont pas encore été trouvées parmi ces différentes populations (fluviales ou côtières en Indonésie ou en Malaisie et en Indonésie, ou en Malaisie et en Thaïlande). D’autres recherches doivent étudier la possibilité de déplacements sur de grandes distances.</w:t>
      </w:r>
    </w:p>
    <w:p w:rsidR="00CE4BFD" w:rsidRPr="00CE4BFD" w:rsidRDefault="00CE4BFD" w:rsidP="00CE4BFD">
      <w:pPr>
        <w:ind w:left="426" w:right="274"/>
        <w:jc w:val="both"/>
        <w:rPr>
          <w:u w:val="single"/>
          <w:lang w:val="fr-FR"/>
        </w:rPr>
      </w:pPr>
      <w:r w:rsidRPr="00CE4BFD">
        <w:rPr>
          <w:u w:val="single"/>
          <w:lang w:val="fr-FR"/>
        </w:rPr>
        <w:lastRenderedPageBreak/>
        <w:t>Présence confirmée dans ces pays :</w:t>
      </w:r>
    </w:p>
    <w:p w:rsidR="00CE4BFD" w:rsidRPr="00CE4BFD" w:rsidRDefault="00CE4BFD" w:rsidP="00CE4BFD">
      <w:pPr>
        <w:pStyle w:val="ListParagraph"/>
        <w:widowControl/>
        <w:numPr>
          <w:ilvl w:val="0"/>
          <w:numId w:val="17"/>
        </w:numPr>
        <w:suppressAutoHyphens w:val="0"/>
        <w:autoSpaceDE/>
        <w:autoSpaceDN/>
        <w:ind w:right="274"/>
        <w:contextualSpacing/>
        <w:jc w:val="both"/>
        <w:textAlignment w:val="auto"/>
        <w:rPr>
          <w:sz w:val="22"/>
          <w:szCs w:val="22"/>
        </w:rPr>
      </w:pPr>
      <w:proofErr w:type="spellStart"/>
      <w:r w:rsidRPr="00CE4BFD">
        <w:rPr>
          <w:sz w:val="22"/>
          <w:szCs w:val="22"/>
        </w:rPr>
        <w:t>Inde</w:t>
      </w:r>
      <w:proofErr w:type="spellEnd"/>
    </w:p>
    <w:p w:rsidR="00CE4BFD" w:rsidRPr="00CE4BFD" w:rsidRDefault="00CE4BFD" w:rsidP="00CE4BFD">
      <w:pPr>
        <w:pStyle w:val="ListParagraph"/>
        <w:widowControl/>
        <w:numPr>
          <w:ilvl w:val="0"/>
          <w:numId w:val="17"/>
        </w:numPr>
        <w:suppressAutoHyphens w:val="0"/>
        <w:autoSpaceDE/>
        <w:autoSpaceDN/>
        <w:ind w:right="274"/>
        <w:contextualSpacing/>
        <w:jc w:val="both"/>
        <w:textAlignment w:val="auto"/>
        <w:rPr>
          <w:sz w:val="22"/>
          <w:szCs w:val="22"/>
        </w:rPr>
      </w:pPr>
      <w:r w:rsidRPr="00CE4BFD">
        <w:rPr>
          <w:sz w:val="22"/>
          <w:szCs w:val="22"/>
        </w:rPr>
        <w:t>Bangladesh</w:t>
      </w:r>
    </w:p>
    <w:p w:rsidR="00CE4BFD" w:rsidRPr="00CE4BFD" w:rsidRDefault="00CE4BFD" w:rsidP="00CE4BFD">
      <w:pPr>
        <w:pStyle w:val="ListParagraph"/>
        <w:widowControl/>
        <w:numPr>
          <w:ilvl w:val="0"/>
          <w:numId w:val="17"/>
        </w:numPr>
        <w:suppressAutoHyphens w:val="0"/>
        <w:autoSpaceDE/>
        <w:autoSpaceDN/>
        <w:ind w:right="274"/>
        <w:contextualSpacing/>
        <w:jc w:val="both"/>
        <w:textAlignment w:val="auto"/>
        <w:rPr>
          <w:sz w:val="22"/>
          <w:szCs w:val="22"/>
        </w:rPr>
      </w:pPr>
      <w:r w:rsidRPr="00CE4BFD">
        <w:rPr>
          <w:sz w:val="22"/>
          <w:szCs w:val="22"/>
        </w:rPr>
        <w:t>Laos</w:t>
      </w:r>
    </w:p>
    <w:p w:rsidR="00CE4BFD" w:rsidRPr="00CE4BFD" w:rsidRDefault="00CE4BFD" w:rsidP="00CE4BFD">
      <w:pPr>
        <w:pStyle w:val="ListParagraph"/>
        <w:widowControl/>
        <w:numPr>
          <w:ilvl w:val="0"/>
          <w:numId w:val="17"/>
        </w:numPr>
        <w:suppressAutoHyphens w:val="0"/>
        <w:autoSpaceDE/>
        <w:autoSpaceDN/>
        <w:ind w:right="274"/>
        <w:contextualSpacing/>
        <w:jc w:val="both"/>
        <w:textAlignment w:val="auto"/>
        <w:rPr>
          <w:sz w:val="22"/>
          <w:szCs w:val="22"/>
        </w:rPr>
      </w:pPr>
      <w:r w:rsidRPr="00CE4BFD">
        <w:rPr>
          <w:sz w:val="22"/>
          <w:szCs w:val="22"/>
        </w:rPr>
        <w:t xml:space="preserve">Vietnam </w:t>
      </w:r>
    </w:p>
    <w:p w:rsidR="00CE4BFD" w:rsidRPr="00CE4BFD" w:rsidRDefault="00CE4BFD" w:rsidP="00CE4BFD">
      <w:pPr>
        <w:pStyle w:val="ListParagraph"/>
        <w:widowControl/>
        <w:numPr>
          <w:ilvl w:val="0"/>
          <w:numId w:val="17"/>
        </w:numPr>
        <w:suppressAutoHyphens w:val="0"/>
        <w:autoSpaceDE/>
        <w:autoSpaceDN/>
        <w:ind w:right="274"/>
        <w:contextualSpacing/>
        <w:jc w:val="both"/>
        <w:textAlignment w:val="auto"/>
        <w:rPr>
          <w:sz w:val="22"/>
          <w:szCs w:val="22"/>
        </w:rPr>
      </w:pPr>
      <w:proofErr w:type="spellStart"/>
      <w:r w:rsidRPr="00CE4BFD">
        <w:rPr>
          <w:sz w:val="22"/>
          <w:szCs w:val="22"/>
        </w:rPr>
        <w:t>Cambodge</w:t>
      </w:r>
      <w:proofErr w:type="spellEnd"/>
    </w:p>
    <w:p w:rsidR="00CE4BFD" w:rsidRPr="00CE4BFD" w:rsidRDefault="00CE4BFD" w:rsidP="00CE4BFD">
      <w:pPr>
        <w:pStyle w:val="ListParagraph"/>
        <w:widowControl/>
        <w:numPr>
          <w:ilvl w:val="0"/>
          <w:numId w:val="17"/>
        </w:numPr>
        <w:suppressAutoHyphens w:val="0"/>
        <w:autoSpaceDE/>
        <w:autoSpaceDN/>
        <w:ind w:right="274"/>
        <w:contextualSpacing/>
        <w:jc w:val="both"/>
        <w:textAlignment w:val="auto"/>
        <w:rPr>
          <w:sz w:val="22"/>
          <w:szCs w:val="22"/>
        </w:rPr>
      </w:pPr>
      <w:r w:rsidRPr="00CE4BFD">
        <w:rPr>
          <w:sz w:val="22"/>
          <w:szCs w:val="22"/>
        </w:rPr>
        <w:t>Myanmar</w:t>
      </w:r>
    </w:p>
    <w:p w:rsidR="00CE4BFD" w:rsidRPr="00CE4BFD" w:rsidRDefault="00CE4BFD" w:rsidP="00CE4BFD">
      <w:pPr>
        <w:pStyle w:val="ListParagraph"/>
        <w:widowControl/>
        <w:numPr>
          <w:ilvl w:val="0"/>
          <w:numId w:val="17"/>
        </w:numPr>
        <w:suppressAutoHyphens w:val="0"/>
        <w:autoSpaceDE/>
        <w:autoSpaceDN/>
        <w:ind w:right="274"/>
        <w:contextualSpacing/>
        <w:jc w:val="both"/>
        <w:textAlignment w:val="auto"/>
        <w:rPr>
          <w:sz w:val="22"/>
          <w:szCs w:val="22"/>
        </w:rPr>
      </w:pPr>
      <w:proofErr w:type="spellStart"/>
      <w:r w:rsidRPr="00CE4BFD">
        <w:rPr>
          <w:sz w:val="22"/>
          <w:szCs w:val="22"/>
        </w:rPr>
        <w:t>Thaïlande</w:t>
      </w:r>
      <w:proofErr w:type="spellEnd"/>
    </w:p>
    <w:p w:rsidR="00CE4BFD" w:rsidRPr="00CE4BFD" w:rsidRDefault="00CE4BFD" w:rsidP="00CE4BFD">
      <w:pPr>
        <w:pStyle w:val="ListParagraph"/>
        <w:widowControl/>
        <w:numPr>
          <w:ilvl w:val="0"/>
          <w:numId w:val="17"/>
        </w:numPr>
        <w:suppressAutoHyphens w:val="0"/>
        <w:autoSpaceDE/>
        <w:autoSpaceDN/>
        <w:ind w:right="274"/>
        <w:contextualSpacing/>
        <w:jc w:val="both"/>
        <w:textAlignment w:val="auto"/>
        <w:rPr>
          <w:sz w:val="22"/>
          <w:szCs w:val="22"/>
        </w:rPr>
      </w:pPr>
      <w:proofErr w:type="spellStart"/>
      <w:r w:rsidRPr="00CE4BFD">
        <w:rPr>
          <w:sz w:val="22"/>
          <w:szCs w:val="22"/>
        </w:rPr>
        <w:t>Malaisie</w:t>
      </w:r>
      <w:proofErr w:type="spellEnd"/>
    </w:p>
    <w:p w:rsidR="00CE4BFD" w:rsidRPr="00CE4BFD" w:rsidRDefault="00CE4BFD" w:rsidP="00CE4BFD">
      <w:pPr>
        <w:pStyle w:val="ListParagraph"/>
        <w:widowControl/>
        <w:numPr>
          <w:ilvl w:val="0"/>
          <w:numId w:val="17"/>
        </w:numPr>
        <w:suppressAutoHyphens w:val="0"/>
        <w:autoSpaceDE/>
        <w:autoSpaceDN/>
        <w:ind w:right="274"/>
        <w:contextualSpacing/>
        <w:jc w:val="both"/>
        <w:textAlignment w:val="auto"/>
        <w:rPr>
          <w:sz w:val="22"/>
          <w:szCs w:val="22"/>
        </w:rPr>
      </w:pPr>
      <w:proofErr w:type="spellStart"/>
      <w:r w:rsidRPr="00CE4BFD">
        <w:rPr>
          <w:sz w:val="22"/>
          <w:szCs w:val="22"/>
        </w:rPr>
        <w:t>Indonésie</w:t>
      </w:r>
      <w:proofErr w:type="spellEnd"/>
    </w:p>
    <w:p w:rsidR="00CE4BFD" w:rsidRPr="00CE4BFD" w:rsidRDefault="00CE4BFD" w:rsidP="00CE4BFD">
      <w:pPr>
        <w:pStyle w:val="ListParagraph"/>
        <w:widowControl/>
        <w:numPr>
          <w:ilvl w:val="0"/>
          <w:numId w:val="17"/>
        </w:numPr>
        <w:suppressAutoHyphens w:val="0"/>
        <w:autoSpaceDE/>
        <w:autoSpaceDN/>
        <w:ind w:right="274"/>
        <w:contextualSpacing/>
        <w:jc w:val="both"/>
        <w:textAlignment w:val="auto"/>
        <w:rPr>
          <w:sz w:val="22"/>
          <w:szCs w:val="22"/>
        </w:rPr>
      </w:pPr>
      <w:r w:rsidRPr="00CE4BFD">
        <w:rPr>
          <w:sz w:val="22"/>
          <w:szCs w:val="22"/>
        </w:rPr>
        <w:t>Philippines</w:t>
      </w:r>
    </w:p>
    <w:p w:rsidR="00CE4BFD" w:rsidRPr="006720AD" w:rsidRDefault="00CE4BFD" w:rsidP="00CE4BFD">
      <w:pPr>
        <w:ind w:left="567" w:right="274"/>
        <w:jc w:val="both"/>
        <w:rPr>
          <w:rFonts w:eastAsia="Times New Roman"/>
        </w:rPr>
      </w:pPr>
    </w:p>
    <w:p w:rsidR="00CE4BFD" w:rsidRPr="00CE4BFD" w:rsidRDefault="00CE4BFD" w:rsidP="00CE4BFD">
      <w:pPr>
        <w:spacing w:before="28"/>
        <w:ind w:left="567" w:right="258"/>
        <w:jc w:val="both"/>
        <w:rPr>
          <w:rFonts w:eastAsia="Times New Roman"/>
          <w:sz w:val="18"/>
          <w:szCs w:val="20"/>
          <w:lang w:val="fr-FR"/>
        </w:rPr>
      </w:pPr>
      <w:r w:rsidRPr="00CE4BFD">
        <w:rPr>
          <w:b/>
          <w:sz w:val="18"/>
          <w:szCs w:val="20"/>
          <w:lang w:val="fr-FR"/>
        </w:rPr>
        <w:t>Figure 1</w:t>
      </w:r>
      <w:r w:rsidRPr="00CE4BFD">
        <w:rPr>
          <w:sz w:val="18"/>
          <w:szCs w:val="20"/>
          <w:lang w:val="fr-FR"/>
        </w:rPr>
        <w:t>. Aire de répartition d’</w:t>
      </w:r>
      <w:proofErr w:type="spellStart"/>
      <w:r w:rsidRPr="00CE4BFD">
        <w:rPr>
          <w:i/>
          <w:iCs/>
          <w:sz w:val="18"/>
          <w:szCs w:val="20"/>
          <w:lang w:val="fr-FR"/>
        </w:rPr>
        <w:t>Orcaella</w:t>
      </w:r>
      <w:proofErr w:type="spellEnd"/>
      <w:r w:rsidRPr="00CE4BFD">
        <w:rPr>
          <w:i/>
          <w:iCs/>
          <w:sz w:val="18"/>
          <w:szCs w:val="20"/>
          <w:lang w:val="fr-FR"/>
        </w:rPr>
        <w:t xml:space="preserve"> </w:t>
      </w:r>
      <w:proofErr w:type="spellStart"/>
      <w:r w:rsidRPr="00CE4BFD">
        <w:rPr>
          <w:i/>
          <w:iCs/>
          <w:sz w:val="18"/>
          <w:szCs w:val="20"/>
          <w:lang w:val="fr-FR"/>
        </w:rPr>
        <w:t>brevirostris</w:t>
      </w:r>
      <w:proofErr w:type="spellEnd"/>
      <w:r w:rsidRPr="00CE4BFD">
        <w:rPr>
          <w:sz w:val="18"/>
          <w:szCs w:val="20"/>
          <w:lang w:val="fr-FR"/>
        </w:rPr>
        <w:t xml:space="preserve"> (jaune) de l’Inde à l’Indonésie et aux Philippines, et aire de répartition d’</w:t>
      </w:r>
      <w:proofErr w:type="spellStart"/>
      <w:r w:rsidRPr="00CE4BFD">
        <w:rPr>
          <w:i/>
          <w:iCs/>
          <w:sz w:val="18"/>
          <w:szCs w:val="20"/>
          <w:lang w:val="fr-FR"/>
        </w:rPr>
        <w:t>Orcaella</w:t>
      </w:r>
      <w:proofErr w:type="spellEnd"/>
      <w:r w:rsidRPr="00CE4BFD">
        <w:rPr>
          <w:i/>
          <w:iCs/>
          <w:sz w:val="18"/>
          <w:szCs w:val="20"/>
          <w:lang w:val="fr-FR"/>
        </w:rPr>
        <w:t xml:space="preserve"> </w:t>
      </w:r>
      <w:proofErr w:type="spellStart"/>
      <w:r w:rsidRPr="00CE4BFD">
        <w:rPr>
          <w:i/>
          <w:iCs/>
          <w:sz w:val="18"/>
          <w:szCs w:val="20"/>
          <w:lang w:val="fr-FR"/>
        </w:rPr>
        <w:t>heinsohni</w:t>
      </w:r>
      <w:proofErr w:type="spellEnd"/>
      <w:r w:rsidRPr="00CE4BFD">
        <w:rPr>
          <w:sz w:val="18"/>
          <w:szCs w:val="20"/>
          <w:lang w:val="fr-FR"/>
        </w:rPr>
        <w:t xml:space="preserve"> (bleu) en Australie du Nord (</w:t>
      </w:r>
      <w:proofErr w:type="spellStart"/>
      <w:r w:rsidRPr="00CE4BFD">
        <w:rPr>
          <w:sz w:val="18"/>
          <w:szCs w:val="20"/>
          <w:lang w:val="fr-FR"/>
        </w:rPr>
        <w:t>Sutaria</w:t>
      </w:r>
      <w:proofErr w:type="spellEnd"/>
      <w:r w:rsidRPr="00CE4BFD">
        <w:rPr>
          <w:sz w:val="18"/>
          <w:szCs w:val="20"/>
          <w:lang w:val="fr-FR"/>
        </w:rPr>
        <w:t xml:space="preserve"> 2009)</w:t>
      </w:r>
    </w:p>
    <w:p w:rsidR="00CE4BFD" w:rsidRPr="006720AD" w:rsidRDefault="00CE4BFD" w:rsidP="00CE4BFD">
      <w:pPr>
        <w:ind w:left="567" w:right="-20"/>
        <w:jc w:val="both"/>
        <w:rPr>
          <w:rFonts w:eastAsia="Times New Roman"/>
          <w:sz w:val="20"/>
          <w:szCs w:val="20"/>
        </w:rPr>
      </w:pPr>
      <w:r>
        <w:rPr>
          <w:noProof/>
          <w:lang w:eastAsia="fr-FR"/>
        </w:rPr>
        <w:drawing>
          <wp:inline distT="0" distB="0" distL="0" distR="0" wp14:anchorId="64983A2B" wp14:editId="3EFC6268">
            <wp:extent cx="4259580" cy="3387090"/>
            <wp:effectExtent l="0" t="0" r="7620"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9580" cy="3387090"/>
                    </a:xfrm>
                    <a:prstGeom prst="rect">
                      <a:avLst/>
                    </a:prstGeom>
                    <a:noFill/>
                    <a:ln>
                      <a:noFill/>
                    </a:ln>
                  </pic:spPr>
                </pic:pic>
              </a:graphicData>
            </a:graphic>
          </wp:inline>
        </w:drawing>
      </w:r>
      <w:r>
        <w:rPr>
          <w:sz w:val="20"/>
          <w:szCs w:val="20"/>
        </w:rPr>
        <w:br/>
      </w:r>
    </w:p>
    <w:p w:rsidR="00CE4BFD" w:rsidRPr="00CE4BFD" w:rsidRDefault="00CE4BFD" w:rsidP="00CE4BFD">
      <w:pPr>
        <w:spacing w:before="28"/>
        <w:ind w:left="220" w:right="336"/>
        <w:rPr>
          <w:rFonts w:eastAsia="Times New Roman"/>
          <w:spacing w:val="-1"/>
          <w:sz w:val="20"/>
          <w:szCs w:val="20"/>
          <w:lang w:val="fr-FR"/>
        </w:rPr>
      </w:pPr>
      <w:r w:rsidRPr="00CE4BFD">
        <w:rPr>
          <w:b/>
          <w:bCs/>
          <w:sz w:val="20"/>
          <w:szCs w:val="20"/>
          <w:lang w:val="fr-FR"/>
        </w:rPr>
        <w:t>Tableau 1.</w:t>
      </w:r>
      <w:r w:rsidRPr="00CE4BFD">
        <w:rPr>
          <w:sz w:val="20"/>
          <w:szCs w:val="20"/>
          <w:lang w:val="fr-FR"/>
        </w:rPr>
        <w:t xml:space="preserve"> Comparaison des estimations de population d’</w:t>
      </w:r>
      <w:proofErr w:type="spellStart"/>
      <w:r w:rsidRPr="00CE4BFD">
        <w:rPr>
          <w:i/>
          <w:iCs/>
          <w:sz w:val="20"/>
          <w:szCs w:val="20"/>
          <w:lang w:val="fr-FR"/>
        </w:rPr>
        <w:t>Orcaella</w:t>
      </w:r>
      <w:proofErr w:type="spellEnd"/>
      <w:r w:rsidRPr="00CE4BFD">
        <w:rPr>
          <w:i/>
          <w:iCs/>
          <w:sz w:val="20"/>
          <w:szCs w:val="20"/>
          <w:lang w:val="fr-FR"/>
        </w:rPr>
        <w:t xml:space="preserve"> </w:t>
      </w:r>
      <w:proofErr w:type="spellStart"/>
      <w:r w:rsidRPr="00CE4BFD">
        <w:rPr>
          <w:i/>
          <w:iCs/>
          <w:sz w:val="20"/>
          <w:szCs w:val="20"/>
          <w:lang w:val="fr-FR"/>
        </w:rPr>
        <w:t>brevirostris</w:t>
      </w:r>
      <w:proofErr w:type="spellEnd"/>
      <w:r w:rsidRPr="00CE4BFD">
        <w:rPr>
          <w:sz w:val="20"/>
          <w:szCs w:val="20"/>
          <w:lang w:val="fr-FR"/>
        </w:rPr>
        <w:t xml:space="preserve"> dans l’aire de répartition des espèces</w:t>
      </w:r>
    </w:p>
    <w:tbl>
      <w:tblPr>
        <w:tblpPr w:leftFromText="180" w:rightFromText="180" w:vertAnchor="text" w:horzAnchor="page" w:tblpX="1129" w:tblpY="-106"/>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268"/>
        <w:gridCol w:w="2410"/>
        <w:gridCol w:w="2188"/>
        <w:gridCol w:w="1922"/>
      </w:tblGrid>
      <w:tr w:rsidR="00CE4BFD" w:rsidRPr="006720AD" w:rsidTr="00CE4BFD">
        <w:trPr>
          <w:trHeight w:val="300"/>
          <w:tblHeader/>
        </w:trPr>
        <w:tc>
          <w:tcPr>
            <w:tcW w:w="509" w:type="dxa"/>
            <w:shd w:val="clear" w:color="auto" w:fill="D9E2F3" w:themeFill="accent1" w:themeFillTint="33"/>
            <w:noWrap/>
            <w:vAlign w:val="center"/>
            <w:hideMark/>
          </w:tcPr>
          <w:p w:rsidR="00CE4BFD" w:rsidRPr="00CE4BFD" w:rsidRDefault="00CE4BFD" w:rsidP="00CE4BFD">
            <w:pPr>
              <w:jc w:val="both"/>
              <w:rPr>
                <w:rFonts w:eastAsia="Times New Roman"/>
                <w:color w:val="000000"/>
                <w:sz w:val="20"/>
                <w:szCs w:val="20"/>
                <w:lang w:val="fr-FR"/>
              </w:rPr>
            </w:pPr>
          </w:p>
        </w:tc>
        <w:tc>
          <w:tcPr>
            <w:tcW w:w="2268" w:type="dxa"/>
            <w:shd w:val="clear" w:color="auto" w:fill="D9E2F3" w:themeFill="accent1" w:themeFillTint="33"/>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Pays</w:t>
            </w:r>
          </w:p>
        </w:tc>
        <w:tc>
          <w:tcPr>
            <w:tcW w:w="2410" w:type="dxa"/>
            <w:shd w:val="clear" w:color="auto" w:fill="D9E2F3" w:themeFill="accent1" w:themeFillTint="33"/>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Lieu</w:t>
            </w:r>
          </w:p>
        </w:tc>
        <w:tc>
          <w:tcPr>
            <w:tcW w:w="2188" w:type="dxa"/>
            <w:shd w:val="clear" w:color="auto" w:fill="D9E2F3" w:themeFill="accent1" w:themeFillTint="33"/>
            <w:noWrap/>
            <w:vAlign w:val="bottom"/>
            <w:hideMark/>
          </w:tcPr>
          <w:p w:rsidR="00CE4BFD" w:rsidRPr="006720AD" w:rsidRDefault="00CE4BFD" w:rsidP="00CE4BFD">
            <w:pPr>
              <w:jc w:val="both"/>
              <w:rPr>
                <w:rFonts w:eastAsia="Times New Roman"/>
                <w:color w:val="000000"/>
                <w:sz w:val="20"/>
                <w:szCs w:val="20"/>
              </w:rPr>
            </w:pPr>
            <w:r>
              <w:rPr>
                <w:color w:val="000000"/>
                <w:sz w:val="20"/>
                <w:szCs w:val="20"/>
              </w:rPr>
              <w:t>Estimations de la population</w:t>
            </w:r>
          </w:p>
        </w:tc>
        <w:tc>
          <w:tcPr>
            <w:tcW w:w="1922" w:type="dxa"/>
            <w:shd w:val="clear" w:color="auto" w:fill="D9E2F3" w:themeFill="accent1" w:themeFillTint="33"/>
            <w:noWrap/>
            <w:vAlign w:val="bottom"/>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Référence</w:t>
            </w:r>
            <w:proofErr w:type="spellEnd"/>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1</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Bangladesh</w:t>
            </w:r>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Eaux</w:t>
            </w:r>
            <w:proofErr w:type="spellEnd"/>
            <w:r>
              <w:rPr>
                <w:color w:val="000000"/>
                <w:sz w:val="20"/>
                <w:szCs w:val="20"/>
              </w:rPr>
              <w:t xml:space="preserve"> </w:t>
            </w:r>
            <w:proofErr w:type="spellStart"/>
            <w:r>
              <w:rPr>
                <w:color w:val="000000"/>
                <w:sz w:val="20"/>
                <w:szCs w:val="20"/>
              </w:rPr>
              <w:t>côtières</w:t>
            </w:r>
            <w:proofErr w:type="spellEnd"/>
          </w:p>
        </w:tc>
        <w:tc>
          <w:tcPr>
            <w:tcW w:w="2188" w:type="dxa"/>
            <w:shd w:val="clear" w:color="auto" w:fill="auto"/>
            <w:noWrap/>
            <w:vAlign w:val="bottom"/>
            <w:hideMark/>
          </w:tcPr>
          <w:p w:rsidR="00CE4BFD" w:rsidRPr="006720AD" w:rsidRDefault="00CE4BFD" w:rsidP="00CE4BFD">
            <w:pPr>
              <w:jc w:val="both"/>
              <w:rPr>
                <w:rFonts w:eastAsia="Times New Roman"/>
                <w:color w:val="000000"/>
                <w:sz w:val="20"/>
                <w:szCs w:val="20"/>
              </w:rPr>
            </w:pPr>
            <w:r>
              <w:rPr>
                <w:color w:val="000000"/>
                <w:sz w:val="20"/>
                <w:szCs w:val="20"/>
              </w:rPr>
              <w:t>5383</w:t>
            </w:r>
          </w:p>
        </w:tc>
        <w:tc>
          <w:tcPr>
            <w:tcW w:w="1922" w:type="dxa"/>
            <w:shd w:val="clear" w:color="auto" w:fill="auto"/>
            <w:noWrap/>
            <w:vAlign w:val="bottom"/>
            <w:hideMark/>
          </w:tcPr>
          <w:p w:rsidR="00CE4BFD" w:rsidRPr="006720AD" w:rsidRDefault="00CE4BFD" w:rsidP="00CE4BFD">
            <w:pPr>
              <w:jc w:val="both"/>
              <w:rPr>
                <w:rFonts w:eastAsia="Times New Roman"/>
                <w:color w:val="000000"/>
                <w:sz w:val="20"/>
                <w:szCs w:val="20"/>
              </w:rPr>
            </w:pPr>
            <w:r>
              <w:rPr>
                <w:color w:val="000000"/>
                <w:sz w:val="20"/>
                <w:szCs w:val="20"/>
              </w:rPr>
              <w:t>Smith et al 2005, 2008</w:t>
            </w:r>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2</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Bangladesh</w:t>
            </w:r>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Sundarbans (mangroves)</w:t>
            </w:r>
          </w:p>
        </w:tc>
        <w:tc>
          <w:tcPr>
            <w:tcW w:w="2188" w:type="dxa"/>
            <w:shd w:val="clear" w:color="auto" w:fill="auto"/>
            <w:noWrap/>
            <w:vAlign w:val="bottom"/>
            <w:hideMark/>
          </w:tcPr>
          <w:p w:rsidR="00CE4BFD" w:rsidRPr="006720AD" w:rsidRDefault="00CE4BFD" w:rsidP="00CE4BFD">
            <w:pPr>
              <w:jc w:val="both"/>
              <w:rPr>
                <w:rFonts w:eastAsia="Times New Roman"/>
                <w:color w:val="000000"/>
                <w:sz w:val="20"/>
                <w:szCs w:val="20"/>
              </w:rPr>
            </w:pPr>
            <w:r>
              <w:rPr>
                <w:color w:val="000000"/>
                <w:sz w:val="20"/>
                <w:szCs w:val="20"/>
              </w:rPr>
              <w:t>397-451</w:t>
            </w:r>
          </w:p>
        </w:tc>
        <w:tc>
          <w:tcPr>
            <w:tcW w:w="1922" w:type="dxa"/>
            <w:shd w:val="clear" w:color="auto" w:fill="auto"/>
            <w:noWrap/>
            <w:vAlign w:val="bottom"/>
            <w:hideMark/>
          </w:tcPr>
          <w:p w:rsidR="00CE4BFD" w:rsidRPr="006720AD" w:rsidRDefault="00CE4BFD" w:rsidP="00CE4BFD">
            <w:pPr>
              <w:jc w:val="both"/>
              <w:rPr>
                <w:rFonts w:eastAsia="Times New Roman"/>
                <w:color w:val="000000"/>
                <w:sz w:val="20"/>
                <w:szCs w:val="20"/>
              </w:rPr>
            </w:pPr>
            <w:r>
              <w:rPr>
                <w:color w:val="000000"/>
                <w:sz w:val="20"/>
                <w:szCs w:val="20"/>
              </w:rPr>
              <w:t>Smith et al 2006, 2008, 2009</w:t>
            </w:r>
          </w:p>
        </w:tc>
      </w:tr>
      <w:tr w:rsidR="00CE4BFD" w:rsidRPr="006720AD" w:rsidTr="00CE4BFD">
        <w:trPr>
          <w:trHeight w:val="12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3</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Cambodge</w:t>
            </w:r>
            <w:proofErr w:type="spellEnd"/>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Fleuve</w:t>
            </w:r>
            <w:proofErr w:type="spellEnd"/>
            <w:r>
              <w:rPr>
                <w:color w:val="000000"/>
                <w:sz w:val="20"/>
                <w:szCs w:val="20"/>
              </w:rPr>
              <w:t xml:space="preserve"> </w:t>
            </w:r>
            <w:proofErr w:type="spellStart"/>
            <w:r>
              <w:rPr>
                <w:color w:val="000000"/>
                <w:sz w:val="20"/>
                <w:szCs w:val="20"/>
              </w:rPr>
              <w:t>Mékong</w:t>
            </w:r>
            <w:proofErr w:type="spellEnd"/>
          </w:p>
        </w:tc>
        <w:tc>
          <w:tcPr>
            <w:tcW w:w="2188" w:type="dxa"/>
            <w:shd w:val="clear" w:color="auto" w:fill="auto"/>
            <w:hideMark/>
          </w:tcPr>
          <w:p w:rsidR="00CE4BFD" w:rsidRPr="006720AD" w:rsidRDefault="00CE4BFD" w:rsidP="00CE4BFD">
            <w:pPr>
              <w:jc w:val="both"/>
              <w:rPr>
                <w:rFonts w:eastAsia="Times New Roman"/>
                <w:color w:val="000000"/>
                <w:sz w:val="20"/>
                <w:szCs w:val="20"/>
              </w:rPr>
            </w:pPr>
          </w:p>
          <w:p w:rsidR="00CE4BFD" w:rsidRPr="006720AD" w:rsidRDefault="00CE4BFD" w:rsidP="00CE4BFD">
            <w:pPr>
              <w:jc w:val="both"/>
              <w:rPr>
                <w:rFonts w:eastAsia="Times New Roman"/>
                <w:color w:val="000000"/>
                <w:sz w:val="20"/>
                <w:szCs w:val="20"/>
              </w:rPr>
            </w:pPr>
            <w:r>
              <w:rPr>
                <w:color w:val="000000"/>
                <w:sz w:val="20"/>
                <w:szCs w:val="20"/>
              </w:rPr>
              <w:t>161-127</w:t>
            </w:r>
          </w:p>
        </w:tc>
        <w:tc>
          <w:tcPr>
            <w:tcW w:w="1922" w:type="dxa"/>
            <w:shd w:val="clear" w:color="auto" w:fill="auto"/>
            <w:vAlign w:val="center"/>
            <w:hideMark/>
          </w:tcPr>
          <w:p w:rsidR="00CE4BFD" w:rsidRPr="006720AD" w:rsidRDefault="00CE4BFD" w:rsidP="00CE4BFD">
            <w:pPr>
              <w:jc w:val="both"/>
              <w:rPr>
                <w:rFonts w:eastAsia="Times New Roman"/>
                <w:color w:val="000000"/>
                <w:sz w:val="20"/>
                <w:szCs w:val="20"/>
              </w:rPr>
            </w:pPr>
            <w:r>
              <w:rPr>
                <w:color w:val="000000"/>
                <w:sz w:val="20"/>
                <w:szCs w:val="20"/>
              </w:rPr>
              <w:t xml:space="preserve">Beasley 2007 </w:t>
            </w:r>
          </w:p>
          <w:p w:rsidR="00CE4BFD" w:rsidRPr="006720AD" w:rsidRDefault="00CE4BFD" w:rsidP="00CE4BFD">
            <w:pPr>
              <w:jc w:val="both"/>
              <w:rPr>
                <w:rFonts w:eastAsia="Times New Roman"/>
                <w:color w:val="000000"/>
                <w:sz w:val="20"/>
                <w:szCs w:val="20"/>
              </w:rPr>
            </w:pPr>
          </w:p>
        </w:tc>
      </w:tr>
    </w:tbl>
    <w:p w:rsidR="00CE4BFD" w:rsidRPr="006720AD" w:rsidRDefault="00CE4BFD" w:rsidP="00CE4BFD">
      <w:pPr>
        <w:spacing w:before="28"/>
        <w:ind w:left="220" w:right="336"/>
        <w:rPr>
          <w:rFonts w:eastAsia="Times New Roman"/>
          <w:spacing w:val="-1"/>
          <w:sz w:val="20"/>
          <w:szCs w:val="20"/>
        </w:rPr>
      </w:pPr>
    </w:p>
    <w:tbl>
      <w:tblPr>
        <w:tblpPr w:leftFromText="180" w:rightFromText="180" w:vertAnchor="text" w:horzAnchor="page" w:tblpX="1129" w:tblpY="-106"/>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268"/>
        <w:gridCol w:w="2410"/>
        <w:gridCol w:w="1417"/>
        <w:gridCol w:w="2693"/>
      </w:tblGrid>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lastRenderedPageBreak/>
              <w:t>4</w:t>
            </w:r>
          </w:p>
        </w:tc>
        <w:tc>
          <w:tcPr>
            <w:tcW w:w="2268" w:type="dxa"/>
            <w:shd w:val="clear" w:color="auto" w:fill="auto"/>
            <w:noWrap/>
            <w:vAlign w:val="center"/>
            <w:hideMark/>
          </w:tcPr>
          <w:p w:rsidR="00CE4BFD" w:rsidRPr="00A817C3" w:rsidRDefault="00CE4BFD" w:rsidP="00CE4BFD">
            <w:pPr>
              <w:jc w:val="both"/>
              <w:rPr>
                <w:rFonts w:eastAsia="Times New Roman"/>
                <w:color w:val="000000"/>
                <w:sz w:val="20"/>
                <w:szCs w:val="20"/>
                <w:lang w:val="en-GB"/>
              </w:rPr>
            </w:pPr>
            <w:proofErr w:type="spellStart"/>
            <w:r w:rsidRPr="00A817C3">
              <w:rPr>
                <w:color w:val="000000"/>
                <w:sz w:val="20"/>
                <w:szCs w:val="20"/>
                <w:lang w:val="en-GB"/>
              </w:rPr>
              <w:t>Cambodge</w:t>
            </w:r>
            <w:proofErr w:type="spellEnd"/>
            <w:r w:rsidRPr="00A817C3">
              <w:rPr>
                <w:color w:val="000000"/>
                <w:sz w:val="20"/>
                <w:szCs w:val="20"/>
                <w:lang w:val="en-GB"/>
              </w:rPr>
              <w:t>, RDP du Laos, Vietnam</w:t>
            </w:r>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Fleuve</w:t>
            </w:r>
            <w:proofErr w:type="spellEnd"/>
            <w:r>
              <w:rPr>
                <w:color w:val="000000"/>
                <w:sz w:val="20"/>
                <w:szCs w:val="20"/>
              </w:rPr>
              <w:t xml:space="preserve"> </w:t>
            </w:r>
            <w:proofErr w:type="spellStart"/>
            <w:r>
              <w:rPr>
                <w:color w:val="000000"/>
                <w:sz w:val="20"/>
                <w:szCs w:val="20"/>
              </w:rPr>
              <w:t>Mékong</w:t>
            </w:r>
            <w:proofErr w:type="spellEnd"/>
          </w:p>
        </w:tc>
        <w:tc>
          <w:tcPr>
            <w:tcW w:w="1417" w:type="dxa"/>
            <w:shd w:val="clear" w:color="auto" w:fill="auto"/>
            <w:vAlign w:val="center"/>
            <w:hideMark/>
          </w:tcPr>
          <w:p w:rsidR="00CE4BFD" w:rsidRPr="006720AD" w:rsidRDefault="00CE4BFD" w:rsidP="00CE4BFD">
            <w:pPr>
              <w:jc w:val="both"/>
              <w:rPr>
                <w:rFonts w:eastAsia="Times New Roman"/>
                <w:color w:val="000000"/>
                <w:sz w:val="20"/>
                <w:szCs w:val="20"/>
              </w:rPr>
            </w:pPr>
            <w:r>
              <w:rPr>
                <w:color w:val="000000"/>
                <w:sz w:val="20"/>
                <w:szCs w:val="20"/>
              </w:rPr>
              <w:t>125</w:t>
            </w:r>
          </w:p>
        </w:tc>
        <w:tc>
          <w:tcPr>
            <w:tcW w:w="2693" w:type="dxa"/>
            <w:shd w:val="clear" w:color="auto" w:fill="auto"/>
            <w:noWrap/>
            <w:vAlign w:val="bottom"/>
            <w:hideMark/>
          </w:tcPr>
          <w:p w:rsidR="00CE4BFD" w:rsidRPr="006720AD" w:rsidRDefault="00CE4BFD" w:rsidP="00CE4BFD">
            <w:pPr>
              <w:jc w:val="both"/>
              <w:rPr>
                <w:rFonts w:eastAsia="Times New Roman"/>
                <w:color w:val="000000"/>
                <w:sz w:val="20"/>
                <w:szCs w:val="20"/>
              </w:rPr>
            </w:pPr>
            <w:r>
              <w:rPr>
                <w:color w:val="000000"/>
                <w:sz w:val="20"/>
                <w:szCs w:val="20"/>
              </w:rPr>
              <w:t>Beasley et al 2007</w:t>
            </w:r>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5</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Inde</w:t>
            </w:r>
            <w:proofErr w:type="spellEnd"/>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 xml:space="preserve">Lac </w:t>
            </w:r>
            <w:proofErr w:type="spellStart"/>
            <w:r>
              <w:rPr>
                <w:color w:val="000000"/>
                <w:sz w:val="20"/>
                <w:szCs w:val="20"/>
              </w:rPr>
              <w:t>Chilika</w:t>
            </w:r>
            <w:proofErr w:type="spellEnd"/>
          </w:p>
          <w:p w:rsidR="00CE4BFD" w:rsidRPr="006720AD" w:rsidRDefault="00CE4BFD" w:rsidP="00CE4BFD">
            <w:pPr>
              <w:jc w:val="both"/>
              <w:rPr>
                <w:rFonts w:eastAsia="Times New Roman"/>
                <w:color w:val="000000"/>
                <w:sz w:val="20"/>
                <w:szCs w:val="20"/>
              </w:rPr>
            </w:pPr>
          </w:p>
          <w:p w:rsidR="00CE4BFD" w:rsidRPr="006720AD" w:rsidRDefault="00CE4BFD" w:rsidP="00CE4BFD">
            <w:pPr>
              <w:jc w:val="both"/>
              <w:rPr>
                <w:rFonts w:eastAsia="Times New Roman"/>
                <w:color w:val="000000"/>
                <w:sz w:val="20"/>
                <w:szCs w:val="20"/>
              </w:rPr>
            </w:pPr>
          </w:p>
          <w:p w:rsidR="00CE4BFD" w:rsidRPr="006720AD" w:rsidRDefault="00CE4BFD" w:rsidP="00CE4BFD">
            <w:pPr>
              <w:jc w:val="both"/>
              <w:rPr>
                <w:rFonts w:eastAsia="Times New Roman"/>
                <w:color w:val="000000"/>
                <w:sz w:val="20"/>
                <w:szCs w:val="20"/>
              </w:rPr>
            </w:pPr>
          </w:p>
          <w:p w:rsidR="00CE4BFD" w:rsidRPr="006720AD" w:rsidRDefault="00CE4BFD" w:rsidP="00CE4BFD">
            <w:pPr>
              <w:jc w:val="both"/>
              <w:rPr>
                <w:rFonts w:eastAsia="Times New Roman"/>
                <w:color w:val="000000"/>
                <w:sz w:val="20"/>
                <w:szCs w:val="20"/>
              </w:rPr>
            </w:pPr>
          </w:p>
          <w:p w:rsidR="00CE4BFD" w:rsidRPr="006720AD" w:rsidRDefault="00CE4BFD" w:rsidP="00CE4BFD">
            <w:pPr>
              <w:jc w:val="both"/>
              <w:rPr>
                <w:rFonts w:eastAsia="Times New Roman"/>
                <w:color w:val="000000"/>
                <w:sz w:val="20"/>
                <w:szCs w:val="20"/>
              </w:rPr>
            </w:pPr>
          </w:p>
          <w:p w:rsidR="00CE4BFD" w:rsidRPr="006720AD" w:rsidRDefault="00CE4BFD" w:rsidP="00CE4BFD">
            <w:pPr>
              <w:jc w:val="both"/>
              <w:rPr>
                <w:rFonts w:eastAsia="Times New Roman"/>
                <w:color w:val="000000"/>
                <w:sz w:val="20"/>
                <w:szCs w:val="20"/>
              </w:rPr>
            </w:pPr>
          </w:p>
          <w:p w:rsidR="00CE4BFD" w:rsidRPr="006720AD" w:rsidRDefault="00CE4BFD" w:rsidP="00CE4BFD">
            <w:pPr>
              <w:jc w:val="both"/>
              <w:rPr>
                <w:rFonts w:eastAsia="Times New Roman"/>
                <w:color w:val="000000"/>
                <w:sz w:val="20"/>
                <w:szCs w:val="20"/>
              </w:rPr>
            </w:pPr>
          </w:p>
          <w:p w:rsidR="00CE4BFD" w:rsidRPr="006720AD" w:rsidRDefault="00CE4BFD" w:rsidP="00CE4BFD">
            <w:pPr>
              <w:jc w:val="both"/>
              <w:rPr>
                <w:rFonts w:eastAsia="Times New Roman"/>
                <w:color w:val="000000"/>
                <w:sz w:val="20"/>
                <w:szCs w:val="20"/>
              </w:rPr>
            </w:pPr>
          </w:p>
          <w:p w:rsidR="00CE4BFD" w:rsidRPr="006720AD" w:rsidRDefault="00CE4BFD" w:rsidP="00CE4BFD">
            <w:pPr>
              <w:jc w:val="both"/>
              <w:rPr>
                <w:rFonts w:eastAsia="Times New Roman"/>
                <w:color w:val="000000"/>
                <w:sz w:val="20"/>
                <w:szCs w:val="20"/>
              </w:rPr>
            </w:pPr>
            <w:r>
              <w:rPr>
                <w:color w:val="000000"/>
                <w:sz w:val="20"/>
                <w:szCs w:val="20"/>
              </w:rPr>
              <w:t>Sundarbans</w:t>
            </w:r>
          </w:p>
        </w:tc>
        <w:tc>
          <w:tcPr>
            <w:tcW w:w="1417" w:type="dxa"/>
            <w:shd w:val="clear" w:color="auto" w:fill="auto"/>
            <w:vAlign w:val="center"/>
            <w:hideMark/>
          </w:tcPr>
          <w:p w:rsidR="00CE4BFD" w:rsidRPr="006720AD" w:rsidRDefault="00CE4BFD" w:rsidP="00CE4BFD">
            <w:pPr>
              <w:ind w:right="-20"/>
              <w:jc w:val="both"/>
              <w:rPr>
                <w:rFonts w:eastAsia="Times New Roman"/>
                <w:sz w:val="20"/>
                <w:szCs w:val="20"/>
              </w:rPr>
            </w:pPr>
            <w:r>
              <w:rPr>
                <w:sz w:val="20"/>
                <w:szCs w:val="20"/>
              </w:rPr>
              <w:t xml:space="preserve">85 </w:t>
            </w:r>
          </w:p>
          <w:p w:rsidR="00CE4BFD" w:rsidRPr="006720AD" w:rsidRDefault="00CE4BFD" w:rsidP="00CE4BFD">
            <w:pPr>
              <w:ind w:right="-20"/>
              <w:jc w:val="both"/>
              <w:rPr>
                <w:rFonts w:eastAsia="Times New Roman"/>
                <w:sz w:val="20"/>
                <w:szCs w:val="20"/>
              </w:rPr>
            </w:pPr>
            <w:r>
              <w:rPr>
                <w:sz w:val="20"/>
                <w:szCs w:val="20"/>
              </w:rPr>
              <w:t>131</w:t>
            </w:r>
          </w:p>
          <w:p w:rsidR="00CE4BFD" w:rsidRPr="006720AD" w:rsidRDefault="00CE4BFD" w:rsidP="00CE4BFD">
            <w:pPr>
              <w:ind w:left="102" w:right="-20"/>
              <w:jc w:val="both"/>
              <w:rPr>
                <w:rFonts w:eastAsia="Times New Roman"/>
                <w:sz w:val="20"/>
                <w:szCs w:val="20"/>
              </w:rPr>
            </w:pPr>
            <w:r>
              <w:rPr>
                <w:sz w:val="20"/>
                <w:szCs w:val="20"/>
              </w:rPr>
              <w:t>135</w:t>
            </w:r>
          </w:p>
          <w:p w:rsidR="00CE4BFD" w:rsidRPr="006720AD" w:rsidRDefault="00CE4BFD" w:rsidP="00CE4BFD">
            <w:pPr>
              <w:spacing w:before="1"/>
              <w:ind w:left="102" w:right="-20"/>
              <w:jc w:val="both"/>
              <w:rPr>
                <w:rFonts w:eastAsia="Times New Roman"/>
                <w:sz w:val="20"/>
                <w:szCs w:val="20"/>
              </w:rPr>
            </w:pPr>
            <w:r>
              <w:rPr>
                <w:sz w:val="20"/>
                <w:szCs w:val="20"/>
              </w:rPr>
              <w:t>138</w:t>
            </w:r>
          </w:p>
          <w:p w:rsidR="00CE4BFD" w:rsidRPr="006720AD" w:rsidRDefault="00CE4BFD" w:rsidP="00CE4BFD">
            <w:pPr>
              <w:spacing w:before="1"/>
              <w:ind w:left="102" w:right="-20"/>
              <w:jc w:val="both"/>
              <w:rPr>
                <w:rFonts w:eastAsia="Times New Roman"/>
                <w:sz w:val="20"/>
                <w:szCs w:val="20"/>
              </w:rPr>
            </w:pPr>
            <w:r>
              <w:rPr>
                <w:sz w:val="20"/>
                <w:szCs w:val="20"/>
              </w:rPr>
              <w:t>145</w:t>
            </w:r>
          </w:p>
          <w:p w:rsidR="00CE4BFD" w:rsidRPr="006720AD" w:rsidRDefault="00CE4BFD" w:rsidP="00CE4BFD">
            <w:pPr>
              <w:jc w:val="both"/>
              <w:rPr>
                <w:rFonts w:eastAsia="Times New Roman"/>
                <w:sz w:val="20"/>
                <w:szCs w:val="20"/>
              </w:rPr>
            </w:pPr>
            <w:r>
              <w:rPr>
                <w:sz w:val="20"/>
                <w:szCs w:val="20"/>
              </w:rPr>
              <w:t>104-112</w:t>
            </w:r>
          </w:p>
          <w:p w:rsidR="00CE4BFD" w:rsidRPr="006720AD" w:rsidRDefault="00CE4BFD" w:rsidP="00CE4BFD">
            <w:pPr>
              <w:jc w:val="both"/>
              <w:rPr>
                <w:rFonts w:eastAsia="Times New Roman"/>
                <w:color w:val="000000"/>
                <w:sz w:val="20"/>
                <w:szCs w:val="20"/>
              </w:rPr>
            </w:pPr>
            <w:r>
              <w:rPr>
                <w:color w:val="000000"/>
                <w:sz w:val="20"/>
                <w:szCs w:val="20"/>
              </w:rPr>
              <w:t>109</w:t>
            </w:r>
          </w:p>
          <w:p w:rsidR="00CE4BFD" w:rsidRPr="006720AD" w:rsidRDefault="00CE4BFD" w:rsidP="00CE4BFD">
            <w:pPr>
              <w:jc w:val="both"/>
              <w:rPr>
                <w:rFonts w:eastAsia="Times New Roman"/>
                <w:color w:val="000000"/>
                <w:sz w:val="20"/>
                <w:szCs w:val="20"/>
              </w:rPr>
            </w:pPr>
            <w:proofErr w:type="spellStart"/>
            <w:r>
              <w:rPr>
                <w:color w:val="000000"/>
                <w:sz w:val="20"/>
                <w:szCs w:val="20"/>
              </w:rPr>
              <w:t>Présence</w:t>
            </w:r>
            <w:proofErr w:type="spellEnd"/>
            <w:r>
              <w:rPr>
                <w:color w:val="000000"/>
                <w:sz w:val="20"/>
                <w:szCs w:val="20"/>
              </w:rPr>
              <w:t xml:space="preserve"> </w:t>
            </w:r>
            <w:proofErr w:type="spellStart"/>
            <w:r>
              <w:rPr>
                <w:color w:val="000000"/>
                <w:sz w:val="20"/>
                <w:szCs w:val="20"/>
              </w:rPr>
              <w:t>confirmée</w:t>
            </w:r>
            <w:proofErr w:type="spellEnd"/>
          </w:p>
        </w:tc>
        <w:tc>
          <w:tcPr>
            <w:tcW w:w="2693" w:type="dxa"/>
            <w:shd w:val="clear" w:color="auto" w:fill="auto"/>
            <w:vAlign w:val="center"/>
            <w:hideMark/>
          </w:tcPr>
          <w:p w:rsidR="00CE4BFD" w:rsidRPr="00CE4BFD" w:rsidRDefault="00CE4BFD" w:rsidP="00CE4BFD">
            <w:pPr>
              <w:jc w:val="both"/>
              <w:rPr>
                <w:rFonts w:eastAsia="Times New Roman"/>
                <w:color w:val="000000"/>
                <w:sz w:val="20"/>
                <w:szCs w:val="20"/>
                <w:lang w:val="fr-FR"/>
              </w:rPr>
            </w:pPr>
            <w:proofErr w:type="spellStart"/>
            <w:r w:rsidRPr="00CE4BFD">
              <w:rPr>
                <w:color w:val="000000"/>
                <w:sz w:val="20"/>
                <w:szCs w:val="20"/>
                <w:lang w:val="fr-FR"/>
              </w:rPr>
              <w:t>Pattnaik</w:t>
            </w:r>
            <w:proofErr w:type="spellEnd"/>
            <w:r w:rsidRPr="00CE4BFD">
              <w:rPr>
                <w:color w:val="000000"/>
                <w:sz w:val="20"/>
                <w:szCs w:val="20"/>
                <w:lang w:val="fr-FR"/>
              </w:rPr>
              <w:t xml:space="preserve"> et al 2007</w:t>
            </w:r>
          </w:p>
          <w:p w:rsidR="00CE4BFD" w:rsidRPr="00CE4BFD" w:rsidRDefault="00CE4BFD" w:rsidP="00CE4BFD">
            <w:pPr>
              <w:jc w:val="both"/>
              <w:rPr>
                <w:rFonts w:eastAsia="Times New Roman"/>
                <w:color w:val="000000"/>
                <w:sz w:val="20"/>
                <w:szCs w:val="20"/>
                <w:lang w:val="fr-FR"/>
              </w:rPr>
            </w:pPr>
          </w:p>
          <w:p w:rsidR="00CE4BFD" w:rsidRPr="00CE4BFD" w:rsidRDefault="00CE4BFD" w:rsidP="00CE4BFD">
            <w:pPr>
              <w:jc w:val="both"/>
              <w:rPr>
                <w:rFonts w:eastAsia="Times New Roman"/>
                <w:color w:val="000000"/>
                <w:sz w:val="20"/>
                <w:szCs w:val="20"/>
                <w:lang w:val="fr-FR"/>
              </w:rPr>
            </w:pPr>
            <w:r w:rsidRPr="00CE4BFD">
              <w:rPr>
                <w:color w:val="000000"/>
                <w:sz w:val="20"/>
                <w:szCs w:val="20"/>
                <w:lang w:val="fr-FR"/>
              </w:rPr>
              <w:t>CDA</w:t>
            </w:r>
          </w:p>
          <w:p w:rsidR="00CE4BFD" w:rsidRPr="00CE4BFD" w:rsidRDefault="00CE4BFD" w:rsidP="00CE4BFD">
            <w:pPr>
              <w:jc w:val="both"/>
              <w:rPr>
                <w:rFonts w:eastAsia="Times New Roman"/>
                <w:color w:val="000000"/>
                <w:sz w:val="20"/>
                <w:szCs w:val="20"/>
                <w:lang w:val="fr-FR"/>
              </w:rPr>
            </w:pPr>
            <w:r w:rsidRPr="00CE4BFD">
              <w:rPr>
                <w:color w:val="000000"/>
                <w:sz w:val="20"/>
                <w:szCs w:val="20"/>
                <w:lang w:val="fr-FR"/>
              </w:rPr>
              <w:t>CDA</w:t>
            </w:r>
          </w:p>
          <w:p w:rsidR="00CE4BFD" w:rsidRPr="00CE4BFD" w:rsidRDefault="00CE4BFD" w:rsidP="00CE4BFD">
            <w:pPr>
              <w:jc w:val="both"/>
              <w:rPr>
                <w:rFonts w:eastAsia="Times New Roman"/>
                <w:color w:val="000000"/>
                <w:sz w:val="20"/>
                <w:szCs w:val="20"/>
                <w:lang w:val="fr-FR"/>
              </w:rPr>
            </w:pPr>
            <w:r w:rsidRPr="00CE4BFD">
              <w:rPr>
                <w:color w:val="000000"/>
                <w:sz w:val="20"/>
                <w:szCs w:val="20"/>
                <w:lang w:val="fr-FR"/>
              </w:rPr>
              <w:t>CDA</w:t>
            </w:r>
          </w:p>
          <w:p w:rsidR="00CE4BFD" w:rsidRPr="00CE4BFD" w:rsidRDefault="00CE4BFD" w:rsidP="00CE4BFD">
            <w:pPr>
              <w:jc w:val="both"/>
              <w:rPr>
                <w:rFonts w:eastAsia="Times New Roman"/>
                <w:color w:val="000000"/>
                <w:sz w:val="20"/>
                <w:szCs w:val="20"/>
                <w:lang w:val="fr-FR"/>
              </w:rPr>
            </w:pPr>
            <w:r w:rsidRPr="00CE4BFD">
              <w:rPr>
                <w:color w:val="000000"/>
                <w:sz w:val="20"/>
                <w:szCs w:val="20"/>
                <w:lang w:val="fr-FR"/>
              </w:rPr>
              <w:t>IANS</w:t>
            </w:r>
          </w:p>
          <w:p w:rsidR="00CE4BFD" w:rsidRPr="00CE4BFD" w:rsidRDefault="00CE4BFD" w:rsidP="00CE4BFD">
            <w:pPr>
              <w:jc w:val="both"/>
              <w:rPr>
                <w:rFonts w:eastAsia="Times New Roman"/>
                <w:color w:val="000000"/>
                <w:sz w:val="20"/>
                <w:szCs w:val="20"/>
                <w:lang w:val="fr-FR"/>
              </w:rPr>
            </w:pPr>
            <w:proofErr w:type="spellStart"/>
            <w:r w:rsidRPr="00CE4BFD">
              <w:rPr>
                <w:color w:val="000000"/>
                <w:sz w:val="20"/>
                <w:szCs w:val="20"/>
                <w:lang w:val="fr-FR"/>
              </w:rPr>
              <w:t>Sutaria</w:t>
            </w:r>
            <w:proofErr w:type="spellEnd"/>
            <w:r w:rsidRPr="00CE4BFD">
              <w:rPr>
                <w:color w:val="000000"/>
                <w:sz w:val="20"/>
                <w:szCs w:val="20"/>
                <w:lang w:val="fr-FR"/>
              </w:rPr>
              <w:t xml:space="preserve"> 2009</w:t>
            </w:r>
          </w:p>
          <w:p w:rsidR="00CE4BFD" w:rsidRPr="00CE4BFD" w:rsidRDefault="00CE4BFD" w:rsidP="00CE4BFD">
            <w:pPr>
              <w:jc w:val="both"/>
              <w:rPr>
                <w:rFonts w:eastAsia="Times New Roman"/>
                <w:color w:val="000000"/>
                <w:sz w:val="20"/>
                <w:szCs w:val="20"/>
                <w:lang w:val="fr-FR"/>
              </w:rPr>
            </w:pPr>
            <w:proofErr w:type="spellStart"/>
            <w:r w:rsidRPr="00CE4BFD">
              <w:rPr>
                <w:color w:val="000000"/>
                <w:sz w:val="20"/>
                <w:szCs w:val="20"/>
                <w:lang w:val="fr-FR"/>
              </w:rPr>
              <w:t>Sutaria</w:t>
            </w:r>
            <w:proofErr w:type="spellEnd"/>
            <w:r w:rsidRPr="00CE4BFD">
              <w:rPr>
                <w:color w:val="000000"/>
                <w:sz w:val="20"/>
                <w:szCs w:val="20"/>
                <w:lang w:val="fr-FR"/>
              </w:rPr>
              <w:t xml:space="preserve"> et Marsh 2011</w:t>
            </w:r>
          </w:p>
          <w:p w:rsidR="00CE4BFD" w:rsidRPr="00CE4BFD" w:rsidRDefault="00CE4BFD" w:rsidP="00CE4BFD">
            <w:pPr>
              <w:jc w:val="both"/>
              <w:rPr>
                <w:rFonts w:eastAsia="Times New Roman"/>
                <w:color w:val="000000"/>
                <w:sz w:val="20"/>
                <w:szCs w:val="20"/>
                <w:lang w:val="fr-FR"/>
              </w:rPr>
            </w:pPr>
          </w:p>
          <w:p w:rsidR="00CE4BFD" w:rsidRPr="006720AD" w:rsidRDefault="00CE4BFD" w:rsidP="00CE4BFD">
            <w:pPr>
              <w:jc w:val="both"/>
              <w:rPr>
                <w:rFonts w:eastAsia="Times New Roman"/>
                <w:color w:val="000000"/>
                <w:sz w:val="20"/>
                <w:szCs w:val="20"/>
              </w:rPr>
            </w:pPr>
            <w:r>
              <w:rPr>
                <w:color w:val="000000"/>
                <w:sz w:val="20"/>
                <w:szCs w:val="20"/>
              </w:rPr>
              <w:t>WII 2018</w:t>
            </w:r>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6</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Indonésie</w:t>
            </w:r>
            <w:proofErr w:type="spellEnd"/>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Fleuve</w:t>
            </w:r>
            <w:proofErr w:type="spellEnd"/>
            <w:r>
              <w:rPr>
                <w:color w:val="000000"/>
                <w:sz w:val="20"/>
                <w:szCs w:val="20"/>
              </w:rPr>
              <w:t xml:space="preserve"> Mahakam</w:t>
            </w:r>
          </w:p>
        </w:tc>
        <w:tc>
          <w:tcPr>
            <w:tcW w:w="1417" w:type="dxa"/>
            <w:shd w:val="clear" w:color="auto" w:fill="auto"/>
            <w:vAlign w:val="center"/>
            <w:hideMark/>
          </w:tcPr>
          <w:p w:rsidR="00CE4BFD" w:rsidRPr="006720AD" w:rsidRDefault="00CE4BFD" w:rsidP="00CE4BFD">
            <w:pPr>
              <w:jc w:val="both"/>
              <w:rPr>
                <w:rFonts w:eastAsia="Times New Roman"/>
                <w:color w:val="000000"/>
                <w:sz w:val="20"/>
                <w:szCs w:val="20"/>
              </w:rPr>
            </w:pPr>
            <w:r>
              <w:rPr>
                <w:color w:val="000000"/>
                <w:sz w:val="20"/>
                <w:szCs w:val="20"/>
              </w:rPr>
              <w:t>83</w:t>
            </w:r>
          </w:p>
        </w:tc>
        <w:tc>
          <w:tcPr>
            <w:tcW w:w="2693" w:type="dxa"/>
            <w:shd w:val="clear" w:color="auto" w:fill="auto"/>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Kreb</w:t>
            </w:r>
            <w:proofErr w:type="spellEnd"/>
            <w:r>
              <w:rPr>
                <w:color w:val="000000"/>
                <w:sz w:val="20"/>
                <w:szCs w:val="20"/>
              </w:rPr>
              <w:t xml:space="preserve"> et </w:t>
            </w:r>
            <w:proofErr w:type="spellStart"/>
            <w:r>
              <w:rPr>
                <w:color w:val="000000"/>
                <w:sz w:val="20"/>
                <w:szCs w:val="20"/>
              </w:rPr>
              <w:t>Boudino</w:t>
            </w:r>
            <w:proofErr w:type="spellEnd"/>
            <w:r>
              <w:rPr>
                <w:color w:val="000000"/>
                <w:sz w:val="20"/>
                <w:szCs w:val="20"/>
              </w:rPr>
              <w:t xml:space="preserve"> 2018</w:t>
            </w:r>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7</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Indonésie</w:t>
            </w:r>
            <w:proofErr w:type="spellEnd"/>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Baie</w:t>
            </w:r>
            <w:proofErr w:type="spellEnd"/>
            <w:r>
              <w:rPr>
                <w:color w:val="000000"/>
                <w:sz w:val="20"/>
                <w:szCs w:val="20"/>
              </w:rPr>
              <w:t xml:space="preserve"> de Banten</w:t>
            </w:r>
          </w:p>
        </w:tc>
        <w:tc>
          <w:tcPr>
            <w:tcW w:w="1417" w:type="dxa"/>
            <w:shd w:val="clear" w:color="auto" w:fill="auto"/>
            <w:vAlign w:val="center"/>
            <w:hideMark/>
          </w:tcPr>
          <w:p w:rsidR="00CE4BFD" w:rsidRPr="006720AD" w:rsidRDefault="00CE4BFD" w:rsidP="00CE4BFD">
            <w:pPr>
              <w:jc w:val="both"/>
              <w:rPr>
                <w:rFonts w:eastAsia="Times New Roman"/>
                <w:color w:val="000000"/>
                <w:sz w:val="20"/>
                <w:szCs w:val="20"/>
              </w:rPr>
            </w:pPr>
            <w:r>
              <w:rPr>
                <w:color w:val="000000"/>
                <w:sz w:val="20"/>
                <w:szCs w:val="20"/>
              </w:rPr>
              <w:t>10-15</w:t>
            </w:r>
          </w:p>
        </w:tc>
        <w:tc>
          <w:tcPr>
            <w:tcW w:w="2693" w:type="dxa"/>
            <w:shd w:val="clear" w:color="auto" w:fill="auto"/>
            <w:vAlign w:val="center"/>
            <w:hideMark/>
          </w:tcPr>
          <w:p w:rsidR="00CE4BFD" w:rsidRPr="006720AD" w:rsidRDefault="00CE4BFD" w:rsidP="00CE4BFD">
            <w:pPr>
              <w:jc w:val="both"/>
              <w:rPr>
                <w:rFonts w:eastAsia="Times New Roman"/>
                <w:color w:val="000000"/>
                <w:sz w:val="20"/>
                <w:szCs w:val="20"/>
              </w:rPr>
            </w:pPr>
            <w:r>
              <w:rPr>
                <w:color w:val="000000"/>
                <w:sz w:val="20"/>
                <w:szCs w:val="20"/>
              </w:rPr>
              <w:t>Khalifa et al 2015</w:t>
            </w:r>
          </w:p>
        </w:tc>
      </w:tr>
      <w:tr w:rsidR="00CE4BFD" w:rsidRPr="00CE4BF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8</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Indonésie</w:t>
            </w:r>
            <w:proofErr w:type="spellEnd"/>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Baie</w:t>
            </w:r>
            <w:proofErr w:type="spellEnd"/>
            <w:r>
              <w:rPr>
                <w:color w:val="000000"/>
                <w:sz w:val="20"/>
                <w:szCs w:val="20"/>
              </w:rPr>
              <w:t xml:space="preserve"> de Balikpapan</w:t>
            </w:r>
          </w:p>
        </w:tc>
        <w:tc>
          <w:tcPr>
            <w:tcW w:w="1417" w:type="dxa"/>
            <w:shd w:val="clear" w:color="auto" w:fill="auto"/>
            <w:vAlign w:val="center"/>
            <w:hideMark/>
          </w:tcPr>
          <w:p w:rsidR="00CE4BFD" w:rsidRPr="006720AD" w:rsidRDefault="00CE4BFD" w:rsidP="00CE4BFD">
            <w:pPr>
              <w:jc w:val="both"/>
              <w:rPr>
                <w:rFonts w:eastAsia="Times New Roman"/>
                <w:color w:val="000000"/>
                <w:sz w:val="20"/>
                <w:szCs w:val="20"/>
              </w:rPr>
            </w:pPr>
            <w:r>
              <w:rPr>
                <w:color w:val="000000"/>
                <w:sz w:val="20"/>
                <w:szCs w:val="20"/>
              </w:rPr>
              <w:t>56</w:t>
            </w:r>
          </w:p>
        </w:tc>
        <w:tc>
          <w:tcPr>
            <w:tcW w:w="2693" w:type="dxa"/>
            <w:shd w:val="clear" w:color="auto" w:fill="auto"/>
            <w:vAlign w:val="center"/>
            <w:hideMark/>
          </w:tcPr>
          <w:p w:rsidR="00CE4BFD" w:rsidRPr="00CE4BFD" w:rsidRDefault="00CE4BFD" w:rsidP="00CE4BFD">
            <w:pPr>
              <w:jc w:val="both"/>
              <w:rPr>
                <w:rFonts w:eastAsia="Times New Roman"/>
                <w:color w:val="000000"/>
                <w:sz w:val="20"/>
                <w:szCs w:val="20"/>
                <w:lang w:val="fr-FR"/>
              </w:rPr>
            </w:pPr>
            <w:proofErr w:type="spellStart"/>
            <w:r w:rsidRPr="00CE4BFD">
              <w:rPr>
                <w:color w:val="000000"/>
                <w:sz w:val="20"/>
                <w:szCs w:val="20"/>
                <w:lang w:val="fr-FR"/>
              </w:rPr>
              <w:t>Kreb</w:t>
            </w:r>
            <w:proofErr w:type="spellEnd"/>
            <w:r w:rsidRPr="00CE4BFD">
              <w:rPr>
                <w:color w:val="000000"/>
                <w:sz w:val="20"/>
                <w:szCs w:val="20"/>
                <w:lang w:val="fr-FR"/>
              </w:rPr>
              <w:t xml:space="preserve"> et al 2019 - communication personnelle</w:t>
            </w:r>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9</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Malaisie</w:t>
            </w:r>
            <w:proofErr w:type="spellEnd"/>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Baie</w:t>
            </w:r>
            <w:proofErr w:type="spellEnd"/>
            <w:r>
              <w:rPr>
                <w:color w:val="000000"/>
                <w:sz w:val="20"/>
                <w:szCs w:val="20"/>
              </w:rPr>
              <w:t xml:space="preserve"> de Kuching, Sarawak</w:t>
            </w:r>
          </w:p>
        </w:tc>
        <w:tc>
          <w:tcPr>
            <w:tcW w:w="1417" w:type="dxa"/>
            <w:shd w:val="clear" w:color="auto" w:fill="auto"/>
            <w:hideMark/>
          </w:tcPr>
          <w:p w:rsidR="00CE4BFD" w:rsidRPr="006720AD" w:rsidRDefault="00CE4BFD" w:rsidP="00CE4BFD">
            <w:pPr>
              <w:jc w:val="both"/>
              <w:rPr>
                <w:rFonts w:eastAsia="Times New Roman"/>
                <w:color w:val="000000"/>
                <w:sz w:val="20"/>
                <w:szCs w:val="20"/>
              </w:rPr>
            </w:pPr>
            <w:r>
              <w:rPr>
                <w:color w:val="000000"/>
                <w:sz w:val="20"/>
                <w:szCs w:val="20"/>
              </w:rPr>
              <w:t>149</w:t>
            </w:r>
          </w:p>
        </w:tc>
        <w:tc>
          <w:tcPr>
            <w:tcW w:w="2693" w:type="dxa"/>
            <w:shd w:val="clear" w:color="auto" w:fill="auto"/>
            <w:hideMark/>
          </w:tcPr>
          <w:p w:rsidR="00CE4BFD" w:rsidRPr="006720AD" w:rsidRDefault="00CE4BFD" w:rsidP="00CE4BFD">
            <w:pPr>
              <w:jc w:val="both"/>
              <w:rPr>
                <w:rFonts w:eastAsia="Times New Roman"/>
                <w:color w:val="000000"/>
                <w:sz w:val="20"/>
                <w:szCs w:val="20"/>
              </w:rPr>
            </w:pPr>
            <w:r>
              <w:rPr>
                <w:color w:val="000000"/>
                <w:sz w:val="20"/>
                <w:szCs w:val="20"/>
              </w:rPr>
              <w:t>Minton et al 2013</w:t>
            </w:r>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10</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Malaisie</w:t>
            </w:r>
            <w:proofErr w:type="spellEnd"/>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Baie</w:t>
            </w:r>
            <w:proofErr w:type="spellEnd"/>
            <w:r>
              <w:rPr>
                <w:color w:val="000000"/>
                <w:sz w:val="20"/>
                <w:szCs w:val="20"/>
              </w:rPr>
              <w:t xml:space="preserve"> de Cowie, Sabah</w:t>
            </w:r>
          </w:p>
        </w:tc>
        <w:tc>
          <w:tcPr>
            <w:tcW w:w="1417" w:type="dxa"/>
            <w:shd w:val="clear" w:color="auto" w:fill="auto"/>
            <w:noWrap/>
            <w:vAlign w:val="bottom"/>
            <w:hideMark/>
          </w:tcPr>
          <w:p w:rsidR="00CE4BFD" w:rsidRPr="006720AD" w:rsidRDefault="00CE4BFD" w:rsidP="00CE4BFD">
            <w:pPr>
              <w:jc w:val="both"/>
              <w:rPr>
                <w:rFonts w:eastAsia="Times New Roman"/>
                <w:color w:val="000000"/>
                <w:sz w:val="20"/>
                <w:szCs w:val="20"/>
              </w:rPr>
            </w:pPr>
            <w:r>
              <w:rPr>
                <w:color w:val="000000"/>
                <w:sz w:val="20"/>
                <w:szCs w:val="20"/>
              </w:rPr>
              <w:t>31</w:t>
            </w:r>
          </w:p>
        </w:tc>
        <w:tc>
          <w:tcPr>
            <w:tcW w:w="2693" w:type="dxa"/>
            <w:shd w:val="clear" w:color="auto" w:fill="auto"/>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Woan</w:t>
            </w:r>
            <w:proofErr w:type="spellEnd"/>
            <w:r>
              <w:rPr>
                <w:color w:val="000000"/>
                <w:sz w:val="20"/>
                <w:szCs w:val="20"/>
              </w:rPr>
              <w:t xml:space="preserve"> et al 2013</w:t>
            </w:r>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11</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Malaisie</w:t>
            </w:r>
            <w:proofErr w:type="spellEnd"/>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Baie</w:t>
            </w:r>
            <w:proofErr w:type="spellEnd"/>
            <w:r>
              <w:rPr>
                <w:color w:val="000000"/>
                <w:sz w:val="20"/>
                <w:szCs w:val="20"/>
              </w:rPr>
              <w:t xml:space="preserve"> de Brunei, </w:t>
            </w:r>
            <w:proofErr w:type="spellStart"/>
            <w:r>
              <w:rPr>
                <w:color w:val="000000"/>
                <w:sz w:val="20"/>
                <w:szCs w:val="20"/>
              </w:rPr>
              <w:t>Malaisie</w:t>
            </w:r>
            <w:proofErr w:type="spellEnd"/>
          </w:p>
        </w:tc>
        <w:tc>
          <w:tcPr>
            <w:tcW w:w="1417" w:type="dxa"/>
            <w:shd w:val="clear" w:color="auto" w:fill="auto"/>
            <w:noWrap/>
            <w:vAlign w:val="bottom"/>
            <w:hideMark/>
          </w:tcPr>
          <w:p w:rsidR="00CE4BFD" w:rsidRPr="006720AD" w:rsidRDefault="00CE4BFD" w:rsidP="00CE4BFD">
            <w:pPr>
              <w:jc w:val="both"/>
              <w:rPr>
                <w:rFonts w:eastAsia="Times New Roman"/>
                <w:color w:val="000000"/>
                <w:sz w:val="20"/>
                <w:szCs w:val="20"/>
              </w:rPr>
            </w:pPr>
            <w:r>
              <w:rPr>
                <w:color w:val="000000"/>
                <w:sz w:val="20"/>
                <w:szCs w:val="20"/>
              </w:rPr>
              <w:t>41</w:t>
            </w:r>
          </w:p>
        </w:tc>
        <w:tc>
          <w:tcPr>
            <w:tcW w:w="2693" w:type="dxa"/>
            <w:shd w:val="clear" w:color="auto" w:fill="auto"/>
            <w:vAlign w:val="center"/>
            <w:hideMark/>
          </w:tcPr>
          <w:p w:rsidR="00CE4BFD" w:rsidRPr="006720AD" w:rsidRDefault="00CE4BFD" w:rsidP="00CE4BFD">
            <w:pPr>
              <w:jc w:val="both"/>
              <w:rPr>
                <w:rFonts w:eastAsia="Times New Roman"/>
                <w:color w:val="000000"/>
                <w:sz w:val="20"/>
                <w:szCs w:val="20"/>
              </w:rPr>
            </w:pPr>
            <w:r>
              <w:rPr>
                <w:color w:val="000000"/>
                <w:sz w:val="20"/>
                <w:szCs w:val="20"/>
              </w:rPr>
              <w:t>Mahmud et al 2015</w:t>
            </w:r>
          </w:p>
        </w:tc>
      </w:tr>
      <w:tr w:rsidR="00CE4BFD" w:rsidRPr="006720AD" w:rsidTr="00CE4BFD">
        <w:trPr>
          <w:trHeight w:val="300"/>
          <w:tblHeader/>
        </w:trPr>
        <w:tc>
          <w:tcPr>
            <w:tcW w:w="509" w:type="dxa"/>
            <w:shd w:val="clear" w:color="auto" w:fill="auto"/>
            <w:noWrap/>
            <w:vAlign w:val="center"/>
          </w:tcPr>
          <w:p w:rsidR="00CE4BFD" w:rsidRPr="006720AD" w:rsidRDefault="00CE4BFD" w:rsidP="00CE4BFD">
            <w:pPr>
              <w:jc w:val="both"/>
              <w:rPr>
                <w:rFonts w:eastAsia="Times New Roman"/>
                <w:color w:val="000000"/>
                <w:sz w:val="20"/>
                <w:szCs w:val="20"/>
              </w:rPr>
            </w:pPr>
            <w:r>
              <w:rPr>
                <w:color w:val="000000"/>
                <w:sz w:val="20"/>
                <w:szCs w:val="20"/>
              </w:rPr>
              <w:t>12</w:t>
            </w:r>
          </w:p>
        </w:tc>
        <w:tc>
          <w:tcPr>
            <w:tcW w:w="2268" w:type="dxa"/>
            <w:shd w:val="clear" w:color="auto" w:fill="auto"/>
            <w:noWrap/>
            <w:vAlign w:val="center"/>
          </w:tcPr>
          <w:p w:rsidR="00CE4BFD" w:rsidRPr="006720AD" w:rsidRDefault="00CE4BFD" w:rsidP="00CE4BFD">
            <w:pPr>
              <w:jc w:val="both"/>
              <w:rPr>
                <w:rFonts w:eastAsia="Times New Roman"/>
                <w:color w:val="000000"/>
                <w:sz w:val="20"/>
                <w:szCs w:val="20"/>
              </w:rPr>
            </w:pPr>
            <w:proofErr w:type="spellStart"/>
            <w:r>
              <w:rPr>
                <w:color w:val="000000"/>
                <w:sz w:val="20"/>
                <w:szCs w:val="20"/>
              </w:rPr>
              <w:t>Malaisie</w:t>
            </w:r>
            <w:proofErr w:type="spellEnd"/>
          </w:p>
        </w:tc>
        <w:tc>
          <w:tcPr>
            <w:tcW w:w="2410" w:type="dxa"/>
            <w:shd w:val="clear" w:color="auto" w:fill="auto"/>
            <w:noWrap/>
            <w:vAlign w:val="center"/>
          </w:tcPr>
          <w:p w:rsidR="00CE4BFD" w:rsidRPr="006720AD" w:rsidRDefault="00CE4BFD" w:rsidP="00CE4BFD">
            <w:pPr>
              <w:jc w:val="both"/>
              <w:rPr>
                <w:rFonts w:eastAsia="Times New Roman"/>
                <w:color w:val="000000"/>
                <w:sz w:val="20"/>
                <w:szCs w:val="20"/>
              </w:rPr>
            </w:pPr>
            <w:proofErr w:type="spellStart"/>
            <w:r>
              <w:rPr>
                <w:color w:val="000000"/>
                <w:sz w:val="20"/>
                <w:szCs w:val="20"/>
              </w:rPr>
              <w:t>Similajau</w:t>
            </w:r>
            <w:proofErr w:type="spellEnd"/>
            <w:r>
              <w:rPr>
                <w:color w:val="000000"/>
                <w:sz w:val="20"/>
                <w:szCs w:val="20"/>
              </w:rPr>
              <w:t xml:space="preserve">-Kuala </w:t>
            </w:r>
            <w:proofErr w:type="spellStart"/>
            <w:r>
              <w:rPr>
                <w:color w:val="000000"/>
                <w:sz w:val="20"/>
                <w:szCs w:val="20"/>
              </w:rPr>
              <w:t>Nyalau</w:t>
            </w:r>
            <w:proofErr w:type="spellEnd"/>
            <w:r>
              <w:rPr>
                <w:color w:val="000000"/>
                <w:sz w:val="20"/>
                <w:szCs w:val="20"/>
              </w:rPr>
              <w:t>, Sarawak</w:t>
            </w:r>
          </w:p>
        </w:tc>
        <w:tc>
          <w:tcPr>
            <w:tcW w:w="1417" w:type="dxa"/>
            <w:shd w:val="clear" w:color="auto" w:fill="auto"/>
            <w:noWrap/>
            <w:vAlign w:val="bottom"/>
          </w:tcPr>
          <w:p w:rsidR="00CE4BFD" w:rsidRPr="006720AD" w:rsidRDefault="00CE4BFD" w:rsidP="00CE4BFD">
            <w:pPr>
              <w:jc w:val="both"/>
              <w:rPr>
                <w:rFonts w:eastAsia="Times New Roman"/>
                <w:color w:val="000000"/>
                <w:sz w:val="20"/>
                <w:szCs w:val="20"/>
              </w:rPr>
            </w:pPr>
            <w:r>
              <w:rPr>
                <w:color w:val="000000"/>
                <w:sz w:val="20"/>
                <w:szCs w:val="20"/>
              </w:rPr>
              <w:t>189</w:t>
            </w:r>
          </w:p>
        </w:tc>
        <w:tc>
          <w:tcPr>
            <w:tcW w:w="2693" w:type="dxa"/>
            <w:shd w:val="clear" w:color="auto" w:fill="auto"/>
            <w:vAlign w:val="center"/>
          </w:tcPr>
          <w:p w:rsidR="00CE4BFD" w:rsidRPr="006720AD" w:rsidRDefault="00CE4BFD" w:rsidP="00CE4BFD">
            <w:pPr>
              <w:jc w:val="both"/>
              <w:rPr>
                <w:rFonts w:eastAsia="Times New Roman"/>
                <w:color w:val="000000"/>
                <w:sz w:val="20"/>
                <w:szCs w:val="20"/>
              </w:rPr>
            </w:pPr>
            <w:proofErr w:type="spellStart"/>
            <w:r>
              <w:rPr>
                <w:color w:val="000000"/>
                <w:sz w:val="20"/>
                <w:szCs w:val="20"/>
              </w:rPr>
              <w:t>Tuen</w:t>
            </w:r>
            <w:proofErr w:type="spellEnd"/>
            <w:r>
              <w:rPr>
                <w:color w:val="000000"/>
                <w:sz w:val="20"/>
                <w:szCs w:val="20"/>
              </w:rPr>
              <w:t xml:space="preserve"> et al 2017</w:t>
            </w:r>
          </w:p>
        </w:tc>
      </w:tr>
      <w:tr w:rsidR="00CE4BFD" w:rsidRPr="00CE4BFD" w:rsidTr="00CE4BFD">
        <w:trPr>
          <w:trHeight w:val="300"/>
          <w:tblHeader/>
        </w:trPr>
        <w:tc>
          <w:tcPr>
            <w:tcW w:w="509" w:type="dxa"/>
            <w:shd w:val="clear" w:color="auto" w:fill="auto"/>
            <w:noWrap/>
            <w:vAlign w:val="center"/>
          </w:tcPr>
          <w:p w:rsidR="00CE4BFD" w:rsidRPr="006720AD" w:rsidRDefault="00CE4BFD" w:rsidP="00CE4BFD">
            <w:pPr>
              <w:jc w:val="both"/>
              <w:rPr>
                <w:rFonts w:eastAsia="Times New Roman"/>
                <w:color w:val="000000"/>
                <w:sz w:val="20"/>
                <w:szCs w:val="20"/>
              </w:rPr>
            </w:pPr>
            <w:r>
              <w:rPr>
                <w:color w:val="000000"/>
                <w:sz w:val="20"/>
                <w:szCs w:val="20"/>
              </w:rPr>
              <w:t>13</w:t>
            </w:r>
          </w:p>
        </w:tc>
        <w:tc>
          <w:tcPr>
            <w:tcW w:w="2268" w:type="dxa"/>
            <w:shd w:val="clear" w:color="auto" w:fill="auto"/>
            <w:noWrap/>
            <w:vAlign w:val="center"/>
          </w:tcPr>
          <w:p w:rsidR="00CE4BFD" w:rsidRPr="006720AD" w:rsidRDefault="00CE4BFD" w:rsidP="00CE4BFD">
            <w:pPr>
              <w:jc w:val="both"/>
              <w:rPr>
                <w:rFonts w:eastAsia="Times New Roman"/>
                <w:color w:val="000000"/>
                <w:sz w:val="20"/>
                <w:szCs w:val="20"/>
              </w:rPr>
            </w:pPr>
            <w:proofErr w:type="spellStart"/>
            <w:r>
              <w:rPr>
                <w:color w:val="000000"/>
                <w:sz w:val="20"/>
                <w:szCs w:val="20"/>
              </w:rPr>
              <w:t>Malaisie</w:t>
            </w:r>
            <w:proofErr w:type="spellEnd"/>
          </w:p>
        </w:tc>
        <w:tc>
          <w:tcPr>
            <w:tcW w:w="2410" w:type="dxa"/>
            <w:shd w:val="clear" w:color="auto" w:fill="auto"/>
            <w:noWrap/>
            <w:vAlign w:val="center"/>
          </w:tcPr>
          <w:p w:rsidR="00CE4BFD" w:rsidRPr="00CE4BFD" w:rsidRDefault="00CE4BFD" w:rsidP="00CE4BFD">
            <w:pPr>
              <w:jc w:val="both"/>
              <w:rPr>
                <w:rFonts w:eastAsia="Times New Roman"/>
                <w:color w:val="000000"/>
                <w:sz w:val="20"/>
                <w:szCs w:val="20"/>
                <w:lang w:val="fr-FR"/>
              </w:rPr>
            </w:pPr>
            <w:proofErr w:type="spellStart"/>
            <w:r w:rsidRPr="00CE4BFD">
              <w:rPr>
                <w:color w:val="000000"/>
                <w:sz w:val="20"/>
                <w:szCs w:val="20"/>
                <w:lang w:val="fr-FR"/>
              </w:rPr>
              <w:t>Beluran</w:t>
            </w:r>
            <w:proofErr w:type="spellEnd"/>
            <w:r w:rsidRPr="00CE4BFD">
              <w:rPr>
                <w:color w:val="000000"/>
                <w:sz w:val="20"/>
                <w:szCs w:val="20"/>
                <w:lang w:val="fr-FR"/>
              </w:rPr>
              <w:t xml:space="preserve"> et baie de Sandakan</w:t>
            </w:r>
          </w:p>
        </w:tc>
        <w:tc>
          <w:tcPr>
            <w:tcW w:w="1417" w:type="dxa"/>
            <w:shd w:val="clear" w:color="auto" w:fill="auto"/>
            <w:noWrap/>
            <w:vAlign w:val="bottom"/>
          </w:tcPr>
          <w:p w:rsidR="00CE4BFD" w:rsidRPr="00CE4BFD" w:rsidRDefault="00CE4BFD" w:rsidP="00CE4BFD">
            <w:pPr>
              <w:jc w:val="both"/>
              <w:rPr>
                <w:rFonts w:eastAsia="Times New Roman"/>
                <w:color w:val="000000"/>
                <w:sz w:val="20"/>
                <w:szCs w:val="20"/>
                <w:lang w:val="fr-FR"/>
              </w:rPr>
            </w:pPr>
          </w:p>
        </w:tc>
        <w:tc>
          <w:tcPr>
            <w:tcW w:w="2693" w:type="dxa"/>
            <w:shd w:val="clear" w:color="auto" w:fill="auto"/>
            <w:vAlign w:val="center"/>
          </w:tcPr>
          <w:p w:rsidR="00CE4BFD" w:rsidRPr="00CE4BFD" w:rsidRDefault="00CE4BFD" w:rsidP="00CE4BFD">
            <w:pPr>
              <w:jc w:val="both"/>
              <w:rPr>
                <w:rFonts w:eastAsia="Times New Roman"/>
                <w:color w:val="000000"/>
                <w:sz w:val="20"/>
                <w:szCs w:val="20"/>
                <w:lang w:val="fr-FR"/>
              </w:rPr>
            </w:pPr>
            <w:r w:rsidRPr="00CE4BFD">
              <w:rPr>
                <w:color w:val="000000"/>
                <w:sz w:val="20"/>
                <w:szCs w:val="20"/>
                <w:lang w:val="fr-FR"/>
              </w:rPr>
              <w:t>Porter at al 2019 - communication personnelle</w:t>
            </w:r>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14</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Myanmar</w:t>
            </w:r>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Fleuve</w:t>
            </w:r>
            <w:proofErr w:type="spellEnd"/>
            <w:r>
              <w:rPr>
                <w:color w:val="000000"/>
                <w:sz w:val="20"/>
                <w:szCs w:val="20"/>
              </w:rPr>
              <w:t xml:space="preserve"> Ayeyarwady </w:t>
            </w:r>
          </w:p>
        </w:tc>
        <w:tc>
          <w:tcPr>
            <w:tcW w:w="1417" w:type="dxa"/>
            <w:shd w:val="clear" w:color="auto" w:fill="auto"/>
            <w:noWrap/>
            <w:vAlign w:val="bottom"/>
            <w:hideMark/>
          </w:tcPr>
          <w:p w:rsidR="00CE4BFD" w:rsidRPr="006720AD" w:rsidRDefault="00CE4BFD" w:rsidP="00CE4BFD">
            <w:pPr>
              <w:jc w:val="both"/>
              <w:rPr>
                <w:rFonts w:eastAsia="Times New Roman"/>
                <w:color w:val="000000"/>
                <w:sz w:val="20"/>
                <w:szCs w:val="20"/>
              </w:rPr>
            </w:pPr>
            <w:r>
              <w:rPr>
                <w:color w:val="000000"/>
                <w:sz w:val="20"/>
                <w:szCs w:val="20"/>
              </w:rPr>
              <w:t>58-72</w:t>
            </w:r>
          </w:p>
        </w:tc>
        <w:tc>
          <w:tcPr>
            <w:tcW w:w="2693" w:type="dxa"/>
            <w:shd w:val="clear" w:color="auto" w:fill="auto"/>
            <w:vAlign w:val="center"/>
            <w:hideMark/>
          </w:tcPr>
          <w:p w:rsidR="00CE4BFD" w:rsidRPr="006720AD" w:rsidRDefault="00CE4BFD" w:rsidP="00CE4BFD">
            <w:pPr>
              <w:jc w:val="both"/>
              <w:rPr>
                <w:rFonts w:eastAsia="Times New Roman"/>
                <w:color w:val="000000"/>
                <w:sz w:val="20"/>
                <w:szCs w:val="20"/>
              </w:rPr>
            </w:pPr>
            <w:r>
              <w:rPr>
                <w:color w:val="000000"/>
                <w:sz w:val="20"/>
                <w:szCs w:val="20"/>
              </w:rPr>
              <w:t>Smith et al 2007</w:t>
            </w:r>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15</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Philippines</w:t>
            </w:r>
          </w:p>
          <w:p w:rsidR="00CE4BFD" w:rsidRPr="006720AD" w:rsidRDefault="00CE4BFD" w:rsidP="00CE4BFD">
            <w:pPr>
              <w:jc w:val="both"/>
              <w:rPr>
                <w:rFonts w:eastAsia="Times New Roman"/>
                <w:color w:val="000000"/>
                <w:sz w:val="20"/>
                <w:szCs w:val="20"/>
              </w:rPr>
            </w:pPr>
          </w:p>
        </w:tc>
        <w:tc>
          <w:tcPr>
            <w:tcW w:w="2410" w:type="dxa"/>
            <w:shd w:val="clear" w:color="auto" w:fill="auto"/>
            <w:noWrap/>
            <w:vAlign w:val="center"/>
            <w:hideMark/>
          </w:tcPr>
          <w:p w:rsidR="00CE4BFD" w:rsidRPr="00CE4BFD" w:rsidRDefault="00CE4BFD" w:rsidP="00CE4BFD">
            <w:pPr>
              <w:jc w:val="both"/>
              <w:rPr>
                <w:rFonts w:eastAsia="Times New Roman"/>
                <w:color w:val="000000"/>
                <w:sz w:val="20"/>
                <w:szCs w:val="20"/>
                <w:lang w:val="fr-FR"/>
              </w:rPr>
            </w:pPr>
            <w:r w:rsidRPr="00CE4BFD">
              <w:rPr>
                <w:color w:val="000000"/>
                <w:sz w:val="20"/>
                <w:szCs w:val="20"/>
                <w:lang w:val="fr-FR"/>
              </w:rPr>
              <w:t xml:space="preserve">Détroit de </w:t>
            </w:r>
            <w:proofErr w:type="spellStart"/>
            <w:r w:rsidRPr="00CE4BFD">
              <w:rPr>
                <w:color w:val="000000"/>
                <w:sz w:val="20"/>
                <w:szCs w:val="20"/>
                <w:lang w:val="fr-FR"/>
              </w:rPr>
              <w:t>Malampaya</w:t>
            </w:r>
            <w:proofErr w:type="spellEnd"/>
          </w:p>
          <w:p w:rsidR="00CE4BFD" w:rsidRPr="00CE4BFD" w:rsidRDefault="00CE4BFD" w:rsidP="00CE4BFD">
            <w:pPr>
              <w:jc w:val="both"/>
              <w:rPr>
                <w:rFonts w:eastAsia="Times New Roman"/>
                <w:color w:val="000000"/>
                <w:sz w:val="20"/>
                <w:szCs w:val="20"/>
                <w:lang w:val="fr-FR"/>
              </w:rPr>
            </w:pPr>
            <w:r w:rsidRPr="00CE4BFD">
              <w:rPr>
                <w:color w:val="000000"/>
                <w:sz w:val="20"/>
                <w:szCs w:val="20"/>
                <w:lang w:val="fr-FR"/>
              </w:rPr>
              <w:t>Negros</w:t>
            </w:r>
          </w:p>
          <w:p w:rsidR="00CE4BFD" w:rsidRPr="00CE4BFD" w:rsidRDefault="00CE4BFD" w:rsidP="00CE4BFD">
            <w:pPr>
              <w:jc w:val="both"/>
              <w:rPr>
                <w:rFonts w:eastAsia="Times New Roman"/>
                <w:color w:val="000000"/>
                <w:sz w:val="20"/>
                <w:szCs w:val="20"/>
                <w:lang w:val="fr-FR"/>
              </w:rPr>
            </w:pPr>
          </w:p>
          <w:p w:rsidR="00CE4BFD" w:rsidRPr="00CE4BFD" w:rsidRDefault="00CE4BFD" w:rsidP="00CE4BFD">
            <w:pPr>
              <w:jc w:val="both"/>
              <w:rPr>
                <w:rFonts w:eastAsia="Times New Roman"/>
                <w:color w:val="000000"/>
                <w:sz w:val="20"/>
                <w:szCs w:val="20"/>
                <w:lang w:val="fr-FR"/>
              </w:rPr>
            </w:pPr>
            <w:proofErr w:type="spellStart"/>
            <w:r w:rsidRPr="00CE4BFD">
              <w:rPr>
                <w:color w:val="000000"/>
                <w:sz w:val="20"/>
                <w:szCs w:val="20"/>
                <w:lang w:val="fr-FR"/>
              </w:rPr>
              <w:t>Quezon</w:t>
            </w:r>
            <w:proofErr w:type="spellEnd"/>
          </w:p>
          <w:p w:rsidR="00CE4BFD" w:rsidRPr="00CE4BFD" w:rsidRDefault="00CE4BFD" w:rsidP="00CE4BFD">
            <w:pPr>
              <w:jc w:val="both"/>
              <w:rPr>
                <w:rFonts w:eastAsia="Times New Roman"/>
                <w:color w:val="000000"/>
                <w:sz w:val="20"/>
                <w:szCs w:val="20"/>
                <w:lang w:val="fr-FR"/>
              </w:rPr>
            </w:pPr>
            <w:r w:rsidRPr="00CE4BFD">
              <w:rPr>
                <w:color w:val="000000"/>
                <w:sz w:val="20"/>
                <w:szCs w:val="20"/>
                <w:lang w:val="fr-FR"/>
              </w:rPr>
              <w:t xml:space="preserve">Mer de </w:t>
            </w:r>
            <w:proofErr w:type="spellStart"/>
            <w:r w:rsidRPr="00CE4BFD">
              <w:rPr>
                <w:color w:val="000000"/>
                <w:sz w:val="20"/>
                <w:szCs w:val="20"/>
                <w:lang w:val="fr-FR"/>
              </w:rPr>
              <w:t>Visayan</w:t>
            </w:r>
            <w:proofErr w:type="spellEnd"/>
          </w:p>
        </w:tc>
        <w:tc>
          <w:tcPr>
            <w:tcW w:w="1417" w:type="dxa"/>
            <w:shd w:val="clear" w:color="auto" w:fill="auto"/>
            <w:noWrap/>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Réduction</w:t>
            </w:r>
            <w:proofErr w:type="spellEnd"/>
            <w:r>
              <w:rPr>
                <w:color w:val="000000"/>
                <w:sz w:val="20"/>
                <w:szCs w:val="20"/>
              </w:rPr>
              <w:t xml:space="preserve"> de 77 à 42 </w:t>
            </w:r>
            <w:proofErr w:type="spellStart"/>
            <w:r>
              <w:rPr>
                <w:color w:val="000000"/>
                <w:sz w:val="20"/>
                <w:szCs w:val="20"/>
              </w:rPr>
              <w:t>individus</w:t>
            </w:r>
            <w:proofErr w:type="spellEnd"/>
          </w:p>
          <w:p w:rsidR="00CE4BFD" w:rsidRPr="006720AD" w:rsidRDefault="00CE4BFD" w:rsidP="00CE4BFD">
            <w:pPr>
              <w:jc w:val="both"/>
              <w:rPr>
                <w:rFonts w:eastAsia="Times New Roman"/>
                <w:color w:val="000000"/>
                <w:sz w:val="20"/>
                <w:szCs w:val="20"/>
              </w:rPr>
            </w:pPr>
          </w:p>
          <w:p w:rsidR="00CE4BFD" w:rsidRPr="006720AD" w:rsidRDefault="00CE4BFD" w:rsidP="00CE4BFD">
            <w:pPr>
              <w:jc w:val="both"/>
              <w:rPr>
                <w:rFonts w:eastAsia="Times New Roman"/>
                <w:color w:val="000000"/>
                <w:sz w:val="20"/>
                <w:szCs w:val="20"/>
              </w:rPr>
            </w:pPr>
            <w:r>
              <w:rPr>
                <w:color w:val="000000"/>
                <w:sz w:val="20"/>
                <w:szCs w:val="20"/>
              </w:rPr>
              <w:t>20</w:t>
            </w:r>
          </w:p>
          <w:p w:rsidR="00CE4BFD" w:rsidRPr="006720AD" w:rsidRDefault="00CE4BFD" w:rsidP="00CE4BFD">
            <w:pPr>
              <w:jc w:val="both"/>
              <w:rPr>
                <w:rFonts w:eastAsia="Times New Roman"/>
                <w:color w:val="000000"/>
                <w:sz w:val="20"/>
                <w:szCs w:val="20"/>
              </w:rPr>
            </w:pPr>
            <w:r>
              <w:rPr>
                <w:color w:val="000000"/>
                <w:sz w:val="20"/>
                <w:szCs w:val="20"/>
              </w:rPr>
              <w:t>18-23</w:t>
            </w:r>
          </w:p>
          <w:p w:rsidR="00CE4BFD" w:rsidRPr="006720AD" w:rsidRDefault="00CE4BFD" w:rsidP="00CE4BFD">
            <w:pPr>
              <w:jc w:val="both"/>
              <w:rPr>
                <w:rFonts w:eastAsia="Times New Roman"/>
                <w:color w:val="000000"/>
                <w:sz w:val="20"/>
                <w:szCs w:val="20"/>
              </w:rPr>
            </w:pPr>
            <w:r>
              <w:rPr>
                <w:color w:val="000000"/>
                <w:sz w:val="20"/>
                <w:szCs w:val="20"/>
              </w:rPr>
              <w:t>25-30</w:t>
            </w:r>
          </w:p>
        </w:tc>
        <w:tc>
          <w:tcPr>
            <w:tcW w:w="2693" w:type="dxa"/>
            <w:shd w:val="clear" w:color="auto" w:fill="auto"/>
            <w:hideMark/>
          </w:tcPr>
          <w:p w:rsidR="00CE4BFD" w:rsidRPr="00CE4BFD" w:rsidRDefault="00CE4BFD" w:rsidP="00CE4BFD">
            <w:pPr>
              <w:jc w:val="both"/>
              <w:rPr>
                <w:rFonts w:eastAsia="Times New Roman"/>
                <w:color w:val="000000"/>
                <w:sz w:val="20"/>
                <w:szCs w:val="20"/>
                <w:lang w:val="fr-FR"/>
              </w:rPr>
            </w:pPr>
            <w:r w:rsidRPr="00CE4BFD">
              <w:rPr>
                <w:color w:val="000000"/>
                <w:sz w:val="20"/>
                <w:szCs w:val="20"/>
                <w:lang w:val="fr-FR"/>
              </w:rPr>
              <w:t xml:space="preserve">Smith et al 2004a et </w:t>
            </w:r>
          </w:p>
          <w:p w:rsidR="00CE4BFD" w:rsidRPr="00CE4BFD" w:rsidRDefault="00CE4BFD" w:rsidP="00CE4BFD">
            <w:pPr>
              <w:jc w:val="both"/>
              <w:rPr>
                <w:rFonts w:eastAsia="Times New Roman"/>
                <w:color w:val="000000"/>
                <w:sz w:val="20"/>
                <w:szCs w:val="20"/>
                <w:lang w:val="fr-FR"/>
              </w:rPr>
            </w:pPr>
            <w:r w:rsidRPr="00CE4BFD">
              <w:rPr>
                <w:color w:val="000000"/>
                <w:sz w:val="20"/>
                <w:szCs w:val="20"/>
                <w:lang w:val="fr-FR"/>
              </w:rPr>
              <w:t>Rapport de WWF Philippines 2010</w:t>
            </w:r>
          </w:p>
          <w:p w:rsidR="00CE4BFD" w:rsidRPr="00CE4BFD" w:rsidRDefault="00CE4BFD" w:rsidP="00CE4BFD">
            <w:pPr>
              <w:jc w:val="both"/>
              <w:rPr>
                <w:rFonts w:eastAsia="Times New Roman"/>
                <w:color w:val="000000"/>
                <w:sz w:val="20"/>
                <w:szCs w:val="20"/>
                <w:lang w:val="fr-FR"/>
              </w:rPr>
            </w:pPr>
          </w:p>
          <w:p w:rsidR="00CE4BFD" w:rsidRPr="006720AD" w:rsidRDefault="00CE4BFD" w:rsidP="00CE4BFD">
            <w:pPr>
              <w:jc w:val="both"/>
              <w:rPr>
                <w:rFonts w:eastAsia="Times New Roman"/>
                <w:color w:val="000000"/>
                <w:sz w:val="20"/>
                <w:szCs w:val="20"/>
              </w:rPr>
            </w:pPr>
            <w:r>
              <w:rPr>
                <w:color w:val="000000"/>
                <w:sz w:val="20"/>
                <w:szCs w:val="20"/>
              </w:rPr>
              <w:t>WWF Philippines</w:t>
            </w:r>
          </w:p>
          <w:p w:rsidR="00CE4BFD" w:rsidRPr="006720AD" w:rsidRDefault="00CE4BFD" w:rsidP="00CE4BFD">
            <w:pPr>
              <w:jc w:val="both"/>
              <w:rPr>
                <w:rFonts w:eastAsia="Times New Roman"/>
                <w:color w:val="000000"/>
                <w:sz w:val="20"/>
                <w:szCs w:val="20"/>
              </w:rPr>
            </w:pPr>
            <w:r>
              <w:rPr>
                <w:color w:val="000000"/>
                <w:sz w:val="20"/>
                <w:szCs w:val="20"/>
              </w:rPr>
              <w:t xml:space="preserve">Rapport </w:t>
            </w:r>
            <w:proofErr w:type="spellStart"/>
            <w:r>
              <w:rPr>
                <w:color w:val="000000"/>
                <w:sz w:val="20"/>
                <w:szCs w:val="20"/>
              </w:rPr>
              <w:t>Dolar</w:t>
            </w:r>
            <w:proofErr w:type="spellEnd"/>
            <w:r>
              <w:rPr>
                <w:color w:val="000000"/>
                <w:sz w:val="20"/>
                <w:szCs w:val="20"/>
              </w:rPr>
              <w:t xml:space="preserve"> 2014</w:t>
            </w:r>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16</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Thaïlande</w:t>
            </w:r>
            <w:proofErr w:type="spellEnd"/>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Lac de Songkhla</w:t>
            </w:r>
          </w:p>
        </w:tc>
        <w:tc>
          <w:tcPr>
            <w:tcW w:w="1417" w:type="dxa"/>
            <w:shd w:val="clear" w:color="auto" w:fill="auto"/>
            <w:noWrap/>
            <w:vAlign w:val="bottom"/>
            <w:hideMark/>
          </w:tcPr>
          <w:p w:rsidR="00CE4BFD" w:rsidRPr="006720AD" w:rsidRDefault="00CE4BFD" w:rsidP="00CE4BFD">
            <w:pPr>
              <w:jc w:val="both"/>
              <w:rPr>
                <w:rFonts w:eastAsia="Times New Roman"/>
                <w:color w:val="000000"/>
                <w:sz w:val="20"/>
                <w:szCs w:val="20"/>
              </w:rPr>
            </w:pPr>
            <w:r>
              <w:rPr>
                <w:color w:val="000000"/>
                <w:sz w:val="20"/>
                <w:szCs w:val="20"/>
              </w:rPr>
              <w:t>1-15</w:t>
            </w:r>
          </w:p>
        </w:tc>
        <w:tc>
          <w:tcPr>
            <w:tcW w:w="2693" w:type="dxa"/>
            <w:shd w:val="clear" w:color="auto" w:fill="auto"/>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Kittiwattanawong</w:t>
            </w:r>
            <w:proofErr w:type="spellEnd"/>
            <w:r>
              <w:rPr>
                <w:color w:val="000000"/>
                <w:sz w:val="20"/>
                <w:szCs w:val="20"/>
              </w:rPr>
              <w:t xml:space="preserve"> et al 2007, Smith et al 2004b</w:t>
            </w:r>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17</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Thaïlande</w:t>
            </w:r>
            <w:proofErr w:type="spellEnd"/>
          </w:p>
        </w:tc>
        <w:tc>
          <w:tcPr>
            <w:tcW w:w="2410" w:type="dxa"/>
            <w:shd w:val="clear" w:color="auto" w:fill="auto"/>
            <w:noWrap/>
            <w:vAlign w:val="center"/>
            <w:hideMark/>
          </w:tcPr>
          <w:p w:rsidR="00CE4BFD" w:rsidRPr="00CE4BFD" w:rsidRDefault="00CE4BFD" w:rsidP="00CE4BFD">
            <w:pPr>
              <w:jc w:val="both"/>
              <w:rPr>
                <w:rFonts w:eastAsia="Times New Roman"/>
                <w:color w:val="000000"/>
                <w:sz w:val="20"/>
                <w:szCs w:val="20"/>
                <w:lang w:val="fr-FR"/>
              </w:rPr>
            </w:pPr>
            <w:r w:rsidRPr="00CE4BFD">
              <w:rPr>
                <w:color w:val="000000"/>
                <w:sz w:val="20"/>
                <w:szCs w:val="20"/>
                <w:lang w:val="fr-FR"/>
              </w:rPr>
              <w:t>Est du golfe de Thaïlande</w:t>
            </w:r>
          </w:p>
        </w:tc>
        <w:tc>
          <w:tcPr>
            <w:tcW w:w="1417" w:type="dxa"/>
            <w:shd w:val="clear" w:color="auto" w:fill="auto"/>
            <w:noWrap/>
            <w:vAlign w:val="bottom"/>
            <w:hideMark/>
          </w:tcPr>
          <w:p w:rsidR="00CE4BFD" w:rsidRPr="006720AD" w:rsidRDefault="00CE4BFD" w:rsidP="00CE4BFD">
            <w:pPr>
              <w:jc w:val="both"/>
              <w:rPr>
                <w:rFonts w:eastAsia="Times New Roman"/>
                <w:color w:val="000000"/>
                <w:sz w:val="20"/>
                <w:szCs w:val="20"/>
              </w:rPr>
            </w:pPr>
            <w:r>
              <w:rPr>
                <w:color w:val="000000"/>
                <w:sz w:val="20"/>
                <w:szCs w:val="20"/>
              </w:rPr>
              <w:t>423</w:t>
            </w:r>
          </w:p>
        </w:tc>
        <w:tc>
          <w:tcPr>
            <w:tcW w:w="2693" w:type="dxa"/>
            <w:shd w:val="clear" w:color="auto" w:fill="auto"/>
            <w:vAlign w:val="center"/>
            <w:hideMark/>
          </w:tcPr>
          <w:p w:rsidR="00CE4BFD" w:rsidRPr="006720AD" w:rsidRDefault="00CE4BFD" w:rsidP="00CE4BFD">
            <w:pPr>
              <w:jc w:val="both"/>
              <w:rPr>
                <w:rFonts w:eastAsia="Times New Roman"/>
                <w:color w:val="000000"/>
                <w:sz w:val="20"/>
                <w:szCs w:val="20"/>
              </w:rPr>
            </w:pPr>
            <w:r>
              <w:rPr>
                <w:color w:val="000000"/>
                <w:sz w:val="20"/>
                <w:szCs w:val="20"/>
              </w:rPr>
              <w:t>Hines et al 2015</w:t>
            </w:r>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18</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Thaïlande</w:t>
            </w:r>
            <w:proofErr w:type="spellEnd"/>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Baie</w:t>
            </w:r>
            <w:proofErr w:type="spellEnd"/>
            <w:r>
              <w:rPr>
                <w:color w:val="000000"/>
                <w:sz w:val="20"/>
                <w:szCs w:val="20"/>
              </w:rPr>
              <w:t xml:space="preserve"> de Trait</w:t>
            </w:r>
          </w:p>
        </w:tc>
        <w:tc>
          <w:tcPr>
            <w:tcW w:w="1417" w:type="dxa"/>
            <w:shd w:val="clear" w:color="auto" w:fill="auto"/>
            <w:noWrap/>
            <w:vAlign w:val="bottom"/>
            <w:hideMark/>
          </w:tcPr>
          <w:p w:rsidR="00CE4BFD" w:rsidRPr="006720AD" w:rsidRDefault="00CE4BFD" w:rsidP="00CE4BFD">
            <w:pPr>
              <w:jc w:val="both"/>
              <w:rPr>
                <w:rFonts w:eastAsia="Times New Roman"/>
                <w:color w:val="000000"/>
                <w:sz w:val="20"/>
                <w:szCs w:val="20"/>
              </w:rPr>
            </w:pPr>
            <w:r>
              <w:rPr>
                <w:color w:val="000000"/>
                <w:sz w:val="20"/>
                <w:szCs w:val="20"/>
              </w:rPr>
              <w:t>171</w:t>
            </w:r>
          </w:p>
        </w:tc>
        <w:tc>
          <w:tcPr>
            <w:tcW w:w="2693" w:type="dxa"/>
            <w:shd w:val="clear" w:color="auto" w:fill="auto"/>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Junchompoo</w:t>
            </w:r>
            <w:proofErr w:type="spellEnd"/>
            <w:r>
              <w:rPr>
                <w:color w:val="000000"/>
                <w:sz w:val="20"/>
                <w:szCs w:val="20"/>
              </w:rPr>
              <w:t xml:space="preserve"> et al 2015</w:t>
            </w:r>
          </w:p>
        </w:tc>
      </w:tr>
      <w:tr w:rsidR="00CE4BFD" w:rsidRPr="006720AD" w:rsidTr="00CE4BFD">
        <w:trPr>
          <w:trHeight w:val="300"/>
          <w:tblHeader/>
        </w:trPr>
        <w:tc>
          <w:tcPr>
            <w:tcW w:w="509" w:type="dxa"/>
            <w:shd w:val="clear" w:color="auto" w:fill="auto"/>
            <w:noWrap/>
            <w:vAlign w:val="center"/>
            <w:hideMark/>
          </w:tcPr>
          <w:p w:rsidR="00CE4BFD" w:rsidRPr="006720AD" w:rsidRDefault="00CE4BFD" w:rsidP="00CE4BFD">
            <w:pPr>
              <w:jc w:val="both"/>
              <w:rPr>
                <w:rFonts w:eastAsia="Times New Roman"/>
                <w:color w:val="000000"/>
                <w:sz w:val="20"/>
                <w:szCs w:val="20"/>
              </w:rPr>
            </w:pPr>
            <w:r>
              <w:rPr>
                <w:color w:val="000000"/>
                <w:sz w:val="20"/>
                <w:szCs w:val="20"/>
              </w:rPr>
              <w:t>19</w:t>
            </w:r>
          </w:p>
        </w:tc>
        <w:tc>
          <w:tcPr>
            <w:tcW w:w="2268"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Thaïlande</w:t>
            </w:r>
            <w:proofErr w:type="spellEnd"/>
          </w:p>
        </w:tc>
        <w:tc>
          <w:tcPr>
            <w:tcW w:w="2410" w:type="dxa"/>
            <w:shd w:val="clear" w:color="auto" w:fill="auto"/>
            <w:noWrap/>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Estuaire</w:t>
            </w:r>
            <w:proofErr w:type="spellEnd"/>
            <w:r>
              <w:rPr>
                <w:color w:val="000000"/>
                <w:sz w:val="20"/>
                <w:szCs w:val="20"/>
              </w:rPr>
              <w:t xml:space="preserve"> de </w:t>
            </w:r>
            <w:proofErr w:type="spellStart"/>
            <w:r>
              <w:rPr>
                <w:color w:val="000000"/>
                <w:sz w:val="20"/>
                <w:szCs w:val="20"/>
              </w:rPr>
              <w:t>Bangpakong</w:t>
            </w:r>
            <w:proofErr w:type="spellEnd"/>
          </w:p>
        </w:tc>
        <w:tc>
          <w:tcPr>
            <w:tcW w:w="1417" w:type="dxa"/>
            <w:shd w:val="clear" w:color="auto" w:fill="auto"/>
            <w:noWrap/>
            <w:vAlign w:val="bottom"/>
            <w:hideMark/>
          </w:tcPr>
          <w:p w:rsidR="00CE4BFD" w:rsidRPr="006720AD" w:rsidRDefault="00CE4BFD" w:rsidP="00CE4BFD">
            <w:pPr>
              <w:jc w:val="both"/>
              <w:rPr>
                <w:rFonts w:eastAsia="Times New Roman"/>
                <w:color w:val="000000"/>
                <w:sz w:val="20"/>
                <w:szCs w:val="20"/>
              </w:rPr>
            </w:pPr>
            <w:r>
              <w:rPr>
                <w:color w:val="000000"/>
                <w:sz w:val="20"/>
                <w:szCs w:val="20"/>
              </w:rPr>
              <w:t>5-20</w:t>
            </w:r>
          </w:p>
        </w:tc>
        <w:tc>
          <w:tcPr>
            <w:tcW w:w="2693" w:type="dxa"/>
            <w:shd w:val="clear" w:color="auto" w:fill="auto"/>
            <w:vAlign w:val="center"/>
            <w:hideMark/>
          </w:tcPr>
          <w:p w:rsidR="00CE4BFD" w:rsidRPr="006720AD" w:rsidRDefault="00CE4BFD" w:rsidP="00CE4BFD">
            <w:pPr>
              <w:jc w:val="both"/>
              <w:rPr>
                <w:rFonts w:eastAsia="Times New Roman"/>
                <w:color w:val="000000"/>
                <w:sz w:val="20"/>
                <w:szCs w:val="20"/>
              </w:rPr>
            </w:pPr>
            <w:proofErr w:type="spellStart"/>
            <w:r>
              <w:rPr>
                <w:color w:val="000000"/>
                <w:sz w:val="20"/>
                <w:szCs w:val="20"/>
              </w:rPr>
              <w:t>Tongnunui</w:t>
            </w:r>
            <w:proofErr w:type="spellEnd"/>
            <w:r>
              <w:rPr>
                <w:color w:val="000000"/>
                <w:sz w:val="20"/>
                <w:szCs w:val="20"/>
              </w:rPr>
              <w:t xml:space="preserve"> et al 2011</w:t>
            </w:r>
          </w:p>
        </w:tc>
      </w:tr>
    </w:tbl>
    <w:p w:rsidR="00CE4BFD" w:rsidRPr="006720AD" w:rsidRDefault="00CE4BFD" w:rsidP="00CE4BFD">
      <w:pPr>
        <w:spacing w:before="28"/>
        <w:ind w:left="220" w:right="336"/>
        <w:rPr>
          <w:rFonts w:eastAsia="Times New Roman"/>
          <w:spacing w:val="-1"/>
          <w:sz w:val="20"/>
          <w:szCs w:val="20"/>
        </w:rPr>
      </w:pPr>
    </w:p>
    <w:p w:rsidR="00CE4BFD" w:rsidRPr="006720AD" w:rsidRDefault="00CE4BFD" w:rsidP="00CE4BFD">
      <w:pPr>
        <w:spacing w:before="28"/>
        <w:ind w:left="120" w:right="258"/>
        <w:jc w:val="both"/>
        <w:rPr>
          <w:rFonts w:eastAsia="Times New Roman"/>
          <w:sz w:val="18"/>
          <w:szCs w:val="20"/>
        </w:rPr>
      </w:pPr>
    </w:p>
    <w:p w:rsidR="00CE4BFD" w:rsidRPr="006720AD" w:rsidRDefault="00CE4BFD" w:rsidP="00CE4BFD">
      <w:pPr>
        <w:spacing w:before="28"/>
        <w:ind w:left="120" w:right="258"/>
        <w:jc w:val="both"/>
        <w:rPr>
          <w:rFonts w:eastAsia="Times New Roman"/>
          <w:sz w:val="20"/>
          <w:szCs w:val="20"/>
        </w:rPr>
      </w:pPr>
    </w:p>
    <w:p w:rsidR="00CE4BFD" w:rsidRPr="006720AD" w:rsidRDefault="00CE4BFD" w:rsidP="00CE4BFD">
      <w:pPr>
        <w:spacing w:before="28"/>
        <w:ind w:left="220" w:right="336"/>
        <w:jc w:val="both"/>
        <w:rPr>
          <w:rFonts w:ascii="Times New Roman" w:eastAsia="Times New Roman" w:hAnsi="Times New Roman"/>
          <w:spacing w:val="1"/>
          <w:sz w:val="24"/>
          <w:szCs w:val="24"/>
        </w:rPr>
      </w:pPr>
    </w:p>
    <w:p w:rsidR="00CE4BFD" w:rsidRPr="006720AD" w:rsidRDefault="00CE4BFD" w:rsidP="00CE4BFD">
      <w:pPr>
        <w:spacing w:before="28"/>
        <w:ind w:left="220" w:right="336"/>
        <w:jc w:val="both"/>
        <w:rPr>
          <w:rFonts w:eastAsia="Times New Roman"/>
          <w:spacing w:val="-1"/>
          <w:sz w:val="20"/>
          <w:szCs w:val="20"/>
        </w:rPr>
      </w:pPr>
    </w:p>
    <w:p w:rsidR="00CE4BFD" w:rsidRPr="006720AD" w:rsidRDefault="00CE4BFD" w:rsidP="00CE4BFD">
      <w:pPr>
        <w:spacing w:before="28"/>
        <w:ind w:left="220" w:right="336"/>
        <w:jc w:val="both"/>
        <w:rPr>
          <w:rFonts w:ascii="Times New Roman" w:eastAsia="Times New Roman" w:hAnsi="Times New Roman"/>
          <w:spacing w:val="1"/>
          <w:sz w:val="24"/>
          <w:szCs w:val="24"/>
        </w:rPr>
      </w:pPr>
    </w:p>
    <w:p w:rsidR="00CE4BFD" w:rsidRPr="006720AD" w:rsidRDefault="00CE4BFD" w:rsidP="00CE4BFD">
      <w:pPr>
        <w:spacing w:before="40"/>
        <w:ind w:right="662"/>
        <w:jc w:val="both"/>
        <w:rPr>
          <w:position w:val="6"/>
          <w:sz w:val="12"/>
        </w:rPr>
      </w:pPr>
    </w:p>
    <w:p w:rsidR="00CE4BFD" w:rsidRPr="006720AD" w:rsidRDefault="00CE4BFD" w:rsidP="00CE4BFD">
      <w:pPr>
        <w:jc w:val="both"/>
        <w:rPr>
          <w:sz w:val="18"/>
        </w:rPr>
        <w:sectPr w:rsidR="00CE4BFD" w:rsidRPr="006720AD" w:rsidSect="00CE4BFD">
          <w:headerReference w:type="even" r:id="rId13"/>
          <w:headerReference w:type="default" r:id="rId14"/>
          <w:footerReference w:type="even" r:id="rId15"/>
          <w:pgSz w:w="11910" w:h="16840"/>
          <w:pgMar w:top="1134" w:right="740" w:bottom="851" w:left="1020" w:header="720" w:footer="720" w:gutter="0"/>
          <w:cols w:space="720"/>
          <w:docGrid w:linePitch="299"/>
        </w:sectPr>
      </w:pPr>
    </w:p>
    <w:p w:rsidR="00CE4BFD" w:rsidRPr="006720AD" w:rsidRDefault="00CE4BFD" w:rsidP="00CE4BFD">
      <w:pPr>
        <w:pStyle w:val="BodyText"/>
        <w:rPr>
          <w:sz w:val="10"/>
        </w:rPr>
      </w:pPr>
    </w:p>
    <w:p w:rsidR="00CE4BFD" w:rsidRPr="006720AD" w:rsidRDefault="00CE4BFD" w:rsidP="00CE4BFD">
      <w:pPr>
        <w:pStyle w:val="Heading1"/>
        <w:keepNext w:val="0"/>
        <w:tabs>
          <w:tab w:val="clear" w:pos="720"/>
          <w:tab w:val="left" w:pos="737"/>
        </w:tabs>
        <w:suppressAutoHyphens w:val="0"/>
        <w:spacing w:before="199"/>
        <w:ind w:left="391"/>
        <w:jc w:val="both"/>
        <w:textAlignment w:val="auto"/>
        <w:rPr>
          <w:rFonts w:cs="Arial"/>
          <w:b w:val="0"/>
          <w:sz w:val="22"/>
          <w:szCs w:val="22"/>
        </w:rPr>
      </w:pPr>
      <w:r>
        <w:rPr>
          <w:sz w:val="22"/>
          <w:szCs w:val="22"/>
        </w:rPr>
        <w:t xml:space="preserve">Arguments en </w:t>
      </w:r>
      <w:proofErr w:type="spellStart"/>
      <w:r>
        <w:rPr>
          <w:sz w:val="22"/>
          <w:szCs w:val="22"/>
        </w:rPr>
        <w:t>faveur</w:t>
      </w:r>
      <w:proofErr w:type="spellEnd"/>
      <w:r>
        <w:rPr>
          <w:sz w:val="22"/>
          <w:szCs w:val="22"/>
        </w:rPr>
        <w:t xml:space="preserve"> de </w:t>
      </w:r>
      <w:proofErr w:type="spellStart"/>
      <w:r>
        <w:rPr>
          <w:sz w:val="22"/>
          <w:szCs w:val="22"/>
        </w:rPr>
        <w:t>l’action</w:t>
      </w:r>
      <w:proofErr w:type="spellEnd"/>
    </w:p>
    <w:p w:rsidR="00CE4BFD" w:rsidRPr="00CE4BFD" w:rsidRDefault="00CE4BFD" w:rsidP="00CE4BFD">
      <w:pPr>
        <w:pStyle w:val="Heading2"/>
        <w:keepNext w:val="0"/>
        <w:numPr>
          <w:ilvl w:val="0"/>
          <w:numId w:val="18"/>
        </w:numPr>
        <w:pBdr>
          <w:top w:val="none" w:sz="0" w:space="0" w:color="auto"/>
          <w:left w:val="none" w:sz="0" w:space="0" w:color="auto"/>
          <w:bottom w:val="none" w:sz="0" w:space="0" w:color="auto"/>
          <w:right w:val="none" w:sz="0" w:space="0" w:color="auto"/>
        </w:pBdr>
        <w:tabs>
          <w:tab w:val="left" w:pos="675"/>
        </w:tabs>
        <w:suppressAutoHyphens w:val="0"/>
        <w:spacing w:before="262"/>
        <w:jc w:val="both"/>
        <w:textAlignment w:val="auto"/>
        <w:rPr>
          <w:rFonts w:cs="Arial"/>
          <w:b w:val="0"/>
          <w:sz w:val="22"/>
          <w:szCs w:val="22"/>
          <w:u w:val="single"/>
        </w:rPr>
      </w:pPr>
      <w:proofErr w:type="spellStart"/>
      <w:r w:rsidRPr="00CE4BFD">
        <w:rPr>
          <w:b w:val="0"/>
          <w:sz w:val="22"/>
          <w:szCs w:val="22"/>
          <w:u w:val="single"/>
        </w:rPr>
        <w:t>Priorité</w:t>
      </w:r>
      <w:proofErr w:type="spellEnd"/>
      <w:r w:rsidRPr="00CE4BFD">
        <w:rPr>
          <w:b w:val="0"/>
          <w:sz w:val="22"/>
          <w:szCs w:val="22"/>
          <w:u w:val="single"/>
        </w:rPr>
        <w:t xml:space="preserve"> de conservation</w:t>
      </w:r>
    </w:p>
    <w:p w:rsidR="00CE4BFD" w:rsidRPr="00CE4BFD" w:rsidRDefault="00CE4BFD" w:rsidP="00CE4BFD">
      <w:pPr>
        <w:pStyle w:val="BodyText"/>
        <w:spacing w:before="201"/>
        <w:ind w:left="397" w:right="664"/>
        <w:rPr>
          <w:lang w:val="fr-FR"/>
        </w:rPr>
      </w:pPr>
      <w:r w:rsidRPr="00CE4BFD">
        <w:rPr>
          <w:lang w:val="fr-FR"/>
        </w:rPr>
        <w:t>Les dauphins de l’Irrawaddy sont globalement classés dans la catégorie des espèces « En danger » sur la Liste rouge de l’UICN (</w:t>
      </w:r>
      <w:proofErr w:type="spellStart"/>
      <w:r w:rsidRPr="00CE4BFD">
        <w:rPr>
          <w:lang w:val="fr-FR"/>
        </w:rPr>
        <w:t>Minton</w:t>
      </w:r>
      <w:proofErr w:type="spellEnd"/>
      <w:r w:rsidRPr="00CE4BFD">
        <w:rPr>
          <w:lang w:val="fr-FR"/>
        </w:rPr>
        <w:t xml:space="preserve"> et al 2018). Comme le montre le tableau 1, les estimations de l’abondance des différentes sous-populations de dauphins de l’Irrawaddy sont faibles, à l’exception de la population de la côte du Bangladesh.</w:t>
      </w:r>
    </w:p>
    <w:p w:rsidR="00CE4BFD" w:rsidRPr="00CE4BFD" w:rsidRDefault="00CE4BFD" w:rsidP="00CE4BFD">
      <w:pPr>
        <w:pStyle w:val="BodyText"/>
        <w:spacing w:before="201"/>
        <w:ind w:left="397" w:right="664"/>
        <w:rPr>
          <w:lang w:val="fr-FR"/>
        </w:rPr>
      </w:pPr>
      <w:r w:rsidRPr="00CE4BFD">
        <w:rPr>
          <w:lang w:val="fr-FR"/>
        </w:rPr>
        <w:t xml:space="preserve">Les sous-populations du Laos, du Cambodge, du Vietnam (sous-population du Mékong), de l’Indonésie (sous-population du fleuve Mahakam, Bornéo), du Myanmar (sous-population du fleuve </w:t>
      </w:r>
      <w:proofErr w:type="spellStart"/>
      <w:r w:rsidRPr="00CE4BFD">
        <w:rPr>
          <w:lang w:val="fr-FR"/>
        </w:rPr>
        <w:t>Ayeyarwady</w:t>
      </w:r>
      <w:proofErr w:type="spellEnd"/>
      <w:r w:rsidRPr="00CE4BFD">
        <w:rPr>
          <w:lang w:val="fr-FR"/>
        </w:rPr>
        <w:t xml:space="preserve"> ou Irrawaddy), des Philippines (sous-population du détroit de </w:t>
      </w:r>
      <w:proofErr w:type="spellStart"/>
      <w:r w:rsidRPr="00CE4BFD">
        <w:rPr>
          <w:lang w:val="fr-FR"/>
        </w:rPr>
        <w:t>Malampaya</w:t>
      </w:r>
      <w:proofErr w:type="spellEnd"/>
      <w:r w:rsidRPr="00CE4BFD">
        <w:rPr>
          <w:lang w:val="fr-FR"/>
        </w:rPr>
        <w:t xml:space="preserve">) et de Thaïlande (sous-population du lac Songkhla) sont classées dans la catégorie des espèces « En danger critique » dans la Liste rouge de l’UICN. La sous-population du lac </w:t>
      </w:r>
      <w:proofErr w:type="spellStart"/>
      <w:r w:rsidRPr="00CE4BFD">
        <w:rPr>
          <w:lang w:val="fr-FR"/>
        </w:rPr>
        <w:t>Chilika</w:t>
      </w:r>
      <w:proofErr w:type="spellEnd"/>
      <w:r w:rsidRPr="00CE4BFD">
        <w:rPr>
          <w:lang w:val="fr-FR"/>
        </w:rPr>
        <w:t>, en Inde, est également petite, mais n’a pas encore fait l’objet d’une évaluation distincte. Les informations disponibles sur toutes les sous-populations montrent que les populations de dauphins de l’Irrawaddy affichent une forte fidélité au site et sont isolées des populations côtières, ce qui expose les populations isolées au risque de disparition de leur territoire si les menaces ne sont pas gérées. Les zones habitées par les dauphins de l’Irrawaddy, en particulier les populations isolées et les populations lagunaires, ont également été reconnues comme aires importantes pour les mammifères marins (IMMA) par le Groupe de travail sur les aires marines protégées (MMPATF 2019) de l’UICN. Les aires importantes pour les mammifères marins sont également une initiative soutenue par la CMS (voir Résolution 12.13).</w:t>
      </w:r>
    </w:p>
    <w:p w:rsidR="00CE4BFD" w:rsidRPr="00CE4BFD" w:rsidRDefault="00CE4BFD" w:rsidP="00CE4BFD">
      <w:pPr>
        <w:pStyle w:val="BodyText"/>
        <w:spacing w:before="201"/>
        <w:ind w:left="397" w:right="664"/>
        <w:rPr>
          <w:lang w:val="fr-FR"/>
        </w:rPr>
      </w:pPr>
      <w:r w:rsidRPr="00CE4BFD">
        <w:rPr>
          <w:lang w:val="fr-FR"/>
        </w:rPr>
        <w:t xml:space="preserve">La principale menace pour toutes les populations de dauphins de l’Irrawaddy énumérées ici est l’emmêlement dans les engins de pêche, principalement les filets maillants </w:t>
      </w:r>
      <w:proofErr w:type="spellStart"/>
      <w:r w:rsidRPr="00CE4BFD">
        <w:rPr>
          <w:lang w:val="fr-FR"/>
        </w:rPr>
        <w:t>multifilaments</w:t>
      </w:r>
      <w:proofErr w:type="spellEnd"/>
      <w:r w:rsidRPr="00CE4BFD">
        <w:rPr>
          <w:lang w:val="fr-FR"/>
        </w:rPr>
        <w:t xml:space="preserve">, les </w:t>
      </w:r>
      <w:proofErr w:type="spellStart"/>
      <w:r w:rsidRPr="00CE4BFD">
        <w:rPr>
          <w:lang w:val="fr-FR"/>
        </w:rPr>
        <w:t>sennes</w:t>
      </w:r>
      <w:proofErr w:type="spellEnd"/>
      <w:r w:rsidRPr="00CE4BFD">
        <w:rPr>
          <w:lang w:val="fr-FR"/>
        </w:rPr>
        <w:t xml:space="preserve"> de rivage et les sennes coulissantes, ainsi que les pêcheries à la ligne. La pêche à la dynamite est une source de préoccupation majeure dans certains fleuves. À </w:t>
      </w:r>
      <w:proofErr w:type="spellStart"/>
      <w:r w:rsidRPr="00CE4BFD">
        <w:rPr>
          <w:lang w:val="fr-FR"/>
        </w:rPr>
        <w:t>Chilika</w:t>
      </w:r>
      <w:proofErr w:type="spellEnd"/>
      <w:r w:rsidRPr="00CE4BFD">
        <w:rPr>
          <w:lang w:val="fr-FR"/>
        </w:rPr>
        <w:t>, l’observation non durable des dauphins soulève également des inquiétudes (D’Lima 2014).</w:t>
      </w:r>
    </w:p>
    <w:p w:rsidR="00CE4BFD" w:rsidRPr="00CE4BFD" w:rsidRDefault="00CE4BFD" w:rsidP="00CE4BFD">
      <w:pPr>
        <w:pStyle w:val="BodyText"/>
        <w:spacing w:before="201"/>
        <w:ind w:left="397" w:right="664"/>
        <w:rPr>
          <w:lang w:val="fr-FR"/>
        </w:rPr>
      </w:pPr>
      <w:r w:rsidRPr="00CE4BFD">
        <w:rPr>
          <w:lang w:val="fr-FR"/>
        </w:rPr>
        <w:t>Au sein des populations fluviales, le maintien du débit et du niveau d’eau joue un rôle très important dans les déplacements saisonniers et la disponibilité des proies. Les populations fluviales de dauphins de l’Irrawaddy ont également besoin d’accords internationaux sur le maintien d’un « débit d’eau pertinent sur le plan écologique » – au même titre que l’Action concertée requise pour maintenir les populations de dauphins d’Asie du Sud – dans les fleuves à travers les frontières politiques, les barrages et les retenues.</w:t>
      </w:r>
    </w:p>
    <w:p w:rsidR="00CE4BFD" w:rsidRPr="00CE4BFD" w:rsidRDefault="00CE4BFD" w:rsidP="00CE4BFD">
      <w:pPr>
        <w:pStyle w:val="BodyText"/>
        <w:spacing w:before="201"/>
        <w:ind w:left="397" w:right="664"/>
        <w:rPr>
          <w:lang w:val="fr-FR"/>
        </w:rPr>
      </w:pPr>
      <w:r w:rsidRPr="00CE4BFD">
        <w:rPr>
          <w:lang w:val="fr-FR"/>
        </w:rPr>
        <w:t xml:space="preserve">La pollution de l’eau est un autre problème très grave, car les dauphins de l’Irrawaddy vivent à proximité des établissements humains (rivières, lagunes et eaux côtières). À </w:t>
      </w:r>
      <w:proofErr w:type="spellStart"/>
      <w:r w:rsidRPr="00CE4BFD">
        <w:rPr>
          <w:lang w:val="fr-FR"/>
        </w:rPr>
        <w:t>Chilika</w:t>
      </w:r>
      <w:proofErr w:type="spellEnd"/>
      <w:r w:rsidRPr="00CE4BFD">
        <w:rPr>
          <w:lang w:val="fr-FR"/>
        </w:rPr>
        <w:t>, des polluants organiques persistants provenant des eaux de ruissellement agricoles et susceptibles d’induire une immunodéficience ont été détectés chez les dauphins de l’Irrawaddy (</w:t>
      </w:r>
      <w:proofErr w:type="spellStart"/>
      <w:r w:rsidRPr="00CE4BFD">
        <w:rPr>
          <w:lang w:val="fr-FR"/>
        </w:rPr>
        <w:t>Kannan</w:t>
      </w:r>
      <w:proofErr w:type="spellEnd"/>
      <w:r w:rsidRPr="00CE4BFD">
        <w:rPr>
          <w:lang w:val="fr-FR"/>
        </w:rPr>
        <w:t xml:space="preserve"> et al. 2005). En effet, des nodules cutanés, probablement d’origine virale ou bactérienne, ont été signalés chez des dauphins de l’Irrawaddy en Malaisie (Kuching, Bintulu-</w:t>
      </w:r>
      <w:proofErr w:type="spellStart"/>
      <w:r w:rsidRPr="00CE4BFD">
        <w:rPr>
          <w:lang w:val="fr-FR"/>
        </w:rPr>
        <w:t>Similajau</w:t>
      </w:r>
      <w:proofErr w:type="spellEnd"/>
      <w:r w:rsidRPr="00CE4BFD">
        <w:rPr>
          <w:lang w:val="fr-FR"/>
        </w:rPr>
        <w:t>, Kinabatangan-</w:t>
      </w:r>
      <w:proofErr w:type="spellStart"/>
      <w:r w:rsidRPr="00CE4BFD">
        <w:rPr>
          <w:lang w:val="fr-FR"/>
        </w:rPr>
        <w:t>Segama</w:t>
      </w:r>
      <w:proofErr w:type="spellEnd"/>
      <w:r w:rsidRPr="00CE4BFD">
        <w:rPr>
          <w:lang w:val="fr-FR"/>
        </w:rPr>
        <w:t xml:space="preserve"> et Penang Island), en Inde (lac de </w:t>
      </w:r>
      <w:proofErr w:type="spellStart"/>
      <w:r w:rsidRPr="00CE4BFD">
        <w:rPr>
          <w:lang w:val="fr-FR"/>
        </w:rPr>
        <w:t>Chilika</w:t>
      </w:r>
      <w:proofErr w:type="spellEnd"/>
      <w:r w:rsidRPr="00CE4BFD">
        <w:rPr>
          <w:lang w:val="fr-FR"/>
        </w:rPr>
        <w:t xml:space="preserve">) et au Bangladesh (Sundarbans), le pourcentage d’individus affectés à </w:t>
      </w:r>
      <w:proofErr w:type="spellStart"/>
      <w:r w:rsidRPr="00CE4BFD">
        <w:rPr>
          <w:lang w:val="fr-FR"/>
        </w:rPr>
        <w:t>Chilika</w:t>
      </w:r>
      <w:proofErr w:type="spellEnd"/>
      <w:r w:rsidRPr="00CE4BFD">
        <w:rPr>
          <w:lang w:val="fr-FR"/>
        </w:rPr>
        <w:t xml:space="preserve"> (Van </w:t>
      </w:r>
      <w:proofErr w:type="spellStart"/>
      <w:r w:rsidRPr="00CE4BFD">
        <w:rPr>
          <w:lang w:val="fr-FR"/>
        </w:rPr>
        <w:t>Bressen</w:t>
      </w:r>
      <w:proofErr w:type="spellEnd"/>
      <w:r w:rsidRPr="00CE4BFD">
        <w:rPr>
          <w:lang w:val="fr-FR"/>
        </w:rPr>
        <w:t xml:space="preserve"> et al 2014) étant le plus élevé.</w:t>
      </w:r>
    </w:p>
    <w:p w:rsidR="00CE4BFD" w:rsidRPr="00CE4BFD" w:rsidRDefault="00CE4BFD" w:rsidP="00CE4BFD">
      <w:pPr>
        <w:pStyle w:val="BodyText"/>
        <w:spacing w:before="201"/>
        <w:ind w:left="360" w:right="664"/>
        <w:rPr>
          <w:lang w:val="fr-FR"/>
        </w:rPr>
      </w:pPr>
      <w:r w:rsidRPr="00CE4BFD">
        <w:rPr>
          <w:lang w:val="fr-FR"/>
        </w:rPr>
        <w:t>Les menaces entraînent une mortalité insoutenable et pourraient conduire à une réduction estimée de 30 % de la taille de la population au cours des trois prochaines générations. Les menaces et les tendances à la baisse dans la répartition et l’abondance de tant de populations de l’espèce lui accordent une priorité élevée en matière de conservation. L’espèce est menacée d’extirpation locale, d’où la nécessité d’une coopération internationale et d’une action concertée afin de conserver les populations qui se vont au-delà des frontières nationales.</w:t>
      </w:r>
    </w:p>
    <w:p w:rsidR="00CE4BFD" w:rsidRPr="00CE4BFD" w:rsidRDefault="00CE4BFD" w:rsidP="00CE4BFD">
      <w:pPr>
        <w:pStyle w:val="Heading2"/>
        <w:keepNext w:val="0"/>
        <w:tabs>
          <w:tab w:val="left" w:pos="740"/>
        </w:tabs>
        <w:spacing w:before="202"/>
        <w:ind w:left="360"/>
        <w:jc w:val="both"/>
        <w:rPr>
          <w:rFonts w:cs="Arial"/>
          <w:b w:val="0"/>
          <w:sz w:val="22"/>
          <w:szCs w:val="22"/>
          <w:u w:val="single"/>
          <w:lang w:val="fr-FR"/>
        </w:rPr>
      </w:pPr>
      <w:r w:rsidRPr="00CE4BFD">
        <w:rPr>
          <w:b w:val="0"/>
          <w:sz w:val="22"/>
          <w:szCs w:val="22"/>
          <w:lang w:val="fr-FR"/>
        </w:rPr>
        <w:t xml:space="preserve">ii) </w:t>
      </w:r>
      <w:r w:rsidRPr="00CE4BFD">
        <w:rPr>
          <w:b w:val="0"/>
          <w:sz w:val="22"/>
          <w:szCs w:val="22"/>
          <w:u w:val="single"/>
          <w:lang w:val="fr-FR"/>
        </w:rPr>
        <w:t>Pertinence</w:t>
      </w:r>
    </w:p>
    <w:p w:rsidR="00CE4BFD" w:rsidRDefault="00CE4BFD" w:rsidP="00CE4BFD">
      <w:pPr>
        <w:pStyle w:val="BodyText"/>
        <w:spacing w:before="201"/>
        <w:ind w:left="360" w:right="664"/>
        <w:rPr>
          <w:lang w:val="fr-FR"/>
        </w:rPr>
      </w:pPr>
      <w:r w:rsidRPr="00CE4BFD">
        <w:rPr>
          <w:lang w:val="fr-FR"/>
        </w:rPr>
        <w:t>L’espèce présente un intérêt pour l’Action concertée de la CMS, car certaines populations se déplacent probablement au-delà des frontières politiques nationales, comme le montrent la Figure 1 et le Tableau 1. L’Inde et le Bangladesh sont Parties à la CMS, ce qui n’est pas le cas pour les autres pays de l’aire de répartition des dauphins de l’Irrawaddy.</w:t>
      </w:r>
    </w:p>
    <w:p w:rsidR="00CE4BFD" w:rsidRPr="00CE4BFD" w:rsidRDefault="00CE4BFD" w:rsidP="00CE4BFD">
      <w:pPr>
        <w:pStyle w:val="BodyText"/>
        <w:spacing w:before="201"/>
        <w:ind w:left="360" w:right="664"/>
        <w:rPr>
          <w:lang w:val="fr-FR"/>
        </w:rPr>
      </w:pPr>
    </w:p>
    <w:p w:rsidR="00CE4BFD" w:rsidRPr="00CE4BFD" w:rsidRDefault="00CE4BFD" w:rsidP="00CE4BFD">
      <w:pPr>
        <w:pStyle w:val="BodyText"/>
        <w:spacing w:before="201"/>
        <w:ind w:left="360" w:right="664"/>
        <w:rPr>
          <w:lang w:val="fr-FR"/>
        </w:rPr>
      </w:pPr>
      <w:r w:rsidRPr="00CE4BFD">
        <w:rPr>
          <w:lang w:val="fr-FR"/>
        </w:rPr>
        <w:t>L’espèce est inscrite à l’Annexe I de la CMS et classée comme étant en danger d’extinction dans l’ensemble ou une partie importante de son aire de répartition. Elle est également inscrite à l’Annexe II, car elle bénéficierait grandement d’une coopération internationale, raison pour laquelle l’Action concertée est d’une grande pertinence pour cette espèce.</w:t>
      </w:r>
    </w:p>
    <w:p w:rsidR="00CE4BFD" w:rsidRPr="00CE4BFD" w:rsidRDefault="00CE4BFD" w:rsidP="00CE4BFD">
      <w:pPr>
        <w:pStyle w:val="BodyText"/>
        <w:spacing w:before="203"/>
        <w:ind w:left="360" w:right="670"/>
        <w:rPr>
          <w:lang w:val="fr-FR"/>
        </w:rPr>
      </w:pPr>
      <w:r w:rsidRPr="00CE4BFD">
        <w:rPr>
          <w:lang w:val="fr-FR"/>
        </w:rPr>
        <w:t>L’inscription des dauphins de l’Irrawaddy aux Annexes I et II de la CMS exige que les Parties à la CMS qui sont aussi des États de l’aire de répartition prennent les mesures suivantes :</w:t>
      </w:r>
    </w:p>
    <w:p w:rsidR="00CE4BFD" w:rsidRPr="00CE4BFD" w:rsidRDefault="00CE4BFD" w:rsidP="00CE4BFD">
      <w:pPr>
        <w:pStyle w:val="ListParagraph"/>
        <w:numPr>
          <w:ilvl w:val="1"/>
          <w:numId w:val="14"/>
        </w:numPr>
        <w:tabs>
          <w:tab w:val="left" w:pos="1472"/>
        </w:tabs>
        <w:suppressAutoHyphens w:val="0"/>
        <w:spacing w:before="79"/>
        <w:ind w:right="665"/>
        <w:jc w:val="both"/>
        <w:textAlignment w:val="auto"/>
        <w:rPr>
          <w:rFonts w:cs="Arial"/>
          <w:i/>
          <w:sz w:val="20"/>
          <w:szCs w:val="20"/>
          <w:lang w:val="fr-FR"/>
        </w:rPr>
      </w:pPr>
      <w:r w:rsidRPr="00CE4BFD">
        <w:rPr>
          <w:i/>
          <w:sz w:val="20"/>
          <w:szCs w:val="20"/>
          <w:lang w:val="fr-FR"/>
        </w:rPr>
        <w:t>Conserver et, lorsque cela est faisable et approprié, restaurer les habitats qui sont importants pour l’espèce ;</w:t>
      </w:r>
    </w:p>
    <w:p w:rsidR="00CE4BFD" w:rsidRPr="00CE4BFD" w:rsidRDefault="00CE4BFD" w:rsidP="00CE4BFD">
      <w:pPr>
        <w:pStyle w:val="ListParagraph"/>
        <w:numPr>
          <w:ilvl w:val="1"/>
          <w:numId w:val="14"/>
        </w:numPr>
        <w:tabs>
          <w:tab w:val="left" w:pos="1472"/>
        </w:tabs>
        <w:suppressAutoHyphens w:val="0"/>
        <w:spacing w:before="76"/>
        <w:ind w:right="664"/>
        <w:jc w:val="both"/>
        <w:textAlignment w:val="auto"/>
        <w:rPr>
          <w:rFonts w:cs="Arial"/>
          <w:i/>
          <w:sz w:val="20"/>
          <w:szCs w:val="20"/>
          <w:lang w:val="fr-FR"/>
        </w:rPr>
      </w:pPr>
      <w:r w:rsidRPr="00CE4BFD">
        <w:rPr>
          <w:i/>
          <w:sz w:val="20"/>
          <w:szCs w:val="20"/>
          <w:lang w:val="fr-FR"/>
        </w:rPr>
        <w:t>Prévenir, éliminer, compenser ou minimiser, selon le cas, les effets négatifs des activités ou les obstacles qui entravent ou empêchent sérieusement la migration de l’espèce ; et</w:t>
      </w:r>
    </w:p>
    <w:p w:rsidR="00CE4BFD" w:rsidRPr="00CE4BFD" w:rsidRDefault="00CE4BFD" w:rsidP="00CE4BFD">
      <w:pPr>
        <w:pStyle w:val="ListParagraph"/>
        <w:numPr>
          <w:ilvl w:val="1"/>
          <w:numId w:val="14"/>
        </w:numPr>
        <w:tabs>
          <w:tab w:val="left" w:pos="1472"/>
        </w:tabs>
        <w:suppressAutoHyphens w:val="0"/>
        <w:spacing w:before="76"/>
        <w:ind w:right="664"/>
        <w:jc w:val="both"/>
        <w:textAlignment w:val="auto"/>
        <w:rPr>
          <w:rFonts w:cs="Arial"/>
          <w:i/>
          <w:sz w:val="20"/>
          <w:szCs w:val="20"/>
          <w:lang w:val="fr-FR"/>
        </w:rPr>
      </w:pPr>
      <w:r w:rsidRPr="00CE4BFD">
        <w:rPr>
          <w:i/>
          <w:sz w:val="20"/>
          <w:szCs w:val="20"/>
          <w:lang w:val="fr-FR"/>
        </w:rPr>
        <w:t>Dans la mesure du possible et s’il y a lieu, prévenir, réduire ou contrôler les facteurs qui mettent l’espèce en danger ou qui sont susceptibles de l’exposer davantage aux risques.</w:t>
      </w:r>
    </w:p>
    <w:p w:rsidR="00CE4BFD" w:rsidRPr="00CE4BFD" w:rsidRDefault="00CE4BFD" w:rsidP="00CE4BFD">
      <w:pPr>
        <w:pStyle w:val="BodyText"/>
        <w:spacing w:before="201"/>
        <w:ind w:left="567" w:right="664"/>
        <w:rPr>
          <w:lang w:val="fr-FR"/>
        </w:rPr>
      </w:pPr>
      <w:r w:rsidRPr="00CE4BFD">
        <w:rPr>
          <w:lang w:val="fr-FR"/>
        </w:rPr>
        <w:t>Le dauphin de l’Irrawaddy est également inscrit à l’Annexe I de la CITES qui interdit le commerce des espèces menacées d’extinction.</w:t>
      </w:r>
    </w:p>
    <w:p w:rsidR="00CE4BFD" w:rsidRPr="00CE4BFD" w:rsidRDefault="00CE4BFD" w:rsidP="00CE4BFD">
      <w:pPr>
        <w:pStyle w:val="BodyText"/>
        <w:spacing w:before="201"/>
        <w:ind w:left="567" w:right="664"/>
        <w:rPr>
          <w:lang w:val="fr-FR"/>
        </w:rPr>
      </w:pPr>
      <w:r w:rsidRPr="00CE4BFD">
        <w:rPr>
          <w:lang w:val="fr-FR"/>
        </w:rPr>
        <w:t>Le Plan d’action du PNUE-CMS pour la conservation des populations d’eau douce de dauphins de l’Irrawaddy relève que la protection spatiale et locale sera pertinente pour préserver ces populations isolées. On retrouve des populations partagées entre les pays dans les Sundarbans et dans le fleuve Mékong.</w:t>
      </w:r>
    </w:p>
    <w:p w:rsidR="00CE4BFD" w:rsidRPr="00CE4BFD" w:rsidRDefault="00CE4BFD" w:rsidP="00CE4BFD">
      <w:pPr>
        <w:pStyle w:val="BodyText"/>
        <w:spacing w:before="201"/>
        <w:ind w:left="567" w:right="664" w:hanging="35"/>
        <w:rPr>
          <w:lang w:val="fr-FR"/>
        </w:rPr>
      </w:pPr>
      <w:r w:rsidRPr="00CE4BFD">
        <w:rPr>
          <w:lang w:val="fr-FR"/>
        </w:rPr>
        <w:t>Un Mémorandum d’entente (</w:t>
      </w:r>
      <w:proofErr w:type="spellStart"/>
      <w:r w:rsidRPr="00CE4BFD">
        <w:rPr>
          <w:lang w:val="fr-FR"/>
        </w:rPr>
        <w:t>MdE</w:t>
      </w:r>
      <w:proofErr w:type="spellEnd"/>
      <w:r w:rsidRPr="00CE4BFD">
        <w:rPr>
          <w:lang w:val="fr-FR"/>
        </w:rPr>
        <w:t>) pour la conservation des cétacés et de leurs habitats dans la région des îles du Pacifique couvre également les dauphins de l’Irrawaddy.</w:t>
      </w:r>
    </w:p>
    <w:p w:rsidR="00CE4BFD" w:rsidRPr="00CE4BFD" w:rsidRDefault="00CE4BFD" w:rsidP="00CE4BFD">
      <w:pPr>
        <w:pStyle w:val="BodyText"/>
        <w:spacing w:before="201"/>
        <w:ind w:left="567" w:right="664"/>
        <w:rPr>
          <w:lang w:val="fr-FR"/>
        </w:rPr>
      </w:pPr>
      <w:r w:rsidRPr="00CE4BFD">
        <w:rPr>
          <w:lang w:val="fr-FR"/>
        </w:rPr>
        <w:t xml:space="preserve">Les zones habitées par les dauphins de l’Irrawaddy, en particulier les populations isolées et les populations lagunaires, ont également été reconnues comme aires importantes pour les mammifères marins par le Groupe de travail sur les aires marines protégées de l’UICN. Les IMMA sont également une initiative soutenue par la CMS (voir Résolution 12.13). Le lac de </w:t>
      </w:r>
      <w:proofErr w:type="spellStart"/>
      <w:r w:rsidRPr="00CE4BFD">
        <w:rPr>
          <w:lang w:val="fr-FR"/>
        </w:rPr>
        <w:t>Chilika</w:t>
      </w:r>
      <w:proofErr w:type="spellEnd"/>
      <w:r w:rsidRPr="00CE4BFD">
        <w:rPr>
          <w:lang w:val="fr-FR"/>
        </w:rPr>
        <w:t xml:space="preserve"> et les Sundarbans du Bengale occidental et du Bangladesh sont des aires importantes pour les mammifères marins (MMPATF-UICN 2019).</w:t>
      </w:r>
    </w:p>
    <w:p w:rsidR="00CE4BFD" w:rsidRPr="00CE4BFD" w:rsidRDefault="00CE4BFD" w:rsidP="00CE4BFD">
      <w:pPr>
        <w:pStyle w:val="BodyText"/>
        <w:spacing w:before="201"/>
        <w:ind w:left="674" w:right="664"/>
        <w:rPr>
          <w:lang w:val="fr-FR"/>
        </w:rPr>
      </w:pPr>
    </w:p>
    <w:p w:rsidR="00CE4BFD" w:rsidRPr="00CE4BFD" w:rsidRDefault="00CE4BFD" w:rsidP="00CE4BFD">
      <w:pPr>
        <w:ind w:firstLine="397"/>
        <w:jc w:val="both"/>
        <w:rPr>
          <w:rFonts w:cs="Arial"/>
          <w:lang w:val="fr-FR"/>
        </w:rPr>
      </w:pPr>
      <w:r w:rsidRPr="00CE4BFD">
        <w:rPr>
          <w:lang w:val="fr-FR"/>
        </w:rPr>
        <w:t xml:space="preserve">iii) </w:t>
      </w:r>
      <w:r w:rsidRPr="00CE4BFD">
        <w:rPr>
          <w:u w:val="single"/>
          <w:lang w:val="fr-FR"/>
        </w:rPr>
        <w:t>Absence de meilleures voies de recours</w:t>
      </w:r>
    </w:p>
    <w:p w:rsidR="00CE4BFD" w:rsidRPr="00CE4BFD" w:rsidRDefault="00CE4BFD" w:rsidP="00CE4BFD">
      <w:pPr>
        <w:pStyle w:val="BodyText"/>
        <w:spacing w:before="201"/>
        <w:ind w:left="397" w:right="664"/>
        <w:rPr>
          <w:lang w:val="fr-FR"/>
        </w:rPr>
      </w:pPr>
      <w:r w:rsidRPr="00CE4BFD">
        <w:rPr>
          <w:lang w:val="fr-FR"/>
        </w:rPr>
        <w:t>La plupart des pays de l’aire de répartition offrent une protection stricte à l’espèce – grâce à la règlementation de la pêche, à la protection des espèces sauvages, et à la mise en place d’aires protégées – par l’entremise de divers départements administratifs. Pourtant, les populations montrent toutes des tendances à la baisse. Les menaces ont été identifiées et des mesures d’atténuation – allant de l’arrêt total des pêcheries à l’offre d’un moyen de subsistance alternatif aux pêcheurs – ont été proposées. Malgré cela, une collaboration transnationale est nécessaire pour les questions relatives au débit de l’eau, au contrôle de la pollution rejetée dans les fleuves et les zones côtières, à la gestion du trafic maritime dans les fleuves et les zones côtières, et à la gestion des habitats.</w:t>
      </w:r>
    </w:p>
    <w:p w:rsidR="00CE4BFD" w:rsidRDefault="00CE4BFD" w:rsidP="00CE4BFD">
      <w:pPr>
        <w:pStyle w:val="BodyText"/>
        <w:spacing w:before="201"/>
        <w:ind w:left="360" w:right="664"/>
        <w:rPr>
          <w:lang w:val="fr-FR"/>
        </w:rPr>
      </w:pPr>
      <w:r>
        <w:rPr>
          <w:lang w:val="fr-FR"/>
        </w:rPr>
        <w:br w:type="page"/>
      </w:r>
    </w:p>
    <w:p w:rsidR="00CE4BFD" w:rsidRDefault="00CE4BFD" w:rsidP="00CE4BFD">
      <w:pPr>
        <w:pStyle w:val="BodyText"/>
        <w:spacing w:before="201"/>
        <w:ind w:left="360" w:right="664"/>
        <w:rPr>
          <w:lang w:val="fr-FR"/>
        </w:rPr>
      </w:pPr>
      <w:r w:rsidRPr="00CE4BFD">
        <w:rPr>
          <w:lang w:val="fr-FR"/>
        </w:rPr>
        <w:lastRenderedPageBreak/>
        <w:t>Des réunions et des discussions régionales, nationales et internationales se sont tenues au cours des trois dernières décennies dans tous les pays de l’aire de répartition. Cependant, la traduction des recommandations en mesures de conservation et en réalisations fait défaut, malgré les efforts déployés à de multiples échelles. L’un des résultats des interventions de conservation (plus particulièrement des programmes d’éducation et de sensibilisation) a été la réduction potentielle de la capture ciblée pour l’exposition en captivité. Toutefois, la mortalité imputable aux prises accessoires dans les engins de pêche demeure une menace importante. Il est important d’assurer une surveillance standard de la mortalité par prises accessoires dans l’ensemble de l’aire de répartition. Dans le cas spécifique des dauphins de l’Irrawaddy qui partagent leur habitat entre les eaux côtières et les Sundarbans de l’Inde et du Bangladesh, cette Action concertée devrait compléter l’Action concertée proposée en faveur des dauphins de l’Asie du Sud. Tout d’abord, alors que le Bangladesh dispose d’un programme de surveillance des cétacés dans les Sundarbans orientales, l’Inde n’a pas mené de recherches approfondies dans ses Sundarbans. La taille totale de la population de cette région n’est pas encore certaine, car tous les tronçons fluviaux dans lesquels elle se trouve n’ont pas encore été étudiés (en particulier dans les Sundarbans indiennes). Ajoutons que la région est et sera confrontée à l’avenir aux problèmes courants posés par le changement climatique, la montée du niveau de la mer, l’évolution de la salinité des eaux et la variation de l’étendue de l’eau dans les systèmes de mangrove. Les barrages ou les retenues construits en amont ou dans les régions de montagne auront une incidence sur ces facteurs de répartition. C’est la raison pour laquelle une Action concertée entre l’Inde et le Bangladesh revêt aujourd’hui une grande importance.</w:t>
      </w:r>
    </w:p>
    <w:p w:rsidR="00CE4BFD" w:rsidRPr="00CE4BFD" w:rsidRDefault="00CE4BFD" w:rsidP="00CE4BFD">
      <w:pPr>
        <w:pStyle w:val="BodyText"/>
        <w:spacing w:before="201"/>
        <w:ind w:left="360" w:right="664"/>
        <w:rPr>
          <w:rFonts w:cs="Arial"/>
          <w:szCs w:val="22"/>
          <w:u w:val="single"/>
          <w:lang w:val="fr-FR"/>
        </w:rPr>
      </w:pPr>
      <w:r w:rsidRPr="00CE4BFD">
        <w:rPr>
          <w:szCs w:val="22"/>
          <w:lang w:val="fr-FR"/>
        </w:rPr>
        <w:t xml:space="preserve">iv) </w:t>
      </w:r>
      <w:r w:rsidRPr="00CE4BFD">
        <w:rPr>
          <w:szCs w:val="22"/>
          <w:u w:val="single"/>
          <w:lang w:val="fr-FR"/>
        </w:rPr>
        <w:t>Préparation et faisabilité</w:t>
      </w:r>
    </w:p>
    <w:p w:rsidR="00CE4BFD" w:rsidRPr="00CE4BFD" w:rsidRDefault="00CE4BFD" w:rsidP="00CE4BFD">
      <w:pPr>
        <w:pStyle w:val="BodyText"/>
        <w:spacing w:before="201"/>
        <w:ind w:left="360" w:right="664"/>
        <w:rPr>
          <w:lang w:val="fr-FR"/>
        </w:rPr>
      </w:pPr>
      <w:r w:rsidRPr="00CE4BFD">
        <w:rPr>
          <w:lang w:val="fr-FR"/>
        </w:rPr>
        <w:t xml:space="preserve">À l’heure actuelle, il semble y avoir de multiples appels en faveur d’une action concertée et de la coordination des activités de recherche et de conservation dans les pays de l’aire de répartition. Les deux principaux efforts récemment déployés dans ce sens ont été la création de la Global River </w:t>
      </w:r>
      <w:proofErr w:type="spellStart"/>
      <w:r w:rsidRPr="00CE4BFD">
        <w:rPr>
          <w:lang w:val="fr-FR"/>
        </w:rPr>
        <w:t>Dolphin</w:t>
      </w:r>
      <w:proofErr w:type="spellEnd"/>
      <w:r w:rsidRPr="00CE4BFD">
        <w:rPr>
          <w:lang w:val="fr-FR"/>
        </w:rPr>
        <w:t xml:space="preserve"> Initiative par le Fonds mondial pour la nature (WWF), et les efforts de concertation au titre de la Convention sur les espèces migratrices. L’évaluation de l’état et de la conservation des dauphins de l’Irrawaddy dans les Sundarbans était l’un des 57 projets prioritaires décrits dans le Plan d’action pour la conservation des cétacés dans le monde (2002-2010) de l’UICN (Reeves et al. 2003). Il existe donc des indications claires de la nécessité et de l’intention d’une collaboration, et la faisabilité de projets ou d’actions conjoints dans un proche avenir devrait être élevée. De plus, les gouvernements du Bangladesh et de l’Inde ont mis en place des plans de rétablissement, des plans de gestion et des plans d’action de conservation hautement prioritaires dont les objectifs sont généralement alignés sur les visées de ces initiatives mondiales. Le principal défi consiste bien entendu à déterminer comment aligner les objectifs de ces processus parallèles sur la mise en œuvre des recommandations de conservation sur le terrain.</w:t>
      </w:r>
    </w:p>
    <w:p w:rsidR="00CE4BFD" w:rsidRPr="00CE4BFD" w:rsidRDefault="00CE4BFD" w:rsidP="00CE4BFD">
      <w:pPr>
        <w:pStyle w:val="BodyText"/>
        <w:spacing w:before="201"/>
        <w:ind w:left="360" w:right="664"/>
        <w:rPr>
          <w:lang w:val="fr-FR"/>
        </w:rPr>
      </w:pPr>
      <w:r w:rsidRPr="00CE4BFD">
        <w:rPr>
          <w:lang w:val="fr-FR"/>
        </w:rPr>
        <w:t xml:space="preserve">Les zones habitées par les dauphins de l’Irrawaddy, en particulier les populations isolées et les populations lagunaires, ont également été reconnues comme aires importantes pour les mammifères marins par le Groupe de travail sur les aires marines protégées de l’UICN. Les IMMA sont également une initiative soutenue par la CMS (voir Résolution 12.13), et le lac de </w:t>
      </w:r>
      <w:proofErr w:type="spellStart"/>
      <w:r w:rsidRPr="00CE4BFD">
        <w:rPr>
          <w:lang w:val="fr-FR"/>
        </w:rPr>
        <w:t>Chilika</w:t>
      </w:r>
      <w:proofErr w:type="spellEnd"/>
      <w:r w:rsidRPr="00CE4BFD">
        <w:rPr>
          <w:lang w:val="fr-FR"/>
        </w:rPr>
        <w:t xml:space="preserve"> et les Sundarbans du Bengale occidental et du Bangladesh sont des aires importantes pour les mammifères marins (MMPATF-UICN 2019).</w:t>
      </w:r>
      <w:r>
        <w:rPr>
          <w:lang w:val="fr-FR"/>
        </w:rPr>
        <w:br w:type="page"/>
      </w:r>
    </w:p>
    <w:p w:rsidR="00CE4BFD" w:rsidRPr="00CE4BFD" w:rsidRDefault="00CE4BFD" w:rsidP="00CE4BFD">
      <w:pPr>
        <w:spacing w:before="200"/>
        <w:ind w:left="391" w:right="664"/>
        <w:jc w:val="both"/>
        <w:rPr>
          <w:rFonts w:cs="Arial"/>
          <w:u w:val="single"/>
          <w:lang w:val="fr-FR"/>
        </w:rPr>
      </w:pPr>
      <w:r w:rsidRPr="00CE4BFD">
        <w:rPr>
          <w:lang w:val="fr-FR"/>
        </w:rPr>
        <w:lastRenderedPageBreak/>
        <w:t xml:space="preserve">v) </w:t>
      </w:r>
      <w:r w:rsidRPr="00CE4BFD">
        <w:rPr>
          <w:u w:val="single"/>
          <w:lang w:val="fr-FR"/>
        </w:rPr>
        <w:t>Probabilité de réussite :</w:t>
      </w:r>
    </w:p>
    <w:p w:rsidR="00CE4BFD" w:rsidRPr="00CE4BFD" w:rsidRDefault="00CE4BFD" w:rsidP="00CE4BFD">
      <w:pPr>
        <w:spacing w:before="200"/>
        <w:ind w:left="391" w:right="664"/>
        <w:jc w:val="both"/>
        <w:rPr>
          <w:rFonts w:cs="Arial"/>
          <w:sz w:val="18"/>
          <w:lang w:val="fr-FR"/>
        </w:rPr>
      </w:pPr>
      <w:r w:rsidRPr="00CE4BFD">
        <w:rPr>
          <w:b/>
          <w:bCs/>
          <w:sz w:val="18"/>
          <w:lang w:val="fr-FR"/>
        </w:rPr>
        <w:t>Tableau 1.</w:t>
      </w:r>
      <w:r w:rsidRPr="00CE4BFD">
        <w:rPr>
          <w:b/>
          <w:sz w:val="18"/>
          <w:lang w:val="fr-FR"/>
        </w:rPr>
        <w:t xml:space="preserve"> </w:t>
      </w:r>
      <w:r w:rsidRPr="00CE4BFD">
        <w:rPr>
          <w:sz w:val="18"/>
          <w:lang w:val="fr-FR"/>
        </w:rPr>
        <w:t xml:space="preserve">État actuel des principaux attributs/indicateurs écologiques des dauphins de l’Irrawaddy </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84"/>
        <w:gridCol w:w="9"/>
        <w:gridCol w:w="1986"/>
        <w:gridCol w:w="81"/>
        <w:gridCol w:w="927"/>
        <w:gridCol w:w="32"/>
        <w:gridCol w:w="4593"/>
      </w:tblGrid>
      <w:tr w:rsidR="00CE4BFD" w:rsidRPr="006720AD" w:rsidTr="00CE4BFD">
        <w:trPr>
          <w:trHeight w:val="460"/>
        </w:trPr>
        <w:tc>
          <w:tcPr>
            <w:tcW w:w="1493" w:type="dxa"/>
            <w:gridSpan w:val="2"/>
            <w:shd w:val="clear" w:color="auto" w:fill="D9E2F3" w:themeFill="accent1" w:themeFillTint="33"/>
          </w:tcPr>
          <w:p w:rsidR="00CE4BFD" w:rsidRPr="006720AD" w:rsidRDefault="00CE4BFD" w:rsidP="00CE4BFD">
            <w:pPr>
              <w:pStyle w:val="TableParagraph"/>
              <w:ind w:left="523" w:right="518"/>
              <w:jc w:val="both"/>
              <w:rPr>
                <w:sz w:val="20"/>
              </w:rPr>
            </w:pPr>
            <w:r>
              <w:rPr>
                <w:sz w:val="20"/>
              </w:rPr>
              <w:t>PIE</w:t>
            </w:r>
          </w:p>
        </w:tc>
        <w:tc>
          <w:tcPr>
            <w:tcW w:w="2067" w:type="dxa"/>
            <w:gridSpan w:val="2"/>
            <w:shd w:val="clear" w:color="auto" w:fill="D9E2F3" w:themeFill="accent1" w:themeFillTint="33"/>
          </w:tcPr>
          <w:p w:rsidR="00CE4BFD" w:rsidRPr="006720AD" w:rsidRDefault="00CE4BFD" w:rsidP="00CE4BFD">
            <w:pPr>
              <w:pStyle w:val="TableParagraph"/>
              <w:ind w:left="631"/>
              <w:jc w:val="both"/>
              <w:rPr>
                <w:sz w:val="20"/>
              </w:rPr>
            </w:pPr>
            <w:r>
              <w:rPr>
                <w:sz w:val="20"/>
              </w:rPr>
              <w:t>Indicateur</w:t>
            </w:r>
          </w:p>
        </w:tc>
        <w:tc>
          <w:tcPr>
            <w:tcW w:w="959" w:type="dxa"/>
            <w:gridSpan w:val="2"/>
            <w:shd w:val="clear" w:color="auto" w:fill="D9E2F3" w:themeFill="accent1" w:themeFillTint="33"/>
          </w:tcPr>
          <w:p w:rsidR="00CE4BFD" w:rsidRPr="006720AD" w:rsidRDefault="00CE4BFD" w:rsidP="00CE4BFD">
            <w:pPr>
              <w:pStyle w:val="TableParagraph"/>
              <w:spacing w:before="3"/>
              <w:ind w:left="210" w:hanging="65"/>
              <w:jc w:val="both"/>
              <w:rPr>
                <w:sz w:val="20"/>
              </w:rPr>
            </w:pPr>
            <w:r>
              <w:rPr>
                <w:sz w:val="20"/>
              </w:rPr>
              <w:t>Statut actuel</w:t>
            </w:r>
          </w:p>
        </w:tc>
        <w:tc>
          <w:tcPr>
            <w:tcW w:w="4593" w:type="dxa"/>
            <w:shd w:val="clear" w:color="auto" w:fill="D9E2F3" w:themeFill="accent1" w:themeFillTint="33"/>
          </w:tcPr>
          <w:p w:rsidR="00CE4BFD" w:rsidRPr="006720AD" w:rsidRDefault="00CE4BFD" w:rsidP="00CE4BFD">
            <w:pPr>
              <w:pStyle w:val="TableParagraph"/>
              <w:ind w:left="1320"/>
              <w:jc w:val="both"/>
              <w:rPr>
                <w:sz w:val="20"/>
              </w:rPr>
            </w:pPr>
            <w:r>
              <w:rPr>
                <w:sz w:val="20"/>
              </w:rPr>
              <w:t>Bien-fondé/Justification</w:t>
            </w:r>
          </w:p>
        </w:tc>
      </w:tr>
      <w:tr w:rsidR="00CE4BFD" w:rsidRPr="00CE4BFD" w:rsidTr="00CE4BFD">
        <w:trPr>
          <w:trHeight w:val="915"/>
        </w:trPr>
        <w:tc>
          <w:tcPr>
            <w:tcW w:w="1493" w:type="dxa"/>
            <w:gridSpan w:val="2"/>
            <w:vMerge w:val="restart"/>
          </w:tcPr>
          <w:p w:rsidR="00CE4BFD" w:rsidRPr="006720AD" w:rsidRDefault="00CE4BFD" w:rsidP="00CE4BFD">
            <w:pPr>
              <w:pStyle w:val="TableParagraph"/>
              <w:ind w:left="107" w:right="142"/>
              <w:jc w:val="both"/>
              <w:rPr>
                <w:sz w:val="20"/>
              </w:rPr>
            </w:pPr>
            <w:r>
              <w:rPr>
                <w:sz w:val="20"/>
              </w:rPr>
              <w:t>Taille de la population</w:t>
            </w:r>
          </w:p>
        </w:tc>
        <w:tc>
          <w:tcPr>
            <w:tcW w:w="2067" w:type="dxa"/>
            <w:gridSpan w:val="2"/>
          </w:tcPr>
          <w:p w:rsidR="00CE4BFD" w:rsidRPr="006720AD" w:rsidRDefault="00CE4BFD" w:rsidP="00CE4BFD">
            <w:pPr>
              <w:pStyle w:val="TableParagraph"/>
              <w:ind w:left="107" w:right="285"/>
              <w:rPr>
                <w:sz w:val="20"/>
              </w:rPr>
            </w:pPr>
            <w:r>
              <w:rPr>
                <w:sz w:val="20"/>
              </w:rPr>
              <w:t>Nombre de dauphins de l’Irrawaddy dans l’aire de répartition géographique</w:t>
            </w:r>
          </w:p>
        </w:tc>
        <w:tc>
          <w:tcPr>
            <w:tcW w:w="959" w:type="dxa"/>
            <w:gridSpan w:val="2"/>
            <w:shd w:val="clear" w:color="auto" w:fill="auto"/>
          </w:tcPr>
          <w:p w:rsidR="00CE4BFD" w:rsidRPr="006720AD" w:rsidRDefault="00CE4BFD" w:rsidP="00CE4BFD">
            <w:pPr>
              <w:pStyle w:val="TableParagraph"/>
              <w:ind w:left="303"/>
              <w:rPr>
                <w:sz w:val="20"/>
              </w:rPr>
            </w:pPr>
            <w:r>
              <w:rPr>
                <w:sz w:val="20"/>
              </w:rPr>
              <w:t>Passable</w:t>
            </w:r>
          </w:p>
        </w:tc>
        <w:tc>
          <w:tcPr>
            <w:tcW w:w="4593" w:type="dxa"/>
          </w:tcPr>
          <w:p w:rsidR="00CE4BFD" w:rsidRPr="006720AD" w:rsidRDefault="00CE4BFD" w:rsidP="00CE4BFD">
            <w:pPr>
              <w:pStyle w:val="TableParagraph"/>
              <w:ind w:left="105" w:right="62"/>
              <w:rPr>
                <w:sz w:val="20"/>
              </w:rPr>
            </w:pPr>
            <w:r>
              <w:rPr>
                <w:sz w:val="20"/>
              </w:rPr>
              <w:t>Les espèces sont En danger (actuellement inscrites par l’UICN sur la liste des espèces en danger), avec moins de 100 individus dans presque toutes leurs sous-populations, à l’exception d’une grande population au large des côtes du Bangladesh.</w:t>
            </w:r>
          </w:p>
        </w:tc>
      </w:tr>
      <w:tr w:rsidR="00CE4BFD" w:rsidRPr="00CE4BFD" w:rsidTr="00CE4BFD">
        <w:trPr>
          <w:trHeight w:val="921"/>
        </w:trPr>
        <w:tc>
          <w:tcPr>
            <w:tcW w:w="1493" w:type="dxa"/>
            <w:gridSpan w:val="2"/>
            <w:vMerge/>
          </w:tcPr>
          <w:p w:rsidR="00CE4BFD" w:rsidRPr="00CE4BFD" w:rsidRDefault="00CE4BFD" w:rsidP="00CE4BFD">
            <w:pPr>
              <w:jc w:val="both"/>
              <w:rPr>
                <w:sz w:val="2"/>
                <w:szCs w:val="2"/>
                <w:lang w:val="fr-FR"/>
              </w:rPr>
            </w:pPr>
          </w:p>
        </w:tc>
        <w:tc>
          <w:tcPr>
            <w:tcW w:w="2067" w:type="dxa"/>
            <w:gridSpan w:val="2"/>
          </w:tcPr>
          <w:p w:rsidR="00CE4BFD" w:rsidRPr="006720AD" w:rsidRDefault="00CE4BFD" w:rsidP="00CE4BFD">
            <w:pPr>
              <w:pStyle w:val="TableParagraph"/>
              <w:spacing w:before="3"/>
              <w:ind w:left="107" w:right="184"/>
              <w:rPr>
                <w:sz w:val="20"/>
              </w:rPr>
            </w:pPr>
            <w:r>
              <w:rPr>
                <w:sz w:val="20"/>
              </w:rPr>
              <w:t>Nombre de rencontres de dauphins de l’Irrawaddy par jour au cours d’études spécifiques</w:t>
            </w:r>
          </w:p>
        </w:tc>
        <w:tc>
          <w:tcPr>
            <w:tcW w:w="959" w:type="dxa"/>
            <w:gridSpan w:val="2"/>
            <w:shd w:val="clear" w:color="auto" w:fill="auto"/>
          </w:tcPr>
          <w:p w:rsidR="00CE4BFD" w:rsidRPr="006720AD" w:rsidRDefault="00CE4BFD" w:rsidP="00CE4BFD">
            <w:pPr>
              <w:pStyle w:val="TableParagraph"/>
              <w:ind w:left="303"/>
              <w:rPr>
                <w:sz w:val="20"/>
              </w:rPr>
            </w:pPr>
            <w:r>
              <w:rPr>
                <w:sz w:val="20"/>
              </w:rPr>
              <w:t>Faible</w:t>
            </w:r>
          </w:p>
        </w:tc>
        <w:tc>
          <w:tcPr>
            <w:tcW w:w="4593" w:type="dxa"/>
          </w:tcPr>
          <w:p w:rsidR="00CE4BFD" w:rsidRPr="006720AD" w:rsidRDefault="00CE4BFD" w:rsidP="00CE4BFD">
            <w:pPr>
              <w:pStyle w:val="TableParagraph"/>
              <w:ind w:left="105"/>
              <w:rPr>
                <w:sz w:val="20"/>
              </w:rPr>
            </w:pPr>
            <w:r>
              <w:rPr>
                <w:sz w:val="20"/>
              </w:rPr>
              <w:t>Les études spécialisées se limitent aux endroits où des points chauds des dauphins de l’Irrawaddy sont répertoriés, ce qui augmente les taux de rencontre.</w:t>
            </w:r>
          </w:p>
        </w:tc>
      </w:tr>
      <w:tr w:rsidR="00CE4BFD" w:rsidRPr="00CE4BFD" w:rsidTr="00CE4BFD">
        <w:trPr>
          <w:trHeight w:val="456"/>
        </w:trPr>
        <w:tc>
          <w:tcPr>
            <w:tcW w:w="1493" w:type="dxa"/>
            <w:gridSpan w:val="2"/>
            <w:vMerge/>
          </w:tcPr>
          <w:p w:rsidR="00CE4BFD" w:rsidRPr="00CE4BFD" w:rsidRDefault="00CE4BFD" w:rsidP="00CE4BFD">
            <w:pPr>
              <w:jc w:val="both"/>
              <w:rPr>
                <w:sz w:val="2"/>
                <w:szCs w:val="2"/>
                <w:lang w:val="fr-FR"/>
              </w:rPr>
            </w:pPr>
          </w:p>
        </w:tc>
        <w:tc>
          <w:tcPr>
            <w:tcW w:w="2067" w:type="dxa"/>
            <w:gridSpan w:val="2"/>
          </w:tcPr>
          <w:p w:rsidR="00CE4BFD" w:rsidRPr="006720AD" w:rsidRDefault="00CE4BFD" w:rsidP="00CE4BFD">
            <w:pPr>
              <w:pStyle w:val="TableParagraph"/>
              <w:spacing w:before="3"/>
              <w:ind w:left="107" w:right="285"/>
              <w:rPr>
                <w:sz w:val="20"/>
              </w:rPr>
            </w:pPr>
            <w:r>
              <w:rPr>
                <w:sz w:val="20"/>
              </w:rPr>
              <w:t>Nombre de dauphins de l’Irrawaddy décédés par an</w:t>
            </w:r>
          </w:p>
        </w:tc>
        <w:tc>
          <w:tcPr>
            <w:tcW w:w="959" w:type="dxa"/>
            <w:gridSpan w:val="2"/>
            <w:shd w:val="clear" w:color="auto" w:fill="auto"/>
          </w:tcPr>
          <w:p w:rsidR="00CE4BFD" w:rsidRPr="006720AD" w:rsidRDefault="00CE4BFD" w:rsidP="00CE4BFD">
            <w:pPr>
              <w:pStyle w:val="TableParagraph"/>
              <w:ind w:left="265"/>
              <w:rPr>
                <w:sz w:val="20"/>
              </w:rPr>
            </w:pPr>
            <w:r>
              <w:rPr>
                <w:sz w:val="20"/>
              </w:rPr>
              <w:t>Faible</w:t>
            </w:r>
          </w:p>
        </w:tc>
        <w:tc>
          <w:tcPr>
            <w:tcW w:w="4593" w:type="dxa"/>
          </w:tcPr>
          <w:p w:rsidR="00CE4BFD" w:rsidRPr="006720AD" w:rsidRDefault="00CE4BFD" w:rsidP="00CE4BFD">
            <w:pPr>
              <w:pStyle w:val="TableParagraph"/>
              <w:spacing w:before="3"/>
              <w:ind w:left="105"/>
              <w:rPr>
                <w:sz w:val="20"/>
              </w:rPr>
            </w:pPr>
            <w:r>
              <w:rPr>
                <w:sz w:val="20"/>
              </w:rPr>
              <w:t>Les données sur les échouages dans l’ensemble de l’aire de répartition indiquent un taux de mortalité insoutenable.</w:t>
            </w:r>
          </w:p>
        </w:tc>
      </w:tr>
      <w:tr w:rsidR="00CE4BFD" w:rsidRPr="00CE4BFD" w:rsidTr="00CE4BFD">
        <w:trPr>
          <w:trHeight w:val="1377"/>
        </w:trPr>
        <w:tc>
          <w:tcPr>
            <w:tcW w:w="1493" w:type="dxa"/>
            <w:gridSpan w:val="2"/>
          </w:tcPr>
          <w:p w:rsidR="00CE4BFD" w:rsidRPr="006720AD" w:rsidRDefault="00CE4BFD" w:rsidP="00CE4BFD">
            <w:pPr>
              <w:pStyle w:val="TableParagraph"/>
              <w:ind w:left="107" w:right="142"/>
              <w:jc w:val="both"/>
              <w:rPr>
                <w:sz w:val="20"/>
              </w:rPr>
            </w:pPr>
            <w:r>
              <w:rPr>
                <w:sz w:val="20"/>
              </w:rPr>
              <w:t>Stabilité de la population</w:t>
            </w:r>
          </w:p>
        </w:tc>
        <w:tc>
          <w:tcPr>
            <w:tcW w:w="2067" w:type="dxa"/>
            <w:gridSpan w:val="2"/>
          </w:tcPr>
          <w:p w:rsidR="00CE4BFD" w:rsidRPr="006720AD" w:rsidRDefault="00CE4BFD" w:rsidP="00CE4BFD">
            <w:pPr>
              <w:pStyle w:val="TableParagraph"/>
              <w:ind w:left="107"/>
              <w:rPr>
                <w:sz w:val="20"/>
              </w:rPr>
            </w:pPr>
            <w:r>
              <w:rPr>
                <w:sz w:val="20"/>
              </w:rPr>
              <w:t>Tendance de la population</w:t>
            </w:r>
          </w:p>
        </w:tc>
        <w:tc>
          <w:tcPr>
            <w:tcW w:w="959" w:type="dxa"/>
            <w:gridSpan w:val="2"/>
            <w:shd w:val="clear" w:color="auto" w:fill="auto"/>
          </w:tcPr>
          <w:p w:rsidR="00CE4BFD" w:rsidRPr="006720AD" w:rsidRDefault="00CE4BFD" w:rsidP="00CE4BFD">
            <w:pPr>
              <w:pStyle w:val="TableParagraph"/>
              <w:ind w:left="303"/>
              <w:rPr>
                <w:sz w:val="20"/>
              </w:rPr>
            </w:pPr>
            <w:r>
              <w:rPr>
                <w:sz w:val="20"/>
              </w:rPr>
              <w:t>Faible</w:t>
            </w:r>
          </w:p>
        </w:tc>
        <w:tc>
          <w:tcPr>
            <w:tcW w:w="4593" w:type="dxa"/>
          </w:tcPr>
          <w:p w:rsidR="00CE4BFD" w:rsidRPr="006720AD" w:rsidRDefault="00CE4BFD" w:rsidP="00CE4BFD">
            <w:pPr>
              <w:pStyle w:val="TableParagraph"/>
              <w:spacing w:before="4"/>
              <w:ind w:left="105" w:right="1000"/>
              <w:rPr>
                <w:sz w:val="20"/>
              </w:rPr>
            </w:pPr>
            <w:r>
              <w:rPr>
                <w:sz w:val="20"/>
              </w:rPr>
              <w:t>Une tendance à la baisse a été observée au sein de la plupart des petites populations</w:t>
            </w:r>
          </w:p>
        </w:tc>
      </w:tr>
      <w:tr w:rsidR="00CE4BFD" w:rsidRPr="00CE4BFD" w:rsidTr="00CE4BFD">
        <w:trPr>
          <w:trHeight w:val="1148"/>
        </w:trPr>
        <w:tc>
          <w:tcPr>
            <w:tcW w:w="1493" w:type="dxa"/>
            <w:gridSpan w:val="2"/>
          </w:tcPr>
          <w:p w:rsidR="00CE4BFD" w:rsidRPr="006720AD" w:rsidRDefault="00CE4BFD" w:rsidP="00CE4BFD">
            <w:pPr>
              <w:pStyle w:val="TableParagraph"/>
              <w:ind w:left="107" w:right="142"/>
              <w:jc w:val="both"/>
              <w:rPr>
                <w:sz w:val="20"/>
              </w:rPr>
            </w:pPr>
            <w:r>
              <w:rPr>
                <w:sz w:val="20"/>
              </w:rPr>
              <w:t>Structure de la population</w:t>
            </w:r>
          </w:p>
        </w:tc>
        <w:tc>
          <w:tcPr>
            <w:tcW w:w="2067" w:type="dxa"/>
            <w:gridSpan w:val="2"/>
          </w:tcPr>
          <w:p w:rsidR="00CE4BFD" w:rsidRPr="006720AD" w:rsidRDefault="00CE4BFD" w:rsidP="00CE4BFD">
            <w:pPr>
              <w:pStyle w:val="TableParagraph"/>
              <w:ind w:left="107" w:right="273"/>
              <w:rPr>
                <w:sz w:val="20"/>
              </w:rPr>
            </w:pPr>
            <w:r>
              <w:rPr>
                <w:sz w:val="20"/>
              </w:rPr>
              <w:t>Classe d’âge et répartition par sexe</w:t>
            </w:r>
          </w:p>
        </w:tc>
        <w:tc>
          <w:tcPr>
            <w:tcW w:w="959" w:type="dxa"/>
            <w:gridSpan w:val="2"/>
            <w:shd w:val="clear" w:color="auto" w:fill="auto"/>
          </w:tcPr>
          <w:p w:rsidR="00CE4BFD" w:rsidRPr="006720AD" w:rsidRDefault="00CE4BFD" w:rsidP="00CE4BFD">
            <w:pPr>
              <w:pStyle w:val="TableParagraph"/>
              <w:ind w:left="303"/>
              <w:rPr>
                <w:sz w:val="20"/>
              </w:rPr>
            </w:pPr>
            <w:r>
              <w:rPr>
                <w:sz w:val="20"/>
              </w:rPr>
              <w:t>Passable</w:t>
            </w:r>
          </w:p>
        </w:tc>
        <w:tc>
          <w:tcPr>
            <w:tcW w:w="4593" w:type="dxa"/>
          </w:tcPr>
          <w:p w:rsidR="00CE4BFD" w:rsidRPr="006720AD" w:rsidRDefault="00CE4BFD" w:rsidP="00CE4BFD">
            <w:pPr>
              <w:pStyle w:val="TableParagraph"/>
              <w:ind w:left="105" w:right="133"/>
              <w:rPr>
                <w:sz w:val="20"/>
              </w:rPr>
            </w:pPr>
            <w:r>
              <w:rPr>
                <w:sz w:val="20"/>
              </w:rPr>
              <w:t xml:space="preserve">Des bébés dauphins ont été observés la plupart des années dans la plupart des populations étudiées. La longévité des individus est jugée passable en fonction de la survie individuelle calculée </w:t>
            </w:r>
          </w:p>
        </w:tc>
      </w:tr>
      <w:tr w:rsidR="00CE4BFD" w:rsidRPr="00CE4BFD" w:rsidTr="00CE4BFD">
        <w:trPr>
          <w:trHeight w:val="459"/>
        </w:trPr>
        <w:tc>
          <w:tcPr>
            <w:tcW w:w="1493" w:type="dxa"/>
            <w:gridSpan w:val="2"/>
          </w:tcPr>
          <w:p w:rsidR="00CE4BFD" w:rsidRPr="006720AD" w:rsidRDefault="00CE4BFD" w:rsidP="00CE4BFD">
            <w:pPr>
              <w:pStyle w:val="TableParagraph"/>
              <w:spacing w:before="2"/>
              <w:ind w:left="107" w:right="142"/>
              <w:jc w:val="both"/>
              <w:rPr>
                <w:sz w:val="20"/>
              </w:rPr>
            </w:pPr>
            <w:r>
              <w:rPr>
                <w:sz w:val="20"/>
              </w:rPr>
              <w:t>Succès de la reproduction</w:t>
            </w:r>
          </w:p>
        </w:tc>
        <w:tc>
          <w:tcPr>
            <w:tcW w:w="2067" w:type="dxa"/>
            <w:gridSpan w:val="2"/>
          </w:tcPr>
          <w:p w:rsidR="00CE4BFD" w:rsidRPr="006720AD" w:rsidRDefault="00CE4BFD" w:rsidP="00CE4BFD">
            <w:pPr>
              <w:pStyle w:val="TableParagraph"/>
              <w:spacing w:before="2"/>
              <w:ind w:left="107" w:right="940"/>
              <w:rPr>
                <w:sz w:val="20"/>
              </w:rPr>
            </w:pPr>
            <w:r>
              <w:rPr>
                <w:sz w:val="20"/>
              </w:rPr>
              <w:t>Nombre de bébés dauphins observés</w:t>
            </w:r>
          </w:p>
        </w:tc>
        <w:tc>
          <w:tcPr>
            <w:tcW w:w="959" w:type="dxa"/>
            <w:gridSpan w:val="2"/>
            <w:shd w:val="clear" w:color="auto" w:fill="auto"/>
          </w:tcPr>
          <w:p w:rsidR="00CE4BFD" w:rsidRPr="006720AD" w:rsidRDefault="00CE4BFD" w:rsidP="00CE4BFD">
            <w:pPr>
              <w:pStyle w:val="TableParagraph"/>
              <w:ind w:left="303"/>
              <w:rPr>
                <w:sz w:val="20"/>
              </w:rPr>
            </w:pPr>
            <w:r>
              <w:rPr>
                <w:sz w:val="20"/>
              </w:rPr>
              <w:t>Passable</w:t>
            </w:r>
          </w:p>
        </w:tc>
        <w:tc>
          <w:tcPr>
            <w:tcW w:w="4593" w:type="dxa"/>
          </w:tcPr>
          <w:p w:rsidR="00CE4BFD" w:rsidRPr="006720AD" w:rsidRDefault="00CE4BFD" w:rsidP="00CE4BFD">
            <w:pPr>
              <w:pStyle w:val="TableParagraph"/>
              <w:ind w:left="105"/>
              <w:rPr>
                <w:sz w:val="20"/>
              </w:rPr>
            </w:pPr>
            <w:r>
              <w:rPr>
                <w:sz w:val="20"/>
              </w:rPr>
              <w:t>Un à deux bébés dauphins observés chaque année au sein des populations qui font l’objet d’une surveillance à long terme</w:t>
            </w:r>
          </w:p>
        </w:tc>
      </w:tr>
      <w:tr w:rsidR="00CE4BFD" w:rsidRPr="00CE4BFD" w:rsidTr="00CE4BFD">
        <w:trPr>
          <w:trHeight w:val="686"/>
        </w:trPr>
        <w:tc>
          <w:tcPr>
            <w:tcW w:w="1493" w:type="dxa"/>
            <w:gridSpan w:val="2"/>
            <w:vMerge w:val="restart"/>
          </w:tcPr>
          <w:p w:rsidR="00CE4BFD" w:rsidRPr="006720AD" w:rsidRDefault="00CE4BFD" w:rsidP="00CE4BFD">
            <w:pPr>
              <w:pStyle w:val="TableParagraph"/>
              <w:ind w:left="107"/>
              <w:jc w:val="both"/>
              <w:rPr>
                <w:sz w:val="20"/>
              </w:rPr>
            </w:pPr>
            <w:r>
              <w:rPr>
                <w:sz w:val="20"/>
              </w:rPr>
              <w:t>Santé</w:t>
            </w:r>
          </w:p>
        </w:tc>
        <w:tc>
          <w:tcPr>
            <w:tcW w:w="2067" w:type="dxa"/>
            <w:gridSpan w:val="2"/>
          </w:tcPr>
          <w:p w:rsidR="00CE4BFD" w:rsidRPr="006720AD" w:rsidRDefault="00CE4BFD" w:rsidP="00CE4BFD">
            <w:pPr>
              <w:pStyle w:val="TableParagraph"/>
              <w:ind w:left="107" w:right="207"/>
              <w:rPr>
                <w:sz w:val="20"/>
              </w:rPr>
            </w:pPr>
            <w:r>
              <w:rPr>
                <w:sz w:val="20"/>
              </w:rPr>
              <w:t>Maigreur (épaisseur du lard)</w:t>
            </w:r>
          </w:p>
        </w:tc>
        <w:tc>
          <w:tcPr>
            <w:tcW w:w="959" w:type="dxa"/>
            <w:gridSpan w:val="2"/>
            <w:shd w:val="clear" w:color="auto" w:fill="auto"/>
          </w:tcPr>
          <w:p w:rsidR="00CE4BFD" w:rsidRPr="006720AD" w:rsidRDefault="00CE4BFD" w:rsidP="00CE4BFD">
            <w:pPr>
              <w:pStyle w:val="TableParagraph"/>
              <w:rPr>
                <w:sz w:val="20"/>
              </w:rPr>
            </w:pPr>
            <w:r>
              <w:rPr>
                <w:sz w:val="20"/>
              </w:rPr>
              <w:t xml:space="preserve">    Bonne</w:t>
            </w:r>
          </w:p>
        </w:tc>
        <w:tc>
          <w:tcPr>
            <w:tcW w:w="4593" w:type="dxa"/>
          </w:tcPr>
          <w:p w:rsidR="00CE4BFD" w:rsidRPr="006720AD" w:rsidRDefault="00CE4BFD" w:rsidP="00CE4BFD">
            <w:pPr>
              <w:pStyle w:val="TableParagraph"/>
              <w:ind w:left="105" w:right="278"/>
              <w:rPr>
                <w:sz w:val="20"/>
              </w:rPr>
            </w:pPr>
            <w:r>
              <w:rPr>
                <w:sz w:val="20"/>
              </w:rPr>
              <w:t>Aucun dauphin de l’Irrawaddy maigre n’a pas été signalé</w:t>
            </w:r>
          </w:p>
        </w:tc>
      </w:tr>
      <w:tr w:rsidR="00CE4BFD" w:rsidRPr="00CE4BFD" w:rsidTr="00CE4BFD">
        <w:trPr>
          <w:trHeight w:val="690"/>
        </w:trPr>
        <w:tc>
          <w:tcPr>
            <w:tcW w:w="1493" w:type="dxa"/>
            <w:gridSpan w:val="2"/>
            <w:vMerge/>
          </w:tcPr>
          <w:p w:rsidR="00CE4BFD" w:rsidRPr="00CE4BFD" w:rsidRDefault="00CE4BFD" w:rsidP="00CE4BFD">
            <w:pPr>
              <w:jc w:val="both"/>
              <w:rPr>
                <w:sz w:val="2"/>
                <w:szCs w:val="2"/>
                <w:lang w:val="fr-FR"/>
              </w:rPr>
            </w:pPr>
          </w:p>
        </w:tc>
        <w:tc>
          <w:tcPr>
            <w:tcW w:w="2067" w:type="dxa"/>
            <w:gridSpan w:val="2"/>
          </w:tcPr>
          <w:p w:rsidR="00CE4BFD" w:rsidRPr="006720AD" w:rsidRDefault="00CE4BFD" w:rsidP="00CE4BFD">
            <w:pPr>
              <w:pStyle w:val="TableParagraph"/>
              <w:spacing w:before="3"/>
              <w:ind w:left="107"/>
              <w:rPr>
                <w:sz w:val="20"/>
              </w:rPr>
            </w:pPr>
            <w:r>
              <w:rPr>
                <w:sz w:val="20"/>
              </w:rPr>
              <w:t>Nombre de nouvelles cicatrices dues aux pêcheries ou à l’interaction avec les navires</w:t>
            </w:r>
          </w:p>
        </w:tc>
        <w:tc>
          <w:tcPr>
            <w:tcW w:w="959" w:type="dxa"/>
            <w:gridSpan w:val="2"/>
            <w:shd w:val="clear" w:color="auto" w:fill="auto"/>
          </w:tcPr>
          <w:p w:rsidR="00CE4BFD" w:rsidRPr="006720AD" w:rsidRDefault="00CE4BFD" w:rsidP="00CE4BFD">
            <w:pPr>
              <w:pStyle w:val="TableParagraph"/>
              <w:ind w:left="303"/>
              <w:rPr>
                <w:sz w:val="20"/>
              </w:rPr>
            </w:pPr>
            <w:r>
              <w:rPr>
                <w:sz w:val="20"/>
              </w:rPr>
              <w:t>Passable</w:t>
            </w:r>
          </w:p>
        </w:tc>
        <w:tc>
          <w:tcPr>
            <w:tcW w:w="4593" w:type="dxa"/>
          </w:tcPr>
          <w:p w:rsidR="00CE4BFD" w:rsidRPr="006720AD" w:rsidRDefault="00CE4BFD" w:rsidP="00CE4BFD">
            <w:pPr>
              <w:pStyle w:val="TableParagraph"/>
              <w:spacing w:before="3"/>
              <w:ind w:left="105" w:right="234"/>
              <w:rPr>
                <w:sz w:val="20"/>
              </w:rPr>
            </w:pPr>
            <w:r>
              <w:rPr>
                <w:sz w:val="20"/>
              </w:rPr>
              <w:t xml:space="preserve">La référence n’a pas encore été établie, mais des coupures d’hélices ont été observées à </w:t>
            </w:r>
            <w:proofErr w:type="spellStart"/>
            <w:r>
              <w:rPr>
                <w:sz w:val="20"/>
              </w:rPr>
              <w:t>Chilika</w:t>
            </w:r>
            <w:proofErr w:type="spellEnd"/>
            <w:r>
              <w:rPr>
                <w:sz w:val="20"/>
              </w:rPr>
              <w:t xml:space="preserve">. </w:t>
            </w:r>
          </w:p>
        </w:tc>
      </w:tr>
      <w:tr w:rsidR="00CE4BFD" w:rsidRPr="006720AD" w:rsidTr="00CE4BFD">
        <w:trPr>
          <w:trHeight w:val="690"/>
        </w:trPr>
        <w:tc>
          <w:tcPr>
            <w:tcW w:w="1493" w:type="dxa"/>
            <w:gridSpan w:val="2"/>
          </w:tcPr>
          <w:p w:rsidR="00CE4BFD" w:rsidRPr="00CE4BFD" w:rsidRDefault="00CE4BFD" w:rsidP="00CE4BFD">
            <w:pPr>
              <w:jc w:val="both"/>
              <w:rPr>
                <w:sz w:val="2"/>
                <w:szCs w:val="2"/>
                <w:lang w:val="fr-FR"/>
              </w:rPr>
            </w:pPr>
          </w:p>
        </w:tc>
        <w:tc>
          <w:tcPr>
            <w:tcW w:w="2067" w:type="dxa"/>
            <w:gridSpan w:val="2"/>
          </w:tcPr>
          <w:p w:rsidR="00CE4BFD" w:rsidRPr="006720AD" w:rsidRDefault="00CE4BFD" w:rsidP="00CE4BFD">
            <w:pPr>
              <w:pStyle w:val="TableParagraph"/>
              <w:spacing w:before="3"/>
              <w:ind w:left="107"/>
              <w:rPr>
                <w:sz w:val="20"/>
              </w:rPr>
            </w:pPr>
            <w:r>
              <w:rPr>
                <w:sz w:val="20"/>
              </w:rPr>
              <w:t>Signes de maladie</w:t>
            </w:r>
          </w:p>
        </w:tc>
        <w:tc>
          <w:tcPr>
            <w:tcW w:w="959" w:type="dxa"/>
            <w:gridSpan w:val="2"/>
            <w:shd w:val="clear" w:color="auto" w:fill="auto"/>
          </w:tcPr>
          <w:p w:rsidR="00CE4BFD" w:rsidRPr="006720AD" w:rsidRDefault="00CE4BFD" w:rsidP="00CE4BFD">
            <w:pPr>
              <w:pStyle w:val="TableParagraph"/>
              <w:ind w:left="303"/>
              <w:rPr>
                <w:sz w:val="20"/>
              </w:rPr>
            </w:pPr>
            <w:r>
              <w:rPr>
                <w:sz w:val="20"/>
              </w:rPr>
              <w:t>Faible</w:t>
            </w:r>
          </w:p>
        </w:tc>
        <w:tc>
          <w:tcPr>
            <w:tcW w:w="4593" w:type="dxa"/>
          </w:tcPr>
          <w:p w:rsidR="00CE4BFD" w:rsidRPr="006720AD" w:rsidRDefault="00CE4BFD" w:rsidP="00CE4BFD">
            <w:pPr>
              <w:pStyle w:val="TableParagraph"/>
              <w:spacing w:before="3"/>
              <w:ind w:left="105" w:right="234"/>
              <w:rPr>
                <w:sz w:val="20"/>
              </w:rPr>
            </w:pPr>
            <w:r>
              <w:rPr>
                <w:sz w:val="20"/>
              </w:rPr>
              <w:t xml:space="preserve">Des maladies de la peau ont été observées sur un pourcentage élevé de dauphins en Inde, en Malaisie et au Bangladesh. </w:t>
            </w:r>
            <w:r>
              <w:rPr>
                <w:sz w:val="20"/>
                <w:szCs w:val="20"/>
              </w:rPr>
              <w:t xml:space="preserve">Le </w:t>
            </w:r>
            <w:proofErr w:type="spellStart"/>
            <w:r>
              <w:rPr>
                <w:sz w:val="20"/>
                <w:szCs w:val="20"/>
              </w:rPr>
              <w:t>fibropapillome</w:t>
            </w:r>
            <w:proofErr w:type="spellEnd"/>
            <w:r>
              <w:rPr>
                <w:sz w:val="20"/>
                <w:szCs w:val="20"/>
              </w:rPr>
              <w:t xml:space="preserve"> est probablement d’origine virale ou bactérienne. </w:t>
            </w:r>
          </w:p>
        </w:tc>
      </w:tr>
      <w:tr w:rsidR="00CE4BFD" w:rsidRPr="00CE4BFD" w:rsidTr="00CE4BFD">
        <w:trPr>
          <w:trHeight w:val="919"/>
        </w:trPr>
        <w:tc>
          <w:tcPr>
            <w:tcW w:w="1484" w:type="dxa"/>
            <w:vMerge w:val="restart"/>
          </w:tcPr>
          <w:p w:rsidR="00CE4BFD" w:rsidRPr="006720AD" w:rsidRDefault="00CE4BFD" w:rsidP="00CE4BFD">
            <w:pPr>
              <w:pStyle w:val="TableParagraph"/>
              <w:jc w:val="both"/>
              <w:rPr>
                <w:sz w:val="18"/>
              </w:rPr>
            </w:pPr>
          </w:p>
        </w:tc>
        <w:tc>
          <w:tcPr>
            <w:tcW w:w="1995" w:type="dxa"/>
            <w:gridSpan w:val="2"/>
          </w:tcPr>
          <w:p w:rsidR="00CE4BFD" w:rsidRPr="006720AD" w:rsidRDefault="00CE4BFD" w:rsidP="00CE4BFD">
            <w:pPr>
              <w:pStyle w:val="TableParagraph"/>
              <w:ind w:left="107"/>
              <w:rPr>
                <w:sz w:val="20"/>
              </w:rPr>
            </w:pPr>
            <w:r>
              <w:rPr>
                <w:sz w:val="20"/>
              </w:rPr>
              <w:t>Présence/absence de lésions (TSD)</w:t>
            </w:r>
          </w:p>
        </w:tc>
        <w:tc>
          <w:tcPr>
            <w:tcW w:w="1008" w:type="dxa"/>
            <w:gridSpan w:val="2"/>
            <w:shd w:val="clear" w:color="auto" w:fill="auto"/>
          </w:tcPr>
          <w:p w:rsidR="00CE4BFD" w:rsidRPr="006720AD" w:rsidRDefault="00CE4BFD" w:rsidP="00CE4BFD">
            <w:pPr>
              <w:pStyle w:val="TableParagraph"/>
              <w:ind w:left="82" w:right="83"/>
              <w:rPr>
                <w:sz w:val="20"/>
              </w:rPr>
            </w:pPr>
            <w:r>
              <w:rPr>
                <w:sz w:val="20"/>
              </w:rPr>
              <w:t>Passable</w:t>
            </w:r>
          </w:p>
        </w:tc>
        <w:tc>
          <w:tcPr>
            <w:tcW w:w="4625" w:type="dxa"/>
            <w:gridSpan w:val="2"/>
          </w:tcPr>
          <w:p w:rsidR="00CE4BFD" w:rsidRPr="006720AD" w:rsidRDefault="00CE4BFD" w:rsidP="00CE4BFD">
            <w:pPr>
              <w:pStyle w:val="TableParagraph"/>
              <w:ind w:left="106" w:right="170"/>
              <w:rPr>
                <w:sz w:val="20"/>
              </w:rPr>
            </w:pPr>
            <w:r>
              <w:rPr>
                <w:sz w:val="20"/>
              </w:rPr>
              <w:t xml:space="preserve">La base de référence établie par </w:t>
            </w:r>
            <w:proofErr w:type="spellStart"/>
            <w:r>
              <w:rPr>
                <w:sz w:val="20"/>
              </w:rPr>
              <w:t>Bressem</w:t>
            </w:r>
            <w:proofErr w:type="spellEnd"/>
            <w:r>
              <w:rPr>
                <w:sz w:val="20"/>
              </w:rPr>
              <w:t xml:space="preserve"> et al. (2014) et suggère que 16 % des adultes sont affectés. On suppose que le statut actuel est au mieux « passable » compte tenu de l’augmentation apparente de la prévalence des dauphins de l’Irrawaddy présentant des lésions.</w:t>
            </w:r>
          </w:p>
        </w:tc>
      </w:tr>
      <w:tr w:rsidR="00CE4BFD" w:rsidRPr="006720AD" w:rsidTr="00CE4BFD">
        <w:trPr>
          <w:trHeight w:val="227"/>
        </w:trPr>
        <w:tc>
          <w:tcPr>
            <w:tcW w:w="1484" w:type="dxa"/>
            <w:vMerge/>
          </w:tcPr>
          <w:p w:rsidR="00CE4BFD" w:rsidRPr="00CE4BFD" w:rsidRDefault="00CE4BFD" w:rsidP="00CE4BFD">
            <w:pPr>
              <w:jc w:val="both"/>
              <w:rPr>
                <w:sz w:val="2"/>
                <w:szCs w:val="2"/>
                <w:lang w:val="fr-FR"/>
              </w:rPr>
            </w:pPr>
          </w:p>
        </w:tc>
        <w:tc>
          <w:tcPr>
            <w:tcW w:w="1995" w:type="dxa"/>
            <w:gridSpan w:val="2"/>
          </w:tcPr>
          <w:p w:rsidR="00CE4BFD" w:rsidRPr="006720AD" w:rsidRDefault="00CE4BFD" w:rsidP="00CE4BFD">
            <w:pPr>
              <w:pStyle w:val="TableParagraph"/>
              <w:ind w:left="107"/>
              <w:rPr>
                <w:sz w:val="20"/>
              </w:rPr>
            </w:pPr>
            <w:r>
              <w:rPr>
                <w:sz w:val="20"/>
              </w:rPr>
              <w:t>Niveaux hormonaux</w:t>
            </w:r>
          </w:p>
        </w:tc>
        <w:tc>
          <w:tcPr>
            <w:tcW w:w="1008" w:type="dxa"/>
            <w:gridSpan w:val="2"/>
            <w:shd w:val="clear" w:color="auto" w:fill="auto"/>
          </w:tcPr>
          <w:p w:rsidR="00CE4BFD" w:rsidRPr="006720AD" w:rsidRDefault="00CE4BFD" w:rsidP="00CE4BFD">
            <w:pPr>
              <w:pStyle w:val="TableParagraph"/>
              <w:ind w:left="85" w:right="83"/>
              <w:rPr>
                <w:sz w:val="20"/>
              </w:rPr>
            </w:pPr>
            <w:r>
              <w:rPr>
                <w:sz w:val="20"/>
              </w:rPr>
              <w:t>Inconnu</w:t>
            </w:r>
          </w:p>
        </w:tc>
        <w:tc>
          <w:tcPr>
            <w:tcW w:w="4625" w:type="dxa"/>
            <w:gridSpan w:val="2"/>
          </w:tcPr>
          <w:p w:rsidR="00CE4BFD" w:rsidRPr="006720AD" w:rsidRDefault="00CE4BFD" w:rsidP="00CE4BFD">
            <w:pPr>
              <w:pStyle w:val="TableParagraph"/>
              <w:ind w:left="106"/>
              <w:rPr>
                <w:sz w:val="20"/>
              </w:rPr>
            </w:pPr>
            <w:r>
              <w:rPr>
                <w:sz w:val="20"/>
              </w:rPr>
              <w:t>Aucune donnée actuellement disponible</w:t>
            </w:r>
          </w:p>
        </w:tc>
      </w:tr>
      <w:tr w:rsidR="00CE4BFD" w:rsidRPr="00CE4BFD" w:rsidTr="00CE4BFD">
        <w:trPr>
          <w:trHeight w:val="921"/>
        </w:trPr>
        <w:tc>
          <w:tcPr>
            <w:tcW w:w="1484" w:type="dxa"/>
          </w:tcPr>
          <w:p w:rsidR="00CE4BFD" w:rsidRPr="006720AD" w:rsidRDefault="00CE4BFD" w:rsidP="00CE4BFD">
            <w:pPr>
              <w:pStyle w:val="TableParagraph"/>
              <w:ind w:left="107" w:right="439"/>
              <w:jc w:val="both"/>
              <w:rPr>
                <w:sz w:val="20"/>
              </w:rPr>
            </w:pPr>
            <w:r>
              <w:rPr>
                <w:sz w:val="20"/>
              </w:rPr>
              <w:t>Étendue de l’habitat essentiel</w:t>
            </w:r>
          </w:p>
        </w:tc>
        <w:tc>
          <w:tcPr>
            <w:tcW w:w="1995" w:type="dxa"/>
            <w:gridSpan w:val="2"/>
          </w:tcPr>
          <w:p w:rsidR="00CE4BFD" w:rsidRPr="006720AD" w:rsidRDefault="00CE4BFD" w:rsidP="00CE4BFD">
            <w:pPr>
              <w:pStyle w:val="TableParagraph"/>
              <w:ind w:left="107" w:right="519"/>
              <w:rPr>
                <w:sz w:val="20"/>
              </w:rPr>
            </w:pPr>
            <w:r>
              <w:rPr>
                <w:sz w:val="20"/>
              </w:rPr>
              <w:t>% de l’habitat essentiel efficacement protégé</w:t>
            </w:r>
          </w:p>
        </w:tc>
        <w:tc>
          <w:tcPr>
            <w:tcW w:w="1008" w:type="dxa"/>
            <w:gridSpan w:val="2"/>
            <w:shd w:val="clear" w:color="auto" w:fill="auto"/>
          </w:tcPr>
          <w:p w:rsidR="00CE4BFD" w:rsidRPr="006720AD" w:rsidRDefault="00CE4BFD" w:rsidP="00CE4BFD">
            <w:pPr>
              <w:pStyle w:val="TableParagraph"/>
              <w:ind w:left="82" w:right="83"/>
              <w:rPr>
                <w:sz w:val="20"/>
              </w:rPr>
            </w:pPr>
            <w:r>
              <w:rPr>
                <w:sz w:val="20"/>
              </w:rPr>
              <w:t>Faible</w:t>
            </w:r>
          </w:p>
        </w:tc>
        <w:tc>
          <w:tcPr>
            <w:tcW w:w="4625" w:type="dxa"/>
            <w:gridSpan w:val="2"/>
          </w:tcPr>
          <w:p w:rsidR="00CE4BFD" w:rsidRPr="006720AD" w:rsidRDefault="00CE4BFD" w:rsidP="00CE4BFD">
            <w:pPr>
              <w:pStyle w:val="TableParagraph"/>
              <w:spacing w:before="3"/>
              <w:ind w:left="106" w:right="170"/>
              <w:rPr>
                <w:sz w:val="20"/>
              </w:rPr>
            </w:pPr>
            <w:r>
              <w:rPr>
                <w:sz w:val="20"/>
              </w:rPr>
              <w:t xml:space="preserve">Des zones d’habitats essentiels sont protégées dans la </w:t>
            </w:r>
            <w:proofErr w:type="spellStart"/>
            <w:r>
              <w:rPr>
                <w:sz w:val="20"/>
              </w:rPr>
              <w:t>Sunderbans</w:t>
            </w:r>
            <w:proofErr w:type="spellEnd"/>
            <w:r>
              <w:rPr>
                <w:sz w:val="20"/>
              </w:rPr>
              <w:t xml:space="preserve"> </w:t>
            </w:r>
            <w:proofErr w:type="spellStart"/>
            <w:r>
              <w:rPr>
                <w:sz w:val="20"/>
              </w:rPr>
              <w:t>Biosphere</w:t>
            </w:r>
            <w:proofErr w:type="spellEnd"/>
            <w:r>
              <w:rPr>
                <w:sz w:val="20"/>
              </w:rPr>
              <w:t xml:space="preserve"> Reserve en Inde et au Bangladesh, mais la mise en œuvre et le suivi de l’atténuation des menaces sont insuffisants. À </w:t>
            </w:r>
            <w:proofErr w:type="spellStart"/>
            <w:r>
              <w:rPr>
                <w:sz w:val="20"/>
              </w:rPr>
              <w:t>Chilika</w:t>
            </w:r>
            <w:proofErr w:type="spellEnd"/>
            <w:r>
              <w:rPr>
                <w:sz w:val="20"/>
              </w:rPr>
              <w:t xml:space="preserve">, les dauphins sont observés en dehors de l’aire protégée. </w:t>
            </w:r>
          </w:p>
        </w:tc>
      </w:tr>
      <w:tr w:rsidR="00CE4BFD" w:rsidRPr="00CE4BFD" w:rsidTr="00CE4BFD">
        <w:trPr>
          <w:trHeight w:val="916"/>
        </w:trPr>
        <w:tc>
          <w:tcPr>
            <w:tcW w:w="1484" w:type="dxa"/>
            <w:vMerge w:val="restart"/>
          </w:tcPr>
          <w:p w:rsidR="00CE4BFD" w:rsidRPr="006720AD" w:rsidRDefault="00CE4BFD" w:rsidP="00CE4BFD">
            <w:pPr>
              <w:pStyle w:val="TableParagraph"/>
              <w:ind w:left="107" w:right="439"/>
              <w:jc w:val="both"/>
              <w:rPr>
                <w:sz w:val="20"/>
              </w:rPr>
            </w:pPr>
            <w:r>
              <w:rPr>
                <w:sz w:val="20"/>
              </w:rPr>
              <w:lastRenderedPageBreak/>
              <w:t>État de l’habitat</w:t>
            </w:r>
          </w:p>
        </w:tc>
        <w:tc>
          <w:tcPr>
            <w:tcW w:w="1995" w:type="dxa"/>
            <w:gridSpan w:val="2"/>
          </w:tcPr>
          <w:p w:rsidR="00CE4BFD" w:rsidRPr="006720AD" w:rsidRDefault="00CE4BFD" w:rsidP="00CE4BFD">
            <w:pPr>
              <w:pStyle w:val="TableParagraph"/>
              <w:ind w:left="107" w:right="274"/>
              <w:rPr>
                <w:sz w:val="20"/>
              </w:rPr>
            </w:pPr>
            <w:r>
              <w:rPr>
                <w:sz w:val="20"/>
              </w:rPr>
              <w:t>Abondance, qualité et tendance des sources alimentaires</w:t>
            </w:r>
          </w:p>
        </w:tc>
        <w:tc>
          <w:tcPr>
            <w:tcW w:w="1008" w:type="dxa"/>
            <w:gridSpan w:val="2"/>
            <w:shd w:val="clear" w:color="auto" w:fill="auto"/>
          </w:tcPr>
          <w:p w:rsidR="00CE4BFD" w:rsidRPr="006720AD" w:rsidRDefault="00CE4BFD" w:rsidP="00CE4BFD">
            <w:pPr>
              <w:pStyle w:val="TableParagraph"/>
              <w:ind w:left="83" w:right="83"/>
              <w:rPr>
                <w:sz w:val="20"/>
              </w:rPr>
            </w:pPr>
            <w:r>
              <w:rPr>
                <w:sz w:val="20"/>
              </w:rPr>
              <w:t>Passable</w:t>
            </w:r>
          </w:p>
        </w:tc>
        <w:tc>
          <w:tcPr>
            <w:tcW w:w="4625" w:type="dxa"/>
            <w:gridSpan w:val="2"/>
          </w:tcPr>
          <w:p w:rsidR="00CE4BFD" w:rsidRPr="006720AD" w:rsidRDefault="00CE4BFD" w:rsidP="00CE4BFD">
            <w:pPr>
              <w:pStyle w:val="TableParagraph"/>
              <w:spacing w:before="3"/>
              <w:ind w:left="106" w:right="170"/>
              <w:rPr>
                <w:sz w:val="20"/>
              </w:rPr>
            </w:pPr>
            <w:r>
              <w:rPr>
                <w:sz w:val="20"/>
              </w:rPr>
              <w:t>Compte tenu de la baisse des prises de poissons dans la plupart des aires de répartition de l’espèce, nous marquerons « Passable » et non « Bon » pour cet aspect.</w:t>
            </w:r>
          </w:p>
        </w:tc>
      </w:tr>
      <w:tr w:rsidR="00CE4BFD" w:rsidRPr="00CE4BFD" w:rsidTr="00CE4BFD">
        <w:trPr>
          <w:trHeight w:val="1839"/>
        </w:trPr>
        <w:tc>
          <w:tcPr>
            <w:tcW w:w="1484" w:type="dxa"/>
            <w:vMerge/>
          </w:tcPr>
          <w:p w:rsidR="00CE4BFD" w:rsidRPr="00CE4BFD" w:rsidRDefault="00CE4BFD" w:rsidP="00CE4BFD">
            <w:pPr>
              <w:jc w:val="both"/>
              <w:rPr>
                <w:sz w:val="2"/>
                <w:szCs w:val="2"/>
                <w:lang w:val="fr-FR"/>
              </w:rPr>
            </w:pPr>
          </w:p>
        </w:tc>
        <w:tc>
          <w:tcPr>
            <w:tcW w:w="1995" w:type="dxa"/>
            <w:gridSpan w:val="2"/>
          </w:tcPr>
          <w:p w:rsidR="00CE4BFD" w:rsidRPr="006720AD" w:rsidRDefault="00CE4BFD" w:rsidP="00CE4BFD">
            <w:pPr>
              <w:pStyle w:val="TableParagraph"/>
              <w:ind w:left="107" w:right="664"/>
              <w:rPr>
                <w:sz w:val="20"/>
              </w:rPr>
            </w:pPr>
            <w:r>
              <w:rPr>
                <w:sz w:val="20"/>
              </w:rPr>
              <w:t>Lieux d’amarrage des bateaux, jetées de pêche, avec contrôle de la vitesse des bateaux</w:t>
            </w:r>
          </w:p>
        </w:tc>
        <w:tc>
          <w:tcPr>
            <w:tcW w:w="1008" w:type="dxa"/>
            <w:gridSpan w:val="2"/>
            <w:shd w:val="clear" w:color="auto" w:fill="auto"/>
          </w:tcPr>
          <w:p w:rsidR="00CE4BFD" w:rsidRPr="006720AD" w:rsidRDefault="00CE4BFD" w:rsidP="00CE4BFD">
            <w:pPr>
              <w:pStyle w:val="TableParagraph"/>
              <w:ind w:left="82" w:right="83"/>
              <w:rPr>
                <w:sz w:val="20"/>
              </w:rPr>
            </w:pPr>
            <w:r>
              <w:rPr>
                <w:sz w:val="20"/>
              </w:rPr>
              <w:t>Faible</w:t>
            </w:r>
          </w:p>
        </w:tc>
        <w:tc>
          <w:tcPr>
            <w:tcW w:w="4625" w:type="dxa"/>
            <w:gridSpan w:val="2"/>
          </w:tcPr>
          <w:p w:rsidR="00CE4BFD" w:rsidRPr="006720AD" w:rsidRDefault="00CE4BFD" w:rsidP="00CE4BFD">
            <w:pPr>
              <w:pStyle w:val="TableParagraph"/>
              <w:ind w:left="106" w:right="170"/>
              <w:rPr>
                <w:sz w:val="20"/>
              </w:rPr>
            </w:pPr>
            <w:r>
              <w:rPr>
                <w:sz w:val="20"/>
              </w:rPr>
              <w:t xml:space="preserve">Le trafic maritime est très élevé dans tous leurs habitats, puisqu’ils vivent en zone côtière Les ferries de transport locaux, les navires de pêche allant des filets maillants aux chalutiers, en passant par les senneurs à senne coulissante, opèrent dans les habitats des dauphins de l’Irrawaddy, de même que les navires et les barges </w:t>
            </w:r>
          </w:p>
        </w:tc>
      </w:tr>
      <w:tr w:rsidR="00CE4BFD" w:rsidRPr="006720AD" w:rsidTr="00CE4BFD">
        <w:trPr>
          <w:trHeight w:val="920"/>
        </w:trPr>
        <w:tc>
          <w:tcPr>
            <w:tcW w:w="1484" w:type="dxa"/>
            <w:vMerge/>
          </w:tcPr>
          <w:p w:rsidR="00CE4BFD" w:rsidRPr="00CE4BFD" w:rsidRDefault="00CE4BFD" w:rsidP="00CE4BFD">
            <w:pPr>
              <w:jc w:val="both"/>
              <w:rPr>
                <w:sz w:val="2"/>
                <w:szCs w:val="2"/>
                <w:lang w:val="fr-FR"/>
              </w:rPr>
            </w:pPr>
          </w:p>
        </w:tc>
        <w:tc>
          <w:tcPr>
            <w:tcW w:w="1995" w:type="dxa"/>
            <w:gridSpan w:val="2"/>
          </w:tcPr>
          <w:p w:rsidR="00CE4BFD" w:rsidRPr="006720AD" w:rsidRDefault="00CE4BFD" w:rsidP="00CE4BFD">
            <w:pPr>
              <w:pStyle w:val="TableParagraph"/>
              <w:ind w:left="107"/>
              <w:rPr>
                <w:sz w:val="20"/>
              </w:rPr>
            </w:pPr>
            <w:r>
              <w:rPr>
                <w:sz w:val="20"/>
              </w:rPr>
              <w:t>Nombre de coups d’hélice</w:t>
            </w:r>
          </w:p>
        </w:tc>
        <w:tc>
          <w:tcPr>
            <w:tcW w:w="1008" w:type="dxa"/>
            <w:gridSpan w:val="2"/>
            <w:shd w:val="clear" w:color="auto" w:fill="auto"/>
          </w:tcPr>
          <w:p w:rsidR="00CE4BFD" w:rsidRPr="006720AD" w:rsidRDefault="00CE4BFD" w:rsidP="00CE4BFD">
            <w:pPr>
              <w:pStyle w:val="TableParagraph"/>
              <w:ind w:left="85" w:right="83"/>
              <w:rPr>
                <w:sz w:val="20"/>
              </w:rPr>
            </w:pPr>
            <w:r>
              <w:rPr>
                <w:sz w:val="20"/>
              </w:rPr>
              <w:t>Passable</w:t>
            </w:r>
          </w:p>
        </w:tc>
        <w:tc>
          <w:tcPr>
            <w:tcW w:w="4625" w:type="dxa"/>
            <w:gridSpan w:val="2"/>
          </w:tcPr>
          <w:p w:rsidR="00CE4BFD" w:rsidRPr="006720AD" w:rsidRDefault="00CE4BFD" w:rsidP="00CE4BFD">
            <w:pPr>
              <w:pStyle w:val="TableParagraph"/>
              <w:spacing w:before="2"/>
              <w:ind w:left="106" w:right="399"/>
              <w:rPr>
                <w:sz w:val="20"/>
              </w:rPr>
            </w:pPr>
            <w:r>
              <w:rPr>
                <w:sz w:val="20"/>
              </w:rPr>
              <w:t xml:space="preserve">Observé à </w:t>
            </w:r>
            <w:proofErr w:type="spellStart"/>
            <w:r>
              <w:rPr>
                <w:sz w:val="20"/>
              </w:rPr>
              <w:t>Chilika</w:t>
            </w:r>
            <w:proofErr w:type="spellEnd"/>
            <w:r>
              <w:rPr>
                <w:sz w:val="20"/>
              </w:rPr>
              <w:t xml:space="preserve"> </w:t>
            </w:r>
          </w:p>
        </w:tc>
      </w:tr>
      <w:tr w:rsidR="00CE4BFD" w:rsidRPr="00CE4BFD" w:rsidTr="00CE4BFD">
        <w:trPr>
          <w:trHeight w:val="455"/>
        </w:trPr>
        <w:tc>
          <w:tcPr>
            <w:tcW w:w="1484" w:type="dxa"/>
            <w:vMerge/>
          </w:tcPr>
          <w:p w:rsidR="00CE4BFD" w:rsidRPr="006720AD" w:rsidRDefault="00CE4BFD" w:rsidP="00CE4BFD">
            <w:pPr>
              <w:jc w:val="both"/>
              <w:rPr>
                <w:sz w:val="2"/>
                <w:szCs w:val="2"/>
              </w:rPr>
            </w:pPr>
          </w:p>
        </w:tc>
        <w:tc>
          <w:tcPr>
            <w:tcW w:w="1995" w:type="dxa"/>
            <w:gridSpan w:val="2"/>
          </w:tcPr>
          <w:p w:rsidR="00CE4BFD" w:rsidRPr="006720AD" w:rsidRDefault="00CE4BFD" w:rsidP="00CE4BFD">
            <w:pPr>
              <w:pStyle w:val="TableParagraph"/>
              <w:ind w:left="107"/>
              <w:rPr>
                <w:sz w:val="20"/>
              </w:rPr>
            </w:pPr>
            <w:r>
              <w:rPr>
                <w:sz w:val="20"/>
              </w:rPr>
              <w:t>Nombre de dauphins de l’Irrawaddy capturés accidentellement</w:t>
            </w:r>
          </w:p>
        </w:tc>
        <w:tc>
          <w:tcPr>
            <w:tcW w:w="1008" w:type="dxa"/>
            <w:gridSpan w:val="2"/>
            <w:shd w:val="clear" w:color="auto" w:fill="auto"/>
          </w:tcPr>
          <w:p w:rsidR="00CE4BFD" w:rsidRPr="006720AD" w:rsidRDefault="00CE4BFD" w:rsidP="00CE4BFD">
            <w:pPr>
              <w:pStyle w:val="TableParagraph"/>
              <w:ind w:left="82" w:right="83"/>
              <w:rPr>
                <w:sz w:val="20"/>
              </w:rPr>
            </w:pPr>
            <w:r>
              <w:rPr>
                <w:sz w:val="20"/>
              </w:rPr>
              <w:t>Faible</w:t>
            </w:r>
          </w:p>
        </w:tc>
        <w:tc>
          <w:tcPr>
            <w:tcW w:w="4625" w:type="dxa"/>
            <w:gridSpan w:val="2"/>
          </w:tcPr>
          <w:p w:rsidR="00CE4BFD" w:rsidRPr="006720AD" w:rsidRDefault="00CE4BFD" w:rsidP="00CE4BFD">
            <w:pPr>
              <w:pStyle w:val="TableParagraph"/>
              <w:spacing w:before="3"/>
              <w:ind w:left="106"/>
              <w:rPr>
                <w:sz w:val="20"/>
              </w:rPr>
            </w:pPr>
            <w:r>
              <w:rPr>
                <w:sz w:val="20"/>
              </w:rPr>
              <w:t>Des observations directes d’emmêlements, d’échouages et de cicatrices indiquent des prises accessoires non durables dans l’ensemble de l’aire de répartition.</w:t>
            </w:r>
          </w:p>
        </w:tc>
      </w:tr>
      <w:tr w:rsidR="00CE4BFD" w:rsidRPr="00CE4BFD" w:rsidTr="00CE4BFD">
        <w:trPr>
          <w:trHeight w:val="455"/>
        </w:trPr>
        <w:tc>
          <w:tcPr>
            <w:tcW w:w="1484" w:type="dxa"/>
          </w:tcPr>
          <w:p w:rsidR="00CE4BFD" w:rsidRPr="00CE4BFD" w:rsidRDefault="00CE4BFD" w:rsidP="00CE4BFD">
            <w:pPr>
              <w:jc w:val="both"/>
              <w:rPr>
                <w:sz w:val="2"/>
                <w:szCs w:val="2"/>
                <w:lang w:val="fr-FR"/>
              </w:rPr>
            </w:pPr>
          </w:p>
        </w:tc>
        <w:tc>
          <w:tcPr>
            <w:tcW w:w="1995" w:type="dxa"/>
            <w:gridSpan w:val="2"/>
          </w:tcPr>
          <w:p w:rsidR="00CE4BFD" w:rsidRPr="006720AD" w:rsidRDefault="00CE4BFD" w:rsidP="00CE4BFD">
            <w:pPr>
              <w:pStyle w:val="TableParagraph"/>
              <w:ind w:left="107"/>
              <w:rPr>
                <w:sz w:val="20"/>
              </w:rPr>
            </w:pPr>
            <w:r>
              <w:rPr>
                <w:sz w:val="20"/>
              </w:rPr>
              <w:t>Pollution par les métaux lourds et les pesticides organochlorés</w:t>
            </w:r>
          </w:p>
          <w:p w:rsidR="00CE4BFD" w:rsidRPr="006720AD" w:rsidRDefault="00CE4BFD" w:rsidP="00CE4BFD">
            <w:pPr>
              <w:pStyle w:val="TableParagraph"/>
              <w:ind w:left="107"/>
              <w:rPr>
                <w:sz w:val="20"/>
              </w:rPr>
            </w:pPr>
          </w:p>
        </w:tc>
        <w:tc>
          <w:tcPr>
            <w:tcW w:w="1008" w:type="dxa"/>
            <w:gridSpan w:val="2"/>
            <w:shd w:val="clear" w:color="auto" w:fill="auto"/>
          </w:tcPr>
          <w:p w:rsidR="00CE4BFD" w:rsidRPr="006720AD" w:rsidRDefault="00CE4BFD" w:rsidP="00CE4BFD">
            <w:pPr>
              <w:pStyle w:val="TableParagraph"/>
              <w:ind w:left="82" w:right="83"/>
              <w:rPr>
                <w:sz w:val="20"/>
              </w:rPr>
            </w:pPr>
            <w:r>
              <w:rPr>
                <w:sz w:val="20"/>
              </w:rPr>
              <w:t>Faible</w:t>
            </w:r>
          </w:p>
        </w:tc>
        <w:tc>
          <w:tcPr>
            <w:tcW w:w="4625" w:type="dxa"/>
            <w:gridSpan w:val="2"/>
          </w:tcPr>
          <w:p w:rsidR="00CE4BFD" w:rsidRPr="006720AD" w:rsidRDefault="00CE4BFD" w:rsidP="00CE4BFD">
            <w:pPr>
              <w:pStyle w:val="TableParagraph"/>
              <w:spacing w:before="3"/>
              <w:ind w:left="106"/>
              <w:rPr>
                <w:sz w:val="20"/>
              </w:rPr>
            </w:pPr>
            <w:proofErr w:type="spellStart"/>
            <w:r>
              <w:rPr>
                <w:sz w:val="20"/>
              </w:rPr>
              <w:t>Banerjee</w:t>
            </w:r>
            <w:proofErr w:type="spellEnd"/>
            <w:r>
              <w:rPr>
                <w:sz w:val="20"/>
              </w:rPr>
              <w:t xml:space="preserve"> et al 2015 et </w:t>
            </w:r>
            <w:proofErr w:type="spellStart"/>
            <w:r>
              <w:rPr>
                <w:sz w:val="20"/>
              </w:rPr>
              <w:t>Kannan</w:t>
            </w:r>
            <w:proofErr w:type="spellEnd"/>
            <w:r>
              <w:rPr>
                <w:sz w:val="20"/>
              </w:rPr>
              <w:t xml:space="preserve"> et al 2005.</w:t>
            </w:r>
          </w:p>
        </w:tc>
      </w:tr>
      <w:tr w:rsidR="00CE4BFD" w:rsidRPr="00CE4BFD" w:rsidTr="00CE4BFD">
        <w:trPr>
          <w:trHeight w:val="1149"/>
        </w:trPr>
        <w:tc>
          <w:tcPr>
            <w:tcW w:w="1484" w:type="dxa"/>
          </w:tcPr>
          <w:p w:rsidR="00CE4BFD" w:rsidRPr="006720AD" w:rsidRDefault="00CE4BFD" w:rsidP="00CE4BFD">
            <w:pPr>
              <w:pStyle w:val="TableParagraph"/>
              <w:ind w:left="107" w:right="184"/>
              <w:jc w:val="both"/>
              <w:rPr>
                <w:sz w:val="20"/>
              </w:rPr>
            </w:pPr>
            <w:r>
              <w:rPr>
                <w:sz w:val="20"/>
              </w:rPr>
              <w:t>Connectivité de l’habitat</w:t>
            </w:r>
          </w:p>
        </w:tc>
        <w:tc>
          <w:tcPr>
            <w:tcW w:w="1995" w:type="dxa"/>
            <w:gridSpan w:val="2"/>
          </w:tcPr>
          <w:p w:rsidR="00CE4BFD" w:rsidRPr="006720AD" w:rsidRDefault="00CE4BFD" w:rsidP="00CE4BFD">
            <w:pPr>
              <w:pStyle w:val="TableParagraph"/>
              <w:ind w:left="107" w:right="519"/>
              <w:rPr>
                <w:sz w:val="20"/>
              </w:rPr>
            </w:pPr>
            <w:r>
              <w:rPr>
                <w:sz w:val="20"/>
              </w:rPr>
              <w:t>Capacité d’accéder à des habitats essentiels</w:t>
            </w:r>
          </w:p>
        </w:tc>
        <w:tc>
          <w:tcPr>
            <w:tcW w:w="1008" w:type="dxa"/>
            <w:gridSpan w:val="2"/>
            <w:shd w:val="clear" w:color="auto" w:fill="auto"/>
          </w:tcPr>
          <w:p w:rsidR="00CE4BFD" w:rsidRPr="006720AD" w:rsidRDefault="00CE4BFD" w:rsidP="00CE4BFD">
            <w:pPr>
              <w:pStyle w:val="TableParagraph"/>
              <w:ind w:left="82" w:right="83"/>
              <w:rPr>
                <w:sz w:val="20"/>
              </w:rPr>
            </w:pPr>
            <w:r>
              <w:rPr>
                <w:sz w:val="20"/>
              </w:rPr>
              <w:t>Passable</w:t>
            </w:r>
          </w:p>
        </w:tc>
        <w:tc>
          <w:tcPr>
            <w:tcW w:w="4625" w:type="dxa"/>
            <w:gridSpan w:val="2"/>
          </w:tcPr>
          <w:p w:rsidR="00CE4BFD" w:rsidRPr="006720AD" w:rsidRDefault="00CE4BFD" w:rsidP="00CE4BFD">
            <w:pPr>
              <w:pStyle w:val="TableParagraph"/>
              <w:ind w:left="106" w:right="170"/>
              <w:rPr>
                <w:sz w:val="20"/>
              </w:rPr>
            </w:pPr>
            <w:r>
              <w:rPr>
                <w:sz w:val="20"/>
              </w:rPr>
              <w:t>Les mouvements actuels des dauphins de l’Irrawaddy ne semblent guère entravés, même si les filets de pêche posés dans les zones de connectivité constituent un problème majeur dans la plupart des régions de son aire de répartition.</w:t>
            </w:r>
          </w:p>
          <w:p w:rsidR="00CE4BFD" w:rsidRPr="006720AD" w:rsidRDefault="00CE4BFD" w:rsidP="00CE4BFD">
            <w:pPr>
              <w:pStyle w:val="TableParagraph"/>
              <w:ind w:left="106"/>
              <w:rPr>
                <w:sz w:val="20"/>
              </w:rPr>
            </w:pPr>
          </w:p>
        </w:tc>
      </w:tr>
    </w:tbl>
    <w:p w:rsidR="00CE4BFD" w:rsidRPr="00E55025" w:rsidRDefault="00CE4BFD" w:rsidP="00CE4BFD">
      <w:pPr>
        <w:pStyle w:val="Heading2"/>
        <w:keepNext w:val="0"/>
        <w:tabs>
          <w:tab w:val="left" w:pos="804"/>
        </w:tabs>
        <w:spacing w:before="198"/>
        <w:ind w:firstLine="360"/>
        <w:jc w:val="both"/>
        <w:rPr>
          <w:rFonts w:cs="Arial"/>
          <w:b w:val="0"/>
          <w:sz w:val="22"/>
          <w:szCs w:val="22"/>
          <w:u w:val="single"/>
          <w:lang w:val="fr-FR"/>
        </w:rPr>
      </w:pPr>
      <w:r w:rsidRPr="00E55025">
        <w:rPr>
          <w:b w:val="0"/>
          <w:sz w:val="22"/>
          <w:szCs w:val="22"/>
          <w:lang w:val="fr-FR"/>
        </w:rPr>
        <w:t xml:space="preserve">vi) </w:t>
      </w:r>
      <w:r w:rsidRPr="00E55025">
        <w:rPr>
          <w:b w:val="0"/>
          <w:sz w:val="22"/>
          <w:szCs w:val="22"/>
          <w:u w:val="single"/>
          <w:lang w:val="fr-FR"/>
        </w:rPr>
        <w:t>Ampleur de l’impact potentiel</w:t>
      </w:r>
    </w:p>
    <w:p w:rsidR="00CE4BFD" w:rsidRPr="00CE4BFD" w:rsidRDefault="00CE4BFD" w:rsidP="00CE4BFD">
      <w:pPr>
        <w:pStyle w:val="BodyText"/>
        <w:spacing w:before="201"/>
        <w:ind w:left="397" w:right="663"/>
        <w:rPr>
          <w:lang w:val="fr-FR"/>
        </w:rPr>
      </w:pPr>
      <w:r w:rsidRPr="00CE4BFD">
        <w:rPr>
          <w:lang w:val="fr-FR"/>
        </w:rPr>
        <w:t xml:space="preserve">Les accords transfrontaliers conclus au sein des États de l’aire de répartition et entre ceux-ci devraient avoir un impact sur les questions prioritaires en matière de surveillance de la population, d’atténuation des captures accessoires, de partage de l’eau et de mise en place de régimes d’écoulement écologiques. L’Inde, le Népal et le Bangladesh ont récemment travaillé sur des Mémorandums d’entente bilatéraux, ainsi que sur des accords sur le partage de l’eau et les projets de développement, à l’instar des voies de navigation intérieure nationales et internationales (The </w:t>
      </w:r>
      <w:proofErr w:type="spellStart"/>
      <w:r w:rsidRPr="00CE4BFD">
        <w:rPr>
          <w:lang w:val="fr-FR"/>
        </w:rPr>
        <w:t>Hindu</w:t>
      </w:r>
      <w:proofErr w:type="spellEnd"/>
      <w:r w:rsidRPr="00CE4BFD">
        <w:rPr>
          <w:lang w:val="fr-FR"/>
        </w:rPr>
        <w:t xml:space="preserve"> 2018). Les efforts de conservation devront veiller à ce que leurs recommandations soient intégrées à la mise en œuvre de ces projets. De plus, la recherche collaborative et la surveillance à la lumière de protocoles normalisés sont très importantes pour maintenir la population présente entre l’Inde et le Bangladesh.</w:t>
      </w:r>
    </w:p>
    <w:p w:rsidR="00CE4BFD" w:rsidRDefault="00CE4BFD" w:rsidP="00E55025">
      <w:pPr>
        <w:pStyle w:val="Heading2"/>
        <w:keepNext w:val="0"/>
        <w:tabs>
          <w:tab w:val="left" w:pos="804"/>
        </w:tabs>
        <w:ind w:left="360"/>
        <w:jc w:val="both"/>
        <w:rPr>
          <w:b w:val="0"/>
          <w:sz w:val="22"/>
          <w:szCs w:val="22"/>
          <w:u w:val="single"/>
          <w:lang w:val="fr-FR"/>
        </w:rPr>
      </w:pPr>
      <w:r w:rsidRPr="00CE4BFD">
        <w:rPr>
          <w:sz w:val="22"/>
          <w:szCs w:val="22"/>
          <w:lang w:val="fr-FR"/>
        </w:rPr>
        <w:br/>
      </w:r>
      <w:r w:rsidRPr="00E55025">
        <w:rPr>
          <w:b w:val="0"/>
          <w:sz w:val="22"/>
          <w:szCs w:val="22"/>
          <w:lang w:val="fr-FR"/>
        </w:rPr>
        <w:t xml:space="preserve">vii) </w:t>
      </w:r>
      <w:r w:rsidRPr="00E55025">
        <w:rPr>
          <w:b w:val="0"/>
          <w:sz w:val="22"/>
          <w:szCs w:val="22"/>
          <w:u w:val="single"/>
          <w:lang w:val="fr-FR"/>
        </w:rPr>
        <w:t>Rapport coût-efficacité</w:t>
      </w:r>
    </w:p>
    <w:p w:rsidR="00E55025" w:rsidRPr="00E55025" w:rsidRDefault="00E55025" w:rsidP="00E55025">
      <w:pPr>
        <w:rPr>
          <w:lang w:val="fr-FR"/>
        </w:rPr>
      </w:pPr>
    </w:p>
    <w:p w:rsidR="00CE4BFD" w:rsidRDefault="00CE4BFD" w:rsidP="00E55025">
      <w:pPr>
        <w:pStyle w:val="Heading2"/>
        <w:keepNext w:val="0"/>
        <w:tabs>
          <w:tab w:val="left" w:pos="804"/>
        </w:tabs>
        <w:ind w:left="360"/>
        <w:jc w:val="both"/>
        <w:rPr>
          <w:b w:val="0"/>
          <w:sz w:val="22"/>
          <w:szCs w:val="22"/>
          <w:lang w:val="fr-FR"/>
        </w:rPr>
      </w:pPr>
      <w:r w:rsidRPr="00E55025">
        <w:rPr>
          <w:b w:val="0"/>
          <w:sz w:val="22"/>
          <w:szCs w:val="22"/>
          <w:lang w:val="fr-FR"/>
        </w:rPr>
        <w:t>L’Inde dispose d’un Plan d’action de conservation (2010-2020) pour les dauphins d’eau douce qui n’a pas encore été pleinement mis en œuvre. La Politique nationale sur l’eau du Gouvernement indien (2012) accorde une grande importance à la gestion des débits écologiques de tous les cours d’eau réglementés. Toutefois, l’indication des débits écologiques a été très limitée, voire inexistante, de même que la présence de lignes directrices pour faciliter les flux environnementaux.</w:t>
      </w:r>
    </w:p>
    <w:p w:rsidR="00E55025" w:rsidRPr="00E55025" w:rsidRDefault="00E55025" w:rsidP="00E55025">
      <w:pPr>
        <w:spacing w:after="0"/>
        <w:rPr>
          <w:lang w:val="fr-FR"/>
        </w:rPr>
      </w:pPr>
    </w:p>
    <w:p w:rsidR="00CE4BFD" w:rsidRPr="00E55025" w:rsidRDefault="00CE4BFD" w:rsidP="00E55025">
      <w:pPr>
        <w:pStyle w:val="Heading2"/>
        <w:tabs>
          <w:tab w:val="left" w:pos="675"/>
        </w:tabs>
        <w:ind w:left="390"/>
        <w:jc w:val="both"/>
        <w:rPr>
          <w:rFonts w:cs="Arial"/>
          <w:b w:val="0"/>
          <w:sz w:val="22"/>
          <w:szCs w:val="22"/>
          <w:lang w:val="fr-FR"/>
        </w:rPr>
      </w:pPr>
      <w:r w:rsidRPr="00E55025">
        <w:rPr>
          <w:b w:val="0"/>
          <w:sz w:val="22"/>
          <w:szCs w:val="22"/>
          <w:lang w:val="fr-FR"/>
        </w:rPr>
        <w:t>À l’heure actuelle, le Ministère indien de l’environnement et des forêts a accordé au dauphin de l’Irrawaddy un statut prioritaire en matière de rétablissement et de recherche. Il s’agit là d’une avancée encourageante. Les résultats du projet doivent comporter des recommandations fortes en faveur de la conversation, et d’autres agences gouvernementales doivent être mandatées pour l’aménagement des cours d’eau. Cet aspect est essentiel pour identifier des stratégies d’atténuation et d’évitement permettant de mettre un terme aux impacts sociaux et écologiques des grands projets d’aménagement hydraulique, qui sont des préoccupations à long terme du gouvernement indien.</w:t>
      </w:r>
    </w:p>
    <w:p w:rsidR="00CE4BFD" w:rsidRPr="00CE4BFD" w:rsidRDefault="00CE4BFD" w:rsidP="00CE4BFD">
      <w:pPr>
        <w:rPr>
          <w:lang w:val="fr-FR"/>
        </w:rPr>
      </w:pPr>
    </w:p>
    <w:p w:rsidR="00CE4BFD" w:rsidRPr="006720AD" w:rsidRDefault="00CE4BFD" w:rsidP="00CE4BFD">
      <w:pPr>
        <w:pStyle w:val="Heading1"/>
        <w:keepNext w:val="0"/>
        <w:numPr>
          <w:ilvl w:val="0"/>
          <w:numId w:val="13"/>
        </w:numPr>
        <w:tabs>
          <w:tab w:val="clear" w:pos="-1057"/>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 w:val="left" w:pos="742"/>
        </w:tabs>
        <w:suppressAutoHyphens w:val="0"/>
        <w:spacing w:before="93"/>
        <w:ind w:left="741" w:hanging="351"/>
        <w:jc w:val="both"/>
        <w:textAlignment w:val="auto"/>
        <w:rPr>
          <w:rFonts w:cs="Arial"/>
          <w:b w:val="0"/>
          <w:sz w:val="22"/>
          <w:szCs w:val="22"/>
        </w:rPr>
      </w:pPr>
      <w:proofErr w:type="spellStart"/>
      <w:r>
        <w:rPr>
          <w:sz w:val="22"/>
          <w:szCs w:val="22"/>
        </w:rPr>
        <w:lastRenderedPageBreak/>
        <w:t>Activités</w:t>
      </w:r>
      <w:proofErr w:type="spellEnd"/>
      <w:r>
        <w:rPr>
          <w:sz w:val="22"/>
          <w:szCs w:val="22"/>
        </w:rPr>
        <w:t xml:space="preserve"> et </w:t>
      </w:r>
      <w:proofErr w:type="spellStart"/>
      <w:r>
        <w:rPr>
          <w:sz w:val="22"/>
          <w:szCs w:val="22"/>
        </w:rPr>
        <w:t>résultats</w:t>
      </w:r>
      <w:proofErr w:type="spellEnd"/>
      <w:r>
        <w:rPr>
          <w:sz w:val="22"/>
          <w:szCs w:val="22"/>
        </w:rPr>
        <w:t xml:space="preserve"> </w:t>
      </w:r>
      <w:proofErr w:type="spellStart"/>
      <w:r>
        <w:rPr>
          <w:sz w:val="22"/>
          <w:szCs w:val="22"/>
        </w:rPr>
        <w:t>escomptés</w:t>
      </w:r>
      <w:proofErr w:type="spellEnd"/>
    </w:p>
    <w:p w:rsidR="00CE4BFD" w:rsidRPr="006720AD" w:rsidRDefault="00CE4BFD" w:rsidP="00CE4BFD">
      <w:pPr>
        <w:pStyle w:val="BodyText"/>
        <w:spacing w:before="4" w:after="1"/>
        <w:rPr>
          <w:sz w:val="17"/>
        </w:rPr>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63"/>
        <w:gridCol w:w="3063"/>
        <w:gridCol w:w="3064"/>
      </w:tblGrid>
      <w:tr w:rsidR="00CE4BFD" w:rsidRPr="00CE4BFD" w:rsidTr="00CE4BFD">
        <w:trPr>
          <w:trHeight w:val="390"/>
        </w:trPr>
        <w:tc>
          <w:tcPr>
            <w:tcW w:w="9190" w:type="dxa"/>
            <w:gridSpan w:val="3"/>
            <w:vAlign w:val="center"/>
          </w:tcPr>
          <w:p w:rsidR="00CE4BFD" w:rsidRPr="006720AD" w:rsidRDefault="00CE4BFD" w:rsidP="00CE4BFD">
            <w:pPr>
              <w:pStyle w:val="TableParagraph"/>
              <w:spacing w:before="81"/>
              <w:ind w:left="107"/>
              <w:jc w:val="both"/>
              <w:rPr>
                <w:b/>
                <w:sz w:val="20"/>
              </w:rPr>
            </w:pPr>
            <w:r>
              <w:rPr>
                <w:b/>
                <w:sz w:val="20"/>
              </w:rPr>
              <w:t>Action concertée pour le dauphin de l’Irrawaddy : Activités prioritaires et résultats</w:t>
            </w:r>
          </w:p>
        </w:tc>
      </w:tr>
      <w:tr w:rsidR="00CE4BFD" w:rsidRPr="006720AD" w:rsidTr="00CE4BFD">
        <w:trPr>
          <w:trHeight w:val="385"/>
        </w:trPr>
        <w:tc>
          <w:tcPr>
            <w:tcW w:w="3063" w:type="dxa"/>
            <w:shd w:val="clear" w:color="auto" w:fill="8DB3E1"/>
            <w:vAlign w:val="center"/>
          </w:tcPr>
          <w:p w:rsidR="00CE4BFD" w:rsidRPr="006720AD" w:rsidRDefault="00CE4BFD" w:rsidP="00CE4BFD">
            <w:pPr>
              <w:pStyle w:val="TableParagraph"/>
              <w:spacing w:before="78"/>
              <w:ind w:left="107"/>
              <w:jc w:val="both"/>
              <w:rPr>
                <w:b/>
                <w:sz w:val="20"/>
              </w:rPr>
            </w:pPr>
            <w:r>
              <w:rPr>
                <w:b/>
                <w:sz w:val="20"/>
              </w:rPr>
              <w:t>Activité</w:t>
            </w:r>
          </w:p>
        </w:tc>
        <w:tc>
          <w:tcPr>
            <w:tcW w:w="3063" w:type="dxa"/>
            <w:shd w:val="clear" w:color="auto" w:fill="8DB3E1"/>
            <w:vAlign w:val="center"/>
          </w:tcPr>
          <w:p w:rsidR="00CE4BFD" w:rsidRPr="006720AD" w:rsidRDefault="00CE4BFD" w:rsidP="00CE4BFD">
            <w:pPr>
              <w:pStyle w:val="TableParagraph"/>
              <w:spacing w:before="78"/>
              <w:ind w:left="623"/>
              <w:jc w:val="both"/>
              <w:rPr>
                <w:b/>
                <w:sz w:val="20"/>
              </w:rPr>
            </w:pPr>
            <w:r>
              <w:rPr>
                <w:b/>
                <w:sz w:val="20"/>
              </w:rPr>
              <w:t>Résultats escomptés</w:t>
            </w:r>
          </w:p>
        </w:tc>
        <w:tc>
          <w:tcPr>
            <w:tcW w:w="3064" w:type="dxa"/>
            <w:shd w:val="clear" w:color="auto" w:fill="8DB3E1"/>
            <w:vAlign w:val="center"/>
          </w:tcPr>
          <w:p w:rsidR="00CE4BFD" w:rsidRPr="006720AD" w:rsidRDefault="00CE4BFD" w:rsidP="00CE4BFD">
            <w:pPr>
              <w:pStyle w:val="TableParagraph"/>
              <w:spacing w:before="78"/>
              <w:ind w:left="1031" w:right="1016"/>
              <w:jc w:val="both"/>
              <w:rPr>
                <w:b/>
                <w:sz w:val="20"/>
              </w:rPr>
            </w:pPr>
            <w:r>
              <w:rPr>
                <w:b/>
                <w:sz w:val="20"/>
              </w:rPr>
              <w:t>Indicateurs</w:t>
            </w:r>
          </w:p>
        </w:tc>
      </w:tr>
      <w:tr w:rsidR="00CE4BFD" w:rsidRPr="00CE4BFD" w:rsidTr="00CE4BFD">
        <w:trPr>
          <w:trHeight w:val="263"/>
        </w:trPr>
        <w:tc>
          <w:tcPr>
            <w:tcW w:w="3063" w:type="dxa"/>
            <w:shd w:val="clear" w:color="auto" w:fill="DBE4F0"/>
            <w:vAlign w:val="center"/>
          </w:tcPr>
          <w:p w:rsidR="00CE4BFD" w:rsidRPr="006720AD" w:rsidRDefault="00CE4BFD" w:rsidP="00CE4BFD">
            <w:pPr>
              <w:pStyle w:val="TableParagraph"/>
              <w:spacing w:before="16"/>
              <w:ind w:left="107"/>
              <w:jc w:val="both"/>
              <w:rPr>
                <w:b/>
                <w:i/>
                <w:sz w:val="20"/>
              </w:rPr>
            </w:pPr>
            <w:r>
              <w:rPr>
                <w:b/>
                <w:i/>
                <w:sz w:val="20"/>
              </w:rPr>
              <w:t>Correction des lacunes en matière de connaissances</w:t>
            </w:r>
          </w:p>
        </w:tc>
        <w:tc>
          <w:tcPr>
            <w:tcW w:w="3063" w:type="dxa"/>
            <w:shd w:val="clear" w:color="auto" w:fill="DBE4F0"/>
            <w:vAlign w:val="center"/>
          </w:tcPr>
          <w:p w:rsidR="00CE4BFD" w:rsidRPr="006720AD" w:rsidRDefault="00CE4BFD" w:rsidP="00CE4BFD">
            <w:pPr>
              <w:pStyle w:val="TableParagraph"/>
              <w:jc w:val="both"/>
              <w:rPr>
                <w:sz w:val="18"/>
              </w:rPr>
            </w:pPr>
          </w:p>
        </w:tc>
        <w:tc>
          <w:tcPr>
            <w:tcW w:w="3064" w:type="dxa"/>
            <w:shd w:val="clear" w:color="auto" w:fill="DBE4F0"/>
            <w:vAlign w:val="center"/>
          </w:tcPr>
          <w:p w:rsidR="00CE4BFD" w:rsidRPr="006720AD" w:rsidRDefault="00CE4BFD" w:rsidP="00CE4BFD">
            <w:pPr>
              <w:pStyle w:val="TableParagraph"/>
              <w:jc w:val="both"/>
              <w:rPr>
                <w:sz w:val="18"/>
              </w:rPr>
            </w:pPr>
          </w:p>
        </w:tc>
      </w:tr>
      <w:tr w:rsidR="00CE4BFD" w:rsidRPr="00CE4BFD" w:rsidTr="00CE4BFD">
        <w:trPr>
          <w:trHeight w:val="1609"/>
        </w:trPr>
        <w:tc>
          <w:tcPr>
            <w:tcW w:w="3063" w:type="dxa"/>
            <w:vAlign w:val="center"/>
          </w:tcPr>
          <w:p w:rsidR="00CE4BFD" w:rsidRPr="006720AD" w:rsidRDefault="00CE4BFD" w:rsidP="00CE4BFD">
            <w:pPr>
              <w:pStyle w:val="TableParagraph"/>
              <w:ind w:left="107" w:right="88"/>
              <w:rPr>
                <w:sz w:val="20"/>
              </w:rPr>
            </w:pPr>
            <w:r>
              <w:rPr>
                <w:sz w:val="20"/>
              </w:rPr>
              <w:t xml:space="preserve">Évaluation du débit écologique de l’eau pour identifier les flux susceptibles de maintenir la connectivité longitudinale dans les fleuves qui se jettent dans la </w:t>
            </w:r>
            <w:proofErr w:type="spellStart"/>
            <w:r>
              <w:rPr>
                <w:sz w:val="20"/>
              </w:rPr>
              <w:t>Chilika</w:t>
            </w:r>
            <w:proofErr w:type="spellEnd"/>
            <w:r>
              <w:rPr>
                <w:sz w:val="20"/>
              </w:rPr>
              <w:t xml:space="preserve"> et les Sundarbans, en vue du mouvement, de la dispersion et d’une utilisation optimale de l’espace par les dauphins et leurs proies.</w:t>
            </w:r>
          </w:p>
          <w:p w:rsidR="00CE4BFD" w:rsidRPr="006720AD" w:rsidRDefault="00CE4BFD" w:rsidP="00CE4BFD">
            <w:pPr>
              <w:pStyle w:val="TableParagraph"/>
              <w:ind w:left="107" w:right="88"/>
              <w:rPr>
                <w:sz w:val="20"/>
              </w:rPr>
            </w:pPr>
            <w:r>
              <w:rPr>
                <w:sz w:val="20"/>
              </w:rPr>
              <w:t xml:space="preserve">Maintien de l’entrée d’eau de mer vers </w:t>
            </w:r>
            <w:proofErr w:type="spellStart"/>
            <w:r>
              <w:rPr>
                <w:sz w:val="20"/>
              </w:rPr>
              <w:t>Chilika</w:t>
            </w:r>
            <w:proofErr w:type="spellEnd"/>
            <w:r>
              <w:rPr>
                <w:sz w:val="20"/>
              </w:rPr>
              <w:t>.</w:t>
            </w:r>
          </w:p>
        </w:tc>
        <w:tc>
          <w:tcPr>
            <w:tcW w:w="3063" w:type="dxa"/>
            <w:vAlign w:val="center"/>
          </w:tcPr>
          <w:p w:rsidR="00CE4BFD" w:rsidRPr="006720AD" w:rsidRDefault="00CE4BFD" w:rsidP="00CE4BFD">
            <w:pPr>
              <w:pStyle w:val="TableParagraph"/>
              <w:spacing w:before="11"/>
              <w:rPr>
                <w:sz w:val="29"/>
              </w:rPr>
            </w:pPr>
            <w:r>
              <w:rPr>
                <w:sz w:val="20"/>
              </w:rPr>
              <w:t>Lignes directrices pour l’exploitation des barrages et des retenues, vers une gestion écologique des lâchers d’eau pour maintenir la connectivité et la profondeur de l’habitat en aval et en amont afin que les dauphins de l’Irrawaddy perdurent et exercent des fonctions vitales.</w:t>
            </w:r>
          </w:p>
        </w:tc>
        <w:tc>
          <w:tcPr>
            <w:tcW w:w="3064" w:type="dxa"/>
            <w:vAlign w:val="center"/>
          </w:tcPr>
          <w:p w:rsidR="00CE4BFD" w:rsidRPr="006720AD" w:rsidRDefault="00CE4BFD" w:rsidP="00CE4BFD">
            <w:pPr>
              <w:pStyle w:val="TableParagraph"/>
            </w:pPr>
            <w:r>
              <w:rPr>
                <w:sz w:val="20"/>
              </w:rPr>
              <w:t xml:space="preserve">Les cours d’eau intensément réglementés se limitent souvent à des fosses profondes qui sont coupées les unes des autres pendant la saison sèche (à l’exemple du fleuve Ganga en aval du barrage de </w:t>
            </w:r>
            <w:proofErr w:type="spellStart"/>
            <w:r>
              <w:rPr>
                <w:sz w:val="20"/>
              </w:rPr>
              <w:t>Farakka</w:t>
            </w:r>
            <w:proofErr w:type="spellEnd"/>
            <w:r>
              <w:rPr>
                <w:sz w:val="20"/>
              </w:rPr>
              <w:t>).</w:t>
            </w:r>
          </w:p>
        </w:tc>
      </w:tr>
      <w:tr w:rsidR="00CE4BFD" w:rsidRPr="00CE4BFD" w:rsidTr="00CE4BFD">
        <w:trPr>
          <w:trHeight w:val="1030"/>
        </w:trPr>
        <w:tc>
          <w:tcPr>
            <w:tcW w:w="3063" w:type="dxa"/>
            <w:vAlign w:val="center"/>
          </w:tcPr>
          <w:p w:rsidR="00CE4BFD" w:rsidRPr="006720AD" w:rsidRDefault="00CE4BFD" w:rsidP="00CE4BFD">
            <w:pPr>
              <w:pStyle w:val="TableParagraph"/>
              <w:tabs>
                <w:tab w:val="left" w:pos="1884"/>
              </w:tabs>
              <w:ind w:right="88"/>
              <w:rPr>
                <w:sz w:val="20"/>
              </w:rPr>
            </w:pPr>
            <w:r>
              <w:rPr>
                <w:sz w:val="20"/>
              </w:rPr>
              <w:t xml:space="preserve">Recherche en bateau pour poursuivre les études de photo-identification et identifier l’habitat essentiel. </w:t>
            </w:r>
          </w:p>
          <w:p w:rsidR="00CE4BFD" w:rsidRPr="006720AD" w:rsidRDefault="00CE4BFD" w:rsidP="00CE4BFD">
            <w:pPr>
              <w:pStyle w:val="TableParagraph"/>
              <w:ind w:left="107"/>
              <w:rPr>
                <w:sz w:val="20"/>
              </w:rPr>
            </w:pPr>
          </w:p>
        </w:tc>
        <w:tc>
          <w:tcPr>
            <w:tcW w:w="3063" w:type="dxa"/>
            <w:vAlign w:val="center"/>
          </w:tcPr>
          <w:p w:rsidR="00CE4BFD" w:rsidRPr="006720AD" w:rsidRDefault="00CE4BFD" w:rsidP="00CE4BFD">
            <w:pPr>
              <w:pStyle w:val="TableParagraph"/>
              <w:rPr>
                <w:sz w:val="20"/>
              </w:rPr>
            </w:pPr>
            <w:r>
              <w:rPr>
                <w:sz w:val="20"/>
              </w:rPr>
              <w:t>Amélioration des données sur l’estimation de la population, la répartition, l’utilisation de l’habitat, la santé de la population, les tendances démographiques et les menaces.</w:t>
            </w:r>
          </w:p>
        </w:tc>
        <w:tc>
          <w:tcPr>
            <w:tcW w:w="3064" w:type="dxa"/>
            <w:vAlign w:val="center"/>
          </w:tcPr>
          <w:p w:rsidR="00CE4BFD" w:rsidRPr="006720AD" w:rsidRDefault="00CE4BFD" w:rsidP="00CE4BFD">
            <w:pPr>
              <w:pStyle w:val="TableParagraph"/>
              <w:rPr>
                <w:sz w:val="20"/>
              </w:rPr>
            </w:pPr>
            <w:r>
              <w:rPr>
                <w:sz w:val="20"/>
              </w:rPr>
              <w:t>Rapport actualisé sur l’état des dauphins de l’Irrawaddy dans leur aire de répartition</w:t>
            </w:r>
          </w:p>
          <w:p w:rsidR="00CE4BFD" w:rsidRPr="006720AD" w:rsidRDefault="00CE4BFD" w:rsidP="00CE4BFD">
            <w:pPr>
              <w:pStyle w:val="TableParagraph"/>
              <w:ind w:left="107"/>
              <w:rPr>
                <w:sz w:val="20"/>
              </w:rPr>
            </w:pPr>
            <w:r>
              <w:rPr>
                <w:sz w:val="20"/>
              </w:rPr>
              <w:t xml:space="preserve">Mise à jour de l’information sur les caractéristiques du cycle biologique </w:t>
            </w:r>
          </w:p>
        </w:tc>
      </w:tr>
      <w:tr w:rsidR="00CE4BFD" w:rsidRPr="00CE4BFD" w:rsidTr="00CE4BFD">
        <w:trPr>
          <w:trHeight w:val="1379"/>
        </w:trPr>
        <w:tc>
          <w:tcPr>
            <w:tcW w:w="3063" w:type="dxa"/>
            <w:vAlign w:val="center"/>
          </w:tcPr>
          <w:p w:rsidR="00CE4BFD" w:rsidRPr="006720AD" w:rsidRDefault="00CE4BFD" w:rsidP="00CE4BFD">
            <w:pPr>
              <w:pStyle w:val="TableParagraph"/>
              <w:ind w:right="88"/>
              <w:rPr>
                <w:sz w:val="20"/>
              </w:rPr>
            </w:pPr>
            <w:r>
              <w:rPr>
                <w:sz w:val="20"/>
              </w:rPr>
              <w:t>Utilisation d’enregistreurs acoustiques passifs pour détecter la présence et l’effet du bruit sous-marin</w:t>
            </w:r>
          </w:p>
          <w:p w:rsidR="00CE4BFD" w:rsidRPr="006720AD" w:rsidRDefault="00CE4BFD" w:rsidP="00CE4BFD">
            <w:pPr>
              <w:pStyle w:val="TableParagraph"/>
              <w:rPr>
                <w:sz w:val="20"/>
              </w:rPr>
            </w:pPr>
          </w:p>
        </w:tc>
        <w:tc>
          <w:tcPr>
            <w:tcW w:w="3063" w:type="dxa"/>
            <w:vAlign w:val="center"/>
          </w:tcPr>
          <w:p w:rsidR="00CE4BFD" w:rsidRPr="006720AD" w:rsidRDefault="00CE4BFD" w:rsidP="00CE4BFD">
            <w:pPr>
              <w:pStyle w:val="TableParagraph"/>
              <w:rPr>
                <w:sz w:val="20"/>
              </w:rPr>
            </w:pPr>
            <w:r>
              <w:rPr>
                <w:sz w:val="20"/>
              </w:rPr>
              <w:t xml:space="preserve">Meilleure compréhension de la répartition </w:t>
            </w:r>
          </w:p>
        </w:tc>
        <w:tc>
          <w:tcPr>
            <w:tcW w:w="3064" w:type="dxa"/>
            <w:vAlign w:val="center"/>
          </w:tcPr>
          <w:p w:rsidR="00CE4BFD" w:rsidRPr="006720AD" w:rsidRDefault="00CE4BFD" w:rsidP="00CE4BFD">
            <w:pPr>
              <w:pStyle w:val="TableParagraph"/>
              <w:spacing w:before="114"/>
              <w:ind w:right="260"/>
              <w:rPr>
                <w:sz w:val="20"/>
              </w:rPr>
            </w:pPr>
            <w:r>
              <w:rPr>
                <w:sz w:val="20"/>
              </w:rPr>
              <w:t>Enregistrements qui indiquent la présence ou l’absence de dauphins de l’Irrawaddy tout au long de l’année - Gestion du trafic maritime</w:t>
            </w:r>
          </w:p>
        </w:tc>
      </w:tr>
      <w:tr w:rsidR="00CE4BFD" w:rsidRPr="00CE4BFD" w:rsidTr="00CE4BFD">
        <w:trPr>
          <w:trHeight w:val="1379"/>
        </w:trPr>
        <w:tc>
          <w:tcPr>
            <w:tcW w:w="3063" w:type="dxa"/>
            <w:vAlign w:val="center"/>
          </w:tcPr>
          <w:p w:rsidR="00CE4BFD" w:rsidRPr="006720AD" w:rsidRDefault="00CE4BFD" w:rsidP="00CE4BFD">
            <w:pPr>
              <w:pStyle w:val="TableParagraph"/>
              <w:ind w:right="86"/>
              <w:rPr>
                <w:sz w:val="20"/>
              </w:rPr>
            </w:pPr>
            <w:r>
              <w:rPr>
                <w:sz w:val="20"/>
              </w:rPr>
              <w:t xml:space="preserve">Analyse génétique d’échantillons prélevés sur des échouages afin de déterminer la structure, la connectivité et la viabilité de la population </w:t>
            </w:r>
          </w:p>
        </w:tc>
        <w:tc>
          <w:tcPr>
            <w:tcW w:w="3063" w:type="dxa"/>
            <w:vAlign w:val="center"/>
          </w:tcPr>
          <w:p w:rsidR="00CE4BFD" w:rsidRPr="006720AD" w:rsidRDefault="00CE4BFD" w:rsidP="00CE4BFD">
            <w:pPr>
              <w:pStyle w:val="TableParagraph"/>
              <w:rPr>
                <w:sz w:val="20"/>
              </w:rPr>
            </w:pPr>
            <w:r>
              <w:rPr>
                <w:sz w:val="20"/>
              </w:rPr>
              <w:t>Taux de flux génétique entre les sous-populations ; en savoir plus sur les mouvements et la santé de la population</w:t>
            </w:r>
          </w:p>
        </w:tc>
        <w:tc>
          <w:tcPr>
            <w:tcW w:w="3064" w:type="dxa"/>
            <w:vAlign w:val="center"/>
          </w:tcPr>
          <w:p w:rsidR="00CE4BFD" w:rsidRPr="006720AD" w:rsidRDefault="00CE4BFD" w:rsidP="00CE4BFD">
            <w:pPr>
              <w:pStyle w:val="TableParagraph"/>
              <w:ind w:right="229"/>
              <w:rPr>
                <w:sz w:val="20"/>
              </w:rPr>
            </w:pPr>
            <w:r>
              <w:rPr>
                <w:sz w:val="20"/>
              </w:rPr>
              <w:t>Publications dans des revues à comité de lecture</w:t>
            </w:r>
          </w:p>
        </w:tc>
      </w:tr>
      <w:tr w:rsidR="00CE4BFD" w:rsidRPr="00CE4BFD" w:rsidTr="00CE4BFD">
        <w:trPr>
          <w:trHeight w:val="1379"/>
        </w:trPr>
        <w:tc>
          <w:tcPr>
            <w:tcW w:w="3063" w:type="dxa"/>
            <w:vAlign w:val="center"/>
          </w:tcPr>
          <w:p w:rsidR="00CE4BFD" w:rsidRPr="006720AD" w:rsidRDefault="00CE4BFD" w:rsidP="00CE4BFD">
            <w:pPr>
              <w:pStyle w:val="TableParagraph"/>
              <w:ind w:right="86"/>
              <w:rPr>
                <w:sz w:val="20"/>
              </w:rPr>
            </w:pPr>
            <w:r>
              <w:rPr>
                <w:sz w:val="20"/>
              </w:rPr>
              <w:t>Collaboration avec les pêcheurs et les fonctionnaires du Ministère des pêches afin de réduire l’emmêlement dans les engins de pêche</w:t>
            </w:r>
          </w:p>
        </w:tc>
        <w:tc>
          <w:tcPr>
            <w:tcW w:w="3063" w:type="dxa"/>
            <w:vAlign w:val="center"/>
          </w:tcPr>
          <w:p w:rsidR="00CE4BFD" w:rsidRPr="006720AD" w:rsidRDefault="00CE4BFD" w:rsidP="00CE4BFD">
            <w:pPr>
              <w:pStyle w:val="TableParagraph"/>
              <w:spacing w:before="11"/>
              <w:rPr>
                <w:sz w:val="19"/>
              </w:rPr>
            </w:pPr>
            <w:r>
              <w:rPr>
                <w:sz w:val="19"/>
              </w:rPr>
              <w:t>Programmes d’observation des mammifères marins à bord des bateaux de pêche pour recueillir des données sur les interactions et comprendre comment éviter les prises accessoires</w:t>
            </w:r>
          </w:p>
        </w:tc>
        <w:tc>
          <w:tcPr>
            <w:tcW w:w="3064" w:type="dxa"/>
            <w:vAlign w:val="center"/>
          </w:tcPr>
          <w:p w:rsidR="00CE4BFD" w:rsidRPr="006720AD" w:rsidRDefault="00CE4BFD" w:rsidP="00CE4BFD">
            <w:pPr>
              <w:pStyle w:val="TableParagraph"/>
              <w:ind w:right="229"/>
              <w:rPr>
                <w:sz w:val="20"/>
              </w:rPr>
            </w:pPr>
            <w:r>
              <w:rPr>
                <w:sz w:val="20"/>
              </w:rPr>
              <w:t>Réduction de la mortalité imputable à l’emmêlement</w:t>
            </w:r>
          </w:p>
        </w:tc>
      </w:tr>
      <w:tr w:rsidR="00CE4BFD" w:rsidRPr="006720AD" w:rsidTr="00CE4BFD">
        <w:trPr>
          <w:trHeight w:val="460"/>
        </w:trPr>
        <w:tc>
          <w:tcPr>
            <w:tcW w:w="3063" w:type="dxa"/>
            <w:shd w:val="clear" w:color="auto" w:fill="DBE4F0"/>
            <w:vAlign w:val="center"/>
          </w:tcPr>
          <w:p w:rsidR="00CE4BFD" w:rsidRPr="006720AD" w:rsidRDefault="00CE4BFD" w:rsidP="00CE4BFD">
            <w:pPr>
              <w:pStyle w:val="TableParagraph"/>
              <w:tabs>
                <w:tab w:val="left" w:pos="1539"/>
                <w:tab w:val="left" w:pos="2597"/>
              </w:tabs>
              <w:spacing w:before="2"/>
              <w:ind w:left="107" w:right="89"/>
              <w:rPr>
                <w:b/>
                <w:i/>
                <w:sz w:val="20"/>
              </w:rPr>
            </w:pPr>
            <w:r>
              <w:rPr>
                <w:b/>
                <w:i/>
                <w:sz w:val="20"/>
              </w:rPr>
              <w:t>Partage de l’information</w:t>
            </w:r>
            <w:r>
              <w:rPr>
                <w:b/>
                <w:i/>
                <w:color w:val="1F487C"/>
                <w:sz w:val="20"/>
              </w:rPr>
              <w:tab/>
            </w:r>
          </w:p>
        </w:tc>
        <w:tc>
          <w:tcPr>
            <w:tcW w:w="3063" w:type="dxa"/>
            <w:shd w:val="clear" w:color="auto" w:fill="DBE4F0"/>
            <w:vAlign w:val="center"/>
          </w:tcPr>
          <w:p w:rsidR="00CE4BFD" w:rsidRPr="006720AD" w:rsidRDefault="00CE4BFD" w:rsidP="00CE4BFD">
            <w:pPr>
              <w:pStyle w:val="TableParagraph"/>
              <w:rPr>
                <w:sz w:val="20"/>
              </w:rPr>
            </w:pPr>
          </w:p>
        </w:tc>
        <w:tc>
          <w:tcPr>
            <w:tcW w:w="3064" w:type="dxa"/>
            <w:shd w:val="clear" w:color="auto" w:fill="DBE4F0"/>
            <w:vAlign w:val="center"/>
          </w:tcPr>
          <w:p w:rsidR="00CE4BFD" w:rsidRPr="006720AD" w:rsidRDefault="00CE4BFD" w:rsidP="00CE4BFD">
            <w:pPr>
              <w:pStyle w:val="TableParagraph"/>
              <w:rPr>
                <w:sz w:val="20"/>
              </w:rPr>
            </w:pPr>
          </w:p>
        </w:tc>
      </w:tr>
      <w:tr w:rsidR="00CE4BFD" w:rsidRPr="00CE4BFD" w:rsidTr="00CE4BFD">
        <w:trPr>
          <w:trHeight w:val="1615"/>
        </w:trPr>
        <w:tc>
          <w:tcPr>
            <w:tcW w:w="3063" w:type="dxa"/>
            <w:vAlign w:val="center"/>
          </w:tcPr>
          <w:p w:rsidR="00CE4BFD" w:rsidRPr="006720AD" w:rsidRDefault="00CE4BFD" w:rsidP="00CE4BFD">
            <w:pPr>
              <w:pStyle w:val="TableParagraph"/>
              <w:ind w:left="107" w:right="88"/>
              <w:rPr>
                <w:sz w:val="20"/>
              </w:rPr>
            </w:pPr>
            <w:r>
              <w:rPr>
                <w:sz w:val="20"/>
              </w:rPr>
              <w:t>Outils scientifiques à l’intention des citoyens pour permettre aux équipages des bateaux et des traversiers de pêche, à la garde-côte, et aux navires d’observation des dauphins d’enregistrer et de signaler les observations de dauphins de l’Irrawaddy.</w:t>
            </w:r>
          </w:p>
        </w:tc>
        <w:tc>
          <w:tcPr>
            <w:tcW w:w="3063" w:type="dxa"/>
            <w:vAlign w:val="center"/>
          </w:tcPr>
          <w:p w:rsidR="00CE4BFD" w:rsidRPr="006720AD" w:rsidRDefault="00CE4BFD" w:rsidP="00CE4BFD">
            <w:pPr>
              <w:pStyle w:val="TableParagraph"/>
              <w:spacing w:before="11"/>
              <w:rPr>
                <w:sz w:val="29"/>
              </w:rPr>
            </w:pPr>
          </w:p>
          <w:p w:rsidR="00CE4BFD" w:rsidRPr="006720AD" w:rsidRDefault="00CE4BFD" w:rsidP="00CE4BFD">
            <w:pPr>
              <w:pStyle w:val="TableParagraph"/>
              <w:spacing w:before="160"/>
              <w:ind w:left="107" w:right="525"/>
              <w:rPr>
                <w:sz w:val="20"/>
              </w:rPr>
            </w:pPr>
            <w:r>
              <w:rPr>
                <w:sz w:val="20"/>
              </w:rPr>
              <w:t>Amélioration des données et des modèles de répartition actuelle des dauphins de l’Irrawaddy</w:t>
            </w:r>
          </w:p>
        </w:tc>
        <w:tc>
          <w:tcPr>
            <w:tcW w:w="3064" w:type="dxa"/>
            <w:vAlign w:val="center"/>
          </w:tcPr>
          <w:p w:rsidR="00CE4BFD" w:rsidRPr="006720AD" w:rsidRDefault="00CE4BFD" w:rsidP="00CE4BFD">
            <w:pPr>
              <w:pStyle w:val="TableParagraph"/>
            </w:pPr>
          </w:p>
          <w:p w:rsidR="00CE4BFD" w:rsidRPr="006720AD" w:rsidRDefault="00CE4BFD" w:rsidP="00CE4BFD">
            <w:pPr>
              <w:pStyle w:val="TableParagraph"/>
              <w:spacing w:before="9"/>
              <w:rPr>
                <w:sz w:val="17"/>
              </w:rPr>
            </w:pPr>
          </w:p>
          <w:p w:rsidR="00CE4BFD" w:rsidRPr="006720AD" w:rsidRDefault="00CE4BFD" w:rsidP="00CE4BFD">
            <w:pPr>
              <w:pStyle w:val="TableParagraph"/>
              <w:spacing w:before="160"/>
              <w:ind w:left="107" w:right="82"/>
              <w:rPr>
                <w:sz w:val="20"/>
              </w:rPr>
            </w:pPr>
            <w:r>
              <w:rPr>
                <w:sz w:val="20"/>
              </w:rPr>
              <w:t>Augmentation du nombre et de l’aire géographique dans la base de données</w:t>
            </w:r>
          </w:p>
        </w:tc>
      </w:tr>
    </w:tbl>
    <w:p w:rsidR="00CE4BFD" w:rsidRPr="00CE4BFD" w:rsidRDefault="00CE4BFD" w:rsidP="00CE4BFD">
      <w:pPr>
        <w:jc w:val="both"/>
        <w:rPr>
          <w:sz w:val="20"/>
          <w:lang w:val="fr-FR"/>
        </w:rPr>
        <w:sectPr w:rsidR="00CE4BFD" w:rsidRPr="00CE4BFD">
          <w:headerReference w:type="even" r:id="rId16"/>
          <w:headerReference w:type="default" r:id="rId17"/>
          <w:footerReference w:type="even" r:id="rId18"/>
          <w:footerReference w:type="default" r:id="rId19"/>
          <w:pgSz w:w="11910" w:h="16840"/>
          <w:pgMar w:top="660" w:right="740" w:bottom="620" w:left="1020" w:header="437" w:footer="431" w:gutter="0"/>
          <w:cols w:space="720"/>
        </w:sectPr>
      </w:pPr>
    </w:p>
    <w:p w:rsidR="00CE4BFD" w:rsidRPr="00CE4BFD" w:rsidRDefault="00CE4BFD" w:rsidP="00CE4BFD">
      <w:pPr>
        <w:pStyle w:val="BodyText"/>
        <w:rPr>
          <w:sz w:val="20"/>
          <w:lang w:val="fr-FR"/>
        </w:rPr>
      </w:pPr>
    </w:p>
    <w:p w:rsidR="00CE4BFD" w:rsidRPr="00CE4BFD" w:rsidRDefault="00CE4BFD" w:rsidP="00CE4BFD">
      <w:pPr>
        <w:pStyle w:val="BodyText"/>
        <w:spacing w:before="1"/>
        <w:rPr>
          <w:sz w:val="16"/>
          <w:lang w:val="fr-FR"/>
        </w:rPr>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63"/>
        <w:gridCol w:w="3063"/>
        <w:gridCol w:w="3064"/>
      </w:tblGrid>
      <w:tr w:rsidR="00CE4BFD" w:rsidRPr="00CE4BFD" w:rsidTr="00CE4BFD">
        <w:trPr>
          <w:trHeight w:val="393"/>
        </w:trPr>
        <w:tc>
          <w:tcPr>
            <w:tcW w:w="9190" w:type="dxa"/>
            <w:gridSpan w:val="3"/>
          </w:tcPr>
          <w:p w:rsidR="00CE4BFD" w:rsidRPr="006720AD" w:rsidRDefault="00CE4BFD" w:rsidP="00CE4BFD">
            <w:pPr>
              <w:pStyle w:val="TableParagraph"/>
              <w:spacing w:before="81"/>
              <w:ind w:left="107"/>
              <w:jc w:val="both"/>
              <w:rPr>
                <w:b/>
                <w:sz w:val="20"/>
              </w:rPr>
            </w:pPr>
            <w:r>
              <w:rPr>
                <w:b/>
                <w:sz w:val="20"/>
              </w:rPr>
              <w:t>Action concertée pour le dauphin de l’Irrawaddy : Activités prioritaires et résultats</w:t>
            </w:r>
          </w:p>
        </w:tc>
      </w:tr>
      <w:tr w:rsidR="00CE4BFD" w:rsidRPr="006720AD" w:rsidTr="00CE4BFD">
        <w:trPr>
          <w:trHeight w:val="385"/>
        </w:trPr>
        <w:tc>
          <w:tcPr>
            <w:tcW w:w="3063" w:type="dxa"/>
            <w:shd w:val="clear" w:color="auto" w:fill="8DB3E1"/>
          </w:tcPr>
          <w:p w:rsidR="00CE4BFD" w:rsidRPr="006720AD" w:rsidRDefault="00CE4BFD" w:rsidP="00CE4BFD">
            <w:pPr>
              <w:pStyle w:val="TableParagraph"/>
              <w:spacing w:before="76"/>
              <w:ind w:left="107"/>
              <w:jc w:val="both"/>
              <w:rPr>
                <w:b/>
                <w:sz w:val="20"/>
              </w:rPr>
            </w:pPr>
            <w:r>
              <w:rPr>
                <w:b/>
                <w:sz w:val="20"/>
              </w:rPr>
              <w:t>Activité</w:t>
            </w:r>
          </w:p>
        </w:tc>
        <w:tc>
          <w:tcPr>
            <w:tcW w:w="3063" w:type="dxa"/>
            <w:shd w:val="clear" w:color="auto" w:fill="8DB3E1"/>
          </w:tcPr>
          <w:p w:rsidR="00CE4BFD" w:rsidRPr="006720AD" w:rsidRDefault="00CE4BFD" w:rsidP="00CE4BFD">
            <w:pPr>
              <w:pStyle w:val="TableParagraph"/>
              <w:spacing w:before="76"/>
              <w:ind w:left="623"/>
              <w:jc w:val="both"/>
              <w:rPr>
                <w:b/>
                <w:sz w:val="20"/>
              </w:rPr>
            </w:pPr>
            <w:r>
              <w:rPr>
                <w:b/>
                <w:sz w:val="20"/>
              </w:rPr>
              <w:t>Résultats escomptés</w:t>
            </w:r>
          </w:p>
        </w:tc>
        <w:tc>
          <w:tcPr>
            <w:tcW w:w="3064" w:type="dxa"/>
            <w:shd w:val="clear" w:color="auto" w:fill="8DB3E1"/>
          </w:tcPr>
          <w:p w:rsidR="00CE4BFD" w:rsidRPr="006720AD" w:rsidRDefault="00CE4BFD" w:rsidP="00CE4BFD">
            <w:pPr>
              <w:pStyle w:val="TableParagraph"/>
              <w:spacing w:before="76"/>
              <w:ind w:left="1031" w:right="1016"/>
              <w:jc w:val="both"/>
              <w:rPr>
                <w:b/>
                <w:sz w:val="20"/>
              </w:rPr>
            </w:pPr>
            <w:r>
              <w:rPr>
                <w:b/>
                <w:sz w:val="20"/>
              </w:rPr>
              <w:t>Indicateurs</w:t>
            </w:r>
          </w:p>
        </w:tc>
      </w:tr>
      <w:tr w:rsidR="00CE4BFD" w:rsidRPr="006720AD" w:rsidTr="00CE4BFD">
        <w:trPr>
          <w:trHeight w:val="265"/>
        </w:trPr>
        <w:tc>
          <w:tcPr>
            <w:tcW w:w="3063" w:type="dxa"/>
            <w:shd w:val="clear" w:color="auto" w:fill="DBE4F0"/>
          </w:tcPr>
          <w:p w:rsidR="00CE4BFD" w:rsidRPr="006720AD" w:rsidRDefault="00CE4BFD" w:rsidP="00CE4BFD">
            <w:pPr>
              <w:pStyle w:val="TableParagraph"/>
              <w:tabs>
                <w:tab w:val="left" w:pos="2597"/>
              </w:tabs>
              <w:spacing w:before="3"/>
              <w:ind w:left="107" w:right="93"/>
              <w:jc w:val="both"/>
              <w:rPr>
                <w:b/>
                <w:i/>
                <w:sz w:val="20"/>
              </w:rPr>
            </w:pPr>
            <w:r>
              <w:rPr>
                <w:b/>
                <w:i/>
                <w:sz w:val="20"/>
              </w:rPr>
              <w:t xml:space="preserve">Renforcement des capacités </w:t>
            </w:r>
          </w:p>
        </w:tc>
        <w:tc>
          <w:tcPr>
            <w:tcW w:w="3063" w:type="dxa"/>
            <w:shd w:val="clear" w:color="auto" w:fill="DBE4F0"/>
          </w:tcPr>
          <w:p w:rsidR="00CE4BFD" w:rsidRPr="006720AD" w:rsidRDefault="00CE4BFD" w:rsidP="00CE4BFD">
            <w:pPr>
              <w:pStyle w:val="TableParagraph"/>
              <w:jc w:val="both"/>
              <w:rPr>
                <w:sz w:val="20"/>
              </w:rPr>
            </w:pPr>
          </w:p>
        </w:tc>
        <w:tc>
          <w:tcPr>
            <w:tcW w:w="3064" w:type="dxa"/>
            <w:shd w:val="clear" w:color="auto" w:fill="DBE4F0"/>
          </w:tcPr>
          <w:p w:rsidR="00CE4BFD" w:rsidRPr="006720AD" w:rsidRDefault="00CE4BFD" w:rsidP="00CE4BFD">
            <w:pPr>
              <w:pStyle w:val="TableParagraph"/>
              <w:jc w:val="both"/>
              <w:rPr>
                <w:sz w:val="20"/>
              </w:rPr>
            </w:pPr>
          </w:p>
        </w:tc>
      </w:tr>
      <w:tr w:rsidR="00CE4BFD" w:rsidRPr="00CE4BFD" w:rsidTr="00CE4BFD">
        <w:trPr>
          <w:trHeight w:val="1687"/>
        </w:trPr>
        <w:tc>
          <w:tcPr>
            <w:tcW w:w="3063" w:type="dxa"/>
          </w:tcPr>
          <w:p w:rsidR="00CE4BFD" w:rsidRPr="006720AD" w:rsidRDefault="00CE4BFD" w:rsidP="00CE4BFD">
            <w:pPr>
              <w:pStyle w:val="TableParagraph"/>
              <w:ind w:left="107"/>
              <w:rPr>
                <w:sz w:val="20"/>
              </w:rPr>
            </w:pPr>
            <w:r>
              <w:rPr>
                <w:sz w:val="20"/>
              </w:rPr>
              <w:t xml:space="preserve">Formation au protocole de démêlage des dauphins </w:t>
            </w:r>
          </w:p>
        </w:tc>
        <w:tc>
          <w:tcPr>
            <w:tcW w:w="3063" w:type="dxa"/>
          </w:tcPr>
          <w:p w:rsidR="00CE4BFD" w:rsidRPr="006720AD" w:rsidRDefault="00CE4BFD" w:rsidP="00CE4BFD">
            <w:pPr>
              <w:pStyle w:val="TableParagraph"/>
              <w:ind w:right="230"/>
              <w:rPr>
                <w:sz w:val="20"/>
              </w:rPr>
            </w:pPr>
          </w:p>
          <w:p w:rsidR="00CE4BFD" w:rsidRPr="006720AD" w:rsidRDefault="00CE4BFD" w:rsidP="00CE4BFD">
            <w:pPr>
              <w:pStyle w:val="TableParagraph"/>
              <w:ind w:right="230"/>
              <w:rPr>
                <w:sz w:val="20"/>
              </w:rPr>
            </w:pPr>
            <w:r>
              <w:rPr>
                <w:sz w:val="20"/>
              </w:rPr>
              <w:t>Ateliers et formation de pêcheurs et de chercheurs ; réduction du nombre d’échouages</w:t>
            </w:r>
          </w:p>
        </w:tc>
        <w:tc>
          <w:tcPr>
            <w:tcW w:w="3064" w:type="dxa"/>
          </w:tcPr>
          <w:p w:rsidR="00CE4BFD" w:rsidRPr="006720AD" w:rsidRDefault="00CE4BFD" w:rsidP="00CE4BFD">
            <w:pPr>
              <w:pStyle w:val="TableParagraph"/>
              <w:ind w:right="230"/>
              <w:rPr>
                <w:sz w:val="20"/>
              </w:rPr>
            </w:pPr>
            <w:r>
              <w:rPr>
                <w:sz w:val="20"/>
              </w:rPr>
              <w:t>Réaction plus efficace en cas d’échouage ou d’emmêlement, amélioration des données sur les taux de prises accessoires ou d’emmêlement ; diminution de la mortalité liée à la pêche ; augmentation de la taille de la population</w:t>
            </w:r>
          </w:p>
        </w:tc>
      </w:tr>
      <w:tr w:rsidR="00CE4BFD" w:rsidRPr="00CE4BFD" w:rsidTr="00CE4BFD">
        <w:trPr>
          <w:trHeight w:val="2002"/>
        </w:trPr>
        <w:tc>
          <w:tcPr>
            <w:tcW w:w="3063" w:type="dxa"/>
          </w:tcPr>
          <w:p w:rsidR="00CE4BFD" w:rsidRPr="006720AD" w:rsidRDefault="00CE4BFD" w:rsidP="00CE4BFD">
            <w:pPr>
              <w:pStyle w:val="TableParagraph"/>
              <w:ind w:left="107"/>
              <w:rPr>
                <w:sz w:val="20"/>
              </w:rPr>
            </w:pPr>
            <w:r>
              <w:rPr>
                <w:sz w:val="20"/>
              </w:rPr>
              <w:t xml:space="preserve">Programme et formation à l’observation durable des dauphins </w:t>
            </w:r>
          </w:p>
        </w:tc>
        <w:tc>
          <w:tcPr>
            <w:tcW w:w="3063" w:type="dxa"/>
          </w:tcPr>
          <w:p w:rsidR="00CE4BFD" w:rsidRPr="006720AD" w:rsidRDefault="00CE4BFD" w:rsidP="00CE4BFD">
            <w:pPr>
              <w:pStyle w:val="TableParagraph"/>
              <w:ind w:right="230"/>
              <w:rPr>
                <w:sz w:val="20"/>
              </w:rPr>
            </w:pPr>
            <w:r>
              <w:rPr>
                <w:sz w:val="20"/>
              </w:rPr>
              <w:t xml:space="preserve">Un plan de gestion élaboré par tous les services administratifs concernés - Département d’État en charge des forêts, Autorité de développement de </w:t>
            </w:r>
            <w:proofErr w:type="spellStart"/>
            <w:r>
              <w:rPr>
                <w:sz w:val="20"/>
              </w:rPr>
              <w:t>Chilika</w:t>
            </w:r>
            <w:proofErr w:type="spellEnd"/>
            <w:r>
              <w:rPr>
                <w:sz w:val="20"/>
              </w:rPr>
              <w:t>, bureau du percepteur, ministère du tourisme et département des pêches.</w:t>
            </w:r>
          </w:p>
        </w:tc>
        <w:tc>
          <w:tcPr>
            <w:tcW w:w="3064" w:type="dxa"/>
          </w:tcPr>
          <w:p w:rsidR="00CE4BFD" w:rsidRPr="006720AD" w:rsidRDefault="00CE4BFD" w:rsidP="00CE4BFD">
            <w:pPr>
              <w:pStyle w:val="TableParagraph"/>
              <w:ind w:right="230"/>
              <w:rPr>
                <w:sz w:val="20"/>
              </w:rPr>
            </w:pPr>
            <w:r>
              <w:rPr>
                <w:sz w:val="20"/>
              </w:rPr>
              <w:t xml:space="preserve">Réduction des incidents de chasse aux dauphins et de mortalité des dauphins. </w:t>
            </w:r>
          </w:p>
        </w:tc>
      </w:tr>
      <w:tr w:rsidR="00CE4BFD" w:rsidRPr="00CE4BFD" w:rsidTr="00CE4BFD">
        <w:trPr>
          <w:trHeight w:val="1075"/>
        </w:trPr>
        <w:tc>
          <w:tcPr>
            <w:tcW w:w="3063" w:type="dxa"/>
          </w:tcPr>
          <w:p w:rsidR="00CE4BFD" w:rsidRPr="006720AD" w:rsidRDefault="00CE4BFD" w:rsidP="00CE4BFD">
            <w:pPr>
              <w:pStyle w:val="TableParagraph"/>
              <w:tabs>
                <w:tab w:val="left" w:pos="1426"/>
                <w:tab w:val="left" w:pos="1839"/>
              </w:tabs>
              <w:ind w:left="107" w:right="91"/>
              <w:rPr>
                <w:sz w:val="20"/>
              </w:rPr>
            </w:pPr>
            <w:r>
              <w:rPr>
                <w:sz w:val="20"/>
              </w:rPr>
              <w:t>Protocole d’intervention en cas d’échouage et collecte de données</w:t>
            </w:r>
          </w:p>
        </w:tc>
        <w:tc>
          <w:tcPr>
            <w:tcW w:w="3063" w:type="dxa"/>
          </w:tcPr>
          <w:p w:rsidR="00CE4BFD" w:rsidRPr="006720AD" w:rsidRDefault="00CE4BFD" w:rsidP="00CE4BFD">
            <w:pPr>
              <w:pStyle w:val="TableParagraph"/>
              <w:spacing w:before="9"/>
              <w:rPr>
                <w:sz w:val="19"/>
              </w:rPr>
            </w:pPr>
            <w:r>
              <w:rPr>
                <w:sz w:val="19"/>
              </w:rPr>
              <w:t>Accroissement de données disponibles sur les caractéristiques du cycle biologique, les causes de mortalité, la santé reproductive et la longévité</w:t>
            </w:r>
          </w:p>
        </w:tc>
        <w:tc>
          <w:tcPr>
            <w:tcW w:w="3064" w:type="dxa"/>
          </w:tcPr>
          <w:p w:rsidR="00CE4BFD" w:rsidRPr="006720AD" w:rsidRDefault="00CE4BFD" w:rsidP="00CE4BFD">
            <w:pPr>
              <w:pStyle w:val="TableParagraph"/>
              <w:rPr>
                <w:sz w:val="20"/>
                <w:szCs w:val="20"/>
              </w:rPr>
            </w:pPr>
            <w:r>
              <w:rPr>
                <w:sz w:val="20"/>
                <w:szCs w:val="20"/>
              </w:rPr>
              <w:t>Augmentation de la taille des données dans la base de données et dans les documents examinés par les pairs.</w:t>
            </w:r>
          </w:p>
        </w:tc>
      </w:tr>
    </w:tbl>
    <w:p w:rsidR="00CE4BFD" w:rsidRPr="00CE4BFD" w:rsidRDefault="00CE4BFD" w:rsidP="00CE4BFD">
      <w:pPr>
        <w:pStyle w:val="BodyText"/>
        <w:spacing w:before="10"/>
        <w:rPr>
          <w:sz w:val="14"/>
          <w:lang w:val="fr-FR"/>
        </w:rPr>
      </w:pPr>
    </w:p>
    <w:p w:rsidR="00CE4BFD" w:rsidRPr="006720AD" w:rsidRDefault="00CE4BFD" w:rsidP="00CE4BFD">
      <w:pPr>
        <w:spacing w:before="93"/>
        <w:ind w:firstLine="397"/>
        <w:jc w:val="both"/>
        <w:rPr>
          <w:rFonts w:cs="Arial"/>
          <w:b/>
        </w:rPr>
      </w:pPr>
      <w:r>
        <w:rPr>
          <w:b/>
        </w:rPr>
        <w:t>RÉSULTATS ESCOMPTÉS</w:t>
      </w:r>
    </w:p>
    <w:p w:rsidR="00CE4BFD" w:rsidRPr="00E55025" w:rsidRDefault="00CE4BFD" w:rsidP="00E55025">
      <w:pPr>
        <w:pStyle w:val="ListParagraph"/>
        <w:numPr>
          <w:ilvl w:val="2"/>
          <w:numId w:val="19"/>
        </w:numPr>
        <w:tabs>
          <w:tab w:val="left" w:pos="1112"/>
        </w:tabs>
        <w:suppressAutoHyphens w:val="0"/>
        <w:ind w:right="662"/>
        <w:jc w:val="both"/>
        <w:textAlignment w:val="auto"/>
        <w:rPr>
          <w:sz w:val="22"/>
          <w:szCs w:val="22"/>
          <w:lang w:val="fr-FR"/>
        </w:rPr>
      </w:pPr>
      <w:r w:rsidRPr="00E55025">
        <w:rPr>
          <w:sz w:val="22"/>
          <w:szCs w:val="22"/>
          <w:lang w:val="fr-FR"/>
        </w:rPr>
        <w:t>Réseaux multipartites prêts à échanger des informations et à collaborer sur des mesures visant à améliorer l’état de conservation et à atténuer les menaces auxquelles sont confrontés les dauphins de l’Irrawaddy dans leur aire de répartition.</w:t>
      </w:r>
    </w:p>
    <w:p w:rsidR="00CE4BFD" w:rsidRPr="00E55025" w:rsidRDefault="00CE4BFD" w:rsidP="00E55025">
      <w:pPr>
        <w:pStyle w:val="ListParagraph"/>
        <w:numPr>
          <w:ilvl w:val="2"/>
          <w:numId w:val="19"/>
        </w:numPr>
        <w:tabs>
          <w:tab w:val="left" w:pos="1112"/>
        </w:tabs>
        <w:suppressAutoHyphens w:val="0"/>
        <w:ind w:right="666"/>
        <w:jc w:val="both"/>
        <w:textAlignment w:val="auto"/>
        <w:rPr>
          <w:sz w:val="22"/>
          <w:szCs w:val="22"/>
          <w:lang w:val="fr-FR"/>
        </w:rPr>
      </w:pPr>
      <w:r w:rsidRPr="00E55025">
        <w:rPr>
          <w:sz w:val="22"/>
          <w:szCs w:val="22"/>
          <w:lang w:val="fr-FR"/>
        </w:rPr>
        <w:t>Nouvel aperçu des tendances de l’abondance, de la santé et des déplacements des dauphins de l’Irrawaddy dans la région à la lumière des paramètres environnementaux.</w:t>
      </w:r>
    </w:p>
    <w:p w:rsidR="00CE4BFD" w:rsidRPr="00E55025" w:rsidRDefault="00CE4BFD" w:rsidP="00E55025">
      <w:pPr>
        <w:pStyle w:val="ListParagraph"/>
        <w:numPr>
          <w:ilvl w:val="2"/>
          <w:numId w:val="19"/>
        </w:numPr>
        <w:tabs>
          <w:tab w:val="left" w:pos="1112"/>
        </w:tabs>
        <w:suppressAutoHyphens w:val="0"/>
        <w:ind w:right="669"/>
        <w:jc w:val="both"/>
        <w:textAlignment w:val="auto"/>
        <w:rPr>
          <w:sz w:val="22"/>
          <w:szCs w:val="22"/>
          <w:lang w:val="fr-FR"/>
        </w:rPr>
      </w:pPr>
      <w:r w:rsidRPr="00E55025">
        <w:rPr>
          <w:sz w:val="22"/>
          <w:szCs w:val="22"/>
          <w:lang w:val="fr-FR"/>
        </w:rPr>
        <w:t>Amélioration de la capacité de recherche dans les États de l’aire de répartition grâce à des ateliers de formation et à une collaboration transnationale.</w:t>
      </w:r>
    </w:p>
    <w:p w:rsidR="00CE4BFD" w:rsidRPr="00E55025" w:rsidRDefault="00CE4BFD" w:rsidP="00E55025">
      <w:pPr>
        <w:pStyle w:val="ListParagraph"/>
        <w:numPr>
          <w:ilvl w:val="2"/>
          <w:numId w:val="19"/>
        </w:numPr>
        <w:tabs>
          <w:tab w:val="left" w:pos="1112"/>
        </w:tabs>
        <w:suppressAutoHyphens w:val="0"/>
        <w:ind w:right="666"/>
        <w:jc w:val="both"/>
        <w:textAlignment w:val="auto"/>
        <w:rPr>
          <w:sz w:val="22"/>
          <w:szCs w:val="22"/>
          <w:lang w:val="fr-FR"/>
        </w:rPr>
      </w:pPr>
      <w:r w:rsidRPr="00E55025">
        <w:rPr>
          <w:sz w:val="22"/>
          <w:szCs w:val="22"/>
          <w:lang w:val="fr-FR"/>
        </w:rPr>
        <w:t>Publications scientifiques et articles de vulgarisation.</w:t>
      </w:r>
    </w:p>
    <w:p w:rsidR="00CE4BFD" w:rsidRPr="00E55025" w:rsidRDefault="00CE4BFD" w:rsidP="00E55025">
      <w:pPr>
        <w:pStyle w:val="ListParagraph"/>
        <w:numPr>
          <w:ilvl w:val="2"/>
          <w:numId w:val="19"/>
        </w:numPr>
        <w:tabs>
          <w:tab w:val="left" w:pos="1112"/>
        </w:tabs>
        <w:suppressAutoHyphens w:val="0"/>
        <w:ind w:right="666"/>
        <w:jc w:val="both"/>
        <w:textAlignment w:val="auto"/>
        <w:rPr>
          <w:sz w:val="22"/>
          <w:szCs w:val="22"/>
          <w:lang w:val="fr-FR"/>
        </w:rPr>
      </w:pPr>
      <w:r w:rsidRPr="00E55025">
        <w:rPr>
          <w:sz w:val="22"/>
          <w:szCs w:val="22"/>
          <w:lang w:val="fr-FR"/>
        </w:rPr>
        <w:t>Sensibilisation accrue des communautés côtières de pêcheurs et des capitaines de pêche qui savent comment signaler et atténuer l’emmêlement accidentel de dauphins de l’Irrawaddy dans les engins de pêche.</w:t>
      </w:r>
    </w:p>
    <w:p w:rsidR="00CE4BFD" w:rsidRPr="00CE4BFD" w:rsidRDefault="00CE4BFD" w:rsidP="00E55025">
      <w:pPr>
        <w:pStyle w:val="ListParagraph"/>
        <w:tabs>
          <w:tab w:val="left" w:pos="1112"/>
        </w:tabs>
        <w:ind w:left="789" w:right="666"/>
        <w:jc w:val="right"/>
        <w:rPr>
          <w:lang w:val="fr-FR"/>
        </w:rPr>
      </w:pPr>
    </w:p>
    <w:p w:rsidR="00CE4BFD" w:rsidRPr="006720AD" w:rsidRDefault="00CE4BFD" w:rsidP="00E55025">
      <w:pPr>
        <w:pStyle w:val="Heading1"/>
        <w:keepNext w:val="0"/>
        <w:numPr>
          <w:ilvl w:val="0"/>
          <w:numId w:val="13"/>
        </w:numPr>
        <w:tabs>
          <w:tab w:val="clear" w:pos="-1057"/>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 w:val="left" w:pos="742"/>
        </w:tabs>
        <w:suppressAutoHyphens w:val="0"/>
        <w:jc w:val="both"/>
        <w:textAlignment w:val="auto"/>
        <w:rPr>
          <w:rFonts w:cs="Arial"/>
          <w:b w:val="0"/>
          <w:sz w:val="22"/>
          <w:szCs w:val="22"/>
        </w:rPr>
      </w:pPr>
      <w:proofErr w:type="spellStart"/>
      <w:r>
        <w:rPr>
          <w:sz w:val="22"/>
          <w:szCs w:val="22"/>
        </w:rPr>
        <w:t>Avantages</w:t>
      </w:r>
      <w:proofErr w:type="spellEnd"/>
      <w:r>
        <w:rPr>
          <w:sz w:val="22"/>
          <w:szCs w:val="22"/>
        </w:rPr>
        <w:t xml:space="preserve"> </w:t>
      </w:r>
      <w:proofErr w:type="spellStart"/>
      <w:r>
        <w:rPr>
          <w:sz w:val="22"/>
          <w:szCs w:val="22"/>
        </w:rPr>
        <w:t>associés</w:t>
      </w:r>
      <w:proofErr w:type="spellEnd"/>
    </w:p>
    <w:p w:rsidR="00CE4BFD" w:rsidRPr="00CE4BFD" w:rsidRDefault="00CE4BFD" w:rsidP="00E55025">
      <w:pPr>
        <w:pStyle w:val="BodyText"/>
        <w:ind w:left="391" w:right="660"/>
        <w:rPr>
          <w:lang w:val="fr-FR"/>
        </w:rPr>
      </w:pPr>
      <w:r w:rsidRPr="00CE4BFD">
        <w:rPr>
          <w:lang w:val="fr-FR"/>
        </w:rPr>
        <w:br/>
        <w:t>La conservation et l’étude des dauphins de l’Irrawaddy par le biais d’une formation au démêlage aideront à protéger d’autres espèces de petits et grands cétacés dans leur aire de répartition géographique. Ces aires sont également importantes pour toute une série d’autres espèces marines comme les tortues, les crocodiles et les dauphins d’Asie du Sud.</w:t>
      </w:r>
    </w:p>
    <w:p w:rsidR="00CE4BFD" w:rsidRPr="00CE4BFD" w:rsidRDefault="00CE4BFD" w:rsidP="00E55025">
      <w:pPr>
        <w:pStyle w:val="ListParagraph"/>
        <w:tabs>
          <w:tab w:val="left" w:pos="1112"/>
        </w:tabs>
        <w:ind w:left="789" w:right="666"/>
        <w:jc w:val="center"/>
        <w:rPr>
          <w:lang w:val="fr-FR"/>
        </w:rPr>
      </w:pPr>
    </w:p>
    <w:p w:rsidR="00CE4BFD" w:rsidRPr="00CE4BFD" w:rsidRDefault="00CE4BFD" w:rsidP="00E55025">
      <w:pPr>
        <w:pStyle w:val="ListParagraph"/>
        <w:tabs>
          <w:tab w:val="left" w:pos="1112"/>
        </w:tabs>
        <w:ind w:left="789" w:right="666"/>
        <w:jc w:val="center"/>
        <w:rPr>
          <w:lang w:val="fr-FR"/>
        </w:rPr>
        <w:sectPr w:rsidR="00CE4BFD" w:rsidRPr="00CE4BFD">
          <w:pgSz w:w="11910" w:h="16840"/>
          <w:pgMar w:top="660" w:right="740" w:bottom="620" w:left="1020" w:header="437" w:footer="431" w:gutter="0"/>
          <w:cols w:space="720"/>
        </w:sectPr>
      </w:pPr>
    </w:p>
    <w:p w:rsidR="00CE4BFD" w:rsidRPr="00CE4BFD" w:rsidRDefault="00CE4BFD" w:rsidP="00CE4BFD">
      <w:pPr>
        <w:pStyle w:val="BodyText"/>
        <w:rPr>
          <w:sz w:val="20"/>
          <w:lang w:val="fr-FR"/>
        </w:rPr>
      </w:pPr>
    </w:p>
    <w:p w:rsidR="00CE4BFD" w:rsidRPr="006720AD" w:rsidRDefault="00CE4BFD" w:rsidP="00CE4BFD">
      <w:pPr>
        <w:pStyle w:val="Heading1"/>
        <w:keepNext w:val="0"/>
        <w:numPr>
          <w:ilvl w:val="0"/>
          <w:numId w:val="13"/>
        </w:numPr>
        <w:tabs>
          <w:tab w:val="clear" w:pos="-1057"/>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 w:val="left" w:pos="742"/>
        </w:tabs>
        <w:suppressAutoHyphens w:val="0"/>
        <w:spacing w:line="309" w:lineRule="exact"/>
        <w:ind w:left="741" w:hanging="351"/>
        <w:jc w:val="both"/>
        <w:textAlignment w:val="auto"/>
        <w:rPr>
          <w:rFonts w:cs="Arial"/>
          <w:b w:val="0"/>
          <w:sz w:val="22"/>
          <w:szCs w:val="22"/>
        </w:rPr>
      </w:pPr>
      <w:proofErr w:type="spellStart"/>
      <w:r>
        <w:rPr>
          <w:sz w:val="22"/>
          <w:szCs w:val="22"/>
        </w:rPr>
        <w:t>Calendrier</w:t>
      </w:r>
      <w:proofErr w:type="spellEnd"/>
      <w:r>
        <w:rPr>
          <w:sz w:val="22"/>
          <w:szCs w:val="22"/>
        </w:rPr>
        <w:br/>
      </w:r>
    </w:p>
    <w:p w:rsidR="00CE4BFD" w:rsidRPr="00CE4BFD" w:rsidRDefault="00CE4BFD" w:rsidP="00CE4BFD">
      <w:pPr>
        <w:pStyle w:val="BodyText"/>
        <w:ind w:left="140"/>
        <w:rPr>
          <w:lang w:val="fr-FR"/>
        </w:rPr>
      </w:pPr>
      <w:r w:rsidRPr="00CE4BFD">
        <w:rPr>
          <w:lang w:val="fr-FR"/>
        </w:rPr>
        <w:t>Le calendrier pour le développement d’un Plan d’action concerté pour les dauphins de l’Irrawaddy est présenté ci-dessous. Des points de compte-rendu ont été intégrés dans le calendrier afin de s’assurer que le Conseil scientifique de la CMS reste informé des progrès accomplis par l’Initiative sur les dauphins de l’Irrawaddy.</w:t>
      </w:r>
    </w:p>
    <w:p w:rsidR="00CE4BFD" w:rsidRPr="00CE4BFD" w:rsidRDefault="00CE4BFD" w:rsidP="00CE4BFD">
      <w:pPr>
        <w:pStyle w:val="BodyText"/>
        <w:spacing w:before="7"/>
        <w:rPr>
          <w:sz w:val="16"/>
          <w:lang w:val="fr-FR"/>
        </w:rPr>
      </w:pPr>
    </w:p>
    <w:tbl>
      <w:tblPr>
        <w:tblW w:w="1522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1E0" w:firstRow="1" w:lastRow="1" w:firstColumn="1" w:lastColumn="1" w:noHBand="0" w:noVBand="0"/>
      </w:tblPr>
      <w:tblGrid>
        <w:gridCol w:w="7060"/>
        <w:gridCol w:w="2551"/>
        <w:gridCol w:w="1418"/>
        <w:gridCol w:w="1276"/>
        <w:gridCol w:w="1638"/>
        <w:gridCol w:w="1260"/>
        <w:gridCol w:w="21"/>
      </w:tblGrid>
      <w:tr w:rsidR="00CE4BFD" w:rsidRPr="00E55025" w:rsidTr="00E55025">
        <w:tc>
          <w:tcPr>
            <w:tcW w:w="15224" w:type="dxa"/>
            <w:gridSpan w:val="7"/>
          </w:tcPr>
          <w:p w:rsidR="00CE4BFD" w:rsidRPr="00E55025" w:rsidRDefault="00CE4BFD" w:rsidP="00CE4BFD">
            <w:pPr>
              <w:pStyle w:val="TableParagraph"/>
              <w:spacing w:before="65"/>
              <w:ind w:left="107"/>
              <w:jc w:val="both"/>
              <w:rPr>
                <w:b/>
                <w:sz w:val="20"/>
                <w:szCs w:val="20"/>
              </w:rPr>
            </w:pPr>
            <w:r w:rsidRPr="00E55025">
              <w:rPr>
                <w:b/>
                <w:sz w:val="20"/>
                <w:szCs w:val="20"/>
              </w:rPr>
              <w:t>Plan d’Action concertée pour le dauphin de l’Irrawaddy : Délai</w:t>
            </w:r>
          </w:p>
        </w:tc>
      </w:tr>
      <w:tr w:rsidR="00CE4BFD" w:rsidRPr="00E55025" w:rsidTr="00E55025">
        <w:trPr>
          <w:gridAfter w:val="1"/>
          <w:wAfter w:w="21" w:type="dxa"/>
        </w:trPr>
        <w:tc>
          <w:tcPr>
            <w:tcW w:w="7060" w:type="dxa"/>
          </w:tcPr>
          <w:p w:rsidR="00CE4BFD" w:rsidRPr="00E55025" w:rsidRDefault="00CE4BFD" w:rsidP="00CE4BFD">
            <w:pPr>
              <w:pStyle w:val="TableParagraph"/>
              <w:jc w:val="center"/>
              <w:rPr>
                <w:b/>
                <w:sz w:val="20"/>
                <w:szCs w:val="20"/>
              </w:rPr>
            </w:pPr>
            <w:r w:rsidRPr="00E55025">
              <w:rPr>
                <w:b/>
                <w:sz w:val="20"/>
                <w:szCs w:val="20"/>
              </w:rPr>
              <w:t>Activité</w:t>
            </w:r>
          </w:p>
        </w:tc>
        <w:tc>
          <w:tcPr>
            <w:tcW w:w="2551" w:type="dxa"/>
          </w:tcPr>
          <w:p w:rsidR="00CE4BFD" w:rsidRPr="00E55025" w:rsidRDefault="00CE4BFD" w:rsidP="00CE4BFD">
            <w:pPr>
              <w:pStyle w:val="TableParagraph"/>
              <w:jc w:val="center"/>
              <w:rPr>
                <w:b/>
                <w:sz w:val="20"/>
                <w:szCs w:val="20"/>
              </w:rPr>
            </w:pPr>
            <w:r w:rsidRPr="00E55025">
              <w:rPr>
                <w:b/>
                <w:sz w:val="20"/>
                <w:szCs w:val="20"/>
              </w:rPr>
              <w:t>Année 1 (2020)</w:t>
            </w:r>
          </w:p>
        </w:tc>
        <w:tc>
          <w:tcPr>
            <w:tcW w:w="1418" w:type="dxa"/>
          </w:tcPr>
          <w:p w:rsidR="00CE4BFD" w:rsidRPr="00E55025" w:rsidRDefault="00CE4BFD" w:rsidP="00CE4BFD">
            <w:pPr>
              <w:pStyle w:val="TableParagraph"/>
              <w:ind w:right="270"/>
              <w:jc w:val="center"/>
              <w:rPr>
                <w:b/>
                <w:sz w:val="20"/>
                <w:szCs w:val="20"/>
              </w:rPr>
            </w:pPr>
            <w:r w:rsidRPr="00E55025">
              <w:rPr>
                <w:b/>
                <w:sz w:val="20"/>
                <w:szCs w:val="20"/>
              </w:rPr>
              <w:t>2021</w:t>
            </w:r>
          </w:p>
        </w:tc>
        <w:tc>
          <w:tcPr>
            <w:tcW w:w="1276" w:type="dxa"/>
          </w:tcPr>
          <w:p w:rsidR="00CE4BFD" w:rsidRPr="00E55025" w:rsidRDefault="00CE4BFD" w:rsidP="00CE4BFD">
            <w:pPr>
              <w:pStyle w:val="TableParagraph"/>
              <w:ind w:right="102"/>
              <w:jc w:val="center"/>
              <w:rPr>
                <w:b/>
                <w:sz w:val="20"/>
                <w:szCs w:val="20"/>
              </w:rPr>
            </w:pPr>
            <w:r w:rsidRPr="00E55025">
              <w:rPr>
                <w:b/>
                <w:sz w:val="20"/>
                <w:szCs w:val="20"/>
              </w:rPr>
              <w:t>2022-2023</w:t>
            </w:r>
          </w:p>
        </w:tc>
        <w:tc>
          <w:tcPr>
            <w:tcW w:w="1638" w:type="dxa"/>
          </w:tcPr>
          <w:p w:rsidR="00CE4BFD" w:rsidRPr="00E55025" w:rsidRDefault="00CE4BFD" w:rsidP="00CE4BFD">
            <w:pPr>
              <w:pStyle w:val="TableParagraph"/>
              <w:spacing w:before="1"/>
              <w:ind w:left="106" w:right="87"/>
              <w:jc w:val="center"/>
              <w:rPr>
                <w:b/>
                <w:sz w:val="20"/>
                <w:szCs w:val="20"/>
              </w:rPr>
            </w:pPr>
            <w:r w:rsidRPr="00E55025">
              <w:rPr>
                <w:b/>
                <w:sz w:val="20"/>
                <w:szCs w:val="20"/>
              </w:rPr>
              <w:t>Jalon atteint d’ici à</w:t>
            </w:r>
          </w:p>
        </w:tc>
        <w:tc>
          <w:tcPr>
            <w:tcW w:w="1260" w:type="dxa"/>
          </w:tcPr>
          <w:p w:rsidR="00CE4BFD" w:rsidRPr="00E55025" w:rsidRDefault="00CE4BFD" w:rsidP="00CE4BFD">
            <w:pPr>
              <w:pStyle w:val="TableParagraph"/>
              <w:spacing w:before="1"/>
              <w:ind w:left="109"/>
              <w:jc w:val="center"/>
              <w:rPr>
                <w:b/>
                <w:sz w:val="20"/>
                <w:szCs w:val="20"/>
              </w:rPr>
            </w:pPr>
            <w:r w:rsidRPr="00E55025">
              <w:rPr>
                <w:b/>
                <w:sz w:val="20"/>
                <w:szCs w:val="20"/>
              </w:rPr>
              <w:t>CMS</w:t>
            </w:r>
          </w:p>
        </w:tc>
      </w:tr>
      <w:tr w:rsidR="00CE4BFD" w:rsidRPr="00E55025" w:rsidTr="00E55025">
        <w:trPr>
          <w:gridAfter w:val="1"/>
          <w:wAfter w:w="21" w:type="dxa"/>
        </w:trPr>
        <w:tc>
          <w:tcPr>
            <w:tcW w:w="7060" w:type="dxa"/>
          </w:tcPr>
          <w:p w:rsidR="00CE4BFD" w:rsidRPr="00E55025" w:rsidRDefault="00CE4BFD" w:rsidP="00CE4BFD">
            <w:pPr>
              <w:pStyle w:val="TableParagraph"/>
              <w:ind w:right="87"/>
              <w:jc w:val="both"/>
              <w:rPr>
                <w:sz w:val="20"/>
                <w:szCs w:val="20"/>
              </w:rPr>
            </w:pPr>
            <w:r w:rsidRPr="00E55025">
              <w:rPr>
                <w:sz w:val="20"/>
                <w:szCs w:val="20"/>
              </w:rPr>
              <w:t xml:space="preserve">Évaluer le débit écologique de l’eau pour identifier les flux susceptibles de maintenir la connectivité longitudinale dans les fleuves qui se jettent dans la </w:t>
            </w:r>
            <w:proofErr w:type="spellStart"/>
            <w:r w:rsidRPr="00E55025">
              <w:rPr>
                <w:sz w:val="20"/>
                <w:szCs w:val="20"/>
              </w:rPr>
              <w:t>Chilika</w:t>
            </w:r>
            <w:proofErr w:type="spellEnd"/>
            <w:r w:rsidRPr="00E55025">
              <w:rPr>
                <w:sz w:val="20"/>
                <w:szCs w:val="20"/>
              </w:rPr>
              <w:t xml:space="preserve"> et les Sundarbans, en vue du mouvement, de la dispersion et d’une utilisation optimale de l’espace par les dauphins et leurs proies.</w:t>
            </w:r>
          </w:p>
        </w:tc>
        <w:tc>
          <w:tcPr>
            <w:tcW w:w="2551" w:type="dxa"/>
          </w:tcPr>
          <w:p w:rsidR="00CE4BFD" w:rsidRPr="00E55025" w:rsidRDefault="00CE4BFD" w:rsidP="00CE4BFD">
            <w:pPr>
              <w:pStyle w:val="TableParagraph"/>
              <w:jc w:val="both"/>
              <w:rPr>
                <w:sz w:val="20"/>
                <w:szCs w:val="20"/>
              </w:rPr>
            </w:pPr>
            <w:r w:rsidRPr="00E55025">
              <w:rPr>
                <w:sz w:val="20"/>
                <w:szCs w:val="20"/>
              </w:rPr>
              <w:t>Développement</w:t>
            </w:r>
          </w:p>
        </w:tc>
        <w:tc>
          <w:tcPr>
            <w:tcW w:w="1418" w:type="dxa"/>
          </w:tcPr>
          <w:p w:rsidR="00CE4BFD" w:rsidRPr="00E55025" w:rsidRDefault="00CE4BFD" w:rsidP="00CE4BFD">
            <w:pPr>
              <w:pStyle w:val="TableParagraph"/>
              <w:spacing w:before="1"/>
              <w:ind w:right="598"/>
              <w:jc w:val="both"/>
              <w:rPr>
                <w:sz w:val="20"/>
                <w:szCs w:val="20"/>
              </w:rPr>
            </w:pPr>
          </w:p>
        </w:tc>
        <w:tc>
          <w:tcPr>
            <w:tcW w:w="1276" w:type="dxa"/>
          </w:tcPr>
          <w:p w:rsidR="00CE4BFD" w:rsidRPr="00E55025" w:rsidRDefault="00CE4BFD" w:rsidP="00CE4BFD">
            <w:pPr>
              <w:pStyle w:val="TableParagraph"/>
              <w:spacing w:before="1"/>
              <w:jc w:val="both"/>
              <w:rPr>
                <w:sz w:val="20"/>
                <w:szCs w:val="20"/>
              </w:rPr>
            </w:pPr>
            <w:r w:rsidRPr="00E55025">
              <w:rPr>
                <w:sz w:val="20"/>
                <w:szCs w:val="20"/>
              </w:rPr>
              <w:t>Analyse</w:t>
            </w:r>
          </w:p>
        </w:tc>
        <w:tc>
          <w:tcPr>
            <w:tcW w:w="1638" w:type="dxa"/>
          </w:tcPr>
          <w:p w:rsidR="00CE4BFD" w:rsidRPr="00E55025" w:rsidRDefault="00CE4BFD" w:rsidP="00CE4BFD">
            <w:pPr>
              <w:pStyle w:val="TableParagraph"/>
              <w:spacing w:before="1"/>
              <w:ind w:right="85"/>
              <w:jc w:val="both"/>
              <w:rPr>
                <w:sz w:val="20"/>
                <w:szCs w:val="20"/>
              </w:rPr>
            </w:pPr>
            <w:r w:rsidRPr="00E55025">
              <w:rPr>
                <w:sz w:val="20"/>
                <w:szCs w:val="20"/>
              </w:rPr>
              <w:t>Décembre</w:t>
            </w:r>
          </w:p>
          <w:p w:rsidR="00CE4BFD" w:rsidRPr="00E55025" w:rsidRDefault="00CE4BFD" w:rsidP="00CE4BFD">
            <w:pPr>
              <w:pStyle w:val="TableParagraph"/>
              <w:ind w:right="89"/>
              <w:jc w:val="both"/>
              <w:rPr>
                <w:sz w:val="20"/>
                <w:szCs w:val="20"/>
              </w:rPr>
            </w:pPr>
            <w:r w:rsidRPr="00E55025">
              <w:rPr>
                <w:sz w:val="20"/>
                <w:szCs w:val="20"/>
              </w:rPr>
              <w:t>2024</w:t>
            </w:r>
          </w:p>
        </w:tc>
        <w:tc>
          <w:tcPr>
            <w:tcW w:w="1260" w:type="dxa"/>
            <w:vMerge w:val="restart"/>
            <w:tcBorders>
              <w:bottom w:val="nil"/>
            </w:tcBorders>
          </w:tcPr>
          <w:p w:rsidR="00CE4BFD" w:rsidRPr="00E55025" w:rsidRDefault="00CE4BFD" w:rsidP="00CE4BFD">
            <w:pPr>
              <w:pStyle w:val="TableParagraph"/>
              <w:spacing w:before="157"/>
              <w:ind w:right="141"/>
              <w:jc w:val="both"/>
              <w:rPr>
                <w:sz w:val="20"/>
                <w:szCs w:val="20"/>
              </w:rPr>
            </w:pPr>
            <w:r w:rsidRPr="00E55025">
              <w:rPr>
                <w:sz w:val="20"/>
                <w:szCs w:val="20"/>
              </w:rPr>
              <w:t>Progrès signalés au Conseil scientifique de la CMS 2025</w:t>
            </w:r>
          </w:p>
        </w:tc>
      </w:tr>
      <w:tr w:rsidR="00CE4BFD" w:rsidRPr="00E55025" w:rsidTr="00E55025">
        <w:trPr>
          <w:gridAfter w:val="1"/>
          <w:wAfter w:w="21" w:type="dxa"/>
        </w:trPr>
        <w:tc>
          <w:tcPr>
            <w:tcW w:w="7060" w:type="dxa"/>
          </w:tcPr>
          <w:p w:rsidR="00CE4BFD" w:rsidRPr="00E55025" w:rsidRDefault="00CE4BFD" w:rsidP="00CE4BFD">
            <w:pPr>
              <w:pStyle w:val="TableParagraph"/>
              <w:tabs>
                <w:tab w:val="left" w:pos="1884"/>
              </w:tabs>
              <w:ind w:right="88"/>
              <w:jc w:val="both"/>
              <w:rPr>
                <w:sz w:val="20"/>
                <w:szCs w:val="20"/>
              </w:rPr>
            </w:pPr>
            <w:r w:rsidRPr="00E55025">
              <w:rPr>
                <w:sz w:val="20"/>
                <w:szCs w:val="20"/>
              </w:rPr>
              <w:t xml:space="preserve">Recherche en bateau pour poursuivre les études de photo-identification et identifier l’habitat essentiel. </w:t>
            </w:r>
          </w:p>
          <w:p w:rsidR="00CE4BFD" w:rsidRPr="00E55025" w:rsidRDefault="00CE4BFD" w:rsidP="00CE4BFD">
            <w:pPr>
              <w:pStyle w:val="TableParagraph"/>
              <w:ind w:left="107" w:right="200"/>
              <w:jc w:val="both"/>
              <w:rPr>
                <w:sz w:val="20"/>
                <w:szCs w:val="20"/>
              </w:rPr>
            </w:pPr>
          </w:p>
        </w:tc>
        <w:tc>
          <w:tcPr>
            <w:tcW w:w="2551" w:type="dxa"/>
          </w:tcPr>
          <w:p w:rsidR="00CE4BFD" w:rsidRPr="00E55025" w:rsidRDefault="00CE4BFD" w:rsidP="00CE4BFD">
            <w:pPr>
              <w:pStyle w:val="TableParagraph"/>
              <w:ind w:right="297"/>
              <w:jc w:val="both"/>
              <w:rPr>
                <w:sz w:val="20"/>
                <w:szCs w:val="20"/>
              </w:rPr>
            </w:pPr>
            <w:r w:rsidRPr="00E55025">
              <w:rPr>
                <w:sz w:val="20"/>
                <w:szCs w:val="20"/>
              </w:rPr>
              <w:t>Recherche dans les pays concernés par l’Action concertée</w:t>
            </w:r>
          </w:p>
        </w:tc>
        <w:tc>
          <w:tcPr>
            <w:tcW w:w="1418" w:type="dxa"/>
          </w:tcPr>
          <w:p w:rsidR="00CE4BFD" w:rsidRPr="00E55025" w:rsidRDefault="00CE4BFD" w:rsidP="00CE4BFD">
            <w:pPr>
              <w:pStyle w:val="TableParagraph"/>
              <w:spacing w:before="114"/>
              <w:ind w:left="108" w:right="149"/>
              <w:jc w:val="both"/>
              <w:rPr>
                <w:sz w:val="20"/>
                <w:szCs w:val="20"/>
              </w:rPr>
            </w:pPr>
            <w:r w:rsidRPr="00E55025">
              <w:rPr>
                <w:sz w:val="20"/>
                <w:szCs w:val="20"/>
              </w:rPr>
              <w:t>Recherche dans les pays concernés par l’Action concertée</w:t>
            </w:r>
          </w:p>
        </w:tc>
        <w:tc>
          <w:tcPr>
            <w:tcW w:w="1276" w:type="dxa"/>
          </w:tcPr>
          <w:p w:rsidR="00CE4BFD" w:rsidRPr="00E55025" w:rsidRDefault="00CE4BFD" w:rsidP="00CE4BFD">
            <w:pPr>
              <w:pStyle w:val="TableParagraph"/>
              <w:ind w:left="106" w:right="177"/>
              <w:jc w:val="both"/>
              <w:rPr>
                <w:sz w:val="20"/>
                <w:szCs w:val="20"/>
              </w:rPr>
            </w:pPr>
            <w:r w:rsidRPr="00E55025">
              <w:rPr>
                <w:sz w:val="20"/>
                <w:szCs w:val="20"/>
              </w:rPr>
              <w:t>Réunion et plan</w:t>
            </w:r>
          </w:p>
          <w:p w:rsidR="00CE4BFD" w:rsidRPr="00E55025" w:rsidRDefault="00CE4BFD" w:rsidP="00CE4BFD">
            <w:pPr>
              <w:pStyle w:val="TableParagraph"/>
              <w:ind w:left="106"/>
              <w:jc w:val="both"/>
              <w:rPr>
                <w:sz w:val="20"/>
                <w:szCs w:val="20"/>
              </w:rPr>
            </w:pPr>
            <w:r w:rsidRPr="00E55025">
              <w:rPr>
                <w:sz w:val="20"/>
                <w:szCs w:val="20"/>
              </w:rPr>
              <w:t>d’action</w:t>
            </w:r>
          </w:p>
        </w:tc>
        <w:tc>
          <w:tcPr>
            <w:tcW w:w="1638" w:type="dxa"/>
          </w:tcPr>
          <w:p w:rsidR="00CE4BFD" w:rsidRPr="00E55025" w:rsidRDefault="00CE4BFD" w:rsidP="00CE4BFD">
            <w:pPr>
              <w:pStyle w:val="TableParagraph"/>
              <w:spacing w:before="126"/>
              <w:ind w:right="85"/>
              <w:jc w:val="both"/>
              <w:rPr>
                <w:sz w:val="20"/>
                <w:szCs w:val="20"/>
              </w:rPr>
            </w:pPr>
            <w:r w:rsidRPr="00E55025">
              <w:rPr>
                <w:sz w:val="20"/>
                <w:szCs w:val="20"/>
              </w:rPr>
              <w:t>Décembre</w:t>
            </w:r>
          </w:p>
          <w:p w:rsidR="00CE4BFD" w:rsidRPr="00E55025" w:rsidRDefault="00CE4BFD" w:rsidP="00CE4BFD">
            <w:pPr>
              <w:pStyle w:val="TableParagraph"/>
              <w:ind w:right="87"/>
              <w:jc w:val="both"/>
              <w:rPr>
                <w:sz w:val="20"/>
                <w:szCs w:val="20"/>
              </w:rPr>
            </w:pPr>
            <w:r w:rsidRPr="00E55025">
              <w:rPr>
                <w:sz w:val="20"/>
                <w:szCs w:val="20"/>
              </w:rPr>
              <w:t>2024</w:t>
            </w:r>
          </w:p>
        </w:tc>
        <w:tc>
          <w:tcPr>
            <w:tcW w:w="1260" w:type="dxa"/>
            <w:vMerge/>
            <w:tcBorders>
              <w:top w:val="nil"/>
              <w:bottom w:val="nil"/>
            </w:tcBorders>
          </w:tcPr>
          <w:p w:rsidR="00CE4BFD" w:rsidRPr="00E55025" w:rsidRDefault="00CE4BFD" w:rsidP="00CE4BFD">
            <w:pPr>
              <w:jc w:val="both"/>
              <w:rPr>
                <w:rFonts w:cs="Arial"/>
                <w:sz w:val="20"/>
                <w:szCs w:val="20"/>
              </w:rPr>
            </w:pPr>
          </w:p>
        </w:tc>
      </w:tr>
      <w:tr w:rsidR="00CE4BFD" w:rsidRPr="00E55025" w:rsidTr="00E55025">
        <w:trPr>
          <w:gridAfter w:val="1"/>
          <w:wAfter w:w="21" w:type="dxa"/>
        </w:trPr>
        <w:tc>
          <w:tcPr>
            <w:tcW w:w="7060" w:type="dxa"/>
          </w:tcPr>
          <w:p w:rsidR="00CE4BFD" w:rsidRPr="00E55025" w:rsidRDefault="00CE4BFD" w:rsidP="00CE4BFD">
            <w:pPr>
              <w:pStyle w:val="TableParagraph"/>
              <w:ind w:right="88"/>
              <w:jc w:val="both"/>
              <w:rPr>
                <w:sz w:val="20"/>
                <w:szCs w:val="20"/>
              </w:rPr>
            </w:pPr>
            <w:r w:rsidRPr="00E55025">
              <w:rPr>
                <w:sz w:val="20"/>
                <w:szCs w:val="20"/>
              </w:rPr>
              <w:t>Utilisation d’enregistreurs acoustiques passifs pour détecter la présence et l’effet du bruit sous-marin</w:t>
            </w:r>
          </w:p>
          <w:p w:rsidR="00CE4BFD" w:rsidRPr="00E55025" w:rsidRDefault="00CE4BFD" w:rsidP="00CE4BFD">
            <w:pPr>
              <w:pStyle w:val="TableParagraph"/>
              <w:ind w:left="107"/>
              <w:jc w:val="both"/>
              <w:rPr>
                <w:sz w:val="20"/>
                <w:szCs w:val="20"/>
              </w:rPr>
            </w:pPr>
          </w:p>
        </w:tc>
        <w:tc>
          <w:tcPr>
            <w:tcW w:w="2551" w:type="dxa"/>
          </w:tcPr>
          <w:p w:rsidR="00CE4BFD" w:rsidRPr="00E55025" w:rsidRDefault="00CE4BFD" w:rsidP="00CE4BFD">
            <w:pPr>
              <w:pStyle w:val="TableParagraph"/>
              <w:ind w:right="228"/>
              <w:jc w:val="both"/>
              <w:rPr>
                <w:sz w:val="20"/>
                <w:szCs w:val="20"/>
              </w:rPr>
            </w:pPr>
            <w:r w:rsidRPr="00E55025">
              <w:rPr>
                <w:sz w:val="20"/>
                <w:szCs w:val="20"/>
              </w:rPr>
              <w:t>Mise en place d’unités dans des endroits où le mouvement pourrait se produire</w:t>
            </w:r>
          </w:p>
        </w:tc>
        <w:tc>
          <w:tcPr>
            <w:tcW w:w="1418" w:type="dxa"/>
          </w:tcPr>
          <w:p w:rsidR="00CE4BFD" w:rsidRPr="00E55025" w:rsidRDefault="00CE4BFD" w:rsidP="00CE4BFD">
            <w:pPr>
              <w:pStyle w:val="TableParagraph"/>
              <w:ind w:right="209"/>
              <w:jc w:val="both"/>
              <w:rPr>
                <w:sz w:val="20"/>
                <w:szCs w:val="20"/>
              </w:rPr>
            </w:pPr>
            <w:r w:rsidRPr="00E55025">
              <w:rPr>
                <w:sz w:val="20"/>
                <w:szCs w:val="20"/>
              </w:rPr>
              <w:t xml:space="preserve">Unités placées dans les zones de déplacement </w:t>
            </w:r>
          </w:p>
        </w:tc>
        <w:tc>
          <w:tcPr>
            <w:tcW w:w="1276" w:type="dxa"/>
          </w:tcPr>
          <w:p w:rsidR="00CE4BFD" w:rsidRPr="00E55025" w:rsidRDefault="00CE4BFD" w:rsidP="00CE4BFD">
            <w:pPr>
              <w:pStyle w:val="TableParagraph"/>
              <w:ind w:left="106" w:right="157"/>
              <w:jc w:val="both"/>
              <w:rPr>
                <w:sz w:val="20"/>
                <w:szCs w:val="20"/>
              </w:rPr>
            </w:pPr>
            <w:r w:rsidRPr="00E55025">
              <w:rPr>
                <w:sz w:val="20"/>
                <w:szCs w:val="20"/>
              </w:rPr>
              <w:t>Données acoustiques utilisées pour identifier les domaines ciblées par</w:t>
            </w:r>
          </w:p>
          <w:p w:rsidR="00CE4BFD" w:rsidRPr="00E55025" w:rsidRDefault="00CE4BFD" w:rsidP="00CE4BFD">
            <w:pPr>
              <w:pStyle w:val="TableParagraph"/>
              <w:ind w:left="106" w:right="168"/>
              <w:jc w:val="both"/>
              <w:rPr>
                <w:sz w:val="20"/>
                <w:szCs w:val="20"/>
              </w:rPr>
            </w:pPr>
            <w:r w:rsidRPr="00E55025">
              <w:rPr>
                <w:sz w:val="20"/>
                <w:szCs w:val="20"/>
              </w:rPr>
              <w:t>les mesures d’atténuation formulées dans le Plan d’action</w:t>
            </w:r>
          </w:p>
        </w:tc>
        <w:tc>
          <w:tcPr>
            <w:tcW w:w="1638" w:type="dxa"/>
          </w:tcPr>
          <w:p w:rsidR="00CE4BFD" w:rsidRPr="00E55025" w:rsidRDefault="00CE4BFD" w:rsidP="00CE4BFD">
            <w:pPr>
              <w:pStyle w:val="TableParagraph"/>
              <w:ind w:right="85"/>
              <w:jc w:val="both"/>
              <w:rPr>
                <w:spacing w:val="-1"/>
                <w:sz w:val="20"/>
                <w:szCs w:val="20"/>
              </w:rPr>
            </w:pPr>
            <w:r w:rsidRPr="00E55025">
              <w:rPr>
                <w:sz w:val="20"/>
                <w:szCs w:val="20"/>
              </w:rPr>
              <w:t>Décembre</w:t>
            </w:r>
          </w:p>
          <w:p w:rsidR="00CE4BFD" w:rsidRPr="00E55025" w:rsidRDefault="00CE4BFD" w:rsidP="00CE4BFD">
            <w:pPr>
              <w:pStyle w:val="TableParagraph"/>
              <w:ind w:right="85"/>
              <w:jc w:val="both"/>
              <w:rPr>
                <w:sz w:val="20"/>
                <w:szCs w:val="20"/>
              </w:rPr>
            </w:pPr>
            <w:r w:rsidRPr="00E55025">
              <w:rPr>
                <w:sz w:val="20"/>
                <w:szCs w:val="20"/>
              </w:rPr>
              <w:t>2024</w:t>
            </w:r>
          </w:p>
          <w:p w:rsidR="00CE4BFD" w:rsidRPr="00E55025" w:rsidRDefault="00CE4BFD" w:rsidP="00CE4BFD">
            <w:pPr>
              <w:pStyle w:val="TableParagraph"/>
              <w:spacing w:before="1"/>
              <w:ind w:right="89"/>
              <w:jc w:val="both"/>
              <w:rPr>
                <w:sz w:val="20"/>
                <w:szCs w:val="20"/>
              </w:rPr>
            </w:pPr>
          </w:p>
        </w:tc>
        <w:tc>
          <w:tcPr>
            <w:tcW w:w="1260" w:type="dxa"/>
            <w:vMerge/>
            <w:tcBorders>
              <w:top w:val="nil"/>
              <w:bottom w:val="nil"/>
            </w:tcBorders>
          </w:tcPr>
          <w:p w:rsidR="00CE4BFD" w:rsidRPr="00E55025" w:rsidRDefault="00CE4BFD" w:rsidP="00CE4BFD">
            <w:pPr>
              <w:jc w:val="both"/>
              <w:rPr>
                <w:rFonts w:cs="Arial"/>
                <w:sz w:val="20"/>
                <w:szCs w:val="20"/>
              </w:rPr>
            </w:pPr>
          </w:p>
        </w:tc>
      </w:tr>
      <w:tr w:rsidR="00CE4BFD" w:rsidRPr="00E55025" w:rsidTr="00E55025">
        <w:trPr>
          <w:gridAfter w:val="1"/>
          <w:wAfter w:w="21" w:type="dxa"/>
        </w:trPr>
        <w:tc>
          <w:tcPr>
            <w:tcW w:w="7060" w:type="dxa"/>
          </w:tcPr>
          <w:p w:rsidR="00CE4BFD" w:rsidRPr="00E55025" w:rsidRDefault="00CE4BFD" w:rsidP="00CE4BFD">
            <w:pPr>
              <w:pStyle w:val="TableParagraph"/>
              <w:jc w:val="both"/>
              <w:rPr>
                <w:sz w:val="20"/>
                <w:szCs w:val="20"/>
              </w:rPr>
            </w:pPr>
            <w:r w:rsidRPr="00E55025">
              <w:rPr>
                <w:sz w:val="20"/>
                <w:szCs w:val="20"/>
              </w:rPr>
              <w:lastRenderedPageBreak/>
              <w:t>Analyse génétique d’échantillons prélevés sur des échouages afin de déterminer la structure, la connectivité et la viabilité de la population</w:t>
            </w:r>
          </w:p>
        </w:tc>
        <w:tc>
          <w:tcPr>
            <w:tcW w:w="2551" w:type="dxa"/>
          </w:tcPr>
          <w:p w:rsidR="00CE4BFD" w:rsidRPr="00E55025" w:rsidRDefault="00CE4BFD" w:rsidP="00CE4BFD">
            <w:pPr>
              <w:pStyle w:val="TableParagraph"/>
              <w:jc w:val="both"/>
              <w:rPr>
                <w:sz w:val="20"/>
                <w:szCs w:val="20"/>
              </w:rPr>
            </w:pPr>
          </w:p>
        </w:tc>
        <w:tc>
          <w:tcPr>
            <w:tcW w:w="1418" w:type="dxa"/>
          </w:tcPr>
          <w:p w:rsidR="00CE4BFD" w:rsidRPr="00E55025" w:rsidRDefault="00CE4BFD" w:rsidP="00CE4BFD">
            <w:pPr>
              <w:pStyle w:val="TableParagraph"/>
              <w:spacing w:before="11"/>
              <w:jc w:val="both"/>
              <w:rPr>
                <w:sz w:val="20"/>
                <w:szCs w:val="20"/>
              </w:rPr>
            </w:pPr>
          </w:p>
        </w:tc>
        <w:tc>
          <w:tcPr>
            <w:tcW w:w="1276" w:type="dxa"/>
          </w:tcPr>
          <w:p w:rsidR="00CE4BFD" w:rsidRPr="00E55025" w:rsidRDefault="00CE4BFD" w:rsidP="00CE4BFD">
            <w:pPr>
              <w:pStyle w:val="TableParagraph"/>
              <w:ind w:left="106" w:right="157"/>
              <w:jc w:val="both"/>
              <w:rPr>
                <w:sz w:val="20"/>
                <w:szCs w:val="20"/>
              </w:rPr>
            </w:pPr>
          </w:p>
        </w:tc>
        <w:tc>
          <w:tcPr>
            <w:tcW w:w="1638" w:type="dxa"/>
          </w:tcPr>
          <w:p w:rsidR="00CE4BFD" w:rsidRPr="00E55025" w:rsidRDefault="00CE4BFD" w:rsidP="00CE4BFD">
            <w:pPr>
              <w:pStyle w:val="TableParagraph"/>
              <w:jc w:val="both"/>
              <w:rPr>
                <w:sz w:val="20"/>
                <w:szCs w:val="20"/>
              </w:rPr>
            </w:pPr>
          </w:p>
        </w:tc>
        <w:tc>
          <w:tcPr>
            <w:tcW w:w="1260" w:type="dxa"/>
            <w:tcBorders>
              <w:top w:val="nil"/>
              <w:bottom w:val="nil"/>
            </w:tcBorders>
          </w:tcPr>
          <w:p w:rsidR="00CE4BFD" w:rsidRPr="00E55025" w:rsidRDefault="00CE4BFD" w:rsidP="00CE4BFD">
            <w:pPr>
              <w:jc w:val="both"/>
              <w:rPr>
                <w:rFonts w:cs="Arial"/>
                <w:sz w:val="20"/>
                <w:szCs w:val="20"/>
                <w:lang w:val="fr-FR"/>
              </w:rPr>
            </w:pPr>
          </w:p>
        </w:tc>
      </w:tr>
      <w:tr w:rsidR="00CE4BFD" w:rsidRPr="00E55025" w:rsidTr="00E55025">
        <w:trPr>
          <w:gridAfter w:val="1"/>
          <w:wAfter w:w="21" w:type="dxa"/>
        </w:trPr>
        <w:tc>
          <w:tcPr>
            <w:tcW w:w="7060" w:type="dxa"/>
          </w:tcPr>
          <w:p w:rsidR="00CE4BFD" w:rsidRPr="00E55025" w:rsidRDefault="00CE4BFD" w:rsidP="00CE4BFD">
            <w:pPr>
              <w:pStyle w:val="TableParagraph"/>
              <w:jc w:val="both"/>
              <w:rPr>
                <w:sz w:val="20"/>
                <w:szCs w:val="20"/>
              </w:rPr>
            </w:pPr>
            <w:r w:rsidRPr="00E55025">
              <w:rPr>
                <w:sz w:val="20"/>
                <w:szCs w:val="20"/>
              </w:rPr>
              <w:t>Outils scientifiques à l’intention des citoyens pour permettre aux équipages des bateaux et des traversiers de pêche, à la garde-côte, et aux navires d’observation des dauphins d’enregistrer et de signaler les observations de dauphins de l’Irrawaddy.</w:t>
            </w:r>
          </w:p>
        </w:tc>
        <w:tc>
          <w:tcPr>
            <w:tcW w:w="2551" w:type="dxa"/>
          </w:tcPr>
          <w:p w:rsidR="00CE4BFD" w:rsidRPr="00E55025" w:rsidRDefault="00CE4BFD" w:rsidP="00CE4BFD">
            <w:pPr>
              <w:pStyle w:val="TableParagraph"/>
              <w:jc w:val="both"/>
              <w:rPr>
                <w:sz w:val="20"/>
                <w:szCs w:val="20"/>
              </w:rPr>
            </w:pPr>
            <w:r w:rsidRPr="00E55025">
              <w:rPr>
                <w:sz w:val="20"/>
                <w:szCs w:val="20"/>
              </w:rPr>
              <w:t>Ateliers</w:t>
            </w:r>
          </w:p>
        </w:tc>
        <w:tc>
          <w:tcPr>
            <w:tcW w:w="1418" w:type="dxa"/>
          </w:tcPr>
          <w:p w:rsidR="00CE4BFD" w:rsidRPr="00E55025" w:rsidRDefault="00CE4BFD" w:rsidP="00CE4BFD">
            <w:pPr>
              <w:pStyle w:val="TableParagraph"/>
              <w:spacing w:before="11"/>
              <w:jc w:val="both"/>
              <w:rPr>
                <w:sz w:val="20"/>
                <w:szCs w:val="20"/>
              </w:rPr>
            </w:pPr>
            <w:r w:rsidRPr="00E55025">
              <w:rPr>
                <w:sz w:val="20"/>
                <w:szCs w:val="20"/>
              </w:rPr>
              <w:t>Collecte de données</w:t>
            </w:r>
          </w:p>
        </w:tc>
        <w:tc>
          <w:tcPr>
            <w:tcW w:w="1276" w:type="dxa"/>
          </w:tcPr>
          <w:p w:rsidR="00CE4BFD" w:rsidRPr="00E55025" w:rsidRDefault="00CE4BFD" w:rsidP="00CE4BFD">
            <w:pPr>
              <w:pStyle w:val="TableParagraph"/>
              <w:ind w:left="106" w:right="157"/>
              <w:jc w:val="both"/>
              <w:rPr>
                <w:sz w:val="20"/>
                <w:szCs w:val="20"/>
              </w:rPr>
            </w:pPr>
            <w:r w:rsidRPr="00E55025">
              <w:rPr>
                <w:sz w:val="20"/>
                <w:szCs w:val="20"/>
              </w:rPr>
              <w:t>Collecte de données</w:t>
            </w:r>
          </w:p>
        </w:tc>
        <w:tc>
          <w:tcPr>
            <w:tcW w:w="1638" w:type="dxa"/>
          </w:tcPr>
          <w:p w:rsidR="00CE4BFD" w:rsidRPr="00E55025" w:rsidRDefault="00CE4BFD" w:rsidP="00CE4BFD">
            <w:pPr>
              <w:pStyle w:val="TableParagraph"/>
              <w:jc w:val="both"/>
              <w:rPr>
                <w:sz w:val="20"/>
                <w:szCs w:val="20"/>
              </w:rPr>
            </w:pPr>
            <w:r w:rsidRPr="00E55025">
              <w:rPr>
                <w:sz w:val="20"/>
                <w:szCs w:val="20"/>
              </w:rPr>
              <w:t>Décembre 2024</w:t>
            </w:r>
          </w:p>
        </w:tc>
        <w:tc>
          <w:tcPr>
            <w:tcW w:w="1260" w:type="dxa"/>
            <w:tcBorders>
              <w:top w:val="nil"/>
              <w:bottom w:val="single" w:sz="4" w:space="0" w:color="auto"/>
            </w:tcBorders>
          </w:tcPr>
          <w:p w:rsidR="00CE4BFD" w:rsidRPr="00E55025" w:rsidRDefault="00CE4BFD" w:rsidP="00CE4BFD">
            <w:pPr>
              <w:jc w:val="both"/>
              <w:rPr>
                <w:rFonts w:cs="Arial"/>
                <w:sz w:val="20"/>
                <w:szCs w:val="20"/>
              </w:rPr>
            </w:pPr>
          </w:p>
        </w:tc>
      </w:tr>
      <w:tr w:rsidR="00CE4BFD" w:rsidRPr="00E55025" w:rsidTr="00E55025">
        <w:trPr>
          <w:gridAfter w:val="1"/>
          <w:wAfter w:w="21" w:type="dxa"/>
        </w:trPr>
        <w:tc>
          <w:tcPr>
            <w:tcW w:w="7060" w:type="dxa"/>
          </w:tcPr>
          <w:p w:rsidR="00CE4BFD" w:rsidRPr="00E55025" w:rsidRDefault="00CE4BFD" w:rsidP="00CE4BFD">
            <w:pPr>
              <w:pStyle w:val="TableParagraph"/>
              <w:jc w:val="both"/>
              <w:rPr>
                <w:sz w:val="20"/>
                <w:szCs w:val="20"/>
              </w:rPr>
            </w:pPr>
            <w:r w:rsidRPr="00E55025">
              <w:rPr>
                <w:sz w:val="20"/>
                <w:szCs w:val="20"/>
              </w:rPr>
              <w:t xml:space="preserve">Collaboration avec les pêcheurs et les fonctionnaires du Ministère des pêches afin de réduire l’emmêlement dans les engins de pêche </w:t>
            </w:r>
          </w:p>
          <w:p w:rsidR="00CE4BFD" w:rsidRPr="00E55025" w:rsidRDefault="00CE4BFD" w:rsidP="00CE4BFD">
            <w:pPr>
              <w:pStyle w:val="TableParagraph"/>
              <w:jc w:val="both"/>
              <w:rPr>
                <w:sz w:val="20"/>
                <w:szCs w:val="20"/>
              </w:rPr>
            </w:pPr>
          </w:p>
          <w:p w:rsidR="00CE4BFD" w:rsidRPr="00E55025" w:rsidRDefault="00CE4BFD" w:rsidP="00CE4BFD">
            <w:pPr>
              <w:pStyle w:val="TableParagraph"/>
              <w:jc w:val="both"/>
              <w:rPr>
                <w:sz w:val="20"/>
                <w:szCs w:val="20"/>
              </w:rPr>
            </w:pPr>
            <w:r w:rsidRPr="00E55025">
              <w:rPr>
                <w:sz w:val="20"/>
                <w:szCs w:val="20"/>
              </w:rPr>
              <w:t>Formation au protocole de démêlage des dauphins</w:t>
            </w:r>
          </w:p>
        </w:tc>
        <w:tc>
          <w:tcPr>
            <w:tcW w:w="2551" w:type="dxa"/>
          </w:tcPr>
          <w:p w:rsidR="00CE4BFD" w:rsidRPr="00E55025" w:rsidRDefault="00CE4BFD" w:rsidP="00CE4BFD">
            <w:pPr>
              <w:pStyle w:val="TableParagraph"/>
              <w:jc w:val="both"/>
              <w:rPr>
                <w:sz w:val="20"/>
                <w:szCs w:val="20"/>
              </w:rPr>
            </w:pPr>
            <w:r w:rsidRPr="00E55025">
              <w:rPr>
                <w:sz w:val="20"/>
                <w:szCs w:val="20"/>
              </w:rPr>
              <w:t>Recherche et</w:t>
            </w:r>
          </w:p>
          <w:p w:rsidR="00CE4BFD" w:rsidRPr="00E55025" w:rsidRDefault="00CE4BFD" w:rsidP="00CE4BFD">
            <w:pPr>
              <w:pStyle w:val="TableParagraph"/>
              <w:jc w:val="both"/>
              <w:rPr>
                <w:sz w:val="20"/>
                <w:szCs w:val="20"/>
              </w:rPr>
            </w:pPr>
            <w:r w:rsidRPr="00E55025">
              <w:rPr>
                <w:sz w:val="20"/>
                <w:szCs w:val="20"/>
              </w:rPr>
              <w:t>ateliers</w:t>
            </w:r>
          </w:p>
        </w:tc>
        <w:tc>
          <w:tcPr>
            <w:tcW w:w="1418" w:type="dxa"/>
          </w:tcPr>
          <w:p w:rsidR="00CE4BFD" w:rsidRPr="00E55025" w:rsidRDefault="00CE4BFD" w:rsidP="00CE4BFD">
            <w:pPr>
              <w:pStyle w:val="TableParagraph"/>
              <w:spacing w:before="11"/>
              <w:jc w:val="both"/>
              <w:rPr>
                <w:sz w:val="20"/>
                <w:szCs w:val="20"/>
              </w:rPr>
            </w:pPr>
            <w:r w:rsidRPr="00E55025">
              <w:rPr>
                <w:sz w:val="20"/>
                <w:szCs w:val="20"/>
              </w:rPr>
              <w:t>Collecte de données</w:t>
            </w:r>
          </w:p>
        </w:tc>
        <w:tc>
          <w:tcPr>
            <w:tcW w:w="1276" w:type="dxa"/>
          </w:tcPr>
          <w:p w:rsidR="00CE4BFD" w:rsidRPr="00E55025" w:rsidRDefault="00CE4BFD" w:rsidP="00CE4BFD">
            <w:pPr>
              <w:pStyle w:val="TableParagraph"/>
              <w:ind w:left="106" w:right="157"/>
              <w:jc w:val="both"/>
              <w:rPr>
                <w:sz w:val="20"/>
                <w:szCs w:val="20"/>
              </w:rPr>
            </w:pPr>
            <w:r w:rsidRPr="00E55025">
              <w:rPr>
                <w:sz w:val="20"/>
                <w:szCs w:val="20"/>
              </w:rPr>
              <w:t>Collecte de données</w:t>
            </w:r>
          </w:p>
        </w:tc>
        <w:tc>
          <w:tcPr>
            <w:tcW w:w="1638" w:type="dxa"/>
          </w:tcPr>
          <w:p w:rsidR="00CE4BFD" w:rsidRPr="00E55025" w:rsidRDefault="00CE4BFD" w:rsidP="00CE4BFD">
            <w:pPr>
              <w:pStyle w:val="TableParagraph"/>
              <w:jc w:val="both"/>
              <w:rPr>
                <w:sz w:val="20"/>
                <w:szCs w:val="20"/>
              </w:rPr>
            </w:pPr>
            <w:r w:rsidRPr="00E55025">
              <w:rPr>
                <w:sz w:val="20"/>
                <w:szCs w:val="20"/>
              </w:rPr>
              <w:t>Décembre 2024</w:t>
            </w:r>
          </w:p>
        </w:tc>
        <w:tc>
          <w:tcPr>
            <w:tcW w:w="1260" w:type="dxa"/>
            <w:tcBorders>
              <w:top w:val="single" w:sz="4" w:space="0" w:color="auto"/>
              <w:bottom w:val="nil"/>
            </w:tcBorders>
          </w:tcPr>
          <w:p w:rsidR="00CE4BFD" w:rsidRPr="00E55025" w:rsidRDefault="00CE4BFD" w:rsidP="00CE4BFD">
            <w:pPr>
              <w:jc w:val="both"/>
              <w:rPr>
                <w:rFonts w:cs="Arial"/>
                <w:sz w:val="20"/>
                <w:szCs w:val="20"/>
              </w:rPr>
            </w:pPr>
          </w:p>
          <w:p w:rsidR="00CE4BFD" w:rsidRPr="00E55025" w:rsidRDefault="00CE4BFD" w:rsidP="00CE4BFD">
            <w:pPr>
              <w:jc w:val="both"/>
              <w:rPr>
                <w:rFonts w:cs="Arial"/>
                <w:sz w:val="20"/>
                <w:szCs w:val="20"/>
              </w:rPr>
            </w:pPr>
          </w:p>
        </w:tc>
      </w:tr>
      <w:tr w:rsidR="00CE4BFD" w:rsidRPr="00E55025" w:rsidTr="00E55025">
        <w:trPr>
          <w:gridAfter w:val="1"/>
          <w:wAfter w:w="21" w:type="dxa"/>
        </w:trPr>
        <w:tc>
          <w:tcPr>
            <w:tcW w:w="7060" w:type="dxa"/>
          </w:tcPr>
          <w:p w:rsidR="00CE4BFD" w:rsidRPr="00E55025" w:rsidRDefault="00CE4BFD" w:rsidP="00CE4BFD">
            <w:pPr>
              <w:pStyle w:val="TableParagraph"/>
              <w:jc w:val="both"/>
              <w:rPr>
                <w:sz w:val="20"/>
                <w:szCs w:val="20"/>
              </w:rPr>
            </w:pPr>
            <w:r w:rsidRPr="00E55025">
              <w:rPr>
                <w:sz w:val="20"/>
                <w:szCs w:val="20"/>
              </w:rPr>
              <w:t>Protocole d’intervention en cas d’échouage et collecte de données</w:t>
            </w:r>
          </w:p>
        </w:tc>
        <w:tc>
          <w:tcPr>
            <w:tcW w:w="2551" w:type="dxa"/>
          </w:tcPr>
          <w:p w:rsidR="00CE4BFD" w:rsidRPr="00E55025" w:rsidRDefault="00CE4BFD" w:rsidP="00CE4BFD">
            <w:pPr>
              <w:pStyle w:val="TableParagraph"/>
              <w:jc w:val="both"/>
              <w:rPr>
                <w:sz w:val="20"/>
                <w:szCs w:val="20"/>
              </w:rPr>
            </w:pPr>
            <w:r w:rsidRPr="00E55025">
              <w:rPr>
                <w:sz w:val="20"/>
                <w:szCs w:val="20"/>
              </w:rPr>
              <w:t>Ateliers</w:t>
            </w:r>
          </w:p>
        </w:tc>
        <w:tc>
          <w:tcPr>
            <w:tcW w:w="1418" w:type="dxa"/>
          </w:tcPr>
          <w:p w:rsidR="00CE4BFD" w:rsidRPr="00E55025" w:rsidRDefault="00CE4BFD" w:rsidP="00CE4BFD">
            <w:pPr>
              <w:pStyle w:val="TableParagraph"/>
              <w:spacing w:before="11"/>
              <w:jc w:val="both"/>
              <w:rPr>
                <w:sz w:val="20"/>
                <w:szCs w:val="20"/>
              </w:rPr>
            </w:pPr>
            <w:r w:rsidRPr="00E55025">
              <w:rPr>
                <w:sz w:val="20"/>
                <w:szCs w:val="20"/>
              </w:rPr>
              <w:t>Collecte de données</w:t>
            </w:r>
          </w:p>
        </w:tc>
        <w:tc>
          <w:tcPr>
            <w:tcW w:w="1276" w:type="dxa"/>
          </w:tcPr>
          <w:p w:rsidR="00CE4BFD" w:rsidRPr="00E55025" w:rsidRDefault="00CE4BFD" w:rsidP="00CE4BFD">
            <w:pPr>
              <w:pStyle w:val="TableParagraph"/>
              <w:ind w:left="106" w:right="157"/>
              <w:jc w:val="both"/>
              <w:rPr>
                <w:sz w:val="20"/>
                <w:szCs w:val="20"/>
              </w:rPr>
            </w:pPr>
            <w:r w:rsidRPr="00E55025">
              <w:rPr>
                <w:sz w:val="20"/>
                <w:szCs w:val="20"/>
              </w:rPr>
              <w:t>Collecte de données</w:t>
            </w:r>
          </w:p>
        </w:tc>
        <w:tc>
          <w:tcPr>
            <w:tcW w:w="1638" w:type="dxa"/>
          </w:tcPr>
          <w:p w:rsidR="00CE4BFD" w:rsidRPr="00E55025" w:rsidRDefault="00CE4BFD" w:rsidP="00CE4BFD">
            <w:pPr>
              <w:pStyle w:val="TableParagraph"/>
              <w:jc w:val="both"/>
              <w:rPr>
                <w:sz w:val="20"/>
                <w:szCs w:val="20"/>
              </w:rPr>
            </w:pPr>
            <w:r w:rsidRPr="00E55025">
              <w:rPr>
                <w:sz w:val="20"/>
                <w:szCs w:val="20"/>
              </w:rPr>
              <w:t xml:space="preserve">Décembre </w:t>
            </w:r>
          </w:p>
          <w:p w:rsidR="00CE4BFD" w:rsidRPr="00E55025" w:rsidRDefault="00CE4BFD" w:rsidP="00CE4BFD">
            <w:pPr>
              <w:pStyle w:val="TableParagraph"/>
              <w:jc w:val="both"/>
              <w:rPr>
                <w:sz w:val="20"/>
                <w:szCs w:val="20"/>
              </w:rPr>
            </w:pPr>
            <w:r w:rsidRPr="00E55025">
              <w:rPr>
                <w:sz w:val="20"/>
                <w:szCs w:val="20"/>
              </w:rPr>
              <w:t>2024</w:t>
            </w:r>
          </w:p>
        </w:tc>
        <w:tc>
          <w:tcPr>
            <w:tcW w:w="1260" w:type="dxa"/>
            <w:tcBorders>
              <w:top w:val="nil"/>
              <w:bottom w:val="nil"/>
            </w:tcBorders>
          </w:tcPr>
          <w:p w:rsidR="00CE4BFD" w:rsidRPr="00E55025" w:rsidRDefault="00CE4BFD" w:rsidP="00CE4BFD">
            <w:pPr>
              <w:jc w:val="both"/>
              <w:rPr>
                <w:rFonts w:cs="Arial"/>
                <w:sz w:val="20"/>
                <w:szCs w:val="20"/>
              </w:rPr>
            </w:pPr>
          </w:p>
          <w:p w:rsidR="00CE4BFD" w:rsidRPr="00E55025" w:rsidRDefault="00CE4BFD" w:rsidP="00CE4BFD">
            <w:pPr>
              <w:jc w:val="both"/>
              <w:rPr>
                <w:rFonts w:cs="Arial"/>
                <w:sz w:val="20"/>
                <w:szCs w:val="20"/>
              </w:rPr>
            </w:pPr>
          </w:p>
        </w:tc>
      </w:tr>
      <w:tr w:rsidR="00CE4BFD" w:rsidRPr="00E55025" w:rsidTr="00E55025">
        <w:trPr>
          <w:gridAfter w:val="1"/>
          <w:wAfter w:w="21" w:type="dxa"/>
        </w:trPr>
        <w:tc>
          <w:tcPr>
            <w:tcW w:w="7060" w:type="dxa"/>
          </w:tcPr>
          <w:p w:rsidR="00CE4BFD" w:rsidRPr="00E55025" w:rsidRDefault="00CE4BFD" w:rsidP="00CE4BFD">
            <w:pPr>
              <w:pStyle w:val="TableParagraph"/>
              <w:jc w:val="both"/>
              <w:rPr>
                <w:sz w:val="20"/>
                <w:szCs w:val="20"/>
              </w:rPr>
            </w:pPr>
            <w:r w:rsidRPr="00E55025">
              <w:rPr>
                <w:sz w:val="20"/>
                <w:szCs w:val="20"/>
              </w:rPr>
              <w:t xml:space="preserve">Plan et formation à la gestion et à l’observation durable des dauphins </w:t>
            </w:r>
          </w:p>
        </w:tc>
        <w:tc>
          <w:tcPr>
            <w:tcW w:w="2551" w:type="dxa"/>
          </w:tcPr>
          <w:p w:rsidR="00CE4BFD" w:rsidRPr="00E55025" w:rsidRDefault="00CE4BFD" w:rsidP="00CE4BFD">
            <w:pPr>
              <w:pStyle w:val="TableParagraph"/>
              <w:jc w:val="both"/>
              <w:rPr>
                <w:sz w:val="20"/>
                <w:szCs w:val="20"/>
              </w:rPr>
            </w:pPr>
            <w:r w:rsidRPr="00E55025">
              <w:rPr>
                <w:sz w:val="20"/>
                <w:szCs w:val="20"/>
              </w:rPr>
              <w:t>Réunions consultatives et programmes de formation</w:t>
            </w:r>
          </w:p>
        </w:tc>
        <w:tc>
          <w:tcPr>
            <w:tcW w:w="1418" w:type="dxa"/>
          </w:tcPr>
          <w:p w:rsidR="00CE4BFD" w:rsidRPr="00E55025" w:rsidRDefault="00CE4BFD" w:rsidP="00CE4BFD">
            <w:pPr>
              <w:pStyle w:val="TableParagraph"/>
              <w:spacing w:before="11"/>
              <w:jc w:val="both"/>
              <w:rPr>
                <w:sz w:val="20"/>
                <w:szCs w:val="20"/>
              </w:rPr>
            </w:pPr>
            <w:r w:rsidRPr="00E55025">
              <w:rPr>
                <w:sz w:val="20"/>
                <w:szCs w:val="20"/>
              </w:rPr>
              <w:t>Réunions consultatives et programmes de formation</w:t>
            </w:r>
          </w:p>
        </w:tc>
        <w:tc>
          <w:tcPr>
            <w:tcW w:w="1276" w:type="dxa"/>
          </w:tcPr>
          <w:p w:rsidR="00CE4BFD" w:rsidRPr="00E55025" w:rsidRDefault="00CE4BFD" w:rsidP="00CE4BFD">
            <w:pPr>
              <w:pStyle w:val="TableParagraph"/>
              <w:ind w:left="106" w:right="157"/>
              <w:jc w:val="both"/>
              <w:rPr>
                <w:sz w:val="20"/>
                <w:szCs w:val="20"/>
              </w:rPr>
            </w:pPr>
            <w:r w:rsidRPr="00E55025">
              <w:rPr>
                <w:sz w:val="20"/>
                <w:szCs w:val="20"/>
              </w:rPr>
              <w:t>Suivi de l’observation des dauphins</w:t>
            </w:r>
          </w:p>
        </w:tc>
        <w:tc>
          <w:tcPr>
            <w:tcW w:w="1638" w:type="dxa"/>
          </w:tcPr>
          <w:p w:rsidR="00CE4BFD" w:rsidRPr="00E55025" w:rsidRDefault="00CE4BFD" w:rsidP="00CE4BFD">
            <w:pPr>
              <w:pStyle w:val="TableParagraph"/>
              <w:jc w:val="both"/>
              <w:rPr>
                <w:sz w:val="20"/>
                <w:szCs w:val="20"/>
              </w:rPr>
            </w:pPr>
            <w:r w:rsidRPr="00E55025">
              <w:rPr>
                <w:sz w:val="20"/>
                <w:szCs w:val="20"/>
              </w:rPr>
              <w:t>Décembre 2024</w:t>
            </w:r>
          </w:p>
        </w:tc>
        <w:tc>
          <w:tcPr>
            <w:tcW w:w="1260" w:type="dxa"/>
            <w:tcBorders>
              <w:top w:val="nil"/>
              <w:bottom w:val="nil"/>
            </w:tcBorders>
          </w:tcPr>
          <w:p w:rsidR="00CE4BFD" w:rsidRPr="00E55025" w:rsidRDefault="00CE4BFD" w:rsidP="00CE4BFD">
            <w:pPr>
              <w:jc w:val="both"/>
              <w:rPr>
                <w:rFonts w:cs="Arial"/>
                <w:sz w:val="20"/>
                <w:szCs w:val="20"/>
              </w:rPr>
            </w:pPr>
          </w:p>
        </w:tc>
      </w:tr>
    </w:tbl>
    <w:p w:rsidR="00CE4BFD" w:rsidRPr="006720AD" w:rsidRDefault="00CE4BFD" w:rsidP="00CE4BFD">
      <w:pPr>
        <w:jc w:val="both"/>
        <w:rPr>
          <w:sz w:val="2"/>
          <w:szCs w:val="2"/>
        </w:rPr>
        <w:sectPr w:rsidR="00CE4BFD" w:rsidRPr="006720AD" w:rsidSect="00E55025">
          <w:headerReference w:type="even" r:id="rId20"/>
          <w:headerReference w:type="default" r:id="rId21"/>
          <w:footerReference w:type="even" r:id="rId22"/>
          <w:footerReference w:type="default" r:id="rId23"/>
          <w:pgSz w:w="16840" w:h="11910" w:orient="landscape"/>
          <w:pgMar w:top="940" w:right="1320" w:bottom="900" w:left="1300" w:header="713" w:footer="710" w:gutter="0"/>
          <w:pgNumType w:start="12"/>
          <w:cols w:space="720"/>
        </w:sectPr>
      </w:pPr>
    </w:p>
    <w:p w:rsidR="00CE4BFD" w:rsidRPr="00E55025" w:rsidRDefault="00CE4BFD" w:rsidP="00CE4BFD">
      <w:pPr>
        <w:pStyle w:val="ListParagraph"/>
        <w:numPr>
          <w:ilvl w:val="0"/>
          <w:numId w:val="13"/>
        </w:numPr>
        <w:tabs>
          <w:tab w:val="left" w:pos="415"/>
        </w:tabs>
        <w:suppressAutoHyphens w:val="0"/>
        <w:spacing w:before="84" w:line="310" w:lineRule="exact"/>
        <w:ind w:right="60"/>
        <w:contextualSpacing/>
        <w:jc w:val="both"/>
        <w:textAlignment w:val="auto"/>
        <w:outlineLvl w:val="0"/>
        <w:rPr>
          <w:rFonts w:cs="Arial"/>
          <w:b/>
          <w:sz w:val="22"/>
          <w:szCs w:val="22"/>
          <w:lang w:val="fr-FR"/>
        </w:rPr>
      </w:pPr>
      <w:r w:rsidRPr="00E55025">
        <w:rPr>
          <w:b/>
          <w:sz w:val="22"/>
          <w:szCs w:val="22"/>
          <w:lang w:val="fr-FR"/>
        </w:rPr>
        <w:lastRenderedPageBreak/>
        <w:t>Lien avec d’autres actions de la CMS</w:t>
      </w:r>
    </w:p>
    <w:p w:rsidR="00CE4BFD" w:rsidRPr="00E55025" w:rsidRDefault="00CE4BFD" w:rsidP="00CE4BFD">
      <w:pPr>
        <w:pStyle w:val="BodyText"/>
        <w:ind w:left="360" w:right="403"/>
        <w:rPr>
          <w:szCs w:val="22"/>
          <w:lang w:val="fr-FR"/>
        </w:rPr>
      </w:pPr>
      <w:r w:rsidRPr="00CE4BFD">
        <w:rPr>
          <w:lang w:val="fr-FR"/>
        </w:rPr>
        <w:br/>
      </w:r>
      <w:r w:rsidRPr="00E55025">
        <w:rPr>
          <w:szCs w:val="22"/>
          <w:lang w:val="fr-FR"/>
        </w:rPr>
        <w:t>L’Action concertée pour le dauphin de l’Irrawaddy soutiendra la mise en œuvre d’un certain nombre d’initiatives récentes de la CMS, notamment :</w:t>
      </w:r>
    </w:p>
    <w:p w:rsidR="00CE4BFD" w:rsidRPr="00E55025" w:rsidRDefault="00CE4BFD" w:rsidP="00CE4BFD">
      <w:pPr>
        <w:pStyle w:val="ListParagraph"/>
        <w:numPr>
          <w:ilvl w:val="1"/>
          <w:numId w:val="15"/>
        </w:numPr>
        <w:tabs>
          <w:tab w:val="left" w:pos="821"/>
        </w:tabs>
        <w:suppressAutoHyphens w:val="0"/>
        <w:jc w:val="both"/>
        <w:textAlignment w:val="auto"/>
        <w:rPr>
          <w:sz w:val="22"/>
          <w:szCs w:val="22"/>
          <w:lang w:val="fr-FR"/>
        </w:rPr>
      </w:pPr>
      <w:r w:rsidRPr="00E55025">
        <w:rPr>
          <w:sz w:val="22"/>
          <w:szCs w:val="22"/>
          <w:lang w:val="fr-FR"/>
        </w:rPr>
        <w:t>Résolution 8.22 (Effets négatifs des activités humaines sur les cétacés)</w:t>
      </w:r>
    </w:p>
    <w:p w:rsidR="00CE4BFD" w:rsidRPr="00E55025" w:rsidRDefault="00CE4BFD" w:rsidP="00CE4BFD">
      <w:pPr>
        <w:pStyle w:val="ListParagraph"/>
        <w:numPr>
          <w:ilvl w:val="1"/>
          <w:numId w:val="15"/>
        </w:numPr>
        <w:tabs>
          <w:tab w:val="left" w:pos="821"/>
        </w:tabs>
        <w:suppressAutoHyphens w:val="0"/>
        <w:jc w:val="both"/>
        <w:textAlignment w:val="auto"/>
        <w:rPr>
          <w:rFonts w:ascii="Symbol" w:hAnsi="Symbol"/>
          <w:sz w:val="22"/>
          <w:szCs w:val="22"/>
          <w:lang w:val="fr-FR"/>
        </w:rPr>
      </w:pPr>
      <w:r w:rsidRPr="00E55025">
        <w:rPr>
          <w:sz w:val="22"/>
          <w:szCs w:val="22"/>
          <w:lang w:val="fr-FR"/>
        </w:rPr>
        <w:t>Plan stratégique pour les espèces migratrices 2015-2023 (exemple : cibles 5-10, 12 et 15)</w:t>
      </w:r>
    </w:p>
    <w:p w:rsidR="00CE4BFD" w:rsidRPr="00E55025" w:rsidRDefault="00CE4BFD" w:rsidP="00CE4BFD">
      <w:pPr>
        <w:pStyle w:val="ListParagraph"/>
        <w:numPr>
          <w:ilvl w:val="1"/>
          <w:numId w:val="15"/>
        </w:numPr>
        <w:tabs>
          <w:tab w:val="left" w:pos="821"/>
        </w:tabs>
        <w:suppressAutoHyphens w:val="0"/>
        <w:spacing w:before="41"/>
        <w:ind w:right="399"/>
        <w:jc w:val="both"/>
        <w:textAlignment w:val="auto"/>
        <w:rPr>
          <w:rFonts w:ascii="Symbol" w:hAnsi="Symbol"/>
          <w:sz w:val="22"/>
          <w:szCs w:val="22"/>
          <w:lang w:val="fr-FR"/>
        </w:rPr>
      </w:pPr>
      <w:r w:rsidRPr="00E55025">
        <w:rPr>
          <w:sz w:val="22"/>
          <w:szCs w:val="22"/>
          <w:lang w:val="fr-FR"/>
        </w:rPr>
        <w:t>Résolution 10.03 (Le rôle des réseaux écologiques pour la conservation des espèces migratrices) et Résolution 11.25 (Promouvoir les réseaux écologiques pour répondre aux besoins des espèces migratrices)</w:t>
      </w:r>
    </w:p>
    <w:p w:rsidR="00CE4BFD" w:rsidRPr="00E55025" w:rsidRDefault="00CE4BFD" w:rsidP="00CE4BFD">
      <w:pPr>
        <w:pStyle w:val="ListParagraph"/>
        <w:numPr>
          <w:ilvl w:val="1"/>
          <w:numId w:val="15"/>
        </w:numPr>
        <w:tabs>
          <w:tab w:val="left" w:pos="821"/>
        </w:tabs>
        <w:suppressAutoHyphens w:val="0"/>
        <w:spacing w:before="40"/>
        <w:jc w:val="both"/>
        <w:textAlignment w:val="auto"/>
        <w:rPr>
          <w:rFonts w:ascii="Symbol" w:hAnsi="Symbol"/>
          <w:sz w:val="22"/>
          <w:szCs w:val="22"/>
          <w:lang w:val="fr-FR"/>
        </w:rPr>
      </w:pPr>
      <w:r w:rsidRPr="00E55025">
        <w:rPr>
          <w:sz w:val="22"/>
          <w:szCs w:val="22"/>
          <w:lang w:val="fr-FR"/>
        </w:rPr>
        <w:t>Résolution 10.14 (Prises accidentelles d’espèces inscrites aux Annexes de la CMS dans la pêche aux filets maillants)</w:t>
      </w:r>
    </w:p>
    <w:p w:rsidR="00CE4BFD" w:rsidRPr="00E55025" w:rsidRDefault="00CE4BFD" w:rsidP="00CE4BFD">
      <w:pPr>
        <w:pStyle w:val="ListParagraph"/>
        <w:numPr>
          <w:ilvl w:val="1"/>
          <w:numId w:val="15"/>
        </w:numPr>
        <w:tabs>
          <w:tab w:val="left" w:pos="821"/>
        </w:tabs>
        <w:suppressAutoHyphens w:val="0"/>
        <w:spacing w:before="38"/>
        <w:jc w:val="both"/>
        <w:textAlignment w:val="auto"/>
        <w:rPr>
          <w:rFonts w:ascii="Symbol" w:hAnsi="Symbol"/>
          <w:sz w:val="22"/>
          <w:szCs w:val="22"/>
          <w:lang w:val="fr-FR"/>
        </w:rPr>
      </w:pPr>
      <w:r w:rsidRPr="00E55025">
        <w:rPr>
          <w:sz w:val="22"/>
          <w:szCs w:val="22"/>
          <w:lang w:val="fr-FR"/>
        </w:rPr>
        <w:t>Résolution 10.15 (Programme de travail mondial pour les cétacés)</w:t>
      </w:r>
    </w:p>
    <w:p w:rsidR="00CE4BFD" w:rsidRPr="00E55025" w:rsidRDefault="00CE4BFD" w:rsidP="00CE4BFD">
      <w:pPr>
        <w:pStyle w:val="ListParagraph"/>
        <w:numPr>
          <w:ilvl w:val="1"/>
          <w:numId w:val="15"/>
        </w:numPr>
        <w:tabs>
          <w:tab w:val="left" w:pos="821"/>
        </w:tabs>
        <w:suppressAutoHyphens w:val="0"/>
        <w:spacing w:before="38"/>
        <w:jc w:val="both"/>
        <w:textAlignment w:val="auto"/>
        <w:rPr>
          <w:rFonts w:ascii="Symbol" w:hAnsi="Symbol"/>
          <w:sz w:val="22"/>
          <w:szCs w:val="22"/>
          <w:lang w:val="fr-FR"/>
        </w:rPr>
      </w:pPr>
      <w:r w:rsidRPr="00E55025">
        <w:rPr>
          <w:sz w:val="22"/>
          <w:szCs w:val="22"/>
          <w:lang w:val="fr-FR"/>
        </w:rPr>
        <w:t>Résolution 10.23 (Espèces désignées pour des actions concertées en 2012-2014)</w:t>
      </w:r>
    </w:p>
    <w:p w:rsidR="00CE4BFD" w:rsidRPr="00E55025" w:rsidRDefault="00CE4BFD" w:rsidP="00CE4BFD">
      <w:pPr>
        <w:pStyle w:val="ListParagraph"/>
        <w:numPr>
          <w:ilvl w:val="1"/>
          <w:numId w:val="15"/>
        </w:numPr>
        <w:tabs>
          <w:tab w:val="left" w:pos="820"/>
          <w:tab w:val="left" w:pos="821"/>
        </w:tabs>
        <w:suppressAutoHyphens w:val="0"/>
        <w:spacing w:before="42"/>
        <w:ind w:right="393"/>
        <w:jc w:val="both"/>
        <w:textAlignment w:val="auto"/>
        <w:rPr>
          <w:rFonts w:ascii="Symbol" w:hAnsi="Symbol"/>
          <w:sz w:val="22"/>
          <w:szCs w:val="22"/>
          <w:lang w:val="fr-FR"/>
        </w:rPr>
      </w:pPr>
      <w:r w:rsidRPr="00E55025">
        <w:rPr>
          <w:sz w:val="22"/>
          <w:szCs w:val="22"/>
          <w:lang w:val="fr-FR"/>
        </w:rPr>
        <w:t>Résolution 10.19 (Conservation des espèces migratrices à la lumière du changement climatique) et Résolution 11.26 (Programme de travail sur le changement climatique et les espèces migratrices)</w:t>
      </w:r>
    </w:p>
    <w:p w:rsidR="00CE4BFD" w:rsidRPr="00E55025" w:rsidRDefault="00CE4BFD" w:rsidP="00CE4BFD">
      <w:pPr>
        <w:pStyle w:val="ListParagraph"/>
        <w:numPr>
          <w:ilvl w:val="1"/>
          <w:numId w:val="15"/>
        </w:numPr>
        <w:tabs>
          <w:tab w:val="left" w:pos="820"/>
          <w:tab w:val="left" w:pos="821"/>
        </w:tabs>
        <w:suppressAutoHyphens w:val="0"/>
        <w:spacing w:before="44"/>
        <w:ind w:right="397"/>
        <w:jc w:val="both"/>
        <w:textAlignment w:val="auto"/>
        <w:rPr>
          <w:rFonts w:ascii="Symbol" w:hAnsi="Symbol"/>
          <w:sz w:val="22"/>
          <w:szCs w:val="22"/>
          <w:lang w:val="fr-FR"/>
        </w:rPr>
      </w:pPr>
      <w:r w:rsidRPr="00E55025">
        <w:rPr>
          <w:sz w:val="22"/>
          <w:szCs w:val="22"/>
          <w:lang w:val="fr-FR"/>
        </w:rPr>
        <w:t>Résolution 10.24 (Nouvelles mesures visant à réduire la pollution acoustique sous-marine pour la protection des cétacés et autres espèces migratrices)</w:t>
      </w:r>
    </w:p>
    <w:p w:rsidR="00CE4BFD" w:rsidRPr="00E55025" w:rsidRDefault="00CE4BFD" w:rsidP="00CE4BFD">
      <w:pPr>
        <w:pStyle w:val="ListParagraph"/>
        <w:numPr>
          <w:ilvl w:val="1"/>
          <w:numId w:val="15"/>
        </w:numPr>
        <w:tabs>
          <w:tab w:val="left" w:pos="820"/>
          <w:tab w:val="left" w:pos="821"/>
        </w:tabs>
        <w:suppressAutoHyphens w:val="0"/>
        <w:spacing w:before="41"/>
        <w:jc w:val="both"/>
        <w:textAlignment w:val="auto"/>
        <w:rPr>
          <w:rFonts w:ascii="Symbol" w:hAnsi="Symbol"/>
          <w:sz w:val="22"/>
          <w:szCs w:val="22"/>
        </w:rPr>
      </w:pPr>
      <w:proofErr w:type="spellStart"/>
      <w:r w:rsidRPr="00E55025">
        <w:rPr>
          <w:sz w:val="22"/>
          <w:szCs w:val="22"/>
        </w:rPr>
        <w:t>Résolution</w:t>
      </w:r>
      <w:proofErr w:type="spellEnd"/>
      <w:r w:rsidRPr="00E55025">
        <w:rPr>
          <w:sz w:val="22"/>
          <w:szCs w:val="22"/>
        </w:rPr>
        <w:t xml:space="preserve"> 11.10 (Synergies et </w:t>
      </w:r>
      <w:proofErr w:type="spellStart"/>
      <w:r w:rsidRPr="00E55025">
        <w:rPr>
          <w:sz w:val="22"/>
          <w:szCs w:val="22"/>
        </w:rPr>
        <w:t>partenariats</w:t>
      </w:r>
      <w:proofErr w:type="spellEnd"/>
      <w:r w:rsidRPr="00E55025">
        <w:rPr>
          <w:sz w:val="22"/>
          <w:szCs w:val="22"/>
        </w:rPr>
        <w:t>).</w:t>
      </w:r>
    </w:p>
    <w:p w:rsidR="00CE4BFD" w:rsidRPr="006720AD" w:rsidRDefault="00CE4BFD" w:rsidP="00CE4BFD">
      <w:pPr>
        <w:pStyle w:val="BodyText"/>
        <w:spacing w:before="10"/>
        <w:rPr>
          <w:sz w:val="28"/>
        </w:rPr>
      </w:pPr>
    </w:p>
    <w:p w:rsidR="00CE4BFD" w:rsidRPr="006720AD" w:rsidRDefault="00CE4BFD" w:rsidP="00CE4BFD">
      <w:pPr>
        <w:pStyle w:val="Heading1"/>
        <w:ind w:right="60"/>
        <w:jc w:val="both"/>
        <w:rPr>
          <w:rFonts w:cs="Arial"/>
          <w:sz w:val="22"/>
          <w:szCs w:val="22"/>
        </w:rPr>
      </w:pPr>
      <w:proofErr w:type="spellStart"/>
      <w:r>
        <w:rPr>
          <w:sz w:val="22"/>
          <w:szCs w:val="22"/>
        </w:rPr>
        <w:t>Références</w:t>
      </w:r>
      <w:proofErr w:type="spellEnd"/>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Banerjee, S., </w:t>
      </w:r>
      <w:proofErr w:type="spellStart"/>
      <w:r>
        <w:rPr>
          <w:rFonts w:ascii="Helvetica" w:hAnsi="Helvetica" w:cs="Helvetica"/>
          <w:sz w:val="20"/>
          <w:szCs w:val="20"/>
        </w:rPr>
        <w:t>Pramanik</w:t>
      </w:r>
      <w:proofErr w:type="spellEnd"/>
      <w:r>
        <w:rPr>
          <w:rFonts w:ascii="Helvetica" w:hAnsi="Helvetica" w:cs="Helvetica"/>
          <w:sz w:val="20"/>
          <w:szCs w:val="20"/>
        </w:rPr>
        <w:t xml:space="preserve">, A., Sengupta, S., Chattopadhyay, D. and Bhattacharyya, M. 2017. Distribution and source identification of heavy metal concentration in </w:t>
      </w:r>
      <w:proofErr w:type="spellStart"/>
      <w:r>
        <w:rPr>
          <w:rFonts w:ascii="Helvetica" w:hAnsi="Helvetica" w:cs="Helvetica"/>
          <w:sz w:val="20"/>
          <w:szCs w:val="20"/>
        </w:rPr>
        <w:t>Chilika</w:t>
      </w:r>
      <w:proofErr w:type="spellEnd"/>
      <w:r>
        <w:rPr>
          <w:rFonts w:ascii="Helvetica" w:hAnsi="Helvetica" w:cs="Helvetica"/>
          <w:sz w:val="20"/>
          <w:szCs w:val="20"/>
        </w:rPr>
        <w:t xml:space="preserve"> Lake, Odisha India: an assessment over salinity gradient. Current Science 112(1): 87.</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Beasley, I., </w:t>
      </w:r>
      <w:proofErr w:type="spellStart"/>
      <w:r>
        <w:rPr>
          <w:rFonts w:ascii="Helvetica" w:hAnsi="Helvetica" w:cs="Helvetica"/>
          <w:sz w:val="20"/>
          <w:szCs w:val="20"/>
        </w:rPr>
        <w:t>Phay</w:t>
      </w:r>
      <w:proofErr w:type="spellEnd"/>
      <w:r>
        <w:rPr>
          <w:rFonts w:ascii="Helvetica" w:hAnsi="Helvetica" w:cs="Helvetica"/>
          <w:sz w:val="20"/>
          <w:szCs w:val="20"/>
        </w:rPr>
        <w:t xml:space="preserve">, S., Gilbert, M., </w:t>
      </w:r>
      <w:proofErr w:type="spellStart"/>
      <w:r>
        <w:rPr>
          <w:rFonts w:ascii="Helvetica" w:hAnsi="Helvetica" w:cs="Helvetica"/>
          <w:sz w:val="20"/>
          <w:szCs w:val="20"/>
        </w:rPr>
        <w:t>Phothitay</w:t>
      </w:r>
      <w:proofErr w:type="spellEnd"/>
      <w:r>
        <w:rPr>
          <w:rFonts w:ascii="Helvetica" w:hAnsi="Helvetica" w:cs="Helvetica"/>
          <w:sz w:val="20"/>
          <w:szCs w:val="20"/>
        </w:rPr>
        <w:t xml:space="preserve">, C., </w:t>
      </w:r>
      <w:proofErr w:type="spellStart"/>
      <w:r>
        <w:rPr>
          <w:rFonts w:ascii="Helvetica" w:hAnsi="Helvetica" w:cs="Helvetica"/>
          <w:sz w:val="20"/>
          <w:szCs w:val="20"/>
        </w:rPr>
        <w:t>Yim</w:t>
      </w:r>
      <w:proofErr w:type="spellEnd"/>
      <w:r>
        <w:rPr>
          <w:rFonts w:ascii="Helvetica" w:hAnsi="Helvetica" w:cs="Helvetica"/>
          <w:sz w:val="20"/>
          <w:szCs w:val="20"/>
        </w:rPr>
        <w:t xml:space="preserve">, S., </w:t>
      </w:r>
      <w:proofErr w:type="spellStart"/>
      <w:r>
        <w:rPr>
          <w:rFonts w:ascii="Helvetica" w:hAnsi="Helvetica" w:cs="Helvetica"/>
          <w:sz w:val="20"/>
          <w:szCs w:val="20"/>
        </w:rPr>
        <w:t>Lor</w:t>
      </w:r>
      <w:proofErr w:type="spellEnd"/>
      <w:r>
        <w:rPr>
          <w:rFonts w:ascii="Helvetica" w:hAnsi="Helvetica" w:cs="Helvetica"/>
          <w:sz w:val="20"/>
          <w:szCs w:val="20"/>
        </w:rPr>
        <w:t xml:space="preserve">, K. S. and Kim, S. 2007. Review of the </w:t>
      </w:r>
      <w:proofErr w:type="spellStart"/>
      <w:r>
        <w:rPr>
          <w:rFonts w:ascii="Helvetica" w:hAnsi="Helvetica" w:cs="Helvetica"/>
          <w:sz w:val="20"/>
          <w:szCs w:val="20"/>
        </w:rPr>
        <w:t>statusand</w:t>
      </w:r>
      <w:proofErr w:type="spellEnd"/>
      <w:r>
        <w:rPr>
          <w:rFonts w:ascii="Helvetica" w:hAnsi="Helvetica" w:cs="Helvetica"/>
          <w:sz w:val="20"/>
          <w:szCs w:val="20"/>
        </w:rPr>
        <w:t xml:space="preserve"> conservation of Irrawaddy dolphins </w:t>
      </w:r>
      <w:proofErr w:type="spellStart"/>
      <w:r>
        <w:rPr>
          <w:rFonts w:ascii="Helvetica" w:hAnsi="Helvetica" w:cs="Helvetica"/>
          <w:sz w:val="20"/>
          <w:szCs w:val="20"/>
        </w:rPr>
        <w:t>Orcaella</w:t>
      </w:r>
      <w:proofErr w:type="spellEnd"/>
      <w:r>
        <w:rPr>
          <w:rFonts w:ascii="Helvetica" w:hAnsi="Helvetica" w:cs="Helvetica"/>
          <w:sz w:val="20"/>
          <w:szCs w:val="20"/>
        </w:rPr>
        <w:t xml:space="preserve"> </w:t>
      </w:r>
      <w:proofErr w:type="spellStart"/>
      <w:r>
        <w:rPr>
          <w:rFonts w:ascii="Helvetica" w:hAnsi="Helvetica" w:cs="Helvetica"/>
          <w:sz w:val="20"/>
          <w:szCs w:val="20"/>
        </w:rPr>
        <w:t>brevirostris</w:t>
      </w:r>
      <w:proofErr w:type="spellEnd"/>
      <w:r>
        <w:rPr>
          <w:rFonts w:ascii="Helvetica" w:hAnsi="Helvetica" w:cs="Helvetica"/>
          <w:sz w:val="20"/>
          <w:szCs w:val="20"/>
        </w:rPr>
        <w:t xml:space="preserve"> in the Mekong River of Cambodia, Lao </w:t>
      </w:r>
      <w:proofErr w:type="spellStart"/>
      <w:r>
        <w:rPr>
          <w:rFonts w:ascii="Helvetica" w:hAnsi="Helvetica" w:cs="Helvetica"/>
          <w:sz w:val="20"/>
          <w:szCs w:val="20"/>
        </w:rPr>
        <w:t>PDRand</w:t>
      </w:r>
      <w:proofErr w:type="spellEnd"/>
      <w:r>
        <w:rPr>
          <w:rFonts w:ascii="Helvetica" w:hAnsi="Helvetica" w:cs="Helvetica"/>
          <w:sz w:val="20"/>
          <w:szCs w:val="20"/>
        </w:rPr>
        <w:t xml:space="preserve"> Vietnam. In: B.D. Smith, R.G. Shore, and A. Lopez (eds), Status and conservation of fresh water populations of Irrawaddy dolphins., pp. 67-82. Wildlife Conservation Society Working Paper No. 31.</w:t>
      </w:r>
    </w:p>
    <w:p w:rsidR="00E55025" w:rsidRDefault="00E55025" w:rsidP="00E55025">
      <w:pPr>
        <w:spacing w:after="60"/>
        <w:ind w:left="284" w:hanging="284"/>
        <w:contextualSpacing/>
        <w:jc w:val="both"/>
        <w:rPr>
          <w:rFonts w:eastAsiaTheme="minorHAnsi" w:cstheme="minorBidi"/>
          <w:sz w:val="20"/>
          <w:szCs w:val="20"/>
        </w:rPr>
      </w:pPr>
      <w:r>
        <w:rPr>
          <w:sz w:val="20"/>
          <w:szCs w:val="20"/>
        </w:rPr>
        <w:t xml:space="preserve">Brian D. Smith, Gill </w:t>
      </w:r>
      <w:proofErr w:type="spellStart"/>
      <w:r>
        <w:rPr>
          <w:sz w:val="20"/>
          <w:szCs w:val="20"/>
        </w:rPr>
        <w:t>Braulik</w:t>
      </w:r>
      <w:proofErr w:type="spellEnd"/>
      <w:r>
        <w:rPr>
          <w:sz w:val="20"/>
          <w:szCs w:val="20"/>
        </w:rPr>
        <w:t>, Samantha Strindberg, Benazir Ahmed, Rubaiyat Mansur. 2006. Abundance of Irrawaddy dolphins (</w:t>
      </w:r>
      <w:proofErr w:type="spellStart"/>
      <w:r>
        <w:rPr>
          <w:sz w:val="20"/>
          <w:szCs w:val="20"/>
        </w:rPr>
        <w:t>Orcaella</w:t>
      </w:r>
      <w:proofErr w:type="spellEnd"/>
      <w:r>
        <w:rPr>
          <w:sz w:val="20"/>
          <w:szCs w:val="20"/>
        </w:rPr>
        <w:t xml:space="preserve"> </w:t>
      </w:r>
      <w:proofErr w:type="spellStart"/>
      <w:r>
        <w:rPr>
          <w:sz w:val="20"/>
          <w:szCs w:val="20"/>
        </w:rPr>
        <w:t>brevirostris</w:t>
      </w:r>
      <w:proofErr w:type="spellEnd"/>
      <w:r>
        <w:rPr>
          <w:sz w:val="20"/>
          <w:szCs w:val="20"/>
        </w:rPr>
        <w:t>) and Ganges River dolphins (</w:t>
      </w:r>
      <w:proofErr w:type="spellStart"/>
      <w:r>
        <w:rPr>
          <w:sz w:val="20"/>
          <w:szCs w:val="20"/>
        </w:rPr>
        <w:t>Plantanista</w:t>
      </w:r>
      <w:proofErr w:type="spellEnd"/>
      <w:r>
        <w:rPr>
          <w:sz w:val="20"/>
          <w:szCs w:val="20"/>
        </w:rPr>
        <w:t xml:space="preserve"> </w:t>
      </w:r>
      <w:proofErr w:type="spellStart"/>
      <w:r>
        <w:rPr>
          <w:sz w:val="20"/>
          <w:szCs w:val="20"/>
        </w:rPr>
        <w:t>gangetica</w:t>
      </w:r>
      <w:proofErr w:type="spellEnd"/>
      <w:r>
        <w:rPr>
          <w:sz w:val="20"/>
          <w:szCs w:val="20"/>
        </w:rPr>
        <w:t xml:space="preserve"> </w:t>
      </w:r>
      <w:proofErr w:type="spellStart"/>
      <w:r>
        <w:rPr>
          <w:sz w:val="20"/>
          <w:szCs w:val="20"/>
        </w:rPr>
        <w:t>gangetica</w:t>
      </w:r>
      <w:proofErr w:type="spellEnd"/>
      <w:r>
        <w:rPr>
          <w:sz w:val="20"/>
          <w:szCs w:val="20"/>
        </w:rPr>
        <w:t>) estimated using concurrent counts made by independent teams in waterways of the Sundarbans mangrove forest in Bangladesh Marine Mammal Science 22(3):527 – 547</w:t>
      </w:r>
    </w:p>
    <w:p w:rsidR="00E55025" w:rsidRDefault="00E55025" w:rsidP="00E55025">
      <w:pPr>
        <w:spacing w:after="60"/>
        <w:ind w:left="284" w:hanging="284"/>
        <w:contextualSpacing/>
        <w:jc w:val="both"/>
        <w:rPr>
          <w:sz w:val="20"/>
          <w:szCs w:val="20"/>
        </w:rPr>
      </w:pPr>
      <w:r>
        <w:rPr>
          <w:sz w:val="20"/>
          <w:szCs w:val="20"/>
        </w:rPr>
        <w:t xml:space="preserve">Brian D. Smith, Mya Than Tun, Aung </w:t>
      </w:r>
      <w:proofErr w:type="spellStart"/>
      <w:r>
        <w:rPr>
          <w:sz w:val="20"/>
          <w:szCs w:val="20"/>
        </w:rPr>
        <w:t>Myo</w:t>
      </w:r>
      <w:proofErr w:type="spellEnd"/>
      <w:r>
        <w:rPr>
          <w:sz w:val="20"/>
          <w:szCs w:val="20"/>
        </w:rPr>
        <w:t xml:space="preserve"> Chit, Han Win, </w:t>
      </w:r>
      <w:proofErr w:type="spellStart"/>
      <w:r>
        <w:rPr>
          <w:sz w:val="20"/>
          <w:szCs w:val="20"/>
        </w:rPr>
        <w:t>Thida</w:t>
      </w:r>
      <w:proofErr w:type="spellEnd"/>
      <w:r>
        <w:rPr>
          <w:sz w:val="20"/>
          <w:szCs w:val="20"/>
        </w:rPr>
        <w:t xml:space="preserve"> Moe. 2009. Catch composition and conservation management of a human–dolphin cooperative cast-net fishery in the Ayeyarwady River, Myanmar, Biological Conservation, Volume 142, Issue 5, 2009, Pages 1042-1049,</w:t>
      </w:r>
    </w:p>
    <w:p w:rsidR="00E55025" w:rsidRDefault="00E55025" w:rsidP="00E55025">
      <w:pPr>
        <w:spacing w:after="60"/>
        <w:ind w:left="284" w:hanging="284"/>
        <w:contextualSpacing/>
        <w:jc w:val="both"/>
        <w:rPr>
          <w:rFonts w:eastAsia="Times New Roman"/>
          <w:iCs/>
          <w:sz w:val="20"/>
          <w:szCs w:val="20"/>
          <w:lang w:eastAsia="en-GB"/>
        </w:rPr>
      </w:pPr>
      <w:proofErr w:type="spellStart"/>
      <w:r>
        <w:rPr>
          <w:sz w:val="20"/>
          <w:szCs w:val="20"/>
        </w:rPr>
        <w:t>D’Lima</w:t>
      </w:r>
      <w:proofErr w:type="spellEnd"/>
      <w:r>
        <w:rPr>
          <w:sz w:val="20"/>
          <w:szCs w:val="20"/>
        </w:rPr>
        <w:t xml:space="preserve">, D.F. 2014. Striking a balance between fishing, tourism and dolphin conservation at </w:t>
      </w:r>
      <w:proofErr w:type="spellStart"/>
      <w:r>
        <w:rPr>
          <w:sz w:val="20"/>
          <w:szCs w:val="20"/>
        </w:rPr>
        <w:t>Chilika</w:t>
      </w:r>
      <w:proofErr w:type="spellEnd"/>
      <w:r>
        <w:rPr>
          <w:sz w:val="20"/>
          <w:szCs w:val="20"/>
        </w:rPr>
        <w:t xml:space="preserve"> Lagoon, India. PhD thesis, James Cook University</w:t>
      </w:r>
    </w:p>
    <w:p w:rsidR="00E55025" w:rsidRDefault="00E55025" w:rsidP="00E55025">
      <w:pPr>
        <w:adjustRightInd w:val="0"/>
        <w:spacing w:after="60"/>
        <w:ind w:left="284" w:hanging="284"/>
        <w:jc w:val="both"/>
        <w:rPr>
          <w:rFonts w:ascii="Helvetica" w:hAnsi="Helvetica" w:cs="Helvetica"/>
          <w:sz w:val="20"/>
          <w:szCs w:val="20"/>
        </w:rPr>
      </w:pPr>
      <w:proofErr w:type="spellStart"/>
      <w:r>
        <w:rPr>
          <w:rFonts w:ascii="Helvetica" w:hAnsi="Helvetica" w:cs="Helvetica"/>
          <w:sz w:val="20"/>
          <w:szCs w:val="20"/>
        </w:rPr>
        <w:t>Dolar</w:t>
      </w:r>
      <w:proofErr w:type="spellEnd"/>
      <w:r>
        <w:rPr>
          <w:rFonts w:ascii="Helvetica" w:hAnsi="Helvetica" w:cs="Helvetica"/>
          <w:sz w:val="20"/>
          <w:szCs w:val="20"/>
        </w:rPr>
        <w:t xml:space="preserve">, M.L.L., Perrin, W.F., </w:t>
      </w:r>
      <w:proofErr w:type="spellStart"/>
      <w:r>
        <w:rPr>
          <w:rFonts w:ascii="Helvetica" w:hAnsi="Helvetica" w:cs="Helvetica"/>
          <w:sz w:val="20"/>
          <w:szCs w:val="20"/>
        </w:rPr>
        <w:t>Gaudiano</w:t>
      </w:r>
      <w:proofErr w:type="spellEnd"/>
      <w:r>
        <w:rPr>
          <w:rFonts w:ascii="Helvetica" w:hAnsi="Helvetica" w:cs="Helvetica"/>
          <w:sz w:val="20"/>
          <w:szCs w:val="20"/>
        </w:rPr>
        <w:t xml:space="preserve">, J.P., </w:t>
      </w:r>
      <w:proofErr w:type="spellStart"/>
      <w:r>
        <w:rPr>
          <w:rFonts w:ascii="Helvetica" w:hAnsi="Helvetica" w:cs="Helvetica"/>
          <w:sz w:val="20"/>
          <w:szCs w:val="20"/>
        </w:rPr>
        <w:t>Yaptinchay</w:t>
      </w:r>
      <w:proofErr w:type="spellEnd"/>
      <w:r>
        <w:rPr>
          <w:rFonts w:ascii="Helvetica" w:hAnsi="Helvetica" w:cs="Helvetica"/>
          <w:sz w:val="20"/>
          <w:szCs w:val="20"/>
        </w:rPr>
        <w:t xml:space="preserve">, A.A.S.P. and Tan, J.M.L. 2002. Preliminary report </w:t>
      </w:r>
      <w:proofErr w:type="spellStart"/>
      <w:r>
        <w:rPr>
          <w:rFonts w:ascii="Helvetica" w:hAnsi="Helvetica" w:cs="Helvetica"/>
          <w:sz w:val="20"/>
          <w:szCs w:val="20"/>
        </w:rPr>
        <w:t>ona</w:t>
      </w:r>
      <w:proofErr w:type="spellEnd"/>
      <w:r>
        <w:rPr>
          <w:rFonts w:ascii="Helvetica" w:hAnsi="Helvetica" w:cs="Helvetica"/>
          <w:sz w:val="20"/>
          <w:szCs w:val="20"/>
        </w:rPr>
        <w:t xml:space="preserve"> small estuarine population of Irrawaddy Dolphins </w:t>
      </w:r>
      <w:proofErr w:type="spellStart"/>
      <w:r>
        <w:rPr>
          <w:rFonts w:ascii="Helvetica" w:hAnsi="Helvetica" w:cs="Helvetica"/>
          <w:sz w:val="20"/>
          <w:szCs w:val="20"/>
        </w:rPr>
        <w:t>Orcaella</w:t>
      </w:r>
      <w:proofErr w:type="spellEnd"/>
      <w:r>
        <w:rPr>
          <w:rFonts w:ascii="Helvetica" w:hAnsi="Helvetica" w:cs="Helvetica"/>
          <w:sz w:val="20"/>
          <w:szCs w:val="20"/>
        </w:rPr>
        <w:t xml:space="preserve"> </w:t>
      </w:r>
      <w:proofErr w:type="spellStart"/>
      <w:r>
        <w:rPr>
          <w:rFonts w:ascii="Helvetica" w:hAnsi="Helvetica" w:cs="Helvetica"/>
          <w:sz w:val="20"/>
          <w:szCs w:val="20"/>
        </w:rPr>
        <w:t>brevirostris</w:t>
      </w:r>
      <w:proofErr w:type="spellEnd"/>
      <w:r>
        <w:rPr>
          <w:rFonts w:ascii="Helvetica" w:hAnsi="Helvetica" w:cs="Helvetica"/>
          <w:sz w:val="20"/>
          <w:szCs w:val="20"/>
        </w:rPr>
        <w:t xml:space="preserve"> in the Philippines. Raffles Bulletin of Zoology, Supplement: 155–160.</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Hines, E., Strindberg, S., </w:t>
      </w:r>
      <w:proofErr w:type="spellStart"/>
      <w:r>
        <w:rPr>
          <w:rFonts w:ascii="Helvetica" w:hAnsi="Helvetica" w:cs="Helvetica"/>
          <w:sz w:val="20"/>
          <w:szCs w:val="20"/>
        </w:rPr>
        <w:t>Junchompoo</w:t>
      </w:r>
      <w:proofErr w:type="spellEnd"/>
      <w:r>
        <w:rPr>
          <w:rFonts w:ascii="Helvetica" w:hAnsi="Helvetica" w:cs="Helvetica"/>
          <w:sz w:val="20"/>
          <w:szCs w:val="20"/>
        </w:rPr>
        <w:t xml:space="preserve">, C., </w:t>
      </w:r>
      <w:proofErr w:type="spellStart"/>
      <w:r>
        <w:rPr>
          <w:rFonts w:ascii="Helvetica" w:hAnsi="Helvetica" w:cs="Helvetica"/>
          <w:sz w:val="20"/>
          <w:szCs w:val="20"/>
        </w:rPr>
        <w:t>Ponnampalam</w:t>
      </w:r>
      <w:proofErr w:type="spellEnd"/>
      <w:r>
        <w:rPr>
          <w:rFonts w:ascii="Helvetica" w:hAnsi="Helvetica" w:cs="Helvetica"/>
          <w:sz w:val="20"/>
          <w:szCs w:val="20"/>
        </w:rPr>
        <w:t xml:space="preserve">, L.S., </w:t>
      </w:r>
      <w:proofErr w:type="spellStart"/>
      <w:r>
        <w:rPr>
          <w:rFonts w:ascii="Helvetica" w:hAnsi="Helvetica" w:cs="Helvetica"/>
          <w:sz w:val="20"/>
          <w:szCs w:val="20"/>
        </w:rPr>
        <w:t>Ilangakoon</w:t>
      </w:r>
      <w:proofErr w:type="spellEnd"/>
      <w:r>
        <w:rPr>
          <w:rFonts w:ascii="Helvetica" w:hAnsi="Helvetica" w:cs="Helvetica"/>
          <w:sz w:val="20"/>
          <w:szCs w:val="20"/>
        </w:rPr>
        <w:t xml:space="preserve">, A.D., Jackson-Ricketts, J. </w:t>
      </w:r>
      <w:proofErr w:type="spellStart"/>
      <w:r>
        <w:rPr>
          <w:rFonts w:ascii="Helvetica" w:hAnsi="Helvetica" w:cs="Helvetica"/>
          <w:sz w:val="20"/>
          <w:szCs w:val="20"/>
        </w:rPr>
        <w:t>andMananunsap</w:t>
      </w:r>
      <w:proofErr w:type="spellEnd"/>
      <w:r>
        <w:rPr>
          <w:rFonts w:ascii="Helvetica" w:hAnsi="Helvetica" w:cs="Helvetica"/>
          <w:sz w:val="20"/>
          <w:szCs w:val="20"/>
        </w:rPr>
        <w:t>, S. 2015. Line transect estimates of Irrawaddy dolphin abundance along the eastern Gulf Coast of Thailand. Frontiers in Marine Science 2: 63.</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IUCN Marine Mammal Protected Areas Task Force. 2019. Important Marine Mammal</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Area Regional Workshop for the North East Indian Ocean and South East Asian Seas: Final Report of the Third IMMA Workshop, Kota Kinabalu, Sabah, Malaysia, 12-16 March 2018.</w:t>
      </w:r>
    </w:p>
    <w:p w:rsidR="00E55025" w:rsidRDefault="00E55025" w:rsidP="00E55025">
      <w:pPr>
        <w:adjustRightInd w:val="0"/>
        <w:spacing w:after="60"/>
        <w:ind w:left="284" w:hanging="284"/>
        <w:jc w:val="both"/>
        <w:rPr>
          <w:rFonts w:ascii="Helvetica" w:hAnsi="Helvetica" w:cs="Helvetica"/>
          <w:sz w:val="20"/>
          <w:szCs w:val="20"/>
        </w:rPr>
      </w:pPr>
      <w:proofErr w:type="spellStart"/>
      <w:r>
        <w:rPr>
          <w:rFonts w:ascii="Helvetica" w:hAnsi="Helvetica" w:cs="Helvetica"/>
          <w:sz w:val="20"/>
          <w:szCs w:val="20"/>
        </w:rPr>
        <w:t>Junchompoo</w:t>
      </w:r>
      <w:proofErr w:type="spellEnd"/>
      <w:r>
        <w:rPr>
          <w:rFonts w:ascii="Helvetica" w:hAnsi="Helvetica" w:cs="Helvetica"/>
          <w:sz w:val="20"/>
          <w:szCs w:val="20"/>
        </w:rPr>
        <w:t>, C. et al. 2014. Population and conservation status of Irrawaddy dolphins (</w:t>
      </w:r>
      <w:proofErr w:type="spellStart"/>
      <w:r>
        <w:rPr>
          <w:rFonts w:ascii="Helvetica" w:hAnsi="Helvetica" w:cs="Helvetica"/>
          <w:sz w:val="20"/>
          <w:szCs w:val="20"/>
        </w:rPr>
        <w:t>Orcaella</w:t>
      </w:r>
      <w:proofErr w:type="spellEnd"/>
      <w:r>
        <w:rPr>
          <w:rFonts w:ascii="Helvetica" w:hAnsi="Helvetica" w:cs="Helvetica"/>
          <w:sz w:val="20"/>
          <w:szCs w:val="20"/>
        </w:rPr>
        <w:t xml:space="preserve"> </w:t>
      </w:r>
      <w:proofErr w:type="spellStart"/>
      <w:r>
        <w:rPr>
          <w:rFonts w:ascii="Helvetica" w:hAnsi="Helvetica" w:cs="Helvetica"/>
          <w:sz w:val="20"/>
          <w:szCs w:val="20"/>
        </w:rPr>
        <w:t>brevirostris</w:t>
      </w:r>
      <w:proofErr w:type="spellEnd"/>
      <w:r>
        <w:rPr>
          <w:rFonts w:ascii="Helvetica" w:hAnsi="Helvetica" w:cs="Helvetica"/>
          <w:sz w:val="20"/>
          <w:szCs w:val="20"/>
        </w:rPr>
        <w:t xml:space="preserve">) in </w:t>
      </w:r>
      <w:proofErr w:type="spellStart"/>
      <w:r>
        <w:rPr>
          <w:rFonts w:ascii="Helvetica" w:hAnsi="Helvetica" w:cs="Helvetica"/>
          <w:sz w:val="20"/>
          <w:szCs w:val="20"/>
        </w:rPr>
        <w:t>Trat</w:t>
      </w:r>
      <w:proofErr w:type="spellEnd"/>
      <w:r>
        <w:rPr>
          <w:rFonts w:ascii="Helvetica" w:hAnsi="Helvetica" w:cs="Helvetica"/>
          <w:sz w:val="20"/>
          <w:szCs w:val="20"/>
        </w:rPr>
        <w:t xml:space="preserve"> Bay, </w:t>
      </w:r>
      <w:proofErr w:type="spellStart"/>
      <w:r>
        <w:rPr>
          <w:rFonts w:ascii="Helvetica" w:hAnsi="Helvetica" w:cs="Helvetica"/>
          <w:sz w:val="20"/>
          <w:szCs w:val="20"/>
        </w:rPr>
        <w:t>Trat</w:t>
      </w:r>
      <w:proofErr w:type="spellEnd"/>
      <w:r>
        <w:rPr>
          <w:rFonts w:ascii="Helvetica" w:hAnsi="Helvetica" w:cs="Helvetica"/>
          <w:sz w:val="20"/>
          <w:szCs w:val="20"/>
        </w:rPr>
        <w:t xml:space="preserve"> Province, Thailand. — Proc. Des. </w:t>
      </w:r>
      <w:proofErr w:type="spellStart"/>
      <w:r>
        <w:rPr>
          <w:rFonts w:ascii="Helvetica" w:hAnsi="Helvetica" w:cs="Helvetica"/>
          <w:sz w:val="20"/>
          <w:szCs w:val="20"/>
        </w:rPr>
        <w:t>Symp</w:t>
      </w:r>
      <w:proofErr w:type="spellEnd"/>
      <w:r>
        <w:rPr>
          <w:rFonts w:ascii="Helvetica" w:hAnsi="Helvetica" w:cs="Helvetica"/>
          <w:sz w:val="20"/>
          <w:szCs w:val="20"/>
        </w:rPr>
        <w:t xml:space="preserve">. </w:t>
      </w:r>
      <w:proofErr w:type="spellStart"/>
      <w:r>
        <w:rPr>
          <w:rFonts w:ascii="Helvetica" w:hAnsi="Helvetica" w:cs="Helvetica"/>
          <w:sz w:val="20"/>
          <w:szCs w:val="20"/>
        </w:rPr>
        <w:t>Conserv</w:t>
      </w:r>
      <w:proofErr w:type="spellEnd"/>
      <w:r>
        <w:rPr>
          <w:rFonts w:ascii="Helvetica" w:hAnsi="Helvetica" w:cs="Helvetica"/>
          <w:sz w:val="20"/>
          <w:szCs w:val="20"/>
        </w:rPr>
        <w:t xml:space="preserve">. Ecosyst.2: 32–38. </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Kannan, K., K. </w:t>
      </w:r>
      <w:proofErr w:type="spellStart"/>
      <w:r>
        <w:rPr>
          <w:rFonts w:ascii="Helvetica" w:hAnsi="Helvetica" w:cs="Helvetica"/>
          <w:sz w:val="20"/>
          <w:szCs w:val="20"/>
        </w:rPr>
        <w:t>Ramu</w:t>
      </w:r>
      <w:proofErr w:type="spellEnd"/>
      <w:r>
        <w:rPr>
          <w:rFonts w:ascii="Helvetica" w:hAnsi="Helvetica" w:cs="Helvetica"/>
          <w:sz w:val="20"/>
          <w:szCs w:val="20"/>
        </w:rPr>
        <w:t xml:space="preserve">, N. </w:t>
      </w:r>
      <w:proofErr w:type="spellStart"/>
      <w:r>
        <w:rPr>
          <w:rFonts w:ascii="Helvetica" w:hAnsi="Helvetica" w:cs="Helvetica"/>
          <w:sz w:val="20"/>
          <w:szCs w:val="20"/>
        </w:rPr>
        <w:t>Kajiwara</w:t>
      </w:r>
      <w:proofErr w:type="spellEnd"/>
      <w:r>
        <w:rPr>
          <w:rFonts w:ascii="Helvetica" w:hAnsi="Helvetica" w:cs="Helvetica"/>
          <w:sz w:val="20"/>
          <w:szCs w:val="20"/>
        </w:rPr>
        <w:t>, R. K. Sinha, and S. Tanabe. 2005. Organochlorine</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pesticides, polychlorinated biphenyls, and polybrominated diphenyl ethers in Irrawaddy dolphins from India. Archives of Environmental Contamination &amp; Toxicology 49:415-420.</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Khalifa, M. A. et al. 2014. Preliminary study on the distribution of Irrawaddy dolphin, </w:t>
      </w:r>
      <w:proofErr w:type="spellStart"/>
      <w:r>
        <w:rPr>
          <w:rFonts w:ascii="Helvetica" w:hAnsi="Helvetica" w:cs="Helvetica"/>
          <w:sz w:val="20"/>
          <w:szCs w:val="20"/>
        </w:rPr>
        <w:t>Orcaella</w:t>
      </w:r>
      <w:proofErr w:type="spellEnd"/>
      <w:r>
        <w:rPr>
          <w:rFonts w:ascii="Helvetica" w:hAnsi="Helvetica" w:cs="Helvetica"/>
          <w:sz w:val="20"/>
          <w:szCs w:val="20"/>
        </w:rPr>
        <w:t xml:space="preserve"> </w:t>
      </w:r>
      <w:proofErr w:type="spellStart"/>
      <w:r>
        <w:rPr>
          <w:rFonts w:ascii="Helvetica" w:hAnsi="Helvetica" w:cs="Helvetica"/>
          <w:sz w:val="20"/>
          <w:szCs w:val="20"/>
        </w:rPr>
        <w:t>brevirostris</w:t>
      </w:r>
      <w:proofErr w:type="spellEnd"/>
      <w:r>
        <w:rPr>
          <w:rFonts w:ascii="Helvetica" w:hAnsi="Helvetica" w:cs="Helvetica"/>
          <w:sz w:val="20"/>
          <w:szCs w:val="20"/>
        </w:rPr>
        <w:t xml:space="preserve">, in Banten Bay. — Open J. Mar. Sci.4: 338–343. </w:t>
      </w:r>
    </w:p>
    <w:p w:rsidR="00E55025" w:rsidRDefault="00E55025" w:rsidP="00E55025">
      <w:pPr>
        <w:adjustRightInd w:val="0"/>
        <w:spacing w:after="60"/>
        <w:ind w:left="284" w:hanging="284"/>
        <w:jc w:val="both"/>
        <w:rPr>
          <w:rFonts w:ascii="Helvetica" w:hAnsi="Helvetica" w:cs="Helvetica"/>
          <w:sz w:val="20"/>
          <w:szCs w:val="20"/>
        </w:rPr>
      </w:pPr>
      <w:proofErr w:type="spellStart"/>
      <w:r>
        <w:rPr>
          <w:rFonts w:ascii="Helvetica" w:hAnsi="Helvetica" w:cs="Helvetica"/>
          <w:sz w:val="20"/>
          <w:szCs w:val="20"/>
        </w:rPr>
        <w:t>Kreb</w:t>
      </w:r>
      <w:proofErr w:type="spellEnd"/>
      <w:r>
        <w:rPr>
          <w:rFonts w:ascii="Helvetica" w:hAnsi="Helvetica" w:cs="Helvetica"/>
          <w:sz w:val="20"/>
          <w:szCs w:val="20"/>
        </w:rPr>
        <w:t xml:space="preserve">, D., </w:t>
      </w:r>
      <w:proofErr w:type="spellStart"/>
      <w:r>
        <w:rPr>
          <w:rFonts w:ascii="Helvetica" w:hAnsi="Helvetica" w:cs="Helvetica"/>
          <w:sz w:val="20"/>
          <w:szCs w:val="20"/>
        </w:rPr>
        <w:t>Budiono</w:t>
      </w:r>
      <w:proofErr w:type="spellEnd"/>
      <w:r>
        <w:rPr>
          <w:rFonts w:ascii="Helvetica" w:hAnsi="Helvetica" w:cs="Helvetica"/>
          <w:sz w:val="20"/>
          <w:szCs w:val="20"/>
        </w:rPr>
        <w:t xml:space="preserve"> and </w:t>
      </w:r>
      <w:proofErr w:type="spellStart"/>
      <w:r>
        <w:rPr>
          <w:rFonts w:ascii="Helvetica" w:hAnsi="Helvetica" w:cs="Helvetica"/>
          <w:sz w:val="20"/>
          <w:szCs w:val="20"/>
        </w:rPr>
        <w:t>Syachraini</w:t>
      </w:r>
      <w:proofErr w:type="spellEnd"/>
      <w:r>
        <w:rPr>
          <w:rFonts w:ascii="Helvetica" w:hAnsi="Helvetica" w:cs="Helvetica"/>
          <w:sz w:val="20"/>
          <w:szCs w:val="20"/>
        </w:rPr>
        <w:t xml:space="preserve">. 2007. Status and Conservation of Irrawaddy Dolphins </w:t>
      </w:r>
      <w:proofErr w:type="spellStart"/>
      <w:r>
        <w:rPr>
          <w:rFonts w:ascii="Helvetica" w:hAnsi="Helvetica" w:cs="Helvetica"/>
          <w:sz w:val="20"/>
          <w:szCs w:val="20"/>
        </w:rPr>
        <w:t>Orcaella</w:t>
      </w:r>
      <w:proofErr w:type="spellEnd"/>
    </w:p>
    <w:p w:rsidR="00E55025" w:rsidRDefault="00E55025" w:rsidP="00E55025">
      <w:pPr>
        <w:adjustRightInd w:val="0"/>
        <w:spacing w:after="60"/>
        <w:ind w:left="284" w:hanging="284"/>
        <w:jc w:val="both"/>
        <w:rPr>
          <w:rFonts w:ascii="Helvetica" w:hAnsi="Helvetica" w:cs="Helvetica"/>
          <w:sz w:val="20"/>
          <w:szCs w:val="20"/>
        </w:rPr>
      </w:pPr>
      <w:proofErr w:type="spellStart"/>
      <w:r>
        <w:rPr>
          <w:rFonts w:ascii="Helvetica" w:hAnsi="Helvetica" w:cs="Helvetica"/>
          <w:sz w:val="20"/>
          <w:szCs w:val="20"/>
        </w:rPr>
        <w:t>brevirostris</w:t>
      </w:r>
      <w:proofErr w:type="spellEnd"/>
      <w:r>
        <w:rPr>
          <w:rFonts w:ascii="Helvetica" w:hAnsi="Helvetica" w:cs="Helvetica"/>
          <w:sz w:val="20"/>
          <w:szCs w:val="20"/>
        </w:rPr>
        <w:t xml:space="preserve"> in the Mahakam River of Indonesia. In: B.D. Smith, R.G. Shore, and A. Lopez. (eds), </w:t>
      </w:r>
      <w:proofErr w:type="spellStart"/>
      <w:r>
        <w:rPr>
          <w:rFonts w:ascii="Helvetica" w:hAnsi="Helvetica" w:cs="Helvetica"/>
          <w:sz w:val="20"/>
          <w:szCs w:val="20"/>
        </w:rPr>
        <w:t>Statusand</w:t>
      </w:r>
      <w:proofErr w:type="spellEnd"/>
      <w:r>
        <w:rPr>
          <w:rFonts w:ascii="Helvetica" w:hAnsi="Helvetica" w:cs="Helvetica"/>
          <w:sz w:val="20"/>
          <w:szCs w:val="20"/>
        </w:rPr>
        <w:t xml:space="preserve"> conservation of freshwater populations of Irrawaddy dolphins, pp. 53-66.</w:t>
      </w:r>
    </w:p>
    <w:p w:rsidR="00E55025" w:rsidRDefault="00E55025" w:rsidP="00E55025">
      <w:pPr>
        <w:adjustRightInd w:val="0"/>
        <w:spacing w:after="60"/>
        <w:ind w:left="284" w:hanging="284"/>
        <w:jc w:val="both"/>
        <w:rPr>
          <w:rFonts w:ascii="Helvetica" w:hAnsi="Helvetica" w:cs="Helvetica"/>
          <w:sz w:val="20"/>
          <w:szCs w:val="20"/>
        </w:rPr>
      </w:pPr>
      <w:proofErr w:type="spellStart"/>
      <w:r>
        <w:rPr>
          <w:rFonts w:ascii="Helvetica" w:hAnsi="Helvetica" w:cs="Helvetica"/>
          <w:sz w:val="20"/>
          <w:szCs w:val="20"/>
        </w:rPr>
        <w:lastRenderedPageBreak/>
        <w:t>Kreb</w:t>
      </w:r>
      <w:proofErr w:type="spellEnd"/>
      <w:r>
        <w:rPr>
          <w:rFonts w:ascii="Helvetica" w:hAnsi="Helvetica" w:cs="Helvetica"/>
          <w:sz w:val="20"/>
          <w:szCs w:val="20"/>
        </w:rPr>
        <w:t xml:space="preserve">, D., Reeves, R.R., Thomas, P.O., </w:t>
      </w:r>
      <w:proofErr w:type="spellStart"/>
      <w:r>
        <w:rPr>
          <w:rFonts w:ascii="Helvetica" w:hAnsi="Helvetica" w:cs="Helvetica"/>
          <w:sz w:val="20"/>
          <w:szCs w:val="20"/>
        </w:rPr>
        <w:t>Braulik</w:t>
      </w:r>
      <w:proofErr w:type="spellEnd"/>
      <w:r>
        <w:rPr>
          <w:rFonts w:ascii="Helvetica" w:hAnsi="Helvetica" w:cs="Helvetica"/>
          <w:sz w:val="20"/>
          <w:szCs w:val="20"/>
        </w:rPr>
        <w:t xml:space="preserve">, G.T. and Smith, B.D. (eds.). 2010. Establishing </w:t>
      </w:r>
      <w:proofErr w:type="spellStart"/>
      <w:r>
        <w:rPr>
          <w:rFonts w:ascii="Helvetica" w:hAnsi="Helvetica" w:cs="Helvetica"/>
          <w:sz w:val="20"/>
          <w:szCs w:val="20"/>
        </w:rPr>
        <w:t>protectedareas</w:t>
      </w:r>
      <w:proofErr w:type="spellEnd"/>
      <w:r>
        <w:rPr>
          <w:rFonts w:ascii="Helvetica" w:hAnsi="Helvetica" w:cs="Helvetica"/>
          <w:sz w:val="20"/>
          <w:szCs w:val="20"/>
        </w:rPr>
        <w:t xml:space="preserve"> for Asian freshwater cetaceans: Freshwater cetaceans as flagship species for integrated </w:t>
      </w:r>
      <w:proofErr w:type="spellStart"/>
      <w:r>
        <w:rPr>
          <w:rFonts w:ascii="Helvetica" w:hAnsi="Helvetica" w:cs="Helvetica"/>
          <w:sz w:val="20"/>
          <w:szCs w:val="20"/>
        </w:rPr>
        <w:t>riverconservation</w:t>
      </w:r>
      <w:proofErr w:type="spellEnd"/>
      <w:r>
        <w:rPr>
          <w:rFonts w:ascii="Helvetica" w:hAnsi="Helvetica" w:cs="Helvetica"/>
          <w:sz w:val="20"/>
          <w:szCs w:val="20"/>
        </w:rPr>
        <w:t xml:space="preserve"> management, </w:t>
      </w:r>
      <w:proofErr w:type="spellStart"/>
      <w:r>
        <w:rPr>
          <w:rFonts w:ascii="Helvetica" w:hAnsi="Helvetica" w:cs="Helvetica"/>
          <w:sz w:val="20"/>
          <w:szCs w:val="20"/>
        </w:rPr>
        <w:t>Samarinda</w:t>
      </w:r>
      <w:proofErr w:type="spellEnd"/>
      <w:r>
        <w:rPr>
          <w:rFonts w:ascii="Helvetica" w:hAnsi="Helvetica" w:cs="Helvetica"/>
          <w:sz w:val="20"/>
          <w:szCs w:val="20"/>
        </w:rPr>
        <w:t xml:space="preserve">, 19-24 October 2009. Final Workshop Report, </w:t>
      </w:r>
      <w:proofErr w:type="spellStart"/>
      <w:r>
        <w:rPr>
          <w:rFonts w:ascii="Helvetica" w:hAnsi="Helvetica" w:cs="Helvetica"/>
          <w:sz w:val="20"/>
          <w:szCs w:val="20"/>
        </w:rPr>
        <w:t>YayasanKonservasi</w:t>
      </w:r>
      <w:proofErr w:type="spellEnd"/>
      <w:r>
        <w:rPr>
          <w:rFonts w:ascii="Helvetica" w:hAnsi="Helvetica" w:cs="Helvetica"/>
          <w:sz w:val="20"/>
          <w:szCs w:val="20"/>
        </w:rPr>
        <w:t xml:space="preserve"> RASI, </w:t>
      </w:r>
      <w:proofErr w:type="spellStart"/>
      <w:r>
        <w:rPr>
          <w:rFonts w:ascii="Helvetica" w:hAnsi="Helvetica" w:cs="Helvetica"/>
          <w:sz w:val="20"/>
          <w:szCs w:val="20"/>
        </w:rPr>
        <w:t>Samarinda</w:t>
      </w:r>
      <w:proofErr w:type="spellEnd"/>
      <w:r>
        <w:rPr>
          <w:rFonts w:ascii="Helvetica" w:hAnsi="Helvetica" w:cs="Helvetica"/>
          <w:sz w:val="20"/>
          <w:szCs w:val="20"/>
        </w:rPr>
        <w:t>, Indonesia.</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MMPATF - Marine Mammal Protected Areas Task Force (2019) Important Marine Mammal Area Regional Workshop for the North East Indian Ocean and South East Asian Seas: Final Report of the Third IMMA Workshop, Kota Kinabalu, Sabah, Malaysia, 12-16 March 2018</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Minton, G., Smith, B.D., </w:t>
      </w:r>
      <w:proofErr w:type="spellStart"/>
      <w:r>
        <w:rPr>
          <w:rFonts w:ascii="Helvetica" w:hAnsi="Helvetica" w:cs="Helvetica"/>
          <w:sz w:val="20"/>
          <w:szCs w:val="20"/>
        </w:rPr>
        <w:t>Braulik</w:t>
      </w:r>
      <w:proofErr w:type="spellEnd"/>
      <w:r>
        <w:rPr>
          <w:rFonts w:ascii="Helvetica" w:hAnsi="Helvetica" w:cs="Helvetica"/>
          <w:sz w:val="20"/>
          <w:szCs w:val="20"/>
        </w:rPr>
        <w:t xml:space="preserve">, G.T., </w:t>
      </w:r>
      <w:proofErr w:type="spellStart"/>
      <w:r>
        <w:rPr>
          <w:rFonts w:ascii="Helvetica" w:hAnsi="Helvetica" w:cs="Helvetica"/>
          <w:sz w:val="20"/>
          <w:szCs w:val="20"/>
        </w:rPr>
        <w:t>Kreb</w:t>
      </w:r>
      <w:proofErr w:type="spellEnd"/>
      <w:r>
        <w:rPr>
          <w:rFonts w:ascii="Helvetica" w:hAnsi="Helvetica" w:cs="Helvetica"/>
          <w:sz w:val="20"/>
          <w:szCs w:val="20"/>
        </w:rPr>
        <w:t xml:space="preserve">, D., Sutaria, D. &amp; Reeves, R. 2017. </w:t>
      </w:r>
      <w:proofErr w:type="spellStart"/>
      <w:r>
        <w:rPr>
          <w:rFonts w:ascii="Helvetica" w:hAnsi="Helvetica" w:cs="Helvetica"/>
          <w:sz w:val="20"/>
          <w:szCs w:val="20"/>
        </w:rPr>
        <w:t>Orcaella</w:t>
      </w:r>
      <w:proofErr w:type="spellEnd"/>
      <w:r>
        <w:rPr>
          <w:rFonts w:ascii="Helvetica" w:hAnsi="Helvetica" w:cs="Helvetica"/>
          <w:sz w:val="20"/>
          <w:szCs w:val="20"/>
        </w:rPr>
        <w:t xml:space="preserve"> </w:t>
      </w:r>
      <w:proofErr w:type="spellStart"/>
      <w:r>
        <w:rPr>
          <w:rFonts w:ascii="Helvetica" w:hAnsi="Helvetica" w:cs="Helvetica"/>
          <w:sz w:val="20"/>
          <w:szCs w:val="20"/>
        </w:rPr>
        <w:t>brevirostris</w:t>
      </w:r>
      <w:proofErr w:type="spellEnd"/>
      <w:r>
        <w:rPr>
          <w:rFonts w:ascii="Helvetica" w:hAnsi="Helvetica" w:cs="Helvetica"/>
          <w:sz w:val="20"/>
          <w:szCs w:val="20"/>
        </w:rPr>
        <w:t xml:space="preserve"> (errata version published in 2018). The IUCN Red List of Threatened Species 2017: e.T15419A123790805. http://dx.doi.org/10.2305/IUCN.UK.2017-3.RLTS.T15419A50367860.en. Downloaded on 06 June 2019.</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Minton, G., Peter, C., </w:t>
      </w:r>
      <w:proofErr w:type="spellStart"/>
      <w:r>
        <w:rPr>
          <w:rFonts w:ascii="Helvetica" w:hAnsi="Helvetica" w:cs="Helvetica"/>
          <w:sz w:val="20"/>
          <w:szCs w:val="20"/>
        </w:rPr>
        <w:t>Zulkifli</w:t>
      </w:r>
      <w:proofErr w:type="spellEnd"/>
      <w:r>
        <w:rPr>
          <w:rFonts w:ascii="Helvetica" w:hAnsi="Helvetica" w:cs="Helvetica"/>
          <w:sz w:val="20"/>
          <w:szCs w:val="20"/>
        </w:rPr>
        <w:t xml:space="preserve"> </w:t>
      </w:r>
      <w:proofErr w:type="spellStart"/>
      <w:r>
        <w:rPr>
          <w:rFonts w:ascii="Helvetica" w:hAnsi="Helvetica" w:cs="Helvetica"/>
          <w:sz w:val="20"/>
          <w:szCs w:val="20"/>
        </w:rPr>
        <w:t>Poh</w:t>
      </w:r>
      <w:proofErr w:type="spellEnd"/>
      <w:r>
        <w:rPr>
          <w:rFonts w:ascii="Helvetica" w:hAnsi="Helvetica" w:cs="Helvetica"/>
          <w:sz w:val="20"/>
          <w:szCs w:val="20"/>
        </w:rPr>
        <w:t xml:space="preserve">, A., </w:t>
      </w:r>
      <w:proofErr w:type="spellStart"/>
      <w:r>
        <w:rPr>
          <w:rFonts w:ascii="Helvetica" w:hAnsi="Helvetica" w:cs="Helvetica"/>
          <w:sz w:val="20"/>
          <w:szCs w:val="20"/>
        </w:rPr>
        <w:t>Ngeian</w:t>
      </w:r>
      <w:proofErr w:type="spellEnd"/>
      <w:r>
        <w:rPr>
          <w:rFonts w:ascii="Helvetica" w:hAnsi="Helvetica" w:cs="Helvetica"/>
          <w:sz w:val="20"/>
          <w:szCs w:val="20"/>
        </w:rPr>
        <w:t xml:space="preserve">, J., </w:t>
      </w:r>
      <w:proofErr w:type="spellStart"/>
      <w:r>
        <w:rPr>
          <w:rFonts w:ascii="Helvetica" w:hAnsi="Helvetica" w:cs="Helvetica"/>
          <w:sz w:val="20"/>
          <w:szCs w:val="20"/>
        </w:rPr>
        <w:t>Braulik</w:t>
      </w:r>
      <w:proofErr w:type="spellEnd"/>
      <w:r>
        <w:rPr>
          <w:rFonts w:ascii="Helvetica" w:hAnsi="Helvetica" w:cs="Helvetica"/>
          <w:sz w:val="20"/>
          <w:szCs w:val="20"/>
        </w:rPr>
        <w:t xml:space="preserve">, G., Hammond, P.S. and </w:t>
      </w:r>
      <w:proofErr w:type="spellStart"/>
      <w:r>
        <w:rPr>
          <w:rFonts w:ascii="Helvetica" w:hAnsi="Helvetica" w:cs="Helvetica"/>
          <w:sz w:val="20"/>
          <w:szCs w:val="20"/>
        </w:rPr>
        <w:t>Tuen</w:t>
      </w:r>
      <w:proofErr w:type="spellEnd"/>
      <w:r>
        <w:rPr>
          <w:rFonts w:ascii="Helvetica" w:hAnsi="Helvetica" w:cs="Helvetica"/>
          <w:sz w:val="20"/>
          <w:szCs w:val="20"/>
        </w:rPr>
        <w:t>, A.A. 2013.Population estimates and distribution patterns of Irrawaddy dolphins (</w:t>
      </w:r>
      <w:proofErr w:type="spellStart"/>
      <w:r>
        <w:rPr>
          <w:rFonts w:ascii="Helvetica" w:hAnsi="Helvetica" w:cs="Helvetica"/>
          <w:sz w:val="20"/>
          <w:szCs w:val="20"/>
        </w:rPr>
        <w:t>Orcaella</w:t>
      </w:r>
      <w:proofErr w:type="spellEnd"/>
      <w:r>
        <w:rPr>
          <w:rFonts w:ascii="Helvetica" w:hAnsi="Helvetica" w:cs="Helvetica"/>
          <w:sz w:val="20"/>
          <w:szCs w:val="20"/>
        </w:rPr>
        <w:t xml:space="preserve"> </w:t>
      </w:r>
      <w:proofErr w:type="spellStart"/>
      <w:r>
        <w:rPr>
          <w:rFonts w:ascii="Helvetica" w:hAnsi="Helvetica" w:cs="Helvetica"/>
          <w:sz w:val="20"/>
          <w:szCs w:val="20"/>
        </w:rPr>
        <w:t>brevirostris</w:t>
      </w:r>
      <w:proofErr w:type="spellEnd"/>
      <w:r>
        <w:rPr>
          <w:rFonts w:ascii="Helvetica" w:hAnsi="Helvetica" w:cs="Helvetica"/>
          <w:sz w:val="20"/>
          <w:szCs w:val="20"/>
        </w:rPr>
        <w:t>) and Indo-Pacific finless porpoises (</w:t>
      </w:r>
      <w:proofErr w:type="spellStart"/>
      <w:r>
        <w:rPr>
          <w:rFonts w:ascii="Helvetica" w:hAnsi="Helvetica" w:cs="Helvetica"/>
          <w:i/>
          <w:sz w:val="20"/>
          <w:szCs w:val="20"/>
        </w:rPr>
        <w:t>Neophocaena</w:t>
      </w:r>
      <w:proofErr w:type="spellEnd"/>
      <w:r>
        <w:rPr>
          <w:rFonts w:ascii="Helvetica" w:hAnsi="Helvetica" w:cs="Helvetica"/>
          <w:i/>
          <w:sz w:val="20"/>
          <w:szCs w:val="20"/>
        </w:rPr>
        <w:t xml:space="preserve"> </w:t>
      </w:r>
      <w:proofErr w:type="spellStart"/>
      <w:r>
        <w:rPr>
          <w:rFonts w:ascii="Helvetica" w:hAnsi="Helvetica" w:cs="Helvetica"/>
          <w:i/>
          <w:sz w:val="20"/>
          <w:szCs w:val="20"/>
        </w:rPr>
        <w:t>phocaenoides</w:t>
      </w:r>
      <w:proofErr w:type="spellEnd"/>
      <w:r>
        <w:rPr>
          <w:rFonts w:ascii="Helvetica" w:hAnsi="Helvetica" w:cs="Helvetica"/>
          <w:sz w:val="20"/>
          <w:szCs w:val="20"/>
        </w:rPr>
        <w:t xml:space="preserve">) in the Kuching Bay, Sarawak. Raffles Bulletin </w:t>
      </w:r>
      <w:proofErr w:type="spellStart"/>
      <w:r>
        <w:rPr>
          <w:rFonts w:ascii="Helvetica" w:hAnsi="Helvetica" w:cs="Helvetica"/>
          <w:sz w:val="20"/>
          <w:szCs w:val="20"/>
        </w:rPr>
        <w:t>ofZoology</w:t>
      </w:r>
      <w:proofErr w:type="spellEnd"/>
      <w:r>
        <w:rPr>
          <w:rFonts w:ascii="Helvetica" w:hAnsi="Helvetica" w:cs="Helvetica"/>
          <w:sz w:val="20"/>
          <w:szCs w:val="20"/>
        </w:rPr>
        <w:t xml:space="preserve"> 6(2): 877-888.</w:t>
      </w:r>
    </w:p>
    <w:p w:rsidR="00E55025" w:rsidRDefault="00E55025" w:rsidP="00E55025">
      <w:pPr>
        <w:adjustRightInd w:val="0"/>
        <w:spacing w:after="60"/>
        <w:ind w:left="284" w:hanging="284"/>
        <w:jc w:val="both"/>
        <w:rPr>
          <w:rFonts w:ascii="Helvetica" w:hAnsi="Helvetica" w:cs="Helvetica"/>
          <w:sz w:val="20"/>
          <w:szCs w:val="20"/>
        </w:rPr>
      </w:pPr>
      <w:proofErr w:type="spellStart"/>
      <w:r>
        <w:rPr>
          <w:rFonts w:ascii="Helvetica" w:hAnsi="Helvetica" w:cs="Helvetica"/>
          <w:sz w:val="20"/>
          <w:szCs w:val="20"/>
        </w:rPr>
        <w:t>Pattnaik</w:t>
      </w:r>
      <w:proofErr w:type="spellEnd"/>
      <w:r>
        <w:rPr>
          <w:rFonts w:ascii="Helvetica" w:hAnsi="Helvetica" w:cs="Helvetica"/>
          <w:sz w:val="20"/>
          <w:szCs w:val="20"/>
        </w:rPr>
        <w:t xml:space="preserve">, A. K., Sutaria, D., Khan, M. and Behera, B. P. 2007. Review of the status and conservation of Irrawaddy dolphins </w:t>
      </w:r>
      <w:proofErr w:type="spellStart"/>
      <w:r>
        <w:rPr>
          <w:rFonts w:ascii="Helvetica" w:hAnsi="Helvetica" w:cs="Helvetica"/>
          <w:i/>
          <w:sz w:val="20"/>
          <w:szCs w:val="20"/>
        </w:rPr>
        <w:t>Orcaella</w:t>
      </w:r>
      <w:proofErr w:type="spellEnd"/>
      <w:r>
        <w:rPr>
          <w:rFonts w:ascii="Helvetica" w:hAnsi="Helvetica" w:cs="Helvetica"/>
          <w:i/>
          <w:sz w:val="20"/>
          <w:szCs w:val="20"/>
        </w:rPr>
        <w:t xml:space="preserve"> </w:t>
      </w:r>
      <w:proofErr w:type="spellStart"/>
      <w:r>
        <w:rPr>
          <w:rFonts w:ascii="Helvetica" w:hAnsi="Helvetica" w:cs="Helvetica"/>
          <w:i/>
          <w:sz w:val="20"/>
          <w:szCs w:val="20"/>
        </w:rPr>
        <w:t>brevirostris</w:t>
      </w:r>
      <w:proofErr w:type="spellEnd"/>
      <w:r>
        <w:rPr>
          <w:rFonts w:ascii="Helvetica" w:hAnsi="Helvetica" w:cs="Helvetica"/>
          <w:i/>
          <w:sz w:val="20"/>
          <w:szCs w:val="20"/>
        </w:rPr>
        <w:t xml:space="preserve"> </w:t>
      </w:r>
      <w:r>
        <w:rPr>
          <w:rFonts w:ascii="Helvetica" w:hAnsi="Helvetica" w:cs="Helvetica"/>
          <w:sz w:val="20"/>
          <w:szCs w:val="20"/>
        </w:rPr>
        <w:t xml:space="preserve">in </w:t>
      </w:r>
      <w:proofErr w:type="spellStart"/>
      <w:r>
        <w:rPr>
          <w:rFonts w:ascii="Helvetica" w:hAnsi="Helvetica" w:cs="Helvetica"/>
          <w:sz w:val="20"/>
          <w:szCs w:val="20"/>
        </w:rPr>
        <w:t>Chilika</w:t>
      </w:r>
      <w:proofErr w:type="spellEnd"/>
      <w:r>
        <w:rPr>
          <w:rFonts w:ascii="Helvetica" w:hAnsi="Helvetica" w:cs="Helvetica"/>
          <w:sz w:val="20"/>
          <w:szCs w:val="20"/>
        </w:rPr>
        <w:t xml:space="preserve"> Lagoon of India. In: B. D. Smith, R. G. Shore and </w:t>
      </w:r>
      <w:proofErr w:type="spellStart"/>
      <w:r>
        <w:rPr>
          <w:rFonts w:ascii="Helvetica" w:hAnsi="Helvetica" w:cs="Helvetica"/>
          <w:sz w:val="20"/>
          <w:szCs w:val="20"/>
        </w:rPr>
        <w:t>A.Lopez</w:t>
      </w:r>
      <w:proofErr w:type="spellEnd"/>
      <w:r>
        <w:rPr>
          <w:rFonts w:ascii="Helvetica" w:hAnsi="Helvetica" w:cs="Helvetica"/>
          <w:sz w:val="20"/>
          <w:szCs w:val="20"/>
        </w:rPr>
        <w:t xml:space="preserve"> (eds), Status and conservation of freshwater populations of Irrawaddy dolphins, pp. 41-51.Wildlife Conservation Society Working Paper No. 31.</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Smith, B.D., Ahmed, B., Mowgli, R.M. and Strindberg, S. 2008. Species occurrence and </w:t>
      </w:r>
      <w:proofErr w:type="spellStart"/>
      <w:r>
        <w:rPr>
          <w:rFonts w:ascii="Helvetica" w:hAnsi="Helvetica" w:cs="Helvetica"/>
          <w:sz w:val="20"/>
          <w:szCs w:val="20"/>
        </w:rPr>
        <w:t>distributionalecology</w:t>
      </w:r>
      <w:proofErr w:type="spellEnd"/>
      <w:r>
        <w:rPr>
          <w:rFonts w:ascii="Helvetica" w:hAnsi="Helvetica" w:cs="Helvetica"/>
          <w:sz w:val="20"/>
          <w:szCs w:val="20"/>
        </w:rPr>
        <w:t xml:space="preserve"> of nearshore cetaceans in the Bay of Bengal, Bangladesh, with abundance estimates </w:t>
      </w:r>
      <w:proofErr w:type="spellStart"/>
      <w:r>
        <w:rPr>
          <w:rFonts w:ascii="Helvetica" w:hAnsi="Helvetica" w:cs="Helvetica"/>
          <w:sz w:val="20"/>
          <w:szCs w:val="20"/>
        </w:rPr>
        <w:t>forIrrawaddy</w:t>
      </w:r>
      <w:proofErr w:type="spellEnd"/>
      <w:r>
        <w:rPr>
          <w:rFonts w:ascii="Helvetica" w:hAnsi="Helvetica" w:cs="Helvetica"/>
          <w:sz w:val="20"/>
          <w:szCs w:val="20"/>
        </w:rPr>
        <w:t xml:space="preserve"> dolphins </w:t>
      </w:r>
      <w:proofErr w:type="spellStart"/>
      <w:r>
        <w:rPr>
          <w:rFonts w:ascii="Helvetica" w:hAnsi="Helvetica" w:cs="Helvetica"/>
          <w:i/>
          <w:sz w:val="20"/>
          <w:szCs w:val="20"/>
        </w:rPr>
        <w:t>Orcaella</w:t>
      </w:r>
      <w:proofErr w:type="spellEnd"/>
      <w:r>
        <w:rPr>
          <w:rFonts w:ascii="Helvetica" w:hAnsi="Helvetica" w:cs="Helvetica"/>
          <w:i/>
          <w:sz w:val="20"/>
          <w:szCs w:val="20"/>
        </w:rPr>
        <w:t xml:space="preserve"> </w:t>
      </w:r>
      <w:proofErr w:type="spellStart"/>
      <w:r>
        <w:rPr>
          <w:rFonts w:ascii="Helvetica" w:hAnsi="Helvetica" w:cs="Helvetica"/>
          <w:i/>
          <w:sz w:val="20"/>
          <w:szCs w:val="20"/>
        </w:rPr>
        <w:t>brevirostris</w:t>
      </w:r>
      <w:proofErr w:type="spellEnd"/>
      <w:r>
        <w:rPr>
          <w:rFonts w:ascii="Helvetica" w:hAnsi="Helvetica" w:cs="Helvetica"/>
          <w:sz w:val="20"/>
          <w:szCs w:val="20"/>
        </w:rPr>
        <w:t xml:space="preserve"> and finless porpoises </w:t>
      </w:r>
      <w:proofErr w:type="spellStart"/>
      <w:r>
        <w:rPr>
          <w:rFonts w:ascii="Helvetica" w:hAnsi="Helvetica" w:cs="Helvetica"/>
          <w:i/>
          <w:sz w:val="20"/>
          <w:szCs w:val="20"/>
        </w:rPr>
        <w:t>Neophocaena</w:t>
      </w:r>
      <w:proofErr w:type="spellEnd"/>
      <w:r>
        <w:rPr>
          <w:rFonts w:ascii="Helvetica" w:hAnsi="Helvetica" w:cs="Helvetica"/>
          <w:i/>
          <w:sz w:val="20"/>
          <w:szCs w:val="20"/>
        </w:rPr>
        <w:t xml:space="preserve"> </w:t>
      </w:r>
      <w:proofErr w:type="spellStart"/>
      <w:r>
        <w:rPr>
          <w:rFonts w:ascii="Helvetica" w:hAnsi="Helvetica" w:cs="Helvetica"/>
          <w:i/>
          <w:sz w:val="20"/>
          <w:szCs w:val="20"/>
        </w:rPr>
        <w:t>phocaenoides</w:t>
      </w:r>
      <w:proofErr w:type="spellEnd"/>
      <w:r>
        <w:rPr>
          <w:rFonts w:ascii="Helvetica" w:hAnsi="Helvetica" w:cs="Helvetica"/>
          <w:sz w:val="20"/>
          <w:szCs w:val="20"/>
        </w:rPr>
        <w:t>. Journal of Cetacean Research and Management 10: 45-58.</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Smith, B.D., and Tun, T. 2007. Review of the status and conservation of Irrawaddy dolphins </w:t>
      </w:r>
      <w:proofErr w:type="spellStart"/>
      <w:r>
        <w:rPr>
          <w:rFonts w:ascii="Helvetica" w:hAnsi="Helvetica" w:cs="Helvetica"/>
          <w:i/>
          <w:sz w:val="20"/>
          <w:szCs w:val="20"/>
        </w:rPr>
        <w:t>Orcaellabrevirostris</w:t>
      </w:r>
      <w:proofErr w:type="spellEnd"/>
      <w:r>
        <w:rPr>
          <w:rFonts w:ascii="Helvetica" w:hAnsi="Helvetica" w:cs="Helvetica"/>
          <w:sz w:val="20"/>
          <w:szCs w:val="20"/>
        </w:rPr>
        <w:t xml:space="preserve"> in the Ayeyarwady River of Myanmar. In: B.D. Smith, R.G. Shore, and A. Lopez (eds), Status and conservation of freshwater populations of Irrawaddy dolphins, pp. 21-39. Wildlife Conservation Society Working Paper No. 31.</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Smith, B. D., Beasley, I., </w:t>
      </w:r>
      <w:proofErr w:type="spellStart"/>
      <w:r>
        <w:rPr>
          <w:rFonts w:ascii="Helvetica" w:hAnsi="Helvetica" w:cs="Helvetica"/>
          <w:sz w:val="20"/>
          <w:szCs w:val="20"/>
        </w:rPr>
        <w:t>Buccat</w:t>
      </w:r>
      <w:proofErr w:type="spellEnd"/>
      <w:r>
        <w:rPr>
          <w:rFonts w:ascii="Helvetica" w:hAnsi="Helvetica" w:cs="Helvetica"/>
          <w:sz w:val="20"/>
          <w:szCs w:val="20"/>
        </w:rPr>
        <w:t xml:space="preserve">, M., Calderon, V., </w:t>
      </w:r>
      <w:proofErr w:type="spellStart"/>
      <w:r>
        <w:rPr>
          <w:rFonts w:ascii="Helvetica" w:hAnsi="Helvetica" w:cs="Helvetica"/>
          <w:sz w:val="20"/>
          <w:szCs w:val="20"/>
        </w:rPr>
        <w:t>Evina</w:t>
      </w:r>
      <w:proofErr w:type="spellEnd"/>
      <w:r>
        <w:rPr>
          <w:rFonts w:ascii="Helvetica" w:hAnsi="Helvetica" w:cs="Helvetica"/>
          <w:sz w:val="20"/>
          <w:szCs w:val="20"/>
        </w:rPr>
        <w:t xml:space="preserve">, R., </w:t>
      </w:r>
      <w:proofErr w:type="spellStart"/>
      <w:r>
        <w:rPr>
          <w:rFonts w:ascii="Helvetica" w:hAnsi="Helvetica" w:cs="Helvetica"/>
          <w:sz w:val="20"/>
          <w:szCs w:val="20"/>
        </w:rPr>
        <w:t>Lemmuel</w:t>
      </w:r>
      <w:proofErr w:type="spellEnd"/>
      <w:r>
        <w:rPr>
          <w:rFonts w:ascii="Helvetica" w:hAnsi="Helvetica" w:cs="Helvetica"/>
          <w:sz w:val="20"/>
          <w:szCs w:val="20"/>
        </w:rPr>
        <w:t xml:space="preserve"> De Valle, J., </w:t>
      </w:r>
      <w:proofErr w:type="spellStart"/>
      <w:r>
        <w:rPr>
          <w:rFonts w:ascii="Helvetica" w:hAnsi="Helvetica" w:cs="Helvetica"/>
          <w:sz w:val="20"/>
          <w:szCs w:val="20"/>
        </w:rPr>
        <w:t>Cadigal</w:t>
      </w:r>
      <w:proofErr w:type="spellEnd"/>
      <w:r>
        <w:rPr>
          <w:rFonts w:ascii="Helvetica" w:hAnsi="Helvetica" w:cs="Helvetica"/>
          <w:sz w:val="20"/>
          <w:szCs w:val="20"/>
        </w:rPr>
        <w:t xml:space="preserve">, A., Tura, E. and </w:t>
      </w:r>
      <w:proofErr w:type="spellStart"/>
      <w:r>
        <w:rPr>
          <w:rFonts w:ascii="Helvetica" w:hAnsi="Helvetica" w:cs="Helvetica"/>
          <w:sz w:val="20"/>
          <w:szCs w:val="20"/>
        </w:rPr>
        <w:t>Vistacion</w:t>
      </w:r>
      <w:proofErr w:type="spellEnd"/>
      <w:r>
        <w:rPr>
          <w:rFonts w:ascii="Helvetica" w:hAnsi="Helvetica" w:cs="Helvetica"/>
          <w:sz w:val="20"/>
          <w:szCs w:val="20"/>
        </w:rPr>
        <w:t>, Z. 2004a. Status, ecology and conservation of Irrawaddy dolphins (</w:t>
      </w:r>
      <w:proofErr w:type="spellStart"/>
      <w:r>
        <w:rPr>
          <w:rFonts w:ascii="Helvetica" w:hAnsi="Helvetica" w:cs="Helvetica"/>
          <w:i/>
          <w:sz w:val="20"/>
          <w:szCs w:val="20"/>
        </w:rPr>
        <w:t>Orcaella</w:t>
      </w:r>
      <w:proofErr w:type="spellEnd"/>
      <w:r>
        <w:rPr>
          <w:rFonts w:ascii="Helvetica" w:hAnsi="Helvetica" w:cs="Helvetica"/>
          <w:i/>
          <w:sz w:val="20"/>
          <w:szCs w:val="20"/>
        </w:rPr>
        <w:t xml:space="preserve"> </w:t>
      </w:r>
      <w:proofErr w:type="spellStart"/>
      <w:r>
        <w:rPr>
          <w:rFonts w:ascii="Helvetica" w:hAnsi="Helvetica" w:cs="Helvetica"/>
          <w:i/>
          <w:sz w:val="20"/>
          <w:szCs w:val="20"/>
        </w:rPr>
        <w:t>brevirostris</w:t>
      </w:r>
      <w:proofErr w:type="spellEnd"/>
      <w:r>
        <w:rPr>
          <w:rFonts w:ascii="Helvetica" w:hAnsi="Helvetica" w:cs="Helvetica"/>
          <w:sz w:val="20"/>
          <w:szCs w:val="20"/>
        </w:rPr>
        <w:t>) in Malampaya Sound, Palawan, Philippines. Journal of Cetacean Research and Management 6(1): 41-52.</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Smith, B. D., </w:t>
      </w:r>
      <w:proofErr w:type="spellStart"/>
      <w:r>
        <w:rPr>
          <w:rFonts w:ascii="Helvetica" w:hAnsi="Helvetica" w:cs="Helvetica"/>
          <w:sz w:val="20"/>
          <w:szCs w:val="20"/>
        </w:rPr>
        <w:t>Braulik</w:t>
      </w:r>
      <w:proofErr w:type="spellEnd"/>
      <w:r>
        <w:rPr>
          <w:rFonts w:ascii="Helvetica" w:hAnsi="Helvetica" w:cs="Helvetica"/>
          <w:sz w:val="20"/>
          <w:szCs w:val="20"/>
        </w:rPr>
        <w:t xml:space="preserve">, G., Strindberg, S., Ahmed, B. and Mansur, R. 2006. Abundance of </w:t>
      </w:r>
      <w:proofErr w:type="spellStart"/>
      <w:r>
        <w:rPr>
          <w:rFonts w:ascii="Helvetica" w:hAnsi="Helvetica" w:cs="Helvetica"/>
          <w:sz w:val="20"/>
          <w:szCs w:val="20"/>
        </w:rPr>
        <w:t>Irrawaddydolphins</w:t>
      </w:r>
      <w:proofErr w:type="spellEnd"/>
      <w:r>
        <w:rPr>
          <w:rFonts w:ascii="Helvetica" w:hAnsi="Helvetica" w:cs="Helvetica"/>
          <w:sz w:val="20"/>
          <w:szCs w:val="20"/>
        </w:rPr>
        <w:t xml:space="preserve"> (</w:t>
      </w:r>
      <w:proofErr w:type="spellStart"/>
      <w:r>
        <w:rPr>
          <w:rFonts w:ascii="Helvetica" w:hAnsi="Helvetica" w:cs="Helvetica"/>
          <w:i/>
          <w:sz w:val="20"/>
          <w:szCs w:val="20"/>
        </w:rPr>
        <w:t>Orcaella</w:t>
      </w:r>
      <w:proofErr w:type="spellEnd"/>
      <w:r>
        <w:rPr>
          <w:rFonts w:ascii="Helvetica" w:hAnsi="Helvetica" w:cs="Helvetica"/>
          <w:i/>
          <w:sz w:val="20"/>
          <w:szCs w:val="20"/>
        </w:rPr>
        <w:t xml:space="preserve"> </w:t>
      </w:r>
      <w:proofErr w:type="spellStart"/>
      <w:r>
        <w:rPr>
          <w:rFonts w:ascii="Helvetica" w:hAnsi="Helvetica" w:cs="Helvetica"/>
          <w:i/>
          <w:sz w:val="20"/>
          <w:szCs w:val="20"/>
        </w:rPr>
        <w:t>brevirostris</w:t>
      </w:r>
      <w:proofErr w:type="spellEnd"/>
      <w:r>
        <w:rPr>
          <w:rFonts w:ascii="Helvetica" w:hAnsi="Helvetica" w:cs="Helvetica"/>
          <w:sz w:val="20"/>
          <w:szCs w:val="20"/>
        </w:rPr>
        <w:t>) and Ganges River dolphins (</w:t>
      </w:r>
      <w:r>
        <w:rPr>
          <w:rFonts w:ascii="Helvetica" w:hAnsi="Helvetica" w:cs="Helvetica"/>
          <w:i/>
          <w:sz w:val="20"/>
          <w:szCs w:val="20"/>
        </w:rPr>
        <w:t xml:space="preserve">Platanista </w:t>
      </w:r>
      <w:proofErr w:type="spellStart"/>
      <w:r>
        <w:rPr>
          <w:rFonts w:ascii="Helvetica" w:hAnsi="Helvetica" w:cs="Helvetica"/>
          <w:i/>
          <w:sz w:val="20"/>
          <w:szCs w:val="20"/>
        </w:rPr>
        <w:t>gangetica</w:t>
      </w:r>
      <w:proofErr w:type="spellEnd"/>
      <w:r>
        <w:rPr>
          <w:rFonts w:ascii="Helvetica" w:hAnsi="Helvetica" w:cs="Helvetica"/>
          <w:i/>
          <w:sz w:val="20"/>
          <w:szCs w:val="20"/>
        </w:rPr>
        <w:t xml:space="preserve"> </w:t>
      </w:r>
      <w:proofErr w:type="spellStart"/>
      <w:r>
        <w:rPr>
          <w:rFonts w:ascii="Helvetica" w:hAnsi="Helvetica" w:cs="Helvetica"/>
          <w:i/>
          <w:sz w:val="20"/>
          <w:szCs w:val="20"/>
        </w:rPr>
        <w:t>gangetica</w:t>
      </w:r>
      <w:proofErr w:type="spellEnd"/>
      <w:r>
        <w:rPr>
          <w:rFonts w:ascii="Helvetica" w:hAnsi="Helvetica" w:cs="Helvetica"/>
          <w:sz w:val="20"/>
          <w:szCs w:val="20"/>
        </w:rPr>
        <w:t xml:space="preserve">) </w:t>
      </w:r>
      <w:proofErr w:type="spellStart"/>
      <w:r>
        <w:rPr>
          <w:rFonts w:ascii="Helvetica" w:hAnsi="Helvetica" w:cs="Helvetica"/>
          <w:sz w:val="20"/>
          <w:szCs w:val="20"/>
        </w:rPr>
        <w:t>estimatedusing</w:t>
      </w:r>
      <w:proofErr w:type="spellEnd"/>
      <w:r>
        <w:rPr>
          <w:rFonts w:ascii="Helvetica" w:hAnsi="Helvetica" w:cs="Helvetica"/>
          <w:sz w:val="20"/>
          <w:szCs w:val="20"/>
        </w:rPr>
        <w:t xml:space="preserve"> concurrent counts made by independent teams in waterways of the Sundarbans mangrove </w:t>
      </w:r>
      <w:proofErr w:type="spellStart"/>
      <w:r>
        <w:rPr>
          <w:rFonts w:ascii="Helvetica" w:hAnsi="Helvetica" w:cs="Helvetica"/>
          <w:sz w:val="20"/>
          <w:szCs w:val="20"/>
        </w:rPr>
        <w:t>forestin</w:t>
      </w:r>
      <w:proofErr w:type="spellEnd"/>
      <w:r>
        <w:rPr>
          <w:rFonts w:ascii="Helvetica" w:hAnsi="Helvetica" w:cs="Helvetica"/>
          <w:sz w:val="20"/>
          <w:szCs w:val="20"/>
        </w:rPr>
        <w:t xml:space="preserve"> Bangladesh. Marine Mammal Science 22: 527-547.</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Smith, B.D., </w:t>
      </w:r>
      <w:proofErr w:type="spellStart"/>
      <w:r>
        <w:rPr>
          <w:rFonts w:ascii="Helvetica" w:hAnsi="Helvetica" w:cs="Helvetica"/>
          <w:sz w:val="20"/>
          <w:szCs w:val="20"/>
        </w:rPr>
        <w:t>Braulik</w:t>
      </w:r>
      <w:proofErr w:type="spellEnd"/>
      <w:r>
        <w:rPr>
          <w:rFonts w:ascii="Helvetica" w:hAnsi="Helvetica" w:cs="Helvetica"/>
          <w:sz w:val="20"/>
          <w:szCs w:val="20"/>
        </w:rPr>
        <w:t xml:space="preserve">, G., Strindberg, S., Mansur, R., </w:t>
      </w:r>
      <w:proofErr w:type="spellStart"/>
      <w:r>
        <w:rPr>
          <w:rFonts w:ascii="Helvetica" w:hAnsi="Helvetica" w:cs="Helvetica"/>
          <w:sz w:val="20"/>
          <w:szCs w:val="20"/>
        </w:rPr>
        <w:t>Diyan</w:t>
      </w:r>
      <w:proofErr w:type="spellEnd"/>
      <w:r>
        <w:rPr>
          <w:rFonts w:ascii="Helvetica" w:hAnsi="Helvetica" w:cs="Helvetica"/>
          <w:sz w:val="20"/>
          <w:szCs w:val="20"/>
        </w:rPr>
        <w:t>, M.A.A. and Ahmed, B. 2009. Habitat selection of freshwater-dependent cetaceans and the potential effects of declining freshwater flows and sea-level rise in waterways of the Sundarbans mangrove forest, Bangladesh. Aquatic Conservation: Marine and Freshwater Ecosystems 19: 209-225.</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Smith, B.D., Sutaria, D., </w:t>
      </w:r>
      <w:proofErr w:type="spellStart"/>
      <w:r>
        <w:rPr>
          <w:rFonts w:ascii="Helvetica" w:hAnsi="Helvetica" w:cs="Helvetica"/>
          <w:sz w:val="20"/>
          <w:szCs w:val="20"/>
        </w:rPr>
        <w:t>Piwpong</w:t>
      </w:r>
      <w:proofErr w:type="spellEnd"/>
      <w:r>
        <w:rPr>
          <w:rFonts w:ascii="Helvetica" w:hAnsi="Helvetica" w:cs="Helvetica"/>
          <w:sz w:val="20"/>
          <w:szCs w:val="20"/>
        </w:rPr>
        <w:t xml:space="preserve">, N. </w:t>
      </w:r>
      <w:proofErr w:type="spellStart"/>
      <w:r>
        <w:rPr>
          <w:rFonts w:ascii="Helvetica" w:hAnsi="Helvetica" w:cs="Helvetica"/>
          <w:sz w:val="20"/>
          <w:szCs w:val="20"/>
        </w:rPr>
        <w:t>Choorak</w:t>
      </w:r>
      <w:proofErr w:type="spellEnd"/>
      <w:r>
        <w:rPr>
          <w:rFonts w:ascii="Helvetica" w:hAnsi="Helvetica" w:cs="Helvetica"/>
          <w:sz w:val="20"/>
          <w:szCs w:val="20"/>
        </w:rPr>
        <w:t xml:space="preserve">, S. and </w:t>
      </w:r>
      <w:proofErr w:type="spellStart"/>
      <w:r>
        <w:rPr>
          <w:rFonts w:ascii="Helvetica" w:hAnsi="Helvetica" w:cs="Helvetica"/>
          <w:sz w:val="20"/>
          <w:szCs w:val="20"/>
        </w:rPr>
        <w:t>Koedpoem</w:t>
      </w:r>
      <w:proofErr w:type="spellEnd"/>
      <w:r>
        <w:rPr>
          <w:rFonts w:ascii="Helvetica" w:hAnsi="Helvetica" w:cs="Helvetica"/>
          <w:sz w:val="20"/>
          <w:szCs w:val="20"/>
        </w:rPr>
        <w:t xml:space="preserve">, W. 2004b. Can Irrawaddy </w:t>
      </w:r>
      <w:proofErr w:type="spellStart"/>
      <w:r>
        <w:rPr>
          <w:rFonts w:ascii="Helvetica" w:hAnsi="Helvetica" w:cs="Helvetica"/>
          <w:sz w:val="20"/>
          <w:szCs w:val="20"/>
        </w:rPr>
        <w:t>dolphinssurvive</w:t>
      </w:r>
      <w:proofErr w:type="spellEnd"/>
      <w:r>
        <w:rPr>
          <w:rFonts w:ascii="Helvetica" w:hAnsi="Helvetica" w:cs="Helvetica"/>
          <w:sz w:val="20"/>
          <w:szCs w:val="20"/>
        </w:rPr>
        <w:t xml:space="preserve"> in Songkhla Lake, Thailand? Natural History Bulletin of the Siam Society 52(2): 181-193.</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Stacey, P.J. and Arnold, P.W. 1999. </w:t>
      </w:r>
      <w:proofErr w:type="spellStart"/>
      <w:r>
        <w:rPr>
          <w:rFonts w:ascii="Helvetica" w:hAnsi="Helvetica" w:cs="Helvetica"/>
          <w:sz w:val="20"/>
          <w:szCs w:val="20"/>
        </w:rPr>
        <w:t>Orcaella</w:t>
      </w:r>
      <w:proofErr w:type="spellEnd"/>
      <w:r>
        <w:rPr>
          <w:rFonts w:ascii="Helvetica" w:hAnsi="Helvetica" w:cs="Helvetica"/>
          <w:sz w:val="20"/>
          <w:szCs w:val="20"/>
        </w:rPr>
        <w:t xml:space="preserve"> </w:t>
      </w:r>
      <w:proofErr w:type="spellStart"/>
      <w:r>
        <w:rPr>
          <w:rFonts w:ascii="Helvetica" w:hAnsi="Helvetica" w:cs="Helvetica"/>
          <w:sz w:val="20"/>
          <w:szCs w:val="20"/>
        </w:rPr>
        <w:t>brevirostris</w:t>
      </w:r>
      <w:proofErr w:type="spellEnd"/>
      <w:r>
        <w:rPr>
          <w:rFonts w:ascii="Helvetica" w:hAnsi="Helvetica" w:cs="Helvetica"/>
          <w:sz w:val="20"/>
          <w:szCs w:val="20"/>
        </w:rPr>
        <w:t>. Mammalian Species 616: 1-8.</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Stone, R. 2016. Dam-building threatens Mekong fisheries. Science 354(6316): 1084-1085.</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Sutaria, D. 2009. Species conservation in a complex socio-ecological system: Irrawaddy dolphins, </w:t>
      </w:r>
      <w:proofErr w:type="spellStart"/>
      <w:r>
        <w:rPr>
          <w:rFonts w:ascii="Helvetica" w:hAnsi="Helvetica" w:cs="Helvetica"/>
          <w:sz w:val="20"/>
          <w:szCs w:val="20"/>
        </w:rPr>
        <w:t>Orcaella</w:t>
      </w:r>
      <w:proofErr w:type="spellEnd"/>
      <w:r>
        <w:rPr>
          <w:rFonts w:ascii="Helvetica" w:hAnsi="Helvetica" w:cs="Helvetica"/>
          <w:sz w:val="20"/>
          <w:szCs w:val="20"/>
        </w:rPr>
        <w:t xml:space="preserve"> </w:t>
      </w:r>
      <w:proofErr w:type="spellStart"/>
      <w:r>
        <w:rPr>
          <w:rFonts w:ascii="Helvetica" w:hAnsi="Helvetica" w:cs="Helvetica"/>
          <w:sz w:val="20"/>
          <w:szCs w:val="20"/>
        </w:rPr>
        <w:t>brevirostris</w:t>
      </w:r>
      <w:proofErr w:type="spellEnd"/>
      <w:r>
        <w:rPr>
          <w:rFonts w:ascii="Helvetica" w:hAnsi="Helvetica" w:cs="Helvetica"/>
          <w:sz w:val="20"/>
          <w:szCs w:val="20"/>
        </w:rPr>
        <w:t xml:space="preserve"> in </w:t>
      </w:r>
      <w:proofErr w:type="spellStart"/>
      <w:r>
        <w:rPr>
          <w:rFonts w:ascii="Helvetica" w:hAnsi="Helvetica" w:cs="Helvetica"/>
          <w:sz w:val="20"/>
          <w:szCs w:val="20"/>
        </w:rPr>
        <w:t>Chilika</w:t>
      </w:r>
      <w:proofErr w:type="spellEnd"/>
      <w:r>
        <w:rPr>
          <w:rFonts w:ascii="Helvetica" w:hAnsi="Helvetica" w:cs="Helvetica"/>
          <w:sz w:val="20"/>
          <w:szCs w:val="20"/>
        </w:rPr>
        <w:t xml:space="preserve"> Lagoon, India. PhD thesis, James Cook University, Australia.</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Sutaria, D. and Marsh, H. 2011. Abundance estimates of Irrawaddy dolphins in </w:t>
      </w:r>
      <w:proofErr w:type="spellStart"/>
      <w:r>
        <w:rPr>
          <w:rFonts w:ascii="Helvetica" w:hAnsi="Helvetica" w:cs="Helvetica"/>
          <w:sz w:val="20"/>
          <w:szCs w:val="20"/>
        </w:rPr>
        <w:t>Chilika</w:t>
      </w:r>
      <w:proofErr w:type="spellEnd"/>
      <w:r>
        <w:rPr>
          <w:rFonts w:ascii="Helvetica" w:hAnsi="Helvetica" w:cs="Helvetica"/>
          <w:sz w:val="20"/>
          <w:szCs w:val="20"/>
        </w:rPr>
        <w:t xml:space="preserve"> Lagoon, </w:t>
      </w:r>
      <w:proofErr w:type="spellStart"/>
      <w:r>
        <w:rPr>
          <w:rFonts w:ascii="Helvetica" w:hAnsi="Helvetica" w:cs="Helvetica"/>
          <w:sz w:val="20"/>
          <w:szCs w:val="20"/>
        </w:rPr>
        <w:t>India,using</w:t>
      </w:r>
      <w:proofErr w:type="spellEnd"/>
      <w:r>
        <w:rPr>
          <w:rFonts w:ascii="Helvetica" w:hAnsi="Helvetica" w:cs="Helvetica"/>
          <w:sz w:val="20"/>
          <w:szCs w:val="20"/>
        </w:rPr>
        <w:t xml:space="preserve"> photo-identification based mark- recapture methods. Marine Mammal Science 27(4): 338-348.</w:t>
      </w:r>
    </w:p>
    <w:p w:rsidR="00E55025" w:rsidRDefault="00E55025" w:rsidP="00E55025">
      <w:pPr>
        <w:adjustRightInd w:val="0"/>
        <w:spacing w:after="60"/>
        <w:ind w:left="284" w:hanging="284"/>
        <w:jc w:val="both"/>
        <w:rPr>
          <w:rFonts w:ascii="Helvetica" w:hAnsi="Helvetica" w:cs="Helvetica"/>
          <w:sz w:val="20"/>
          <w:szCs w:val="20"/>
        </w:rPr>
      </w:pPr>
      <w:proofErr w:type="spellStart"/>
      <w:r>
        <w:rPr>
          <w:rFonts w:ascii="Helvetica" w:hAnsi="Helvetica" w:cs="Helvetica"/>
          <w:sz w:val="20"/>
          <w:szCs w:val="20"/>
        </w:rPr>
        <w:t>Tongnunui</w:t>
      </w:r>
      <w:proofErr w:type="spellEnd"/>
      <w:r>
        <w:rPr>
          <w:rFonts w:ascii="Helvetica" w:hAnsi="Helvetica" w:cs="Helvetica"/>
          <w:sz w:val="20"/>
          <w:szCs w:val="20"/>
        </w:rPr>
        <w:t>, S. et al. 2011. Preliminary investigation of Irrawaddy dolphin (</w:t>
      </w:r>
      <w:proofErr w:type="spellStart"/>
      <w:r>
        <w:rPr>
          <w:rFonts w:ascii="Helvetica" w:hAnsi="Helvetica" w:cs="Helvetica"/>
          <w:sz w:val="20"/>
          <w:szCs w:val="20"/>
        </w:rPr>
        <w:t>Orcaella</w:t>
      </w:r>
      <w:proofErr w:type="spellEnd"/>
      <w:r>
        <w:rPr>
          <w:rFonts w:ascii="Helvetica" w:hAnsi="Helvetica" w:cs="Helvetica"/>
          <w:sz w:val="20"/>
          <w:szCs w:val="20"/>
        </w:rPr>
        <w:t xml:space="preserve"> </w:t>
      </w:r>
      <w:proofErr w:type="spellStart"/>
      <w:r>
        <w:rPr>
          <w:rFonts w:ascii="Helvetica" w:hAnsi="Helvetica" w:cs="Helvetica"/>
          <w:sz w:val="20"/>
          <w:szCs w:val="20"/>
        </w:rPr>
        <w:t>brevirostris</w:t>
      </w:r>
      <w:proofErr w:type="spellEnd"/>
      <w:r>
        <w:rPr>
          <w:rFonts w:ascii="Helvetica" w:hAnsi="Helvetica" w:cs="Helvetica"/>
          <w:sz w:val="20"/>
          <w:szCs w:val="20"/>
        </w:rPr>
        <w:t xml:space="preserve">) in the </w:t>
      </w:r>
      <w:proofErr w:type="spellStart"/>
      <w:r>
        <w:rPr>
          <w:rFonts w:ascii="Helvetica" w:hAnsi="Helvetica" w:cs="Helvetica"/>
          <w:sz w:val="20"/>
          <w:szCs w:val="20"/>
        </w:rPr>
        <w:t>Bangpakong</w:t>
      </w:r>
      <w:proofErr w:type="spellEnd"/>
      <w:r>
        <w:rPr>
          <w:rFonts w:ascii="Helvetica" w:hAnsi="Helvetica" w:cs="Helvetica"/>
          <w:sz w:val="20"/>
          <w:szCs w:val="20"/>
        </w:rPr>
        <w:t xml:space="preserve"> Estuary, Inner Gulf of Thailand. — Environ. Nat. </w:t>
      </w:r>
      <w:proofErr w:type="spellStart"/>
      <w:r>
        <w:rPr>
          <w:rFonts w:ascii="Helvetica" w:hAnsi="Helvetica" w:cs="Helvetica"/>
          <w:sz w:val="20"/>
          <w:szCs w:val="20"/>
        </w:rPr>
        <w:t>Resour</w:t>
      </w:r>
      <w:proofErr w:type="spellEnd"/>
      <w:r>
        <w:rPr>
          <w:rFonts w:ascii="Helvetica" w:hAnsi="Helvetica" w:cs="Helvetica"/>
          <w:sz w:val="20"/>
          <w:szCs w:val="20"/>
        </w:rPr>
        <w:t xml:space="preserve">. J.9: 48–57. </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 xml:space="preserve">Van </w:t>
      </w:r>
      <w:proofErr w:type="spellStart"/>
      <w:r>
        <w:rPr>
          <w:rFonts w:ascii="Helvetica" w:hAnsi="Helvetica" w:cs="Helvetica"/>
          <w:sz w:val="20"/>
          <w:szCs w:val="20"/>
        </w:rPr>
        <w:t>Bressem</w:t>
      </w:r>
      <w:proofErr w:type="spellEnd"/>
      <w:r>
        <w:rPr>
          <w:rFonts w:ascii="Helvetica" w:hAnsi="Helvetica" w:cs="Helvetica"/>
          <w:sz w:val="20"/>
          <w:szCs w:val="20"/>
        </w:rPr>
        <w:t xml:space="preserve">, M.F., Minton, G., Sutaria, D., Kelkar, N., Peter, C., </w:t>
      </w:r>
      <w:proofErr w:type="spellStart"/>
      <w:r>
        <w:rPr>
          <w:rFonts w:ascii="Helvetica" w:hAnsi="Helvetica" w:cs="Helvetica"/>
          <w:sz w:val="20"/>
          <w:szCs w:val="20"/>
        </w:rPr>
        <w:t>Zulkarnaen</w:t>
      </w:r>
      <w:proofErr w:type="spellEnd"/>
      <w:r>
        <w:rPr>
          <w:rFonts w:ascii="Helvetica" w:hAnsi="Helvetica" w:cs="Helvetica"/>
          <w:sz w:val="20"/>
          <w:szCs w:val="20"/>
        </w:rPr>
        <w:t xml:space="preserve">, M., Mansur, R.M., Porter, </w:t>
      </w:r>
      <w:proofErr w:type="spellStart"/>
      <w:r>
        <w:rPr>
          <w:rFonts w:ascii="Helvetica" w:hAnsi="Helvetica" w:cs="Helvetica"/>
          <w:sz w:val="20"/>
          <w:szCs w:val="20"/>
        </w:rPr>
        <w:t>L.,Vargas</w:t>
      </w:r>
      <w:proofErr w:type="spellEnd"/>
      <w:r>
        <w:rPr>
          <w:rFonts w:ascii="Helvetica" w:hAnsi="Helvetica" w:cs="Helvetica"/>
          <w:sz w:val="20"/>
          <w:szCs w:val="20"/>
        </w:rPr>
        <w:t xml:space="preserve">, L.H.R. and </w:t>
      </w:r>
      <w:proofErr w:type="spellStart"/>
      <w:r>
        <w:rPr>
          <w:rFonts w:ascii="Helvetica" w:hAnsi="Helvetica" w:cs="Helvetica"/>
          <w:sz w:val="20"/>
          <w:szCs w:val="20"/>
        </w:rPr>
        <w:t>Rajamani</w:t>
      </w:r>
      <w:proofErr w:type="spellEnd"/>
      <w:r>
        <w:rPr>
          <w:rFonts w:ascii="Helvetica" w:hAnsi="Helvetica" w:cs="Helvetica"/>
          <w:sz w:val="20"/>
          <w:szCs w:val="20"/>
        </w:rPr>
        <w:t>, L. 2014. Cutaneous nodules in Irrawaddy dolphins: an emerging disease invulnerable populations. Diseases of Aquatic Organisms 107(3): 181-189.</w:t>
      </w:r>
    </w:p>
    <w:p w:rsidR="00E55025" w:rsidRDefault="00E55025" w:rsidP="00E55025">
      <w:pPr>
        <w:adjustRightInd w:val="0"/>
        <w:spacing w:after="60"/>
        <w:ind w:left="284" w:hanging="284"/>
        <w:jc w:val="both"/>
        <w:rPr>
          <w:rFonts w:ascii="Helvetica" w:hAnsi="Helvetica" w:cs="Helvetica"/>
          <w:sz w:val="20"/>
          <w:szCs w:val="20"/>
        </w:rPr>
      </w:pPr>
      <w:proofErr w:type="spellStart"/>
      <w:r>
        <w:rPr>
          <w:rFonts w:ascii="Helvetica" w:hAnsi="Helvetica" w:cs="Helvetica"/>
          <w:sz w:val="20"/>
          <w:szCs w:val="20"/>
        </w:rPr>
        <w:t>Woan</w:t>
      </w:r>
      <w:proofErr w:type="spellEnd"/>
      <w:r>
        <w:rPr>
          <w:rFonts w:ascii="Helvetica" w:hAnsi="Helvetica" w:cs="Helvetica"/>
          <w:sz w:val="20"/>
          <w:szCs w:val="20"/>
        </w:rPr>
        <w:t xml:space="preserve">, T.S., </w:t>
      </w:r>
      <w:proofErr w:type="spellStart"/>
      <w:r>
        <w:rPr>
          <w:rFonts w:ascii="Helvetica" w:hAnsi="Helvetica" w:cs="Helvetica"/>
          <w:sz w:val="20"/>
          <w:szCs w:val="20"/>
        </w:rPr>
        <w:t>Jaaman</w:t>
      </w:r>
      <w:proofErr w:type="spellEnd"/>
      <w:r>
        <w:rPr>
          <w:rFonts w:ascii="Helvetica" w:hAnsi="Helvetica" w:cs="Helvetica"/>
          <w:sz w:val="20"/>
          <w:szCs w:val="20"/>
        </w:rPr>
        <w:t xml:space="preserve">, S.A., and </w:t>
      </w:r>
      <w:proofErr w:type="spellStart"/>
      <w:r>
        <w:rPr>
          <w:rFonts w:ascii="Helvetica" w:hAnsi="Helvetica" w:cs="Helvetica"/>
          <w:sz w:val="20"/>
          <w:szCs w:val="20"/>
        </w:rPr>
        <w:t>Palaniappan</w:t>
      </w:r>
      <w:proofErr w:type="spellEnd"/>
      <w:r>
        <w:rPr>
          <w:rFonts w:ascii="Helvetica" w:hAnsi="Helvetica" w:cs="Helvetica"/>
          <w:sz w:val="20"/>
          <w:szCs w:val="20"/>
        </w:rPr>
        <w:t>, P.M. 2013. A preliminary study of population size of</w:t>
      </w:r>
    </w:p>
    <w:p w:rsidR="00E55025" w:rsidRDefault="00E55025" w:rsidP="00E55025">
      <w:pPr>
        <w:adjustRightInd w:val="0"/>
        <w:spacing w:after="60"/>
        <w:ind w:left="284" w:hanging="284"/>
        <w:jc w:val="both"/>
        <w:rPr>
          <w:rFonts w:ascii="Helvetica" w:hAnsi="Helvetica" w:cs="Helvetica"/>
          <w:sz w:val="20"/>
          <w:szCs w:val="20"/>
        </w:rPr>
      </w:pPr>
      <w:r>
        <w:rPr>
          <w:rFonts w:ascii="Helvetica" w:hAnsi="Helvetica" w:cs="Helvetica"/>
          <w:sz w:val="20"/>
          <w:szCs w:val="20"/>
        </w:rPr>
        <w:t>Irrawaddy Dolphins (</w:t>
      </w:r>
      <w:proofErr w:type="spellStart"/>
      <w:r>
        <w:rPr>
          <w:rFonts w:ascii="Helvetica" w:hAnsi="Helvetica" w:cs="Helvetica"/>
          <w:sz w:val="20"/>
          <w:szCs w:val="20"/>
        </w:rPr>
        <w:t>Orcaella</w:t>
      </w:r>
      <w:proofErr w:type="spellEnd"/>
      <w:r>
        <w:rPr>
          <w:rFonts w:ascii="Helvetica" w:hAnsi="Helvetica" w:cs="Helvetica"/>
          <w:sz w:val="20"/>
          <w:szCs w:val="20"/>
        </w:rPr>
        <w:t xml:space="preserve"> </w:t>
      </w:r>
      <w:proofErr w:type="spellStart"/>
      <w:r>
        <w:rPr>
          <w:rFonts w:ascii="Helvetica" w:hAnsi="Helvetica" w:cs="Helvetica"/>
          <w:sz w:val="20"/>
          <w:szCs w:val="20"/>
        </w:rPr>
        <w:t>brevirostris</w:t>
      </w:r>
      <w:proofErr w:type="spellEnd"/>
      <w:r>
        <w:rPr>
          <w:rFonts w:ascii="Helvetica" w:hAnsi="Helvetica" w:cs="Helvetica"/>
          <w:sz w:val="20"/>
          <w:szCs w:val="20"/>
        </w:rPr>
        <w:t xml:space="preserve">) in Cowie Bay, Sabah, Malaysia. Journal of Tropical Biology </w:t>
      </w:r>
      <w:proofErr w:type="spellStart"/>
      <w:r>
        <w:rPr>
          <w:rFonts w:ascii="Helvetica" w:hAnsi="Helvetica" w:cs="Helvetica"/>
          <w:sz w:val="20"/>
          <w:szCs w:val="20"/>
        </w:rPr>
        <w:t>andConservation</w:t>
      </w:r>
      <w:proofErr w:type="spellEnd"/>
      <w:r>
        <w:rPr>
          <w:rFonts w:ascii="Helvetica" w:hAnsi="Helvetica" w:cs="Helvetica"/>
          <w:sz w:val="20"/>
          <w:szCs w:val="20"/>
        </w:rPr>
        <w:t xml:space="preserve"> 10: 23-26</w:t>
      </w:r>
    </w:p>
    <w:p w:rsidR="00E55025" w:rsidRDefault="00E55025" w:rsidP="00E55025">
      <w:pPr>
        <w:adjustRightInd w:val="0"/>
        <w:ind w:left="284" w:hanging="284"/>
        <w:jc w:val="both"/>
        <w:rPr>
          <w:rFonts w:ascii="Helvetica" w:hAnsi="Helvetica" w:cs="Helvetica"/>
          <w:sz w:val="20"/>
          <w:szCs w:val="20"/>
        </w:rPr>
      </w:pPr>
    </w:p>
    <w:p w:rsidR="00E55025" w:rsidRPr="00E55025" w:rsidRDefault="00E55025" w:rsidP="00E55025">
      <w:pPr>
        <w:adjustRightInd w:val="0"/>
        <w:jc w:val="both"/>
        <w:rPr>
          <w:rFonts w:ascii="Helvetica" w:hAnsi="Helvetica" w:cs="Helvetica"/>
        </w:rPr>
      </w:pPr>
    </w:p>
    <w:sectPr w:rsidR="00E55025" w:rsidRPr="00E55025" w:rsidSect="00CE4BFD">
      <w:headerReference w:type="even" r:id="rId24"/>
      <w:headerReference w:type="default" r:id="rId25"/>
      <w:headerReference w:type="first" r:id="rId26"/>
      <w:pgSz w:w="11910" w:h="16840"/>
      <w:pgMar w:top="1220" w:right="1040" w:bottom="900" w:left="1340" w:header="713"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BFD" w:rsidRDefault="00CE4BFD">
      <w:pPr>
        <w:spacing w:after="0"/>
      </w:pPr>
      <w:r>
        <w:separator/>
      </w:r>
    </w:p>
  </w:endnote>
  <w:endnote w:type="continuationSeparator" w:id="0">
    <w:p w:rsidR="00CE4BFD" w:rsidRDefault="00CE4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BFD" w:rsidRDefault="00CE4BFD">
    <w:pPr>
      <w:pStyle w:val="Footer"/>
      <w:jc w:val="center"/>
    </w:pPr>
    <w:r>
      <w:fldChar w:fldCharType="begin"/>
    </w:r>
    <w:r>
      <w:instrText xml:space="preserve"> PAGE </w:instrText>
    </w:r>
    <w:r>
      <w:fldChar w:fldCharType="separate"/>
    </w:r>
    <w: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BFD" w:rsidRDefault="00CE4BFD">
    <w:pPr>
      <w:pStyle w:val="Footer"/>
      <w:ind w:right="-63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149523"/>
      <w:docPartObj>
        <w:docPartGallery w:val="Page Numbers (Bottom of Page)"/>
        <w:docPartUnique/>
      </w:docPartObj>
    </w:sdtPr>
    <w:sdtEndPr>
      <w:rPr>
        <w:noProof/>
      </w:rPr>
    </w:sdtEndPr>
    <w:sdtContent>
      <w:p w:rsidR="00CE4BFD" w:rsidRDefault="00CE4BFD" w:rsidP="00CE4B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29328"/>
      <w:docPartObj>
        <w:docPartGallery w:val="Page Numbers (Bottom of Page)"/>
        <w:docPartUnique/>
      </w:docPartObj>
    </w:sdtPr>
    <w:sdtEndPr>
      <w:rPr>
        <w:noProof/>
      </w:rPr>
    </w:sdtEndPr>
    <w:sdtContent>
      <w:p w:rsidR="00CE4BFD" w:rsidRPr="00CE4BFD" w:rsidRDefault="00E55025" w:rsidP="00E550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158763"/>
      <w:docPartObj>
        <w:docPartGallery w:val="Page Numbers (Bottom of Page)"/>
        <w:docPartUnique/>
      </w:docPartObj>
    </w:sdtPr>
    <w:sdtEndPr>
      <w:rPr>
        <w:noProof/>
      </w:rPr>
    </w:sdtEndPr>
    <w:sdtContent>
      <w:p w:rsidR="00CE4BFD" w:rsidRPr="00CE4BFD" w:rsidRDefault="00E55025" w:rsidP="00E550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685052"/>
      <w:docPartObj>
        <w:docPartGallery w:val="Page Numbers (Bottom of Page)"/>
        <w:docPartUnique/>
      </w:docPartObj>
    </w:sdtPr>
    <w:sdtEndPr>
      <w:rPr>
        <w:noProof/>
      </w:rPr>
    </w:sdtEndPr>
    <w:sdtContent>
      <w:p w:rsidR="00CE4BFD" w:rsidRPr="00E55025" w:rsidRDefault="00E55025" w:rsidP="00E550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652695"/>
      <w:docPartObj>
        <w:docPartGallery w:val="Page Numbers (Bottom of Page)"/>
        <w:docPartUnique/>
      </w:docPartObj>
    </w:sdtPr>
    <w:sdtEndPr>
      <w:rPr>
        <w:noProof/>
      </w:rPr>
    </w:sdtEndPr>
    <w:sdtContent>
      <w:p w:rsidR="00CE4BFD" w:rsidRPr="00E55025" w:rsidRDefault="00E55025" w:rsidP="00E550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BFD" w:rsidRDefault="00CE4BFD">
      <w:pPr>
        <w:spacing w:after="0"/>
      </w:pPr>
      <w:r>
        <w:rPr>
          <w:color w:val="000000"/>
        </w:rPr>
        <w:separator/>
      </w:r>
    </w:p>
  </w:footnote>
  <w:footnote w:type="continuationSeparator" w:id="0">
    <w:p w:rsidR="00CE4BFD" w:rsidRDefault="00CE4BFD">
      <w:pPr>
        <w:spacing w:after="0"/>
      </w:pPr>
      <w:r>
        <w:continuationSeparator/>
      </w:r>
    </w:p>
  </w:footnote>
  <w:footnote w:id="1">
    <w:p w:rsidR="00CE4BFD" w:rsidRPr="00A817C3" w:rsidRDefault="00CE4BFD" w:rsidP="00CE4BFD">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BFD" w:rsidRDefault="00CE4BFD">
    <w:pPr>
      <w:pStyle w:val="Heading1"/>
      <w:keepNext w:val="0"/>
      <w:pBdr>
        <w:bottom w:val="single" w:sz="4" w:space="1" w:color="000000"/>
      </w:pBdr>
      <w:tabs>
        <w:tab w:val="clear" w:pos="-720"/>
      </w:tabs>
      <w:ind w:left="261" w:right="-277" w:hanging="261"/>
      <w:jc w:val="right"/>
    </w:pPr>
    <w:r>
      <w:rPr>
        <w:rFonts w:eastAsia="Arial" w:cs="Arial"/>
        <w:b w:val="0"/>
        <w:i/>
        <w:iCs/>
        <w:sz w:val="18"/>
        <w:szCs w:val="18"/>
        <w:lang w:val="fr-FR"/>
      </w:rPr>
      <w:t>UNEP/CMS/COP12/Doc14.1</w:t>
    </w:r>
  </w:p>
  <w:p w:rsidR="00CE4BFD" w:rsidRDefault="00CE4BFD">
    <w:pPr>
      <w:jc w:val="right"/>
      <w:rPr>
        <w:i/>
        <w:szCs w:val="20"/>
        <w:lang w:val="fr-F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025" w:rsidRPr="00752DE4" w:rsidRDefault="00E55025" w:rsidP="00E55025">
    <w:pPr>
      <w:pStyle w:val="Header"/>
      <w:pBdr>
        <w:bottom w:val="single" w:sz="4" w:space="1" w:color="auto"/>
      </w:pBdr>
      <w:jc w:val="right"/>
      <w:rPr>
        <w:i/>
        <w:szCs w:val="18"/>
      </w:rPr>
    </w:pPr>
    <w:r>
      <w:rPr>
        <w:i/>
        <w:szCs w:val="18"/>
      </w:rPr>
      <w:t>UNEP/CMS/COP13/Doc.28.2.5</w:t>
    </w:r>
  </w:p>
  <w:p w:rsidR="00E55025" w:rsidRPr="00E55025" w:rsidRDefault="00E55025" w:rsidP="00E550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BFD" w:rsidRPr="008E6E77" w:rsidRDefault="00CE4BFD" w:rsidP="00CE4BFD">
    <w:pPr>
      <w:pStyle w:val="Header"/>
      <w:pBdr>
        <w:bottom w:val="single" w:sz="4" w:space="1" w:color="auto"/>
      </w:pBdr>
      <w:jc w:val="right"/>
      <w:rPr>
        <w:rFonts w:cs="Arial"/>
        <w:i/>
        <w:szCs w:val="18"/>
      </w:rPr>
    </w:pPr>
    <w:r>
      <w:rPr>
        <w:i/>
        <w:szCs w:val="18"/>
      </w:rPr>
      <w:t>UNEP/CMS/COP13/Doc.[  ]/Annex[...]</w:t>
    </w:r>
  </w:p>
  <w:p w:rsidR="00CE4BFD" w:rsidRPr="002E0DE9" w:rsidRDefault="00CE4BFD" w:rsidP="00CE4BFD">
    <w:pPr>
      <w:tabs>
        <w:tab w:val="center" w:pos="4680"/>
        <w:tab w:val="right" w:pos="9360"/>
      </w:tabs>
      <w:spacing w:after="0"/>
      <w:ind w:right="-547"/>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BFD" w:rsidRDefault="00CE4BFD">
    <w:pPr>
      <w:pStyle w:val="Header"/>
      <w:ind w:right="-547"/>
      <w:jc w:val="right"/>
    </w:pPr>
    <w:r>
      <w:rPr>
        <w:noProof/>
        <w:lang w:val="en-US"/>
      </w:rPr>
      <w:drawing>
        <wp:anchor distT="0" distB="0" distL="114300" distR="114300" simplePos="0" relativeHeight="251659264" behindDoc="0" locked="0" layoutInCell="1" allowOverlap="1">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780" t="-1236" r="60236" b="48836"/>
                  <a:stretch>
                    <a:fillRect/>
                  </a:stretch>
                </pic:blipFill>
                <pic:spPr>
                  <a:xfrm>
                    <a:off x="0" y="0"/>
                    <a:ext cx="431167" cy="440685"/>
                  </a:xfrm>
                  <a:prstGeom prst="rect">
                    <a:avLst/>
                  </a:prstGeom>
                  <a:noFill/>
                  <a:ln>
                    <a:noFill/>
                    <a:prstDash/>
                  </a:ln>
                </pic:spPr>
              </pic:pic>
            </a:graphicData>
          </a:graphic>
        </wp:anchor>
      </w:drawing>
    </w:r>
    <w:r>
      <w:rPr>
        <w:noProof/>
        <w:sz w:val="4"/>
        <w:szCs w:val="4"/>
      </w:rPr>
      <w:drawing>
        <wp:anchor distT="0" distB="0" distL="114300" distR="114300" simplePos="0" relativeHeight="251661312" behindDoc="0" locked="0" layoutInCell="1" allowOverlap="1">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90546" cy="278133"/>
                  </a:xfrm>
                  <a:prstGeom prst="rect">
                    <a:avLst/>
                  </a:prstGeom>
                  <a:noFill/>
                  <a:ln>
                    <a:noFill/>
                    <a:prstDash/>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-67308</wp:posOffset>
          </wp:positionH>
          <wp:positionV relativeFrom="paragraph">
            <wp:posOffset>5084</wp:posOffset>
          </wp:positionV>
          <wp:extent cx="945517" cy="510536"/>
          <wp:effectExtent l="0" t="0" r="0" b="0"/>
          <wp:wrapTight wrapText="bothSides">
            <wp:wrapPolygon edited="0">
              <wp:start x="2176" y="2418"/>
              <wp:lineTo x="1306" y="14508"/>
              <wp:lineTo x="1306" y="18537"/>
              <wp:lineTo x="20019" y="18537"/>
              <wp:lineTo x="19584" y="5642"/>
              <wp:lineTo x="19148" y="2418"/>
              <wp:lineTo x="2176" y="2418"/>
            </wp:wrapPolygon>
          </wp:wrapTight>
          <wp:docPr id="3" name="Picture 18" descr="UNEnvironment_Logo_French_Short_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945517" cy="51053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BFD" w:rsidRPr="00752DE4" w:rsidRDefault="00CE4BFD" w:rsidP="00CE4BFD">
    <w:pPr>
      <w:pStyle w:val="Header"/>
      <w:pBdr>
        <w:bottom w:val="single" w:sz="4" w:space="1" w:color="auto"/>
      </w:pBdr>
      <w:rPr>
        <w:i/>
        <w:szCs w:val="18"/>
      </w:rPr>
    </w:pPr>
    <w:r>
      <w:rPr>
        <w:i/>
        <w:szCs w:val="18"/>
      </w:rPr>
      <w:t>UNEP/CMS/COP13/Doc.28.2.5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BFD" w:rsidRPr="00CE4BFD" w:rsidRDefault="00CE4BFD" w:rsidP="00CE4BFD">
    <w:pPr>
      <w:pStyle w:val="Heading1"/>
      <w:keepNext w:val="0"/>
      <w:pBdr>
        <w:bottom w:val="single" w:sz="4" w:space="1" w:color="000000"/>
      </w:pBdr>
      <w:tabs>
        <w:tab w:val="clear" w:pos="-720"/>
      </w:tabs>
      <w:ind w:left="261" w:right="369" w:hanging="261"/>
      <w:jc w:val="right"/>
      <w:rPr>
        <w:sz w:val="18"/>
        <w:szCs w:val="18"/>
      </w:rPr>
    </w:pPr>
    <w:r>
      <w:rPr>
        <w:rFonts w:eastAsia="Arial" w:cs="Arial"/>
        <w:b w:val="0"/>
        <w:i/>
        <w:iCs/>
        <w:sz w:val="18"/>
        <w:szCs w:val="18"/>
        <w:lang w:val="fr-FR"/>
      </w:rPr>
      <w:t>UNEP/CMS/COP12/Doc.28.</w:t>
    </w:r>
    <w:r w:rsidRPr="00CE4BFD">
      <w:rPr>
        <w:rFonts w:eastAsia="Arial" w:cs="Arial"/>
        <w:b w:val="0"/>
        <w:i/>
        <w:iCs/>
        <w:sz w:val="18"/>
        <w:szCs w:val="18"/>
        <w:lang w:val="fr-FR"/>
      </w:rPr>
      <w:t>2.5</w:t>
    </w:r>
  </w:p>
  <w:p w:rsidR="00CE4BFD" w:rsidRDefault="00CE4BFD">
    <w:pPr>
      <w:jc w:val="right"/>
      <w:rPr>
        <w:i/>
        <w:szCs w:val="20"/>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BFD" w:rsidRPr="00752DE4" w:rsidRDefault="00CE4BFD" w:rsidP="00CE4BFD">
    <w:pPr>
      <w:pStyle w:val="Header"/>
      <w:pBdr>
        <w:bottom w:val="single" w:sz="4" w:space="1" w:color="auto"/>
      </w:pBdr>
      <w:rPr>
        <w:i/>
        <w:szCs w:val="18"/>
      </w:rPr>
    </w:pPr>
    <w:r>
      <w:rPr>
        <w:i/>
        <w:szCs w:val="18"/>
      </w:rPr>
      <w:t>UNEP/CMS/COP13/Doc.28.2.5</w:t>
    </w:r>
  </w:p>
  <w:p w:rsidR="00CE4BFD" w:rsidRPr="00CE4BFD" w:rsidRDefault="00CE4BFD" w:rsidP="00CE4B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BFD" w:rsidRPr="00752DE4" w:rsidRDefault="00CE4BFD" w:rsidP="00CE4BFD">
    <w:pPr>
      <w:pStyle w:val="Header"/>
      <w:pBdr>
        <w:bottom w:val="single" w:sz="4" w:space="1" w:color="auto"/>
      </w:pBdr>
      <w:jc w:val="right"/>
      <w:rPr>
        <w:i/>
        <w:szCs w:val="18"/>
      </w:rPr>
    </w:pPr>
    <w:r>
      <w:rPr>
        <w:i/>
        <w:szCs w:val="18"/>
      </w:rPr>
      <w:t>UNEP/CMS/COP13/Doc.28.2.5</w:t>
    </w:r>
  </w:p>
  <w:p w:rsidR="00CE4BFD" w:rsidRPr="00CE4BFD" w:rsidRDefault="00CE4BFD" w:rsidP="00CE4B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025" w:rsidRPr="00752DE4" w:rsidRDefault="00E55025" w:rsidP="00E55025">
    <w:pPr>
      <w:pStyle w:val="Header"/>
      <w:pBdr>
        <w:bottom w:val="single" w:sz="4" w:space="1" w:color="auto"/>
      </w:pBdr>
      <w:rPr>
        <w:i/>
        <w:szCs w:val="18"/>
      </w:rPr>
    </w:pPr>
    <w:r>
      <w:rPr>
        <w:i/>
        <w:szCs w:val="18"/>
      </w:rPr>
      <w:t>UNEP/CMS/COP13/Doc.28.2.5</w:t>
    </w:r>
  </w:p>
  <w:p w:rsidR="00CE4BFD" w:rsidRPr="00E55025" w:rsidRDefault="00CE4BFD" w:rsidP="00E550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025" w:rsidRPr="00752DE4" w:rsidRDefault="00E55025" w:rsidP="00E55025">
    <w:pPr>
      <w:pStyle w:val="Header"/>
      <w:pBdr>
        <w:bottom w:val="single" w:sz="4" w:space="1" w:color="auto"/>
      </w:pBdr>
      <w:rPr>
        <w:i/>
        <w:szCs w:val="18"/>
      </w:rPr>
    </w:pPr>
    <w:r>
      <w:rPr>
        <w:i/>
        <w:szCs w:val="18"/>
      </w:rPr>
      <w:t>UNEP/CMS/COP13/Doc.28.2.5</w:t>
    </w:r>
  </w:p>
  <w:p w:rsidR="00CE4BFD" w:rsidRPr="00E55025" w:rsidRDefault="00CE4BFD" w:rsidP="00E5502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BFD" w:rsidRPr="008E6E77" w:rsidRDefault="00CE4BFD" w:rsidP="00CE4BFD">
    <w:pPr>
      <w:pStyle w:val="Header"/>
      <w:pBdr>
        <w:bottom w:val="single" w:sz="4" w:space="1" w:color="auto"/>
      </w:pBdr>
      <w:rPr>
        <w:rFonts w:cs="Arial"/>
        <w:i/>
        <w:szCs w:val="18"/>
      </w:rPr>
    </w:pPr>
    <w:r>
      <w:rPr>
        <w:i/>
        <w:szCs w:val="18"/>
      </w:rPr>
      <w:t>UNEP/CMS/COP13/Doc.</w:t>
    </w:r>
    <w:r w:rsidR="00E55025">
      <w:rPr>
        <w:i/>
        <w:szCs w:val="18"/>
      </w:rPr>
      <w:t>28.2.5</w:t>
    </w:r>
  </w:p>
  <w:p w:rsidR="00CE4BFD" w:rsidRPr="00371DE1" w:rsidRDefault="00CE4BFD" w:rsidP="00CE4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6285"/>
    <w:multiLevelType w:val="hybridMultilevel"/>
    <w:tmpl w:val="1C96072C"/>
    <w:lvl w:ilvl="0" w:tplc="C5FE1BBC">
      <w:start w:val="1"/>
      <w:numFmt w:val="upperLetter"/>
      <w:lvlText w:val="%1."/>
      <w:lvlJc w:val="left"/>
      <w:pPr>
        <w:ind w:left="701" w:hanging="341"/>
        <w:jc w:val="right"/>
      </w:pPr>
      <w:rPr>
        <w:rFonts w:hint="default"/>
        <w:b/>
        <w:bCs/>
        <w:spacing w:val="-7"/>
        <w:w w:val="100"/>
        <w:lang w:val="en-US" w:eastAsia="en-US" w:bidi="en-US"/>
      </w:rPr>
    </w:lvl>
    <w:lvl w:ilvl="1" w:tplc="FC2272AA">
      <w:start w:val="1"/>
      <w:numFmt w:val="decimal"/>
      <w:lvlText w:val="%2."/>
      <w:lvlJc w:val="left"/>
      <w:pPr>
        <w:ind w:left="789" w:hanging="360"/>
      </w:pPr>
      <w:rPr>
        <w:rFonts w:hint="default"/>
        <w:w w:val="100"/>
        <w:lang w:val="en-US" w:eastAsia="en-US" w:bidi="en-US"/>
      </w:rPr>
    </w:lvl>
    <w:lvl w:ilvl="2" w:tplc="C5FE1BBC">
      <w:start w:val="1"/>
      <w:numFmt w:val="upperLetter"/>
      <w:lvlText w:val="%3."/>
      <w:lvlJc w:val="left"/>
      <w:pPr>
        <w:ind w:left="1089" w:hanging="360"/>
      </w:pPr>
      <w:rPr>
        <w:rFonts w:hint="default"/>
        <w:b/>
        <w:bCs/>
        <w:spacing w:val="-7"/>
        <w:w w:val="100"/>
        <w:lang w:val="en-US" w:eastAsia="en-US" w:bidi="en-US"/>
      </w:rPr>
    </w:lvl>
    <w:lvl w:ilvl="3" w:tplc="B3DC8D3E">
      <w:numFmt w:val="bullet"/>
      <w:lvlText w:val="•"/>
      <w:lvlJc w:val="left"/>
      <w:pPr>
        <w:ind w:left="2139" w:hanging="360"/>
      </w:pPr>
      <w:rPr>
        <w:rFonts w:hint="default"/>
        <w:lang w:val="en-US" w:eastAsia="en-US" w:bidi="en-US"/>
      </w:rPr>
    </w:lvl>
    <w:lvl w:ilvl="4" w:tplc="2482D9FC">
      <w:numFmt w:val="bullet"/>
      <w:lvlText w:val="•"/>
      <w:lvlJc w:val="left"/>
      <w:pPr>
        <w:ind w:left="3190" w:hanging="360"/>
      </w:pPr>
      <w:rPr>
        <w:rFonts w:hint="default"/>
        <w:lang w:val="en-US" w:eastAsia="en-US" w:bidi="en-US"/>
      </w:rPr>
    </w:lvl>
    <w:lvl w:ilvl="5" w:tplc="3C72333C">
      <w:numFmt w:val="bullet"/>
      <w:lvlText w:val="•"/>
      <w:lvlJc w:val="left"/>
      <w:pPr>
        <w:ind w:left="4241" w:hanging="360"/>
      </w:pPr>
      <w:rPr>
        <w:rFonts w:hint="default"/>
        <w:lang w:val="en-US" w:eastAsia="en-US" w:bidi="en-US"/>
      </w:rPr>
    </w:lvl>
    <w:lvl w:ilvl="6" w:tplc="CC3EE0FE">
      <w:numFmt w:val="bullet"/>
      <w:lvlText w:val="•"/>
      <w:lvlJc w:val="left"/>
      <w:pPr>
        <w:ind w:left="5292" w:hanging="360"/>
      </w:pPr>
      <w:rPr>
        <w:rFonts w:hint="default"/>
        <w:lang w:val="en-US" w:eastAsia="en-US" w:bidi="en-US"/>
      </w:rPr>
    </w:lvl>
    <w:lvl w:ilvl="7" w:tplc="18B4EF9E">
      <w:numFmt w:val="bullet"/>
      <w:lvlText w:val="•"/>
      <w:lvlJc w:val="left"/>
      <w:pPr>
        <w:ind w:left="6343" w:hanging="360"/>
      </w:pPr>
      <w:rPr>
        <w:rFonts w:hint="default"/>
        <w:lang w:val="en-US" w:eastAsia="en-US" w:bidi="en-US"/>
      </w:rPr>
    </w:lvl>
    <w:lvl w:ilvl="8" w:tplc="0A165998">
      <w:numFmt w:val="bullet"/>
      <w:lvlText w:val="•"/>
      <w:lvlJc w:val="left"/>
      <w:pPr>
        <w:ind w:left="7393" w:hanging="360"/>
      </w:pPr>
      <w:rPr>
        <w:rFonts w:hint="default"/>
        <w:lang w:val="en-US" w:eastAsia="en-US" w:bidi="en-US"/>
      </w:rPr>
    </w:lvl>
  </w:abstractNum>
  <w:abstractNum w:abstractNumId="1" w15:restartNumberingAfterBreak="0">
    <w:nsid w:val="0FAE2DCA"/>
    <w:multiLevelType w:val="hybridMultilevel"/>
    <w:tmpl w:val="D662F5A4"/>
    <w:lvl w:ilvl="0" w:tplc="F356E56A">
      <w:start w:val="1"/>
      <w:numFmt w:val="lowerRoman"/>
      <w:lvlText w:val="(%1)"/>
      <w:lvlJc w:val="left"/>
      <w:pPr>
        <w:ind w:left="1117" w:hanging="720"/>
      </w:pPr>
      <w:rPr>
        <w:rFonts w:hint="default"/>
        <w:u w:val="none"/>
      </w:rPr>
    </w:lvl>
    <w:lvl w:ilvl="1" w:tplc="20000019" w:tentative="1">
      <w:start w:val="1"/>
      <w:numFmt w:val="lowerLetter"/>
      <w:lvlText w:val="%2."/>
      <w:lvlJc w:val="left"/>
      <w:pPr>
        <w:ind w:left="1477" w:hanging="360"/>
      </w:pPr>
    </w:lvl>
    <w:lvl w:ilvl="2" w:tplc="2000001B" w:tentative="1">
      <w:start w:val="1"/>
      <w:numFmt w:val="lowerRoman"/>
      <w:lvlText w:val="%3."/>
      <w:lvlJc w:val="right"/>
      <w:pPr>
        <w:ind w:left="2197" w:hanging="180"/>
      </w:pPr>
    </w:lvl>
    <w:lvl w:ilvl="3" w:tplc="2000000F" w:tentative="1">
      <w:start w:val="1"/>
      <w:numFmt w:val="decimal"/>
      <w:lvlText w:val="%4."/>
      <w:lvlJc w:val="left"/>
      <w:pPr>
        <w:ind w:left="2917" w:hanging="360"/>
      </w:pPr>
    </w:lvl>
    <w:lvl w:ilvl="4" w:tplc="20000019" w:tentative="1">
      <w:start w:val="1"/>
      <w:numFmt w:val="lowerLetter"/>
      <w:lvlText w:val="%5."/>
      <w:lvlJc w:val="left"/>
      <w:pPr>
        <w:ind w:left="3637" w:hanging="360"/>
      </w:pPr>
    </w:lvl>
    <w:lvl w:ilvl="5" w:tplc="2000001B" w:tentative="1">
      <w:start w:val="1"/>
      <w:numFmt w:val="lowerRoman"/>
      <w:lvlText w:val="%6."/>
      <w:lvlJc w:val="right"/>
      <w:pPr>
        <w:ind w:left="4357" w:hanging="180"/>
      </w:pPr>
    </w:lvl>
    <w:lvl w:ilvl="6" w:tplc="2000000F" w:tentative="1">
      <w:start w:val="1"/>
      <w:numFmt w:val="decimal"/>
      <w:lvlText w:val="%7."/>
      <w:lvlJc w:val="left"/>
      <w:pPr>
        <w:ind w:left="5077" w:hanging="360"/>
      </w:pPr>
    </w:lvl>
    <w:lvl w:ilvl="7" w:tplc="20000019" w:tentative="1">
      <w:start w:val="1"/>
      <w:numFmt w:val="lowerLetter"/>
      <w:lvlText w:val="%8."/>
      <w:lvlJc w:val="left"/>
      <w:pPr>
        <w:ind w:left="5797" w:hanging="360"/>
      </w:pPr>
    </w:lvl>
    <w:lvl w:ilvl="8" w:tplc="2000001B" w:tentative="1">
      <w:start w:val="1"/>
      <w:numFmt w:val="lowerRoman"/>
      <w:lvlText w:val="%9."/>
      <w:lvlJc w:val="right"/>
      <w:pPr>
        <w:ind w:left="6517" w:hanging="180"/>
      </w:pPr>
    </w:lvl>
  </w:abstractNum>
  <w:abstractNum w:abstractNumId="2" w15:restartNumberingAfterBreak="0">
    <w:nsid w:val="11757BA8"/>
    <w:multiLevelType w:val="multilevel"/>
    <w:tmpl w:val="7B201EC6"/>
    <w:styleLink w:val="WWOutlineListStyle"/>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9D5443F"/>
    <w:multiLevelType w:val="multilevel"/>
    <w:tmpl w:val="D8001428"/>
    <w:styleLink w:val="WWOutlineListStyle2"/>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2D32E26"/>
    <w:multiLevelType w:val="hybridMultilevel"/>
    <w:tmpl w:val="4F5E638E"/>
    <w:lvl w:ilvl="0" w:tplc="FC2272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6013ABC"/>
    <w:multiLevelType w:val="multilevel"/>
    <w:tmpl w:val="017E78E0"/>
    <w:styleLink w:val="WWOutlineListStyle7"/>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BEF3E1B"/>
    <w:multiLevelType w:val="multilevel"/>
    <w:tmpl w:val="CAE44A34"/>
    <w:styleLink w:val="WWOutlineListStyle3"/>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32428A9"/>
    <w:multiLevelType w:val="multilevel"/>
    <w:tmpl w:val="46741BAA"/>
    <w:styleLink w:val="WWOutlineListStyle9"/>
    <w:lvl w:ilvl="0">
      <w:start w:val="1456521968"/>
      <w:numFmt w:val="decimal"/>
      <w:pStyle w:val="Level1"/>
      <w:lvlText w:val="%1."/>
      <w:lvlJc w:val="left"/>
      <w:rPr>
        <w:rFonts w:cs="Times New Roman"/>
      </w:rPr>
    </w:lvl>
    <w:lvl w:ilvl="1">
      <w:start w:val="1456523648"/>
      <w:numFmt w:val="decimal"/>
      <w:pStyle w:val="Level2"/>
      <w:lvlText w:val="(%1.%2"/>
      <w:lvlJc w:val="left"/>
      <w:rPr>
        <w:rFonts w:cs="Times New Roman"/>
      </w:rPr>
    </w:lvl>
    <w:lvl w:ilvl="2">
      <w:start w:val="1456520768"/>
      <w:numFmt w:val="decimal"/>
      <w:pStyle w:val="Level3"/>
      <w:lvlText w:val="(%1.%2.%3"/>
      <w:lvlJc w:val="left"/>
      <w:rPr>
        <w:rFonts w:cs="Times New Roman"/>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E6E4A16"/>
    <w:multiLevelType w:val="hybridMultilevel"/>
    <w:tmpl w:val="EBF4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E298A"/>
    <w:multiLevelType w:val="multilevel"/>
    <w:tmpl w:val="86725094"/>
    <w:styleLink w:val="WWOutlineListStyle5"/>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D5D2A1B"/>
    <w:multiLevelType w:val="hybridMultilevel"/>
    <w:tmpl w:val="3AB47F0A"/>
    <w:lvl w:ilvl="0" w:tplc="C5FE1BBC">
      <w:start w:val="1"/>
      <w:numFmt w:val="upperLetter"/>
      <w:lvlText w:val="%1."/>
      <w:lvlJc w:val="left"/>
      <w:pPr>
        <w:ind w:left="701" w:hanging="341"/>
        <w:jc w:val="right"/>
      </w:pPr>
      <w:rPr>
        <w:rFonts w:hint="default"/>
        <w:b/>
        <w:bCs/>
        <w:spacing w:val="-7"/>
        <w:w w:val="100"/>
        <w:lang w:val="en-US" w:eastAsia="en-US" w:bidi="en-US"/>
      </w:rPr>
    </w:lvl>
    <w:lvl w:ilvl="1" w:tplc="FC2272AA">
      <w:start w:val="1"/>
      <w:numFmt w:val="decimal"/>
      <w:lvlText w:val="%2."/>
      <w:lvlJc w:val="left"/>
      <w:pPr>
        <w:ind w:left="789" w:hanging="360"/>
      </w:pPr>
      <w:rPr>
        <w:rFonts w:hint="default"/>
        <w:w w:val="100"/>
        <w:lang w:val="en-US" w:eastAsia="en-US" w:bidi="en-US"/>
      </w:rPr>
    </w:lvl>
    <w:lvl w:ilvl="2" w:tplc="32F0B2C6">
      <w:start w:val="1"/>
      <w:numFmt w:val="decimal"/>
      <w:lvlText w:val="%3."/>
      <w:lvlJc w:val="left"/>
      <w:pPr>
        <w:ind w:left="1089" w:hanging="360"/>
      </w:pPr>
      <w:rPr>
        <w:rFonts w:hint="default"/>
        <w:b w:val="0"/>
        <w:bCs/>
        <w:spacing w:val="-7"/>
        <w:w w:val="100"/>
        <w:lang w:val="en-US" w:eastAsia="en-US" w:bidi="en-US"/>
      </w:rPr>
    </w:lvl>
    <w:lvl w:ilvl="3" w:tplc="B3DC8D3E">
      <w:numFmt w:val="bullet"/>
      <w:lvlText w:val="•"/>
      <w:lvlJc w:val="left"/>
      <w:pPr>
        <w:ind w:left="2139" w:hanging="360"/>
      </w:pPr>
      <w:rPr>
        <w:rFonts w:hint="default"/>
        <w:lang w:val="en-US" w:eastAsia="en-US" w:bidi="en-US"/>
      </w:rPr>
    </w:lvl>
    <w:lvl w:ilvl="4" w:tplc="2482D9FC">
      <w:numFmt w:val="bullet"/>
      <w:lvlText w:val="•"/>
      <w:lvlJc w:val="left"/>
      <w:pPr>
        <w:ind w:left="3190" w:hanging="360"/>
      </w:pPr>
      <w:rPr>
        <w:rFonts w:hint="default"/>
        <w:lang w:val="en-US" w:eastAsia="en-US" w:bidi="en-US"/>
      </w:rPr>
    </w:lvl>
    <w:lvl w:ilvl="5" w:tplc="3C72333C">
      <w:numFmt w:val="bullet"/>
      <w:lvlText w:val="•"/>
      <w:lvlJc w:val="left"/>
      <w:pPr>
        <w:ind w:left="4241" w:hanging="360"/>
      </w:pPr>
      <w:rPr>
        <w:rFonts w:hint="default"/>
        <w:lang w:val="en-US" w:eastAsia="en-US" w:bidi="en-US"/>
      </w:rPr>
    </w:lvl>
    <w:lvl w:ilvl="6" w:tplc="CC3EE0FE">
      <w:numFmt w:val="bullet"/>
      <w:lvlText w:val="•"/>
      <w:lvlJc w:val="left"/>
      <w:pPr>
        <w:ind w:left="5292" w:hanging="360"/>
      </w:pPr>
      <w:rPr>
        <w:rFonts w:hint="default"/>
        <w:lang w:val="en-US" w:eastAsia="en-US" w:bidi="en-US"/>
      </w:rPr>
    </w:lvl>
    <w:lvl w:ilvl="7" w:tplc="18B4EF9E">
      <w:numFmt w:val="bullet"/>
      <w:lvlText w:val="•"/>
      <w:lvlJc w:val="left"/>
      <w:pPr>
        <w:ind w:left="6343" w:hanging="360"/>
      </w:pPr>
      <w:rPr>
        <w:rFonts w:hint="default"/>
        <w:lang w:val="en-US" w:eastAsia="en-US" w:bidi="en-US"/>
      </w:rPr>
    </w:lvl>
    <w:lvl w:ilvl="8" w:tplc="0A165998">
      <w:numFmt w:val="bullet"/>
      <w:lvlText w:val="•"/>
      <w:lvlJc w:val="left"/>
      <w:pPr>
        <w:ind w:left="7393" w:hanging="360"/>
      </w:pPr>
      <w:rPr>
        <w:rFonts w:hint="default"/>
        <w:lang w:val="en-US" w:eastAsia="en-US" w:bidi="en-US"/>
      </w:rPr>
    </w:lvl>
  </w:abstractNum>
  <w:abstractNum w:abstractNumId="11"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80982"/>
    <w:multiLevelType w:val="multilevel"/>
    <w:tmpl w:val="D0D2B180"/>
    <w:styleLink w:val="WWOutlineListStyle1"/>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E1F245F"/>
    <w:multiLevelType w:val="multilevel"/>
    <w:tmpl w:val="F9A6174E"/>
    <w:styleLink w:val="WWOutlineListStyle4"/>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0085390"/>
    <w:multiLevelType w:val="multilevel"/>
    <w:tmpl w:val="151A07F4"/>
    <w:styleLink w:val="WWOutlineListStyle6"/>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87E7CDE"/>
    <w:multiLevelType w:val="multilevel"/>
    <w:tmpl w:val="6B5ABC5A"/>
    <w:styleLink w:val="WWOutlineListStyle8"/>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103503C"/>
    <w:multiLevelType w:val="hybridMultilevel"/>
    <w:tmpl w:val="CA1E7134"/>
    <w:lvl w:ilvl="0" w:tplc="784A0AD0">
      <w:numFmt w:val="bullet"/>
      <w:lvlText w:val=""/>
      <w:lvlJc w:val="left"/>
      <w:pPr>
        <w:ind w:left="820" w:hanging="360"/>
      </w:pPr>
      <w:rPr>
        <w:rFonts w:hint="default"/>
        <w:w w:val="100"/>
        <w:lang w:val="en-US" w:eastAsia="en-US" w:bidi="en-U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56C4A"/>
    <w:multiLevelType w:val="multilevel"/>
    <w:tmpl w:val="02F03134"/>
    <w:lvl w:ilvl="0">
      <w:start w:val="1"/>
      <w:numFmt w:val="lowerRoman"/>
      <w:lvlText w:val="(%1)."/>
      <w:lvlJc w:val="left"/>
      <w:pPr>
        <w:ind w:left="720"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8821FC"/>
    <w:multiLevelType w:val="hybridMultilevel"/>
    <w:tmpl w:val="E978618C"/>
    <w:lvl w:ilvl="0" w:tplc="CABC3A48">
      <w:start w:val="1"/>
      <w:numFmt w:val="lowerRoman"/>
      <w:lvlText w:val="(%1)"/>
      <w:lvlJc w:val="left"/>
      <w:pPr>
        <w:ind w:left="674" w:hanging="283"/>
      </w:pPr>
      <w:rPr>
        <w:rFonts w:ascii="Arial" w:eastAsia="Arial" w:hAnsi="Arial" w:cs="Arial" w:hint="default"/>
        <w:b/>
        <w:bCs/>
        <w:w w:val="100"/>
        <w:sz w:val="23"/>
        <w:szCs w:val="23"/>
        <w:lang w:val="en-US" w:eastAsia="en-US" w:bidi="en-US"/>
      </w:rPr>
    </w:lvl>
    <w:lvl w:ilvl="1" w:tplc="4D12FE22">
      <w:start w:val="1"/>
      <w:numFmt w:val="lowerLetter"/>
      <w:lvlText w:val="%2)"/>
      <w:lvlJc w:val="left"/>
      <w:pPr>
        <w:ind w:left="1471" w:hanging="360"/>
      </w:pPr>
      <w:rPr>
        <w:rFonts w:hint="default"/>
        <w:i/>
        <w:spacing w:val="-1"/>
        <w:w w:val="100"/>
        <w:lang w:val="en-US" w:eastAsia="en-US" w:bidi="en-US"/>
      </w:rPr>
    </w:lvl>
    <w:lvl w:ilvl="2" w:tplc="02167ABE">
      <w:numFmt w:val="bullet"/>
      <w:lvlText w:val="•"/>
      <w:lvlJc w:val="left"/>
      <w:pPr>
        <w:ind w:left="2442" w:hanging="360"/>
      </w:pPr>
      <w:rPr>
        <w:rFonts w:hint="default"/>
        <w:lang w:val="en-US" w:eastAsia="en-US" w:bidi="en-US"/>
      </w:rPr>
    </w:lvl>
    <w:lvl w:ilvl="3" w:tplc="3F62EBAC">
      <w:numFmt w:val="bullet"/>
      <w:lvlText w:val="•"/>
      <w:lvlJc w:val="left"/>
      <w:pPr>
        <w:ind w:left="3405" w:hanging="360"/>
      </w:pPr>
      <w:rPr>
        <w:rFonts w:hint="default"/>
        <w:lang w:val="en-US" w:eastAsia="en-US" w:bidi="en-US"/>
      </w:rPr>
    </w:lvl>
    <w:lvl w:ilvl="4" w:tplc="AB509662">
      <w:numFmt w:val="bullet"/>
      <w:lvlText w:val="•"/>
      <w:lvlJc w:val="left"/>
      <w:pPr>
        <w:ind w:left="4368" w:hanging="360"/>
      </w:pPr>
      <w:rPr>
        <w:rFonts w:hint="default"/>
        <w:lang w:val="en-US" w:eastAsia="en-US" w:bidi="en-US"/>
      </w:rPr>
    </w:lvl>
    <w:lvl w:ilvl="5" w:tplc="B3F69A4A">
      <w:numFmt w:val="bullet"/>
      <w:lvlText w:val="•"/>
      <w:lvlJc w:val="left"/>
      <w:pPr>
        <w:ind w:left="5330" w:hanging="360"/>
      </w:pPr>
      <w:rPr>
        <w:rFonts w:hint="default"/>
        <w:lang w:val="en-US" w:eastAsia="en-US" w:bidi="en-US"/>
      </w:rPr>
    </w:lvl>
    <w:lvl w:ilvl="6" w:tplc="AF2E00A2">
      <w:numFmt w:val="bullet"/>
      <w:lvlText w:val="•"/>
      <w:lvlJc w:val="left"/>
      <w:pPr>
        <w:ind w:left="6293" w:hanging="360"/>
      </w:pPr>
      <w:rPr>
        <w:rFonts w:hint="default"/>
        <w:lang w:val="en-US" w:eastAsia="en-US" w:bidi="en-US"/>
      </w:rPr>
    </w:lvl>
    <w:lvl w:ilvl="7" w:tplc="9842C304">
      <w:numFmt w:val="bullet"/>
      <w:lvlText w:val="•"/>
      <w:lvlJc w:val="left"/>
      <w:pPr>
        <w:ind w:left="7256" w:hanging="360"/>
      </w:pPr>
      <w:rPr>
        <w:rFonts w:hint="default"/>
        <w:lang w:val="en-US" w:eastAsia="en-US" w:bidi="en-US"/>
      </w:rPr>
    </w:lvl>
    <w:lvl w:ilvl="8" w:tplc="FA7280C0">
      <w:numFmt w:val="bullet"/>
      <w:lvlText w:val="•"/>
      <w:lvlJc w:val="left"/>
      <w:pPr>
        <w:ind w:left="8218" w:hanging="360"/>
      </w:pPr>
      <w:rPr>
        <w:rFonts w:hint="default"/>
        <w:lang w:val="en-US" w:eastAsia="en-US" w:bidi="en-US"/>
      </w:rPr>
    </w:lvl>
  </w:abstractNum>
  <w:num w:numId="1">
    <w:abstractNumId w:val="7"/>
  </w:num>
  <w:num w:numId="2">
    <w:abstractNumId w:val="15"/>
  </w:num>
  <w:num w:numId="3">
    <w:abstractNumId w:val="5"/>
  </w:num>
  <w:num w:numId="4">
    <w:abstractNumId w:val="14"/>
  </w:num>
  <w:num w:numId="5">
    <w:abstractNumId w:val="9"/>
  </w:num>
  <w:num w:numId="6">
    <w:abstractNumId w:val="13"/>
  </w:num>
  <w:num w:numId="7">
    <w:abstractNumId w:val="6"/>
  </w:num>
  <w:num w:numId="8">
    <w:abstractNumId w:val="3"/>
  </w:num>
  <w:num w:numId="9">
    <w:abstractNumId w:val="12"/>
  </w:num>
  <w:num w:numId="10">
    <w:abstractNumId w:val="2"/>
  </w:num>
  <w:num w:numId="11">
    <w:abstractNumId w:val="17"/>
  </w:num>
  <w:num w:numId="12">
    <w:abstractNumId w:val="11"/>
  </w:num>
  <w:num w:numId="13">
    <w:abstractNumId w:val="0"/>
  </w:num>
  <w:num w:numId="14">
    <w:abstractNumId w:val="18"/>
  </w:num>
  <w:num w:numId="15">
    <w:abstractNumId w:val="16"/>
  </w:num>
  <w:num w:numId="16">
    <w:abstractNumId w:val="8"/>
  </w:num>
  <w:num w:numId="17">
    <w:abstractNumId w:val="4"/>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9F"/>
    <w:rsid w:val="00081CF1"/>
    <w:rsid w:val="001056D5"/>
    <w:rsid w:val="001126E0"/>
    <w:rsid w:val="001F739F"/>
    <w:rsid w:val="00803B8F"/>
    <w:rsid w:val="00812AD6"/>
    <w:rsid w:val="00846138"/>
    <w:rsid w:val="00A13B8C"/>
    <w:rsid w:val="00C5756A"/>
    <w:rsid w:val="00CE4BFD"/>
    <w:rsid w:val="00CF7BFF"/>
    <w:rsid w:val="00E16C9D"/>
    <w:rsid w:val="00E55025"/>
    <w:rsid w:val="00E6765E"/>
    <w:rsid w:val="00EC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A3D5D"/>
  <w15:docId w15:val="{1F8F88D3-7C14-4E28-8F5B-ACFF08D7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outlineLvl w:val="0"/>
    </w:pPr>
    <w:rPr>
      <w:rFonts w:eastAsia="Times New Roman"/>
      <w:b/>
      <w:bCs/>
      <w:sz w:val="34"/>
      <w:szCs w:val="36"/>
      <w:lang w:val="en-GB"/>
    </w:rPr>
  </w:style>
  <w:style w:type="paragraph" w:styleId="Heading2">
    <w:name w:val="heading 2"/>
    <w:basedOn w:val="Normal"/>
    <w:next w:val="Normal"/>
    <w:uiPriority w:val="9"/>
    <w:semiHidden/>
    <w:unhideWhenUsed/>
    <w:qFormat/>
    <w:pPr>
      <w:keepNext/>
      <w:widowControl w:val="0"/>
      <w:pBdr>
        <w:top w:val="single" w:sz="6" w:space="0" w:color="FFFFFF"/>
        <w:left w:val="single" w:sz="6" w:space="0" w:color="FFFFFF"/>
        <w:bottom w:val="single" w:sz="6" w:space="0" w:color="FFFFFF"/>
        <w:right w:val="single" w:sz="6" w:space="0" w:color="FFFFFF"/>
      </w:pBdr>
      <w:autoSpaceDE w:val="0"/>
      <w:spacing w:after="0"/>
      <w:outlineLvl w:val="1"/>
    </w:pPr>
    <w:rPr>
      <w:rFonts w:eastAsia="Times New Roman"/>
      <w:b/>
      <w:bCs/>
      <w:sz w:val="36"/>
      <w:szCs w:val="24"/>
    </w:rPr>
  </w:style>
  <w:style w:type="paragraph" w:styleId="Heading3">
    <w:name w:val="heading 3"/>
    <w:basedOn w:val="Normal"/>
    <w:next w:val="Normal"/>
    <w:uiPriority w:val="9"/>
    <w:semiHidden/>
    <w:unhideWhenUsed/>
    <w:qFormat/>
    <w:pPr>
      <w:keepNext/>
      <w:widowControl w:val="0"/>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autoSpaceDE w:val="0"/>
      <w:spacing w:after="0"/>
      <w:ind w:right="-756"/>
      <w:outlineLvl w:val="2"/>
    </w:pPr>
    <w:rPr>
      <w:rFonts w:eastAsia="Times New Roman"/>
      <w:sz w:val="24"/>
      <w:szCs w:val="24"/>
      <w:lang w:val="en-GB"/>
    </w:rPr>
  </w:style>
  <w:style w:type="paragraph" w:styleId="Heading4">
    <w:name w:val="heading 4"/>
    <w:basedOn w:val="Normal"/>
    <w:next w:val="Normal"/>
    <w:uiPriority w:val="9"/>
    <w:semiHidden/>
    <w:unhideWhenUsed/>
    <w:qFormat/>
    <w:pPr>
      <w:keepNext/>
      <w:widowControl w:val="0"/>
      <w:autoSpaceDE w:val="0"/>
      <w:spacing w:after="0"/>
      <w:outlineLvl w:val="3"/>
    </w:pPr>
    <w:rPr>
      <w:rFonts w:eastAsia="Times New Roman"/>
      <w:b/>
      <w:bCs/>
      <w:sz w:val="18"/>
      <w:szCs w:val="20"/>
      <w:lang w:val="en-GB"/>
    </w:rPr>
  </w:style>
  <w:style w:type="paragraph" w:styleId="Heading5">
    <w:name w:val="heading 5"/>
    <w:basedOn w:val="Normal"/>
    <w:next w:val="Normal"/>
    <w:uiPriority w:val="9"/>
    <w:semiHidden/>
    <w:unhideWhenUsed/>
    <w:qFormat/>
    <w:pPr>
      <w:keepNext/>
      <w:widowControl w:val="0"/>
      <w:autoSpaceDE w:val="0"/>
      <w:spacing w:after="0"/>
      <w:jc w:val="both"/>
      <w:outlineLvl w:val="4"/>
    </w:pPr>
    <w:rPr>
      <w:rFonts w:eastAsia="Times New Roman"/>
      <w:b/>
      <w:i/>
      <w:iCs/>
      <w:szCs w:val="24"/>
      <w:u w:val="single"/>
      <w:lang w:val="en-GB"/>
    </w:rPr>
  </w:style>
  <w:style w:type="paragraph" w:styleId="Heading6">
    <w:name w:val="heading 6"/>
    <w:basedOn w:val="Normal"/>
    <w:next w:val="Normal"/>
    <w:uiPriority w:val="9"/>
    <w:semiHidden/>
    <w:unhideWhenUsed/>
    <w:qFormat/>
    <w:pPr>
      <w:keepNext/>
      <w:widowControl w:val="0"/>
      <w:autoSpaceDE w:val="0"/>
      <w:spacing w:after="0"/>
      <w:outlineLvl w:val="5"/>
    </w:pPr>
    <w:rPr>
      <w:rFonts w:eastAsia="Times New Roman"/>
      <w:i/>
      <w:iCs/>
      <w:sz w:val="23"/>
      <w:szCs w:val="23"/>
      <w:lang w:val="en-GB"/>
    </w:rPr>
  </w:style>
  <w:style w:type="paragraph" w:styleId="Heading7">
    <w:name w:val="heading 7"/>
    <w:basedOn w:val="Normal"/>
    <w:next w:val="Normal"/>
    <w:pPr>
      <w:keepNext/>
      <w:widowControl w:val="0"/>
      <w:autoSpaceDE w:val="0"/>
      <w:spacing w:after="0"/>
      <w:jc w:val="center"/>
      <w:outlineLvl w:val="6"/>
    </w:pPr>
    <w:rPr>
      <w:rFonts w:eastAsia="Times New Roman"/>
      <w:b/>
      <w:bCs/>
      <w:sz w:val="26"/>
      <w:szCs w:val="26"/>
      <w:lang w:val="en-GB"/>
    </w:rPr>
  </w:style>
  <w:style w:type="paragraph" w:styleId="Heading8">
    <w:name w:val="heading 8"/>
    <w:basedOn w:val="Normal"/>
    <w:next w:val="Normal"/>
    <w:pPr>
      <w:keepNext/>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ind w:right="-108"/>
      <w:outlineLvl w:val="7"/>
    </w:pPr>
    <w:rPr>
      <w:rFonts w:eastAsia="Times New Roman" w:cs="Arial"/>
      <w:sz w:val="24"/>
      <w:szCs w:val="24"/>
      <w:lang w:val="en-GB"/>
    </w:rPr>
  </w:style>
  <w:style w:type="paragraph" w:styleId="Heading9">
    <w:name w:val="heading 9"/>
    <w:basedOn w:val="Normal"/>
    <w:next w:val="Normal"/>
    <w:pPr>
      <w:keepNext/>
      <w:widowControl w:val="0"/>
      <w:tabs>
        <w:tab w:val="left" w:pos="-1057"/>
        <w:tab w:val="left" w:pos="-720"/>
        <w:tab w:val="left" w:pos="0"/>
        <w:tab w:val="left" w:pos="141"/>
        <w:tab w:val="left" w:pos="720"/>
        <w:tab w:val="left" w:pos="1440"/>
        <w:tab w:val="left" w:pos="2160"/>
        <w:tab w:val="left" w:pos="2880"/>
        <w:tab w:val="right" w:pos="5426"/>
      </w:tabs>
      <w:autoSpaceDE w:val="0"/>
      <w:spacing w:after="0" w:line="300" w:lineRule="atLeast"/>
      <w:outlineLvl w:val="8"/>
    </w:pPr>
    <w:rPr>
      <w:rFonts w:eastAsia="Times New Roman"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paragraph" w:customStyle="1" w:styleId="Level1">
    <w:name w:val="Level 1"/>
    <w:basedOn w:val="Normal"/>
    <w:pPr>
      <w:widowControl w:val="0"/>
      <w:numPr>
        <w:numId w:val="1"/>
      </w:numPr>
      <w:autoSpaceDE w:val="0"/>
      <w:spacing w:after="0"/>
      <w:outlineLvl w:val="0"/>
    </w:pPr>
    <w:rPr>
      <w:rFonts w:eastAsia="Times New Roman"/>
      <w:sz w:val="18"/>
      <w:szCs w:val="24"/>
    </w:rPr>
  </w:style>
  <w:style w:type="paragraph" w:customStyle="1" w:styleId="Level2">
    <w:name w:val="Level 2"/>
    <w:basedOn w:val="Normal"/>
    <w:pPr>
      <w:widowControl w:val="0"/>
      <w:numPr>
        <w:ilvl w:val="1"/>
        <w:numId w:val="1"/>
      </w:numPr>
      <w:autoSpaceDE w:val="0"/>
      <w:spacing w:after="0"/>
      <w:outlineLvl w:val="1"/>
    </w:pPr>
    <w:rPr>
      <w:rFonts w:eastAsia="Times New Roman"/>
      <w:sz w:val="18"/>
      <w:szCs w:val="24"/>
    </w:rPr>
  </w:style>
  <w:style w:type="paragraph" w:customStyle="1" w:styleId="Level3">
    <w:name w:val="Level 3"/>
    <w:basedOn w:val="Normal"/>
    <w:pPr>
      <w:widowControl w:val="0"/>
      <w:numPr>
        <w:ilvl w:val="2"/>
        <w:numId w:val="1"/>
      </w:numPr>
      <w:autoSpaceDE w:val="0"/>
      <w:spacing w:after="0"/>
      <w:outlineLvl w:val="2"/>
    </w:pPr>
    <w:rPr>
      <w:rFonts w:eastAsia="Times New Roman"/>
      <w:sz w:val="18"/>
      <w:szCs w:val="24"/>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Arial" w:eastAsia="Times New Roman" w:hAnsi="Arial" w:cs="Times New Roman"/>
      <w:b/>
      <w:bCs/>
      <w:sz w:val="34"/>
      <w:szCs w:val="36"/>
      <w:lang w:val="en-GB"/>
    </w:rPr>
  </w:style>
  <w:style w:type="character" w:customStyle="1" w:styleId="Heading2Char">
    <w:name w:val="Heading 2 Char"/>
    <w:basedOn w:val="DefaultParagraphFont"/>
    <w:rPr>
      <w:rFonts w:ascii="Arial" w:eastAsia="Times New Roman" w:hAnsi="Arial" w:cs="Times New Roman"/>
      <w:b/>
      <w:bCs/>
      <w:sz w:val="36"/>
      <w:szCs w:val="24"/>
    </w:rPr>
  </w:style>
  <w:style w:type="character" w:customStyle="1" w:styleId="Heading3Char">
    <w:name w:val="Heading 3 Char"/>
    <w:basedOn w:val="DefaultParagraphFont"/>
    <w:rPr>
      <w:rFonts w:ascii="Arial" w:eastAsia="Times New Roman" w:hAnsi="Arial" w:cs="Times New Roman"/>
      <w:sz w:val="24"/>
      <w:szCs w:val="24"/>
      <w:lang w:val="en-GB"/>
    </w:rPr>
  </w:style>
  <w:style w:type="character" w:customStyle="1" w:styleId="Heading4Char">
    <w:name w:val="Heading 4 Char"/>
    <w:basedOn w:val="DefaultParagraphFont"/>
    <w:rPr>
      <w:rFonts w:ascii="Arial" w:eastAsia="Times New Roman" w:hAnsi="Arial" w:cs="Times New Roman"/>
      <w:b/>
      <w:bCs/>
      <w:sz w:val="18"/>
      <w:szCs w:val="20"/>
      <w:lang w:val="en-GB"/>
    </w:rPr>
  </w:style>
  <w:style w:type="character" w:customStyle="1" w:styleId="Heading5Char">
    <w:name w:val="Heading 5 Char"/>
    <w:basedOn w:val="DefaultParagraphFont"/>
    <w:rPr>
      <w:rFonts w:ascii="Arial" w:eastAsia="Times New Roman" w:hAnsi="Arial" w:cs="Times New Roman"/>
      <w:b/>
      <w:i/>
      <w:iCs/>
      <w:szCs w:val="24"/>
      <w:u w:val="single"/>
      <w:lang w:val="en-GB"/>
    </w:rPr>
  </w:style>
  <w:style w:type="character" w:customStyle="1" w:styleId="Heading6Char">
    <w:name w:val="Heading 6 Char"/>
    <w:basedOn w:val="DefaultParagraphFont"/>
    <w:rPr>
      <w:rFonts w:ascii="Arial" w:eastAsia="Times New Roman" w:hAnsi="Arial" w:cs="Times New Roman"/>
      <w:i/>
      <w:iCs/>
      <w:sz w:val="23"/>
      <w:szCs w:val="23"/>
      <w:lang w:val="en-GB"/>
    </w:rPr>
  </w:style>
  <w:style w:type="character" w:customStyle="1" w:styleId="Heading7Char">
    <w:name w:val="Heading 7 Char"/>
    <w:basedOn w:val="DefaultParagraphFont"/>
    <w:rPr>
      <w:rFonts w:ascii="Arial" w:eastAsia="Times New Roman" w:hAnsi="Arial" w:cs="Times New Roman"/>
      <w:b/>
      <w:bCs/>
      <w:sz w:val="26"/>
      <w:szCs w:val="26"/>
      <w:lang w:val="en-GB"/>
    </w:rPr>
  </w:style>
  <w:style w:type="character" w:customStyle="1" w:styleId="Heading8Char">
    <w:name w:val="Heading 8 Char"/>
    <w:basedOn w:val="DefaultParagraphFont"/>
    <w:rPr>
      <w:rFonts w:ascii="Arial" w:eastAsia="Times New Roman" w:hAnsi="Arial" w:cs="Arial"/>
      <w:sz w:val="24"/>
      <w:szCs w:val="24"/>
      <w:lang w:val="en-GB"/>
    </w:rPr>
  </w:style>
  <w:style w:type="character" w:customStyle="1" w:styleId="Heading9Char">
    <w:name w:val="Heading 9 Char"/>
    <w:basedOn w:val="DefaultParagraphFont"/>
    <w:rPr>
      <w:rFonts w:ascii="Arial" w:eastAsia="Times New Roman" w:hAnsi="Arial" w:cs="Arial"/>
      <w:b/>
      <w:bCs/>
      <w:sz w:val="32"/>
      <w:szCs w:val="36"/>
      <w:lang w:val="en-GB"/>
    </w:rPr>
  </w:style>
  <w:style w:type="character" w:styleId="FootnoteReference">
    <w:name w:val="footnote reference"/>
    <w:uiPriority w:val="99"/>
    <w:rPr>
      <w:rFonts w:cs="Times New Roman"/>
    </w:rPr>
  </w:style>
  <w:style w:type="paragraph" w:customStyle="1" w:styleId="1AutoList1">
    <w:name w:val="1AutoList1"/>
    <w:pPr>
      <w:widowControl w:val="0"/>
      <w:tabs>
        <w:tab w:val="left" w:pos="720"/>
      </w:tabs>
      <w:suppressAutoHyphens/>
      <w:autoSpaceDE w:val="0"/>
      <w:spacing w:after="0"/>
      <w:ind w:left="720" w:hanging="720"/>
      <w:jc w:val="both"/>
    </w:pPr>
    <w:rPr>
      <w:rFonts w:eastAsia="Times New Roman"/>
      <w:sz w:val="24"/>
      <w:szCs w:val="24"/>
      <w:lang w:val="en-GB"/>
    </w:rPr>
  </w:style>
  <w:style w:type="paragraph" w:customStyle="1" w:styleId="Preformatted">
    <w:name w:val="Preformatted"/>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suppressAutoHyphens/>
      <w:autoSpaceDE w:val="0"/>
      <w:spacing w:after="0"/>
    </w:pPr>
    <w:rPr>
      <w:rFonts w:ascii="Courier New" w:eastAsia="Times New Roman" w:hAnsi="Courier New" w:cs="Courier New"/>
      <w:sz w:val="18"/>
      <w:szCs w:val="24"/>
    </w:rPr>
  </w:style>
  <w:style w:type="paragraph" w:customStyle="1" w:styleId="footnotetex">
    <w:name w:val="footnote tex"/>
    <w:pPr>
      <w:widowControl w:val="0"/>
      <w:suppressAutoHyphens/>
      <w:autoSpaceDE w:val="0"/>
      <w:spacing w:after="0"/>
      <w:jc w:val="both"/>
    </w:pPr>
    <w:rPr>
      <w:rFonts w:eastAsia="Times New Roman"/>
      <w:sz w:val="18"/>
      <w:szCs w:val="24"/>
      <w:lang w:val="de-DE"/>
    </w:rPr>
  </w:style>
  <w:style w:type="character" w:styleId="PageNumber">
    <w:name w:val="page number"/>
    <w:rPr>
      <w:rFonts w:cs="Times New Roman"/>
    </w:rPr>
  </w:style>
  <w:style w:type="paragraph" w:styleId="Header">
    <w:name w:val="header"/>
    <w:basedOn w:val="Normal"/>
    <w:uiPriority w:val="99"/>
    <w:pPr>
      <w:widowControl w:val="0"/>
      <w:tabs>
        <w:tab w:val="center" w:pos="4153"/>
        <w:tab w:val="right" w:pos="8306"/>
      </w:tabs>
      <w:autoSpaceDE w:val="0"/>
      <w:spacing w:after="0"/>
    </w:pPr>
    <w:rPr>
      <w:rFonts w:eastAsia="Times New Roman"/>
      <w:sz w:val="18"/>
      <w:szCs w:val="20"/>
      <w:lang w:val="en-GB"/>
    </w:rPr>
  </w:style>
  <w:style w:type="character" w:customStyle="1" w:styleId="HeaderChar">
    <w:name w:val="Header Char"/>
    <w:basedOn w:val="DefaultParagraphFont"/>
    <w:uiPriority w:val="99"/>
    <w:rPr>
      <w:rFonts w:ascii="Arial" w:eastAsia="Times New Roman" w:hAnsi="Arial" w:cs="Times New Roman"/>
      <w:sz w:val="18"/>
      <w:szCs w:val="20"/>
      <w:lang w:val="en-GB"/>
    </w:rPr>
  </w:style>
  <w:style w:type="paragraph" w:styleId="Footer">
    <w:name w:val="footer"/>
    <w:basedOn w:val="Normal"/>
    <w:uiPriority w:val="99"/>
    <w:pPr>
      <w:widowControl w:val="0"/>
      <w:tabs>
        <w:tab w:val="center" w:pos="4320"/>
        <w:tab w:val="right" w:pos="8640"/>
      </w:tabs>
      <w:autoSpaceDE w:val="0"/>
      <w:spacing w:after="0"/>
    </w:pPr>
    <w:rPr>
      <w:rFonts w:eastAsia="Times New Roman"/>
      <w:sz w:val="18"/>
      <w:szCs w:val="24"/>
    </w:rPr>
  </w:style>
  <w:style w:type="character" w:customStyle="1" w:styleId="FooterChar">
    <w:name w:val="Footer Char"/>
    <w:basedOn w:val="DefaultParagraphFont"/>
    <w:uiPriority w:val="99"/>
    <w:rPr>
      <w:rFonts w:ascii="Arial" w:eastAsia="Times New Roman" w:hAnsi="Arial" w:cs="Times New Roman"/>
      <w:sz w:val="18"/>
      <w:szCs w:val="24"/>
    </w:rPr>
  </w:style>
  <w:style w:type="paragraph" w:styleId="BodyTextIndent">
    <w:name w:val="Body Text Indent"/>
    <w:basedOn w:val="Normal"/>
    <w:pPr>
      <w:widowControl w:val="0"/>
      <w:autoSpaceDE w:val="0"/>
      <w:spacing w:after="0"/>
      <w:ind w:left="720" w:hanging="720"/>
      <w:jc w:val="both"/>
    </w:pPr>
    <w:rPr>
      <w:rFonts w:eastAsia="Times New Roman"/>
      <w:szCs w:val="24"/>
      <w:lang w:val="en-GB"/>
    </w:rPr>
  </w:style>
  <w:style w:type="character" w:customStyle="1" w:styleId="BodyTextIndentChar">
    <w:name w:val="Body Text Indent Char"/>
    <w:basedOn w:val="DefaultParagraphFont"/>
    <w:rPr>
      <w:rFonts w:ascii="Arial" w:eastAsia="Times New Roman" w:hAnsi="Arial" w:cs="Times New Roman"/>
      <w:szCs w:val="24"/>
      <w:lang w:val="en-GB"/>
    </w:rPr>
  </w:style>
  <w:style w:type="paragraph" w:styleId="BodyText">
    <w:name w:val="Body Text"/>
    <w:basedOn w:val="Normal"/>
    <w:pPr>
      <w:widowControl w:val="0"/>
      <w:autoSpaceDE w:val="0"/>
      <w:spacing w:after="0"/>
      <w:jc w:val="both"/>
    </w:pPr>
    <w:rPr>
      <w:rFonts w:eastAsia="Times New Roman"/>
      <w:szCs w:val="24"/>
      <w:lang w:val="en-GB"/>
    </w:rPr>
  </w:style>
  <w:style w:type="character" w:customStyle="1" w:styleId="BodyTextChar">
    <w:name w:val="Body Text Char"/>
    <w:basedOn w:val="DefaultParagraphFont"/>
    <w:rPr>
      <w:rFonts w:ascii="Arial" w:eastAsia="Times New Roman" w:hAnsi="Arial" w:cs="Times New Roman"/>
      <w:szCs w:val="24"/>
      <w:lang w:val="en-GB"/>
    </w:rPr>
  </w:style>
  <w:style w:type="character" w:styleId="Hyperlink">
    <w:name w:val="Hyperlink"/>
    <w:rPr>
      <w:rFonts w:cs="Times New Roman"/>
      <w:color w:val="0000FF"/>
      <w:u w:val="single"/>
    </w:rPr>
  </w:style>
  <w:style w:type="paragraph" w:styleId="FootnoteText">
    <w:name w:val="footnote text"/>
    <w:basedOn w:val="Normal"/>
    <w:uiPriority w:val="99"/>
    <w:pPr>
      <w:widowControl w:val="0"/>
      <w:autoSpaceDE w:val="0"/>
      <w:spacing w:after="0"/>
    </w:pPr>
    <w:rPr>
      <w:rFonts w:eastAsia="Times New Roman"/>
      <w:sz w:val="18"/>
      <w:szCs w:val="20"/>
    </w:rPr>
  </w:style>
  <w:style w:type="character" w:customStyle="1" w:styleId="FootnoteTextChar">
    <w:name w:val="Footnote Text Char"/>
    <w:basedOn w:val="DefaultParagraphFont"/>
    <w:uiPriority w:val="99"/>
    <w:rPr>
      <w:rFonts w:ascii="Arial" w:eastAsia="Times New Roman" w:hAnsi="Arial" w:cs="Times New Roman"/>
      <w:sz w:val="18"/>
      <w:szCs w:val="20"/>
    </w:rPr>
  </w:style>
  <w:style w:type="paragraph" w:styleId="BodyText2">
    <w:name w:val="Body Text 2"/>
    <w:basedOn w:val="Normal"/>
    <w:pPr>
      <w:widowControl w:val="0"/>
      <w:autoSpaceDE w:val="0"/>
      <w:spacing w:after="0"/>
    </w:pPr>
    <w:rPr>
      <w:rFonts w:eastAsia="Times New Roman"/>
      <w:szCs w:val="24"/>
    </w:rPr>
  </w:style>
  <w:style w:type="character" w:customStyle="1" w:styleId="BodyText2Char">
    <w:name w:val="Body Text 2 Char"/>
    <w:basedOn w:val="DefaultParagraphFont"/>
    <w:rPr>
      <w:rFonts w:ascii="Arial" w:eastAsia="Times New Roman" w:hAnsi="Arial" w:cs="Times New Roman"/>
      <w:szCs w:val="24"/>
    </w:rPr>
  </w:style>
  <w:style w:type="paragraph" w:styleId="BalloonText">
    <w:name w:val="Balloon Text"/>
    <w:basedOn w:val="Normal"/>
    <w:pPr>
      <w:widowControl w:val="0"/>
      <w:autoSpaceDE w:val="0"/>
      <w:spacing w:after="0"/>
    </w:pPr>
    <w:rPr>
      <w:rFonts w:ascii="Tahoma" w:eastAsia="Times New Roman"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paragraph" w:styleId="BodyText3">
    <w:name w:val="Body Text 3"/>
    <w:basedOn w:val="Normal"/>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line="228" w:lineRule="auto"/>
      <w:jc w:val="center"/>
    </w:pPr>
    <w:rPr>
      <w:rFonts w:eastAsia="Times New Roman"/>
      <w:b/>
      <w:bCs/>
      <w:sz w:val="24"/>
      <w:szCs w:val="24"/>
      <w:lang w:val="en-GB"/>
    </w:rPr>
  </w:style>
  <w:style w:type="character" w:customStyle="1" w:styleId="BodyText3Char">
    <w:name w:val="Body Text 3 Char"/>
    <w:basedOn w:val="DefaultParagraphFont"/>
    <w:rPr>
      <w:rFonts w:ascii="Arial" w:eastAsia="Times New Roman" w:hAnsi="Arial" w:cs="Times New Roman"/>
      <w:b/>
      <w:bCs/>
      <w:sz w:val="24"/>
      <w:szCs w:val="24"/>
      <w:lang w:val="en-GB"/>
    </w:rPr>
  </w:style>
  <w:style w:type="paragraph" w:styleId="BlockText">
    <w:name w:val="Block Text"/>
    <w:basedOn w:val="Normal"/>
    <w:pPr>
      <w:widowControl w:val="0"/>
      <w:autoSpaceDE w:val="0"/>
      <w:spacing w:after="0"/>
      <w:ind w:left="1418" w:right="283" w:hanging="709"/>
    </w:pPr>
    <w:rPr>
      <w:rFonts w:eastAsia="Times New Roman"/>
      <w:sz w:val="24"/>
      <w:szCs w:val="23"/>
    </w:rPr>
  </w:style>
  <w:style w:type="character" w:styleId="FollowedHyperlink">
    <w:name w:val="FollowedHyperlink"/>
    <w:rPr>
      <w:rFonts w:cs="Times New Roman"/>
      <w:color w:val="800080"/>
      <w:u w:val="single"/>
    </w:rPr>
  </w:style>
  <w:style w:type="paragraph" w:styleId="Title">
    <w:name w:val="Title"/>
    <w:basedOn w:val="Normal"/>
    <w:uiPriority w:val="10"/>
    <w:qFormat/>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jc w:val="center"/>
    </w:pPr>
    <w:rPr>
      <w:rFonts w:eastAsia="Times New Roman" w:cs="Arial"/>
      <w:b/>
      <w:bCs/>
      <w:sz w:val="32"/>
      <w:lang w:val="en-GB"/>
    </w:rPr>
  </w:style>
  <w:style w:type="character" w:customStyle="1" w:styleId="TitleChar">
    <w:name w:val="Title Char"/>
    <w:basedOn w:val="DefaultParagraphFont"/>
    <w:rPr>
      <w:rFonts w:ascii="Arial" w:eastAsia="Times New Roman" w:hAnsi="Arial" w:cs="Arial"/>
      <w:b/>
      <w:bCs/>
      <w:sz w:val="32"/>
      <w:lang w:val="en-GB"/>
    </w:rPr>
  </w:style>
  <w:style w:type="paragraph" w:customStyle="1" w:styleId="ColorfulList-Accent11">
    <w:name w:val="Colorful List - Accent 11"/>
    <w:basedOn w:val="Normal"/>
    <w:pPr>
      <w:spacing w:after="0"/>
      <w:ind w:left="720"/>
    </w:pPr>
    <w:rPr>
      <w:rFonts w:eastAsia="Times New Roman"/>
      <w:sz w:val="24"/>
      <w:szCs w:val="24"/>
      <w:lang w:val="es-UY"/>
    </w:rPr>
  </w:style>
  <w:style w:type="character" w:styleId="CommentReference">
    <w:name w:val="annotation reference"/>
    <w:rPr>
      <w:rFonts w:cs="Times New Roman"/>
      <w:sz w:val="18"/>
    </w:rPr>
  </w:style>
  <w:style w:type="paragraph" w:styleId="CommentText">
    <w:name w:val="annotation text"/>
    <w:basedOn w:val="Normal"/>
    <w:pPr>
      <w:widowControl w:val="0"/>
      <w:autoSpaceDE w:val="0"/>
      <w:spacing w:after="0"/>
    </w:pPr>
    <w:rPr>
      <w:rFonts w:eastAsia="Times New Roman"/>
      <w:sz w:val="24"/>
      <w:szCs w:val="24"/>
    </w:rPr>
  </w:style>
  <w:style w:type="character" w:customStyle="1" w:styleId="CommentTextChar">
    <w:name w:val="Comment Text Char"/>
    <w:basedOn w:val="DefaultParagraphFont"/>
    <w:rPr>
      <w:rFonts w:ascii="Arial" w:eastAsia="Times New Roman" w:hAnsi="Arial" w:cs="Times New Roman"/>
      <w:sz w:val="24"/>
      <w:szCs w:val="24"/>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cs="Times New Roman"/>
      <w:b/>
      <w:bCs/>
      <w:sz w:val="24"/>
      <w:szCs w:val="24"/>
    </w:rPr>
  </w:style>
  <w:style w:type="paragraph" w:styleId="ListParagraph">
    <w:name w:val="List Paragraph"/>
    <w:basedOn w:val="Normal"/>
    <w:link w:val="ListParagraphChar"/>
    <w:uiPriority w:val="72"/>
    <w:qFormat/>
    <w:pPr>
      <w:widowControl w:val="0"/>
      <w:autoSpaceDE w:val="0"/>
      <w:spacing w:after="0"/>
      <w:ind w:left="720"/>
    </w:pPr>
    <w:rPr>
      <w:rFonts w:eastAsia="Times New Roman"/>
      <w:sz w:val="18"/>
      <w:szCs w:val="24"/>
    </w:rPr>
  </w:style>
  <w:style w:type="character" w:styleId="Emphasis">
    <w:name w:val="Emphasis"/>
    <w:rPr>
      <w:rFonts w:cs="Times New Roman"/>
      <w:i/>
      <w:iCs/>
    </w:rPr>
  </w:style>
  <w:style w:type="paragraph" w:customStyle="1" w:styleId="Default">
    <w:name w:val="Default"/>
    <w:basedOn w:val="Normal"/>
    <w:pPr>
      <w:autoSpaceDE w:val="0"/>
      <w:spacing w:after="0"/>
    </w:pPr>
    <w:rPr>
      <w:rFonts w:eastAsia="Times New Roman"/>
      <w:color w:val="000000"/>
      <w:sz w:val="24"/>
      <w:szCs w:val="24"/>
      <w:lang w:val="en-GB" w:eastAsia="en-GB"/>
    </w:rPr>
  </w:style>
  <w:style w:type="paragraph" w:customStyle="1" w:styleId="msonormal0">
    <w:name w:val="msonormal"/>
    <w:basedOn w:val="Normal"/>
    <w:pPr>
      <w:spacing w:before="100" w:after="100"/>
    </w:pPr>
    <w:rPr>
      <w:rFonts w:ascii="Times New Roman" w:eastAsia="Times New Roman" w:hAnsi="Times New Roman"/>
      <w:sz w:val="24"/>
      <w:szCs w:val="24"/>
    </w:rPr>
  </w:style>
  <w:style w:type="paragraph" w:customStyle="1" w:styleId="font5">
    <w:name w:val="font5"/>
    <w:basedOn w:val="Normal"/>
    <w:pPr>
      <w:spacing w:before="100" w:after="100"/>
    </w:pPr>
    <w:rPr>
      <w:rFonts w:eastAsia="Times New Roman" w:cs="Arial"/>
      <w:b/>
      <w:bCs/>
      <w:color w:val="1F497D"/>
      <w:sz w:val="16"/>
      <w:szCs w:val="16"/>
    </w:rPr>
  </w:style>
  <w:style w:type="paragraph" w:customStyle="1" w:styleId="font6">
    <w:name w:val="font6"/>
    <w:basedOn w:val="Normal"/>
    <w:pPr>
      <w:spacing w:before="100" w:after="100"/>
    </w:pPr>
    <w:rPr>
      <w:rFonts w:eastAsia="Times New Roman" w:cs="Arial"/>
      <w:b/>
      <w:bCs/>
      <w:i/>
      <w:iCs/>
      <w:color w:val="1F497D"/>
      <w:sz w:val="16"/>
      <w:szCs w:val="16"/>
    </w:rPr>
  </w:style>
  <w:style w:type="paragraph" w:customStyle="1" w:styleId="font7">
    <w:name w:val="font7"/>
    <w:basedOn w:val="Normal"/>
    <w:pPr>
      <w:spacing w:before="100" w:after="100"/>
    </w:pPr>
    <w:rPr>
      <w:rFonts w:eastAsia="Times New Roman" w:cs="Arial"/>
      <w:color w:val="000000"/>
      <w:sz w:val="16"/>
      <w:szCs w:val="16"/>
    </w:rPr>
  </w:style>
  <w:style w:type="paragraph" w:customStyle="1" w:styleId="font8">
    <w:name w:val="font8"/>
    <w:basedOn w:val="Normal"/>
    <w:pPr>
      <w:spacing w:before="100" w:after="100"/>
    </w:pPr>
    <w:rPr>
      <w:rFonts w:eastAsia="Times New Roman" w:cs="Arial"/>
      <w:color w:val="000000"/>
      <w:sz w:val="16"/>
      <w:szCs w:val="16"/>
    </w:rPr>
  </w:style>
  <w:style w:type="paragraph" w:customStyle="1" w:styleId="xl71">
    <w:name w:val="xl71"/>
    <w:basedOn w:val="Normal"/>
    <w:pPr>
      <w:spacing w:before="100" w:after="100"/>
      <w:textAlignment w:val="top"/>
    </w:pPr>
    <w:rPr>
      <w:rFonts w:eastAsia="Times New Roman" w:cs="Arial"/>
      <w:b/>
      <w:bCs/>
      <w:sz w:val="16"/>
      <w:szCs w:val="16"/>
    </w:rPr>
  </w:style>
  <w:style w:type="paragraph" w:customStyle="1" w:styleId="xl72">
    <w:name w:val="xl72"/>
    <w:basedOn w:val="Normal"/>
    <w:pPr>
      <w:spacing w:before="100" w:after="100"/>
      <w:textAlignment w:val="top"/>
    </w:pPr>
    <w:rPr>
      <w:rFonts w:eastAsia="Times New Roman" w:cs="Arial"/>
      <w:sz w:val="16"/>
      <w:szCs w:val="16"/>
    </w:rPr>
  </w:style>
  <w:style w:type="paragraph" w:customStyle="1" w:styleId="xl73">
    <w:name w:val="xl73"/>
    <w:basedOn w:val="Normal"/>
    <w:pPr>
      <w:spacing w:before="100" w:after="100"/>
      <w:textAlignment w:val="top"/>
    </w:pPr>
    <w:rPr>
      <w:rFonts w:eastAsia="Times New Roman" w:cs="Arial"/>
      <w:sz w:val="16"/>
      <w:szCs w:val="16"/>
    </w:rPr>
  </w:style>
  <w:style w:type="paragraph" w:customStyle="1" w:styleId="xl74">
    <w:name w:val="xl74"/>
    <w:basedOn w:val="Normal"/>
    <w:pPr>
      <w:spacing w:before="100" w:after="100"/>
      <w:textAlignment w:val="top"/>
    </w:pPr>
    <w:rPr>
      <w:rFonts w:eastAsia="Times New Roman" w:cs="Arial"/>
      <w:sz w:val="16"/>
      <w:szCs w:val="16"/>
    </w:rPr>
  </w:style>
  <w:style w:type="paragraph" w:customStyle="1" w:styleId="xl75">
    <w:name w:val="xl75"/>
    <w:basedOn w:val="Normal"/>
    <w:pPr>
      <w:spacing w:before="100" w:after="100"/>
      <w:textAlignment w:val="top"/>
    </w:pPr>
    <w:rPr>
      <w:rFonts w:eastAsia="Times New Roman" w:cs="Arial"/>
      <w:b/>
      <w:bCs/>
      <w:sz w:val="16"/>
      <w:szCs w:val="16"/>
    </w:rPr>
  </w:style>
  <w:style w:type="paragraph" w:customStyle="1" w:styleId="xl76">
    <w:name w:val="xl7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77">
    <w:name w:val="xl7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78">
    <w:name w:val="xl7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79">
    <w:name w:val="xl7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80">
    <w:name w:val="xl80"/>
    <w:basedOn w:val="Normal"/>
    <w:pPr>
      <w:spacing w:before="100" w:after="100"/>
      <w:jc w:val="center"/>
      <w:textAlignment w:val="top"/>
    </w:pPr>
    <w:rPr>
      <w:rFonts w:eastAsia="Times New Roman" w:cs="Arial"/>
      <w:b/>
      <w:bCs/>
      <w:i/>
      <w:iCs/>
      <w:sz w:val="16"/>
      <w:szCs w:val="16"/>
    </w:rPr>
  </w:style>
  <w:style w:type="paragraph" w:customStyle="1" w:styleId="xl81">
    <w:name w:val="xl8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82">
    <w:name w:val="xl8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83">
    <w:name w:val="xl8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84">
    <w:name w:val="xl8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85">
    <w:name w:val="xl8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86">
    <w:name w:val="xl8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87">
    <w:name w:val="xl8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88">
    <w:name w:val="xl8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89">
    <w:name w:val="xl8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color w:val="000000"/>
      <w:sz w:val="16"/>
      <w:szCs w:val="16"/>
    </w:rPr>
  </w:style>
  <w:style w:type="paragraph" w:customStyle="1" w:styleId="xl90">
    <w:name w:val="xl9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91">
    <w:name w:val="xl9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eastAsia="Times New Roman" w:cs="Arial"/>
      <w:b/>
      <w:bCs/>
      <w:sz w:val="16"/>
      <w:szCs w:val="16"/>
    </w:rPr>
  </w:style>
  <w:style w:type="paragraph" w:customStyle="1" w:styleId="xl92">
    <w:name w:val="xl92"/>
    <w:basedOn w:val="Normal"/>
    <w:pPr>
      <w:shd w:val="clear" w:color="auto" w:fill="DCE6F1"/>
      <w:spacing w:before="100" w:after="100"/>
      <w:jc w:val="center"/>
      <w:textAlignment w:val="top"/>
    </w:pPr>
    <w:rPr>
      <w:rFonts w:eastAsia="Times New Roman" w:cs="Arial"/>
      <w:b/>
      <w:bCs/>
      <w:sz w:val="16"/>
      <w:szCs w:val="16"/>
    </w:rPr>
  </w:style>
  <w:style w:type="paragraph" w:customStyle="1" w:styleId="xl93">
    <w:name w:val="xl93"/>
    <w:basedOn w:val="Normal"/>
    <w:pPr>
      <w:shd w:val="clear" w:color="auto" w:fill="DCE6F1"/>
      <w:spacing w:before="100" w:after="100"/>
      <w:jc w:val="center"/>
      <w:textAlignment w:val="top"/>
    </w:pPr>
    <w:rPr>
      <w:rFonts w:eastAsia="Times New Roman" w:cs="Arial"/>
      <w:b/>
      <w:bCs/>
      <w:sz w:val="16"/>
      <w:szCs w:val="16"/>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eastAsia="Times New Roman" w:cs="Arial"/>
      <w:b/>
      <w:bCs/>
      <w:i/>
      <w:iCs/>
      <w:color w:val="1F497D"/>
      <w:sz w:val="16"/>
      <w:szCs w:val="16"/>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eastAsia="Times New Roman" w:cs="Arial"/>
      <w:b/>
      <w:bCs/>
      <w:i/>
      <w:iCs/>
      <w:color w:val="1F497D"/>
      <w:sz w:val="16"/>
      <w:szCs w:val="16"/>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eastAsia="Times New Roman" w:cs="Arial"/>
      <w:b/>
      <w:bCs/>
      <w:sz w:val="16"/>
      <w:szCs w:val="16"/>
    </w:rPr>
  </w:style>
  <w:style w:type="paragraph" w:customStyle="1" w:styleId="xl97">
    <w:name w:val="xl97"/>
    <w:basedOn w:val="Normal"/>
    <w:pPr>
      <w:shd w:val="clear" w:color="auto" w:fill="DCE6F1"/>
      <w:spacing w:before="100" w:after="100"/>
      <w:jc w:val="center"/>
      <w:textAlignment w:val="top"/>
    </w:pPr>
    <w:rPr>
      <w:rFonts w:eastAsia="Times New Roman" w:cs="Arial"/>
      <w:b/>
      <w:bCs/>
      <w:sz w:val="16"/>
      <w:szCs w:val="16"/>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eastAsia="Times New Roman" w:cs="Arial"/>
      <w:b/>
      <w:bCs/>
      <w:i/>
      <w:iCs/>
      <w:color w:val="1F497D"/>
      <w:sz w:val="16"/>
      <w:szCs w:val="16"/>
    </w:rPr>
  </w:style>
  <w:style w:type="paragraph" w:customStyle="1" w:styleId="xl99">
    <w:name w:val="xl99"/>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eastAsia="Times New Roman" w:cs="Arial"/>
      <w:b/>
      <w:bCs/>
      <w:sz w:val="16"/>
      <w:szCs w:val="16"/>
    </w:rPr>
  </w:style>
  <w:style w:type="paragraph" w:customStyle="1" w:styleId="xl100">
    <w:name w:val="xl100"/>
    <w:basedOn w:val="Normal"/>
    <w:pPr>
      <w:spacing w:before="100" w:after="100"/>
      <w:jc w:val="center"/>
      <w:textAlignment w:val="top"/>
    </w:pPr>
    <w:rPr>
      <w:rFonts w:eastAsia="Times New Roman" w:cs="Arial"/>
      <w:sz w:val="16"/>
      <w:szCs w:val="16"/>
    </w:rPr>
  </w:style>
  <w:style w:type="paragraph" w:customStyle="1" w:styleId="xl101">
    <w:name w:val="xl101"/>
    <w:basedOn w:val="Normal"/>
    <w:pPr>
      <w:shd w:val="clear" w:color="auto" w:fill="DCE6F1"/>
      <w:spacing w:before="100" w:after="100"/>
      <w:jc w:val="center"/>
      <w:textAlignment w:val="top"/>
    </w:pPr>
    <w:rPr>
      <w:rFonts w:eastAsia="Times New Roman" w:cs="Arial"/>
      <w:b/>
      <w:bCs/>
      <w:sz w:val="16"/>
      <w:szCs w:val="16"/>
    </w:rPr>
  </w:style>
  <w:style w:type="paragraph" w:customStyle="1" w:styleId="xl102">
    <w:name w:val="xl102"/>
    <w:basedOn w:val="Normal"/>
    <w:pPr>
      <w:spacing w:before="100" w:after="100"/>
      <w:jc w:val="center"/>
      <w:textAlignment w:val="top"/>
    </w:pPr>
    <w:rPr>
      <w:rFonts w:eastAsia="Times New Roman" w:cs="Arial"/>
      <w:sz w:val="16"/>
      <w:szCs w:val="16"/>
    </w:rPr>
  </w:style>
  <w:style w:type="paragraph" w:customStyle="1" w:styleId="xl103">
    <w:name w:val="xl103"/>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color w:val="000000"/>
      <w:sz w:val="16"/>
      <w:szCs w:val="16"/>
    </w:rPr>
  </w:style>
  <w:style w:type="paragraph" w:customStyle="1" w:styleId="xl104">
    <w:name w:val="xl104"/>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color w:val="000000"/>
      <w:sz w:val="16"/>
      <w:szCs w:val="16"/>
    </w:rPr>
  </w:style>
  <w:style w:type="paragraph" w:customStyle="1" w:styleId="xl105">
    <w:name w:val="xl105"/>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06">
    <w:name w:val="xl106"/>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07">
    <w:name w:val="xl107"/>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08">
    <w:name w:val="xl108"/>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09">
    <w:name w:val="xl109"/>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10">
    <w:name w:val="xl110"/>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11">
    <w:name w:val="xl111"/>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12">
    <w:name w:val="xl112"/>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13">
    <w:name w:val="xl113"/>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sz w:val="16"/>
      <w:szCs w:val="16"/>
    </w:rPr>
  </w:style>
  <w:style w:type="paragraph" w:customStyle="1" w:styleId="xl114">
    <w:name w:val="xl114"/>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sz w:val="16"/>
      <w:szCs w:val="16"/>
    </w:rPr>
  </w:style>
  <w:style w:type="paragraph" w:customStyle="1" w:styleId="xl115">
    <w:name w:val="xl115"/>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16">
    <w:name w:val="xl116"/>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sz w:val="16"/>
      <w:szCs w:val="16"/>
    </w:rPr>
  </w:style>
  <w:style w:type="paragraph" w:customStyle="1" w:styleId="xl117">
    <w:name w:val="xl117"/>
    <w:basedOn w:val="Normal"/>
    <w:pPr>
      <w:spacing w:before="100" w:after="100"/>
      <w:textAlignment w:val="top"/>
    </w:pPr>
    <w:rPr>
      <w:rFonts w:eastAsia="Times New Roman" w:cs="Arial"/>
      <w:sz w:val="16"/>
      <w:szCs w:val="16"/>
    </w:rPr>
  </w:style>
  <w:style w:type="paragraph" w:customStyle="1" w:styleId="xl118">
    <w:name w:val="xl118"/>
    <w:basedOn w:val="Normal"/>
    <w:pPr>
      <w:spacing w:before="100" w:after="100"/>
      <w:jc w:val="right"/>
      <w:textAlignment w:val="top"/>
    </w:pPr>
    <w:rPr>
      <w:rFonts w:eastAsia="Times New Roman" w:cs="Arial"/>
      <w:color w:val="000000"/>
      <w:sz w:val="16"/>
      <w:szCs w:val="16"/>
    </w:rPr>
  </w:style>
  <w:style w:type="paragraph" w:customStyle="1" w:styleId="xl119">
    <w:name w:val="xl119"/>
    <w:basedOn w:val="Normal"/>
    <w:pPr>
      <w:spacing w:before="100" w:after="100"/>
      <w:textAlignment w:val="top"/>
    </w:pPr>
    <w:rPr>
      <w:rFonts w:eastAsia="Times New Roman" w:cs="Arial"/>
      <w:color w:val="000000"/>
      <w:sz w:val="16"/>
      <w:szCs w:val="16"/>
    </w:rPr>
  </w:style>
  <w:style w:type="paragraph" w:customStyle="1" w:styleId="xl120">
    <w:name w:val="xl120"/>
    <w:basedOn w:val="Normal"/>
    <w:pPr>
      <w:spacing w:before="100" w:after="100"/>
      <w:jc w:val="right"/>
      <w:textAlignment w:val="top"/>
    </w:pPr>
    <w:rPr>
      <w:rFonts w:eastAsia="Times New Roman" w:cs="Arial"/>
      <w:color w:val="000000"/>
      <w:sz w:val="16"/>
      <w:szCs w:val="16"/>
    </w:rPr>
  </w:style>
  <w:style w:type="paragraph" w:customStyle="1" w:styleId="xl121">
    <w:name w:val="xl121"/>
    <w:basedOn w:val="Normal"/>
    <w:pPr>
      <w:spacing w:before="100" w:after="100"/>
      <w:jc w:val="right"/>
      <w:textAlignment w:val="top"/>
    </w:pPr>
    <w:rPr>
      <w:rFonts w:eastAsia="Times New Roman" w:cs="Arial"/>
      <w:sz w:val="16"/>
      <w:szCs w:val="16"/>
    </w:rPr>
  </w:style>
  <w:style w:type="paragraph" w:customStyle="1" w:styleId="xl122">
    <w:name w:val="xl122"/>
    <w:basedOn w:val="Normal"/>
    <w:pPr>
      <w:spacing w:before="100" w:after="100"/>
      <w:jc w:val="right"/>
      <w:textAlignment w:val="top"/>
    </w:pPr>
    <w:rPr>
      <w:rFonts w:eastAsia="Times New Roman" w:cs="Arial"/>
      <w:color w:val="000000"/>
      <w:sz w:val="16"/>
      <w:szCs w:val="16"/>
    </w:rPr>
  </w:style>
  <w:style w:type="paragraph" w:customStyle="1" w:styleId="xl123">
    <w:name w:val="xl123"/>
    <w:basedOn w:val="Normal"/>
    <w:pPr>
      <w:spacing w:before="100" w:after="100"/>
      <w:jc w:val="right"/>
      <w:textAlignment w:val="top"/>
    </w:pPr>
    <w:rPr>
      <w:rFonts w:eastAsia="Times New Roman" w:cs="Arial"/>
      <w:color w:val="000000"/>
      <w:sz w:val="16"/>
      <w:szCs w:val="16"/>
    </w:rPr>
  </w:style>
  <w:style w:type="paragraph" w:customStyle="1" w:styleId="xl124">
    <w:name w:val="xl124"/>
    <w:basedOn w:val="Normal"/>
    <w:pPr>
      <w:spacing w:before="100" w:after="100"/>
      <w:jc w:val="right"/>
      <w:textAlignment w:val="top"/>
    </w:pPr>
    <w:rPr>
      <w:rFonts w:eastAsia="Times New Roman" w:cs="Arial"/>
      <w:color w:val="000000"/>
      <w:sz w:val="16"/>
      <w:szCs w:val="16"/>
    </w:rPr>
  </w:style>
  <w:style w:type="paragraph" w:customStyle="1" w:styleId="xl125">
    <w:name w:val="xl125"/>
    <w:basedOn w:val="Normal"/>
    <w:pPr>
      <w:spacing w:before="100" w:after="100"/>
      <w:jc w:val="right"/>
      <w:textAlignment w:val="top"/>
    </w:pPr>
    <w:rPr>
      <w:rFonts w:eastAsia="Times New Roman" w:cs="Arial"/>
      <w:sz w:val="16"/>
      <w:szCs w:val="16"/>
    </w:rPr>
  </w:style>
  <w:style w:type="paragraph" w:customStyle="1" w:styleId="xl126">
    <w:name w:val="xl126"/>
    <w:basedOn w:val="Normal"/>
    <w:pPr>
      <w:spacing w:before="100" w:after="100"/>
      <w:jc w:val="right"/>
      <w:textAlignment w:val="top"/>
    </w:pPr>
    <w:rPr>
      <w:rFonts w:eastAsia="Times New Roman" w:cs="Arial"/>
      <w:color w:val="000000"/>
      <w:sz w:val="16"/>
      <w:szCs w:val="16"/>
    </w:rPr>
  </w:style>
  <w:style w:type="paragraph" w:customStyle="1" w:styleId="xl127">
    <w:name w:val="xl127"/>
    <w:basedOn w:val="Normal"/>
    <w:pPr>
      <w:spacing w:before="100" w:after="100"/>
      <w:jc w:val="right"/>
      <w:textAlignment w:val="top"/>
    </w:pPr>
    <w:rPr>
      <w:rFonts w:eastAsia="Times New Roman" w:cs="Arial"/>
      <w:color w:val="000000"/>
      <w:sz w:val="16"/>
      <w:szCs w:val="16"/>
    </w:rPr>
  </w:style>
  <w:style w:type="paragraph" w:customStyle="1" w:styleId="xl128">
    <w:name w:val="xl128"/>
    <w:basedOn w:val="Normal"/>
    <w:pPr>
      <w:spacing w:before="100" w:after="100"/>
      <w:jc w:val="right"/>
      <w:textAlignment w:val="top"/>
    </w:pPr>
    <w:rPr>
      <w:rFonts w:eastAsia="Times New Roman" w:cs="Arial"/>
      <w:color w:val="000000"/>
      <w:sz w:val="16"/>
      <w:szCs w:val="16"/>
    </w:rPr>
  </w:style>
  <w:style w:type="paragraph" w:customStyle="1" w:styleId="xl129">
    <w:name w:val="xl129"/>
    <w:basedOn w:val="Normal"/>
    <w:pPr>
      <w:spacing w:before="100" w:after="100"/>
      <w:jc w:val="right"/>
      <w:textAlignment w:val="top"/>
    </w:pPr>
    <w:rPr>
      <w:rFonts w:eastAsia="Times New Roman" w:cs="Arial"/>
      <w:sz w:val="16"/>
      <w:szCs w:val="16"/>
    </w:rPr>
  </w:style>
  <w:style w:type="paragraph" w:customStyle="1" w:styleId="xl130">
    <w:name w:val="xl130"/>
    <w:basedOn w:val="Normal"/>
    <w:pPr>
      <w:spacing w:before="100" w:after="100"/>
      <w:jc w:val="right"/>
      <w:textAlignment w:val="top"/>
    </w:pPr>
    <w:rPr>
      <w:rFonts w:eastAsia="Times New Roman" w:cs="Arial"/>
      <w:color w:val="000000"/>
      <w:sz w:val="16"/>
      <w:szCs w:val="16"/>
    </w:rPr>
  </w:style>
  <w:style w:type="paragraph" w:customStyle="1" w:styleId="xl131">
    <w:name w:val="xl131"/>
    <w:basedOn w:val="Normal"/>
    <w:pPr>
      <w:spacing w:before="100" w:after="100"/>
      <w:jc w:val="right"/>
      <w:textAlignment w:val="top"/>
    </w:pPr>
    <w:rPr>
      <w:rFonts w:eastAsia="Times New Roman" w:cs="Arial"/>
      <w:color w:val="000000"/>
      <w:sz w:val="16"/>
      <w:szCs w:val="16"/>
    </w:rPr>
  </w:style>
  <w:style w:type="paragraph" w:customStyle="1" w:styleId="xl132">
    <w:name w:val="xl132"/>
    <w:basedOn w:val="Normal"/>
    <w:pPr>
      <w:spacing w:before="100" w:after="100"/>
      <w:textAlignment w:val="top"/>
    </w:pPr>
    <w:rPr>
      <w:rFonts w:eastAsia="Times New Roman" w:cs="Arial"/>
      <w:color w:val="000000"/>
      <w:sz w:val="16"/>
      <w:szCs w:val="16"/>
    </w:rPr>
  </w:style>
  <w:style w:type="paragraph" w:customStyle="1" w:styleId="xl133">
    <w:name w:val="xl133"/>
    <w:basedOn w:val="Normal"/>
    <w:pPr>
      <w:spacing w:before="100" w:after="100"/>
      <w:jc w:val="right"/>
      <w:textAlignment w:val="top"/>
    </w:pPr>
    <w:rPr>
      <w:rFonts w:eastAsia="Times New Roman" w:cs="Arial"/>
      <w:color w:val="000000"/>
      <w:sz w:val="16"/>
      <w:szCs w:val="16"/>
    </w:rPr>
  </w:style>
  <w:style w:type="paragraph" w:customStyle="1" w:styleId="xl134">
    <w:name w:val="xl134"/>
    <w:basedOn w:val="Normal"/>
    <w:pPr>
      <w:spacing w:before="100" w:after="100"/>
      <w:textAlignment w:val="top"/>
    </w:pPr>
    <w:rPr>
      <w:rFonts w:eastAsia="Times New Roman" w:cs="Arial"/>
      <w:color w:val="000000"/>
      <w:sz w:val="16"/>
      <w:szCs w:val="16"/>
    </w:rPr>
  </w:style>
  <w:style w:type="paragraph" w:customStyle="1" w:styleId="xl135">
    <w:name w:val="xl135"/>
    <w:basedOn w:val="Normal"/>
    <w:pPr>
      <w:spacing w:before="100" w:after="100"/>
      <w:jc w:val="right"/>
      <w:textAlignment w:val="top"/>
    </w:pPr>
    <w:rPr>
      <w:rFonts w:eastAsia="Times New Roman" w:cs="Arial"/>
      <w:color w:val="000000"/>
      <w:sz w:val="16"/>
      <w:szCs w:val="16"/>
    </w:rPr>
  </w:style>
  <w:style w:type="paragraph" w:customStyle="1" w:styleId="xl136">
    <w:name w:val="xl136"/>
    <w:basedOn w:val="Normal"/>
    <w:pPr>
      <w:spacing w:before="100" w:after="100"/>
      <w:jc w:val="right"/>
      <w:textAlignment w:val="top"/>
    </w:pPr>
    <w:rPr>
      <w:rFonts w:eastAsia="Times New Roman" w:cs="Arial"/>
      <w:color w:val="000000"/>
      <w:sz w:val="16"/>
      <w:szCs w:val="16"/>
    </w:rPr>
  </w:style>
  <w:style w:type="paragraph" w:customStyle="1" w:styleId="xl137">
    <w:name w:val="xl137"/>
    <w:basedOn w:val="Normal"/>
    <w:pPr>
      <w:spacing w:before="100" w:after="100"/>
      <w:jc w:val="right"/>
      <w:textAlignment w:val="top"/>
    </w:pPr>
    <w:rPr>
      <w:rFonts w:eastAsia="Times New Roman" w:cs="Arial"/>
      <w:color w:val="000000"/>
      <w:sz w:val="16"/>
      <w:szCs w:val="16"/>
    </w:rPr>
  </w:style>
  <w:style w:type="paragraph" w:customStyle="1" w:styleId="xl138">
    <w:name w:val="xl138"/>
    <w:basedOn w:val="Normal"/>
    <w:pPr>
      <w:spacing w:before="100" w:after="100"/>
      <w:jc w:val="right"/>
      <w:textAlignment w:val="top"/>
    </w:pPr>
    <w:rPr>
      <w:rFonts w:eastAsia="Times New Roman" w:cs="Arial"/>
      <w:color w:val="000000"/>
      <w:sz w:val="16"/>
      <w:szCs w:val="16"/>
    </w:rPr>
  </w:style>
  <w:style w:type="paragraph" w:customStyle="1" w:styleId="xl139">
    <w:name w:val="xl139"/>
    <w:basedOn w:val="Normal"/>
    <w:pPr>
      <w:spacing w:before="100" w:after="100"/>
      <w:jc w:val="right"/>
      <w:textAlignment w:val="top"/>
    </w:pPr>
    <w:rPr>
      <w:rFonts w:eastAsia="Times New Roman" w:cs="Arial"/>
      <w:color w:val="000000"/>
      <w:sz w:val="16"/>
      <w:szCs w:val="16"/>
    </w:rPr>
  </w:style>
  <w:style w:type="paragraph" w:customStyle="1" w:styleId="xl140">
    <w:name w:val="xl14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textAlignment w:val="top"/>
    </w:pPr>
    <w:rPr>
      <w:rFonts w:eastAsia="Times New Roman" w:cs="Arial"/>
      <w:b/>
      <w:bCs/>
      <w:sz w:val="16"/>
      <w:szCs w:val="16"/>
    </w:rPr>
  </w:style>
  <w:style w:type="paragraph" w:customStyle="1" w:styleId="xl141">
    <w:name w:val="xl14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textAlignment w:val="top"/>
    </w:pPr>
    <w:rPr>
      <w:rFonts w:eastAsia="Times New Roman" w:cs="Arial"/>
      <w:b/>
      <w:bCs/>
      <w:sz w:val="16"/>
      <w:szCs w:val="16"/>
    </w:rPr>
  </w:style>
  <w:style w:type="paragraph" w:customStyle="1" w:styleId="xl142">
    <w:name w:val="xl14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43">
    <w:name w:val="xl14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44">
    <w:name w:val="xl14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45">
    <w:name w:val="xl14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46">
    <w:name w:val="xl14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47">
    <w:name w:val="xl14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48">
    <w:name w:val="xl14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49">
    <w:name w:val="xl14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50">
    <w:name w:val="xl15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51">
    <w:name w:val="xl15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52">
    <w:name w:val="xl15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53">
    <w:name w:val="xl15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54">
    <w:name w:val="xl15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color w:val="000000"/>
      <w:sz w:val="16"/>
      <w:szCs w:val="16"/>
    </w:rPr>
  </w:style>
  <w:style w:type="paragraph" w:customStyle="1" w:styleId="xl155">
    <w:name w:val="xl155"/>
    <w:basedOn w:val="Normal"/>
    <w:pPr>
      <w:spacing w:before="100" w:after="100"/>
      <w:textAlignment w:val="top"/>
    </w:pPr>
    <w:rPr>
      <w:rFonts w:eastAsia="Times New Roman" w:cs="Arial"/>
      <w:b/>
      <w:bCs/>
      <w:color w:val="000000"/>
      <w:sz w:val="16"/>
      <w:szCs w:val="16"/>
    </w:rPr>
  </w:style>
  <w:style w:type="paragraph" w:customStyle="1" w:styleId="xl156">
    <w:name w:val="xl156"/>
    <w:basedOn w:val="Normal"/>
    <w:pPr>
      <w:spacing w:before="100" w:after="100"/>
      <w:textAlignment w:val="top"/>
    </w:pPr>
    <w:rPr>
      <w:rFonts w:eastAsia="Times New Roman" w:cs="Arial"/>
      <w:b/>
      <w:bCs/>
      <w:color w:val="000000"/>
      <w:sz w:val="16"/>
      <w:szCs w:val="16"/>
    </w:rPr>
  </w:style>
  <w:style w:type="paragraph" w:customStyle="1" w:styleId="xl157">
    <w:name w:val="xl157"/>
    <w:basedOn w:val="Normal"/>
    <w:pPr>
      <w:spacing w:before="100" w:after="100"/>
      <w:textAlignment w:val="top"/>
    </w:pPr>
    <w:rPr>
      <w:rFonts w:eastAsia="Times New Roman" w:cs="Arial"/>
      <w:sz w:val="16"/>
      <w:szCs w:val="16"/>
    </w:rPr>
  </w:style>
  <w:style w:type="paragraph" w:customStyle="1" w:styleId="xl158">
    <w:name w:val="xl158"/>
    <w:basedOn w:val="Normal"/>
    <w:pPr>
      <w:spacing w:before="100" w:after="100"/>
      <w:textAlignment w:val="top"/>
    </w:pPr>
    <w:rPr>
      <w:rFonts w:eastAsia="Times New Roman" w:cs="Arial"/>
      <w:sz w:val="16"/>
      <w:szCs w:val="16"/>
    </w:rPr>
  </w:style>
  <w:style w:type="paragraph" w:customStyle="1" w:styleId="xl159">
    <w:name w:val="xl159"/>
    <w:basedOn w:val="Normal"/>
    <w:pPr>
      <w:spacing w:before="100" w:after="100"/>
      <w:textAlignment w:val="top"/>
    </w:pPr>
    <w:rPr>
      <w:rFonts w:eastAsia="Times New Roman" w:cs="Arial"/>
      <w:sz w:val="16"/>
      <w:szCs w:val="16"/>
    </w:rPr>
  </w:style>
  <w:style w:type="paragraph" w:customStyle="1" w:styleId="xl160">
    <w:name w:val="xl160"/>
    <w:basedOn w:val="Normal"/>
    <w:pPr>
      <w:spacing w:before="100" w:after="100"/>
      <w:textAlignment w:val="top"/>
    </w:pPr>
    <w:rPr>
      <w:rFonts w:eastAsia="Times New Roman" w:cs="Arial"/>
      <w:sz w:val="16"/>
      <w:szCs w:val="16"/>
    </w:rPr>
  </w:style>
  <w:style w:type="paragraph" w:customStyle="1" w:styleId="xl161">
    <w:name w:val="xl161"/>
    <w:basedOn w:val="Normal"/>
    <w:pPr>
      <w:spacing w:before="100" w:after="100"/>
      <w:textAlignment w:val="top"/>
    </w:pPr>
    <w:rPr>
      <w:rFonts w:eastAsia="Times New Roman" w:cs="Arial"/>
      <w:sz w:val="16"/>
      <w:szCs w:val="16"/>
    </w:rPr>
  </w:style>
  <w:style w:type="paragraph" w:customStyle="1" w:styleId="xl162">
    <w:name w:val="xl162"/>
    <w:basedOn w:val="Normal"/>
    <w:pPr>
      <w:spacing w:before="100" w:after="100"/>
      <w:textAlignment w:val="top"/>
    </w:pPr>
    <w:rPr>
      <w:rFonts w:eastAsia="Times New Roman" w:cs="Arial"/>
      <w:sz w:val="16"/>
      <w:szCs w:val="16"/>
    </w:rPr>
  </w:style>
  <w:style w:type="paragraph" w:customStyle="1" w:styleId="xl163">
    <w:name w:val="xl163"/>
    <w:basedOn w:val="Normal"/>
    <w:pPr>
      <w:spacing w:before="100" w:after="100"/>
      <w:textAlignment w:val="top"/>
    </w:pPr>
    <w:rPr>
      <w:rFonts w:eastAsia="Times New Roman" w:cs="Arial"/>
      <w:sz w:val="16"/>
      <w:szCs w:val="16"/>
    </w:rPr>
  </w:style>
  <w:style w:type="paragraph" w:customStyle="1" w:styleId="xl164">
    <w:name w:val="xl164"/>
    <w:basedOn w:val="Normal"/>
    <w:pPr>
      <w:spacing w:before="100" w:after="100"/>
      <w:textAlignment w:val="top"/>
    </w:pPr>
    <w:rPr>
      <w:rFonts w:eastAsia="Times New Roman" w:cs="Arial"/>
      <w:sz w:val="16"/>
      <w:szCs w:val="16"/>
    </w:rPr>
  </w:style>
  <w:style w:type="paragraph" w:customStyle="1" w:styleId="xl165">
    <w:name w:val="xl165"/>
    <w:basedOn w:val="Normal"/>
    <w:pPr>
      <w:spacing w:before="100" w:after="100"/>
      <w:textAlignment w:val="top"/>
    </w:pPr>
    <w:rPr>
      <w:rFonts w:eastAsia="Times New Roman" w:cs="Arial"/>
      <w:b/>
      <w:bCs/>
      <w:sz w:val="16"/>
      <w:szCs w:val="16"/>
    </w:rPr>
  </w:style>
  <w:style w:type="paragraph" w:customStyle="1" w:styleId="xl166">
    <w:name w:val="xl166"/>
    <w:basedOn w:val="Normal"/>
    <w:pPr>
      <w:spacing w:before="100" w:after="100"/>
      <w:textAlignment w:val="top"/>
    </w:pPr>
    <w:rPr>
      <w:rFonts w:eastAsia="Times New Roman" w:cs="Arial"/>
      <w:b/>
      <w:bCs/>
      <w:sz w:val="16"/>
      <w:szCs w:val="16"/>
    </w:rPr>
  </w:style>
  <w:style w:type="paragraph" w:customStyle="1" w:styleId="xl167">
    <w:name w:val="xl167"/>
    <w:basedOn w:val="Normal"/>
    <w:pPr>
      <w:spacing w:before="100" w:after="100"/>
      <w:textAlignment w:val="top"/>
    </w:pPr>
    <w:rPr>
      <w:rFonts w:eastAsia="Times New Roman" w:cs="Arial"/>
      <w:sz w:val="16"/>
      <w:szCs w:val="16"/>
    </w:rPr>
  </w:style>
  <w:style w:type="paragraph" w:customStyle="1" w:styleId="xl168">
    <w:name w:val="xl168"/>
    <w:basedOn w:val="Normal"/>
    <w:pPr>
      <w:spacing w:before="100" w:after="100"/>
      <w:textAlignment w:val="top"/>
    </w:pPr>
    <w:rPr>
      <w:rFonts w:eastAsia="Times New Roman" w:cs="Arial"/>
      <w:sz w:val="16"/>
      <w:szCs w:val="16"/>
    </w:rPr>
  </w:style>
  <w:style w:type="paragraph" w:customStyle="1" w:styleId="xl169">
    <w:name w:val="xl169"/>
    <w:basedOn w:val="Normal"/>
    <w:pPr>
      <w:spacing w:before="100" w:after="100"/>
      <w:textAlignment w:val="top"/>
    </w:pPr>
    <w:rPr>
      <w:rFonts w:eastAsia="Times New Roman" w:cs="Arial"/>
      <w:color w:val="000000"/>
      <w:sz w:val="16"/>
      <w:szCs w:val="16"/>
    </w:rPr>
  </w:style>
  <w:style w:type="paragraph" w:customStyle="1" w:styleId="xl170">
    <w:name w:val="xl170"/>
    <w:basedOn w:val="Normal"/>
    <w:pPr>
      <w:spacing w:before="100" w:after="100"/>
      <w:textAlignment w:val="top"/>
    </w:pPr>
    <w:rPr>
      <w:rFonts w:eastAsia="Times New Roman" w:cs="Arial"/>
      <w:color w:val="000000"/>
      <w:sz w:val="16"/>
      <w:szCs w:val="16"/>
    </w:rPr>
  </w:style>
  <w:style w:type="paragraph" w:customStyle="1" w:styleId="xl171">
    <w:name w:val="xl171"/>
    <w:basedOn w:val="Normal"/>
    <w:pPr>
      <w:spacing w:before="100" w:after="100"/>
      <w:jc w:val="right"/>
      <w:textAlignment w:val="top"/>
    </w:pPr>
    <w:rPr>
      <w:rFonts w:eastAsia="Times New Roman" w:cs="Arial"/>
      <w:b/>
      <w:bCs/>
      <w:sz w:val="16"/>
      <w:szCs w:val="16"/>
    </w:rPr>
  </w:style>
  <w:style w:type="paragraph" w:customStyle="1" w:styleId="xl172">
    <w:name w:val="xl172"/>
    <w:basedOn w:val="Normal"/>
    <w:pPr>
      <w:spacing w:before="100" w:after="100"/>
      <w:textAlignment w:val="top"/>
    </w:pPr>
    <w:rPr>
      <w:rFonts w:eastAsia="Times New Roman" w:cs="Arial"/>
      <w:sz w:val="16"/>
      <w:szCs w:val="16"/>
    </w:rPr>
  </w:style>
  <w:style w:type="paragraph" w:customStyle="1" w:styleId="xl173">
    <w:name w:val="xl17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textAlignment w:val="top"/>
    </w:pPr>
    <w:rPr>
      <w:rFonts w:eastAsia="Times New Roman" w:cs="Arial"/>
      <w:b/>
      <w:bCs/>
      <w:sz w:val="16"/>
      <w:szCs w:val="16"/>
    </w:rPr>
  </w:style>
  <w:style w:type="paragraph" w:customStyle="1" w:styleId="xl174">
    <w:name w:val="xl17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textAlignment w:val="top"/>
    </w:pPr>
    <w:rPr>
      <w:rFonts w:eastAsia="Times New Roman" w:cs="Arial"/>
      <w:b/>
      <w:bCs/>
      <w:sz w:val="16"/>
      <w:szCs w:val="16"/>
    </w:rPr>
  </w:style>
  <w:style w:type="paragraph" w:customStyle="1" w:styleId="xl175">
    <w:name w:val="xl17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76">
    <w:name w:val="xl17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77">
    <w:name w:val="xl17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78">
    <w:name w:val="xl17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79">
    <w:name w:val="xl17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80">
    <w:name w:val="xl18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81">
    <w:name w:val="xl18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82">
    <w:name w:val="xl18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183">
    <w:name w:val="xl183"/>
    <w:basedOn w:val="Normal"/>
    <w:pPr>
      <w:spacing w:before="100" w:after="100"/>
      <w:textAlignment w:val="top"/>
    </w:pPr>
    <w:rPr>
      <w:rFonts w:eastAsia="Times New Roman" w:cs="Arial"/>
      <w:b/>
      <w:bCs/>
      <w:sz w:val="16"/>
      <w:szCs w:val="16"/>
    </w:rPr>
  </w:style>
  <w:style w:type="paragraph" w:customStyle="1" w:styleId="xl184">
    <w:name w:val="xl184"/>
    <w:basedOn w:val="Normal"/>
    <w:pPr>
      <w:shd w:val="clear" w:color="auto" w:fill="FFFFFF"/>
      <w:spacing w:before="100" w:after="100"/>
      <w:textAlignment w:val="top"/>
    </w:pPr>
    <w:rPr>
      <w:rFonts w:eastAsia="Times New Roman" w:cs="Arial"/>
      <w:color w:val="000000"/>
      <w:sz w:val="16"/>
      <w:szCs w:val="16"/>
    </w:rPr>
  </w:style>
  <w:style w:type="paragraph" w:customStyle="1" w:styleId="xl185">
    <w:name w:val="xl185"/>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86">
    <w:name w:val="xl186"/>
    <w:basedOn w:val="Normal"/>
    <w:pPr>
      <w:shd w:val="clear" w:color="auto" w:fill="FFFFFF"/>
      <w:spacing w:before="100" w:after="100"/>
      <w:textAlignment w:val="top"/>
    </w:pPr>
    <w:rPr>
      <w:rFonts w:eastAsia="Times New Roman" w:cs="Arial"/>
      <w:color w:val="000000"/>
      <w:sz w:val="16"/>
      <w:szCs w:val="16"/>
    </w:rPr>
  </w:style>
  <w:style w:type="paragraph" w:customStyle="1" w:styleId="xl187">
    <w:name w:val="xl187"/>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88">
    <w:name w:val="xl188"/>
    <w:basedOn w:val="Normal"/>
    <w:pPr>
      <w:shd w:val="clear" w:color="auto" w:fill="FFFFFF"/>
      <w:spacing w:before="100" w:after="100"/>
      <w:jc w:val="right"/>
      <w:textAlignment w:val="top"/>
    </w:pPr>
    <w:rPr>
      <w:rFonts w:eastAsia="Times New Roman" w:cs="Arial"/>
      <w:sz w:val="16"/>
      <w:szCs w:val="16"/>
    </w:rPr>
  </w:style>
  <w:style w:type="paragraph" w:customStyle="1" w:styleId="xl189">
    <w:name w:val="xl189"/>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0">
    <w:name w:val="xl190"/>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1">
    <w:name w:val="xl191"/>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2">
    <w:name w:val="xl192"/>
    <w:basedOn w:val="Normal"/>
    <w:pPr>
      <w:shd w:val="clear" w:color="auto" w:fill="FFFFFF"/>
      <w:spacing w:before="100" w:after="100"/>
      <w:jc w:val="right"/>
      <w:textAlignment w:val="top"/>
    </w:pPr>
    <w:rPr>
      <w:rFonts w:eastAsia="Times New Roman" w:cs="Arial"/>
      <w:sz w:val="16"/>
      <w:szCs w:val="16"/>
    </w:rPr>
  </w:style>
  <w:style w:type="paragraph" w:customStyle="1" w:styleId="xl193">
    <w:name w:val="xl193"/>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4">
    <w:name w:val="xl194"/>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5">
    <w:name w:val="xl195"/>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6">
    <w:name w:val="xl196"/>
    <w:basedOn w:val="Normal"/>
    <w:pPr>
      <w:shd w:val="clear" w:color="auto" w:fill="FFFFFF"/>
      <w:spacing w:before="100" w:after="100"/>
      <w:jc w:val="right"/>
      <w:textAlignment w:val="top"/>
    </w:pPr>
    <w:rPr>
      <w:rFonts w:eastAsia="Times New Roman" w:cs="Arial"/>
      <w:sz w:val="16"/>
      <w:szCs w:val="16"/>
    </w:rPr>
  </w:style>
  <w:style w:type="paragraph" w:customStyle="1" w:styleId="xl197">
    <w:name w:val="xl197"/>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8">
    <w:name w:val="xl198"/>
    <w:basedOn w:val="Normal"/>
    <w:pPr>
      <w:shd w:val="clear" w:color="auto" w:fill="FFFFFF"/>
      <w:spacing w:before="100" w:after="100"/>
      <w:jc w:val="right"/>
      <w:textAlignment w:val="top"/>
    </w:pPr>
    <w:rPr>
      <w:rFonts w:eastAsia="Times New Roman" w:cs="Arial"/>
      <w:color w:val="000000"/>
      <w:sz w:val="16"/>
      <w:szCs w:val="16"/>
    </w:rPr>
  </w:style>
  <w:style w:type="paragraph" w:customStyle="1" w:styleId="xl199">
    <w:name w:val="xl199"/>
    <w:basedOn w:val="Normal"/>
    <w:pPr>
      <w:shd w:val="clear" w:color="auto" w:fill="FFFFFF"/>
      <w:spacing w:before="100" w:after="100"/>
      <w:textAlignment w:val="top"/>
    </w:pPr>
    <w:rPr>
      <w:rFonts w:eastAsia="Times New Roman" w:cs="Arial"/>
      <w:sz w:val="16"/>
      <w:szCs w:val="16"/>
    </w:rPr>
  </w:style>
  <w:style w:type="paragraph" w:customStyle="1" w:styleId="xl200">
    <w:name w:val="xl20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201">
    <w:name w:val="xl20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eastAsia="Times New Roman" w:cs="Arial"/>
      <w:b/>
      <w:bCs/>
      <w:sz w:val="16"/>
      <w:szCs w:val="16"/>
    </w:rPr>
  </w:style>
  <w:style w:type="paragraph" w:customStyle="1" w:styleId="xl202">
    <w:name w:val="xl202"/>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3">
    <w:name w:val="xl203"/>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4">
    <w:name w:val="xl204"/>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5">
    <w:name w:val="xl205"/>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6">
    <w:name w:val="xl206"/>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7">
    <w:name w:val="xl207"/>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8">
    <w:name w:val="xl208"/>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09">
    <w:name w:val="xl209"/>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10">
    <w:name w:val="xl210"/>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11">
    <w:name w:val="xl211"/>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12">
    <w:name w:val="xl212"/>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13">
    <w:name w:val="xl213"/>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14">
    <w:name w:val="xl214"/>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eastAsia="Times New Roman" w:cs="Arial"/>
      <w:b/>
      <w:bCs/>
      <w:sz w:val="16"/>
      <w:szCs w:val="16"/>
    </w:rPr>
  </w:style>
  <w:style w:type="paragraph" w:customStyle="1" w:styleId="xl215">
    <w:name w:val="xl215"/>
    <w:basedOn w:val="Normal"/>
    <w:pPr>
      <w:spacing w:before="100" w:after="100"/>
      <w:jc w:val="right"/>
      <w:textAlignment w:val="top"/>
    </w:pPr>
    <w:rPr>
      <w:rFonts w:eastAsia="Times New Roman" w:cs="Arial"/>
      <w:b/>
      <w:bCs/>
      <w:sz w:val="16"/>
      <w:szCs w:val="16"/>
    </w:rPr>
  </w:style>
  <w:style w:type="paragraph" w:customStyle="1" w:styleId="xl216">
    <w:name w:val="xl216"/>
    <w:basedOn w:val="Normal"/>
    <w:pPr>
      <w:spacing w:before="100" w:after="100"/>
      <w:jc w:val="right"/>
      <w:textAlignment w:val="top"/>
    </w:pPr>
    <w:rPr>
      <w:rFonts w:eastAsia="Times New Roman" w:cs="Arial"/>
      <w:b/>
      <w:bCs/>
      <w:sz w:val="16"/>
      <w:szCs w:val="16"/>
    </w:rPr>
  </w:style>
  <w:style w:type="paragraph" w:customStyle="1" w:styleId="xl217">
    <w:name w:val="xl217"/>
    <w:basedOn w:val="Normal"/>
    <w:pPr>
      <w:spacing w:before="100" w:after="100"/>
      <w:jc w:val="right"/>
      <w:textAlignment w:val="top"/>
    </w:pPr>
    <w:rPr>
      <w:rFonts w:eastAsia="Times New Roman" w:cs="Arial"/>
      <w:b/>
      <w:bCs/>
      <w:sz w:val="16"/>
      <w:szCs w:val="16"/>
    </w:rPr>
  </w:style>
  <w:style w:type="paragraph" w:customStyle="1" w:styleId="xl218">
    <w:name w:val="xl218"/>
    <w:basedOn w:val="Normal"/>
    <w:pPr>
      <w:spacing w:before="100" w:after="100"/>
      <w:jc w:val="right"/>
      <w:textAlignment w:val="top"/>
    </w:pPr>
    <w:rPr>
      <w:rFonts w:eastAsia="Times New Roman" w:cs="Arial"/>
      <w:b/>
      <w:bCs/>
      <w:sz w:val="16"/>
      <w:szCs w:val="16"/>
    </w:rPr>
  </w:style>
  <w:style w:type="paragraph" w:customStyle="1" w:styleId="xl219">
    <w:name w:val="xl219"/>
    <w:basedOn w:val="Normal"/>
    <w:pPr>
      <w:spacing w:before="100" w:after="100"/>
      <w:jc w:val="right"/>
      <w:textAlignment w:val="top"/>
    </w:pPr>
    <w:rPr>
      <w:rFonts w:eastAsia="Times New Roman" w:cs="Arial"/>
      <w:b/>
      <w:bCs/>
      <w:sz w:val="16"/>
      <w:szCs w:val="16"/>
    </w:rPr>
  </w:style>
  <w:style w:type="paragraph" w:customStyle="1" w:styleId="xl220">
    <w:name w:val="xl220"/>
    <w:basedOn w:val="Normal"/>
    <w:pPr>
      <w:spacing w:before="100" w:after="100"/>
      <w:jc w:val="right"/>
      <w:textAlignment w:val="top"/>
    </w:pPr>
    <w:rPr>
      <w:rFonts w:eastAsia="Times New Roman" w:cs="Arial"/>
      <w:b/>
      <w:bCs/>
      <w:sz w:val="16"/>
      <w:szCs w:val="16"/>
    </w:rPr>
  </w:style>
  <w:style w:type="paragraph" w:customStyle="1" w:styleId="xl221">
    <w:name w:val="xl221"/>
    <w:basedOn w:val="Normal"/>
    <w:pPr>
      <w:spacing w:before="100" w:after="100"/>
      <w:jc w:val="right"/>
      <w:textAlignment w:val="top"/>
    </w:pPr>
    <w:rPr>
      <w:rFonts w:eastAsia="Times New Roman" w:cs="Arial"/>
      <w:b/>
      <w:bCs/>
      <w:sz w:val="16"/>
      <w:szCs w:val="16"/>
    </w:rPr>
  </w:style>
  <w:style w:type="paragraph" w:customStyle="1" w:styleId="xl222">
    <w:name w:val="xl222"/>
    <w:basedOn w:val="Normal"/>
    <w:pPr>
      <w:spacing w:before="100" w:after="100"/>
      <w:jc w:val="right"/>
      <w:textAlignment w:val="top"/>
    </w:pPr>
    <w:rPr>
      <w:rFonts w:eastAsia="Times New Roman" w:cs="Arial"/>
      <w:b/>
      <w:bCs/>
      <w:sz w:val="16"/>
      <w:szCs w:val="16"/>
    </w:rPr>
  </w:style>
  <w:style w:type="paragraph" w:customStyle="1" w:styleId="xl223">
    <w:name w:val="xl223"/>
    <w:basedOn w:val="Normal"/>
    <w:pPr>
      <w:spacing w:before="100" w:after="100"/>
      <w:jc w:val="right"/>
      <w:textAlignment w:val="top"/>
    </w:pPr>
    <w:rPr>
      <w:rFonts w:eastAsia="Times New Roman" w:cs="Arial"/>
      <w:b/>
      <w:bCs/>
      <w:sz w:val="16"/>
      <w:szCs w:val="16"/>
    </w:rPr>
  </w:style>
  <w:style w:type="paragraph" w:customStyle="1" w:styleId="xl224">
    <w:name w:val="xl224"/>
    <w:basedOn w:val="Normal"/>
    <w:pPr>
      <w:spacing w:before="100" w:after="100"/>
      <w:jc w:val="right"/>
      <w:textAlignment w:val="top"/>
    </w:pPr>
    <w:rPr>
      <w:rFonts w:eastAsia="Times New Roman" w:cs="Arial"/>
      <w:b/>
      <w:bCs/>
      <w:sz w:val="16"/>
      <w:szCs w:val="16"/>
    </w:rPr>
  </w:style>
  <w:style w:type="paragraph" w:customStyle="1" w:styleId="xl225">
    <w:name w:val="xl225"/>
    <w:basedOn w:val="Normal"/>
    <w:pPr>
      <w:spacing w:before="100" w:after="100"/>
      <w:jc w:val="right"/>
      <w:textAlignment w:val="top"/>
    </w:pPr>
    <w:rPr>
      <w:rFonts w:eastAsia="Times New Roman" w:cs="Arial"/>
      <w:b/>
      <w:bCs/>
      <w:sz w:val="16"/>
      <w:szCs w:val="16"/>
    </w:rPr>
  </w:style>
  <w:style w:type="paragraph" w:customStyle="1" w:styleId="xl226">
    <w:name w:val="xl226"/>
    <w:basedOn w:val="Normal"/>
    <w:pPr>
      <w:spacing w:before="100" w:after="100"/>
      <w:jc w:val="right"/>
      <w:textAlignment w:val="top"/>
    </w:pPr>
    <w:rPr>
      <w:rFonts w:eastAsia="Times New Roman" w:cs="Arial"/>
      <w:b/>
      <w:bCs/>
      <w:sz w:val="16"/>
      <w:szCs w:val="16"/>
    </w:rPr>
  </w:style>
  <w:style w:type="paragraph" w:customStyle="1" w:styleId="xl227">
    <w:name w:val="xl227"/>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sz w:val="16"/>
      <w:szCs w:val="16"/>
    </w:rPr>
  </w:style>
  <w:style w:type="paragraph" w:customStyle="1" w:styleId="xl228">
    <w:name w:val="xl228"/>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sz w:val="16"/>
      <w:szCs w:val="16"/>
    </w:rPr>
  </w:style>
  <w:style w:type="paragraph" w:customStyle="1" w:styleId="xl229">
    <w:name w:val="xl229"/>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eastAsia="Times New Roman" w:cs="Arial"/>
      <w:b/>
      <w:bCs/>
      <w:sz w:val="16"/>
      <w:szCs w:val="16"/>
    </w:rPr>
  </w:style>
  <w:style w:type="paragraph" w:customStyle="1" w:styleId="xl230">
    <w:name w:val="xl230"/>
    <w:basedOn w:val="Normal"/>
    <w:pPr>
      <w:spacing w:before="100" w:after="100"/>
      <w:jc w:val="center"/>
      <w:textAlignment w:val="top"/>
    </w:pPr>
    <w:rPr>
      <w:rFonts w:eastAsia="Times New Roman" w:cs="Arial"/>
      <w:b/>
      <w:bCs/>
      <w:i/>
      <w:iCs/>
      <w:sz w:val="16"/>
      <w:szCs w:val="16"/>
    </w:rPr>
  </w:style>
  <w:style w:type="paragraph" w:customStyle="1" w:styleId="xl231">
    <w:name w:val="xl231"/>
    <w:basedOn w:val="Normal"/>
    <w:pPr>
      <w:spacing w:before="100" w:after="100"/>
      <w:jc w:val="center"/>
      <w:textAlignment w:val="top"/>
    </w:pPr>
    <w:rPr>
      <w:rFonts w:eastAsia="Times New Roman" w:cs="Arial"/>
      <w:b/>
      <w:bCs/>
      <w:i/>
      <w:iCs/>
      <w:sz w:val="16"/>
      <w:szCs w:val="16"/>
    </w:rPr>
  </w:style>
  <w:style w:type="paragraph" w:customStyle="1" w:styleId="xl232">
    <w:name w:val="xl232"/>
    <w:basedOn w:val="Normal"/>
    <w:pPr>
      <w:spacing w:before="100" w:after="100"/>
      <w:jc w:val="center"/>
      <w:textAlignment w:val="top"/>
    </w:pPr>
    <w:rPr>
      <w:rFonts w:eastAsia="Times New Roman" w:cs="Arial"/>
      <w:b/>
      <w:bCs/>
      <w:i/>
      <w:iCs/>
      <w:sz w:val="16"/>
      <w:szCs w:val="16"/>
    </w:rPr>
  </w:style>
  <w:style w:type="paragraph" w:customStyle="1" w:styleId="xl233">
    <w:name w:val="xl233"/>
    <w:basedOn w:val="Normal"/>
    <w:pPr>
      <w:spacing w:before="100" w:after="100"/>
      <w:jc w:val="center"/>
      <w:textAlignment w:val="top"/>
    </w:pPr>
    <w:rPr>
      <w:rFonts w:eastAsia="Times New Roman" w:cs="Arial"/>
      <w:b/>
      <w:bCs/>
      <w:i/>
      <w:iCs/>
      <w:sz w:val="16"/>
      <w:szCs w:val="16"/>
    </w:rPr>
  </w:style>
  <w:style w:type="paragraph" w:customStyle="1" w:styleId="xl234">
    <w:name w:val="xl234"/>
    <w:basedOn w:val="Normal"/>
    <w:pPr>
      <w:spacing w:before="100" w:after="100"/>
      <w:jc w:val="center"/>
      <w:textAlignment w:val="top"/>
    </w:pPr>
    <w:rPr>
      <w:rFonts w:eastAsia="Times New Roman" w:cs="Arial"/>
      <w:b/>
      <w:bCs/>
      <w:i/>
      <w:iCs/>
      <w:sz w:val="16"/>
      <w:szCs w:val="16"/>
    </w:rPr>
  </w:style>
  <w:style w:type="character" w:styleId="Strong">
    <w:name w:val="Strong"/>
    <w:basedOn w:val="DefaultParagraphFont"/>
    <w:rPr>
      <w:b/>
      <w:bCs/>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character" w:customStyle="1" w:styleId="ListParagraphChar">
    <w:name w:val="List Paragraph Char"/>
    <w:basedOn w:val="DefaultParagraphFont"/>
    <w:link w:val="ListParagraph"/>
    <w:uiPriority w:val="72"/>
    <w:rsid w:val="00CE4BFD"/>
    <w:rPr>
      <w:rFonts w:eastAsia="Times New Roman"/>
      <w:sz w:val="18"/>
      <w:szCs w:val="24"/>
    </w:rPr>
  </w:style>
  <w:style w:type="paragraph" w:customStyle="1" w:styleId="TableParagraph">
    <w:name w:val="Table Paragraph"/>
    <w:basedOn w:val="Normal"/>
    <w:uiPriority w:val="1"/>
    <w:qFormat/>
    <w:rsid w:val="00CE4BFD"/>
    <w:pPr>
      <w:widowControl w:val="0"/>
      <w:suppressAutoHyphens w:val="0"/>
      <w:autoSpaceDE w:val="0"/>
      <w:spacing w:after="0"/>
      <w:textAlignment w:val="auto"/>
    </w:pPr>
    <w:rPr>
      <w:rFonts w:eastAsia="Arial" w:cs="Arial"/>
      <w:lang w:val="fr-F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72094">
      <w:bodyDiv w:val="1"/>
      <w:marLeft w:val="0"/>
      <w:marRight w:val="0"/>
      <w:marTop w:val="0"/>
      <w:marBottom w:val="0"/>
      <w:divBdr>
        <w:top w:val="none" w:sz="0" w:space="0" w:color="auto"/>
        <w:left w:val="none" w:sz="0" w:space="0" w:color="auto"/>
        <w:bottom w:val="none" w:sz="0" w:space="0" w:color="auto"/>
        <w:right w:val="none" w:sz="0" w:space="0" w:color="auto"/>
      </w:divBdr>
    </w:div>
    <w:div w:id="2099788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6024</Words>
  <Characters>34341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dc:description/>
  <cp:lastModifiedBy>UNEP/CMS Secretariat</cp:lastModifiedBy>
  <cp:revision>2</cp:revision>
  <dcterms:created xsi:type="dcterms:W3CDTF">2019-10-17T13:33:00Z</dcterms:created>
  <dcterms:modified xsi:type="dcterms:W3CDTF">2019-10-17T13:33:00Z</dcterms:modified>
</cp:coreProperties>
</file>