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303E2B">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303E2B">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303E2B">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303E2B">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303E2B">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9057EB">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526971" w:rsidRPr="00526971">
              <w:rPr>
                <w:rFonts w:eastAsia="Times New Roman" w:cs="Arial"/>
              </w:rPr>
              <w:t>26.4.5</w:t>
            </w:r>
          </w:p>
          <w:p w:rsidR="002E0DE9" w:rsidRPr="00EC4F04" w:rsidRDefault="00526971" w:rsidP="009057EB">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sidRPr="00526971">
              <w:rPr>
                <w:rFonts w:eastAsia="Times New Roman" w:cs="Arial"/>
              </w:rPr>
              <w:t>13 September</w:t>
            </w:r>
            <w:r w:rsidR="002E0DE9" w:rsidRPr="002E0DE9">
              <w:rPr>
                <w:rFonts w:eastAsia="Times New Roman" w:cs="Arial"/>
              </w:rPr>
              <w:t xml:space="preserve"> 2019</w:t>
            </w:r>
          </w:p>
          <w:p w:rsidR="002E0DE9" w:rsidRPr="00EC4F04" w:rsidRDefault="002E0DE9" w:rsidP="009057EB">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303E2B">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303E2B">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303E2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2E0DE9" w:rsidRDefault="002E0DE9" w:rsidP="00303E2B">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 xml:space="preserve">Agenda Item </w:t>
      </w:r>
      <w:r w:rsidR="00526971" w:rsidRPr="00526971">
        <w:rPr>
          <w:rFonts w:eastAsia="Times New Roman" w:cs="Arial"/>
          <w:iCs/>
          <w:lang w:val="pt-PT"/>
        </w:rPr>
        <w:t>26.4</w:t>
      </w:r>
    </w:p>
    <w:p w:rsidR="002E0DE9" w:rsidRPr="002E0DE9" w:rsidRDefault="002E0DE9" w:rsidP="00303E2B">
      <w:pPr>
        <w:widowControl w:val="0"/>
        <w:suppressAutoHyphens/>
        <w:autoSpaceDE w:val="0"/>
        <w:autoSpaceDN w:val="0"/>
        <w:spacing w:after="0" w:line="240" w:lineRule="auto"/>
        <w:textAlignment w:val="baseline"/>
        <w:rPr>
          <w:rFonts w:eastAsia="Times New Roman" w:cs="Arial"/>
        </w:rPr>
      </w:pPr>
    </w:p>
    <w:p w:rsidR="002E0DE9" w:rsidRPr="002E0DE9" w:rsidRDefault="002E0DE9" w:rsidP="00303E2B">
      <w:pPr>
        <w:widowControl w:val="0"/>
        <w:suppressAutoHyphens/>
        <w:autoSpaceDE w:val="0"/>
        <w:autoSpaceDN w:val="0"/>
        <w:spacing w:after="0" w:line="240" w:lineRule="auto"/>
        <w:textAlignment w:val="baseline"/>
        <w:rPr>
          <w:rFonts w:eastAsia="Times New Roman" w:cs="Arial"/>
        </w:rPr>
      </w:pPr>
    </w:p>
    <w:p w:rsidR="00526971" w:rsidRDefault="00526971" w:rsidP="009057E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eastAsia="Times New Roman" w:cs="Arial"/>
          <w:b/>
          <w:bCs/>
        </w:rPr>
      </w:pPr>
      <w:bookmarkStart w:id="0" w:name="_Toc503342683"/>
      <w:r w:rsidRPr="005F143F">
        <w:rPr>
          <w:rFonts w:eastAsia="Times New Roman" w:cs="Arial"/>
          <w:b/>
          <w:bCs/>
        </w:rPr>
        <w:t>TRANSFRONTIER CONSERVATION AREAS FOR MIGRATORY SPECIES</w:t>
      </w:r>
      <w:bookmarkEnd w:id="0"/>
      <w:r w:rsidRPr="002E0DE9">
        <w:rPr>
          <w:rFonts w:eastAsia="Times New Roman" w:cs="Arial"/>
          <w:b/>
          <w:bCs/>
        </w:rPr>
        <w:t xml:space="preserve"> </w:t>
      </w:r>
    </w:p>
    <w:p w:rsidR="002E0DE9" w:rsidRPr="00F81B4A" w:rsidRDefault="008B0AC3" w:rsidP="00303E2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ascii="Calibri" w:eastAsia="Calibri" w:hAnsi="Calibri" w:cs="Times New Roman"/>
        </w:rPr>
      </w:pPr>
      <w:r>
        <w:rPr>
          <w:rFonts w:eastAsia="Times New Roman" w:cs="Arial"/>
          <w:i/>
        </w:rPr>
        <w:t>(Prepared by the Secretariat)</w:t>
      </w:r>
    </w:p>
    <w:p w:rsidR="002E0DE9" w:rsidRPr="002E0DE9" w:rsidRDefault="002E0DE9" w:rsidP="00303E2B">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303E2B">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303E2B">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1010920</wp:posOffset>
                </wp:positionH>
                <wp:positionV relativeFrom="paragraph">
                  <wp:posOffset>61595</wp:posOffset>
                </wp:positionV>
                <wp:extent cx="4467225" cy="1819275"/>
                <wp:effectExtent l="0" t="0" r="28575" b="28575"/>
                <wp:wrapNone/>
                <wp:docPr id="5" name="Text Box 4"/>
                <wp:cNvGraphicFramePr/>
                <a:graphic xmlns:a="http://schemas.openxmlformats.org/drawingml/2006/main">
                  <a:graphicData uri="http://schemas.microsoft.com/office/word/2010/wordprocessingShape">
                    <wps:wsp>
                      <wps:cNvSpPr txBox="1"/>
                      <wps:spPr>
                        <a:xfrm>
                          <a:off x="0" y="0"/>
                          <a:ext cx="4467225" cy="1819275"/>
                        </a:xfrm>
                        <a:prstGeom prst="rect">
                          <a:avLst/>
                        </a:prstGeom>
                        <a:solidFill>
                          <a:srgbClr val="FFFFFF"/>
                        </a:solidFill>
                        <a:ln w="3172">
                          <a:solidFill>
                            <a:srgbClr val="000000"/>
                          </a:solidFill>
                          <a:prstDash val="solid"/>
                        </a:ln>
                      </wps:spPr>
                      <wps:txb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9C1079" w:rsidRDefault="00526971" w:rsidP="00526971">
                            <w:pPr>
                              <w:spacing w:after="0" w:line="240" w:lineRule="auto"/>
                              <w:jc w:val="both"/>
                              <w:rPr>
                                <w:rFonts w:cs="Arial"/>
                              </w:rPr>
                            </w:pPr>
                            <w:r w:rsidRPr="008212C1">
                              <w:rPr>
                                <w:rFonts w:cs="Arial"/>
                              </w:rPr>
                              <w:t xml:space="preserve">This document reports on progress to implement Decisions 12.94 – 12.97 </w:t>
                            </w:r>
                            <w:proofErr w:type="spellStart"/>
                            <w:r w:rsidRPr="008212C1">
                              <w:rPr>
                                <w:rFonts w:cs="Arial"/>
                                <w:bCs/>
                                <w:i/>
                              </w:rPr>
                              <w:t>Transfrontier</w:t>
                            </w:r>
                            <w:proofErr w:type="spellEnd"/>
                            <w:r w:rsidRPr="008212C1">
                              <w:rPr>
                                <w:rFonts w:cs="Arial"/>
                                <w:bCs/>
                                <w:i/>
                              </w:rPr>
                              <w:t xml:space="preserve"> Conservation Areas for Migratory Species</w:t>
                            </w:r>
                            <w:r w:rsidRPr="008212C1">
                              <w:rPr>
                                <w:rFonts w:cs="Arial"/>
                                <w:bCs/>
                              </w:rPr>
                              <w:t xml:space="preserve">.  </w:t>
                            </w:r>
                            <w:r w:rsidRPr="008212C1">
                              <w:rPr>
                                <w:rFonts w:cs="Arial"/>
                              </w:rPr>
                              <w:t xml:space="preserve">The document also proposes to update UNEP/CMS/Resolution 12.7 </w:t>
                            </w:r>
                            <w:r w:rsidRPr="008212C1">
                              <w:rPr>
                                <w:rFonts w:cs="Arial"/>
                                <w:i/>
                              </w:rPr>
                              <w:t>The Role of Ecological Networks in the Conservation of Migratory Species</w:t>
                            </w:r>
                            <w:r w:rsidRPr="008212C1">
                              <w:rPr>
                                <w:rFonts w:cs="Arial"/>
                              </w:rPr>
                              <w:t xml:space="preserve"> to include the concept of </w:t>
                            </w:r>
                            <w:proofErr w:type="spellStart"/>
                            <w:r w:rsidRPr="008212C1">
                              <w:rPr>
                                <w:rFonts w:cs="Arial"/>
                              </w:rPr>
                              <w:t>Transfrontier</w:t>
                            </w:r>
                            <w:proofErr w:type="spellEnd"/>
                            <w:r w:rsidRPr="008212C1">
                              <w:rPr>
                                <w:rFonts w:cs="Arial"/>
                              </w:rPr>
                              <w:t xml:space="preserve"> Conservation Areas given its long-term application, and the renewal</w:t>
                            </w:r>
                            <w:r>
                              <w:rPr>
                                <w:rFonts w:cs="Arial"/>
                              </w:rPr>
                              <w:t>, as appropriate,</w:t>
                            </w:r>
                            <w:r w:rsidRPr="008212C1">
                              <w:rPr>
                                <w:rFonts w:cs="Arial"/>
                              </w:rPr>
                              <w:t xml:space="preserve"> of the current Decisions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6pt;margin-top:4.85pt;width:351.7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" strokeweight=".08811mm">
                <v:textbo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9C1079" w:rsidRDefault="00526971" w:rsidP="00526971">
                      <w:pPr>
                        <w:spacing w:after="0" w:line="240" w:lineRule="auto"/>
                        <w:jc w:val="both"/>
                        <w:rPr>
                          <w:rFonts w:cs="Arial"/>
                        </w:rPr>
                      </w:pPr>
                      <w:r w:rsidRPr="008212C1">
                        <w:rPr>
                          <w:rFonts w:cs="Arial"/>
                        </w:rPr>
                        <w:t xml:space="preserve">This document reports on progress to implement Decisions 12.94 – 12.97 </w:t>
                      </w:r>
                      <w:proofErr w:type="spellStart"/>
                      <w:r w:rsidRPr="008212C1">
                        <w:rPr>
                          <w:rFonts w:cs="Arial"/>
                          <w:bCs/>
                          <w:i/>
                        </w:rPr>
                        <w:t>Transfrontier</w:t>
                      </w:r>
                      <w:proofErr w:type="spellEnd"/>
                      <w:r w:rsidRPr="008212C1">
                        <w:rPr>
                          <w:rFonts w:cs="Arial"/>
                          <w:bCs/>
                          <w:i/>
                        </w:rPr>
                        <w:t xml:space="preserve"> Conservation Areas for Migratory Species</w:t>
                      </w:r>
                      <w:r w:rsidRPr="008212C1">
                        <w:rPr>
                          <w:rFonts w:cs="Arial"/>
                          <w:bCs/>
                        </w:rPr>
                        <w:t xml:space="preserve">.  </w:t>
                      </w:r>
                      <w:r w:rsidRPr="008212C1">
                        <w:rPr>
                          <w:rFonts w:cs="Arial"/>
                        </w:rPr>
                        <w:t xml:space="preserve">The document also proposes to update UNEP/CMS/Resolution 12.7 </w:t>
                      </w:r>
                      <w:r w:rsidRPr="008212C1">
                        <w:rPr>
                          <w:rFonts w:cs="Arial"/>
                          <w:i/>
                        </w:rPr>
                        <w:t>The Role of Ecological Networks in the Conservation of Migratory Species</w:t>
                      </w:r>
                      <w:r w:rsidRPr="008212C1">
                        <w:rPr>
                          <w:rFonts w:cs="Arial"/>
                        </w:rPr>
                        <w:t xml:space="preserve"> to include the concept of </w:t>
                      </w:r>
                      <w:proofErr w:type="spellStart"/>
                      <w:r w:rsidRPr="008212C1">
                        <w:rPr>
                          <w:rFonts w:cs="Arial"/>
                        </w:rPr>
                        <w:t>Transfrontier</w:t>
                      </w:r>
                      <w:proofErr w:type="spellEnd"/>
                      <w:r w:rsidRPr="008212C1">
                        <w:rPr>
                          <w:rFonts w:cs="Arial"/>
                        </w:rPr>
                        <w:t xml:space="preserve"> Conservation Areas given its long-term application, and the renewal</w:t>
                      </w:r>
                      <w:r>
                        <w:rPr>
                          <w:rFonts w:cs="Arial"/>
                        </w:rPr>
                        <w:t>, as appropriate,</w:t>
                      </w:r>
                      <w:r w:rsidRPr="008212C1">
                        <w:rPr>
                          <w:rFonts w:cs="Arial"/>
                        </w:rPr>
                        <w:t xml:space="preserve"> of the current Decisions</w:t>
                      </w:r>
                    </w:p>
                  </w:txbxContent>
                </v:textbox>
              </v:shape>
            </w:pict>
          </mc:Fallback>
        </mc:AlternateContent>
      </w:r>
    </w:p>
    <w:p w:rsidR="002E0DE9" w:rsidRPr="002E0DE9" w:rsidRDefault="002E0DE9" w:rsidP="00303E2B">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303E2B">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303E2B">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303E2B">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303E2B">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303E2B">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303E2B">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303E2B">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303E2B">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303E2B">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303E2B">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303E2B">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303E2B">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303E2B">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303E2B">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303E2B">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303E2B">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303E2B">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303E2B">
      <w:pPr>
        <w:widowControl w:val="0"/>
        <w:suppressAutoHyphens/>
        <w:autoSpaceDE w:val="0"/>
        <w:autoSpaceDN w:val="0"/>
        <w:spacing w:after="0" w:line="240" w:lineRule="auto"/>
        <w:textAlignment w:val="baseline"/>
        <w:rPr>
          <w:rFonts w:eastAsia="Times New Roman" w:cs="Arial"/>
        </w:rPr>
      </w:pPr>
    </w:p>
    <w:p w:rsidR="002E0DE9" w:rsidRPr="002E0DE9" w:rsidRDefault="002E0DE9" w:rsidP="00303E2B">
      <w:pPr>
        <w:widowControl w:val="0"/>
        <w:suppressAutoHyphens/>
        <w:autoSpaceDE w:val="0"/>
        <w:autoSpaceDN w:val="0"/>
        <w:spacing w:after="0" w:line="240" w:lineRule="auto"/>
        <w:textAlignment w:val="baseline"/>
        <w:rPr>
          <w:rFonts w:eastAsia="Times New Roman" w:cs="Arial"/>
        </w:rPr>
      </w:pPr>
    </w:p>
    <w:p w:rsidR="005330F7" w:rsidRDefault="005330F7" w:rsidP="00303E2B">
      <w:pPr>
        <w:spacing w:after="0" w:line="240" w:lineRule="auto"/>
      </w:pPr>
    </w:p>
    <w:p w:rsidR="002E0DE9" w:rsidRDefault="002E0DE9" w:rsidP="00303E2B">
      <w:pPr>
        <w:spacing w:after="0" w:line="240" w:lineRule="auto"/>
      </w:pPr>
    </w:p>
    <w:p w:rsidR="002E0DE9" w:rsidRDefault="002E0DE9" w:rsidP="00303E2B">
      <w:pPr>
        <w:spacing w:after="0" w:line="240" w:lineRule="auto"/>
      </w:pPr>
    </w:p>
    <w:p w:rsidR="002E0DE9" w:rsidRDefault="002E0DE9" w:rsidP="00303E2B">
      <w:pPr>
        <w:spacing w:after="0" w:line="240" w:lineRule="auto"/>
      </w:pPr>
    </w:p>
    <w:p w:rsidR="002E0DE9" w:rsidRDefault="002E0DE9" w:rsidP="00303E2B">
      <w:pPr>
        <w:spacing w:after="0" w:line="240" w:lineRule="auto"/>
      </w:pPr>
    </w:p>
    <w:p w:rsidR="002E0DE9" w:rsidRDefault="002E0DE9" w:rsidP="00303E2B">
      <w:pPr>
        <w:spacing w:after="0" w:line="240" w:lineRule="auto"/>
      </w:pPr>
    </w:p>
    <w:p w:rsidR="002E0DE9" w:rsidRDefault="002E0DE9" w:rsidP="00303E2B">
      <w:pPr>
        <w:spacing w:after="0" w:line="240" w:lineRule="auto"/>
      </w:pPr>
    </w:p>
    <w:p w:rsidR="002E0DE9" w:rsidRDefault="002E0DE9" w:rsidP="00303E2B">
      <w:pPr>
        <w:spacing w:after="0" w:line="240" w:lineRule="auto"/>
      </w:pPr>
    </w:p>
    <w:p w:rsidR="002E0DE9" w:rsidRDefault="002E0DE9" w:rsidP="00303E2B">
      <w:pPr>
        <w:spacing w:after="0" w:line="240" w:lineRule="auto"/>
      </w:pPr>
    </w:p>
    <w:p w:rsidR="002E0DE9" w:rsidRDefault="002E0DE9" w:rsidP="00303E2B">
      <w:pPr>
        <w:spacing w:after="0" w:line="240" w:lineRule="auto"/>
      </w:pPr>
    </w:p>
    <w:p w:rsidR="002E0DE9" w:rsidRDefault="002E0DE9" w:rsidP="00303E2B">
      <w:pPr>
        <w:spacing w:after="0" w:line="240" w:lineRule="auto"/>
      </w:pPr>
    </w:p>
    <w:p w:rsidR="002E0DE9" w:rsidRDefault="002E0DE9" w:rsidP="00303E2B">
      <w:pPr>
        <w:spacing w:after="0" w:line="240" w:lineRule="auto"/>
      </w:pPr>
    </w:p>
    <w:p w:rsidR="00B57E93" w:rsidRDefault="00B57E93" w:rsidP="00303E2B">
      <w:pPr>
        <w:spacing w:after="0" w:line="240" w:lineRule="auto"/>
      </w:pPr>
    </w:p>
    <w:p w:rsidR="00B57E93" w:rsidRDefault="00B57E93" w:rsidP="00303E2B">
      <w:pPr>
        <w:spacing w:after="0" w:line="240" w:lineRule="auto"/>
      </w:pPr>
    </w:p>
    <w:p w:rsidR="00B57E93" w:rsidRDefault="00B57E93" w:rsidP="00303E2B">
      <w:pPr>
        <w:spacing w:after="0" w:line="240" w:lineRule="auto"/>
      </w:pPr>
    </w:p>
    <w:p w:rsidR="002E0DE9" w:rsidRDefault="002E0DE9" w:rsidP="00303E2B">
      <w:pPr>
        <w:spacing w:after="0" w:line="240" w:lineRule="auto"/>
      </w:pPr>
    </w:p>
    <w:p w:rsidR="00A34291" w:rsidRDefault="00A34291" w:rsidP="00303E2B">
      <w:pPr>
        <w:spacing w:after="0" w:line="240" w:lineRule="auto"/>
      </w:pPr>
    </w:p>
    <w:p w:rsidR="00A34291" w:rsidRDefault="00A34291" w:rsidP="00303E2B">
      <w:pPr>
        <w:spacing w:after="0" w:line="240" w:lineRule="auto"/>
      </w:pPr>
    </w:p>
    <w:p w:rsidR="00A34291" w:rsidRDefault="00A34291" w:rsidP="00303E2B">
      <w:pPr>
        <w:spacing w:after="0" w:line="240" w:lineRule="auto"/>
      </w:pPr>
    </w:p>
    <w:p w:rsidR="002E0DE9" w:rsidRPr="00DD3E44" w:rsidRDefault="002E0DE9" w:rsidP="00303E2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DD3E44" w:rsidRDefault="00DD3E44" w:rsidP="00303E2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p>
    <w:p w:rsidR="00526971" w:rsidRPr="005F143F" w:rsidRDefault="00526971" w:rsidP="00303E2B">
      <w:pPr>
        <w:widowControl w:val="0"/>
        <w:tabs>
          <w:tab w:val="left" w:pos="8235"/>
        </w:tabs>
        <w:suppressAutoHyphens/>
        <w:autoSpaceDE w:val="0"/>
        <w:autoSpaceDN w:val="0"/>
        <w:spacing w:after="0" w:line="240" w:lineRule="auto"/>
        <w:jc w:val="center"/>
        <w:textAlignment w:val="baseline"/>
        <w:rPr>
          <w:rFonts w:eastAsia="Times New Roman" w:cs="Arial"/>
          <w:b/>
          <w:bCs/>
        </w:rPr>
      </w:pPr>
      <w:bookmarkStart w:id="1" w:name="_Hlk19186119"/>
      <w:r w:rsidRPr="005F143F">
        <w:rPr>
          <w:rFonts w:eastAsia="Times New Roman" w:cs="Arial"/>
          <w:b/>
          <w:bCs/>
        </w:rPr>
        <w:t>TRANSFRONTIER CONSERVATION AREAS FOR MIGRATORY SPECIES</w:t>
      </w:r>
    </w:p>
    <w:bookmarkEnd w:id="1"/>
    <w:p w:rsidR="002E0DE9" w:rsidRPr="002E0DE9" w:rsidRDefault="002E0DE9" w:rsidP="00303E2B">
      <w:pPr>
        <w:suppressAutoHyphens/>
        <w:autoSpaceDN w:val="0"/>
        <w:spacing w:after="0" w:line="240" w:lineRule="auto"/>
        <w:textAlignment w:val="baseline"/>
        <w:rPr>
          <w:rFonts w:eastAsia="Calibri" w:cs="Arial"/>
        </w:rPr>
      </w:pPr>
    </w:p>
    <w:p w:rsidR="002E0DE9" w:rsidRPr="002E0DE9" w:rsidRDefault="002E0DE9" w:rsidP="00303E2B">
      <w:pPr>
        <w:suppressAutoHyphens/>
        <w:autoSpaceDN w:val="0"/>
        <w:spacing w:after="0" w:line="240" w:lineRule="auto"/>
        <w:textAlignment w:val="baseline"/>
        <w:rPr>
          <w:rFonts w:eastAsia="Calibri" w:cs="Arial"/>
        </w:rPr>
      </w:pPr>
    </w:p>
    <w:p w:rsidR="002E0DE9" w:rsidRPr="002E0DE9" w:rsidRDefault="002E0DE9" w:rsidP="00303E2B">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303E2B">
      <w:pPr>
        <w:spacing w:after="0" w:line="240" w:lineRule="auto"/>
      </w:pPr>
    </w:p>
    <w:p w:rsidR="00526971" w:rsidRPr="00526971" w:rsidRDefault="00526971" w:rsidP="00303E2B">
      <w:pPr>
        <w:pStyle w:val="Firstnumbering"/>
        <w:ind w:left="567" w:hanging="567"/>
        <w:rPr>
          <w:b/>
          <w:bCs/>
        </w:rPr>
      </w:pPr>
      <w:bookmarkStart w:id="2" w:name="_Hlk17371156"/>
      <w:bookmarkStart w:id="3" w:name="_Hlk19265022"/>
      <w:r>
        <w:t>The Conference of the Parties at its 12</w:t>
      </w:r>
      <w:r w:rsidRPr="005F143F">
        <w:rPr>
          <w:vertAlign w:val="superscript"/>
        </w:rPr>
        <w:t>th</w:t>
      </w:r>
      <w:r>
        <w:t xml:space="preserve"> meeting (COP12, Manila, 2017) adopted Decisions 12.94 – 12.97 </w:t>
      </w:r>
      <w:r w:rsidRPr="00DC4303">
        <w:rPr>
          <w:i/>
        </w:rPr>
        <w:t xml:space="preserve">on </w:t>
      </w:r>
      <w:proofErr w:type="spellStart"/>
      <w:r w:rsidRPr="00DC4303">
        <w:rPr>
          <w:bCs/>
          <w:i/>
        </w:rPr>
        <w:t>Transfrontier</w:t>
      </w:r>
      <w:proofErr w:type="spellEnd"/>
      <w:r w:rsidRPr="00DC4303">
        <w:rPr>
          <w:bCs/>
          <w:i/>
        </w:rPr>
        <w:t xml:space="preserve"> Conservation Areas for Migratory Species</w:t>
      </w:r>
      <w:r>
        <w:rPr>
          <w:bCs/>
        </w:rPr>
        <w:t xml:space="preserve">. </w:t>
      </w:r>
      <w:bookmarkEnd w:id="2"/>
      <w:r>
        <w:rPr>
          <w:bCs/>
        </w:rPr>
        <w:t>Decisions 12.94 – 12.95 provide:</w:t>
      </w:r>
    </w:p>
    <w:p w:rsidR="00526971" w:rsidRDefault="00526971" w:rsidP="00303E2B">
      <w:pPr>
        <w:pStyle w:val="Firstnumbering"/>
        <w:numPr>
          <w:ilvl w:val="0"/>
          <w:numId w:val="0"/>
        </w:numPr>
        <w:ind w:left="567"/>
        <w:rPr>
          <w:bCs/>
        </w:rPr>
      </w:pPr>
    </w:p>
    <w:p w:rsidR="00526971" w:rsidRPr="00A8190E" w:rsidRDefault="00526971" w:rsidP="00303E2B">
      <w:pPr>
        <w:pStyle w:val="ListParagraph"/>
        <w:spacing w:after="0" w:line="240" w:lineRule="auto"/>
        <w:ind w:left="540"/>
        <w:contextualSpacing w:val="0"/>
        <w:jc w:val="both"/>
        <w:rPr>
          <w:b/>
          <w:bCs/>
          <w:i/>
          <w:sz w:val="20"/>
          <w:szCs w:val="20"/>
        </w:rPr>
      </w:pPr>
      <w:bookmarkStart w:id="4" w:name="_Hlk19186075"/>
      <w:r w:rsidRPr="00A8190E">
        <w:rPr>
          <w:b/>
          <w:bCs/>
          <w:i/>
          <w:sz w:val="20"/>
          <w:szCs w:val="20"/>
        </w:rPr>
        <w:t>12.94 Directed to Parties</w:t>
      </w:r>
    </w:p>
    <w:p w:rsidR="00526971" w:rsidRPr="008212C1" w:rsidRDefault="00526971" w:rsidP="00303E2B">
      <w:pPr>
        <w:widowControl w:val="0"/>
        <w:autoSpaceDE w:val="0"/>
        <w:autoSpaceDN w:val="0"/>
        <w:adjustRightInd w:val="0"/>
        <w:spacing w:after="0" w:line="240" w:lineRule="auto"/>
        <w:ind w:left="540"/>
        <w:jc w:val="both"/>
        <w:rPr>
          <w:rFonts w:eastAsia="Times New Roman" w:cs="Arial"/>
          <w:i/>
          <w:sz w:val="20"/>
          <w:szCs w:val="20"/>
        </w:rPr>
      </w:pPr>
    </w:p>
    <w:p w:rsidR="00526971" w:rsidRPr="008212C1" w:rsidRDefault="00526971" w:rsidP="00303E2B">
      <w:pPr>
        <w:widowControl w:val="0"/>
        <w:autoSpaceDE w:val="0"/>
        <w:autoSpaceDN w:val="0"/>
        <w:adjustRightInd w:val="0"/>
        <w:spacing w:after="0" w:line="240" w:lineRule="auto"/>
        <w:ind w:left="1440" w:hanging="360"/>
        <w:jc w:val="both"/>
        <w:rPr>
          <w:rFonts w:eastAsia="Times New Roman" w:cs="Arial"/>
          <w:i/>
          <w:sz w:val="20"/>
          <w:szCs w:val="20"/>
        </w:rPr>
      </w:pPr>
      <w:r w:rsidRPr="008212C1">
        <w:rPr>
          <w:rFonts w:eastAsia="Times New Roman" w:cs="Arial"/>
          <w:i/>
          <w:sz w:val="20"/>
          <w:szCs w:val="20"/>
        </w:rPr>
        <w:t>Parties are invited to:</w:t>
      </w:r>
    </w:p>
    <w:p w:rsidR="00526971" w:rsidRPr="008212C1" w:rsidRDefault="00526971" w:rsidP="00303E2B">
      <w:pPr>
        <w:widowControl w:val="0"/>
        <w:autoSpaceDE w:val="0"/>
        <w:autoSpaceDN w:val="0"/>
        <w:adjustRightInd w:val="0"/>
        <w:spacing w:after="0" w:line="240" w:lineRule="auto"/>
        <w:ind w:left="1440"/>
        <w:jc w:val="both"/>
        <w:rPr>
          <w:rFonts w:eastAsia="Times New Roman" w:cs="Arial"/>
          <w:i/>
          <w:sz w:val="20"/>
          <w:szCs w:val="20"/>
        </w:rPr>
      </w:pPr>
    </w:p>
    <w:p w:rsidR="00526971" w:rsidRPr="008212C1" w:rsidRDefault="00526971" w:rsidP="00303E2B">
      <w:pPr>
        <w:widowControl w:val="0"/>
        <w:numPr>
          <w:ilvl w:val="0"/>
          <w:numId w:val="7"/>
        </w:numPr>
        <w:autoSpaceDE w:val="0"/>
        <w:autoSpaceDN w:val="0"/>
        <w:adjustRightInd w:val="0"/>
        <w:spacing w:after="0" w:line="240" w:lineRule="auto"/>
        <w:ind w:left="1440"/>
        <w:jc w:val="both"/>
        <w:rPr>
          <w:rFonts w:eastAsia="Times New Roman" w:cs="Arial"/>
          <w:i/>
          <w:sz w:val="20"/>
          <w:szCs w:val="20"/>
        </w:rPr>
      </w:pPr>
      <w:r w:rsidRPr="008212C1">
        <w:rPr>
          <w:rFonts w:eastAsia="Times New Roman" w:cs="Arial"/>
          <w:i/>
          <w:sz w:val="20"/>
          <w:szCs w:val="20"/>
        </w:rPr>
        <w:t xml:space="preserve">Identify transboundary habitats of CMS-listed species, which could be considered as </w:t>
      </w:r>
      <w:proofErr w:type="spellStart"/>
      <w:r w:rsidRPr="008212C1">
        <w:rPr>
          <w:rFonts w:eastAsia="Times New Roman" w:cs="Arial"/>
          <w:i/>
          <w:sz w:val="20"/>
          <w:szCs w:val="20"/>
        </w:rPr>
        <w:t>transfrontier</w:t>
      </w:r>
      <w:proofErr w:type="spellEnd"/>
      <w:r w:rsidRPr="008212C1">
        <w:rPr>
          <w:rFonts w:eastAsia="Times New Roman" w:cs="Arial"/>
          <w:i/>
          <w:sz w:val="20"/>
          <w:szCs w:val="20"/>
        </w:rPr>
        <w:t xml:space="preserve"> conservation areas (TFCAs), </w:t>
      </w:r>
      <w:bookmarkStart w:id="5" w:name="_Hlk18323586"/>
      <w:r w:rsidRPr="008212C1">
        <w:rPr>
          <w:rFonts w:eastAsia="Times New Roman" w:cs="Arial"/>
          <w:i/>
          <w:sz w:val="20"/>
          <w:szCs w:val="20"/>
        </w:rPr>
        <w:t>meaning an area or component of a large ecological region that straddles the boundaries of two or more countries and is within their national jurisdiction, which may encompass one or more protected areas, as well as multiple resource use areas;</w:t>
      </w:r>
    </w:p>
    <w:bookmarkEnd w:id="5"/>
    <w:p w:rsidR="00526971" w:rsidRPr="008212C1" w:rsidRDefault="00526971" w:rsidP="00303E2B">
      <w:pPr>
        <w:widowControl w:val="0"/>
        <w:autoSpaceDE w:val="0"/>
        <w:autoSpaceDN w:val="0"/>
        <w:adjustRightInd w:val="0"/>
        <w:spacing w:after="0" w:line="240" w:lineRule="auto"/>
        <w:ind w:left="1440"/>
        <w:jc w:val="both"/>
        <w:rPr>
          <w:rFonts w:eastAsia="Times New Roman" w:cs="Arial"/>
          <w:i/>
          <w:sz w:val="20"/>
          <w:szCs w:val="20"/>
        </w:rPr>
      </w:pPr>
    </w:p>
    <w:p w:rsidR="00526971" w:rsidRPr="008212C1" w:rsidRDefault="00526971" w:rsidP="00303E2B">
      <w:pPr>
        <w:widowControl w:val="0"/>
        <w:numPr>
          <w:ilvl w:val="0"/>
          <w:numId w:val="7"/>
        </w:numPr>
        <w:autoSpaceDE w:val="0"/>
        <w:autoSpaceDN w:val="0"/>
        <w:adjustRightInd w:val="0"/>
        <w:spacing w:after="0" w:line="240" w:lineRule="auto"/>
        <w:ind w:left="1440"/>
        <w:jc w:val="both"/>
        <w:rPr>
          <w:rFonts w:eastAsia="Times New Roman" w:cs="Arial"/>
          <w:i/>
          <w:sz w:val="20"/>
          <w:szCs w:val="20"/>
        </w:rPr>
      </w:pPr>
      <w:r w:rsidRPr="008212C1">
        <w:rPr>
          <w:rFonts w:eastAsia="Times New Roman" w:cs="Arial"/>
          <w:i/>
          <w:sz w:val="20"/>
          <w:szCs w:val="20"/>
        </w:rPr>
        <w:t>Consider developing jointly with neighbouring Range States bi- or multilateral arrangements, including joint management plans, to improve the conservation of the habitats and species concerned;</w:t>
      </w:r>
    </w:p>
    <w:p w:rsidR="00526971" w:rsidRPr="008212C1" w:rsidRDefault="00526971" w:rsidP="00303E2B">
      <w:pPr>
        <w:widowControl w:val="0"/>
        <w:autoSpaceDE w:val="0"/>
        <w:autoSpaceDN w:val="0"/>
        <w:adjustRightInd w:val="0"/>
        <w:spacing w:after="0" w:line="240" w:lineRule="auto"/>
        <w:ind w:left="1440"/>
        <w:jc w:val="both"/>
        <w:rPr>
          <w:rFonts w:eastAsia="Times New Roman" w:cs="Arial"/>
          <w:i/>
          <w:sz w:val="20"/>
          <w:szCs w:val="20"/>
        </w:rPr>
      </w:pPr>
    </w:p>
    <w:p w:rsidR="00526971" w:rsidRPr="008212C1" w:rsidRDefault="00526971" w:rsidP="00303E2B">
      <w:pPr>
        <w:widowControl w:val="0"/>
        <w:numPr>
          <w:ilvl w:val="0"/>
          <w:numId w:val="7"/>
        </w:numPr>
        <w:autoSpaceDE w:val="0"/>
        <w:autoSpaceDN w:val="0"/>
        <w:adjustRightInd w:val="0"/>
        <w:spacing w:after="0" w:line="240" w:lineRule="auto"/>
        <w:ind w:left="1440"/>
        <w:jc w:val="both"/>
        <w:rPr>
          <w:rFonts w:eastAsia="Times New Roman" w:cs="Arial"/>
          <w:i/>
          <w:sz w:val="20"/>
          <w:szCs w:val="20"/>
        </w:rPr>
      </w:pPr>
      <w:r w:rsidRPr="008212C1">
        <w:rPr>
          <w:rFonts w:eastAsia="Times New Roman" w:cs="Arial"/>
          <w:i/>
          <w:sz w:val="20"/>
          <w:szCs w:val="20"/>
        </w:rPr>
        <w:t>Enable, in the development of such arrangements the participation of local communities and stakeholders for the purposes of benefitting wildlife and the sustainable development of the communities living within it.</w:t>
      </w:r>
    </w:p>
    <w:p w:rsidR="00526971" w:rsidRPr="008212C1" w:rsidRDefault="00526971" w:rsidP="00303E2B">
      <w:pPr>
        <w:spacing w:after="0" w:line="240" w:lineRule="auto"/>
        <w:ind w:firstLine="540"/>
        <w:jc w:val="both"/>
        <w:rPr>
          <w:rFonts w:eastAsia="Times New Roman" w:cs="Arial"/>
          <w:i/>
          <w:sz w:val="20"/>
          <w:szCs w:val="20"/>
        </w:rPr>
      </w:pPr>
    </w:p>
    <w:p w:rsidR="00526971" w:rsidRPr="00A8190E" w:rsidRDefault="00526971" w:rsidP="00303E2B">
      <w:pPr>
        <w:spacing w:after="0" w:line="240" w:lineRule="auto"/>
        <w:ind w:firstLine="540"/>
        <w:jc w:val="both"/>
        <w:rPr>
          <w:rFonts w:eastAsia="Times New Roman" w:cs="Arial"/>
          <w:b/>
          <w:i/>
          <w:sz w:val="20"/>
          <w:szCs w:val="20"/>
        </w:rPr>
      </w:pPr>
      <w:r w:rsidRPr="00A8190E">
        <w:rPr>
          <w:rFonts w:eastAsia="Times New Roman" w:cs="Arial"/>
          <w:b/>
          <w:i/>
          <w:sz w:val="20"/>
          <w:szCs w:val="20"/>
        </w:rPr>
        <w:t>12.95 Directed to the Secretariat</w:t>
      </w:r>
    </w:p>
    <w:p w:rsidR="00526971" w:rsidRPr="008212C1" w:rsidRDefault="00526971" w:rsidP="00303E2B">
      <w:pPr>
        <w:spacing w:after="0" w:line="240" w:lineRule="auto"/>
        <w:ind w:firstLine="540"/>
        <w:jc w:val="both"/>
        <w:rPr>
          <w:rFonts w:eastAsia="Times New Roman" w:cs="Arial"/>
          <w:i/>
          <w:sz w:val="20"/>
          <w:szCs w:val="20"/>
        </w:rPr>
      </w:pPr>
    </w:p>
    <w:p w:rsidR="00526971" w:rsidRPr="008212C1" w:rsidRDefault="00526971" w:rsidP="00303E2B">
      <w:pPr>
        <w:widowControl w:val="0"/>
        <w:autoSpaceDE w:val="0"/>
        <w:autoSpaceDN w:val="0"/>
        <w:adjustRightInd w:val="0"/>
        <w:spacing w:after="0" w:line="240" w:lineRule="auto"/>
        <w:ind w:left="1440" w:hanging="360"/>
        <w:jc w:val="both"/>
        <w:rPr>
          <w:rFonts w:eastAsia="Times New Roman" w:cs="Arial"/>
          <w:i/>
          <w:sz w:val="20"/>
          <w:szCs w:val="20"/>
        </w:rPr>
      </w:pPr>
      <w:r w:rsidRPr="008212C1">
        <w:rPr>
          <w:rFonts w:eastAsia="Times New Roman" w:cs="Arial"/>
          <w:i/>
          <w:sz w:val="20"/>
          <w:szCs w:val="20"/>
        </w:rPr>
        <w:t>The Secretariat shall, subject to the availability of external resources:</w:t>
      </w:r>
    </w:p>
    <w:p w:rsidR="00526971" w:rsidRPr="008212C1" w:rsidRDefault="00526971" w:rsidP="00303E2B">
      <w:pPr>
        <w:widowControl w:val="0"/>
        <w:autoSpaceDE w:val="0"/>
        <w:autoSpaceDN w:val="0"/>
        <w:adjustRightInd w:val="0"/>
        <w:spacing w:after="0" w:line="240" w:lineRule="auto"/>
        <w:ind w:left="1440" w:hanging="360"/>
        <w:jc w:val="both"/>
        <w:rPr>
          <w:rFonts w:eastAsia="Times New Roman" w:cs="Arial"/>
          <w:i/>
          <w:sz w:val="20"/>
          <w:szCs w:val="20"/>
        </w:rPr>
      </w:pPr>
    </w:p>
    <w:p w:rsidR="00526971" w:rsidRPr="008212C1" w:rsidRDefault="00526971" w:rsidP="00303E2B">
      <w:pPr>
        <w:widowControl w:val="0"/>
        <w:numPr>
          <w:ilvl w:val="0"/>
          <w:numId w:val="8"/>
        </w:numPr>
        <w:autoSpaceDE w:val="0"/>
        <w:autoSpaceDN w:val="0"/>
        <w:adjustRightInd w:val="0"/>
        <w:spacing w:after="0" w:line="240" w:lineRule="auto"/>
        <w:ind w:left="1440"/>
        <w:jc w:val="both"/>
        <w:rPr>
          <w:rFonts w:eastAsia="Times New Roman" w:cs="Arial"/>
          <w:i/>
          <w:sz w:val="20"/>
          <w:szCs w:val="20"/>
        </w:rPr>
      </w:pPr>
      <w:r w:rsidRPr="008212C1">
        <w:rPr>
          <w:rFonts w:eastAsia="Times New Roman" w:cs="Arial"/>
          <w:i/>
          <w:sz w:val="20"/>
          <w:szCs w:val="20"/>
        </w:rPr>
        <w:t>Support Parties in implementing Decision 12.94;</w:t>
      </w:r>
    </w:p>
    <w:p w:rsidR="00526971" w:rsidRPr="008212C1" w:rsidRDefault="00526971" w:rsidP="00303E2B">
      <w:pPr>
        <w:widowControl w:val="0"/>
        <w:autoSpaceDE w:val="0"/>
        <w:autoSpaceDN w:val="0"/>
        <w:adjustRightInd w:val="0"/>
        <w:spacing w:after="0" w:line="240" w:lineRule="auto"/>
        <w:ind w:left="1440"/>
        <w:jc w:val="both"/>
        <w:rPr>
          <w:rFonts w:eastAsia="Times New Roman" w:cs="Arial"/>
          <w:i/>
          <w:sz w:val="20"/>
          <w:szCs w:val="20"/>
        </w:rPr>
      </w:pPr>
    </w:p>
    <w:p w:rsidR="00526971" w:rsidRPr="008212C1" w:rsidRDefault="00526971" w:rsidP="00303E2B">
      <w:pPr>
        <w:widowControl w:val="0"/>
        <w:numPr>
          <w:ilvl w:val="0"/>
          <w:numId w:val="8"/>
        </w:numPr>
        <w:autoSpaceDE w:val="0"/>
        <w:autoSpaceDN w:val="0"/>
        <w:adjustRightInd w:val="0"/>
        <w:spacing w:after="0" w:line="240" w:lineRule="auto"/>
        <w:ind w:left="1440"/>
        <w:jc w:val="both"/>
        <w:rPr>
          <w:rFonts w:eastAsia="Times New Roman" w:cs="Arial"/>
          <w:i/>
          <w:sz w:val="20"/>
          <w:szCs w:val="20"/>
        </w:rPr>
      </w:pPr>
      <w:r w:rsidRPr="008212C1">
        <w:rPr>
          <w:rFonts w:eastAsia="Times New Roman" w:cs="Arial"/>
          <w:i/>
          <w:sz w:val="20"/>
          <w:szCs w:val="20"/>
        </w:rPr>
        <w:t>Report to the Standing Committee at its 48</w:t>
      </w:r>
      <w:r w:rsidRPr="00CF111C">
        <w:rPr>
          <w:rFonts w:eastAsia="Times New Roman" w:cs="Arial"/>
          <w:i/>
          <w:sz w:val="20"/>
          <w:szCs w:val="20"/>
          <w:vertAlign w:val="superscript"/>
        </w:rPr>
        <w:t>th</w:t>
      </w:r>
      <w:r>
        <w:rPr>
          <w:rFonts w:eastAsia="Times New Roman" w:cs="Arial"/>
          <w:i/>
          <w:sz w:val="20"/>
          <w:szCs w:val="20"/>
        </w:rPr>
        <w:t xml:space="preserve"> </w:t>
      </w:r>
      <w:r w:rsidRPr="008212C1">
        <w:rPr>
          <w:rFonts w:eastAsia="Times New Roman" w:cs="Arial"/>
          <w:i/>
          <w:sz w:val="20"/>
          <w:szCs w:val="20"/>
        </w:rPr>
        <w:t>and 49</w:t>
      </w:r>
      <w:r w:rsidRPr="00CF111C">
        <w:rPr>
          <w:rFonts w:eastAsia="Times New Roman" w:cs="Arial"/>
          <w:i/>
          <w:sz w:val="20"/>
          <w:szCs w:val="20"/>
          <w:vertAlign w:val="superscript"/>
        </w:rPr>
        <w:t>th</w:t>
      </w:r>
      <w:r>
        <w:rPr>
          <w:rFonts w:eastAsia="Times New Roman" w:cs="Arial"/>
          <w:i/>
          <w:sz w:val="20"/>
          <w:szCs w:val="20"/>
        </w:rPr>
        <w:t xml:space="preserve"> </w:t>
      </w:r>
      <w:r w:rsidRPr="008212C1">
        <w:rPr>
          <w:rFonts w:eastAsia="Times New Roman" w:cs="Arial"/>
          <w:i/>
          <w:sz w:val="20"/>
          <w:szCs w:val="20"/>
        </w:rPr>
        <w:t>meetings as well as the Conference of the Parties at its 13</w:t>
      </w:r>
      <w:r w:rsidRPr="00CF111C">
        <w:rPr>
          <w:rFonts w:eastAsia="Times New Roman" w:cs="Arial"/>
          <w:i/>
          <w:sz w:val="20"/>
          <w:szCs w:val="20"/>
          <w:vertAlign w:val="superscript"/>
        </w:rPr>
        <w:t>th</w:t>
      </w:r>
      <w:r>
        <w:rPr>
          <w:rFonts w:eastAsia="Times New Roman" w:cs="Arial"/>
          <w:i/>
          <w:sz w:val="20"/>
          <w:szCs w:val="20"/>
        </w:rPr>
        <w:t xml:space="preserve"> </w:t>
      </w:r>
      <w:r w:rsidRPr="008212C1">
        <w:rPr>
          <w:rFonts w:eastAsia="Times New Roman" w:cs="Arial"/>
          <w:i/>
          <w:sz w:val="20"/>
          <w:szCs w:val="20"/>
        </w:rPr>
        <w:t>meeting on the progress in implementing this Decision.</w:t>
      </w:r>
      <w:r w:rsidRPr="008212C1">
        <w:rPr>
          <w:rFonts w:cs="Arial"/>
          <w:sz w:val="20"/>
          <w:szCs w:val="20"/>
          <w:u w:val="single"/>
        </w:rPr>
        <w:t xml:space="preserve"> </w:t>
      </w:r>
    </w:p>
    <w:p w:rsidR="00526971" w:rsidRPr="008212C1" w:rsidRDefault="00526971" w:rsidP="00303E2B">
      <w:pPr>
        <w:spacing w:after="0" w:line="240" w:lineRule="auto"/>
        <w:jc w:val="both"/>
        <w:rPr>
          <w:sz w:val="20"/>
          <w:szCs w:val="20"/>
        </w:rPr>
      </w:pPr>
    </w:p>
    <w:p w:rsidR="00526971" w:rsidRPr="00A8190E" w:rsidRDefault="00526971" w:rsidP="00303E2B">
      <w:pPr>
        <w:spacing w:after="0" w:line="240" w:lineRule="auto"/>
        <w:ind w:left="540"/>
        <w:jc w:val="both"/>
        <w:rPr>
          <w:b/>
          <w:i/>
          <w:sz w:val="20"/>
          <w:szCs w:val="20"/>
        </w:rPr>
      </w:pPr>
      <w:r w:rsidRPr="00A8190E">
        <w:rPr>
          <w:b/>
          <w:i/>
          <w:sz w:val="20"/>
          <w:szCs w:val="20"/>
        </w:rPr>
        <w:t>12.96 Directed to Parties, intergovernmental and non-governmental organizations</w:t>
      </w:r>
    </w:p>
    <w:p w:rsidR="00526971" w:rsidRPr="008212C1" w:rsidRDefault="00526971" w:rsidP="00303E2B">
      <w:pPr>
        <w:spacing w:after="0" w:line="240" w:lineRule="auto"/>
        <w:ind w:left="540"/>
        <w:jc w:val="both"/>
        <w:rPr>
          <w:i/>
          <w:sz w:val="20"/>
          <w:szCs w:val="20"/>
        </w:rPr>
      </w:pPr>
    </w:p>
    <w:p w:rsidR="00526971" w:rsidRPr="008212C1" w:rsidRDefault="00526971" w:rsidP="00303E2B">
      <w:pPr>
        <w:spacing w:after="0" w:line="240" w:lineRule="auto"/>
        <w:ind w:left="1080"/>
        <w:jc w:val="both"/>
        <w:rPr>
          <w:i/>
          <w:sz w:val="20"/>
          <w:szCs w:val="20"/>
        </w:rPr>
      </w:pPr>
      <w:r w:rsidRPr="008212C1">
        <w:rPr>
          <w:i/>
          <w:sz w:val="20"/>
          <w:szCs w:val="20"/>
        </w:rPr>
        <w:t>Parties, intergovernmental and non-governmental organizations are encouraged to provide financial and technical support to implement Decisions 12.94 and 12.95.</w:t>
      </w:r>
    </w:p>
    <w:p w:rsidR="00526971" w:rsidRPr="008212C1" w:rsidRDefault="00526971" w:rsidP="00303E2B">
      <w:pPr>
        <w:spacing w:after="0" w:line="240" w:lineRule="auto"/>
        <w:jc w:val="both"/>
        <w:rPr>
          <w:i/>
          <w:sz w:val="20"/>
          <w:szCs w:val="20"/>
        </w:rPr>
      </w:pPr>
    </w:p>
    <w:p w:rsidR="00526971" w:rsidRPr="00A8190E" w:rsidRDefault="00526971" w:rsidP="00303E2B">
      <w:pPr>
        <w:spacing w:after="0" w:line="240" w:lineRule="auto"/>
        <w:ind w:left="540"/>
        <w:jc w:val="both"/>
        <w:rPr>
          <w:b/>
          <w:i/>
          <w:sz w:val="20"/>
          <w:szCs w:val="20"/>
        </w:rPr>
      </w:pPr>
      <w:r w:rsidRPr="00A8190E">
        <w:rPr>
          <w:b/>
          <w:i/>
          <w:sz w:val="20"/>
          <w:szCs w:val="20"/>
        </w:rPr>
        <w:t>12.97 Directed to the Standing Committee</w:t>
      </w:r>
    </w:p>
    <w:p w:rsidR="00526971" w:rsidRPr="008212C1" w:rsidRDefault="00526971" w:rsidP="00303E2B">
      <w:pPr>
        <w:spacing w:after="0" w:line="240" w:lineRule="auto"/>
        <w:ind w:left="1170"/>
        <w:jc w:val="both"/>
        <w:rPr>
          <w:i/>
          <w:sz w:val="20"/>
          <w:szCs w:val="20"/>
        </w:rPr>
      </w:pPr>
    </w:p>
    <w:p w:rsidR="00526971" w:rsidRPr="008212C1" w:rsidRDefault="00526971" w:rsidP="00303E2B">
      <w:pPr>
        <w:spacing w:after="0" w:line="240" w:lineRule="auto"/>
        <w:ind w:left="1080"/>
        <w:jc w:val="both"/>
        <w:rPr>
          <w:i/>
          <w:sz w:val="20"/>
          <w:szCs w:val="20"/>
        </w:rPr>
      </w:pPr>
      <w:r w:rsidRPr="008212C1">
        <w:rPr>
          <w:i/>
          <w:sz w:val="20"/>
          <w:szCs w:val="20"/>
        </w:rPr>
        <w:t>The Standing Committee shall consider the report received from the Secretariat.</w:t>
      </w:r>
    </w:p>
    <w:bookmarkEnd w:id="4"/>
    <w:p w:rsidR="00526971" w:rsidRPr="00526971" w:rsidRDefault="00526971" w:rsidP="009057EB">
      <w:pPr>
        <w:pStyle w:val="Firstnumbering"/>
        <w:numPr>
          <w:ilvl w:val="0"/>
          <w:numId w:val="0"/>
        </w:numPr>
        <w:rPr>
          <w:bCs/>
        </w:rPr>
      </w:pPr>
    </w:p>
    <w:bookmarkEnd w:id="3"/>
    <w:p w:rsidR="00526971" w:rsidRPr="00526971" w:rsidRDefault="00526971" w:rsidP="00303E2B">
      <w:pPr>
        <w:pStyle w:val="Firstnumbering"/>
        <w:ind w:left="567" w:hanging="567"/>
        <w:jc w:val="both"/>
      </w:pPr>
      <w:r>
        <w:t xml:space="preserve">In December 2018, the Secretariat received € 2.7 million from the European Union (EU) through its Regional Indicative Programme to support implementation of these decisions, as part of a five-year </w:t>
      </w:r>
      <w:r>
        <w:rPr>
          <w:rFonts w:cs="Arial"/>
        </w:rPr>
        <w:t xml:space="preserve">Cross Regional Wildlife Programme. This is a programme </w:t>
      </w:r>
      <w:proofErr w:type="spellStart"/>
      <w:r>
        <w:rPr>
          <w:rFonts w:cs="Arial"/>
        </w:rPr>
        <w:t>totaling</w:t>
      </w:r>
      <w:proofErr w:type="spellEnd"/>
      <w:r>
        <w:rPr>
          <w:rFonts w:cs="Arial"/>
        </w:rPr>
        <w:t xml:space="preserve"> € 30 million, which is being implemented by CMS in cooperation with the Convention on International Trade in Endangered Species of Wild Animal and Plants (CITES) and the United Nations Office for Drugs and Crime (UNODC), as well as a number of organizations responding to calls for proposals by the EU delegation in Nairobi. The CMS component is focused on </w:t>
      </w:r>
      <w:proofErr w:type="gramStart"/>
      <w:r>
        <w:rPr>
          <w:rFonts w:cs="Arial"/>
        </w:rPr>
        <w:t>providing assistance to</w:t>
      </w:r>
      <w:proofErr w:type="gramEnd"/>
      <w:r>
        <w:rPr>
          <w:rFonts w:cs="Arial"/>
        </w:rPr>
        <w:t xml:space="preserve"> governments of the Southern African Development Community (SADC), the East African Community (EAC) as well as the </w:t>
      </w:r>
      <w:r w:rsidRPr="00083BD3">
        <w:rPr>
          <w:rFonts w:cs="Arial"/>
        </w:rPr>
        <w:t>Intergovernmental Authority on Development (</w:t>
      </w:r>
      <w:r w:rsidRPr="00083BD3">
        <w:rPr>
          <w:rFonts w:cs="Arial"/>
          <w:iCs/>
        </w:rPr>
        <w:t>IGAD</w:t>
      </w:r>
      <w:r w:rsidRPr="00083BD3">
        <w:rPr>
          <w:rFonts w:cs="Arial"/>
        </w:rPr>
        <w:t>)</w:t>
      </w:r>
      <w:r>
        <w:rPr>
          <w:rFonts w:cs="Arial"/>
        </w:rPr>
        <w:t xml:space="preserve"> with the establishment of </w:t>
      </w:r>
      <w:proofErr w:type="spellStart"/>
      <w:r>
        <w:rPr>
          <w:rFonts w:cs="Arial"/>
        </w:rPr>
        <w:t>Transfrontier</w:t>
      </w:r>
      <w:proofErr w:type="spellEnd"/>
      <w:r>
        <w:rPr>
          <w:rFonts w:cs="Arial"/>
        </w:rPr>
        <w:t xml:space="preserve"> Conservation Areas (TFCAs).</w:t>
      </w:r>
    </w:p>
    <w:p w:rsidR="00526971" w:rsidRDefault="00526971" w:rsidP="00303E2B">
      <w:pPr>
        <w:pStyle w:val="Firstnumbering"/>
        <w:numPr>
          <w:ilvl w:val="0"/>
          <w:numId w:val="0"/>
        </w:numPr>
        <w:ind w:left="567"/>
        <w:jc w:val="both"/>
        <w:rPr>
          <w:rFonts w:cs="Arial"/>
        </w:rPr>
      </w:pPr>
    </w:p>
    <w:p w:rsidR="00303E2B" w:rsidRDefault="00303E2B" w:rsidP="00303E2B">
      <w:pPr>
        <w:pStyle w:val="Firstnumbering"/>
        <w:numPr>
          <w:ilvl w:val="0"/>
          <w:numId w:val="0"/>
        </w:numPr>
        <w:ind w:left="567"/>
        <w:jc w:val="both"/>
        <w:rPr>
          <w:rFonts w:cs="Arial"/>
        </w:rPr>
      </w:pPr>
      <w:r>
        <w:rPr>
          <w:rFonts w:cs="Arial"/>
        </w:rPr>
        <w:br w:type="page"/>
      </w:r>
    </w:p>
    <w:p w:rsidR="00303E2B" w:rsidRDefault="00303E2B" w:rsidP="00303E2B">
      <w:pPr>
        <w:pStyle w:val="Firstnumbering"/>
        <w:numPr>
          <w:ilvl w:val="0"/>
          <w:numId w:val="0"/>
        </w:numPr>
        <w:jc w:val="both"/>
        <w:rPr>
          <w:rFonts w:cs="Arial"/>
        </w:rPr>
      </w:pPr>
    </w:p>
    <w:p w:rsidR="00526971" w:rsidRDefault="00526971" w:rsidP="00303E2B">
      <w:pPr>
        <w:spacing w:after="0" w:line="240" w:lineRule="auto"/>
        <w:jc w:val="both"/>
        <w:rPr>
          <w:u w:val="single"/>
        </w:rPr>
      </w:pPr>
      <w:r w:rsidRPr="00083BD3">
        <w:rPr>
          <w:u w:val="single"/>
        </w:rPr>
        <w:t>Activities</w:t>
      </w:r>
    </w:p>
    <w:p w:rsidR="00303E2B" w:rsidRPr="00083BD3" w:rsidRDefault="00303E2B" w:rsidP="00303E2B">
      <w:pPr>
        <w:spacing w:after="0" w:line="240" w:lineRule="auto"/>
        <w:jc w:val="both"/>
        <w:rPr>
          <w:u w:val="single"/>
        </w:rPr>
      </w:pPr>
    </w:p>
    <w:p w:rsidR="00526971" w:rsidRDefault="00526971" w:rsidP="00303E2B">
      <w:pPr>
        <w:pStyle w:val="Firstnumbering"/>
        <w:ind w:left="567" w:hanging="567"/>
        <w:jc w:val="both"/>
      </w:pPr>
      <w:r>
        <w:t xml:space="preserve">The activities foreseen under the CMS component of this initiative include supporting countries with the conclusion of bi- or multilateral agreements on the establishment of TFCAs, the harmonization of environmental policies regarding wildlife crime and conservation, and the development and implementation of integrated management plans for established TFCAs.  </w:t>
      </w:r>
    </w:p>
    <w:p w:rsidR="00526971" w:rsidRDefault="00526971" w:rsidP="00303E2B">
      <w:pPr>
        <w:pStyle w:val="ListParagraph"/>
        <w:spacing w:after="0" w:line="240" w:lineRule="auto"/>
        <w:ind w:left="567" w:hanging="567"/>
        <w:contextualSpacing w:val="0"/>
        <w:jc w:val="both"/>
      </w:pPr>
    </w:p>
    <w:p w:rsidR="00526971" w:rsidRDefault="00526971" w:rsidP="00303E2B">
      <w:pPr>
        <w:pStyle w:val="Firstnumbering"/>
        <w:ind w:left="567" w:hanging="567"/>
        <w:jc w:val="both"/>
      </w:pPr>
      <w:r>
        <w:t xml:space="preserve">Given the limited human resource capacity in the CMS Secretariat, a programme manager was hired to oversee the implementation of this work. The programme manager will enter on duty in December 2019 and will be co-located with UNEP headquarters in Nairobi. </w:t>
      </w:r>
    </w:p>
    <w:p w:rsidR="00526971" w:rsidRDefault="00526971" w:rsidP="00303E2B">
      <w:pPr>
        <w:pStyle w:val="ListParagraph"/>
        <w:spacing w:after="0" w:line="240" w:lineRule="auto"/>
        <w:ind w:left="567" w:hanging="567"/>
        <w:contextualSpacing w:val="0"/>
        <w:jc w:val="both"/>
      </w:pPr>
    </w:p>
    <w:p w:rsidR="00526971" w:rsidRDefault="00526971" w:rsidP="00303E2B">
      <w:pPr>
        <w:pStyle w:val="Firstnumbering"/>
        <w:ind w:left="567" w:hanging="567"/>
        <w:jc w:val="both"/>
      </w:pPr>
      <w:r>
        <w:t xml:space="preserve">An initial scoping of work was also carried out by a consultant hired to undertake a preliminary assessment of potential sites and activities for the coming years.  In line with the budget, the consultant recommended that the CMS component focus on a select number of sites and activities where its impact can be greatest. </w:t>
      </w:r>
    </w:p>
    <w:p w:rsidR="00526971" w:rsidRDefault="00526971" w:rsidP="00303E2B">
      <w:pPr>
        <w:pStyle w:val="ListParagraph"/>
        <w:spacing w:after="0" w:line="240" w:lineRule="auto"/>
        <w:ind w:left="567" w:hanging="567"/>
        <w:contextualSpacing w:val="0"/>
        <w:jc w:val="both"/>
      </w:pPr>
    </w:p>
    <w:p w:rsidR="00526971" w:rsidRPr="00F463CB" w:rsidRDefault="00526971" w:rsidP="00303E2B">
      <w:pPr>
        <w:pStyle w:val="Firstnumbering"/>
        <w:ind w:left="567" w:hanging="567"/>
        <w:jc w:val="both"/>
      </w:pPr>
      <w:r w:rsidRPr="00F463CB">
        <w:t xml:space="preserve">The consultant is currently liaising with the relevant </w:t>
      </w:r>
      <w:r>
        <w:t>G</w:t>
      </w:r>
      <w:r w:rsidRPr="00F463CB">
        <w:t>overnments for the proposed sites and activities. The focus of the work will be finalized and published as soon as governments have confirmed their interest.</w:t>
      </w:r>
    </w:p>
    <w:p w:rsidR="00526971" w:rsidRPr="00F463CB" w:rsidRDefault="00526971" w:rsidP="00303E2B">
      <w:pPr>
        <w:spacing w:after="0" w:line="240" w:lineRule="auto"/>
        <w:ind w:left="567" w:hanging="567"/>
        <w:jc w:val="both"/>
      </w:pPr>
    </w:p>
    <w:p w:rsidR="00526971" w:rsidRPr="00F463CB" w:rsidRDefault="00526971" w:rsidP="00303E2B">
      <w:pPr>
        <w:spacing w:after="0" w:line="240" w:lineRule="auto"/>
        <w:jc w:val="both"/>
        <w:rPr>
          <w:u w:val="single"/>
        </w:rPr>
      </w:pPr>
      <w:r w:rsidRPr="00F463CB">
        <w:rPr>
          <w:u w:val="single"/>
        </w:rPr>
        <w:t xml:space="preserve">Amendment of Resolution </w:t>
      </w:r>
      <w:r w:rsidRPr="00F463CB">
        <w:rPr>
          <w:rFonts w:cs="Arial"/>
          <w:u w:val="single"/>
        </w:rPr>
        <w:t xml:space="preserve">12.7 and renewal of Decisions </w:t>
      </w:r>
      <w:r w:rsidRPr="00F463CB">
        <w:rPr>
          <w:u w:val="single"/>
        </w:rPr>
        <w:t>12.94 – 12.97</w:t>
      </w:r>
    </w:p>
    <w:p w:rsidR="00526971" w:rsidRPr="00F463CB" w:rsidRDefault="00526971" w:rsidP="00303E2B">
      <w:pPr>
        <w:spacing w:after="0" w:line="240" w:lineRule="auto"/>
        <w:jc w:val="both"/>
      </w:pPr>
    </w:p>
    <w:p w:rsidR="00526971" w:rsidRPr="00F463CB" w:rsidRDefault="00526971" w:rsidP="00303E2B">
      <w:pPr>
        <w:pStyle w:val="Firstnumbering"/>
        <w:ind w:left="567" w:hanging="567"/>
        <w:jc w:val="both"/>
      </w:pPr>
      <w:r w:rsidRPr="00F463CB">
        <w:t xml:space="preserve">The use of TFCAs is well established within the conservation and development community. As described above, activities have been undertaken to support implementation of Decisions 12.94 – 12.97. Because such efforts by Parties and the Secretariat are likely to entail a long-term </w:t>
      </w:r>
      <w:r>
        <w:t>commitment</w:t>
      </w:r>
      <w:r w:rsidRPr="00F463CB">
        <w:t xml:space="preserve">, an amendment is proposed to Resolution </w:t>
      </w:r>
      <w:r w:rsidRPr="00F463CB">
        <w:rPr>
          <w:rFonts w:cs="Arial"/>
        </w:rPr>
        <w:t xml:space="preserve">12.7 </w:t>
      </w:r>
      <w:r w:rsidRPr="00F463CB">
        <w:rPr>
          <w:rFonts w:cs="Arial"/>
          <w:i/>
        </w:rPr>
        <w:t>The Role of Ecological Networks in the Conservation of Migratory Species</w:t>
      </w:r>
      <w:r w:rsidRPr="00F463CB">
        <w:rPr>
          <w:rFonts w:cs="Arial"/>
        </w:rPr>
        <w:t xml:space="preserve"> to include the concept of TFCAs.   </w:t>
      </w:r>
    </w:p>
    <w:p w:rsidR="00526971" w:rsidRPr="00F463CB" w:rsidRDefault="00526971" w:rsidP="00303E2B">
      <w:pPr>
        <w:pStyle w:val="ListParagraph"/>
        <w:spacing w:after="0" w:line="240" w:lineRule="auto"/>
        <w:ind w:left="567" w:hanging="567"/>
        <w:contextualSpacing w:val="0"/>
        <w:jc w:val="both"/>
      </w:pPr>
    </w:p>
    <w:p w:rsidR="00526971" w:rsidRPr="00F463CB" w:rsidRDefault="00526971" w:rsidP="00303E2B">
      <w:pPr>
        <w:pStyle w:val="Firstnumbering"/>
        <w:ind w:left="567" w:hanging="567"/>
        <w:jc w:val="both"/>
      </w:pPr>
      <w:r w:rsidRPr="00F463CB">
        <w:t>In addition, it is proposed that Decisions 12.94-12.9</w:t>
      </w:r>
      <w:r>
        <w:t>6</w:t>
      </w:r>
      <w:r w:rsidRPr="00F463CB">
        <w:t xml:space="preserve"> be renewed as contained in Annex 2</w:t>
      </w:r>
      <w:r>
        <w:t xml:space="preserve"> and Decision 12.97 deleted in line with the Standing Committee recommendation not to direct matters to its attention unless a specific action is expected from it.</w:t>
      </w:r>
    </w:p>
    <w:p w:rsidR="00526971" w:rsidRPr="00F463CB" w:rsidRDefault="00526971" w:rsidP="00303E2B">
      <w:pPr>
        <w:spacing w:after="0" w:line="240" w:lineRule="auto"/>
        <w:jc w:val="both"/>
      </w:pPr>
    </w:p>
    <w:p w:rsidR="00526971" w:rsidRPr="00F463CB" w:rsidRDefault="00526971" w:rsidP="00303E2B">
      <w:pPr>
        <w:spacing w:after="0" w:line="240" w:lineRule="auto"/>
        <w:jc w:val="both"/>
        <w:rPr>
          <w:u w:val="single"/>
        </w:rPr>
      </w:pPr>
      <w:r w:rsidRPr="00F463CB">
        <w:rPr>
          <w:u w:val="single"/>
        </w:rPr>
        <w:t>Recommended actions</w:t>
      </w:r>
    </w:p>
    <w:p w:rsidR="00526971" w:rsidRPr="00F463CB" w:rsidRDefault="00526971" w:rsidP="00303E2B">
      <w:pPr>
        <w:spacing w:after="0" w:line="240" w:lineRule="auto"/>
        <w:jc w:val="both"/>
      </w:pPr>
    </w:p>
    <w:p w:rsidR="00526971" w:rsidRPr="00F463CB" w:rsidRDefault="00526971" w:rsidP="00303E2B">
      <w:pPr>
        <w:pStyle w:val="Firstnumbering"/>
        <w:ind w:left="567" w:hanging="567"/>
        <w:jc w:val="both"/>
      </w:pPr>
      <w:r>
        <w:t>T</w:t>
      </w:r>
      <w:r w:rsidRPr="00F463CB">
        <w:t>he Conference of the Parties</w:t>
      </w:r>
      <w:r>
        <w:t xml:space="preserve"> is recommended to</w:t>
      </w:r>
      <w:r w:rsidRPr="00F463CB">
        <w:t xml:space="preserve">: </w:t>
      </w:r>
    </w:p>
    <w:p w:rsidR="00526971" w:rsidRPr="00F463CB" w:rsidRDefault="00526971" w:rsidP="00303E2B">
      <w:pPr>
        <w:pStyle w:val="ListParagraph"/>
        <w:spacing w:after="0" w:line="240" w:lineRule="auto"/>
        <w:ind w:left="540"/>
        <w:contextualSpacing w:val="0"/>
        <w:jc w:val="both"/>
      </w:pPr>
    </w:p>
    <w:p w:rsidR="00526971" w:rsidRPr="00F463CB" w:rsidRDefault="00EE77FD" w:rsidP="008338DE">
      <w:pPr>
        <w:pStyle w:val="Secondnumbering"/>
        <w:ind w:left="993" w:hanging="426"/>
      </w:pPr>
      <w:r>
        <w:t>r</w:t>
      </w:r>
      <w:r w:rsidR="00526971" w:rsidRPr="00F463CB">
        <w:t xml:space="preserve">eview and adopt the amendments proposed to Resolution 12.7 as contained in Annex </w:t>
      </w:r>
      <w:r w:rsidR="00526971">
        <w:t xml:space="preserve">1 </w:t>
      </w:r>
      <w:r w:rsidR="00526971" w:rsidRPr="00F463CB">
        <w:t>to this document.</w:t>
      </w:r>
    </w:p>
    <w:p w:rsidR="00526971" w:rsidRPr="00F463CB" w:rsidRDefault="00526971" w:rsidP="008338DE">
      <w:pPr>
        <w:pStyle w:val="Secondnumbering"/>
        <w:numPr>
          <w:ilvl w:val="0"/>
          <w:numId w:val="0"/>
        </w:numPr>
        <w:ind w:left="993" w:hanging="426"/>
      </w:pPr>
    </w:p>
    <w:p w:rsidR="00526971" w:rsidRPr="00F463CB" w:rsidRDefault="00EE77FD" w:rsidP="008338DE">
      <w:pPr>
        <w:pStyle w:val="Secondnumbering"/>
        <w:ind w:left="993" w:hanging="426"/>
      </w:pPr>
      <w:r>
        <w:t>r</w:t>
      </w:r>
      <w:r w:rsidR="00526971" w:rsidRPr="00F463CB">
        <w:t xml:space="preserve">eview and adopt the </w:t>
      </w:r>
      <w:r>
        <w:t>amended</w:t>
      </w:r>
      <w:r w:rsidR="00526971" w:rsidRPr="00F463CB">
        <w:t xml:space="preserve"> Decisions 12.94 – 12.9</w:t>
      </w:r>
      <w:r w:rsidR="00526971">
        <w:t>6 as contained in Annex 2 to this document.</w:t>
      </w:r>
    </w:p>
    <w:p w:rsidR="002E0DE9" w:rsidRDefault="002E0DE9" w:rsidP="00303E2B">
      <w:pPr>
        <w:pStyle w:val="Secondnumbering"/>
        <w:numPr>
          <w:ilvl w:val="0"/>
          <w:numId w:val="0"/>
        </w:numPr>
        <w:ind w:left="1134"/>
      </w:pPr>
    </w:p>
    <w:p w:rsidR="00303E2B" w:rsidRDefault="00303E2B" w:rsidP="00303E2B">
      <w:pPr>
        <w:pStyle w:val="FourthnumberingA"/>
        <w:numPr>
          <w:ilvl w:val="0"/>
          <w:numId w:val="0"/>
        </w:numPr>
        <w:sectPr w:rsidR="00303E2B" w:rsidSect="00303E2B">
          <w:headerReference w:type="even" r:id="rId9"/>
          <w:headerReference w:type="default" r:id="rId10"/>
          <w:footerReference w:type="even" r:id="rId11"/>
          <w:footerReference w:type="default" r:id="rId12"/>
          <w:headerReference w:type="first" r:id="rId13"/>
          <w:pgSz w:w="11906" w:h="16838" w:code="9"/>
          <w:pgMar w:top="1134" w:right="1134" w:bottom="1134" w:left="1134" w:header="720" w:footer="720" w:gutter="0"/>
          <w:cols w:space="720"/>
          <w:titlePg/>
          <w:docGrid w:linePitch="360"/>
        </w:sectPr>
      </w:pPr>
      <w:bookmarkStart w:id="6" w:name="_GoBack"/>
      <w:bookmarkEnd w:id="6"/>
    </w:p>
    <w:p w:rsidR="00303E2B" w:rsidRPr="00303E2B" w:rsidRDefault="00303E2B" w:rsidP="00303E2B">
      <w:pPr>
        <w:spacing w:after="0" w:line="240" w:lineRule="auto"/>
        <w:jc w:val="right"/>
        <w:rPr>
          <w:b/>
          <w:lang w:val="en-US"/>
        </w:rPr>
      </w:pPr>
      <w:r w:rsidRPr="00303E2B">
        <w:rPr>
          <w:b/>
          <w:lang w:val="en-US"/>
        </w:rPr>
        <w:lastRenderedPageBreak/>
        <w:t>ANNEX 1</w:t>
      </w:r>
    </w:p>
    <w:p w:rsidR="00303E2B" w:rsidRPr="00303E2B" w:rsidRDefault="00303E2B" w:rsidP="00303E2B">
      <w:pPr>
        <w:spacing w:after="0" w:line="240" w:lineRule="auto"/>
        <w:jc w:val="both"/>
        <w:rPr>
          <w:lang w:val="en-US"/>
        </w:rPr>
      </w:pPr>
    </w:p>
    <w:p w:rsidR="00303E2B" w:rsidRPr="00303E2B" w:rsidRDefault="00303E2B" w:rsidP="00303E2B">
      <w:pPr>
        <w:spacing w:after="0" w:line="240" w:lineRule="auto"/>
        <w:jc w:val="center"/>
        <w:rPr>
          <w:rFonts w:eastAsia="MS Mincho" w:cs="Arial"/>
          <w:lang w:val="en-US"/>
        </w:rPr>
      </w:pPr>
      <w:bookmarkStart w:id="7" w:name="_Hlk19266193"/>
      <w:r w:rsidRPr="00303E2B">
        <w:rPr>
          <w:rFonts w:eastAsia="MS Mincho" w:cs="Arial"/>
          <w:lang w:val="en-US"/>
        </w:rPr>
        <w:t>PROPOSED AMENDMENTS TO RESOLUTION 12.7</w:t>
      </w:r>
    </w:p>
    <w:bookmarkEnd w:id="7"/>
    <w:p w:rsidR="00303E2B" w:rsidRPr="00303E2B" w:rsidRDefault="00303E2B" w:rsidP="00303E2B">
      <w:pPr>
        <w:spacing w:after="0" w:line="240" w:lineRule="auto"/>
        <w:jc w:val="center"/>
        <w:rPr>
          <w:rFonts w:eastAsia="MS Mincho" w:cs="Arial"/>
          <w:b/>
          <w:lang w:val="en-US"/>
        </w:rPr>
      </w:pPr>
    </w:p>
    <w:p w:rsidR="00303E2B" w:rsidRPr="00303E2B" w:rsidRDefault="00303E2B" w:rsidP="00303E2B">
      <w:pPr>
        <w:spacing w:after="0" w:line="240" w:lineRule="auto"/>
        <w:jc w:val="center"/>
        <w:rPr>
          <w:rFonts w:eastAsia="MS Mincho" w:cs="Arial"/>
          <w:b/>
          <w:lang w:val="en-US"/>
        </w:rPr>
      </w:pPr>
      <w:r w:rsidRPr="00303E2B">
        <w:rPr>
          <w:rFonts w:eastAsia="MS Mincho" w:cs="Arial"/>
          <w:b/>
          <w:lang w:val="en-US"/>
        </w:rPr>
        <w:t xml:space="preserve">THE ROLE OF ECOLOGICAL NETWORKS IN THE CONSERVATION </w:t>
      </w:r>
    </w:p>
    <w:p w:rsidR="00303E2B" w:rsidRPr="00303E2B" w:rsidRDefault="00303E2B" w:rsidP="00303E2B">
      <w:pPr>
        <w:spacing w:after="0" w:line="240" w:lineRule="auto"/>
        <w:jc w:val="center"/>
        <w:rPr>
          <w:rFonts w:eastAsia="MS Mincho" w:cs="Arial"/>
          <w:b/>
          <w:lang w:val="en-US"/>
        </w:rPr>
      </w:pPr>
      <w:r w:rsidRPr="00303E2B">
        <w:rPr>
          <w:rFonts w:eastAsia="MS Mincho" w:cs="Arial"/>
          <w:b/>
          <w:lang w:val="en-US"/>
        </w:rPr>
        <w:t>OF MIGRATORY SPECIES</w:t>
      </w:r>
    </w:p>
    <w:p w:rsidR="00303E2B" w:rsidRPr="00303E2B" w:rsidRDefault="00303E2B" w:rsidP="00303E2B">
      <w:pPr>
        <w:spacing w:after="0" w:line="240" w:lineRule="auto"/>
        <w:jc w:val="both"/>
        <w:rPr>
          <w:rFonts w:eastAsia="MS Mincho" w:cs="Arial"/>
          <w:lang w:val="en-US"/>
        </w:rPr>
      </w:pPr>
    </w:p>
    <w:p w:rsidR="00303E2B" w:rsidRPr="00303E2B" w:rsidRDefault="00303E2B" w:rsidP="00303E2B">
      <w:pPr>
        <w:widowControl w:val="0"/>
        <w:pBdr>
          <w:top w:val="single" w:sz="6" w:space="0" w:color="FFFFFF"/>
          <w:left w:val="single" w:sz="6" w:space="0" w:color="FFFFFF"/>
          <w:bottom w:val="single" w:sz="6" w:space="0" w:color="FFFFFF"/>
          <w:right w:val="single" w:sz="6" w:space="0" w:color="FFFFFF"/>
        </w:pBdr>
        <w:autoSpaceDE w:val="0"/>
        <w:adjustRightInd w:val="0"/>
        <w:spacing w:after="0" w:line="240" w:lineRule="auto"/>
        <w:jc w:val="both"/>
        <w:outlineLvl w:val="1"/>
        <w:rPr>
          <w:rFonts w:eastAsia="Times New Roman" w:cs="Arial"/>
          <w:i/>
          <w:caps/>
        </w:rPr>
      </w:pPr>
      <w:bookmarkStart w:id="8" w:name="_Hlk19266213"/>
      <w:r w:rsidRPr="00303E2B">
        <w:rPr>
          <w:rFonts w:eastAsia="Times New Roman" w:cs="Arial"/>
          <w:i/>
        </w:rPr>
        <w:t xml:space="preserve">NB: Proposed new text to the resolution is </w:t>
      </w:r>
      <w:r w:rsidRPr="00303E2B">
        <w:rPr>
          <w:rFonts w:eastAsia="Times New Roman" w:cs="Arial"/>
          <w:i/>
          <w:u w:val="single"/>
        </w:rPr>
        <w:t>underlined</w:t>
      </w:r>
      <w:r w:rsidRPr="00303E2B">
        <w:rPr>
          <w:rFonts w:eastAsia="Times New Roman" w:cs="Arial"/>
          <w:i/>
        </w:rPr>
        <w:t xml:space="preserve">. Text to be deleted is </w:t>
      </w:r>
      <w:r w:rsidRPr="00303E2B">
        <w:rPr>
          <w:rFonts w:eastAsia="Times New Roman" w:cs="Arial"/>
          <w:i/>
          <w:strike/>
        </w:rPr>
        <w:t>crossed out</w:t>
      </w:r>
      <w:r w:rsidRPr="00303E2B">
        <w:rPr>
          <w:rFonts w:eastAsia="Times New Roman" w:cs="Arial"/>
          <w:i/>
        </w:rPr>
        <w:t>.</w:t>
      </w:r>
    </w:p>
    <w:bookmarkEnd w:id="8"/>
    <w:p w:rsidR="00303E2B" w:rsidRPr="00303E2B" w:rsidRDefault="00303E2B" w:rsidP="00303E2B">
      <w:pPr>
        <w:spacing w:after="0" w:line="240" w:lineRule="auto"/>
        <w:jc w:val="both"/>
        <w:rPr>
          <w:rFonts w:eastAsia="MS Mincho" w:cs="Arial"/>
          <w:lang w:val="en-US"/>
        </w:rPr>
      </w:pPr>
    </w:p>
    <w:p w:rsidR="00303E2B" w:rsidRPr="00303E2B" w:rsidRDefault="00303E2B" w:rsidP="00303E2B">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caps/>
          <w:lang w:val="pt-PT"/>
        </w:rPr>
      </w:pPr>
      <w:r w:rsidRPr="00303E2B">
        <w:rPr>
          <w:rFonts w:eastAsia="Times New Roman" w:cs="Arial"/>
        </w:rPr>
        <w:t>Adopted by the Conference of the Parties at its 12</w:t>
      </w:r>
      <w:r w:rsidRPr="00303E2B">
        <w:rPr>
          <w:rFonts w:eastAsia="Times New Roman" w:cs="Arial"/>
          <w:vertAlign w:val="superscript"/>
        </w:rPr>
        <w:t>th</w:t>
      </w:r>
      <w:r w:rsidRPr="00303E2B">
        <w:rPr>
          <w:rFonts w:eastAsia="Times New Roman" w:cs="Arial"/>
        </w:rPr>
        <w:t xml:space="preserve"> Meeting (</w:t>
      </w:r>
      <w:r w:rsidRPr="00303E2B">
        <w:rPr>
          <w:rFonts w:eastAsia="Times New Roman" w:cs="Arial"/>
          <w:bCs/>
          <w:lang w:val="pt-PT"/>
        </w:rPr>
        <w:t>Manila, October 2017)</w:t>
      </w:r>
    </w:p>
    <w:p w:rsidR="00303E2B" w:rsidRPr="00303E2B" w:rsidRDefault="00303E2B" w:rsidP="00303E2B">
      <w:pPr>
        <w:spacing w:after="0" w:line="240" w:lineRule="auto"/>
        <w:jc w:val="both"/>
        <w:rPr>
          <w:rFonts w:eastAsia="MS Mincho" w:cs="Arial"/>
          <w:lang w:val="pt-PT"/>
        </w:rPr>
      </w:pPr>
    </w:p>
    <w:p w:rsidR="00303E2B" w:rsidRPr="00303E2B" w:rsidRDefault="00303E2B" w:rsidP="00303E2B">
      <w:pPr>
        <w:spacing w:after="0" w:line="240" w:lineRule="auto"/>
        <w:jc w:val="both"/>
        <w:rPr>
          <w:rFonts w:eastAsia="MS Mincho" w:cs="Arial"/>
          <w:lang w:val="pt-PT"/>
        </w:rPr>
      </w:pPr>
    </w:p>
    <w:p w:rsidR="00303E2B" w:rsidRPr="00303E2B" w:rsidRDefault="00303E2B" w:rsidP="00303E2B">
      <w:pPr>
        <w:spacing w:after="0" w:line="240" w:lineRule="auto"/>
        <w:jc w:val="both"/>
        <w:rPr>
          <w:rFonts w:eastAsia="MS Mincho" w:cs="Arial"/>
          <w:i/>
          <w:iCs/>
          <w:lang w:val="en-US"/>
        </w:rPr>
      </w:pPr>
      <w:r w:rsidRPr="00303E2B">
        <w:rPr>
          <w:rFonts w:eastAsia="MS Mincho" w:cs="Arial"/>
          <w:i/>
          <w:iCs/>
          <w:lang w:val="en-US"/>
        </w:rPr>
        <w:t xml:space="preserve">Recalling </w:t>
      </w:r>
      <w:r w:rsidRPr="00303E2B">
        <w:rPr>
          <w:rFonts w:eastAsia="MS Mincho" w:cs="Arial"/>
          <w:lang w:val="en-US"/>
        </w:rPr>
        <w:t>Resolution 10.3 and Resolution 11.25 on the role of ecological networks in the conservation of migratory species highlighting the critical importance of connectivity for conservation and management in the CMS context, inviting the exploration of the applicability of ecological networks to marine migratory species and recommending actions for advancing the design and implementation of ecological networks to address the needs of migratory species,</w:t>
      </w:r>
    </w:p>
    <w:p w:rsidR="00303E2B" w:rsidRPr="00303E2B" w:rsidRDefault="00303E2B" w:rsidP="00303E2B">
      <w:pPr>
        <w:spacing w:after="0" w:line="240" w:lineRule="auto"/>
        <w:jc w:val="both"/>
        <w:rPr>
          <w:rFonts w:eastAsia="MS Mincho" w:cs="Arial"/>
          <w:i/>
          <w:iCs/>
          <w:lang w:val="en-US"/>
        </w:rPr>
      </w:pPr>
    </w:p>
    <w:p w:rsidR="00303E2B" w:rsidRPr="00303E2B" w:rsidRDefault="00303E2B" w:rsidP="00303E2B">
      <w:pPr>
        <w:spacing w:after="0" w:line="240" w:lineRule="auto"/>
        <w:jc w:val="both"/>
        <w:rPr>
          <w:rFonts w:eastAsia="MS Mincho" w:cs="Arial"/>
          <w:lang w:val="en-US"/>
        </w:rPr>
      </w:pPr>
      <w:r w:rsidRPr="00303E2B">
        <w:rPr>
          <w:rFonts w:eastAsia="MS Mincho" w:cs="Arial"/>
          <w:i/>
          <w:iCs/>
          <w:lang w:val="en-US"/>
        </w:rPr>
        <w:t xml:space="preserve">Deeply concerned </w:t>
      </w:r>
      <w:r w:rsidRPr="00303E2B">
        <w:rPr>
          <w:rFonts w:eastAsia="MS Mincho" w:cs="Arial"/>
          <w:lang w:val="en-US"/>
        </w:rPr>
        <w:t>that habitats for migratory species are becoming increasingly fragmented across terrestrial, freshwater and marine biomes,</w:t>
      </w:r>
    </w:p>
    <w:p w:rsidR="00303E2B" w:rsidRPr="00303E2B" w:rsidRDefault="00303E2B" w:rsidP="00303E2B">
      <w:pPr>
        <w:spacing w:after="0" w:line="240" w:lineRule="auto"/>
        <w:jc w:val="both"/>
        <w:rPr>
          <w:rFonts w:eastAsia="MS Mincho" w:cs="Arial"/>
          <w:i/>
          <w:spacing w:val="-2"/>
        </w:rPr>
      </w:pPr>
    </w:p>
    <w:p w:rsidR="00303E2B" w:rsidRPr="00303E2B" w:rsidRDefault="00303E2B" w:rsidP="00303E2B">
      <w:pPr>
        <w:spacing w:after="0" w:line="240" w:lineRule="auto"/>
        <w:jc w:val="both"/>
        <w:rPr>
          <w:rFonts w:eastAsia="MS Mincho" w:cs="Arial"/>
          <w:lang w:val="en-US"/>
        </w:rPr>
      </w:pPr>
      <w:r w:rsidRPr="00303E2B">
        <w:rPr>
          <w:rFonts w:eastAsia="MS Mincho" w:cs="Arial"/>
          <w:i/>
          <w:spacing w:val="-2"/>
        </w:rPr>
        <w:t xml:space="preserve">Recognizing </w:t>
      </w:r>
      <w:r w:rsidRPr="00303E2B">
        <w:rPr>
          <w:rFonts w:eastAsia="MS Mincho" w:cs="Arial"/>
          <w:spacing w:val="-2"/>
        </w:rPr>
        <w:t>that habitat destruction and fragmentation are among the primary threats to migratory species, and that the identification and conservation of habitats of appropriate quality, extent, distribution and connectivity are thus of paramount importance for the conservation of these species in both the terrestrial and marine environments,</w:t>
      </w:r>
    </w:p>
    <w:p w:rsidR="00303E2B" w:rsidRPr="00303E2B" w:rsidRDefault="00303E2B" w:rsidP="00303E2B">
      <w:pPr>
        <w:spacing w:after="0" w:line="240" w:lineRule="auto"/>
        <w:jc w:val="both"/>
        <w:rPr>
          <w:rFonts w:eastAsia="MS Mincho" w:cs="Arial"/>
          <w:i/>
        </w:rPr>
      </w:pPr>
    </w:p>
    <w:p w:rsidR="00303E2B" w:rsidRPr="00303E2B" w:rsidRDefault="00303E2B" w:rsidP="00303E2B">
      <w:pPr>
        <w:spacing w:after="0" w:line="240" w:lineRule="auto"/>
        <w:jc w:val="both"/>
        <w:rPr>
          <w:rFonts w:eastAsia="MS Mincho" w:cs="Arial"/>
        </w:rPr>
      </w:pPr>
      <w:r w:rsidRPr="00303E2B">
        <w:rPr>
          <w:rFonts w:eastAsia="MS Mincho" w:cs="Arial"/>
          <w:i/>
        </w:rPr>
        <w:t xml:space="preserve">Recognizing in particular </w:t>
      </w:r>
      <w:r w:rsidRPr="00303E2B">
        <w:rPr>
          <w:rFonts w:eastAsia="MS Mincho" w:cs="Arial"/>
        </w:rPr>
        <w:t xml:space="preserve">that opportunities for dispersal, migration and genetic exchange among wild animals depend on the </w:t>
      </w:r>
      <w:r w:rsidRPr="00303E2B">
        <w:rPr>
          <w:rFonts w:eastAsia="MS Mincho" w:cs="Arial"/>
          <w:spacing w:val="-2"/>
        </w:rPr>
        <w:t>quality, extent, distribution and connectivity of relevant habitats, which support both the normal cycles of these animals and their resilience to change, including climate change,</w:t>
      </w:r>
    </w:p>
    <w:p w:rsidR="00303E2B" w:rsidRPr="00303E2B" w:rsidRDefault="00303E2B" w:rsidP="00303E2B">
      <w:pPr>
        <w:spacing w:after="0" w:line="240" w:lineRule="auto"/>
        <w:jc w:val="both"/>
        <w:rPr>
          <w:rFonts w:eastAsia="MS Mincho" w:cs="Arial"/>
          <w:i/>
          <w:lang w:val="en-US" w:eastAsia="ja-JP"/>
        </w:rPr>
      </w:pPr>
    </w:p>
    <w:p w:rsidR="00303E2B" w:rsidRPr="00303E2B" w:rsidRDefault="00303E2B" w:rsidP="00303E2B">
      <w:pPr>
        <w:spacing w:after="0" w:line="240" w:lineRule="auto"/>
        <w:jc w:val="both"/>
        <w:rPr>
          <w:rFonts w:eastAsia="MS Mincho" w:cs="Arial"/>
          <w:lang w:val="en-US"/>
        </w:rPr>
      </w:pPr>
      <w:r w:rsidRPr="00303E2B">
        <w:rPr>
          <w:rFonts w:eastAsia="MS Mincho" w:cs="Arial"/>
          <w:i/>
          <w:lang w:val="en-US" w:eastAsia="ja-JP"/>
        </w:rPr>
        <w:t>Further recognizing</w:t>
      </w:r>
      <w:r w:rsidRPr="00303E2B">
        <w:rPr>
          <w:rFonts w:eastAsia="MS Mincho" w:cs="Arial"/>
          <w:lang w:val="en-US" w:eastAsia="ja-JP"/>
        </w:rPr>
        <w:t xml:space="preserve"> that sites that perform a critical role in a wider system, such as core areas, corridors, restoration areas and buffer zones, may be linked by strategies that, through a concept of ecological networks,</w:t>
      </w:r>
      <w:r w:rsidRPr="00303E2B">
        <w:rPr>
          <w:rFonts w:eastAsia="MS Mincho" w:cs="Arial"/>
        </w:rPr>
        <w:t xml:space="preserve"> </w:t>
      </w:r>
      <w:r w:rsidRPr="00303E2B">
        <w:rPr>
          <w:rFonts w:eastAsia="MS Mincho" w:cs="Arial"/>
          <w:lang w:val="en-US" w:eastAsia="ja-JP"/>
        </w:rPr>
        <w:t xml:space="preserve">address habitat fragmentation and other threats to migratory species, </w:t>
      </w:r>
    </w:p>
    <w:p w:rsidR="00303E2B" w:rsidRPr="00303E2B" w:rsidRDefault="00303E2B" w:rsidP="00303E2B">
      <w:pPr>
        <w:spacing w:after="0" w:line="240" w:lineRule="auto"/>
        <w:jc w:val="both"/>
        <w:rPr>
          <w:rFonts w:eastAsia="MS Mincho" w:cs="Arial"/>
          <w:i/>
          <w:iCs/>
          <w:lang w:val="en-US" w:eastAsia="ja-JP"/>
        </w:rPr>
      </w:pPr>
    </w:p>
    <w:p w:rsidR="00303E2B" w:rsidRPr="00303E2B" w:rsidRDefault="00303E2B" w:rsidP="00303E2B">
      <w:pPr>
        <w:spacing w:after="0" w:line="240" w:lineRule="auto"/>
        <w:jc w:val="both"/>
        <w:rPr>
          <w:rFonts w:eastAsia="MS Mincho" w:cs="Arial"/>
          <w:lang w:val="en-US"/>
        </w:rPr>
      </w:pPr>
      <w:r w:rsidRPr="00303E2B">
        <w:rPr>
          <w:rFonts w:eastAsia="MS Mincho" w:cs="Arial"/>
          <w:i/>
          <w:iCs/>
          <w:lang w:val="en-US" w:eastAsia="ja-JP"/>
        </w:rPr>
        <w:t>Considering</w:t>
      </w:r>
      <w:r w:rsidRPr="00303E2B">
        <w:rPr>
          <w:rFonts w:eastAsia="MS Mincho" w:cs="Arial"/>
          <w:lang w:val="en-US" w:eastAsia="ja-JP"/>
        </w:rPr>
        <w:t xml:space="preserve"> that the designation of protected areas across very large areas is not always possible and that additional wider landscape measures usually need to be applied in order to address and mitigate anthropogenic changes at the wider landscape scale,</w:t>
      </w:r>
    </w:p>
    <w:p w:rsidR="00303E2B" w:rsidRPr="00303E2B" w:rsidRDefault="00303E2B" w:rsidP="00303E2B">
      <w:pPr>
        <w:spacing w:after="0" w:line="240" w:lineRule="auto"/>
        <w:jc w:val="both"/>
        <w:rPr>
          <w:rFonts w:eastAsia="MS Mincho" w:cs="Arial"/>
          <w:i/>
          <w:iCs/>
          <w:lang w:val="en-US" w:eastAsia="ja-JP"/>
        </w:rPr>
      </w:pPr>
    </w:p>
    <w:p w:rsidR="00303E2B" w:rsidRPr="00303E2B" w:rsidRDefault="00303E2B" w:rsidP="00303E2B">
      <w:pPr>
        <w:spacing w:after="0" w:line="240" w:lineRule="auto"/>
        <w:jc w:val="both"/>
        <w:rPr>
          <w:rFonts w:eastAsia="MS Mincho" w:cs="Arial"/>
          <w:lang w:val="en-US" w:eastAsia="ja-JP"/>
        </w:rPr>
      </w:pPr>
      <w:r w:rsidRPr="00303E2B">
        <w:rPr>
          <w:rFonts w:eastAsia="MS Mincho" w:cs="Arial"/>
          <w:i/>
          <w:iCs/>
          <w:lang w:val="en-US" w:eastAsia="ja-JP"/>
        </w:rPr>
        <w:t xml:space="preserve">Acknowledging </w:t>
      </w:r>
      <w:r w:rsidRPr="00303E2B">
        <w:rPr>
          <w:rFonts w:eastAsia="MS Mincho" w:cs="Arial"/>
          <w:lang w:val="en-US" w:eastAsia="ja-JP"/>
        </w:rPr>
        <w:t>that the practical approach to the identification, designation, protection and management of critical sites will vary from one taxonomic group to another or even from species to species, and that the flyway approach provides a useful framework to address habitat conservation and species protection for migratory birds along migration routes,</w:t>
      </w:r>
    </w:p>
    <w:p w:rsidR="00303E2B" w:rsidRPr="00303E2B" w:rsidRDefault="00303E2B" w:rsidP="00303E2B">
      <w:pPr>
        <w:spacing w:after="0" w:line="240" w:lineRule="auto"/>
        <w:jc w:val="both"/>
        <w:rPr>
          <w:rFonts w:eastAsia="MS Mincho" w:cs="Arial"/>
          <w:i/>
          <w:iCs/>
          <w:lang w:val="en-US" w:eastAsia="ja-JP"/>
        </w:rPr>
      </w:pPr>
    </w:p>
    <w:p w:rsidR="00303E2B" w:rsidRPr="00303E2B" w:rsidRDefault="00303E2B" w:rsidP="00303E2B">
      <w:pPr>
        <w:spacing w:after="0" w:line="240" w:lineRule="auto"/>
        <w:jc w:val="both"/>
        <w:rPr>
          <w:rFonts w:eastAsia="MS Mincho" w:cs="Arial"/>
          <w:i/>
          <w:iCs/>
          <w:lang w:val="en-US" w:eastAsia="ja-JP"/>
        </w:rPr>
      </w:pPr>
      <w:r w:rsidRPr="00303E2B">
        <w:rPr>
          <w:rFonts w:eastAsia="MS Mincho" w:cs="Arial"/>
          <w:i/>
          <w:iCs/>
          <w:lang w:val="en-US" w:eastAsia="ja-JP"/>
        </w:rPr>
        <w:t>Further acknowledging</w:t>
      </w:r>
      <w:r w:rsidRPr="00303E2B">
        <w:rPr>
          <w:rFonts w:eastAsia="MS Mincho" w:cs="Arial"/>
          <w:lang w:val="en-US" w:eastAsia="ja-JP"/>
        </w:rPr>
        <w:t xml:space="preserve"> that flyways constitute a specific type of migration corridor, that migratory birds depend on widely separated areas for their survival, and that measures designed to conserve these networks should focus on the breeding grounds, stop-over sites, non-breeding areas and feeding and nesting places,</w:t>
      </w:r>
    </w:p>
    <w:p w:rsidR="00303E2B" w:rsidRPr="00303E2B" w:rsidRDefault="00303E2B" w:rsidP="00303E2B">
      <w:pPr>
        <w:spacing w:after="0" w:line="240" w:lineRule="auto"/>
        <w:jc w:val="both"/>
        <w:rPr>
          <w:rFonts w:eastAsia="MS Mincho" w:cs="Arial"/>
          <w:i/>
          <w:iCs/>
          <w:lang w:val="en-US" w:eastAsia="ja-JP"/>
        </w:rPr>
      </w:pPr>
    </w:p>
    <w:p w:rsidR="00303E2B" w:rsidRPr="00303E2B" w:rsidRDefault="00303E2B" w:rsidP="00303E2B">
      <w:pPr>
        <w:spacing w:after="0" w:line="240" w:lineRule="auto"/>
        <w:jc w:val="both"/>
        <w:rPr>
          <w:rFonts w:eastAsia="MS Mincho" w:cs="Arial"/>
          <w:lang w:val="en-US" w:eastAsia="ja-JP"/>
        </w:rPr>
      </w:pPr>
      <w:r w:rsidRPr="00303E2B">
        <w:rPr>
          <w:rFonts w:eastAsia="MS Mincho" w:cs="Arial"/>
          <w:i/>
          <w:iCs/>
          <w:lang w:val="en-US" w:eastAsia="ja-JP"/>
        </w:rPr>
        <w:t>Noting</w:t>
      </w:r>
      <w:r w:rsidRPr="00303E2B">
        <w:rPr>
          <w:rFonts w:eastAsia="MS Mincho" w:cs="Arial"/>
          <w:lang w:val="en-US" w:eastAsia="ja-JP"/>
        </w:rPr>
        <w:t xml:space="preserve"> that the Convention text makes specific reference to habitat conservation, for example in Article III.4, Article V.5e and Article VIII.5e,</w:t>
      </w:r>
    </w:p>
    <w:p w:rsidR="00303E2B" w:rsidRPr="00303E2B" w:rsidRDefault="00303E2B" w:rsidP="00303E2B">
      <w:pPr>
        <w:spacing w:after="0" w:line="240" w:lineRule="auto"/>
        <w:jc w:val="both"/>
        <w:rPr>
          <w:rFonts w:eastAsia="MS Mincho" w:cs="Arial"/>
          <w:lang w:val="en-US"/>
        </w:rPr>
      </w:pPr>
    </w:p>
    <w:p w:rsidR="00303E2B" w:rsidRPr="00303E2B" w:rsidRDefault="00303E2B" w:rsidP="00303E2B">
      <w:pPr>
        <w:spacing w:after="0" w:line="240" w:lineRule="auto"/>
        <w:jc w:val="both"/>
        <w:rPr>
          <w:rFonts w:eastAsia="MS Mincho" w:cs="Arial"/>
        </w:rPr>
      </w:pPr>
      <w:r w:rsidRPr="00303E2B">
        <w:rPr>
          <w:rFonts w:eastAsia="MS Mincho" w:cs="Arial"/>
          <w:i/>
        </w:rPr>
        <w:t xml:space="preserve">Aware </w:t>
      </w:r>
      <w:r w:rsidRPr="00303E2B">
        <w:rPr>
          <w:rFonts w:eastAsia="MS Mincho" w:cs="Arial"/>
        </w:rPr>
        <w:t>that several initiatives aimed at promoting ecological networks are in existence already at different scales, including bird flyway initiatives, protected area programmes under the auspices of relevant Multilateral Environmental Agreements, and initiatives that extend to areas that are not protected,</w:t>
      </w:r>
    </w:p>
    <w:p w:rsidR="00303E2B" w:rsidRDefault="00303E2B" w:rsidP="00303E2B">
      <w:pPr>
        <w:spacing w:after="0" w:line="240" w:lineRule="auto"/>
        <w:jc w:val="both"/>
        <w:rPr>
          <w:rFonts w:eastAsia="MS Mincho" w:cs="Arial"/>
        </w:rPr>
      </w:pPr>
    </w:p>
    <w:p w:rsidR="00303E2B" w:rsidRPr="00303E2B" w:rsidRDefault="00303E2B" w:rsidP="00303E2B">
      <w:pPr>
        <w:spacing w:after="0" w:line="240" w:lineRule="auto"/>
        <w:jc w:val="both"/>
        <w:rPr>
          <w:rFonts w:eastAsia="MS Mincho" w:cs="Arial"/>
        </w:rPr>
      </w:pPr>
    </w:p>
    <w:p w:rsidR="00303E2B" w:rsidRPr="00303E2B" w:rsidRDefault="00303E2B" w:rsidP="00303E2B">
      <w:pPr>
        <w:spacing w:after="0" w:line="240" w:lineRule="auto"/>
        <w:jc w:val="both"/>
        <w:rPr>
          <w:rFonts w:eastAsia="Times New Roman" w:cs="Arial"/>
        </w:rPr>
      </w:pPr>
      <w:r w:rsidRPr="00303E2B">
        <w:rPr>
          <w:rFonts w:eastAsia="Times New Roman" w:cs="Arial"/>
          <w:i/>
        </w:rPr>
        <w:t>Further aware</w:t>
      </w:r>
      <w:r w:rsidRPr="00303E2B">
        <w:rPr>
          <w:rFonts w:eastAsia="Times New Roman" w:cs="Arial"/>
        </w:rPr>
        <w:t xml:space="preserve"> that the success of many of these initiatives and programmes depends fundamentally on, </w:t>
      </w:r>
      <w:r w:rsidRPr="00303E2B">
        <w:rPr>
          <w:rFonts w:eastAsia="Times New Roman" w:cs="Arial"/>
          <w:i/>
        </w:rPr>
        <w:t>inter alia</w:t>
      </w:r>
      <w:r w:rsidRPr="00303E2B">
        <w:rPr>
          <w:rFonts w:eastAsia="Times New Roman" w:cs="Arial"/>
        </w:rPr>
        <w:t>, effective international cooperation, including transboundary cooperation, among governments, different conventions, Non-Governmental Organizations (NGOs) and other actors,</w:t>
      </w:r>
    </w:p>
    <w:p w:rsidR="00303E2B" w:rsidRPr="00303E2B" w:rsidRDefault="00303E2B" w:rsidP="00303E2B">
      <w:pPr>
        <w:spacing w:after="0" w:line="240" w:lineRule="auto"/>
        <w:jc w:val="both"/>
        <w:rPr>
          <w:rFonts w:eastAsia="MS Mincho" w:cs="Arial"/>
          <w:i/>
        </w:rPr>
      </w:pPr>
    </w:p>
    <w:p w:rsidR="00303E2B" w:rsidRPr="00303E2B" w:rsidRDefault="00303E2B" w:rsidP="00303E2B">
      <w:pPr>
        <w:spacing w:after="0" w:line="240" w:lineRule="auto"/>
        <w:jc w:val="both"/>
        <w:rPr>
          <w:rFonts w:eastAsia="MS Mincho" w:cs="Arial"/>
          <w:lang w:val="en-US"/>
        </w:rPr>
      </w:pPr>
      <w:r w:rsidRPr="00303E2B">
        <w:rPr>
          <w:rFonts w:eastAsia="MS Mincho" w:cs="Arial"/>
          <w:i/>
        </w:rPr>
        <w:t>Considering</w:t>
      </w:r>
      <w:r w:rsidRPr="00303E2B">
        <w:rPr>
          <w:rFonts w:eastAsia="MS Mincho" w:cs="Arial"/>
        </w:rPr>
        <w:t xml:space="preserve"> that migratory species merit particular attention in designing and implementing initiatives aimed at promoting ecological networks, in order to ensure that the areas selected are sufficient to meet the needs of such species throughout their life cycles and migratory ranges,</w:t>
      </w:r>
    </w:p>
    <w:p w:rsidR="00303E2B" w:rsidRPr="00303E2B" w:rsidRDefault="00303E2B" w:rsidP="00303E2B">
      <w:pPr>
        <w:spacing w:after="0" w:line="240" w:lineRule="auto"/>
        <w:jc w:val="both"/>
        <w:rPr>
          <w:rFonts w:eastAsia="MS Mincho" w:cs="Arial"/>
          <w:i/>
          <w:lang w:val="en-US"/>
        </w:rPr>
      </w:pPr>
    </w:p>
    <w:p w:rsidR="00303E2B" w:rsidRPr="00303E2B" w:rsidRDefault="00303E2B" w:rsidP="00303E2B">
      <w:pPr>
        <w:spacing w:after="0" w:line="240" w:lineRule="auto"/>
        <w:jc w:val="both"/>
        <w:rPr>
          <w:rFonts w:eastAsia="MS Mincho" w:cs="Arial"/>
          <w:lang w:val="en-US"/>
        </w:rPr>
      </w:pPr>
      <w:r w:rsidRPr="00303E2B">
        <w:rPr>
          <w:rFonts w:eastAsia="MS Mincho" w:cs="Arial"/>
          <w:i/>
          <w:lang w:val="en-US"/>
        </w:rPr>
        <w:t>Recalling</w:t>
      </w:r>
      <w:r w:rsidRPr="00303E2B">
        <w:rPr>
          <w:rFonts w:eastAsia="MS Mincho" w:cs="Arial"/>
          <w:lang w:val="en-US"/>
        </w:rPr>
        <w:t xml:space="preserve"> Target 11 of the Aichi Biodiversity Targets 2020 approved by the Convention on Biological Diversity in 2010, which states “By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 is especially relevant for the conservation of terrestrial and marine migratory species,</w:t>
      </w:r>
    </w:p>
    <w:p w:rsidR="00303E2B" w:rsidRPr="00303E2B" w:rsidRDefault="00303E2B" w:rsidP="00303E2B">
      <w:pPr>
        <w:spacing w:after="0" w:line="240" w:lineRule="auto"/>
        <w:jc w:val="both"/>
        <w:rPr>
          <w:rFonts w:eastAsia="MS Mincho" w:cs="Arial"/>
          <w:i/>
          <w:iCs/>
          <w:lang w:val="en-US"/>
        </w:rPr>
      </w:pPr>
    </w:p>
    <w:p w:rsidR="00303E2B" w:rsidRPr="00303E2B" w:rsidRDefault="00303E2B" w:rsidP="00303E2B">
      <w:pPr>
        <w:spacing w:after="0" w:line="240" w:lineRule="auto"/>
        <w:jc w:val="both"/>
        <w:rPr>
          <w:rFonts w:eastAsia="MS Mincho" w:cs="Arial"/>
          <w:lang w:val="en-US"/>
        </w:rPr>
      </w:pPr>
      <w:r w:rsidRPr="00303E2B">
        <w:rPr>
          <w:rFonts w:eastAsia="MS Mincho" w:cs="Arial"/>
          <w:i/>
          <w:iCs/>
          <w:lang w:val="en-US"/>
        </w:rPr>
        <w:t xml:space="preserve">Reaffirming </w:t>
      </w:r>
      <w:r w:rsidRPr="00303E2B">
        <w:rPr>
          <w:rFonts w:eastAsia="MS Mincho" w:cs="Arial"/>
          <w:lang w:val="en-US"/>
        </w:rPr>
        <w:t xml:space="preserve">Target 10 of the Strategic Plan for Migratory Species 2015-2023 (Annex 1 to Resolution 11.2), which states that “all critical habitats and sites for migratory species are identified and included in area-based conservation measures </w:t>
      </w:r>
      <w:proofErr w:type="gramStart"/>
      <w:r w:rsidRPr="00303E2B">
        <w:rPr>
          <w:rFonts w:eastAsia="MS Mincho" w:cs="Arial"/>
          <w:lang w:val="en-US"/>
        </w:rPr>
        <w:t>so as to</w:t>
      </w:r>
      <w:proofErr w:type="gramEnd"/>
      <w:r w:rsidRPr="00303E2B">
        <w:rPr>
          <w:rFonts w:eastAsia="MS Mincho" w:cs="Arial"/>
          <w:lang w:val="en-US"/>
        </w:rPr>
        <w:t xml:space="preserve"> maintain their quality, integrity, resilience and functioning in accordance with the implementation of Aichi Target 11,</w:t>
      </w:r>
    </w:p>
    <w:p w:rsidR="00303E2B" w:rsidRPr="00303E2B" w:rsidRDefault="00303E2B" w:rsidP="00303E2B">
      <w:pPr>
        <w:spacing w:after="0" w:line="240" w:lineRule="auto"/>
        <w:jc w:val="both"/>
        <w:rPr>
          <w:rFonts w:eastAsia="MS Mincho" w:cs="Arial"/>
          <w:i/>
          <w:lang w:val="en-US"/>
        </w:rPr>
      </w:pPr>
    </w:p>
    <w:p w:rsidR="00303E2B" w:rsidRPr="00303E2B" w:rsidRDefault="00303E2B" w:rsidP="00303E2B">
      <w:pPr>
        <w:spacing w:after="0" w:line="240" w:lineRule="auto"/>
        <w:jc w:val="both"/>
        <w:rPr>
          <w:rFonts w:eastAsia="MS Mincho" w:cs="Arial"/>
          <w:lang w:val="en-US"/>
        </w:rPr>
      </w:pPr>
      <w:r w:rsidRPr="00303E2B">
        <w:rPr>
          <w:rFonts w:eastAsia="MS Mincho" w:cs="Arial"/>
          <w:i/>
          <w:lang w:val="en-US"/>
        </w:rPr>
        <w:t xml:space="preserve">Recalling </w:t>
      </w:r>
      <w:r w:rsidRPr="00303E2B">
        <w:rPr>
          <w:rFonts w:eastAsia="MS Mincho" w:cs="Arial"/>
          <w:lang w:val="en-US"/>
        </w:rPr>
        <w:t>Resolution 10.19 on climate change urging Parties to maximize species and habitat resilience to climate change through appropriate design of ecological networks, ensuring sites are sufficiently large and varied in terms of habitats and topography, strengthening physical and ecological connectivity between sites and considering the option of seasonal protected areas,</w:t>
      </w:r>
    </w:p>
    <w:p w:rsidR="00303E2B" w:rsidRPr="00303E2B" w:rsidRDefault="00303E2B" w:rsidP="00303E2B">
      <w:pPr>
        <w:spacing w:after="0" w:line="240" w:lineRule="auto"/>
        <w:jc w:val="both"/>
        <w:rPr>
          <w:rFonts w:eastAsia="MS Mincho" w:cs="Arial"/>
          <w:i/>
          <w:iCs/>
          <w:lang w:val="en-US"/>
        </w:rPr>
      </w:pPr>
    </w:p>
    <w:p w:rsidR="00303E2B" w:rsidRPr="00303E2B" w:rsidRDefault="00303E2B" w:rsidP="00303E2B">
      <w:pPr>
        <w:spacing w:after="0" w:line="240" w:lineRule="auto"/>
        <w:jc w:val="both"/>
        <w:rPr>
          <w:rFonts w:eastAsia="MS Mincho" w:cs="Arial"/>
          <w:lang w:val="en-US"/>
        </w:rPr>
      </w:pPr>
      <w:r w:rsidRPr="00303E2B">
        <w:rPr>
          <w:rFonts w:eastAsia="MS Mincho" w:cs="Arial"/>
          <w:i/>
          <w:iCs/>
          <w:lang w:val="en-US"/>
        </w:rPr>
        <w:t xml:space="preserve">Recognizing </w:t>
      </w:r>
      <w:r w:rsidRPr="00303E2B">
        <w:rPr>
          <w:rFonts w:eastAsia="MS Mincho" w:cs="Arial"/>
          <w:lang w:val="en-US"/>
        </w:rPr>
        <w:t>that to meet their needs throughout their life history stages marine migratory species depend on a range of habitats across their migratory range whether in marine areas within and/or beyond the limits of national jurisdiction,</w:t>
      </w:r>
    </w:p>
    <w:p w:rsidR="00303E2B" w:rsidRPr="00303E2B" w:rsidRDefault="00303E2B" w:rsidP="00303E2B">
      <w:pPr>
        <w:spacing w:after="0" w:line="240" w:lineRule="auto"/>
        <w:jc w:val="both"/>
        <w:rPr>
          <w:rFonts w:eastAsia="MS Mincho" w:cs="Arial"/>
          <w:i/>
          <w:lang w:val="en-US"/>
        </w:rPr>
      </w:pPr>
    </w:p>
    <w:p w:rsidR="00303E2B" w:rsidRPr="00303E2B" w:rsidRDefault="00303E2B" w:rsidP="00303E2B">
      <w:pPr>
        <w:spacing w:after="0" w:line="240" w:lineRule="auto"/>
        <w:jc w:val="both"/>
        <w:rPr>
          <w:rFonts w:eastAsia="MS Mincho" w:cs="Arial"/>
          <w:lang w:val="en-US"/>
        </w:rPr>
      </w:pPr>
      <w:r w:rsidRPr="00303E2B">
        <w:rPr>
          <w:rFonts w:eastAsia="MS Mincho" w:cs="Arial"/>
          <w:i/>
          <w:iCs/>
          <w:color w:val="000000"/>
          <w:lang w:val="en-US"/>
        </w:rPr>
        <w:t>Further acknowledging</w:t>
      </w:r>
      <w:r w:rsidRPr="00303E2B">
        <w:rPr>
          <w:rFonts w:eastAsia="MS Mincho" w:cs="Arial"/>
          <w:iCs/>
          <w:color w:val="000000"/>
          <w:lang w:val="en-US"/>
        </w:rPr>
        <w:t xml:space="preserve"> that processes, workshops and tools are underway within the Convention on Biological Diversity that can assist in identifying habitats important for the lifecycles of migratory marine species listed under CMS Appendices,</w:t>
      </w:r>
    </w:p>
    <w:p w:rsidR="00303E2B" w:rsidRPr="00303E2B" w:rsidRDefault="00303E2B" w:rsidP="00303E2B">
      <w:pPr>
        <w:spacing w:after="0" w:line="240" w:lineRule="auto"/>
        <w:jc w:val="both"/>
        <w:rPr>
          <w:rFonts w:eastAsia="MS Mincho" w:cs="Arial"/>
          <w:i/>
          <w:iCs/>
          <w:strike/>
          <w:lang w:val="en-US"/>
        </w:rPr>
      </w:pPr>
    </w:p>
    <w:p w:rsidR="00303E2B" w:rsidRPr="00303E2B" w:rsidRDefault="00303E2B" w:rsidP="00303E2B">
      <w:pPr>
        <w:spacing w:after="0" w:line="240" w:lineRule="auto"/>
        <w:jc w:val="both"/>
        <w:rPr>
          <w:rFonts w:eastAsia="MS Mincho" w:cs="Arial"/>
          <w:lang w:val="en-US"/>
        </w:rPr>
      </w:pPr>
      <w:r w:rsidRPr="00303E2B">
        <w:rPr>
          <w:rFonts w:eastAsia="MS Mincho" w:cs="Arial"/>
          <w:i/>
          <w:iCs/>
          <w:color w:val="000000"/>
          <w:lang w:val="en-US"/>
        </w:rPr>
        <w:t xml:space="preserve">Aware </w:t>
      </w:r>
      <w:r w:rsidRPr="00303E2B">
        <w:rPr>
          <w:rFonts w:eastAsia="MS Mincho" w:cs="Arial"/>
          <w:lang w:val="en-US"/>
        </w:rPr>
        <w:t>of the importance for the conservation of migratory species of integrating approaches to ecological networks in national environmental planning, including plans currently being developed under the auspices of other Multilateral Environmental Agreements, such as National Biodiversity Strategies and Action Plans (under the Convention on Biological Diversity), as recognized by UNEP/CMS/Resolution10.18, and National Adaptation Plans (under the United Nations Framework Convention on Climate Change),</w:t>
      </w:r>
    </w:p>
    <w:p w:rsidR="00303E2B" w:rsidRPr="00303E2B" w:rsidRDefault="00303E2B" w:rsidP="00303E2B">
      <w:pPr>
        <w:spacing w:after="0" w:line="240" w:lineRule="auto"/>
        <w:jc w:val="both"/>
        <w:rPr>
          <w:rFonts w:eastAsia="MS Mincho" w:cs="Arial"/>
          <w:lang w:val="en-US"/>
        </w:rPr>
      </w:pPr>
    </w:p>
    <w:p w:rsidR="00303E2B" w:rsidRPr="00303E2B" w:rsidRDefault="00303E2B" w:rsidP="00303E2B">
      <w:pPr>
        <w:spacing w:after="0" w:line="240" w:lineRule="auto"/>
        <w:jc w:val="both"/>
        <w:rPr>
          <w:rFonts w:eastAsia="MS Mincho" w:cs="Arial"/>
          <w:lang w:val="en-US"/>
        </w:rPr>
      </w:pPr>
      <w:r w:rsidRPr="00303E2B">
        <w:rPr>
          <w:rFonts w:eastAsia="MS Mincho" w:cs="Arial"/>
          <w:i/>
          <w:color w:val="000000"/>
          <w:lang w:val="en-US"/>
        </w:rPr>
        <w:t>Also aware</w:t>
      </w:r>
      <w:r w:rsidRPr="00303E2B">
        <w:rPr>
          <w:rFonts w:eastAsia="MS Mincho" w:cs="Arial"/>
          <w:color w:val="000000"/>
          <w:lang w:val="en-US"/>
        </w:rPr>
        <w:t xml:space="preserve"> of the importance of promoting cooperation though the competent international and regional organizations where appropriate to seek the adoption of conservation measures to support ecological networks in the marine environment,</w:t>
      </w:r>
    </w:p>
    <w:p w:rsidR="00303E2B" w:rsidRPr="00303E2B" w:rsidRDefault="00303E2B" w:rsidP="00303E2B">
      <w:pPr>
        <w:spacing w:after="0" w:line="240" w:lineRule="auto"/>
        <w:jc w:val="both"/>
        <w:rPr>
          <w:rFonts w:eastAsia="MS Mincho" w:cs="Arial"/>
          <w:i/>
          <w:iCs/>
          <w:lang w:val="en-US"/>
        </w:rPr>
      </w:pPr>
    </w:p>
    <w:p w:rsidR="00303E2B" w:rsidRPr="00303E2B" w:rsidRDefault="00303E2B" w:rsidP="00303E2B">
      <w:pPr>
        <w:spacing w:after="0" w:line="240" w:lineRule="auto"/>
        <w:jc w:val="both"/>
        <w:rPr>
          <w:rFonts w:eastAsia="MS Mincho" w:cs="Arial"/>
          <w:lang w:val="en-US"/>
        </w:rPr>
      </w:pPr>
      <w:r w:rsidRPr="00303E2B">
        <w:rPr>
          <w:rFonts w:eastAsia="MS Mincho" w:cs="Arial"/>
          <w:i/>
          <w:iCs/>
          <w:lang w:val="en-US"/>
        </w:rPr>
        <w:t xml:space="preserve">Also recognizing </w:t>
      </w:r>
      <w:r w:rsidRPr="00303E2B">
        <w:rPr>
          <w:rFonts w:eastAsia="MS Mincho" w:cs="Arial"/>
          <w:lang w:val="en-US"/>
        </w:rPr>
        <w:t>that CMS’s approach to coordinated conservation and management measures across a migratory range can contribute to the development of ecological networks and promote connectivity that are fully consistent with the law of the sea by providing the basis for like-minded Range States to take individual actions at national level and regarding their flag vessels in marine areas within and beyond the limits of national jurisdiction and to coordinate these actions across the migration range of the species concerned,</w:t>
      </w:r>
    </w:p>
    <w:p w:rsidR="00303E2B" w:rsidRPr="00303E2B" w:rsidRDefault="00303E2B" w:rsidP="00303E2B">
      <w:pPr>
        <w:spacing w:after="0" w:line="240" w:lineRule="auto"/>
        <w:jc w:val="both"/>
        <w:rPr>
          <w:rFonts w:eastAsia="MS Mincho" w:cs="Arial"/>
          <w:i/>
          <w:color w:val="000000"/>
          <w:lang w:val="en-US"/>
        </w:rPr>
      </w:pPr>
    </w:p>
    <w:p w:rsidR="00303E2B" w:rsidRPr="00303E2B" w:rsidRDefault="00303E2B" w:rsidP="00303E2B">
      <w:pPr>
        <w:spacing w:after="0" w:line="240" w:lineRule="auto"/>
        <w:jc w:val="both"/>
        <w:rPr>
          <w:rFonts w:eastAsia="MS Mincho" w:cs="Arial"/>
          <w:lang w:val="en-US"/>
        </w:rPr>
      </w:pPr>
      <w:r w:rsidRPr="00303E2B">
        <w:rPr>
          <w:rFonts w:eastAsia="MS Mincho" w:cs="Arial"/>
          <w:i/>
          <w:iCs/>
          <w:lang w:val="en-US"/>
        </w:rPr>
        <w:t>Welcoming</w:t>
      </w:r>
      <w:r w:rsidRPr="00303E2B">
        <w:rPr>
          <w:rFonts w:eastAsia="MS Mincho" w:cs="Arial"/>
          <w:lang w:val="en-US"/>
        </w:rPr>
        <w:t xml:space="preserve"> the progress </w:t>
      </w:r>
      <w:r w:rsidRPr="00303E2B">
        <w:rPr>
          <w:rFonts w:eastAsia="MS Mincho" w:cs="Arial"/>
        </w:rPr>
        <w:t>described in Document UNEP/CMS/Conf.</w:t>
      </w:r>
      <w:r w:rsidRPr="00303E2B">
        <w:rPr>
          <w:rFonts w:eastAsia="MS Mincho" w:cs="Arial"/>
          <w:lang w:val="en-US"/>
        </w:rPr>
        <w:t xml:space="preserve">10.33 on bird flyway conservation policy, as well as </w:t>
      </w:r>
      <w:r w:rsidRPr="00303E2B">
        <w:rPr>
          <w:rFonts w:eastAsia="MS Mincho" w:cs="Arial"/>
        </w:rPr>
        <w:t>R</w:t>
      </w:r>
      <w:proofErr w:type="spellStart"/>
      <w:r w:rsidRPr="00303E2B">
        <w:rPr>
          <w:rFonts w:eastAsia="MS Mincho" w:cs="Arial"/>
          <w:lang w:val="en-US"/>
        </w:rPr>
        <w:t>esolution</w:t>
      </w:r>
      <w:proofErr w:type="spellEnd"/>
      <w:r w:rsidRPr="00303E2B">
        <w:rPr>
          <w:rFonts w:eastAsia="MS Mincho" w:cs="Arial"/>
          <w:lang w:val="en-US"/>
        </w:rPr>
        <w:t xml:space="preserve"> UNEP/CMS/10.10 on guidance on global flyway conservation and options for policy arrangements,</w:t>
      </w:r>
    </w:p>
    <w:p w:rsidR="00303E2B" w:rsidRDefault="00303E2B" w:rsidP="00303E2B">
      <w:pPr>
        <w:spacing w:after="0" w:line="240" w:lineRule="auto"/>
        <w:jc w:val="both"/>
        <w:rPr>
          <w:rFonts w:eastAsia="MS Mincho" w:cs="Arial"/>
          <w:i/>
          <w:iCs/>
          <w:lang w:val="en-US"/>
        </w:rPr>
      </w:pPr>
    </w:p>
    <w:p w:rsidR="00303E2B" w:rsidRPr="00303E2B" w:rsidRDefault="00303E2B" w:rsidP="00303E2B">
      <w:pPr>
        <w:spacing w:after="0" w:line="240" w:lineRule="auto"/>
        <w:jc w:val="both"/>
        <w:rPr>
          <w:rFonts w:eastAsia="MS Mincho" w:cs="Arial"/>
          <w:i/>
          <w:iCs/>
          <w:lang w:val="en-US"/>
        </w:rPr>
      </w:pPr>
    </w:p>
    <w:p w:rsidR="00303E2B" w:rsidRPr="00303E2B" w:rsidRDefault="00303E2B" w:rsidP="00303E2B">
      <w:pPr>
        <w:spacing w:after="0" w:line="240" w:lineRule="auto"/>
        <w:jc w:val="both"/>
        <w:rPr>
          <w:rFonts w:eastAsia="MS Mincho" w:cs="Arial"/>
          <w:i/>
          <w:iCs/>
          <w:highlight w:val="yellow"/>
          <w:lang w:val="en-US"/>
        </w:rPr>
      </w:pPr>
      <w:r w:rsidRPr="00303E2B">
        <w:rPr>
          <w:rFonts w:eastAsia="MS Mincho" w:cs="Arial"/>
          <w:i/>
          <w:iCs/>
          <w:lang w:val="en-US"/>
        </w:rPr>
        <w:t xml:space="preserve">Welcoming </w:t>
      </w:r>
      <w:r w:rsidRPr="00303E2B">
        <w:rPr>
          <w:rFonts w:eastAsia="MS Mincho" w:cs="Arial"/>
          <w:lang w:val="en-US"/>
        </w:rPr>
        <w:t>the progress made in producing a strategic review on ecological networks thanks to a voluntary contribution from Norway (UNEP/CMS/COP11/Doc.23.4.1.2) and a compilation of case studies illustrating how ecological networks have been applied as a conservation strategy to different taxonomic groups of CMS-listed species (UNEP/CMS/COP11/Inf.22) as requested by Resolution 10.3,</w:t>
      </w:r>
    </w:p>
    <w:p w:rsidR="00303E2B" w:rsidRPr="00303E2B" w:rsidRDefault="00303E2B" w:rsidP="00303E2B">
      <w:pPr>
        <w:widowControl w:val="0"/>
        <w:autoSpaceDE w:val="0"/>
        <w:autoSpaceDN w:val="0"/>
        <w:adjustRightInd w:val="0"/>
        <w:spacing w:after="0" w:line="240" w:lineRule="auto"/>
        <w:jc w:val="both"/>
        <w:rPr>
          <w:rFonts w:eastAsia="MS Mincho" w:cs="Arial"/>
          <w:i/>
          <w:iCs/>
          <w:color w:val="000000"/>
          <w:lang w:val="en-US"/>
        </w:rPr>
      </w:pPr>
    </w:p>
    <w:p w:rsidR="00303E2B" w:rsidRPr="00303E2B" w:rsidRDefault="00303E2B" w:rsidP="00303E2B">
      <w:pPr>
        <w:widowControl w:val="0"/>
        <w:autoSpaceDE w:val="0"/>
        <w:autoSpaceDN w:val="0"/>
        <w:adjustRightInd w:val="0"/>
        <w:spacing w:after="0" w:line="240" w:lineRule="auto"/>
        <w:jc w:val="both"/>
        <w:rPr>
          <w:rFonts w:eastAsia="MS Mincho" w:cs="Arial"/>
          <w:color w:val="000000"/>
          <w:lang w:val="en-US"/>
        </w:rPr>
      </w:pPr>
      <w:r w:rsidRPr="00303E2B">
        <w:rPr>
          <w:rFonts w:eastAsia="MS Mincho" w:cs="Arial"/>
          <w:i/>
          <w:iCs/>
          <w:color w:val="000000"/>
          <w:lang w:val="en-US"/>
        </w:rPr>
        <w:t xml:space="preserve">Expressing its gratitude </w:t>
      </w:r>
      <w:r w:rsidRPr="00303E2B">
        <w:rPr>
          <w:rFonts w:eastAsia="MS Mincho" w:cs="Arial"/>
          <w:color w:val="000000"/>
          <w:lang w:val="en-US"/>
        </w:rPr>
        <w:t xml:space="preserve">to the Government of Norway for funding the work on the strategic review and case studies on ecological networks </w:t>
      </w:r>
      <w:proofErr w:type="spellStart"/>
      <w:r w:rsidRPr="00303E2B">
        <w:rPr>
          <w:rFonts w:eastAsia="MS Mincho" w:cs="Arial"/>
          <w:color w:val="000000"/>
          <w:lang w:val="en-US"/>
        </w:rPr>
        <w:t>intersessionally</w:t>
      </w:r>
      <w:proofErr w:type="spellEnd"/>
      <w:r w:rsidRPr="00303E2B">
        <w:rPr>
          <w:rFonts w:eastAsia="MS Mincho" w:cs="Arial"/>
          <w:color w:val="000000"/>
          <w:lang w:val="en-US"/>
        </w:rPr>
        <w:t xml:space="preserve">, </w:t>
      </w:r>
    </w:p>
    <w:p w:rsidR="00303E2B" w:rsidRPr="00303E2B" w:rsidRDefault="00303E2B" w:rsidP="00303E2B">
      <w:pPr>
        <w:spacing w:after="0" w:line="240" w:lineRule="auto"/>
        <w:jc w:val="both"/>
        <w:rPr>
          <w:rFonts w:eastAsia="Times New Roman" w:cs="Arial"/>
          <w:i/>
          <w:lang w:val="en-US"/>
        </w:rPr>
      </w:pPr>
    </w:p>
    <w:p w:rsidR="00303E2B" w:rsidRPr="00303E2B" w:rsidRDefault="00303E2B" w:rsidP="00303E2B">
      <w:pPr>
        <w:spacing w:after="0" w:line="240" w:lineRule="auto"/>
        <w:jc w:val="both"/>
        <w:rPr>
          <w:rFonts w:eastAsia="Times New Roman" w:cs="Arial"/>
          <w:lang w:val="en-US"/>
        </w:rPr>
      </w:pPr>
      <w:r w:rsidRPr="00303E2B">
        <w:rPr>
          <w:rFonts w:eastAsia="Times New Roman" w:cs="Arial"/>
          <w:i/>
          <w:lang w:val="en-US"/>
        </w:rPr>
        <w:t xml:space="preserve">Recognizing </w:t>
      </w:r>
      <w:r w:rsidRPr="00303E2B">
        <w:rPr>
          <w:rFonts w:eastAsia="Times New Roman" w:cs="Arial"/>
          <w:lang w:val="en-US"/>
        </w:rPr>
        <w:t>the increasing number of national and regional migratory species-related networks globally and welcoming</w:t>
      </w:r>
      <w:r w:rsidRPr="00303E2B">
        <w:rPr>
          <w:rFonts w:eastAsia="Times New Roman" w:cs="Arial"/>
          <w:i/>
          <w:lang w:val="en-US"/>
        </w:rPr>
        <w:t xml:space="preserve"> </w:t>
      </w:r>
      <w:r w:rsidRPr="00303E2B">
        <w:rPr>
          <w:rFonts w:eastAsia="Times New Roman" w:cs="Arial"/>
          <w:lang w:val="en-US"/>
        </w:rPr>
        <w:t xml:space="preserve">the two CMS-linked ecological networks to promote conservation of migratory waterbirds and their habitats: the Western/Central Asian Site Network for the Siberian Crane and other Migratory Waterbirds under the United Nations Environment </w:t>
      </w:r>
      <w:proofErr w:type="spellStart"/>
      <w:r w:rsidRPr="00303E2B">
        <w:rPr>
          <w:rFonts w:eastAsia="Times New Roman" w:cs="Arial"/>
          <w:lang w:val="en-US"/>
        </w:rPr>
        <w:t>Programme</w:t>
      </w:r>
      <w:proofErr w:type="spellEnd"/>
      <w:r w:rsidRPr="00303E2B">
        <w:rPr>
          <w:rFonts w:eastAsia="Times New Roman" w:cs="Arial"/>
          <w:lang w:val="en-US"/>
        </w:rPr>
        <w:t>/Global Environmental Facility Siberian Crane Wetland Project to further implement the MOU concerning the Siberian Crane, as an important step to establish a network to protect migratory waterbirds in this region, and the East Asian - Australasian Flyway Partnership and its East Asian – Australasian Flyway Site Network (as recognized by Resolutions 9.2 and UNEP/CMS/Res.10.10),</w:t>
      </w:r>
    </w:p>
    <w:p w:rsidR="00303E2B" w:rsidRPr="00303E2B" w:rsidRDefault="00303E2B" w:rsidP="00303E2B">
      <w:pPr>
        <w:spacing w:after="0" w:line="240" w:lineRule="auto"/>
        <w:jc w:val="both"/>
        <w:rPr>
          <w:rFonts w:eastAsia="Times New Roman" w:cs="Arial"/>
          <w:lang w:val="en-US"/>
        </w:rPr>
      </w:pPr>
    </w:p>
    <w:p w:rsidR="00303E2B" w:rsidRPr="00303E2B" w:rsidRDefault="00303E2B" w:rsidP="00303E2B">
      <w:pPr>
        <w:spacing w:after="0" w:line="240" w:lineRule="auto"/>
        <w:jc w:val="both"/>
        <w:rPr>
          <w:rFonts w:eastAsia="Times New Roman" w:cs="Arial"/>
          <w:i/>
          <w:lang w:val="en-US"/>
        </w:rPr>
      </w:pPr>
      <w:r w:rsidRPr="00303E2B">
        <w:rPr>
          <w:rFonts w:eastAsia="Times New Roman" w:cs="Arial"/>
          <w:i/>
          <w:iCs/>
          <w:lang w:val="en-US"/>
        </w:rPr>
        <w:t xml:space="preserve">Expressing satisfaction </w:t>
      </w:r>
      <w:r w:rsidRPr="00303E2B">
        <w:rPr>
          <w:rFonts w:eastAsia="Times New Roman" w:cs="Arial"/>
          <w:lang w:val="en-US"/>
        </w:rPr>
        <w:t xml:space="preserve">with the formal establishment and launch of a Network of Sites of Importance for Marine Turtles within the framework of the CMS Indian Ocean – South-East Asia Marine Turtle Memorandum of Understanding (IOSEA) with </w:t>
      </w:r>
      <w:proofErr w:type="gramStart"/>
      <w:r w:rsidRPr="00303E2B">
        <w:rPr>
          <w:rFonts w:eastAsia="Times New Roman" w:cs="Arial"/>
          <w:lang w:val="en-US"/>
        </w:rPr>
        <w:t>particular emphasis</w:t>
      </w:r>
      <w:proofErr w:type="gramEnd"/>
      <w:r w:rsidRPr="00303E2B">
        <w:rPr>
          <w:rFonts w:eastAsia="Times New Roman" w:cs="Arial"/>
          <w:lang w:val="en-US"/>
        </w:rPr>
        <w:t xml:space="preserve"> on the development of robust criteria intended to lend credibility to the site selection process,</w:t>
      </w:r>
    </w:p>
    <w:p w:rsidR="00303E2B" w:rsidRPr="00303E2B" w:rsidRDefault="00303E2B" w:rsidP="00303E2B">
      <w:pPr>
        <w:spacing w:after="0" w:line="240" w:lineRule="auto"/>
        <w:jc w:val="both"/>
        <w:rPr>
          <w:rFonts w:eastAsia="MS Mincho" w:cs="Arial"/>
          <w:i/>
        </w:rPr>
      </w:pPr>
    </w:p>
    <w:p w:rsidR="00303E2B" w:rsidRPr="00303E2B" w:rsidRDefault="00303E2B" w:rsidP="00303E2B">
      <w:pPr>
        <w:spacing w:after="0" w:line="240" w:lineRule="auto"/>
        <w:jc w:val="both"/>
        <w:rPr>
          <w:rFonts w:eastAsia="MS Mincho" w:cs="Arial"/>
          <w:lang w:val="en-US"/>
        </w:rPr>
      </w:pPr>
      <w:r w:rsidRPr="00303E2B">
        <w:rPr>
          <w:rFonts w:eastAsia="MS Mincho" w:cs="Arial"/>
          <w:i/>
        </w:rPr>
        <w:t>Noting with pleasure</w:t>
      </w:r>
      <w:r w:rsidRPr="00303E2B">
        <w:rPr>
          <w:rFonts w:eastAsia="MS Mincho" w:cs="Arial"/>
        </w:rPr>
        <w:t xml:space="preserve"> the widespread recognition of the recently developed Critical Site Network Tool under the African-Eurasian Flyways GEF Project, also known as Wings over Wetlands, as an innovative and effective instrument for underpinning the management of important sites for waterbirds in the African-Eurasian </w:t>
      </w:r>
      <w:proofErr w:type="spellStart"/>
      <w:r w:rsidRPr="00303E2B">
        <w:rPr>
          <w:rFonts w:eastAsia="MS Mincho" w:cs="Arial"/>
        </w:rPr>
        <w:t>Waterbird</w:t>
      </w:r>
      <w:proofErr w:type="spellEnd"/>
      <w:r w:rsidRPr="00303E2B">
        <w:rPr>
          <w:rFonts w:eastAsia="MS Mincho" w:cs="Arial"/>
        </w:rPr>
        <w:t xml:space="preserve"> Agreement area, and which </w:t>
      </w:r>
      <w:r w:rsidRPr="00303E2B">
        <w:rPr>
          <w:rFonts w:eastAsia="MS Mincho" w:cs="Arial"/>
          <w:i/>
        </w:rPr>
        <w:t>inter alia</w:t>
      </w:r>
      <w:r w:rsidRPr="00303E2B">
        <w:rPr>
          <w:rFonts w:eastAsia="MS Mincho" w:cs="Arial"/>
        </w:rPr>
        <w:t xml:space="preserve"> sets those sites in their flyway context,</w:t>
      </w:r>
    </w:p>
    <w:p w:rsidR="00303E2B" w:rsidRPr="00303E2B" w:rsidRDefault="00303E2B" w:rsidP="00303E2B">
      <w:pPr>
        <w:spacing w:after="0" w:line="240" w:lineRule="auto"/>
        <w:jc w:val="both"/>
        <w:rPr>
          <w:rFonts w:eastAsia="MS Mincho" w:cs="Arial"/>
          <w:i/>
          <w:iCs/>
          <w:lang w:val="en-US"/>
        </w:rPr>
      </w:pPr>
    </w:p>
    <w:p w:rsidR="00303E2B" w:rsidRPr="00303E2B" w:rsidRDefault="00303E2B" w:rsidP="00303E2B">
      <w:pPr>
        <w:spacing w:after="0" w:line="240" w:lineRule="auto"/>
        <w:jc w:val="both"/>
        <w:rPr>
          <w:rFonts w:eastAsia="MS Mincho" w:cs="Arial"/>
          <w:i/>
        </w:rPr>
      </w:pPr>
      <w:r w:rsidRPr="00303E2B">
        <w:rPr>
          <w:rFonts w:eastAsia="MS Mincho" w:cs="Arial"/>
          <w:i/>
          <w:iCs/>
          <w:lang w:val="en-US"/>
        </w:rPr>
        <w:t xml:space="preserve">Recognizing </w:t>
      </w:r>
      <w:r w:rsidRPr="00303E2B">
        <w:rPr>
          <w:rFonts w:eastAsia="MS Mincho" w:cs="Arial"/>
          <w:lang w:val="en-US"/>
        </w:rPr>
        <w:t>that transboundary area-based conservation measures including networks of protected and other management areas can play an important role in improving the conservation status of migratory species by contributing to ecological networks and promoting connectivity particularly when animals migrate for long distances across or outside national jurisdictional boundaries,</w:t>
      </w:r>
    </w:p>
    <w:p w:rsidR="00303E2B" w:rsidRPr="00303E2B" w:rsidRDefault="00303E2B" w:rsidP="00303E2B">
      <w:pPr>
        <w:spacing w:after="0" w:line="240" w:lineRule="auto"/>
        <w:jc w:val="both"/>
        <w:rPr>
          <w:rFonts w:eastAsia="MS Mincho" w:cs="Arial"/>
          <w:i/>
          <w:iCs/>
          <w:lang w:val="en-US"/>
        </w:rPr>
      </w:pPr>
    </w:p>
    <w:p w:rsidR="00303E2B" w:rsidRPr="00303E2B" w:rsidRDefault="00303E2B" w:rsidP="00303E2B">
      <w:pPr>
        <w:spacing w:after="0" w:line="240" w:lineRule="auto"/>
        <w:jc w:val="both"/>
        <w:rPr>
          <w:rFonts w:eastAsia="MS Mincho" w:cs="Arial"/>
          <w:i/>
        </w:rPr>
      </w:pPr>
      <w:r w:rsidRPr="00303E2B">
        <w:rPr>
          <w:rFonts w:eastAsia="MS Mincho" w:cs="Arial"/>
          <w:i/>
          <w:iCs/>
          <w:lang w:val="en-US"/>
        </w:rPr>
        <w:t xml:space="preserve">Acknowledging </w:t>
      </w:r>
      <w:r w:rsidRPr="00303E2B">
        <w:rPr>
          <w:rFonts w:eastAsia="MS Mincho" w:cs="Arial"/>
          <w:lang w:val="en-US"/>
        </w:rPr>
        <w:t xml:space="preserve">progress made by some Parties and other Range States with the establishment of transboundary area-based conservation measures as a basis for ecological networks and promoting connectivity, for example through the KAZA Treaty on </w:t>
      </w:r>
      <w:proofErr w:type="spellStart"/>
      <w:r w:rsidRPr="00303E2B">
        <w:rPr>
          <w:rFonts w:eastAsia="MS Mincho" w:cs="Arial"/>
          <w:lang w:val="en-US"/>
        </w:rPr>
        <w:t>Transfrontier</w:t>
      </w:r>
      <w:proofErr w:type="spellEnd"/>
      <w:r w:rsidRPr="00303E2B">
        <w:rPr>
          <w:rFonts w:eastAsia="MS Mincho" w:cs="Arial"/>
          <w:lang w:val="en-US"/>
        </w:rPr>
        <w:t xml:space="preserve"> Conservation Areas (TFCA), signed by Angola, Botswana, Namibia, Zambia and Zimbabwe on 18 August 2011, which is a large ecological region of 519,912 km2 in the five countries encompassing 36 national parks, game reserves, forest reserves and community conservancies, and further </w:t>
      </w:r>
      <w:r w:rsidRPr="00303E2B">
        <w:rPr>
          <w:rFonts w:eastAsia="MS Mincho" w:cs="Arial"/>
          <w:i/>
          <w:iCs/>
          <w:lang w:val="en-US"/>
        </w:rPr>
        <w:t xml:space="preserve">recalling </w:t>
      </w:r>
      <w:r w:rsidRPr="00303E2B">
        <w:rPr>
          <w:rFonts w:eastAsia="MS Mincho" w:cs="Arial"/>
          <w:lang w:val="en-US"/>
        </w:rPr>
        <w:t>that the KAZA region is home to at least 50 per cent of all African elephants (Appendix II), 25 per cent of African wild dogs (Appendix II) and substantial numbers of migratory birds and other CMS-listed species,</w:t>
      </w:r>
    </w:p>
    <w:p w:rsidR="00303E2B" w:rsidRPr="00303E2B" w:rsidRDefault="00303E2B" w:rsidP="00303E2B">
      <w:pPr>
        <w:spacing w:after="0" w:line="240" w:lineRule="auto"/>
        <w:jc w:val="both"/>
        <w:rPr>
          <w:rFonts w:eastAsia="MS Mincho" w:cs="Arial"/>
          <w:i/>
          <w:iCs/>
          <w:lang w:val="en-US"/>
        </w:rPr>
      </w:pPr>
    </w:p>
    <w:p w:rsidR="00303E2B" w:rsidRPr="00303E2B" w:rsidRDefault="00303E2B" w:rsidP="00303E2B">
      <w:pPr>
        <w:spacing w:after="0" w:line="240" w:lineRule="auto"/>
        <w:jc w:val="both"/>
        <w:rPr>
          <w:rFonts w:eastAsia="MS Mincho" w:cs="Arial"/>
          <w:i/>
        </w:rPr>
      </w:pPr>
      <w:r w:rsidRPr="00303E2B">
        <w:rPr>
          <w:rFonts w:eastAsia="MS Mincho" w:cs="Arial"/>
          <w:i/>
          <w:iCs/>
          <w:lang w:val="en-US"/>
        </w:rPr>
        <w:t xml:space="preserve">Also acknowledging </w:t>
      </w:r>
      <w:r w:rsidRPr="00303E2B">
        <w:rPr>
          <w:rFonts w:eastAsia="MS Mincho" w:cs="Arial"/>
          <w:lang w:val="en-US"/>
        </w:rPr>
        <w:t>that the Important Bird Areas (IBAs), both terrestrial and marine, identified by BirdLife International under criteria A4 (migratory congregations) comprise the most comprehensive ecological networks of internationally important sites for any group of migratory species, which should be effectively conserved and sustainably managed under the corresponding and appropriate legal frameworks, taking note in particular of the list of IBAs in Danger which need imminent decisive action to protect them from damaging impacts,</w:t>
      </w:r>
    </w:p>
    <w:p w:rsidR="00303E2B" w:rsidRDefault="00303E2B" w:rsidP="00303E2B">
      <w:pPr>
        <w:spacing w:after="0" w:line="240" w:lineRule="auto"/>
        <w:jc w:val="both"/>
        <w:rPr>
          <w:rFonts w:eastAsia="MS Mincho" w:cs="Arial"/>
          <w:i/>
          <w:iCs/>
          <w:lang w:val="en-US"/>
        </w:rPr>
      </w:pPr>
      <w:r>
        <w:rPr>
          <w:rFonts w:eastAsia="MS Mincho" w:cs="Arial"/>
          <w:i/>
          <w:iCs/>
          <w:lang w:val="en-US"/>
        </w:rPr>
        <w:br w:type="page"/>
      </w:r>
    </w:p>
    <w:p w:rsidR="00303E2B" w:rsidRPr="00303E2B" w:rsidRDefault="00303E2B" w:rsidP="00303E2B">
      <w:pPr>
        <w:spacing w:after="0" w:line="240" w:lineRule="auto"/>
        <w:jc w:val="both"/>
        <w:rPr>
          <w:rFonts w:eastAsia="MS Mincho" w:cs="Arial"/>
          <w:i/>
          <w:iCs/>
          <w:lang w:val="en-US"/>
        </w:rPr>
      </w:pPr>
    </w:p>
    <w:p w:rsidR="00303E2B" w:rsidRPr="00303E2B" w:rsidRDefault="00303E2B" w:rsidP="00303E2B">
      <w:pPr>
        <w:spacing w:after="0" w:line="240" w:lineRule="auto"/>
        <w:jc w:val="both"/>
        <w:rPr>
          <w:rFonts w:eastAsia="MS Mincho" w:cs="Arial"/>
          <w:i/>
          <w:iCs/>
          <w:lang w:val="en-US"/>
        </w:rPr>
      </w:pPr>
      <w:r w:rsidRPr="00303E2B">
        <w:rPr>
          <w:rFonts w:eastAsia="MS Mincho" w:cs="Arial"/>
          <w:i/>
          <w:iCs/>
          <w:lang w:val="en-US"/>
        </w:rPr>
        <w:t xml:space="preserve">Taking note with interest </w:t>
      </w:r>
      <w:r w:rsidRPr="00303E2B">
        <w:rPr>
          <w:rFonts w:eastAsia="MS Mincho" w:cs="Arial"/>
          <w:lang w:val="en-US"/>
        </w:rPr>
        <w:t>of several IUCN processes which may contribute to the conservation of migratory species and, when adopted, promote ecological networks and connectivity, including the draft IUCN WCPA Best Practice Guideline on Transboundary Conservation drafted by the IUCN WCPA Transboundary Conservation Specialist Group, the IUCN WCPA / SSC Joint Taskforce on Protected Areas and Biodiversity work on a standard to identify Key Biodiversity Areas (KBAs) and the IUCN Joint SSC/WCPA Marine Mammal Protected Areas Task Force process to develop criteria for identifying Important Marine Mammal Areas (IMMAs),</w:t>
      </w:r>
    </w:p>
    <w:p w:rsidR="00303E2B" w:rsidRPr="00303E2B" w:rsidRDefault="00303E2B" w:rsidP="00303E2B">
      <w:pPr>
        <w:spacing w:after="0" w:line="240" w:lineRule="auto"/>
        <w:jc w:val="both"/>
        <w:rPr>
          <w:rFonts w:eastAsia="MS Mincho" w:cs="Arial"/>
          <w:i/>
          <w:iCs/>
          <w:lang w:val="en-US"/>
        </w:rPr>
      </w:pPr>
    </w:p>
    <w:p w:rsidR="00303E2B" w:rsidRPr="00303E2B" w:rsidRDefault="00303E2B" w:rsidP="00303E2B">
      <w:pPr>
        <w:spacing w:after="0" w:line="240" w:lineRule="auto"/>
        <w:jc w:val="both"/>
        <w:rPr>
          <w:rFonts w:eastAsia="MS Mincho" w:cs="Arial"/>
          <w:i/>
          <w:iCs/>
          <w:lang w:val="en-US"/>
        </w:rPr>
      </w:pPr>
      <w:r w:rsidRPr="00303E2B">
        <w:rPr>
          <w:rFonts w:eastAsia="MS Mincho" w:cs="Arial"/>
          <w:i/>
          <w:iCs/>
          <w:lang w:val="en-US"/>
        </w:rPr>
        <w:t xml:space="preserve">Aware </w:t>
      </w:r>
      <w:r w:rsidRPr="00303E2B">
        <w:rPr>
          <w:rFonts w:eastAsia="MS Mincho" w:cs="Arial"/>
          <w:lang w:val="en-US"/>
        </w:rPr>
        <w:t>of the United Nations General Assembly Ad Hoc Open-ended Informal Working Group to Study Issues Relating to the Conservation and Sustainable Use of Marine Biological Diversity Beyond Areas of National Jurisdiction, including its deliberations with respect to area-based conservation measures and environmental impact assessment in marine areas beyond the limits of national jurisdiction,</w:t>
      </w:r>
    </w:p>
    <w:p w:rsidR="00303E2B" w:rsidRPr="00303E2B" w:rsidRDefault="00303E2B" w:rsidP="00303E2B">
      <w:pPr>
        <w:spacing w:after="0" w:line="240" w:lineRule="auto"/>
        <w:jc w:val="both"/>
        <w:rPr>
          <w:rFonts w:eastAsia="MS Mincho" w:cs="Arial"/>
          <w:i/>
          <w:iCs/>
          <w:lang w:val="en-US"/>
        </w:rPr>
      </w:pPr>
    </w:p>
    <w:p w:rsidR="00303E2B" w:rsidRPr="00303E2B" w:rsidRDefault="00303E2B" w:rsidP="00303E2B">
      <w:pPr>
        <w:spacing w:after="0" w:line="240" w:lineRule="auto"/>
        <w:jc w:val="both"/>
        <w:rPr>
          <w:rFonts w:eastAsia="MS Mincho" w:cs="Arial"/>
          <w:i/>
          <w:iCs/>
          <w:lang w:val="en-US"/>
        </w:rPr>
      </w:pPr>
      <w:r w:rsidRPr="00303E2B">
        <w:rPr>
          <w:rFonts w:eastAsia="MS Mincho" w:cs="Arial"/>
          <w:i/>
          <w:iCs/>
          <w:lang w:val="en-US"/>
        </w:rPr>
        <w:t xml:space="preserve">Welcoming </w:t>
      </w:r>
      <w:r w:rsidRPr="00303E2B">
        <w:rPr>
          <w:rFonts w:eastAsia="MS Mincho" w:cs="Arial"/>
          <w:lang w:val="en-US"/>
        </w:rPr>
        <w:t>the progress made in the process being undertaken by the Convention on Biological Diversity, which has convened regional workshops covering approximately 68% of world ocean areas, to scientifically describe Ecologically or Biologically Significant Marine Areas (EBSAs),</w:t>
      </w:r>
    </w:p>
    <w:p w:rsidR="00303E2B" w:rsidRPr="00303E2B" w:rsidRDefault="00303E2B" w:rsidP="00303E2B">
      <w:pPr>
        <w:spacing w:after="0" w:line="240" w:lineRule="auto"/>
        <w:jc w:val="both"/>
        <w:rPr>
          <w:rFonts w:eastAsia="MS Mincho" w:cs="Arial"/>
          <w:i/>
          <w:iCs/>
          <w:lang w:val="en-US"/>
        </w:rPr>
      </w:pPr>
    </w:p>
    <w:p w:rsidR="00303E2B" w:rsidRPr="00303E2B" w:rsidRDefault="00303E2B" w:rsidP="00303E2B">
      <w:pPr>
        <w:spacing w:after="0" w:line="240" w:lineRule="auto"/>
        <w:jc w:val="both"/>
        <w:rPr>
          <w:rFonts w:eastAsia="MS Mincho" w:cs="Arial"/>
          <w:i/>
          <w:iCs/>
          <w:lang w:val="en-US"/>
        </w:rPr>
      </w:pPr>
      <w:r w:rsidRPr="00303E2B">
        <w:rPr>
          <w:rFonts w:eastAsia="MS Mincho" w:cs="Arial"/>
          <w:i/>
          <w:iCs/>
          <w:lang w:val="en-US"/>
        </w:rPr>
        <w:t xml:space="preserve">Considering </w:t>
      </w:r>
      <w:r w:rsidRPr="00303E2B">
        <w:rPr>
          <w:rFonts w:eastAsia="MS Mincho" w:cs="Arial"/>
          <w:lang w:val="en-US"/>
        </w:rPr>
        <w:t>that some of the scientific criteria applied to describe EBSAs are particularly relevant to marine migratory species, namely ‘special importance for the life history stages of species’, importance for threatened, endangered or declining species and/or habitats’, ‘vulnerability, fragility, sensitivity, or slow recovery’ and ‘biological productivity’,</w:t>
      </w:r>
    </w:p>
    <w:p w:rsidR="00303E2B" w:rsidRPr="00303E2B" w:rsidRDefault="00303E2B" w:rsidP="00303E2B">
      <w:pPr>
        <w:spacing w:after="0" w:line="240" w:lineRule="auto"/>
        <w:jc w:val="both"/>
        <w:rPr>
          <w:rFonts w:eastAsia="MS Mincho" w:cs="Arial"/>
          <w:i/>
          <w:iCs/>
          <w:lang w:val="en-US"/>
        </w:rPr>
      </w:pPr>
    </w:p>
    <w:p w:rsidR="00303E2B" w:rsidRPr="00303E2B" w:rsidRDefault="00303E2B" w:rsidP="00303E2B">
      <w:pPr>
        <w:spacing w:after="0" w:line="240" w:lineRule="auto"/>
        <w:jc w:val="both"/>
        <w:rPr>
          <w:rFonts w:eastAsia="MS Mincho" w:cs="Arial"/>
          <w:i/>
          <w:iCs/>
          <w:lang w:val="en-US"/>
        </w:rPr>
      </w:pPr>
      <w:r w:rsidRPr="00303E2B">
        <w:rPr>
          <w:rFonts w:eastAsia="MS Mincho" w:cs="Arial"/>
          <w:i/>
          <w:iCs/>
          <w:lang w:val="en-US"/>
        </w:rPr>
        <w:t xml:space="preserve">Recognizing </w:t>
      </w:r>
      <w:r w:rsidRPr="00303E2B">
        <w:rPr>
          <w:rFonts w:eastAsia="MS Mincho" w:cs="Arial"/>
          <w:lang w:val="en-US"/>
        </w:rPr>
        <w:t>that the description of areas meeting the scientific criteria for EBSAs has been undertaken on an individual site basis and that scientific guidance for selecting areas to establish a representative network of marine protected areas is provided in Annex II to CBD COP decision IX/20,</w:t>
      </w:r>
    </w:p>
    <w:p w:rsidR="00303E2B" w:rsidRPr="00303E2B" w:rsidRDefault="00303E2B" w:rsidP="00303E2B">
      <w:pPr>
        <w:spacing w:after="0" w:line="240" w:lineRule="auto"/>
        <w:jc w:val="both"/>
        <w:rPr>
          <w:rFonts w:eastAsia="MS Mincho" w:cs="Arial"/>
          <w:i/>
          <w:iCs/>
          <w:lang w:val="en-US"/>
        </w:rPr>
      </w:pPr>
    </w:p>
    <w:p w:rsidR="00303E2B" w:rsidRPr="00303E2B" w:rsidRDefault="00303E2B" w:rsidP="00303E2B">
      <w:pPr>
        <w:spacing w:after="0" w:line="240" w:lineRule="auto"/>
        <w:jc w:val="both"/>
        <w:rPr>
          <w:rFonts w:eastAsia="MS Mincho" w:cs="Arial"/>
          <w:i/>
          <w:iCs/>
          <w:lang w:val="en-US"/>
        </w:rPr>
      </w:pPr>
      <w:r w:rsidRPr="00303E2B">
        <w:rPr>
          <w:rFonts w:eastAsia="MS Mincho" w:cs="Arial"/>
          <w:i/>
          <w:iCs/>
          <w:lang w:val="en-US"/>
        </w:rPr>
        <w:t xml:space="preserve">Also recognizing </w:t>
      </w:r>
      <w:r w:rsidRPr="00303E2B">
        <w:rPr>
          <w:rFonts w:eastAsia="MS Mincho" w:cs="Arial"/>
          <w:lang w:val="en-US"/>
        </w:rPr>
        <w:t>the importance of promoting the development of ecologically coherent networks of EBSAs,</w:t>
      </w:r>
    </w:p>
    <w:p w:rsidR="00303E2B" w:rsidRPr="00303E2B" w:rsidRDefault="00303E2B" w:rsidP="00303E2B">
      <w:pPr>
        <w:spacing w:after="0" w:line="240" w:lineRule="auto"/>
        <w:jc w:val="both"/>
        <w:rPr>
          <w:rFonts w:eastAsia="MS Mincho" w:cs="Arial"/>
          <w:i/>
          <w:iCs/>
          <w:lang w:val="en-US"/>
        </w:rPr>
      </w:pPr>
    </w:p>
    <w:p w:rsidR="00303E2B" w:rsidRPr="00303E2B" w:rsidRDefault="00303E2B" w:rsidP="00303E2B">
      <w:pPr>
        <w:spacing w:after="0" w:line="240" w:lineRule="auto"/>
        <w:jc w:val="both"/>
        <w:rPr>
          <w:rFonts w:eastAsia="MS Mincho" w:cs="Arial"/>
          <w:i/>
          <w:iCs/>
          <w:lang w:val="en-US"/>
        </w:rPr>
      </w:pPr>
      <w:r w:rsidRPr="00303E2B">
        <w:rPr>
          <w:rFonts w:eastAsia="MS Mincho" w:cs="Arial"/>
          <w:i/>
          <w:iCs/>
          <w:lang w:val="en-US"/>
        </w:rPr>
        <w:t xml:space="preserve">Aware </w:t>
      </w:r>
      <w:r w:rsidRPr="00303E2B">
        <w:rPr>
          <w:rFonts w:eastAsia="MS Mincho" w:cs="Arial"/>
          <w:lang w:val="en-US"/>
        </w:rPr>
        <w:t>that marine migratory species provide a useful basis to further review the potential contribution of the scientific data and information used to describe EBSAs to the development of ecological networks and the promotion of connectivity by exploring whether these data and information could contribute to identifying areas meeting the needs of marine migratory species which use multiple habitats throughout the stages of their life history and across their migration range,</w:t>
      </w:r>
    </w:p>
    <w:p w:rsidR="00303E2B" w:rsidRPr="00303E2B" w:rsidRDefault="00303E2B" w:rsidP="00303E2B">
      <w:pPr>
        <w:spacing w:after="0" w:line="240" w:lineRule="auto"/>
        <w:jc w:val="both"/>
        <w:rPr>
          <w:rFonts w:eastAsia="MS Mincho" w:cs="Arial"/>
          <w:i/>
          <w:iCs/>
          <w:lang w:val="en-US"/>
        </w:rPr>
      </w:pPr>
    </w:p>
    <w:p w:rsidR="00303E2B" w:rsidRPr="00303E2B" w:rsidRDefault="00303E2B" w:rsidP="00303E2B">
      <w:pPr>
        <w:spacing w:after="0" w:line="240" w:lineRule="auto"/>
        <w:jc w:val="both"/>
        <w:rPr>
          <w:rFonts w:eastAsia="MS Mincho" w:cs="Arial"/>
          <w:i/>
          <w:iCs/>
          <w:lang w:val="en-US"/>
        </w:rPr>
      </w:pPr>
      <w:r w:rsidRPr="00303E2B">
        <w:rPr>
          <w:rFonts w:eastAsia="MS Mincho" w:cs="Arial"/>
          <w:i/>
          <w:iCs/>
          <w:lang w:val="en-US"/>
        </w:rPr>
        <w:t xml:space="preserve">Welcoming </w:t>
      </w:r>
      <w:r w:rsidRPr="00303E2B">
        <w:rPr>
          <w:rFonts w:eastAsia="MS Mincho" w:cs="Arial"/>
          <w:lang w:val="en-US"/>
        </w:rPr>
        <w:t>as a contribution to the strategic review on ecological networks, the Global Ocean Biodiversity Initiative (GOBI) review of EBSAs and marine migratory species undertaken to determine how marine migratory species have factored in the description of EBSAs and, through the use of preliminary case studies on cetaceans, seabirds and marine turtles, to explore the potential for the scientific data and information describing EBSAs to contribute to the conservation of migratory species in marine areas within and beyond the limits of national jurisdiction, particularly with respect to ecological networks and connectivity,</w:t>
      </w:r>
    </w:p>
    <w:p w:rsidR="00303E2B" w:rsidRPr="00303E2B" w:rsidRDefault="00303E2B" w:rsidP="00303E2B">
      <w:pPr>
        <w:spacing w:after="0" w:line="240" w:lineRule="auto"/>
        <w:jc w:val="both"/>
        <w:rPr>
          <w:rFonts w:eastAsia="MS Mincho" w:cs="Arial"/>
          <w:i/>
          <w:lang w:val="en-US" w:eastAsia="ja-JP"/>
        </w:rPr>
      </w:pPr>
    </w:p>
    <w:p w:rsidR="00303E2B" w:rsidRPr="00303E2B" w:rsidRDefault="00303E2B" w:rsidP="00303E2B">
      <w:pPr>
        <w:spacing w:after="0" w:line="240" w:lineRule="auto"/>
        <w:jc w:val="both"/>
        <w:rPr>
          <w:rFonts w:eastAsia="MS Mincho" w:cs="Arial"/>
          <w:lang w:val="en-US" w:eastAsia="ja-JP"/>
        </w:rPr>
      </w:pPr>
      <w:r w:rsidRPr="00303E2B">
        <w:rPr>
          <w:rFonts w:eastAsia="MS Mincho" w:cs="Arial"/>
          <w:i/>
          <w:lang w:val="en-US" w:eastAsia="ja-JP"/>
        </w:rPr>
        <w:t>Welcoming</w:t>
      </w:r>
      <w:r w:rsidRPr="00303E2B">
        <w:rPr>
          <w:rFonts w:eastAsia="MS Mincho" w:cs="Arial"/>
          <w:lang w:val="en-US" w:eastAsia="ja-JP"/>
        </w:rPr>
        <w:t xml:space="preserve"> </w:t>
      </w:r>
      <w:r w:rsidRPr="00303E2B">
        <w:rPr>
          <w:rFonts w:eastAsia="MS Mincho" w:cs="Arial"/>
          <w:bCs/>
          <w:lang w:val="en-US" w:eastAsia="ja-JP"/>
        </w:rPr>
        <w:t>global databases</w:t>
      </w:r>
      <w:r w:rsidRPr="00303E2B">
        <w:rPr>
          <w:rFonts w:eastAsia="MS Mincho" w:cs="Arial"/>
          <w:lang w:val="en-US" w:eastAsia="ja-JP"/>
        </w:rPr>
        <w:t xml:space="preserve"> such as </w:t>
      </w:r>
      <w:proofErr w:type="spellStart"/>
      <w:r w:rsidRPr="00303E2B">
        <w:rPr>
          <w:rFonts w:eastAsia="MS Mincho" w:cs="Arial"/>
          <w:lang w:val="en-US" w:eastAsia="ja-JP"/>
        </w:rPr>
        <w:t>MoveBank</w:t>
      </w:r>
      <w:proofErr w:type="spellEnd"/>
      <w:r w:rsidRPr="00303E2B">
        <w:rPr>
          <w:rFonts w:eastAsia="MS Mincho" w:cs="Arial"/>
          <w:lang w:val="en-US" w:eastAsia="ja-JP"/>
        </w:rPr>
        <w:t xml:space="preserve"> which</w:t>
      </w:r>
      <w:r w:rsidRPr="00303E2B">
        <w:rPr>
          <w:rFonts w:eastAsia="MS Mincho" w:cs="Arial"/>
          <w:bCs/>
          <w:lang w:val="en-US" w:eastAsia="ja-JP"/>
        </w:rPr>
        <w:t xml:space="preserve"> make tracking data available to conservation planners and to the public</w:t>
      </w:r>
      <w:r w:rsidRPr="00303E2B">
        <w:rPr>
          <w:rFonts w:eastAsia="MS Mincho" w:cs="Arial"/>
          <w:lang w:val="en-US" w:eastAsia="ja-JP"/>
        </w:rPr>
        <w:t>, and which are likely to assist in the identification of critical conservation sites, and</w:t>
      </w:r>
    </w:p>
    <w:p w:rsidR="00303E2B" w:rsidRPr="00303E2B" w:rsidRDefault="00303E2B" w:rsidP="00303E2B">
      <w:pPr>
        <w:spacing w:after="0" w:line="240" w:lineRule="auto"/>
        <w:jc w:val="both"/>
        <w:rPr>
          <w:rFonts w:eastAsia="MS Mincho" w:cs="Arial"/>
          <w:lang w:val="en-US"/>
        </w:rPr>
      </w:pPr>
    </w:p>
    <w:p w:rsidR="00303E2B" w:rsidRPr="00303E2B" w:rsidRDefault="00303E2B" w:rsidP="00303E2B">
      <w:pPr>
        <w:spacing w:after="0" w:line="240" w:lineRule="auto"/>
        <w:jc w:val="both"/>
        <w:rPr>
          <w:rFonts w:eastAsia="MS Mincho" w:cs="Arial"/>
          <w:lang w:val="en-US"/>
        </w:rPr>
      </w:pPr>
      <w:r w:rsidRPr="00303E2B">
        <w:rPr>
          <w:rFonts w:eastAsia="MS Mincho" w:cs="Arial"/>
          <w:i/>
          <w:iCs/>
          <w:lang w:val="en-US"/>
        </w:rPr>
        <w:t xml:space="preserve">Acknowledging </w:t>
      </w:r>
      <w:r w:rsidRPr="00303E2B">
        <w:rPr>
          <w:rFonts w:eastAsia="MS Mincho" w:cs="Arial"/>
          <w:lang w:val="en-US"/>
        </w:rPr>
        <w:t xml:space="preserve">that the ability to increasingly track animals globally will greatly enhance the knowledge base for informed conservation decision making, for example through global tracking initiatives such as ICARUS (International Cooperation for Animal Research Using Space), planned to be implemented on the International Space Station by the German and Russian Aerospace </w:t>
      </w:r>
      <w:proofErr w:type="spellStart"/>
      <w:r w:rsidRPr="00303E2B">
        <w:rPr>
          <w:rFonts w:eastAsia="MS Mincho" w:cs="Arial"/>
          <w:lang w:val="en-US"/>
        </w:rPr>
        <w:t>Centres</w:t>
      </w:r>
      <w:proofErr w:type="spellEnd"/>
      <w:r w:rsidRPr="00303E2B">
        <w:rPr>
          <w:rFonts w:eastAsia="MS Mincho" w:cs="Arial"/>
          <w:lang w:val="en-US"/>
        </w:rPr>
        <w:t xml:space="preserve"> (DLR and </w:t>
      </w:r>
      <w:proofErr w:type="spellStart"/>
      <w:r w:rsidRPr="00303E2B">
        <w:rPr>
          <w:rFonts w:eastAsia="MS Mincho" w:cs="Arial"/>
          <w:lang w:val="en-US"/>
        </w:rPr>
        <w:t>Roscosmos</w:t>
      </w:r>
      <w:proofErr w:type="spellEnd"/>
      <w:r w:rsidRPr="00303E2B">
        <w:rPr>
          <w:rFonts w:eastAsia="MS Mincho" w:cs="Arial"/>
          <w:lang w:val="en-US"/>
        </w:rPr>
        <w:t>) in 2017,</w:t>
      </w:r>
    </w:p>
    <w:p w:rsidR="009057EB" w:rsidRDefault="009057EB" w:rsidP="00303E2B">
      <w:pPr>
        <w:widowControl w:val="0"/>
        <w:autoSpaceDE w:val="0"/>
        <w:autoSpaceDN w:val="0"/>
        <w:adjustRightInd w:val="0"/>
        <w:spacing w:after="0" w:line="240" w:lineRule="auto"/>
        <w:jc w:val="center"/>
        <w:rPr>
          <w:rFonts w:eastAsia="MS Mincho" w:cs="Arial"/>
          <w:i/>
          <w:iCs/>
          <w:color w:val="000000"/>
          <w:lang w:val="en-US"/>
        </w:rPr>
      </w:pPr>
      <w:r>
        <w:rPr>
          <w:rFonts w:eastAsia="MS Mincho" w:cs="Arial"/>
          <w:i/>
          <w:iCs/>
          <w:color w:val="000000"/>
          <w:lang w:val="en-US"/>
        </w:rPr>
        <w:br w:type="page"/>
      </w:r>
    </w:p>
    <w:p w:rsidR="00303E2B" w:rsidRPr="00303E2B" w:rsidRDefault="00303E2B" w:rsidP="00303E2B">
      <w:pPr>
        <w:widowControl w:val="0"/>
        <w:autoSpaceDE w:val="0"/>
        <w:autoSpaceDN w:val="0"/>
        <w:adjustRightInd w:val="0"/>
        <w:spacing w:after="0" w:line="240" w:lineRule="auto"/>
        <w:jc w:val="center"/>
        <w:rPr>
          <w:rFonts w:eastAsia="MS Mincho" w:cs="Arial"/>
          <w:i/>
          <w:iCs/>
          <w:color w:val="000000"/>
          <w:lang w:val="en-US"/>
        </w:rPr>
      </w:pPr>
    </w:p>
    <w:p w:rsidR="00303E2B" w:rsidRPr="00303E2B" w:rsidRDefault="00303E2B" w:rsidP="00303E2B">
      <w:pPr>
        <w:widowControl w:val="0"/>
        <w:autoSpaceDE w:val="0"/>
        <w:autoSpaceDN w:val="0"/>
        <w:adjustRightInd w:val="0"/>
        <w:spacing w:after="0" w:line="240" w:lineRule="auto"/>
        <w:jc w:val="center"/>
        <w:rPr>
          <w:rFonts w:eastAsia="MS Mincho" w:cs="Arial"/>
          <w:color w:val="000000"/>
          <w:lang w:val="en-US"/>
        </w:rPr>
      </w:pPr>
      <w:r w:rsidRPr="00303E2B">
        <w:rPr>
          <w:rFonts w:eastAsia="MS Mincho" w:cs="Arial"/>
          <w:i/>
          <w:iCs/>
          <w:color w:val="000000"/>
          <w:lang w:val="en-US"/>
        </w:rPr>
        <w:t>The Conference of the Parties to the</w:t>
      </w:r>
    </w:p>
    <w:p w:rsidR="00303E2B" w:rsidRPr="00303E2B" w:rsidRDefault="00303E2B" w:rsidP="00303E2B">
      <w:pPr>
        <w:spacing w:after="0" w:line="240" w:lineRule="auto"/>
        <w:jc w:val="center"/>
        <w:rPr>
          <w:rFonts w:eastAsia="MS Mincho" w:cs="Arial"/>
          <w:lang w:val="en-US"/>
        </w:rPr>
      </w:pPr>
      <w:r w:rsidRPr="00303E2B">
        <w:rPr>
          <w:rFonts w:eastAsia="MS Mincho" w:cs="Arial"/>
          <w:i/>
          <w:iCs/>
          <w:lang w:val="en-US"/>
        </w:rPr>
        <w:t>Convention on the Conservation of Migratory Species of Wild Animals</w:t>
      </w:r>
    </w:p>
    <w:p w:rsidR="00303E2B" w:rsidRPr="00303E2B" w:rsidRDefault="00303E2B" w:rsidP="00303E2B">
      <w:pPr>
        <w:widowControl w:val="0"/>
        <w:autoSpaceDE w:val="0"/>
        <w:autoSpaceDN w:val="0"/>
        <w:adjustRightInd w:val="0"/>
        <w:spacing w:after="0" w:line="240" w:lineRule="auto"/>
        <w:jc w:val="both"/>
        <w:rPr>
          <w:rFonts w:eastAsia="MS Mincho" w:cs="Arial"/>
          <w:color w:val="000000"/>
        </w:rPr>
      </w:pPr>
    </w:p>
    <w:p w:rsidR="00303E2B" w:rsidRPr="00303E2B" w:rsidRDefault="00303E2B" w:rsidP="009057EB">
      <w:pPr>
        <w:widowControl w:val="0"/>
        <w:numPr>
          <w:ilvl w:val="0"/>
          <w:numId w:val="10"/>
        </w:numPr>
        <w:autoSpaceDE w:val="0"/>
        <w:autoSpaceDN w:val="0"/>
        <w:adjustRightInd w:val="0"/>
        <w:spacing w:after="0" w:line="240" w:lineRule="auto"/>
        <w:ind w:left="539" w:hanging="539"/>
        <w:jc w:val="both"/>
        <w:rPr>
          <w:rFonts w:eastAsia="MS Mincho" w:cs="Arial"/>
          <w:iCs/>
          <w:color w:val="000000"/>
        </w:rPr>
      </w:pPr>
      <w:r w:rsidRPr="00303E2B">
        <w:rPr>
          <w:rFonts w:eastAsia="MS Mincho" w:cs="Arial"/>
          <w:i/>
          <w:color w:val="000000"/>
        </w:rPr>
        <w:t>Calls on</w:t>
      </w:r>
      <w:r w:rsidRPr="00303E2B">
        <w:rPr>
          <w:rFonts w:eastAsia="MS Mincho" w:cs="Arial"/>
          <w:color w:val="000000"/>
        </w:rPr>
        <w:t xml:space="preserve"> Parties and Signatories of CMS Memoranda of Understanding</w:t>
      </w:r>
      <w:r w:rsidRPr="00303E2B">
        <w:rPr>
          <w:rFonts w:eastAsia="MS Mincho" w:cs="Arial"/>
          <w:iCs/>
          <w:color w:val="000000"/>
        </w:rPr>
        <w:t xml:space="preserve"> to consider the network approach in the implementation of existing CMS instruments and initiatives;</w:t>
      </w:r>
    </w:p>
    <w:p w:rsidR="00303E2B" w:rsidRPr="00303E2B" w:rsidRDefault="00303E2B" w:rsidP="009057EB">
      <w:pPr>
        <w:widowControl w:val="0"/>
        <w:autoSpaceDE w:val="0"/>
        <w:autoSpaceDN w:val="0"/>
        <w:adjustRightInd w:val="0"/>
        <w:spacing w:after="0" w:line="240" w:lineRule="auto"/>
        <w:ind w:left="539" w:hanging="539"/>
        <w:jc w:val="both"/>
        <w:rPr>
          <w:rFonts w:eastAsia="MS Mincho" w:cs="Arial"/>
          <w:color w:val="000000"/>
          <w:lang w:val="en-US"/>
        </w:rPr>
      </w:pPr>
    </w:p>
    <w:p w:rsidR="00303E2B" w:rsidRPr="00303E2B" w:rsidRDefault="00303E2B" w:rsidP="009057EB">
      <w:pPr>
        <w:widowControl w:val="0"/>
        <w:numPr>
          <w:ilvl w:val="0"/>
          <w:numId w:val="10"/>
        </w:numPr>
        <w:autoSpaceDE w:val="0"/>
        <w:autoSpaceDN w:val="0"/>
        <w:adjustRightInd w:val="0"/>
        <w:spacing w:after="0" w:line="240" w:lineRule="auto"/>
        <w:ind w:left="539" w:hanging="539"/>
        <w:jc w:val="both"/>
        <w:rPr>
          <w:rFonts w:eastAsia="MS Mincho" w:cs="Arial"/>
          <w:color w:val="000000"/>
          <w:lang w:val="en-US"/>
        </w:rPr>
      </w:pPr>
      <w:r w:rsidRPr="00303E2B">
        <w:rPr>
          <w:rFonts w:eastAsia="MS Mincho" w:cs="Arial"/>
          <w:i/>
          <w:iCs/>
          <w:color w:val="000000"/>
          <w:lang w:val="en-US"/>
        </w:rPr>
        <w:t xml:space="preserve">Takes note </w:t>
      </w:r>
      <w:r w:rsidRPr="00303E2B">
        <w:rPr>
          <w:rFonts w:eastAsia="MS Mincho" w:cs="Arial"/>
          <w:color w:val="000000"/>
          <w:lang w:val="en-US"/>
        </w:rPr>
        <w:t xml:space="preserve">of the </w:t>
      </w:r>
      <w:r w:rsidRPr="00303E2B">
        <w:rPr>
          <w:rFonts w:eastAsia="MS Mincho" w:cs="Arial"/>
          <w:color w:val="000000"/>
        </w:rPr>
        <w:t>compilation</w:t>
      </w:r>
      <w:r w:rsidRPr="00303E2B">
        <w:rPr>
          <w:rFonts w:eastAsia="MS Mincho" w:cs="Arial"/>
          <w:color w:val="000000"/>
          <w:lang w:val="en-US"/>
        </w:rPr>
        <w:t xml:space="preserve"> of case studies on ecological networks (UNEP/CMS/COP11/Inf.22); </w:t>
      </w:r>
    </w:p>
    <w:p w:rsidR="00303E2B" w:rsidRPr="00303E2B" w:rsidRDefault="00303E2B" w:rsidP="009057EB">
      <w:pPr>
        <w:widowControl w:val="0"/>
        <w:autoSpaceDE w:val="0"/>
        <w:autoSpaceDN w:val="0"/>
        <w:adjustRightInd w:val="0"/>
        <w:spacing w:after="0" w:line="240" w:lineRule="auto"/>
        <w:ind w:left="539" w:hanging="539"/>
        <w:jc w:val="both"/>
        <w:rPr>
          <w:rFonts w:eastAsia="MS Mincho" w:cs="Arial"/>
          <w:color w:val="000000"/>
          <w:lang w:val="en-US"/>
        </w:rPr>
      </w:pPr>
    </w:p>
    <w:p w:rsidR="00303E2B" w:rsidRPr="00303E2B" w:rsidRDefault="00303E2B" w:rsidP="009057EB">
      <w:pPr>
        <w:widowControl w:val="0"/>
        <w:numPr>
          <w:ilvl w:val="0"/>
          <w:numId w:val="10"/>
        </w:numPr>
        <w:autoSpaceDE w:val="0"/>
        <w:autoSpaceDN w:val="0"/>
        <w:adjustRightInd w:val="0"/>
        <w:spacing w:after="0" w:line="240" w:lineRule="auto"/>
        <w:ind w:left="539" w:hanging="539"/>
        <w:jc w:val="both"/>
        <w:rPr>
          <w:rFonts w:eastAsia="MS Mincho" w:cs="Arial"/>
          <w:color w:val="000000"/>
          <w:lang w:val="en-US"/>
        </w:rPr>
      </w:pPr>
      <w:r w:rsidRPr="00303E2B">
        <w:rPr>
          <w:rFonts w:eastAsia="MS Mincho" w:cs="Arial"/>
          <w:i/>
          <w:iCs/>
          <w:color w:val="000000"/>
          <w:lang w:val="en-US"/>
        </w:rPr>
        <w:t xml:space="preserve">Endorses </w:t>
      </w:r>
      <w:r w:rsidRPr="00303E2B">
        <w:rPr>
          <w:rFonts w:eastAsia="MS Mincho" w:cs="Arial"/>
          <w:color w:val="000000"/>
          <w:lang w:val="en-US"/>
        </w:rPr>
        <w:t xml:space="preserve">the recommendations </w:t>
      </w:r>
      <w:r w:rsidRPr="00303E2B">
        <w:rPr>
          <w:rFonts w:eastAsia="MS Mincho" w:cs="Arial"/>
          <w:color w:val="000000"/>
        </w:rPr>
        <w:t>made</w:t>
      </w:r>
      <w:r w:rsidRPr="00303E2B">
        <w:rPr>
          <w:rFonts w:eastAsia="MS Mincho" w:cs="Arial"/>
          <w:color w:val="000000"/>
          <w:lang w:val="en-US"/>
        </w:rPr>
        <w:t xml:space="preserve"> in the strategic review on ecological networks (UNEP/CMS/COP11/Doc.23.4.1.2), included in the Annex to this Resolution; </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lang w:val="en-US"/>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lang w:val="en-US"/>
        </w:rPr>
      </w:pPr>
      <w:r w:rsidRPr="00303E2B">
        <w:rPr>
          <w:rFonts w:eastAsia="MS Mincho" w:cs="Arial"/>
          <w:i/>
          <w:color w:val="000000"/>
        </w:rPr>
        <w:t>Encourages</w:t>
      </w:r>
      <w:r w:rsidRPr="00303E2B">
        <w:rPr>
          <w:rFonts w:eastAsia="MS Mincho" w:cs="Arial"/>
          <w:color w:val="000000"/>
        </w:rPr>
        <w:t xml:space="preserve"> Parties and other Range States, when identifying areas of importance to migratory terrestrial, avian and aquatic species, to take into account and make explicit by description, schematic maps or conceptual models the relationship between those areas and other areas which may be ecologically linked to them, in physical terms, for example as connecting corridors, or in other ecological terms, for example as breeding areas related to non-breeding areas, stopover sites, feeding and resting places;</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lang w:val="en-US"/>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lang w:val="en-US"/>
        </w:rPr>
      </w:pPr>
      <w:r w:rsidRPr="00303E2B">
        <w:rPr>
          <w:rFonts w:eastAsia="MS Mincho" w:cs="Arial"/>
          <w:i/>
          <w:color w:val="000000"/>
          <w:lang w:val="en-US"/>
        </w:rPr>
        <w:t>Invites</w:t>
      </w:r>
      <w:r w:rsidRPr="00303E2B">
        <w:rPr>
          <w:rFonts w:eastAsia="MS Mincho" w:cs="Arial"/>
          <w:color w:val="000000"/>
        </w:rPr>
        <w:t xml:space="preserve"> Parties </w:t>
      </w:r>
      <w:r w:rsidRPr="00303E2B">
        <w:rPr>
          <w:rFonts w:eastAsia="MS Mincho" w:cs="Arial"/>
          <w:color w:val="000000"/>
          <w:lang w:val="en-US" w:eastAsia="ja-JP"/>
        </w:rPr>
        <w:t>and other Range States and relevant organizations to collaborate to identify, designate</w:t>
      </w:r>
      <w:r w:rsidRPr="00303E2B">
        <w:rPr>
          <w:rFonts w:eastAsia="MS Mincho" w:cs="Arial"/>
          <w:color w:val="000000"/>
        </w:rPr>
        <w:t xml:space="preserve"> and maintain comprehensive and coherent ecological networks of protected sites and other adequately manage</w:t>
      </w:r>
      <w:r w:rsidRPr="00303E2B">
        <w:rPr>
          <w:rFonts w:eastAsia="MS Mincho" w:cs="Arial"/>
          <w:color w:val="000000"/>
          <w:lang w:val="en-US"/>
        </w:rPr>
        <w:t>d</w:t>
      </w:r>
      <w:r w:rsidRPr="00303E2B">
        <w:rPr>
          <w:rFonts w:eastAsia="MS Mincho" w:cs="Arial"/>
          <w:color w:val="000000"/>
        </w:rPr>
        <w:t xml:space="preserve"> sites of international and </w:t>
      </w:r>
      <w:r w:rsidRPr="00303E2B">
        <w:rPr>
          <w:rFonts w:eastAsia="MS Mincho" w:cs="Arial"/>
          <w:iCs/>
          <w:color w:val="000000"/>
        </w:rPr>
        <w:t>national</w:t>
      </w:r>
      <w:r w:rsidRPr="00303E2B">
        <w:rPr>
          <w:rFonts w:eastAsia="MS Mincho" w:cs="Arial"/>
          <w:color w:val="000000"/>
        </w:rPr>
        <w:t xml:space="preserve"> importance for migratory animals while </w:t>
      </w:r>
      <w:proofErr w:type="gramStart"/>
      <w:r w:rsidRPr="00303E2B">
        <w:rPr>
          <w:rFonts w:eastAsia="MS Mincho" w:cs="Arial"/>
          <w:color w:val="000000"/>
        </w:rPr>
        <w:t>taking into account</w:t>
      </w:r>
      <w:proofErr w:type="gramEnd"/>
      <w:r w:rsidRPr="00303E2B">
        <w:rPr>
          <w:rFonts w:eastAsia="MS Mincho" w:cs="Arial"/>
          <w:color w:val="000000"/>
        </w:rPr>
        <w:t xml:space="preserve"> </w:t>
      </w:r>
      <w:r w:rsidRPr="00303E2B">
        <w:rPr>
          <w:rFonts w:eastAsia="MS Mincho" w:cs="Arial"/>
          <w:color w:val="000000"/>
          <w:lang w:val="en-US" w:eastAsia="ja-JP"/>
        </w:rPr>
        <w:t>resilience to change, including</w:t>
      </w:r>
      <w:r w:rsidRPr="00303E2B">
        <w:rPr>
          <w:rFonts w:eastAsia="MS Mincho" w:cs="Arial"/>
          <w:color w:val="000000"/>
        </w:rPr>
        <w:t xml:space="preserve"> climate change, and existing ecological networks;</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lang w:val="en-US"/>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lang w:val="en-US"/>
        </w:rPr>
      </w:pPr>
      <w:r w:rsidRPr="00303E2B">
        <w:rPr>
          <w:rFonts w:eastAsia="MS Mincho" w:cs="Arial"/>
          <w:i/>
          <w:color w:val="000000"/>
        </w:rPr>
        <w:t xml:space="preserve">Urges </w:t>
      </w:r>
      <w:r w:rsidRPr="00303E2B">
        <w:rPr>
          <w:rFonts w:eastAsia="MS Mincho" w:cs="Arial"/>
          <w:color w:val="000000"/>
        </w:rPr>
        <w:t>Parties and other Range States and partners to make full use of all existing complementary tools and mechanisms for the identification and designation of critical sites and site networks for migratory species and populations, including through further designation of Wetlands of International Importance (Ramsar Sites) for migratory waterbirds and other migratory wetland-dependent taxa;</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lang w:val="en-US"/>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lang w:val="en-US"/>
        </w:rPr>
      </w:pPr>
      <w:r w:rsidRPr="00303E2B">
        <w:rPr>
          <w:rFonts w:eastAsia="MS Mincho" w:cs="Arial"/>
          <w:i/>
          <w:color w:val="000000"/>
          <w:lang w:val="en-US"/>
        </w:rPr>
        <w:t>Highlights</w:t>
      </w:r>
      <w:r w:rsidRPr="00303E2B" w:rsidDel="00874B48">
        <w:rPr>
          <w:rFonts w:eastAsia="MS Mincho" w:cs="Arial"/>
          <w:color w:val="000000"/>
          <w:lang w:val="en-US"/>
        </w:rPr>
        <w:t xml:space="preserve"> </w:t>
      </w:r>
      <w:r w:rsidRPr="00303E2B">
        <w:rPr>
          <w:rFonts w:eastAsia="MS Mincho" w:cs="Arial"/>
          <w:color w:val="000000"/>
          <w:lang w:val="en-US"/>
        </w:rPr>
        <w:t xml:space="preserve">the added value of developing ecological networks under CMS where no other network instruments are available, as for example with the West Central Asian Flyway Site Network and the East Asian-Australasian Flyway Site Network, and </w:t>
      </w:r>
      <w:r w:rsidRPr="00303E2B">
        <w:rPr>
          <w:rFonts w:eastAsia="MS Mincho" w:cs="Arial"/>
          <w:i/>
          <w:color w:val="000000"/>
          <w:lang w:val="en-US"/>
        </w:rPr>
        <w:t>urges</w:t>
      </w:r>
      <w:r w:rsidRPr="00303E2B">
        <w:rPr>
          <w:rFonts w:eastAsia="MS Mincho" w:cs="Arial"/>
          <w:color w:val="000000"/>
          <w:lang w:val="en-US"/>
        </w:rPr>
        <w:t xml:space="preserve"> Parties and </w:t>
      </w:r>
      <w:r w:rsidRPr="00303E2B">
        <w:rPr>
          <w:rFonts w:eastAsia="MS Mincho" w:cs="Arial"/>
          <w:i/>
          <w:color w:val="000000"/>
          <w:lang w:val="en-US"/>
        </w:rPr>
        <w:t>invites</w:t>
      </w:r>
      <w:r w:rsidRPr="00303E2B">
        <w:rPr>
          <w:rFonts w:eastAsia="MS Mincho" w:cs="Arial"/>
          <w:color w:val="000000"/>
          <w:lang w:val="en-US"/>
        </w:rPr>
        <w:t xml:space="preserve"> Range States to strengthen management of existing network sites and their further development through designation and management of additional sites;</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lang w:val="en-US"/>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lang w:val="en-US"/>
        </w:rPr>
      </w:pPr>
      <w:r w:rsidRPr="00303E2B">
        <w:rPr>
          <w:rFonts w:eastAsia="MS Mincho" w:cs="Arial"/>
          <w:i/>
          <w:color w:val="000000"/>
        </w:rPr>
        <w:t>Further encourages</w:t>
      </w:r>
      <w:r w:rsidRPr="00303E2B">
        <w:rPr>
          <w:rFonts w:eastAsia="MS Mincho" w:cs="Arial"/>
          <w:color w:val="000000"/>
        </w:rPr>
        <w:t xml:space="preserve"> Parties and relevant organizations, when implementing systems of protected areas, and other relevant site- and area-based conservation measures, to:</w:t>
      </w:r>
    </w:p>
    <w:p w:rsidR="00303E2B" w:rsidRPr="00303E2B" w:rsidRDefault="00303E2B" w:rsidP="00303E2B">
      <w:pPr>
        <w:spacing w:after="0" w:line="240" w:lineRule="auto"/>
        <w:ind w:left="540" w:hanging="540"/>
        <w:jc w:val="both"/>
        <w:rPr>
          <w:rFonts w:eastAsia="MS Mincho" w:cs="Arial"/>
        </w:rPr>
      </w:pPr>
    </w:p>
    <w:p w:rsidR="00303E2B" w:rsidRPr="00303E2B" w:rsidRDefault="00303E2B" w:rsidP="00303E2B">
      <w:pPr>
        <w:spacing w:after="120" w:line="240" w:lineRule="auto"/>
        <w:ind w:left="993" w:hanging="446"/>
        <w:jc w:val="both"/>
        <w:rPr>
          <w:rFonts w:eastAsia="Times New Roman" w:cs="Arial"/>
        </w:rPr>
      </w:pPr>
      <w:r w:rsidRPr="00303E2B">
        <w:rPr>
          <w:rFonts w:eastAsia="Times New Roman" w:cs="Arial"/>
        </w:rPr>
        <w:t>a)</w:t>
      </w:r>
      <w:r w:rsidRPr="00303E2B">
        <w:rPr>
          <w:rFonts w:eastAsia="Times New Roman" w:cs="Arial"/>
        </w:rPr>
        <w:tab/>
        <w:t>select areas in such a way as to address the needs of migratory species as far as possible throughout their life cycles and migratory ranges;</w:t>
      </w:r>
    </w:p>
    <w:p w:rsidR="00303E2B" w:rsidRPr="00303E2B" w:rsidRDefault="00303E2B" w:rsidP="00303E2B">
      <w:pPr>
        <w:spacing w:after="120" w:line="240" w:lineRule="auto"/>
        <w:ind w:left="993" w:hanging="446"/>
        <w:jc w:val="both"/>
        <w:rPr>
          <w:rFonts w:eastAsia="Times New Roman" w:cs="Arial"/>
        </w:rPr>
      </w:pPr>
      <w:r w:rsidRPr="00303E2B">
        <w:rPr>
          <w:rFonts w:eastAsia="Times New Roman" w:cs="Arial"/>
        </w:rPr>
        <w:t>b)</w:t>
      </w:r>
      <w:r w:rsidRPr="00303E2B">
        <w:rPr>
          <w:rFonts w:eastAsia="Times New Roman" w:cs="Arial"/>
        </w:rPr>
        <w:tab/>
        <w:t>set network-scale objectives for the conservation of these species within such systems, including by restoration of fragmented and degraded habitats and removal of barriers to migration; and</w:t>
      </w:r>
    </w:p>
    <w:p w:rsidR="00303E2B" w:rsidRPr="00303E2B" w:rsidRDefault="00303E2B" w:rsidP="00303E2B">
      <w:pPr>
        <w:spacing w:after="120" w:line="240" w:lineRule="auto"/>
        <w:ind w:left="993" w:hanging="446"/>
        <w:jc w:val="both"/>
        <w:rPr>
          <w:rFonts w:eastAsia="Times New Roman" w:cs="Arial"/>
          <w:lang w:val="en-US"/>
        </w:rPr>
      </w:pPr>
      <w:r w:rsidRPr="00303E2B">
        <w:rPr>
          <w:rFonts w:eastAsia="Times New Roman" w:cs="Arial"/>
        </w:rPr>
        <w:t>c)</w:t>
      </w:r>
      <w:r w:rsidRPr="00303E2B">
        <w:rPr>
          <w:rFonts w:eastAsia="Times New Roman" w:cs="Arial"/>
        </w:rPr>
        <w:tab/>
        <w:t>cooperate internationally for the achievement of such objectives;</w:t>
      </w:r>
    </w:p>
    <w:p w:rsidR="00303E2B" w:rsidRPr="00303E2B" w:rsidRDefault="00303E2B" w:rsidP="00303E2B">
      <w:pPr>
        <w:spacing w:after="0" w:line="240" w:lineRule="auto"/>
        <w:ind w:left="540" w:hanging="540"/>
        <w:jc w:val="both"/>
        <w:rPr>
          <w:rFonts w:eastAsia="MS Mincho" w:cs="Arial"/>
          <w:iCs/>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iCs/>
          <w:color w:val="000000"/>
        </w:rPr>
        <w:t>Invites</w:t>
      </w:r>
      <w:r w:rsidRPr="00303E2B">
        <w:rPr>
          <w:rFonts w:eastAsia="MS Mincho" w:cs="Arial"/>
          <w:color w:val="000000"/>
        </w:rPr>
        <w:t xml:space="preserve"> Parties, in collaboration with other Multilateral Environment Agreements (MEAs), NGOs and other stakeholders, as appropriate, to enhance the quality, </w:t>
      </w:r>
      <w:r w:rsidRPr="00303E2B">
        <w:rPr>
          <w:rFonts w:eastAsia="MS Mincho" w:cs="Arial"/>
          <w:color w:val="000000"/>
          <w:lang w:val="en-US"/>
        </w:rPr>
        <w:t xml:space="preserve">monitoring, management, </w:t>
      </w:r>
      <w:r w:rsidRPr="00303E2B">
        <w:rPr>
          <w:rFonts w:eastAsia="MS Mincho" w:cs="Arial"/>
          <w:color w:val="000000"/>
        </w:rPr>
        <w:t>extent, distribution and connectivity of terrestrial and aquatic protected areas, including marine</w:t>
      </w:r>
      <w:r w:rsidRPr="00303E2B" w:rsidDel="00057490">
        <w:rPr>
          <w:rFonts w:eastAsia="MS Mincho" w:cs="Arial"/>
          <w:color w:val="000000"/>
        </w:rPr>
        <w:t xml:space="preserve"> </w:t>
      </w:r>
      <w:r w:rsidRPr="00303E2B">
        <w:rPr>
          <w:rFonts w:eastAsia="MS Mincho" w:cs="Arial"/>
          <w:color w:val="000000"/>
        </w:rPr>
        <w:t>areas,</w:t>
      </w:r>
      <w:r w:rsidRPr="00303E2B">
        <w:rPr>
          <w:rFonts w:eastAsia="MS Mincho" w:cs="Arial"/>
          <w:color w:val="000000"/>
          <w:lang w:val="en-US"/>
        </w:rPr>
        <w:t xml:space="preserve"> in accordance with international law including UNCLOS, </w:t>
      </w:r>
      <w:r w:rsidRPr="00303E2B">
        <w:rPr>
          <w:rFonts w:eastAsia="MS Mincho" w:cs="Arial"/>
          <w:color w:val="000000"/>
        </w:rPr>
        <w:t>so as to address as effectively as possible the needs of migratory species throughout their life cycles and migratory ranges, including their need for habitat areas that offer resilience to change, including climate change, taking into account the wider landscape and seascape;</w:t>
      </w:r>
    </w:p>
    <w:p w:rsid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9057EB" w:rsidRPr="00303E2B" w:rsidRDefault="009057E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iCs/>
          <w:color w:val="000000"/>
        </w:rPr>
        <w:t>Further invites</w:t>
      </w:r>
      <w:r w:rsidRPr="00303E2B">
        <w:rPr>
          <w:rFonts w:eastAsia="MS Mincho" w:cs="Arial"/>
          <w:iCs/>
          <w:color w:val="000000"/>
        </w:rPr>
        <w:t xml:space="preserve"> Parties</w:t>
      </w:r>
      <w:r w:rsidRPr="00303E2B">
        <w:rPr>
          <w:rFonts w:eastAsia="MS Mincho" w:cs="Arial"/>
          <w:color w:val="000000"/>
        </w:rPr>
        <w:t xml:space="preserve"> and other States as well as relevant international fora, as appropriate, to explore the applicability of ecological networks to marine migratory species, especially those that are under pressure from human activities such as over exploitation, oil and gas exploration/exploitation, fisheries and coastal development;</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i/>
          <w:color w:val="000000"/>
          <w:u w:val="single"/>
          <w:lang w:val="en-US"/>
        </w:rPr>
      </w:pPr>
      <w:r w:rsidRPr="00303E2B">
        <w:rPr>
          <w:rFonts w:eastAsia="MS Mincho" w:cs="Arial"/>
          <w:i/>
          <w:iCs/>
          <w:color w:val="000000"/>
          <w:lang w:val="en-US"/>
        </w:rPr>
        <w:t xml:space="preserve">Calls upon </w:t>
      </w:r>
      <w:r w:rsidRPr="00303E2B">
        <w:rPr>
          <w:rFonts w:eastAsia="MS Mincho" w:cs="Arial"/>
          <w:color w:val="000000"/>
          <w:lang w:val="en-US"/>
        </w:rPr>
        <w:t xml:space="preserve">Parties, </w:t>
      </w:r>
      <w:bookmarkStart w:id="9" w:name="_Hlk19266416"/>
      <w:r w:rsidRPr="00303E2B">
        <w:rPr>
          <w:rFonts w:eastAsia="MS Mincho" w:cs="Arial"/>
          <w:color w:val="000000"/>
          <w:u w:val="single"/>
          <w:lang w:val="en-US"/>
        </w:rPr>
        <w:t>as appropriate</w:t>
      </w:r>
      <w:bookmarkEnd w:id="9"/>
      <w:r w:rsidRPr="00303E2B">
        <w:rPr>
          <w:rFonts w:eastAsia="MS Mincho" w:cs="Arial"/>
          <w:color w:val="000000"/>
          <w:u w:val="single"/>
          <w:lang w:val="en-US"/>
        </w:rPr>
        <w:t>,</w:t>
      </w:r>
      <w:r w:rsidRPr="00303E2B">
        <w:rPr>
          <w:rFonts w:eastAsia="MS Mincho" w:cs="Arial"/>
          <w:color w:val="000000"/>
          <w:lang w:val="en-US"/>
        </w:rPr>
        <w:t xml:space="preserve"> to </w:t>
      </w:r>
      <w:r w:rsidRPr="00303E2B">
        <w:rPr>
          <w:rFonts w:eastAsia="MS Mincho" w:cs="Arial"/>
          <w:strike/>
          <w:color w:val="000000"/>
          <w:lang w:val="en-US"/>
        </w:rPr>
        <w:t>develop transboundary area-based conservation measures including protected and other area systems, when implementing the CMS ecological network mandate and to strengthen and build upon existing initiatives, including the KAZA TFCA</w:t>
      </w:r>
      <w:r w:rsidRPr="00303E2B">
        <w:rPr>
          <w:rFonts w:eastAsia="MS Mincho" w:cs="Arial"/>
          <w:color w:val="000000"/>
          <w:u w:val="single"/>
          <w:lang w:val="en-US"/>
        </w:rPr>
        <w:t xml:space="preserve"> </w:t>
      </w:r>
      <w:bookmarkStart w:id="10" w:name="_Hlk19266438"/>
      <w:r w:rsidRPr="00303E2B">
        <w:rPr>
          <w:rFonts w:eastAsia="MS Mincho" w:cs="Arial"/>
          <w:color w:val="000000"/>
          <w:u w:val="single"/>
          <w:lang w:val="en-US"/>
        </w:rPr>
        <w:t xml:space="preserve">apply the concept of </w:t>
      </w:r>
      <w:proofErr w:type="spellStart"/>
      <w:r w:rsidRPr="00303E2B">
        <w:rPr>
          <w:rFonts w:eastAsia="MS Mincho" w:cs="Arial"/>
          <w:color w:val="000000"/>
          <w:u w:val="single"/>
          <w:lang w:val="en-US"/>
        </w:rPr>
        <w:t>Transfrontier</w:t>
      </w:r>
      <w:proofErr w:type="spellEnd"/>
      <w:r w:rsidRPr="00303E2B">
        <w:rPr>
          <w:rFonts w:eastAsia="MS Mincho" w:cs="Arial"/>
          <w:color w:val="000000"/>
          <w:u w:val="single"/>
          <w:lang w:val="en-US"/>
        </w:rPr>
        <w:t xml:space="preserve"> Conservation Areas, meaning an area or component of a large ecological region that straddles the boundaries of two or more countries and is within their national jurisdiction, which may encompass one or more protected areas, as well as multiple resource use areas, in their transboundary conservation efforts</w:t>
      </w:r>
      <w:bookmarkEnd w:id="10"/>
      <w:r w:rsidRPr="00303E2B">
        <w:rPr>
          <w:rFonts w:eastAsia="MS Mincho" w:cs="Arial"/>
          <w:color w:val="000000"/>
          <w:lang w:val="en-US"/>
        </w:rPr>
        <w:t xml:space="preserve">; </w:t>
      </w:r>
    </w:p>
    <w:p w:rsidR="00303E2B" w:rsidRPr="00303E2B" w:rsidRDefault="00303E2B" w:rsidP="00303E2B">
      <w:pPr>
        <w:spacing w:after="0" w:line="240" w:lineRule="auto"/>
        <w:ind w:left="720"/>
        <w:rPr>
          <w:rFonts w:eastAsia="MS Mincho" w:cs="Arial"/>
          <w:i/>
          <w:color w:val="000000"/>
          <w:u w:val="single"/>
          <w:lang w:val="en-US"/>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i/>
          <w:color w:val="000000"/>
          <w:u w:val="single"/>
          <w:lang w:val="en-US"/>
        </w:rPr>
      </w:pPr>
      <w:bookmarkStart w:id="11" w:name="_Hlk19266466"/>
      <w:r w:rsidRPr="00303E2B">
        <w:rPr>
          <w:rFonts w:eastAsia="MS Mincho" w:cs="Arial"/>
          <w:i/>
          <w:color w:val="000000"/>
          <w:u w:val="single"/>
          <w:lang w:val="en-US"/>
        </w:rPr>
        <w:t xml:space="preserve">Encourages </w:t>
      </w:r>
      <w:r w:rsidRPr="00303E2B">
        <w:rPr>
          <w:rFonts w:eastAsia="MS Mincho" w:cs="Arial"/>
          <w:color w:val="000000"/>
          <w:u w:val="single"/>
          <w:lang w:val="en-US"/>
        </w:rPr>
        <w:t xml:space="preserve">Parties to identify transboundary habitats of CMS-listed species, which could be considered as </w:t>
      </w:r>
      <w:proofErr w:type="spellStart"/>
      <w:r w:rsidRPr="00303E2B">
        <w:rPr>
          <w:rFonts w:eastAsia="MS Mincho" w:cs="Arial"/>
          <w:color w:val="000000"/>
          <w:u w:val="single"/>
          <w:lang w:val="en-US"/>
        </w:rPr>
        <w:t>transfrontier</w:t>
      </w:r>
      <w:proofErr w:type="spellEnd"/>
      <w:r w:rsidRPr="00303E2B">
        <w:rPr>
          <w:rFonts w:eastAsia="MS Mincho" w:cs="Arial"/>
          <w:color w:val="000000"/>
          <w:u w:val="single"/>
          <w:lang w:val="en-US"/>
        </w:rPr>
        <w:t xml:space="preserve"> conservation areas (TFCAs), for possible bi- or multilateral arrangements with </w:t>
      </w:r>
      <w:proofErr w:type="spellStart"/>
      <w:r w:rsidRPr="00303E2B">
        <w:rPr>
          <w:rFonts w:eastAsia="MS Mincho" w:cs="Arial"/>
          <w:color w:val="000000"/>
          <w:u w:val="single"/>
          <w:lang w:val="en-US"/>
        </w:rPr>
        <w:t>neighbouring</w:t>
      </w:r>
      <w:proofErr w:type="spellEnd"/>
      <w:r w:rsidRPr="00303E2B">
        <w:rPr>
          <w:rFonts w:eastAsia="MS Mincho" w:cs="Arial"/>
          <w:color w:val="000000"/>
          <w:u w:val="single"/>
          <w:lang w:val="en-US"/>
        </w:rPr>
        <w:t xml:space="preserve"> Range States, to improve the conservation of the habitats and species concerned</w:t>
      </w:r>
      <w:bookmarkEnd w:id="11"/>
      <w:r w:rsidRPr="00303E2B">
        <w:rPr>
          <w:rFonts w:eastAsia="MS Mincho" w:cs="Arial"/>
          <w:color w:val="000000"/>
          <w:u w:val="single"/>
          <w:lang w:val="en-US"/>
        </w:rPr>
        <w:t>.</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iCs/>
          <w:color w:val="000000"/>
          <w:lang w:val="en-US"/>
        </w:rPr>
        <w:t xml:space="preserve">Urges </w:t>
      </w:r>
      <w:r w:rsidRPr="00303E2B">
        <w:rPr>
          <w:rFonts w:eastAsia="MS Mincho" w:cs="Arial"/>
          <w:color w:val="000000"/>
          <w:lang w:val="en-US"/>
        </w:rPr>
        <w:t xml:space="preserve">Parties to promote ecological networks and connectivity through, for example, the development of further site networks within the CMS Family or other fora and processes, that use scientifically robust criteria to describe and identify important sites for migratory species and promote their internationally coordinated conservation and management, with support from the CMS Scientific Council, as appropriate; </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iCs/>
          <w:color w:val="000000"/>
          <w:lang w:val="en-US"/>
        </w:rPr>
        <w:t xml:space="preserve">Invites </w:t>
      </w:r>
      <w:r w:rsidRPr="00303E2B">
        <w:rPr>
          <w:rFonts w:eastAsia="MS Mincho" w:cs="Arial"/>
          <w:color w:val="000000"/>
          <w:lang w:val="en-US"/>
        </w:rPr>
        <w:t xml:space="preserve">Non-Parties to collaborate closely with Parties in the management of transboundary populations of CMS-listed species, including by joining CMS and its associated instruments, to support the development and implementation of ecological networks globally; </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iCs/>
          <w:color w:val="000000"/>
          <w:lang w:val="en-US"/>
        </w:rPr>
        <w:t xml:space="preserve">Urges </w:t>
      </w:r>
      <w:r w:rsidRPr="00303E2B">
        <w:rPr>
          <w:rFonts w:eastAsia="MS Mincho" w:cs="Arial"/>
          <w:color w:val="000000"/>
          <w:lang w:val="en-US"/>
        </w:rPr>
        <w:t xml:space="preserve">Parties to address immediate threats to national sites important for migratory species within ecological networks, making use, where appropriate, of international lists of threatened sites, such as the ‘World Heritage in Danger’ list of </w:t>
      </w:r>
      <w:proofErr w:type="gramStart"/>
      <w:r w:rsidRPr="00303E2B">
        <w:rPr>
          <w:rFonts w:eastAsia="MS Mincho" w:cs="Arial"/>
          <w:color w:val="000000"/>
          <w:lang w:val="en-US"/>
        </w:rPr>
        <w:t>UNESCO</w:t>
      </w:r>
      <w:proofErr w:type="gramEnd"/>
      <w:r w:rsidRPr="00303E2B">
        <w:rPr>
          <w:rFonts w:eastAsia="MS Mincho" w:cs="Arial"/>
          <w:color w:val="000000"/>
          <w:lang w:val="en-US"/>
        </w:rPr>
        <w:t>, the ‘Montreux Record’ of Ramsar and the ‘IBAs in Danger’ list of BirdLife International;</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iCs/>
          <w:color w:val="000000"/>
          <w:lang w:val="en-US"/>
        </w:rPr>
        <w:t xml:space="preserve">Also urges </w:t>
      </w:r>
      <w:r w:rsidRPr="00303E2B">
        <w:rPr>
          <w:rFonts w:eastAsia="MS Mincho" w:cs="Arial"/>
          <w:color w:val="000000"/>
          <w:lang w:val="en-US"/>
        </w:rPr>
        <w:t xml:space="preserve">Parties to monitor adequately ecological networks to allow early detection of any deterioration in quality of sites, rapid identification of threats and timely action to maintain network integrity, making use where appropriate of existing monitoring methods, such as the IBA Monitoring Framework developed by BirdLife International and the International </w:t>
      </w:r>
      <w:proofErr w:type="spellStart"/>
      <w:r w:rsidRPr="00303E2B">
        <w:rPr>
          <w:rFonts w:eastAsia="MS Mincho" w:cs="Arial"/>
          <w:color w:val="000000"/>
          <w:lang w:val="en-US"/>
        </w:rPr>
        <w:t>Waterbird</w:t>
      </w:r>
      <w:proofErr w:type="spellEnd"/>
      <w:r w:rsidRPr="00303E2B">
        <w:rPr>
          <w:rFonts w:eastAsia="MS Mincho" w:cs="Arial"/>
          <w:color w:val="000000"/>
          <w:lang w:val="en-US"/>
        </w:rPr>
        <w:t xml:space="preserve"> Census coordinated by Wetlands International; </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iCs/>
          <w:color w:val="000000"/>
          <w:lang w:val="en-US"/>
        </w:rPr>
        <w:t xml:space="preserve">Invites </w:t>
      </w:r>
      <w:r w:rsidRPr="00303E2B">
        <w:rPr>
          <w:rFonts w:eastAsia="MS Mincho" w:cs="Arial"/>
          <w:color w:val="000000"/>
          <w:lang w:val="en-US"/>
        </w:rPr>
        <w:t>the Convention on Biological Diversity, the Ramsar Convention on Wetlands, the World Heritage Convention, the IUCN World Commission on Protected Areas (WCPA) and others to use existing ecological networks, such as the Important Bird Areas of BirdLife International, to assess and identify gaps in protected area coverage, and secure conservation and sustainable management of these networks, as appropriate;</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iCs/>
          <w:color w:val="000000"/>
          <w:lang w:val="en-US"/>
        </w:rPr>
        <w:t xml:space="preserve">Requests </w:t>
      </w:r>
      <w:r w:rsidRPr="00303E2B">
        <w:rPr>
          <w:rFonts w:eastAsia="MS Mincho" w:cs="Arial"/>
          <w:color w:val="000000"/>
          <w:lang w:val="en-US"/>
        </w:rPr>
        <w:t xml:space="preserve">Parties to adopt and implement those guidelines developed within CMS and other relevant processes, which aim to promote connectivity and halt its loss, for example through the provision of practical guidance to avoid infrastructure development projects disrupting the movement of migratory species; </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iCs/>
          <w:color w:val="000000"/>
          <w:lang w:val="en-US"/>
        </w:rPr>
        <w:t xml:space="preserve">Encourages </w:t>
      </w:r>
      <w:r w:rsidRPr="00303E2B">
        <w:rPr>
          <w:rFonts w:eastAsia="MS Mincho" w:cs="Arial"/>
          <w:color w:val="000000"/>
          <w:lang w:val="en-US"/>
        </w:rPr>
        <w:t xml:space="preserve">Parties, other Range States and relevant organizations to apply the IUCN WCPA Best Practice Guideline on Transboundary Conservation, the IUCN WCPA / SSC Joint Taskforce on Protected Areas and Biodiversity’s Key Biodiversity Areas standard and the criteria for identifying Important Marine Mammal Areas (IMMAs) developed by the IUCN Joint SSC/WCPA Marine Mammal Protected Areas Task Force once adopted by IUCN; </w:t>
      </w:r>
    </w:p>
    <w:p w:rsid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9057EB" w:rsidRPr="00303E2B" w:rsidRDefault="009057E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iCs/>
          <w:color w:val="000000"/>
          <w:lang w:val="en-US"/>
        </w:rPr>
        <w:t xml:space="preserve">Calls upon </w:t>
      </w:r>
      <w:r w:rsidRPr="00303E2B">
        <w:rPr>
          <w:rFonts w:eastAsia="MS Mincho" w:cs="Arial"/>
          <w:color w:val="000000"/>
          <w:lang w:val="en-US"/>
        </w:rPr>
        <w:t xml:space="preserve">Parties and </w:t>
      </w:r>
      <w:r w:rsidRPr="00303E2B">
        <w:rPr>
          <w:rFonts w:eastAsia="MS Mincho" w:cs="Arial"/>
          <w:i/>
          <w:iCs/>
          <w:color w:val="000000"/>
          <w:lang w:val="en-US"/>
        </w:rPr>
        <w:t xml:space="preserve">invites </w:t>
      </w:r>
      <w:r w:rsidRPr="00303E2B">
        <w:rPr>
          <w:rFonts w:eastAsia="MS Mincho" w:cs="Arial"/>
          <w:color w:val="000000"/>
          <w:lang w:val="en-US"/>
        </w:rPr>
        <w:t xml:space="preserve">other Range States and relevant organizations to use tools such as </w:t>
      </w:r>
      <w:proofErr w:type="spellStart"/>
      <w:r w:rsidRPr="00303E2B">
        <w:rPr>
          <w:rFonts w:eastAsia="MS Mincho" w:cs="Arial"/>
          <w:color w:val="000000"/>
          <w:lang w:val="en-US"/>
        </w:rPr>
        <w:t>Movebank</w:t>
      </w:r>
      <w:proofErr w:type="spellEnd"/>
      <w:r w:rsidRPr="00303E2B">
        <w:rPr>
          <w:rFonts w:eastAsia="MS Mincho" w:cs="Arial"/>
          <w:color w:val="000000"/>
          <w:lang w:val="en-US"/>
        </w:rPr>
        <w:t xml:space="preserve">, ICARUS and other tools to better understand the movements of CMS-listed species, including the selection of those endangered species whose conservation status would most benefit from a better understanding of their movement ecology, while avoiding actions which may enable the unauthorized tracking of individual animals and facilitate poaching; </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iCs/>
          <w:color w:val="000000"/>
          <w:lang w:val="en-US"/>
        </w:rPr>
        <w:t xml:space="preserve">Encourages </w:t>
      </w:r>
      <w:r w:rsidRPr="00303E2B">
        <w:rPr>
          <w:rFonts w:eastAsia="MS Mincho" w:cs="Arial"/>
          <w:color w:val="000000"/>
          <w:lang w:val="en-US"/>
        </w:rPr>
        <w:t xml:space="preserve">CMS Parties to engage in the ongoing work taking place within the Convention on Biological Diversity to develop EBSA descriptions, noting that CBD COP decision XI/17 states that the description of areas meeting the EBSA scientific criteria is an evolving process to allow for updates; </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iCs/>
          <w:color w:val="000000"/>
          <w:lang w:val="en-US"/>
        </w:rPr>
        <w:t xml:space="preserve">Calls on </w:t>
      </w:r>
      <w:r w:rsidRPr="00303E2B">
        <w:rPr>
          <w:rFonts w:eastAsia="MS Mincho" w:cs="Arial"/>
          <w:color w:val="000000"/>
          <w:lang w:val="en-US"/>
        </w:rPr>
        <w:t xml:space="preserve">Parties, other Range States, relevant organizations and individual experts in the research and conservation community to collaborate with and participate actively in the EBSA process and mobilize all available data and information related to migratory marine species, to ensure that the EBSA process has access to the best available science in relation to marine migratory species; </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iCs/>
          <w:color w:val="000000"/>
          <w:lang w:val="en-US"/>
        </w:rPr>
        <w:t xml:space="preserve">Invites </w:t>
      </w:r>
      <w:r w:rsidRPr="00303E2B">
        <w:rPr>
          <w:rFonts w:eastAsia="MS Mincho" w:cs="Arial"/>
          <w:color w:val="000000"/>
          <w:lang w:val="en-US"/>
        </w:rPr>
        <w:t xml:space="preserve">Parties, other Range States and competent international organizations to consider the results of the initial GOBI review (UNEP/CMS/COP11/Inf.23) with respect to EBSAs and marine migratory species as they further engage in the EBSA process and </w:t>
      </w:r>
      <w:r w:rsidRPr="00303E2B">
        <w:rPr>
          <w:rFonts w:eastAsia="MS Mincho" w:cs="Arial"/>
          <w:i/>
          <w:iCs/>
          <w:color w:val="000000"/>
          <w:lang w:val="en-US"/>
        </w:rPr>
        <w:t xml:space="preserve">further invites </w:t>
      </w:r>
      <w:r w:rsidRPr="00303E2B">
        <w:rPr>
          <w:rFonts w:eastAsia="MS Mincho" w:cs="Arial"/>
          <w:color w:val="000000"/>
          <w:lang w:val="en-US"/>
        </w:rPr>
        <w:t xml:space="preserve">a more in-depth review by GOBI to explore the potential for the scientific data and information describing EBSAs to contribute to the conservation of migratory species in marine areas within and beyond the limits of national jurisdiction, particularly with respect to ecological networks and connectivity; </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color w:val="000000"/>
        </w:rPr>
        <w:t>Further requests</w:t>
      </w:r>
      <w:r w:rsidRPr="00303E2B">
        <w:rPr>
          <w:rFonts w:eastAsia="MS Mincho" w:cs="Arial"/>
          <w:color w:val="000000"/>
        </w:rPr>
        <w:t xml:space="preserve"> the Secretariat, subject to availability of resources, to work with Parties and the Scientific Council and other </w:t>
      </w:r>
      <w:r w:rsidRPr="00303E2B">
        <w:rPr>
          <w:rFonts w:eastAsia="MS Mincho" w:cs="Arial"/>
          <w:color w:val="000000"/>
          <w:lang w:val="en-US"/>
        </w:rPr>
        <w:t>international</w:t>
      </w:r>
      <w:r w:rsidRPr="00303E2B">
        <w:rPr>
          <w:rFonts w:eastAsia="MS Mincho" w:cs="Arial"/>
          <w:color w:val="000000"/>
        </w:rPr>
        <w:t xml:space="preserve"> and regional organizations, including the Convention on Biological Diversity, in organizing regional and sub-regional workshops to promote the conservation and management of critical sites and ecological networks among Parties;</w:t>
      </w:r>
    </w:p>
    <w:p w:rsidR="00303E2B" w:rsidRPr="00303E2B" w:rsidRDefault="00303E2B" w:rsidP="00303E2B">
      <w:pPr>
        <w:spacing w:after="0" w:line="240" w:lineRule="auto"/>
        <w:ind w:left="720"/>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bookmarkStart w:id="12" w:name="_Hlk19266504"/>
      <w:r w:rsidRPr="00303E2B">
        <w:rPr>
          <w:rFonts w:eastAsia="MS Mincho" w:cs="Arial"/>
          <w:i/>
          <w:color w:val="000000"/>
          <w:u w:val="single"/>
        </w:rPr>
        <w:t>Requests</w:t>
      </w:r>
      <w:r w:rsidRPr="00303E2B">
        <w:rPr>
          <w:rFonts w:eastAsia="MS Mincho" w:cs="Arial"/>
          <w:color w:val="000000"/>
          <w:u w:val="single"/>
        </w:rPr>
        <w:t xml:space="preserve"> the Secretariat to support Parties in the establishment and management of conservation areas and networks, including existing protected areas and </w:t>
      </w:r>
      <w:proofErr w:type="spellStart"/>
      <w:r w:rsidRPr="00303E2B">
        <w:rPr>
          <w:rFonts w:eastAsia="MS Mincho" w:cs="Arial"/>
          <w:color w:val="000000"/>
          <w:u w:val="single"/>
        </w:rPr>
        <w:t>Transfrontier</w:t>
      </w:r>
      <w:proofErr w:type="spellEnd"/>
      <w:r w:rsidRPr="00303E2B">
        <w:rPr>
          <w:rFonts w:eastAsia="MS Mincho" w:cs="Arial"/>
          <w:color w:val="000000"/>
          <w:u w:val="single"/>
        </w:rPr>
        <w:t xml:space="preserve"> Conservation Areas</w:t>
      </w:r>
      <w:bookmarkEnd w:id="12"/>
      <w:r w:rsidRPr="00303E2B">
        <w:rPr>
          <w:rFonts w:eastAsia="MS Mincho" w:cs="Arial"/>
          <w:color w:val="000000"/>
        </w:rPr>
        <w:t>;</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iCs/>
          <w:color w:val="000000"/>
          <w:lang w:val="en-US"/>
        </w:rPr>
        <w:t xml:space="preserve">Requests </w:t>
      </w:r>
      <w:r w:rsidRPr="00303E2B">
        <w:rPr>
          <w:rFonts w:eastAsia="MS Mincho" w:cs="Arial"/>
          <w:color w:val="000000"/>
          <w:lang w:val="en-US"/>
        </w:rPr>
        <w:t xml:space="preserve">Parties and </w:t>
      </w:r>
      <w:r w:rsidRPr="00303E2B">
        <w:rPr>
          <w:rFonts w:eastAsia="MS Mincho" w:cs="Arial"/>
          <w:i/>
          <w:iCs/>
          <w:color w:val="000000"/>
          <w:lang w:val="en-US"/>
        </w:rPr>
        <w:t xml:space="preserve">invites </w:t>
      </w:r>
      <w:r w:rsidRPr="00303E2B">
        <w:rPr>
          <w:rFonts w:eastAsia="MS Mincho" w:cs="Arial"/>
          <w:color w:val="000000"/>
          <w:lang w:val="en-US"/>
        </w:rPr>
        <w:t xml:space="preserve">all other Range States, partner organizations, </w:t>
      </w:r>
      <w:r w:rsidRPr="00303E2B">
        <w:rPr>
          <w:rFonts w:eastAsia="MS Mincho" w:cs="Arial"/>
          <w:color w:val="000000"/>
        </w:rPr>
        <w:t>relevant funding agencies</w:t>
      </w:r>
      <w:r w:rsidRPr="00303E2B">
        <w:rPr>
          <w:rFonts w:eastAsia="MS Mincho" w:cs="Arial"/>
          <w:color w:val="000000"/>
          <w:lang w:val="en-US"/>
        </w:rPr>
        <w:t xml:space="preserve"> and the private sector to provide </w:t>
      </w:r>
      <w:r w:rsidRPr="00303E2B">
        <w:rPr>
          <w:rFonts w:eastAsia="MS Mincho" w:cs="Arial"/>
          <w:color w:val="000000"/>
        </w:rPr>
        <w:t xml:space="preserve">adequate, predictable and timely </w:t>
      </w:r>
      <w:r w:rsidRPr="00303E2B">
        <w:rPr>
          <w:rFonts w:eastAsia="MS Mincho" w:cs="Arial"/>
          <w:color w:val="000000"/>
          <w:lang w:val="en-US"/>
        </w:rPr>
        <w:t xml:space="preserve">financial resources and in-kind support to assist in implementing the recommendations within this Resolution, including those in the Annex; </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iCs/>
          <w:color w:val="000000"/>
          <w:lang w:val="en-US"/>
        </w:rPr>
        <w:t xml:space="preserve">Encourages </w:t>
      </w:r>
      <w:r w:rsidRPr="00303E2B">
        <w:rPr>
          <w:rFonts w:eastAsia="MS Mincho" w:cs="Arial"/>
          <w:color w:val="000000"/>
          <w:lang w:val="en-US"/>
        </w:rPr>
        <w:t xml:space="preserve">Parties to provide financial resources and in-kind support to underpin and strengthen existing ecological network initiatives within the CMS Family of instruments, including the Western/Central Asian Site Network for the Siberian Crane and other Migratory Waterbirds, the Critical Site Network of the African Eurasian </w:t>
      </w:r>
      <w:proofErr w:type="spellStart"/>
      <w:r w:rsidRPr="00303E2B">
        <w:rPr>
          <w:rFonts w:eastAsia="MS Mincho" w:cs="Arial"/>
          <w:color w:val="000000"/>
          <w:lang w:val="en-US"/>
        </w:rPr>
        <w:t>Waterbird</w:t>
      </w:r>
      <w:proofErr w:type="spellEnd"/>
      <w:r w:rsidRPr="00303E2B">
        <w:rPr>
          <w:rFonts w:eastAsia="MS Mincho" w:cs="Arial"/>
          <w:color w:val="000000"/>
          <w:lang w:val="en-US"/>
        </w:rPr>
        <w:t xml:space="preserve"> Agreement, the newly launched CMS/IOSEA Network of Sites of Importance for Marine Turtles and the East Asian – Australasian Flyway Site Network; </w:t>
      </w:r>
    </w:p>
    <w:p w:rsidR="00303E2B" w:rsidRPr="00303E2B" w:rsidRDefault="00303E2B" w:rsidP="00303E2B">
      <w:pPr>
        <w:spacing w:after="0" w:line="240" w:lineRule="auto"/>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color w:val="000000"/>
        </w:rPr>
        <w:t>Invites</w:t>
      </w:r>
      <w:r w:rsidRPr="00303E2B">
        <w:rPr>
          <w:rFonts w:eastAsia="MS Mincho" w:cs="Arial"/>
          <w:color w:val="000000"/>
        </w:rPr>
        <w:t xml:space="preserve"> the Global Environment Facility (GEF) in making its funding disbursement decisions to give support to activities that will assist in taking forward the areas of work defined in the present Resolution, in particular, to support improved habitat management at the site level through the use of tools and resources developed specifically for the conservation of migratory species in their flyway, migratory path or ecological network context, and to support the sharing of information and experience;</w:t>
      </w:r>
    </w:p>
    <w:p w:rsidR="009057EB" w:rsidRDefault="009057EB" w:rsidP="00303E2B">
      <w:pPr>
        <w:widowControl w:val="0"/>
        <w:autoSpaceDE w:val="0"/>
        <w:autoSpaceDN w:val="0"/>
        <w:adjustRightInd w:val="0"/>
        <w:spacing w:after="0" w:line="240" w:lineRule="auto"/>
        <w:ind w:left="540" w:hanging="540"/>
        <w:jc w:val="both"/>
        <w:rPr>
          <w:rFonts w:eastAsia="MS Mincho" w:cs="Arial"/>
          <w:color w:val="000000"/>
        </w:rPr>
      </w:pPr>
      <w:r>
        <w:rPr>
          <w:rFonts w:eastAsia="MS Mincho" w:cs="Arial"/>
          <w:color w:val="000000"/>
        </w:rPr>
        <w:br w:type="page"/>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color w:val="000000"/>
        </w:rPr>
        <w:t>Calls on</w:t>
      </w:r>
      <w:r w:rsidRPr="00303E2B">
        <w:rPr>
          <w:rFonts w:eastAsia="MS Mincho" w:cs="Arial"/>
          <w:color w:val="000000"/>
        </w:rPr>
        <w:t xml:space="preserve"> MEAs, other intergovernmental organizations and relevant Non-Governmental Organizations to support the </w:t>
      </w:r>
      <w:r w:rsidRPr="00303E2B">
        <w:rPr>
          <w:rFonts w:eastAsia="MS Mincho" w:cs="Arial"/>
          <w:color w:val="000000"/>
          <w:lang w:val="en-US"/>
        </w:rPr>
        <w:t>implementation</w:t>
      </w:r>
      <w:r w:rsidRPr="00303E2B">
        <w:rPr>
          <w:rFonts w:eastAsia="MS Mincho" w:cs="Arial"/>
          <w:color w:val="000000"/>
        </w:rPr>
        <w:t xml:space="preserve"> of the present Resolution, including by sharing information and by collaborating in the technical work described above;</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color w:val="000000"/>
        </w:rPr>
        <w:t>Urges</w:t>
      </w:r>
      <w:r w:rsidRPr="00303E2B">
        <w:rPr>
          <w:rFonts w:eastAsia="MS Mincho" w:cs="Arial"/>
          <w:color w:val="000000"/>
        </w:rPr>
        <w:t xml:space="preserve"> Parties, the scientific </w:t>
      </w:r>
      <w:r w:rsidRPr="00303E2B">
        <w:rPr>
          <w:rFonts w:eastAsia="MS Mincho" w:cs="Arial"/>
          <w:color w:val="000000"/>
          <w:lang w:val="en-US"/>
        </w:rPr>
        <w:t>community</w:t>
      </w:r>
      <w:r w:rsidRPr="00303E2B">
        <w:rPr>
          <w:rFonts w:eastAsia="MS Mincho" w:cs="Arial"/>
          <w:color w:val="000000"/>
        </w:rPr>
        <w:t xml:space="preserve"> and other organizations to support the use of existing databases for research aimed at scientifically based conservation decisions within the CMS framework and other policy fora; </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color w:val="000000"/>
        </w:rPr>
        <w:t>Urges</w:t>
      </w:r>
      <w:r w:rsidRPr="00303E2B">
        <w:rPr>
          <w:rFonts w:eastAsia="MS Mincho" w:cs="Arial"/>
          <w:color w:val="000000"/>
        </w:rPr>
        <w:t xml:space="preserve"> CMS National Focal Points and Scientific Councillors to work closely with relevant organizations such as the European </w:t>
      </w:r>
      <w:r w:rsidRPr="00303E2B">
        <w:rPr>
          <w:rFonts w:eastAsia="MS Mincho" w:cs="Arial"/>
          <w:color w:val="000000"/>
          <w:lang w:val="en-US"/>
        </w:rPr>
        <w:t>Space</w:t>
      </w:r>
      <w:r w:rsidRPr="00303E2B">
        <w:rPr>
          <w:rFonts w:eastAsia="MS Mincho" w:cs="Arial"/>
          <w:color w:val="000000"/>
        </w:rPr>
        <w:t xml:space="preserve"> Agency and its Focal Points to support new technology developments such as the ICARUS experiment to track the movement and fate of migratory animals globally;</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iCs/>
          <w:color w:val="000000"/>
          <w:lang w:val="en-US"/>
        </w:rPr>
        <w:t xml:space="preserve">Encourages </w:t>
      </w:r>
      <w:r w:rsidRPr="00303E2B">
        <w:rPr>
          <w:rFonts w:eastAsia="MS Mincho" w:cs="Arial"/>
          <w:color w:val="000000"/>
          <w:lang w:val="en-US"/>
        </w:rPr>
        <w:t xml:space="preserve">Parties and the Secretariat to bring this resolution and the experience of CMS relevant to identifying pathways for marine migratory species, critical habitats and key threats, and promoting coordinated conservation and management measures across a migratory range in marine areas to the attention of the United Nations General Assembly Ad Hoc Open-ended Informal Working Group to Study Issues Relating to the Conservation and Sustainable Use of Marine Biological Diversity Beyond Areas of National Jurisdiction; </w:t>
      </w:r>
    </w:p>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r w:rsidRPr="00303E2B">
        <w:rPr>
          <w:rFonts w:eastAsia="MS Mincho" w:cs="Arial"/>
          <w:i/>
          <w:iCs/>
          <w:color w:val="000000"/>
          <w:lang w:val="en-US"/>
        </w:rPr>
        <w:t xml:space="preserve">Urges </w:t>
      </w:r>
      <w:r w:rsidRPr="00303E2B">
        <w:rPr>
          <w:rFonts w:eastAsia="MS Mincho" w:cs="Arial"/>
          <w:color w:val="000000"/>
          <w:lang w:val="en-US"/>
        </w:rPr>
        <w:t>Parties, the Scientific Council and the Secretariat to address outstanding or recurring actions;</w:t>
      </w:r>
    </w:p>
    <w:p w:rsidR="00303E2B" w:rsidRPr="00303E2B" w:rsidRDefault="00303E2B" w:rsidP="00303E2B">
      <w:pPr>
        <w:spacing w:after="0" w:line="240" w:lineRule="auto"/>
        <w:ind w:left="720"/>
        <w:rPr>
          <w:rFonts w:eastAsia="MS Mincho" w:cs="Arial"/>
          <w:color w:val="000000"/>
          <w:lang w:val="en-US"/>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color w:val="000000"/>
        </w:rPr>
      </w:pPr>
      <w:bookmarkStart w:id="13" w:name="_Hlk19266538"/>
      <w:r w:rsidRPr="00303E2B">
        <w:rPr>
          <w:rFonts w:eastAsia="MS Mincho" w:cs="Arial"/>
          <w:i/>
          <w:color w:val="000000"/>
          <w:u w:val="single"/>
          <w:lang w:val="en-US"/>
        </w:rPr>
        <w:t>Requests</w:t>
      </w:r>
      <w:r w:rsidRPr="00303E2B">
        <w:rPr>
          <w:rFonts w:eastAsia="MS Mincho" w:cs="Arial"/>
          <w:color w:val="000000"/>
          <w:u w:val="single"/>
          <w:lang w:val="en-US"/>
        </w:rPr>
        <w:t xml:space="preserve"> the Secretariat to report to the Conference of the Parties at each of its regular meetings on the progress of implementation of this Resolution</w:t>
      </w:r>
      <w:r w:rsidRPr="00303E2B">
        <w:rPr>
          <w:rFonts w:eastAsia="MS Mincho" w:cs="Arial"/>
          <w:color w:val="000000"/>
          <w:lang w:val="en-US"/>
        </w:rPr>
        <w:t>; and</w:t>
      </w:r>
    </w:p>
    <w:bookmarkEnd w:id="13"/>
    <w:p w:rsidR="00303E2B" w:rsidRPr="00303E2B" w:rsidRDefault="00303E2B" w:rsidP="00303E2B">
      <w:pPr>
        <w:widowControl w:val="0"/>
        <w:autoSpaceDE w:val="0"/>
        <w:autoSpaceDN w:val="0"/>
        <w:adjustRightInd w:val="0"/>
        <w:spacing w:after="0" w:line="240" w:lineRule="auto"/>
        <w:ind w:left="540" w:hanging="540"/>
        <w:jc w:val="both"/>
        <w:rPr>
          <w:rFonts w:eastAsia="MS Mincho" w:cs="Arial"/>
          <w:color w:val="000000"/>
        </w:rPr>
      </w:pPr>
    </w:p>
    <w:p w:rsidR="00303E2B" w:rsidRPr="00303E2B" w:rsidRDefault="00303E2B" w:rsidP="00303E2B">
      <w:pPr>
        <w:widowControl w:val="0"/>
        <w:numPr>
          <w:ilvl w:val="0"/>
          <w:numId w:val="10"/>
        </w:numPr>
        <w:autoSpaceDE w:val="0"/>
        <w:autoSpaceDN w:val="0"/>
        <w:adjustRightInd w:val="0"/>
        <w:spacing w:after="0" w:line="240" w:lineRule="auto"/>
        <w:ind w:left="540" w:hanging="540"/>
        <w:jc w:val="both"/>
        <w:rPr>
          <w:rFonts w:eastAsia="MS Mincho" w:cs="Arial"/>
          <w:i/>
          <w:iCs/>
          <w:color w:val="000000"/>
        </w:rPr>
      </w:pPr>
      <w:r w:rsidRPr="00303E2B">
        <w:rPr>
          <w:rFonts w:eastAsia="MS Mincho" w:cs="Arial"/>
          <w:i/>
          <w:iCs/>
          <w:strike/>
          <w:color w:val="000000"/>
          <w:lang w:val="en-US"/>
        </w:rPr>
        <w:t>Repeals</w:t>
      </w:r>
      <w:r w:rsidRPr="00303E2B">
        <w:rPr>
          <w:rFonts w:eastAsia="MS Mincho" w:cs="Arial"/>
          <w:i/>
          <w:iCs/>
          <w:color w:val="000000"/>
          <w:lang w:val="en-US"/>
        </w:rPr>
        <w:t xml:space="preserve"> </w:t>
      </w:r>
      <w:r w:rsidRPr="00303E2B">
        <w:rPr>
          <w:rFonts w:eastAsia="MS Mincho" w:cs="Arial"/>
          <w:i/>
          <w:iCs/>
          <w:color w:val="000000"/>
          <w:u w:val="single"/>
          <w:lang w:val="en-US"/>
        </w:rPr>
        <w:t xml:space="preserve">Notes </w:t>
      </w:r>
      <w:r w:rsidRPr="00303E2B">
        <w:rPr>
          <w:rFonts w:eastAsia="MS Mincho" w:cs="Arial"/>
          <w:iCs/>
          <w:color w:val="000000"/>
          <w:u w:val="single"/>
          <w:lang w:val="en-US"/>
        </w:rPr>
        <w:t>that the following Resolutions have been repealed</w:t>
      </w:r>
      <w:r w:rsidRPr="00303E2B">
        <w:rPr>
          <w:rFonts w:eastAsia="MS Mincho" w:cs="Arial"/>
          <w:i/>
          <w:iCs/>
          <w:color w:val="000000"/>
          <w:lang w:val="en-US"/>
        </w:rPr>
        <w:t xml:space="preserve">: </w:t>
      </w:r>
    </w:p>
    <w:p w:rsidR="00303E2B" w:rsidRPr="00303E2B" w:rsidRDefault="00303E2B" w:rsidP="00303E2B">
      <w:pPr>
        <w:spacing w:after="0" w:line="240" w:lineRule="auto"/>
        <w:ind w:left="540" w:hanging="540"/>
        <w:jc w:val="both"/>
        <w:rPr>
          <w:rFonts w:eastAsia="MS Mincho" w:cs="Arial"/>
          <w:iCs/>
          <w:lang w:val="en-US"/>
        </w:rPr>
      </w:pPr>
    </w:p>
    <w:p w:rsidR="00303E2B" w:rsidRPr="00303E2B" w:rsidRDefault="00303E2B" w:rsidP="00303E2B">
      <w:pPr>
        <w:widowControl w:val="0"/>
        <w:numPr>
          <w:ilvl w:val="0"/>
          <w:numId w:val="11"/>
        </w:numPr>
        <w:autoSpaceDE w:val="0"/>
        <w:autoSpaceDN w:val="0"/>
        <w:adjustRightInd w:val="0"/>
        <w:spacing w:after="120" w:line="240" w:lineRule="auto"/>
        <w:ind w:left="1094" w:hanging="547"/>
        <w:jc w:val="both"/>
        <w:rPr>
          <w:rFonts w:eastAsia="Times New Roman" w:cs="Arial"/>
          <w:iCs/>
          <w:lang w:val="en-US"/>
        </w:rPr>
      </w:pPr>
      <w:r w:rsidRPr="00303E2B">
        <w:rPr>
          <w:rFonts w:eastAsia="Times New Roman" w:cs="Arial"/>
          <w:iCs/>
          <w:lang w:val="en-US"/>
        </w:rPr>
        <w:t xml:space="preserve">Resolution 10.3, </w:t>
      </w:r>
      <w:r w:rsidRPr="00303E2B">
        <w:rPr>
          <w:rFonts w:eastAsia="Times New Roman" w:cs="Arial"/>
          <w:i/>
          <w:iCs/>
          <w:lang w:val="en-US"/>
        </w:rPr>
        <w:t>The Role of Ecological Networks in the Conservation of Migratory Species</w:t>
      </w:r>
      <w:r w:rsidRPr="00303E2B">
        <w:rPr>
          <w:rFonts w:eastAsia="Times New Roman" w:cs="Arial"/>
          <w:iCs/>
          <w:lang w:val="en-US"/>
        </w:rPr>
        <w:t>; and</w:t>
      </w:r>
    </w:p>
    <w:p w:rsidR="00303E2B" w:rsidRPr="00303E2B" w:rsidRDefault="00303E2B" w:rsidP="00303E2B">
      <w:pPr>
        <w:widowControl w:val="0"/>
        <w:numPr>
          <w:ilvl w:val="0"/>
          <w:numId w:val="11"/>
        </w:numPr>
        <w:autoSpaceDE w:val="0"/>
        <w:autoSpaceDN w:val="0"/>
        <w:adjustRightInd w:val="0"/>
        <w:spacing w:after="120" w:line="240" w:lineRule="auto"/>
        <w:ind w:left="1094" w:hanging="547"/>
        <w:jc w:val="both"/>
        <w:rPr>
          <w:rFonts w:eastAsia="Times New Roman" w:cs="Arial"/>
          <w:iCs/>
          <w:lang w:val="en-US"/>
        </w:rPr>
      </w:pPr>
      <w:r w:rsidRPr="00303E2B">
        <w:rPr>
          <w:rFonts w:eastAsia="Times New Roman" w:cs="Arial"/>
          <w:iCs/>
          <w:lang w:val="en-US"/>
        </w:rPr>
        <w:t xml:space="preserve">Resolution 11.25, </w:t>
      </w:r>
      <w:r w:rsidRPr="00303E2B">
        <w:rPr>
          <w:rFonts w:eastAsia="Times New Roman" w:cs="Arial"/>
          <w:i/>
          <w:iCs/>
          <w:lang w:val="en-US"/>
        </w:rPr>
        <w:t>Advancing Ecological Networks to Address the Needs of Migratory Species</w:t>
      </w:r>
      <w:r w:rsidRPr="00303E2B">
        <w:rPr>
          <w:rFonts w:eastAsia="Times New Roman" w:cs="Arial"/>
          <w:iCs/>
          <w:lang w:val="en-US"/>
        </w:rPr>
        <w:t>.</w:t>
      </w:r>
    </w:p>
    <w:p w:rsidR="009057EB" w:rsidRDefault="009057EB" w:rsidP="00303E2B">
      <w:pPr>
        <w:pStyle w:val="FourthnumberingA"/>
        <w:numPr>
          <w:ilvl w:val="0"/>
          <w:numId w:val="0"/>
        </w:numPr>
        <w:rPr>
          <w:lang w:val="en-US"/>
        </w:rPr>
        <w:sectPr w:rsidR="009057EB" w:rsidSect="00303E2B">
          <w:headerReference w:type="even" r:id="rId14"/>
          <w:headerReference w:type="default" r:id="rId15"/>
          <w:footerReference w:type="default" r:id="rId16"/>
          <w:headerReference w:type="first" r:id="rId17"/>
          <w:footerReference w:type="first" r:id="rId18"/>
          <w:pgSz w:w="11906" w:h="16838" w:code="9"/>
          <w:pgMar w:top="1134" w:right="1134" w:bottom="1134" w:left="1134" w:header="720" w:footer="720" w:gutter="0"/>
          <w:cols w:space="720"/>
          <w:titlePg/>
          <w:docGrid w:linePitch="360"/>
        </w:sectPr>
      </w:pPr>
    </w:p>
    <w:p w:rsidR="009057EB" w:rsidRPr="009057EB" w:rsidRDefault="009057EB" w:rsidP="009057EB">
      <w:pPr>
        <w:spacing w:after="0" w:line="240" w:lineRule="auto"/>
        <w:jc w:val="right"/>
        <w:rPr>
          <w:b/>
          <w:lang w:val="en-US"/>
        </w:rPr>
      </w:pPr>
      <w:r w:rsidRPr="009057EB">
        <w:rPr>
          <w:b/>
          <w:lang w:val="en-US"/>
        </w:rPr>
        <w:lastRenderedPageBreak/>
        <w:t>ANNEX 2</w:t>
      </w:r>
    </w:p>
    <w:p w:rsidR="009057EB" w:rsidRPr="009057EB" w:rsidRDefault="009057EB" w:rsidP="009057EB">
      <w:pPr>
        <w:spacing w:after="0" w:line="240" w:lineRule="auto"/>
        <w:jc w:val="both"/>
        <w:rPr>
          <w:lang w:val="en-US"/>
        </w:rPr>
      </w:pPr>
    </w:p>
    <w:p w:rsidR="009057EB" w:rsidRPr="009057EB" w:rsidRDefault="009057EB" w:rsidP="009057EB">
      <w:pPr>
        <w:spacing w:after="0" w:line="240" w:lineRule="auto"/>
        <w:jc w:val="center"/>
        <w:rPr>
          <w:lang w:val="en-US"/>
        </w:rPr>
      </w:pPr>
      <w:r w:rsidRPr="009057EB">
        <w:rPr>
          <w:lang w:val="en-US"/>
        </w:rPr>
        <w:t>PROPOSED AMENDMENTS TO DECISIONS 12.94 – 12.97</w:t>
      </w:r>
    </w:p>
    <w:p w:rsidR="009057EB" w:rsidRPr="009057EB" w:rsidRDefault="009057EB" w:rsidP="009057EB">
      <w:pPr>
        <w:spacing w:after="0" w:line="240" w:lineRule="auto"/>
        <w:jc w:val="center"/>
        <w:rPr>
          <w:lang w:val="en-US"/>
        </w:rPr>
      </w:pPr>
    </w:p>
    <w:p w:rsidR="009057EB" w:rsidRPr="009057EB" w:rsidRDefault="009057EB" w:rsidP="009057EB">
      <w:pPr>
        <w:widowControl w:val="0"/>
        <w:tabs>
          <w:tab w:val="left" w:pos="8235"/>
        </w:tabs>
        <w:suppressAutoHyphens/>
        <w:autoSpaceDE w:val="0"/>
        <w:autoSpaceDN w:val="0"/>
        <w:spacing w:after="0" w:line="240" w:lineRule="auto"/>
        <w:jc w:val="center"/>
        <w:textAlignment w:val="baseline"/>
        <w:rPr>
          <w:rFonts w:eastAsia="Times New Roman" w:cs="Arial"/>
          <w:b/>
          <w:bCs/>
          <w:lang w:val="en-US"/>
        </w:rPr>
      </w:pPr>
      <w:r w:rsidRPr="009057EB">
        <w:rPr>
          <w:rFonts w:eastAsia="Times New Roman" w:cs="Arial"/>
          <w:b/>
          <w:bCs/>
          <w:lang w:val="en-US"/>
        </w:rPr>
        <w:t>TRANSFRONTIER CONSERVATION AREAS FOR MIGRATORY SPECIES</w:t>
      </w:r>
    </w:p>
    <w:p w:rsidR="009057EB" w:rsidRPr="009057EB" w:rsidRDefault="009057EB" w:rsidP="009057EB">
      <w:pPr>
        <w:spacing w:after="0" w:line="240" w:lineRule="auto"/>
        <w:jc w:val="center"/>
        <w:rPr>
          <w:lang w:val="en-US"/>
        </w:rPr>
      </w:pPr>
    </w:p>
    <w:p w:rsidR="009057EB" w:rsidRPr="009057EB" w:rsidRDefault="009057EB" w:rsidP="009057EB">
      <w:pPr>
        <w:spacing w:after="0" w:line="240" w:lineRule="auto"/>
        <w:jc w:val="center"/>
        <w:rPr>
          <w:lang w:val="en-US"/>
        </w:rPr>
      </w:pPr>
    </w:p>
    <w:p w:rsidR="009057EB" w:rsidRPr="009057EB" w:rsidRDefault="009057EB" w:rsidP="009057EB">
      <w:pPr>
        <w:spacing w:after="0" w:line="240" w:lineRule="auto"/>
        <w:jc w:val="both"/>
        <w:rPr>
          <w:b/>
          <w:bCs/>
          <w:i/>
          <w:lang w:val="en-US"/>
        </w:rPr>
      </w:pPr>
      <w:r w:rsidRPr="009057EB">
        <w:rPr>
          <w:b/>
          <w:bCs/>
          <w:i/>
          <w:lang w:val="en-US"/>
        </w:rPr>
        <w:t>Directed to Parties</w:t>
      </w:r>
    </w:p>
    <w:p w:rsidR="009057EB" w:rsidRPr="009057EB" w:rsidRDefault="009057EB" w:rsidP="009057EB">
      <w:pPr>
        <w:widowControl w:val="0"/>
        <w:autoSpaceDE w:val="0"/>
        <w:autoSpaceDN w:val="0"/>
        <w:adjustRightInd w:val="0"/>
        <w:spacing w:after="0" w:line="240" w:lineRule="auto"/>
        <w:ind w:left="540"/>
        <w:jc w:val="both"/>
        <w:rPr>
          <w:rFonts w:eastAsia="Times New Roman" w:cs="Arial"/>
          <w:i/>
          <w:lang w:val="en-US"/>
        </w:rPr>
      </w:pPr>
    </w:p>
    <w:p w:rsidR="009057EB" w:rsidRPr="009057EB" w:rsidRDefault="009057EB" w:rsidP="009057EB">
      <w:pPr>
        <w:widowControl w:val="0"/>
        <w:autoSpaceDE w:val="0"/>
        <w:autoSpaceDN w:val="0"/>
        <w:adjustRightInd w:val="0"/>
        <w:spacing w:after="0" w:line="240" w:lineRule="auto"/>
        <w:ind w:left="851" w:hanging="851"/>
        <w:jc w:val="both"/>
        <w:rPr>
          <w:rFonts w:eastAsia="Times New Roman" w:cs="Arial"/>
          <w:lang w:val="en-US"/>
        </w:rPr>
      </w:pPr>
      <w:r w:rsidRPr="009057EB">
        <w:rPr>
          <w:bCs/>
          <w:lang w:val="en-US"/>
        </w:rPr>
        <w:t>13.AA (12.94)</w:t>
      </w:r>
      <w:r w:rsidRPr="009057EB">
        <w:rPr>
          <w:b/>
          <w:bCs/>
          <w:lang w:val="en-US"/>
        </w:rPr>
        <w:t xml:space="preserve"> </w:t>
      </w:r>
      <w:r>
        <w:rPr>
          <w:b/>
          <w:bCs/>
          <w:lang w:val="en-US"/>
        </w:rPr>
        <w:tab/>
      </w:r>
      <w:r w:rsidRPr="009057EB">
        <w:rPr>
          <w:rFonts w:eastAsia="Times New Roman" w:cs="Arial"/>
          <w:lang w:val="en-US"/>
        </w:rPr>
        <w:t>Parties are invited to:</w:t>
      </w:r>
    </w:p>
    <w:p w:rsidR="009057EB" w:rsidRPr="009057EB" w:rsidRDefault="009057EB" w:rsidP="009057EB">
      <w:pPr>
        <w:widowControl w:val="0"/>
        <w:autoSpaceDE w:val="0"/>
        <w:autoSpaceDN w:val="0"/>
        <w:adjustRightInd w:val="0"/>
        <w:spacing w:after="0" w:line="240" w:lineRule="auto"/>
        <w:ind w:left="1440"/>
        <w:jc w:val="both"/>
        <w:rPr>
          <w:rFonts w:eastAsia="Times New Roman" w:cs="Arial"/>
          <w:lang w:val="en-US"/>
        </w:rPr>
      </w:pPr>
    </w:p>
    <w:p w:rsidR="009057EB" w:rsidRPr="009057EB" w:rsidRDefault="009057EB" w:rsidP="009057EB">
      <w:pPr>
        <w:widowControl w:val="0"/>
        <w:numPr>
          <w:ilvl w:val="0"/>
          <w:numId w:val="12"/>
        </w:numPr>
        <w:autoSpaceDE w:val="0"/>
        <w:autoSpaceDN w:val="0"/>
        <w:adjustRightInd w:val="0"/>
        <w:spacing w:after="0" w:line="240" w:lineRule="auto"/>
        <w:ind w:left="1985" w:hanging="425"/>
        <w:jc w:val="both"/>
        <w:rPr>
          <w:rFonts w:eastAsia="Times New Roman" w:cs="Arial"/>
          <w:lang w:val="en-US"/>
        </w:rPr>
      </w:pPr>
      <w:r w:rsidRPr="009057EB">
        <w:rPr>
          <w:rFonts w:eastAsia="Times New Roman" w:cs="Arial"/>
          <w:lang w:val="en-US"/>
        </w:rPr>
        <w:t xml:space="preserve">Propose </w:t>
      </w:r>
      <w:r w:rsidRPr="009057EB">
        <w:rPr>
          <w:rFonts w:eastAsia="Times New Roman" w:cs="Arial"/>
          <w:strike/>
          <w:lang w:val="en-US"/>
        </w:rPr>
        <w:t>Identify</w:t>
      </w:r>
      <w:r w:rsidRPr="009057EB">
        <w:rPr>
          <w:rFonts w:eastAsia="Times New Roman" w:cs="Arial"/>
          <w:lang w:val="en-US"/>
        </w:rPr>
        <w:t xml:space="preserve"> transboundary habitats of CMS-listed species, which could be considered as </w:t>
      </w:r>
      <w:proofErr w:type="spellStart"/>
      <w:r w:rsidRPr="009057EB">
        <w:rPr>
          <w:rFonts w:eastAsia="Times New Roman" w:cs="Arial"/>
          <w:lang w:val="en-US"/>
        </w:rPr>
        <w:t>transfrontier</w:t>
      </w:r>
      <w:proofErr w:type="spellEnd"/>
      <w:r w:rsidRPr="009057EB">
        <w:rPr>
          <w:rFonts w:eastAsia="Times New Roman" w:cs="Arial"/>
          <w:lang w:val="en-US"/>
        </w:rPr>
        <w:t xml:space="preserve"> conservation areas (TFCAs), meaning an area or component of a large ecological region that straddles the boundaries of two or more countries and is within their national jurisdiction, which may encompass one or more protected areas, as well as multiple resource use areas;</w:t>
      </w:r>
    </w:p>
    <w:p w:rsidR="009057EB" w:rsidRPr="009057EB" w:rsidRDefault="009057EB" w:rsidP="009057EB">
      <w:pPr>
        <w:widowControl w:val="0"/>
        <w:autoSpaceDE w:val="0"/>
        <w:autoSpaceDN w:val="0"/>
        <w:adjustRightInd w:val="0"/>
        <w:spacing w:after="0" w:line="240" w:lineRule="auto"/>
        <w:ind w:left="1985" w:hanging="425"/>
        <w:jc w:val="both"/>
        <w:rPr>
          <w:rFonts w:eastAsia="Times New Roman" w:cs="Arial"/>
          <w:lang w:val="en-US"/>
        </w:rPr>
      </w:pPr>
    </w:p>
    <w:p w:rsidR="009057EB" w:rsidRPr="009057EB" w:rsidRDefault="009057EB" w:rsidP="009057EB">
      <w:pPr>
        <w:widowControl w:val="0"/>
        <w:numPr>
          <w:ilvl w:val="0"/>
          <w:numId w:val="12"/>
        </w:numPr>
        <w:autoSpaceDE w:val="0"/>
        <w:autoSpaceDN w:val="0"/>
        <w:adjustRightInd w:val="0"/>
        <w:spacing w:after="0" w:line="240" w:lineRule="auto"/>
        <w:ind w:left="1985" w:hanging="425"/>
        <w:jc w:val="both"/>
        <w:rPr>
          <w:rFonts w:eastAsia="Times New Roman" w:cs="Arial"/>
          <w:lang w:val="en-US"/>
        </w:rPr>
      </w:pPr>
      <w:r w:rsidRPr="009057EB">
        <w:rPr>
          <w:rFonts w:eastAsia="Times New Roman" w:cs="Arial"/>
          <w:u w:val="single"/>
          <w:lang w:val="en-US"/>
        </w:rPr>
        <w:t xml:space="preserve">Take steps to </w:t>
      </w:r>
      <w:r w:rsidRPr="009057EB">
        <w:rPr>
          <w:rFonts w:eastAsia="Times New Roman" w:cs="Arial"/>
          <w:strike/>
          <w:lang w:val="en-US"/>
        </w:rPr>
        <w:t>Consider developing</w:t>
      </w:r>
      <w:r w:rsidRPr="009057EB">
        <w:rPr>
          <w:rFonts w:eastAsia="Times New Roman" w:cs="Arial"/>
          <w:lang w:val="en-US"/>
        </w:rPr>
        <w:t xml:space="preserve"> jointly </w:t>
      </w:r>
      <w:r w:rsidRPr="009057EB">
        <w:rPr>
          <w:rFonts w:eastAsia="Times New Roman" w:cs="Arial"/>
          <w:u w:val="single"/>
          <w:lang w:val="en-US"/>
        </w:rPr>
        <w:t>develop</w:t>
      </w:r>
      <w:r w:rsidRPr="009057EB">
        <w:rPr>
          <w:rFonts w:eastAsia="Times New Roman" w:cs="Arial"/>
          <w:lang w:val="en-US"/>
        </w:rPr>
        <w:t xml:space="preserve"> with </w:t>
      </w:r>
      <w:proofErr w:type="spellStart"/>
      <w:r w:rsidRPr="009057EB">
        <w:rPr>
          <w:rFonts w:eastAsia="Times New Roman" w:cs="Arial"/>
          <w:lang w:val="en-US"/>
        </w:rPr>
        <w:t>neighbouring</w:t>
      </w:r>
      <w:proofErr w:type="spellEnd"/>
      <w:r w:rsidRPr="009057EB">
        <w:rPr>
          <w:rFonts w:eastAsia="Times New Roman" w:cs="Arial"/>
          <w:lang w:val="en-US"/>
        </w:rPr>
        <w:t xml:space="preserve"> Range States bi- or multilateral arrangements, including joint management plans, to improve the conservation of the habitats and species concerned;</w:t>
      </w:r>
    </w:p>
    <w:p w:rsidR="009057EB" w:rsidRPr="009057EB" w:rsidRDefault="009057EB" w:rsidP="009057EB">
      <w:pPr>
        <w:widowControl w:val="0"/>
        <w:autoSpaceDE w:val="0"/>
        <w:autoSpaceDN w:val="0"/>
        <w:adjustRightInd w:val="0"/>
        <w:spacing w:after="0" w:line="240" w:lineRule="auto"/>
        <w:ind w:left="1985" w:hanging="425"/>
        <w:jc w:val="both"/>
        <w:rPr>
          <w:rFonts w:eastAsia="Times New Roman" w:cs="Arial"/>
          <w:lang w:val="en-US"/>
        </w:rPr>
      </w:pPr>
    </w:p>
    <w:p w:rsidR="009057EB" w:rsidRPr="009057EB" w:rsidRDefault="009057EB" w:rsidP="009057EB">
      <w:pPr>
        <w:widowControl w:val="0"/>
        <w:numPr>
          <w:ilvl w:val="0"/>
          <w:numId w:val="12"/>
        </w:numPr>
        <w:autoSpaceDE w:val="0"/>
        <w:autoSpaceDN w:val="0"/>
        <w:adjustRightInd w:val="0"/>
        <w:spacing w:after="0" w:line="240" w:lineRule="auto"/>
        <w:ind w:left="1985" w:hanging="425"/>
        <w:jc w:val="both"/>
        <w:rPr>
          <w:rFonts w:eastAsia="Times New Roman" w:cs="Arial"/>
          <w:lang w:val="en-US"/>
        </w:rPr>
      </w:pPr>
      <w:r w:rsidRPr="009057EB">
        <w:rPr>
          <w:rFonts w:eastAsia="Times New Roman" w:cs="Arial"/>
          <w:lang w:val="en-US"/>
        </w:rPr>
        <w:t xml:space="preserve">Enable, in the development of such arrangements the participation of local communities and stakeholders for the purposes of benefitting wildlife and the sustainable development of the communities living within it; </w:t>
      </w:r>
      <w:r w:rsidRPr="009057EB">
        <w:rPr>
          <w:rFonts w:eastAsia="Times New Roman" w:cs="Arial"/>
          <w:u w:val="single"/>
          <w:lang w:val="en-US"/>
        </w:rPr>
        <w:t>and</w:t>
      </w:r>
    </w:p>
    <w:p w:rsidR="009057EB" w:rsidRPr="009057EB" w:rsidRDefault="009057EB" w:rsidP="009057EB">
      <w:pPr>
        <w:spacing w:after="0" w:line="240" w:lineRule="auto"/>
        <w:ind w:left="1985" w:hanging="425"/>
        <w:contextualSpacing/>
        <w:rPr>
          <w:rFonts w:eastAsia="Times New Roman" w:cs="Arial"/>
          <w:lang w:val="en-US"/>
        </w:rPr>
      </w:pPr>
    </w:p>
    <w:p w:rsidR="009057EB" w:rsidRPr="009057EB" w:rsidRDefault="009057EB" w:rsidP="009057EB">
      <w:pPr>
        <w:widowControl w:val="0"/>
        <w:numPr>
          <w:ilvl w:val="0"/>
          <w:numId w:val="12"/>
        </w:numPr>
        <w:autoSpaceDE w:val="0"/>
        <w:autoSpaceDN w:val="0"/>
        <w:adjustRightInd w:val="0"/>
        <w:spacing w:after="0" w:line="240" w:lineRule="auto"/>
        <w:ind w:left="1985" w:hanging="425"/>
        <w:jc w:val="both"/>
        <w:rPr>
          <w:rFonts w:eastAsia="Times New Roman" w:cs="Arial"/>
          <w:u w:val="single"/>
          <w:lang w:val="en-US"/>
        </w:rPr>
      </w:pPr>
      <w:r w:rsidRPr="009057EB">
        <w:rPr>
          <w:rFonts w:eastAsia="Times New Roman" w:cs="Arial"/>
          <w:bCs/>
          <w:u w:val="single"/>
          <w:lang w:val="en-US"/>
        </w:rPr>
        <w:t>Inform the Secretariat of any such areas proposed under paragraph (a)</w:t>
      </w:r>
    </w:p>
    <w:p w:rsidR="009057EB" w:rsidRPr="009057EB" w:rsidRDefault="009057EB" w:rsidP="009057EB">
      <w:pPr>
        <w:spacing w:after="0" w:line="240" w:lineRule="auto"/>
        <w:ind w:firstLine="540"/>
        <w:jc w:val="both"/>
        <w:rPr>
          <w:rFonts w:eastAsia="Times New Roman" w:cs="Arial"/>
          <w:i/>
          <w:lang w:val="en-US"/>
        </w:rPr>
      </w:pPr>
    </w:p>
    <w:p w:rsidR="009057EB" w:rsidRPr="009057EB" w:rsidRDefault="009057EB" w:rsidP="009057EB">
      <w:pPr>
        <w:spacing w:after="0" w:line="240" w:lineRule="auto"/>
        <w:ind w:firstLine="540"/>
        <w:jc w:val="both"/>
        <w:rPr>
          <w:rFonts w:eastAsia="Times New Roman" w:cs="Arial"/>
          <w:b/>
          <w:i/>
          <w:lang w:val="en-US"/>
        </w:rPr>
      </w:pPr>
    </w:p>
    <w:p w:rsidR="009057EB" w:rsidRPr="009057EB" w:rsidRDefault="009057EB" w:rsidP="009057EB">
      <w:pPr>
        <w:spacing w:after="0" w:line="240" w:lineRule="auto"/>
        <w:jc w:val="both"/>
        <w:rPr>
          <w:rFonts w:eastAsia="Times New Roman" w:cs="Arial"/>
          <w:b/>
          <w:i/>
          <w:lang w:val="en-US"/>
        </w:rPr>
      </w:pPr>
      <w:r w:rsidRPr="009057EB">
        <w:rPr>
          <w:rFonts w:eastAsia="Times New Roman" w:cs="Arial"/>
          <w:b/>
          <w:i/>
          <w:lang w:val="en-US"/>
        </w:rPr>
        <w:t>Directed to the Secretariat</w:t>
      </w:r>
    </w:p>
    <w:p w:rsidR="009057EB" w:rsidRPr="009057EB" w:rsidRDefault="009057EB" w:rsidP="009057EB">
      <w:pPr>
        <w:spacing w:after="0" w:line="240" w:lineRule="auto"/>
        <w:ind w:firstLine="540"/>
        <w:jc w:val="both"/>
        <w:rPr>
          <w:rFonts w:eastAsia="Times New Roman" w:cs="Arial"/>
          <w:i/>
          <w:lang w:val="en-US"/>
        </w:rPr>
      </w:pPr>
    </w:p>
    <w:p w:rsidR="009057EB" w:rsidRPr="009057EB" w:rsidRDefault="009057EB" w:rsidP="009057EB">
      <w:pPr>
        <w:widowControl w:val="0"/>
        <w:autoSpaceDE w:val="0"/>
        <w:autoSpaceDN w:val="0"/>
        <w:adjustRightInd w:val="0"/>
        <w:spacing w:after="0" w:line="240" w:lineRule="auto"/>
        <w:ind w:left="1418" w:hanging="1418"/>
        <w:jc w:val="both"/>
        <w:rPr>
          <w:rFonts w:eastAsia="Times New Roman" w:cs="Arial"/>
          <w:lang w:val="en-US"/>
        </w:rPr>
      </w:pPr>
      <w:r w:rsidRPr="009057EB">
        <w:rPr>
          <w:rFonts w:eastAsia="Times New Roman" w:cs="Arial"/>
          <w:lang w:val="en-US"/>
        </w:rPr>
        <w:t>13.BB (12.95)</w:t>
      </w:r>
      <w:r w:rsidRPr="009057EB">
        <w:rPr>
          <w:rFonts w:eastAsia="Times New Roman" w:cs="Arial"/>
          <w:b/>
          <w:lang w:val="en-US"/>
        </w:rPr>
        <w:t xml:space="preserve"> </w:t>
      </w:r>
      <w:r>
        <w:rPr>
          <w:rFonts w:eastAsia="Times New Roman" w:cs="Arial"/>
          <w:b/>
          <w:lang w:val="en-US"/>
        </w:rPr>
        <w:tab/>
      </w:r>
      <w:r w:rsidRPr="009057EB">
        <w:rPr>
          <w:rFonts w:eastAsia="Times New Roman" w:cs="Arial"/>
          <w:lang w:val="en-US"/>
        </w:rPr>
        <w:t>The Secretariat shall, subject to the availability of external resources:</w:t>
      </w:r>
    </w:p>
    <w:p w:rsidR="009057EB" w:rsidRPr="009057EB" w:rsidRDefault="009057EB" w:rsidP="009057EB">
      <w:pPr>
        <w:widowControl w:val="0"/>
        <w:autoSpaceDE w:val="0"/>
        <w:autoSpaceDN w:val="0"/>
        <w:adjustRightInd w:val="0"/>
        <w:spacing w:after="0" w:line="240" w:lineRule="auto"/>
        <w:ind w:left="1440" w:hanging="360"/>
        <w:jc w:val="both"/>
        <w:rPr>
          <w:rFonts w:eastAsia="Times New Roman" w:cs="Arial"/>
          <w:lang w:val="en-US"/>
        </w:rPr>
      </w:pPr>
    </w:p>
    <w:p w:rsidR="009057EB" w:rsidRPr="009057EB" w:rsidRDefault="009057EB" w:rsidP="00E33D3A">
      <w:pPr>
        <w:widowControl w:val="0"/>
        <w:numPr>
          <w:ilvl w:val="0"/>
          <w:numId w:val="13"/>
        </w:numPr>
        <w:autoSpaceDE w:val="0"/>
        <w:autoSpaceDN w:val="0"/>
        <w:adjustRightInd w:val="0"/>
        <w:spacing w:after="0" w:line="240" w:lineRule="auto"/>
        <w:ind w:left="1985" w:hanging="425"/>
        <w:jc w:val="both"/>
        <w:rPr>
          <w:rFonts w:eastAsia="Times New Roman" w:cs="Arial"/>
          <w:lang w:val="en-US"/>
        </w:rPr>
      </w:pPr>
      <w:r w:rsidRPr="009057EB">
        <w:rPr>
          <w:rFonts w:eastAsia="Times New Roman" w:cs="Arial"/>
          <w:lang w:val="en-US"/>
        </w:rPr>
        <w:t>Support Parties in implementing Decision 13.AA;</w:t>
      </w:r>
    </w:p>
    <w:p w:rsidR="009057EB" w:rsidRPr="009057EB" w:rsidRDefault="009057EB" w:rsidP="00E33D3A">
      <w:pPr>
        <w:widowControl w:val="0"/>
        <w:autoSpaceDE w:val="0"/>
        <w:autoSpaceDN w:val="0"/>
        <w:adjustRightInd w:val="0"/>
        <w:spacing w:after="0" w:line="240" w:lineRule="auto"/>
        <w:ind w:left="1985" w:hanging="425"/>
        <w:jc w:val="both"/>
        <w:rPr>
          <w:rFonts w:eastAsia="Times New Roman" w:cs="Arial"/>
          <w:lang w:val="en-US"/>
        </w:rPr>
      </w:pPr>
    </w:p>
    <w:p w:rsidR="009057EB" w:rsidRPr="009057EB" w:rsidRDefault="009057EB" w:rsidP="00E33D3A">
      <w:pPr>
        <w:widowControl w:val="0"/>
        <w:numPr>
          <w:ilvl w:val="0"/>
          <w:numId w:val="13"/>
        </w:numPr>
        <w:autoSpaceDE w:val="0"/>
        <w:autoSpaceDN w:val="0"/>
        <w:adjustRightInd w:val="0"/>
        <w:spacing w:after="0" w:line="240" w:lineRule="auto"/>
        <w:ind w:left="1985" w:hanging="425"/>
        <w:jc w:val="both"/>
        <w:rPr>
          <w:rFonts w:eastAsia="Times New Roman" w:cs="Arial"/>
          <w:lang w:val="en-US"/>
        </w:rPr>
      </w:pPr>
      <w:r w:rsidRPr="009057EB">
        <w:rPr>
          <w:rFonts w:eastAsia="Times New Roman" w:cs="Arial"/>
          <w:lang w:val="en-US"/>
        </w:rPr>
        <w:t xml:space="preserve">Report to </w:t>
      </w:r>
      <w:r w:rsidRPr="009057EB">
        <w:rPr>
          <w:rFonts w:eastAsia="Times New Roman" w:cs="Arial"/>
          <w:strike/>
          <w:lang w:val="en-US"/>
        </w:rPr>
        <w:t>the Standing Committee at its 48th and 49th meetings as well as</w:t>
      </w:r>
      <w:r w:rsidRPr="009057EB">
        <w:rPr>
          <w:rFonts w:eastAsia="Times New Roman" w:cs="Arial"/>
          <w:lang w:val="en-US"/>
        </w:rPr>
        <w:t xml:space="preserve"> the Conference of the Parties at its 14</w:t>
      </w:r>
      <w:r w:rsidRPr="009057EB">
        <w:rPr>
          <w:rFonts w:eastAsia="Times New Roman" w:cs="Arial"/>
          <w:strike/>
          <w:lang w:val="en-US"/>
        </w:rPr>
        <w:t>3</w:t>
      </w:r>
      <w:r w:rsidRPr="009057EB">
        <w:rPr>
          <w:rFonts w:eastAsia="Times New Roman" w:cs="Arial"/>
          <w:lang w:val="en-US"/>
        </w:rPr>
        <w:t>th meeting on the progress in implementing this Decision.</w:t>
      </w:r>
      <w:r w:rsidRPr="009057EB">
        <w:rPr>
          <w:rFonts w:cs="Arial"/>
          <w:u w:val="single"/>
          <w:lang w:val="en-US"/>
        </w:rPr>
        <w:t xml:space="preserve"> </w:t>
      </w:r>
    </w:p>
    <w:p w:rsidR="009057EB" w:rsidRPr="009057EB" w:rsidRDefault="009057EB" w:rsidP="00E33D3A">
      <w:pPr>
        <w:spacing w:after="0" w:line="240" w:lineRule="auto"/>
        <w:ind w:left="1985" w:hanging="425"/>
        <w:jc w:val="both"/>
        <w:rPr>
          <w:lang w:val="en-US"/>
        </w:rPr>
      </w:pPr>
    </w:p>
    <w:p w:rsidR="009057EB" w:rsidRPr="009057EB" w:rsidRDefault="009057EB" w:rsidP="009057EB">
      <w:pPr>
        <w:spacing w:after="0" w:line="240" w:lineRule="auto"/>
        <w:ind w:left="540"/>
        <w:jc w:val="both"/>
        <w:rPr>
          <w:b/>
          <w:i/>
          <w:lang w:val="en-US"/>
        </w:rPr>
      </w:pPr>
    </w:p>
    <w:p w:rsidR="009057EB" w:rsidRPr="009057EB" w:rsidRDefault="009057EB" w:rsidP="009057EB">
      <w:pPr>
        <w:spacing w:after="0" w:line="240" w:lineRule="auto"/>
        <w:jc w:val="both"/>
        <w:rPr>
          <w:b/>
          <w:i/>
          <w:lang w:val="en-US"/>
        </w:rPr>
      </w:pPr>
      <w:r w:rsidRPr="009057EB">
        <w:rPr>
          <w:b/>
          <w:i/>
          <w:lang w:val="en-US"/>
        </w:rPr>
        <w:t>Directed to Parties, intergovernmental and non-governmental organizations</w:t>
      </w:r>
    </w:p>
    <w:p w:rsidR="009057EB" w:rsidRPr="009057EB" w:rsidRDefault="009057EB" w:rsidP="009057EB">
      <w:pPr>
        <w:spacing w:after="0" w:line="240" w:lineRule="auto"/>
        <w:ind w:left="540"/>
        <w:jc w:val="both"/>
        <w:rPr>
          <w:i/>
          <w:lang w:val="en-US"/>
        </w:rPr>
      </w:pPr>
    </w:p>
    <w:p w:rsidR="009057EB" w:rsidRPr="009057EB" w:rsidRDefault="009057EB" w:rsidP="00E33D3A">
      <w:pPr>
        <w:spacing w:after="0" w:line="240" w:lineRule="auto"/>
        <w:ind w:left="1588" w:hanging="1588"/>
        <w:jc w:val="both"/>
        <w:rPr>
          <w:lang w:val="en-US"/>
        </w:rPr>
      </w:pPr>
      <w:r w:rsidRPr="009057EB">
        <w:rPr>
          <w:lang w:val="en-US"/>
        </w:rPr>
        <w:t>13.CC (12.96)</w:t>
      </w:r>
      <w:r w:rsidRPr="009057EB">
        <w:rPr>
          <w:lang w:val="en-US"/>
        </w:rPr>
        <w:tab/>
      </w:r>
      <w:r w:rsidR="00E33D3A">
        <w:rPr>
          <w:lang w:val="en-US"/>
        </w:rPr>
        <w:tab/>
      </w:r>
      <w:r w:rsidRPr="009057EB">
        <w:rPr>
          <w:lang w:val="en-US"/>
        </w:rPr>
        <w:t>Parties, intergovernmental and non-governmental organizations are encouraged to provide financial and technical support to implement Decisions 13.AA and 13.BB.</w:t>
      </w:r>
    </w:p>
    <w:p w:rsidR="009057EB" w:rsidRDefault="009057EB" w:rsidP="009057EB">
      <w:pPr>
        <w:spacing w:after="0" w:line="240" w:lineRule="auto"/>
        <w:jc w:val="both"/>
        <w:rPr>
          <w:lang w:val="en-US"/>
        </w:rPr>
      </w:pPr>
    </w:p>
    <w:p w:rsidR="00736D20" w:rsidRPr="009057EB" w:rsidRDefault="00736D20" w:rsidP="009057EB">
      <w:pPr>
        <w:spacing w:after="0" w:line="240" w:lineRule="auto"/>
        <w:jc w:val="both"/>
        <w:rPr>
          <w:lang w:val="en-US"/>
        </w:rPr>
      </w:pPr>
    </w:p>
    <w:p w:rsidR="009057EB" w:rsidRPr="009057EB" w:rsidRDefault="009057EB" w:rsidP="009057EB">
      <w:pPr>
        <w:spacing w:after="0" w:line="240" w:lineRule="auto"/>
        <w:jc w:val="both"/>
        <w:rPr>
          <w:b/>
          <w:i/>
          <w:strike/>
          <w:lang w:val="en-US"/>
        </w:rPr>
      </w:pPr>
      <w:r w:rsidRPr="009057EB">
        <w:rPr>
          <w:b/>
          <w:i/>
          <w:strike/>
          <w:lang w:val="en-US"/>
        </w:rPr>
        <w:t>Directed to the Standing Committee</w:t>
      </w:r>
    </w:p>
    <w:p w:rsidR="009057EB" w:rsidRPr="009057EB" w:rsidRDefault="009057EB" w:rsidP="009057EB">
      <w:pPr>
        <w:spacing w:after="0" w:line="240" w:lineRule="auto"/>
        <w:ind w:left="1170"/>
        <w:jc w:val="both"/>
        <w:rPr>
          <w:strike/>
          <w:lang w:val="en-US"/>
        </w:rPr>
      </w:pPr>
    </w:p>
    <w:p w:rsidR="009057EB" w:rsidRPr="009057EB" w:rsidRDefault="009057EB" w:rsidP="009057EB">
      <w:pPr>
        <w:spacing w:after="0" w:line="240" w:lineRule="auto"/>
        <w:ind w:left="1440" w:hanging="1440"/>
        <w:jc w:val="both"/>
        <w:rPr>
          <w:strike/>
          <w:lang w:val="en-US"/>
        </w:rPr>
      </w:pPr>
      <w:r w:rsidRPr="009057EB">
        <w:rPr>
          <w:strike/>
          <w:lang w:val="en-US"/>
        </w:rPr>
        <w:t xml:space="preserve">12.97 </w:t>
      </w:r>
      <w:r w:rsidRPr="009057EB">
        <w:rPr>
          <w:strike/>
          <w:lang w:val="en-US"/>
        </w:rPr>
        <w:tab/>
        <w:t>The Standing Committee shall consider the report received from the Secretariat.</w:t>
      </w:r>
    </w:p>
    <w:p w:rsidR="009057EB" w:rsidRPr="009057EB" w:rsidRDefault="009057EB" w:rsidP="009057EB">
      <w:pPr>
        <w:spacing w:after="0" w:line="240" w:lineRule="auto"/>
        <w:jc w:val="center"/>
        <w:rPr>
          <w:lang w:val="en-US"/>
        </w:rPr>
      </w:pPr>
    </w:p>
    <w:p w:rsidR="00360838" w:rsidRPr="00303E2B" w:rsidRDefault="00360838" w:rsidP="00303E2B">
      <w:pPr>
        <w:pStyle w:val="FourthnumberingA"/>
        <w:numPr>
          <w:ilvl w:val="0"/>
          <w:numId w:val="0"/>
        </w:numPr>
        <w:rPr>
          <w:lang w:val="en-US"/>
        </w:rPr>
      </w:pPr>
    </w:p>
    <w:sectPr w:rsidR="00360838" w:rsidRPr="00303E2B" w:rsidSect="007063DB">
      <w:headerReference w:type="even" r:id="rId19"/>
      <w:headerReference w:type="default" r:id="rId20"/>
      <w:footerReference w:type="even" r:id="rId21"/>
      <w:headerReference w:type="first" r:id="rId2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90080714"/>
      <w:docPartObj>
        <w:docPartGallery w:val="Page Numbers (Bottom of Page)"/>
        <w:docPartUnique/>
      </w:docPartObj>
    </w:sdtPr>
    <w:sdtEndPr>
      <w:rPr>
        <w:noProof/>
      </w:rPr>
    </w:sdtEndPr>
    <w:sdtContent>
      <w:p w:rsidR="009057EB" w:rsidRPr="009057EB" w:rsidRDefault="009057EB" w:rsidP="009057EB">
        <w:pPr>
          <w:pStyle w:val="Footer"/>
          <w:jc w:val="center"/>
          <w:rPr>
            <w:sz w:val="18"/>
            <w:szCs w:val="18"/>
          </w:rPr>
        </w:pPr>
        <w:r w:rsidRPr="009057EB">
          <w:rPr>
            <w:sz w:val="18"/>
            <w:szCs w:val="18"/>
          </w:rPr>
          <w:fldChar w:fldCharType="begin"/>
        </w:r>
        <w:r w:rsidRPr="009057EB">
          <w:rPr>
            <w:sz w:val="18"/>
            <w:szCs w:val="18"/>
          </w:rPr>
          <w:instrText xml:space="preserve"> PAGE   \* MERGEFORMAT </w:instrText>
        </w:r>
        <w:r w:rsidRPr="009057EB">
          <w:rPr>
            <w:sz w:val="18"/>
            <w:szCs w:val="18"/>
          </w:rPr>
          <w:fldChar w:fldCharType="separate"/>
        </w:r>
        <w:r w:rsidRPr="009057EB">
          <w:rPr>
            <w:noProof/>
            <w:sz w:val="18"/>
            <w:szCs w:val="18"/>
          </w:rPr>
          <w:t>2</w:t>
        </w:r>
        <w:r w:rsidRPr="009057EB">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63596472"/>
      <w:docPartObj>
        <w:docPartGallery w:val="Page Numbers (Bottom of Page)"/>
        <w:docPartUnique/>
      </w:docPartObj>
    </w:sdtPr>
    <w:sdtEndPr>
      <w:rPr>
        <w:noProof/>
      </w:rPr>
    </w:sdtEndPr>
    <w:sdtContent>
      <w:p w:rsidR="00303E2B" w:rsidRPr="00303E2B" w:rsidRDefault="00303E2B" w:rsidP="00303E2B">
        <w:pPr>
          <w:pStyle w:val="Footer"/>
          <w:jc w:val="center"/>
          <w:rPr>
            <w:sz w:val="18"/>
            <w:szCs w:val="18"/>
          </w:rPr>
        </w:pPr>
        <w:r w:rsidRPr="00303E2B">
          <w:rPr>
            <w:sz w:val="18"/>
            <w:szCs w:val="18"/>
          </w:rPr>
          <w:fldChar w:fldCharType="begin"/>
        </w:r>
        <w:r w:rsidRPr="00303E2B">
          <w:rPr>
            <w:sz w:val="18"/>
            <w:szCs w:val="18"/>
          </w:rPr>
          <w:instrText xml:space="preserve"> PAGE   \* MERGEFORMAT </w:instrText>
        </w:r>
        <w:r w:rsidRPr="00303E2B">
          <w:rPr>
            <w:sz w:val="18"/>
            <w:szCs w:val="18"/>
          </w:rPr>
          <w:fldChar w:fldCharType="separate"/>
        </w:r>
        <w:r w:rsidRPr="00303E2B">
          <w:rPr>
            <w:noProof/>
            <w:sz w:val="18"/>
            <w:szCs w:val="18"/>
          </w:rPr>
          <w:t>2</w:t>
        </w:r>
        <w:r w:rsidRPr="00303E2B">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40120936"/>
      <w:docPartObj>
        <w:docPartGallery w:val="Page Numbers (Bottom of Page)"/>
        <w:docPartUnique/>
      </w:docPartObj>
    </w:sdtPr>
    <w:sdtEndPr>
      <w:rPr>
        <w:noProof/>
      </w:rPr>
    </w:sdtEndPr>
    <w:sdtContent>
      <w:p w:rsidR="00303E2B" w:rsidRPr="00303E2B" w:rsidRDefault="00303E2B" w:rsidP="00303E2B">
        <w:pPr>
          <w:pStyle w:val="Footer"/>
          <w:jc w:val="center"/>
          <w:rPr>
            <w:sz w:val="18"/>
            <w:szCs w:val="18"/>
          </w:rPr>
        </w:pPr>
        <w:r w:rsidRPr="00303E2B">
          <w:rPr>
            <w:sz w:val="18"/>
            <w:szCs w:val="18"/>
          </w:rPr>
          <w:fldChar w:fldCharType="begin"/>
        </w:r>
        <w:r w:rsidRPr="00303E2B">
          <w:rPr>
            <w:sz w:val="18"/>
            <w:szCs w:val="18"/>
          </w:rPr>
          <w:instrText xml:space="preserve"> PAGE   \* MERGEFORMAT </w:instrText>
        </w:r>
        <w:r w:rsidRPr="00303E2B">
          <w:rPr>
            <w:sz w:val="18"/>
            <w:szCs w:val="18"/>
          </w:rPr>
          <w:fldChar w:fldCharType="separate"/>
        </w:r>
        <w:r w:rsidRPr="00303E2B">
          <w:rPr>
            <w:noProof/>
            <w:sz w:val="18"/>
            <w:szCs w:val="18"/>
          </w:rPr>
          <w:t>2</w:t>
        </w:r>
        <w:r w:rsidRPr="00303E2B">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190560"/>
      <w:docPartObj>
        <w:docPartGallery w:val="Page Numbers (Bottom of Page)"/>
        <w:docPartUnique/>
      </w:docPartObj>
    </w:sdtPr>
    <w:sdtEndPr>
      <w:rPr>
        <w:noProof/>
      </w:rPr>
    </w:sdtEndPr>
    <w:sdtContent>
      <w:p w:rsidR="007063DB" w:rsidRDefault="00E33D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E0DE9" w:rsidRPr="00F77552" w:rsidRDefault="002E0DE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r w:rsidRPr="00526971">
      <w:rPr>
        <w:rFonts w:eastAsia="Times New Roman" w:cs="Arial"/>
        <w:i/>
        <w:sz w:val="18"/>
        <w:szCs w:val="18"/>
      </w:rPr>
      <w:t>Doc.</w:t>
    </w:r>
    <w:r w:rsidR="00526971" w:rsidRPr="00526971">
      <w:rPr>
        <w:rFonts w:eastAsia="Times New Roman" w:cs="Arial"/>
        <w:i/>
        <w:sz w:val="18"/>
        <w:szCs w:val="18"/>
      </w:rPr>
      <w:t>26.4.5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303E2B">
    <w:pPr>
      <w:pStyle w:val="Header"/>
      <w:pBdr>
        <w:bottom w:val="single" w:sz="4" w:space="1" w:color="auto"/>
      </w:pBdr>
      <w:jc w:val="right"/>
      <w:rPr>
        <w:i/>
        <w:sz w:val="18"/>
        <w:szCs w:val="18"/>
      </w:rPr>
    </w:pPr>
    <w:r w:rsidRPr="002E0DE9">
      <w:rPr>
        <w:rFonts w:eastAsia="Times New Roman" w:cs="Arial"/>
        <w:i/>
        <w:sz w:val="18"/>
        <w:szCs w:val="18"/>
      </w:rPr>
      <w:t>UNEP/CMS/COP13/Doc.</w:t>
    </w:r>
    <w:r w:rsidR="00526971" w:rsidRPr="00526971">
      <w:rPr>
        <w:rFonts w:eastAsia="Times New Roman" w:cs="Arial"/>
        <w:i/>
        <w:sz w:val="18"/>
        <w:szCs w:val="18"/>
      </w:rPr>
      <w:t>26.4.5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EB" w:rsidRPr="002E0DE9" w:rsidRDefault="009057EB" w:rsidP="002E0DE9">
    <w:pPr>
      <w:pStyle w:val="Header"/>
      <w:pBdr>
        <w:bottom w:val="single" w:sz="4" w:space="1" w:color="auto"/>
      </w:pBdr>
      <w:rPr>
        <w:i/>
        <w:sz w:val="18"/>
        <w:szCs w:val="18"/>
      </w:rPr>
    </w:pPr>
    <w:r w:rsidRPr="002E0DE9">
      <w:rPr>
        <w:rFonts w:eastAsia="Times New Roman" w:cs="Arial"/>
        <w:i/>
        <w:sz w:val="18"/>
        <w:szCs w:val="18"/>
      </w:rPr>
      <w:t>UNEP/CMS/COP13/</w:t>
    </w:r>
    <w:r w:rsidRPr="00526971">
      <w:rPr>
        <w:rFonts w:eastAsia="Times New Roman" w:cs="Arial"/>
        <w:i/>
        <w:sz w:val="18"/>
        <w:szCs w:val="18"/>
      </w:rPr>
      <w:t>Doc.26.4.5</w:t>
    </w:r>
    <w:r>
      <w:rPr>
        <w:rFonts w:eastAsia="Times New Roman" w:cs="Arial"/>
        <w:i/>
        <w:sz w:val="18"/>
        <w:szCs w:val="18"/>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E2B" w:rsidRPr="002E0DE9" w:rsidRDefault="00303E2B" w:rsidP="00303E2B">
    <w:pPr>
      <w:pStyle w:val="Header"/>
      <w:pBdr>
        <w:bottom w:val="single" w:sz="4" w:space="1" w:color="auto"/>
      </w:pBdr>
      <w:jc w:val="right"/>
      <w:rPr>
        <w:i/>
        <w:sz w:val="18"/>
        <w:szCs w:val="18"/>
      </w:rPr>
    </w:pPr>
    <w:r w:rsidRPr="002E0DE9">
      <w:rPr>
        <w:rFonts w:eastAsia="Times New Roman" w:cs="Arial"/>
        <w:i/>
        <w:sz w:val="18"/>
        <w:szCs w:val="18"/>
      </w:rPr>
      <w:t>UNEP/CMS/COP13/Doc.</w:t>
    </w:r>
    <w:r w:rsidRPr="00526971">
      <w:rPr>
        <w:rFonts w:eastAsia="Times New Roman" w:cs="Arial"/>
        <w:i/>
        <w:sz w:val="18"/>
        <w:szCs w:val="18"/>
      </w:rPr>
      <w:t>26.4.5</w:t>
    </w:r>
    <w:r>
      <w:rPr>
        <w:rFonts w:eastAsia="Times New Roman" w:cs="Arial"/>
        <w:i/>
        <w:sz w:val="18"/>
        <w:szCs w:val="18"/>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E2B" w:rsidRPr="002E0DE9" w:rsidRDefault="00303E2B" w:rsidP="00303E2B">
    <w:pPr>
      <w:pStyle w:val="Header"/>
      <w:pBdr>
        <w:bottom w:val="single" w:sz="4" w:space="1" w:color="auto"/>
      </w:pBdr>
      <w:rPr>
        <w:i/>
        <w:sz w:val="18"/>
        <w:szCs w:val="18"/>
      </w:rPr>
    </w:pPr>
    <w:r w:rsidRPr="002E0DE9">
      <w:rPr>
        <w:rFonts w:eastAsia="Times New Roman" w:cs="Arial"/>
        <w:i/>
        <w:sz w:val="18"/>
        <w:szCs w:val="18"/>
      </w:rPr>
      <w:t>UNEP/CMS/COP13/</w:t>
    </w:r>
    <w:r w:rsidRPr="00526971">
      <w:rPr>
        <w:rFonts w:eastAsia="Times New Roman" w:cs="Arial"/>
        <w:i/>
        <w:sz w:val="18"/>
        <w:szCs w:val="18"/>
      </w:rPr>
      <w:t>Doc.26.4.5</w:t>
    </w:r>
    <w:r>
      <w:rPr>
        <w:rFonts w:eastAsia="Times New Roman" w:cs="Arial"/>
        <w:i/>
        <w:sz w:val="18"/>
        <w:szCs w:val="18"/>
      </w:rPr>
      <w:t>/Annex 1</w:t>
    </w:r>
  </w:p>
  <w:p w:rsidR="00303E2B" w:rsidRDefault="00303E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EB" w:rsidRPr="002E0DE9" w:rsidRDefault="009057EB" w:rsidP="009057EB">
    <w:pPr>
      <w:pStyle w:val="Header"/>
      <w:pBdr>
        <w:bottom w:val="single" w:sz="4" w:space="1" w:color="auto"/>
      </w:pBdr>
      <w:rPr>
        <w:i/>
        <w:sz w:val="18"/>
        <w:szCs w:val="18"/>
      </w:rPr>
    </w:pPr>
    <w:r w:rsidRPr="002E0DE9">
      <w:rPr>
        <w:rFonts w:eastAsia="Times New Roman" w:cs="Arial"/>
        <w:i/>
        <w:sz w:val="18"/>
        <w:szCs w:val="18"/>
      </w:rPr>
      <w:t>UNEP/CMS/COP13/</w:t>
    </w:r>
    <w:r w:rsidRPr="00526971">
      <w:rPr>
        <w:rFonts w:eastAsia="Times New Roman" w:cs="Arial"/>
        <w:i/>
        <w:sz w:val="18"/>
        <w:szCs w:val="18"/>
      </w:rPr>
      <w:t>Doc.26.4.5</w:t>
    </w:r>
    <w:r>
      <w:rPr>
        <w:rFonts w:eastAsia="Times New Roman" w:cs="Arial"/>
        <w:i/>
        <w:sz w:val="18"/>
        <w:szCs w:val="18"/>
      </w:rPr>
      <w:t>/Annex 2</w:t>
    </w:r>
  </w:p>
  <w:p w:rsidR="002E0DE9" w:rsidRDefault="002E0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568F"/>
    <w:multiLevelType w:val="hybridMultilevel"/>
    <w:tmpl w:val="C90431B8"/>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23DF48E4"/>
    <w:multiLevelType w:val="hybridMultilevel"/>
    <w:tmpl w:val="276A6F0C"/>
    <w:lvl w:ilvl="0" w:tplc="0409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C492728"/>
    <w:multiLevelType w:val="hybridMultilevel"/>
    <w:tmpl w:val="BE2E8BF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3F0F8A"/>
    <w:multiLevelType w:val="hybridMultilevel"/>
    <w:tmpl w:val="D39E1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62E34"/>
    <w:multiLevelType w:val="hybridMultilevel"/>
    <w:tmpl w:val="3A645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E1C2E"/>
    <w:multiLevelType w:val="hybridMultilevel"/>
    <w:tmpl w:val="BE2E8BF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7E269C"/>
    <w:multiLevelType w:val="hybridMultilevel"/>
    <w:tmpl w:val="C90431B8"/>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3F7345"/>
    <w:multiLevelType w:val="hybridMultilevel"/>
    <w:tmpl w:val="3DEE62F2"/>
    <w:lvl w:ilvl="0" w:tplc="39446B6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0"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45848"/>
    <w:multiLevelType w:val="hybridMultilevel"/>
    <w:tmpl w:val="CD92F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B30392"/>
    <w:multiLevelType w:val="hybridMultilevel"/>
    <w:tmpl w:val="080E5BBA"/>
    <w:lvl w:ilvl="0" w:tplc="5A7004F8">
      <w:start w:val="1"/>
      <w:numFmt w:val="decimal"/>
      <w:pStyle w:val="Firstnumbering"/>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9"/>
  </w:num>
  <w:num w:numId="5">
    <w:abstractNumId w:val="1"/>
  </w:num>
  <w:num w:numId="6">
    <w:abstractNumId w:val="8"/>
  </w:num>
  <w:num w:numId="7">
    <w:abstractNumId w:val="0"/>
  </w:num>
  <w:num w:numId="8">
    <w:abstractNumId w:val="3"/>
  </w:num>
  <w:num w:numId="9">
    <w:abstractNumId w:val="5"/>
  </w:num>
  <w:num w:numId="10">
    <w:abstractNumId w:val="4"/>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2E0DE9"/>
    <w:rsid w:val="00303E2B"/>
    <w:rsid w:val="00360838"/>
    <w:rsid w:val="00383651"/>
    <w:rsid w:val="004B7071"/>
    <w:rsid w:val="00526971"/>
    <w:rsid w:val="005330F7"/>
    <w:rsid w:val="00563598"/>
    <w:rsid w:val="0069797E"/>
    <w:rsid w:val="00736D20"/>
    <w:rsid w:val="008156DF"/>
    <w:rsid w:val="008226C3"/>
    <w:rsid w:val="008338DE"/>
    <w:rsid w:val="008B0AC3"/>
    <w:rsid w:val="008C3546"/>
    <w:rsid w:val="008D66E6"/>
    <w:rsid w:val="009057EB"/>
    <w:rsid w:val="009C1079"/>
    <w:rsid w:val="00A34291"/>
    <w:rsid w:val="00B57E93"/>
    <w:rsid w:val="00C15971"/>
    <w:rsid w:val="00C2719B"/>
    <w:rsid w:val="00D7008A"/>
    <w:rsid w:val="00DD3E44"/>
    <w:rsid w:val="00E33D3A"/>
    <w:rsid w:val="00E40B70"/>
    <w:rsid w:val="00EC4F04"/>
    <w:rsid w:val="00EC6EE1"/>
    <w:rsid w:val="00EE77FD"/>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contextualSpacing w:val="0"/>
    </w:pPr>
  </w:style>
  <w:style w:type="paragraph" w:customStyle="1" w:styleId="Secondnumbering">
    <w:name w:val="Second numbering"/>
    <w:basedOn w:val="Firstnumbering"/>
    <w:link w:val="SecondnumberingChar"/>
    <w:qFormat/>
    <w:rsid w:val="00360838"/>
    <w:pPr>
      <w:numPr>
        <w:numId w:val="3"/>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A1379-7258-408C-8428-1025DBE2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5140</Words>
  <Characters>29300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5</cp:revision>
  <cp:lastPrinted>2019-09-26T12:18:00Z</cp:lastPrinted>
  <dcterms:created xsi:type="dcterms:W3CDTF">2019-09-16T09:42:00Z</dcterms:created>
  <dcterms:modified xsi:type="dcterms:W3CDTF">2019-09-30T10:04:00Z</dcterms:modified>
</cp:coreProperties>
</file>