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05300F"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6F556C"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05300F">
              <w:rPr>
                <w:rFonts w:eastAsia="Arial" w:cs="Arial"/>
                <w:lang w:val="fr-FR"/>
              </w:rPr>
              <w:t>26.2.9</w:t>
            </w:r>
          </w:p>
          <w:p w:rsidR="00EC2A58" w:rsidRPr="006F556C" w:rsidRDefault="006F556C"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23 septembre</w:t>
            </w:r>
            <w:r w:rsidR="00EC2A58" w:rsidRPr="006F556C">
              <w:rPr>
                <w:rFonts w:eastAsia="Arial" w:cs="Arial"/>
                <w:lang w:val="fr-FR"/>
              </w:rPr>
              <w:t xml:space="preserve"> 2019</w:t>
            </w:r>
          </w:p>
          <w:p w:rsidR="00EC2A58" w:rsidRPr="006F556C" w:rsidRDefault="00EC2A58" w:rsidP="00D71837">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Français</w:t>
            </w:r>
          </w:p>
          <w:p w:rsidR="00EC2A58" w:rsidRPr="006F556C" w:rsidRDefault="00EC2A58" w:rsidP="00D71837">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Original : Anglais</w:t>
            </w:r>
          </w:p>
          <w:p w:rsidR="00EC2A58" w:rsidRPr="006F556C" w:rsidRDefault="00EC2A58" w:rsidP="00D71837">
            <w:pPr>
              <w:widowControl w:val="0"/>
              <w:suppressAutoHyphens/>
              <w:autoSpaceDE w:val="0"/>
              <w:autoSpaceDN w:val="0"/>
              <w:spacing w:after="0" w:line="240" w:lineRule="auto"/>
              <w:textAlignment w:val="baseline"/>
              <w:rPr>
                <w:rFonts w:eastAsia="Arial" w:cs="Arial"/>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05300F">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05300F" w:rsidRPr="0005300F" w:rsidRDefault="0005300F" w:rsidP="0005300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bCs/>
          <w:lang w:val="fr-FR"/>
        </w:rPr>
      </w:pPr>
      <w:r w:rsidRPr="0005300F">
        <w:rPr>
          <w:b/>
          <w:bCs/>
          <w:lang w:val="fr-FR"/>
        </w:rPr>
        <w:t>ANGUILLE D’EUROPE</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495800" cy="27241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495800" cy="2724150"/>
                        </a:xfrm>
                        <a:prstGeom prst="rect">
                          <a:avLst/>
                        </a:prstGeom>
                        <a:solidFill>
                          <a:srgbClr val="FFFFFF"/>
                        </a:solidFill>
                        <a:ln w="3172">
                          <a:solidFill>
                            <a:srgbClr val="000000"/>
                          </a:solidFill>
                          <a:prstDash val="solid"/>
                        </a:ln>
                      </wps:spPr>
                      <wps:txbx>
                        <w:txbxContent>
                          <w:p w:rsidR="00EC2A58" w:rsidRPr="0005300F" w:rsidRDefault="00EC2A58" w:rsidP="00EC2A58">
                            <w:pPr>
                              <w:spacing w:after="0"/>
                              <w:rPr>
                                <w:lang w:val="fr-FR"/>
                              </w:rPr>
                            </w:pPr>
                            <w:r>
                              <w:rPr>
                                <w:rFonts w:eastAsia="Arial" w:cs="Arial"/>
                                <w:lang w:val="fr-FR"/>
                              </w:rPr>
                              <w:t>Résumé:</w:t>
                            </w:r>
                          </w:p>
                          <w:p w:rsidR="0005300F" w:rsidRDefault="0005300F" w:rsidP="0005300F">
                            <w:pPr>
                              <w:spacing w:after="0"/>
                              <w:jc w:val="both"/>
                              <w:rPr>
                                <w:lang w:val="fr-FR"/>
                              </w:rPr>
                            </w:pPr>
                            <w:bookmarkStart w:id="0" w:name="_Hlk19732085"/>
                          </w:p>
                          <w:p w:rsidR="0005300F" w:rsidRPr="0005300F" w:rsidRDefault="0005300F" w:rsidP="000B5A54">
                            <w:pPr>
                              <w:spacing w:after="0" w:line="240" w:lineRule="auto"/>
                              <w:jc w:val="both"/>
                              <w:rPr>
                                <w:rFonts w:cs="Arial"/>
                                <w:lang w:val="fr-FR"/>
                              </w:rPr>
                            </w:pPr>
                            <w:r w:rsidRPr="0005300F">
                              <w:rPr>
                                <w:lang w:val="fr-FR"/>
                              </w:rPr>
                              <w:t>Le présent document est soumis dans le cadre de l’Action concertée 12.1</w:t>
                            </w:r>
                            <w:bookmarkEnd w:id="0"/>
                            <w:r w:rsidRPr="0005300F">
                              <w:rPr>
                                <w:lang w:val="fr-FR"/>
                              </w:rPr>
                              <w:t xml:space="preserve"> sur l’anguille d’Europe (</w:t>
                            </w:r>
                            <w:r w:rsidRPr="0005300F">
                              <w:rPr>
                                <w:i/>
                                <w:iCs/>
                                <w:lang w:val="fr-FR"/>
                              </w:rPr>
                              <w:t xml:space="preserve">Anguilla </w:t>
                            </w:r>
                            <w:proofErr w:type="spellStart"/>
                            <w:r w:rsidRPr="0005300F">
                              <w:rPr>
                                <w:i/>
                                <w:iCs/>
                                <w:lang w:val="fr-FR"/>
                              </w:rPr>
                              <w:t>anguilla</w:t>
                            </w:r>
                            <w:proofErr w:type="spellEnd"/>
                            <w:r w:rsidRPr="0005300F">
                              <w:rPr>
                                <w:lang w:val="fr-FR"/>
                              </w:rPr>
                              <w:t>). Lors de la troisième réunion des États de l’aire de répartition de l’anguille d’Europe en juin 2019, les participants ont demandé qu’un document décrivant les prochaines étapes potentielles soit présenté à la 13</w:t>
                            </w:r>
                            <w:r w:rsidRPr="0005300F">
                              <w:rPr>
                                <w:vertAlign w:val="superscript"/>
                                <w:lang w:val="fr-FR"/>
                              </w:rPr>
                              <w:t>ème</w:t>
                            </w:r>
                            <w:r w:rsidRPr="0005300F">
                              <w:rPr>
                                <w:lang w:val="fr-FR"/>
                              </w:rPr>
                              <w:t> session de la Conférence des Parties.</w:t>
                            </w:r>
                          </w:p>
                          <w:p w:rsidR="0005300F" w:rsidRPr="0005300F" w:rsidRDefault="0005300F" w:rsidP="000B5A54">
                            <w:pPr>
                              <w:spacing w:after="0" w:line="240" w:lineRule="auto"/>
                              <w:jc w:val="both"/>
                              <w:rPr>
                                <w:rFonts w:cs="Arial"/>
                                <w:lang w:val="fr-FR"/>
                              </w:rPr>
                            </w:pPr>
                          </w:p>
                          <w:p w:rsidR="00EC2A58" w:rsidRDefault="0005300F" w:rsidP="000B5A54">
                            <w:pPr>
                              <w:spacing w:after="0" w:line="240" w:lineRule="auto"/>
                              <w:jc w:val="both"/>
                              <w:rPr>
                                <w:rFonts w:cs="Arial"/>
                                <w:lang w:val="fr-FR"/>
                              </w:rPr>
                            </w:pPr>
                            <w:r w:rsidRPr="0005300F">
                              <w:rPr>
                                <w:lang w:val="fr-FR"/>
                              </w:rPr>
                              <w:t xml:space="preserve">Le document contient un projet de Plan d’action et une liste non exhaustive des menaces, des défis et des problèmes émergents auxquels l’espèce est confrontée, pour examen par la Conférence des Parties. </w:t>
                            </w:r>
                            <w:r>
                              <w:t xml:space="preserve">Les </w:t>
                            </w:r>
                            <w:proofErr w:type="spellStart"/>
                            <w:r>
                              <w:t>projets</w:t>
                            </w:r>
                            <w:proofErr w:type="spellEnd"/>
                            <w:r>
                              <w:t xml:space="preserve"> de </w:t>
                            </w:r>
                            <w:proofErr w:type="spellStart"/>
                            <w:r w:rsidR="006F556C">
                              <w:t>D</w:t>
                            </w:r>
                            <w:r>
                              <w:t>écisions</w:t>
                            </w:r>
                            <w:proofErr w:type="spellEnd"/>
                            <w:r>
                              <w:t xml:space="preserve"> </w:t>
                            </w:r>
                            <w:proofErr w:type="spellStart"/>
                            <w:r>
                              <w:t>sont</w:t>
                            </w:r>
                            <w:proofErr w:type="spellEnd"/>
                            <w:r>
                              <w:t xml:space="preserve"> </w:t>
                            </w:r>
                            <w:proofErr w:type="spellStart"/>
                            <w:r>
                              <w:t>présentés</w:t>
                            </w:r>
                            <w:proofErr w:type="spellEnd"/>
                            <w:r>
                              <w:t xml:space="preserve"> pour adoption </w:t>
                            </w:r>
                            <w:proofErr w:type="spellStart"/>
                            <w:r>
                              <w:t>éventuelle</w:t>
                            </w:r>
                            <w:proofErr w:type="spellEnd"/>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54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" strokeweight=".08811mm">
                <v:textbox>
                  <w:txbxContent>
                    <w:p w:rsidR="00EC2A58" w:rsidRPr="0005300F" w:rsidRDefault="00EC2A58" w:rsidP="00EC2A58">
                      <w:pPr>
                        <w:spacing w:after="0"/>
                        <w:rPr>
                          <w:lang w:val="fr-FR"/>
                        </w:rPr>
                      </w:pPr>
                      <w:r>
                        <w:rPr>
                          <w:rFonts w:eastAsia="Arial" w:cs="Arial"/>
                          <w:lang w:val="fr-FR"/>
                        </w:rPr>
                        <w:t>Résumé:</w:t>
                      </w:r>
                    </w:p>
                    <w:p w:rsidR="0005300F" w:rsidRDefault="0005300F" w:rsidP="0005300F">
                      <w:pPr>
                        <w:spacing w:after="0"/>
                        <w:jc w:val="both"/>
                        <w:rPr>
                          <w:lang w:val="fr-FR"/>
                        </w:rPr>
                      </w:pPr>
                      <w:bookmarkStart w:id="1" w:name="_Hlk19732085"/>
                    </w:p>
                    <w:p w:rsidR="0005300F" w:rsidRPr="0005300F" w:rsidRDefault="0005300F" w:rsidP="000B5A54">
                      <w:pPr>
                        <w:spacing w:after="0" w:line="240" w:lineRule="auto"/>
                        <w:jc w:val="both"/>
                        <w:rPr>
                          <w:rFonts w:cs="Arial"/>
                          <w:lang w:val="fr-FR"/>
                        </w:rPr>
                      </w:pPr>
                      <w:r w:rsidRPr="0005300F">
                        <w:rPr>
                          <w:lang w:val="fr-FR"/>
                        </w:rPr>
                        <w:t>Le présent document est soumis dans le cadre de l’Action concertée 12.1</w:t>
                      </w:r>
                      <w:bookmarkEnd w:id="1"/>
                      <w:r w:rsidRPr="0005300F">
                        <w:rPr>
                          <w:lang w:val="fr-FR"/>
                        </w:rPr>
                        <w:t xml:space="preserve"> sur l’anguille d’Europe (</w:t>
                      </w:r>
                      <w:r w:rsidRPr="0005300F">
                        <w:rPr>
                          <w:i/>
                          <w:iCs/>
                          <w:lang w:val="fr-FR"/>
                        </w:rPr>
                        <w:t xml:space="preserve">Anguilla </w:t>
                      </w:r>
                      <w:proofErr w:type="spellStart"/>
                      <w:r w:rsidRPr="0005300F">
                        <w:rPr>
                          <w:i/>
                          <w:iCs/>
                          <w:lang w:val="fr-FR"/>
                        </w:rPr>
                        <w:t>anguilla</w:t>
                      </w:r>
                      <w:proofErr w:type="spellEnd"/>
                      <w:r w:rsidRPr="0005300F">
                        <w:rPr>
                          <w:lang w:val="fr-FR"/>
                        </w:rPr>
                        <w:t>). Lors de la troisième réunion des États de l’aire de répartition de l’anguille d’Europe en juin 2019, les participants ont demandé qu’un document décrivant les prochaines étapes potentielles soit présenté à la 13</w:t>
                      </w:r>
                      <w:r w:rsidRPr="0005300F">
                        <w:rPr>
                          <w:vertAlign w:val="superscript"/>
                          <w:lang w:val="fr-FR"/>
                        </w:rPr>
                        <w:t>ème</w:t>
                      </w:r>
                      <w:r w:rsidRPr="0005300F">
                        <w:rPr>
                          <w:lang w:val="fr-FR"/>
                        </w:rPr>
                        <w:t> session de la Conférence des Parties.</w:t>
                      </w:r>
                    </w:p>
                    <w:p w:rsidR="0005300F" w:rsidRPr="0005300F" w:rsidRDefault="0005300F" w:rsidP="000B5A54">
                      <w:pPr>
                        <w:spacing w:after="0" w:line="240" w:lineRule="auto"/>
                        <w:jc w:val="both"/>
                        <w:rPr>
                          <w:rFonts w:cs="Arial"/>
                          <w:lang w:val="fr-FR"/>
                        </w:rPr>
                      </w:pPr>
                    </w:p>
                    <w:p w:rsidR="00EC2A58" w:rsidRDefault="0005300F" w:rsidP="000B5A54">
                      <w:pPr>
                        <w:spacing w:after="0" w:line="240" w:lineRule="auto"/>
                        <w:jc w:val="both"/>
                        <w:rPr>
                          <w:rFonts w:cs="Arial"/>
                          <w:lang w:val="fr-FR"/>
                        </w:rPr>
                      </w:pPr>
                      <w:r w:rsidRPr="0005300F">
                        <w:rPr>
                          <w:lang w:val="fr-FR"/>
                        </w:rPr>
                        <w:t xml:space="preserve">Le document contient un projet de Plan d’action et une liste non exhaustive des menaces, des défis et des problèmes émergents auxquels l’espèce est confrontée, pour examen par la Conférence des Parties. </w:t>
                      </w:r>
                      <w:r>
                        <w:t xml:space="preserve">Les </w:t>
                      </w:r>
                      <w:proofErr w:type="spellStart"/>
                      <w:r>
                        <w:t>projets</w:t>
                      </w:r>
                      <w:proofErr w:type="spellEnd"/>
                      <w:r>
                        <w:t xml:space="preserve"> de </w:t>
                      </w:r>
                      <w:proofErr w:type="spellStart"/>
                      <w:r w:rsidR="006F556C">
                        <w:t>D</w:t>
                      </w:r>
                      <w:r>
                        <w:t>écisions</w:t>
                      </w:r>
                      <w:proofErr w:type="spellEnd"/>
                      <w:r>
                        <w:t xml:space="preserve"> </w:t>
                      </w:r>
                      <w:proofErr w:type="spellStart"/>
                      <w:r>
                        <w:t>sont</w:t>
                      </w:r>
                      <w:proofErr w:type="spellEnd"/>
                      <w:r>
                        <w:t xml:space="preserve"> </w:t>
                      </w:r>
                      <w:proofErr w:type="spellStart"/>
                      <w:r>
                        <w:t>présentés</w:t>
                      </w:r>
                      <w:proofErr w:type="spellEnd"/>
                      <w:r>
                        <w:t xml:space="preserve"> pour adoption </w:t>
                      </w:r>
                      <w:proofErr w:type="spellStart"/>
                      <w:r>
                        <w:t>éventuelle</w:t>
                      </w:r>
                      <w:proofErr w:type="spellEnd"/>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bookmarkStart w:id="1" w:name="_GoBack"/>
      <w:bookmarkEnd w:id="1"/>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DC688F" w:rsidRDefault="00DC688F" w:rsidP="00D71837">
      <w:pPr>
        <w:spacing w:after="0" w:line="240" w:lineRule="auto"/>
        <w:rPr>
          <w:lang w:val="fr-FR"/>
        </w:rPr>
      </w:pPr>
    </w:p>
    <w:tbl>
      <w:tblPr>
        <w:tblW w:w="10620" w:type="dxa"/>
        <w:tblInd w:w="-431" w:type="dxa"/>
        <w:tblLayout w:type="fixed"/>
        <w:tblCellMar>
          <w:left w:w="10" w:type="dxa"/>
          <w:right w:w="10" w:type="dxa"/>
        </w:tblCellMar>
        <w:tblLook w:val="04A0" w:firstRow="1" w:lastRow="0" w:firstColumn="1" w:lastColumn="0" w:noHBand="0" w:noVBand="1"/>
      </w:tblPr>
      <w:tblGrid>
        <w:gridCol w:w="2070"/>
        <w:gridCol w:w="6300"/>
        <w:gridCol w:w="2250"/>
      </w:tblGrid>
      <w:tr w:rsidR="00DC688F" w:rsidRPr="00CD39D5" w:rsidTr="00DC688F">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C688F" w:rsidRPr="00095239" w:rsidRDefault="00DC688F" w:rsidP="00F1345A">
            <w:pPr>
              <w:spacing w:after="0"/>
              <w:rPr>
                <w:lang w:val="es-ES"/>
              </w:rPr>
            </w:pPr>
            <w:r>
              <w:rPr>
                <w:noProof/>
              </w:rPr>
              <w:drawing>
                <wp:anchor distT="0" distB="0" distL="114300" distR="114300" simplePos="0" relativeHeight="251662336" behindDoc="0" locked="0" layoutInCell="1" allowOverlap="1" wp14:anchorId="4BF2BC89" wp14:editId="3A37BB52">
                  <wp:simplePos x="0" y="0"/>
                  <wp:positionH relativeFrom="column">
                    <wp:posOffset>-64766</wp:posOffset>
                  </wp:positionH>
                  <wp:positionV relativeFrom="paragraph">
                    <wp:posOffset>123828</wp:posOffset>
                  </wp:positionV>
                  <wp:extent cx="1225552" cy="570869"/>
                  <wp:effectExtent l="0" t="0" r="0" b="631"/>
                  <wp:wrapTight wrapText="bothSides">
                    <wp:wrapPolygon edited="0">
                      <wp:start x="0" y="0"/>
                      <wp:lineTo x="0" y="20903"/>
                      <wp:lineTo x="21152" y="20903"/>
                      <wp:lineTo x="21152" y="0"/>
                      <wp:lineTo x="0" y="0"/>
                    </wp:wrapPolygon>
                  </wp:wrapTight>
                  <wp:docPr id="19"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25552" cy="570869"/>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DC688F" w:rsidRPr="00282E87" w:rsidRDefault="00DC688F" w:rsidP="00F1345A">
            <w:pPr>
              <w:spacing w:before="240" w:after="120"/>
              <w:jc w:val="both"/>
              <w:rPr>
                <w:lang w:val="es-ES"/>
              </w:rPr>
            </w:pPr>
            <w:r w:rsidRPr="00CD39D5">
              <w:rPr>
                <w:rFonts w:cs="Arial"/>
                <w:sz w:val="16"/>
                <w:szCs w:val="16"/>
                <w:lang w:val="es-ES"/>
              </w:rPr>
              <w:t xml:space="preserve">Le </w:t>
            </w:r>
            <w:proofErr w:type="spellStart"/>
            <w:r w:rsidRPr="00CD39D5">
              <w:rPr>
                <w:rFonts w:cs="Arial"/>
                <w:sz w:val="16"/>
                <w:szCs w:val="16"/>
                <w:lang w:val="es-ES"/>
              </w:rPr>
              <w:t>Gouvernement</w:t>
            </w:r>
            <w:proofErr w:type="spellEnd"/>
            <w:r w:rsidRPr="00CD39D5">
              <w:rPr>
                <w:rFonts w:cs="Arial"/>
                <w:sz w:val="16"/>
                <w:szCs w:val="16"/>
                <w:lang w:val="es-ES"/>
              </w:rPr>
              <w:t xml:space="preserve"> de la </w:t>
            </w:r>
            <w:proofErr w:type="spellStart"/>
            <w:r w:rsidRPr="00CD39D5">
              <w:rPr>
                <w:rFonts w:cs="Arial"/>
                <w:sz w:val="16"/>
                <w:szCs w:val="16"/>
                <w:lang w:val="es-ES"/>
              </w:rPr>
              <w:t>Principauté</w:t>
            </w:r>
            <w:proofErr w:type="spellEnd"/>
            <w:r w:rsidRPr="00CD39D5">
              <w:rPr>
                <w:rFonts w:cs="Arial"/>
                <w:sz w:val="16"/>
                <w:szCs w:val="16"/>
                <w:lang w:val="es-ES"/>
              </w:rPr>
              <w:t xml:space="preserve"> de </w:t>
            </w:r>
            <w:proofErr w:type="spellStart"/>
            <w:r w:rsidRPr="00CD39D5">
              <w:rPr>
                <w:rFonts w:cs="Arial"/>
                <w:sz w:val="16"/>
                <w:szCs w:val="16"/>
                <w:lang w:val="es-ES"/>
              </w:rPr>
              <w:t>Monaco</w:t>
            </w:r>
            <w:proofErr w:type="spellEnd"/>
            <w:r w:rsidRPr="00CD39D5">
              <w:rPr>
                <w:rFonts w:cs="Arial"/>
                <w:sz w:val="16"/>
                <w:szCs w:val="16"/>
                <w:lang w:val="es-ES"/>
              </w:rPr>
              <w:t xml:space="preserve"> a </w:t>
            </w:r>
            <w:proofErr w:type="spellStart"/>
            <w:r w:rsidRPr="00CD39D5">
              <w:rPr>
                <w:rFonts w:cs="Arial"/>
                <w:sz w:val="16"/>
                <w:szCs w:val="16"/>
                <w:lang w:val="es-ES"/>
              </w:rPr>
              <w:t>été</w:t>
            </w:r>
            <w:proofErr w:type="spellEnd"/>
            <w:r w:rsidRPr="00CD39D5">
              <w:rPr>
                <w:rFonts w:cs="Arial"/>
                <w:sz w:val="16"/>
                <w:szCs w:val="16"/>
                <w:lang w:val="es-ES"/>
              </w:rPr>
              <w:t xml:space="preserve"> </w:t>
            </w:r>
            <w:proofErr w:type="spellStart"/>
            <w:r w:rsidRPr="00CD39D5">
              <w:rPr>
                <w:rFonts w:cs="Arial"/>
                <w:sz w:val="16"/>
                <w:szCs w:val="16"/>
                <w:lang w:val="es-ES"/>
              </w:rPr>
              <w:t>reconnu</w:t>
            </w:r>
            <w:proofErr w:type="spellEnd"/>
            <w:r w:rsidRPr="00CD39D5">
              <w:rPr>
                <w:rFonts w:cs="Arial"/>
                <w:sz w:val="16"/>
                <w:szCs w:val="16"/>
                <w:lang w:val="es-ES"/>
              </w:rPr>
              <w:t xml:space="preserve"> </w:t>
            </w:r>
            <w:proofErr w:type="spellStart"/>
            <w:r w:rsidRPr="00CD39D5">
              <w:rPr>
                <w:rFonts w:cs="Arial"/>
                <w:sz w:val="16"/>
                <w:szCs w:val="16"/>
                <w:lang w:val="es-ES"/>
              </w:rPr>
              <w:t>comme</w:t>
            </w:r>
            <w:proofErr w:type="spellEnd"/>
            <w:r>
              <w:rPr>
                <w:rFonts w:cs="Arial"/>
                <w:sz w:val="16"/>
                <w:szCs w:val="16"/>
                <w:lang w:val="es-ES"/>
              </w:rPr>
              <w:t xml:space="preserve"> </w:t>
            </w:r>
            <w:proofErr w:type="spellStart"/>
            <w:r>
              <w:rPr>
                <w:rFonts w:cs="Arial"/>
                <w:sz w:val="16"/>
                <w:szCs w:val="16"/>
                <w:lang w:val="es-ES"/>
              </w:rPr>
              <w:t>étant</w:t>
            </w:r>
            <w:proofErr w:type="spellEnd"/>
            <w:r>
              <w:rPr>
                <w:rFonts w:cs="Arial"/>
                <w:sz w:val="16"/>
                <w:szCs w:val="16"/>
                <w:lang w:val="es-ES"/>
              </w:rPr>
              <w:t xml:space="preserve"> un</w:t>
            </w:r>
            <w:r w:rsidRPr="00CD39D5">
              <w:rPr>
                <w:rFonts w:cs="Arial"/>
                <w:sz w:val="16"/>
                <w:szCs w:val="16"/>
                <w:lang w:val="es-ES"/>
              </w:rPr>
              <w:t xml:space="preserve"> </w:t>
            </w:r>
            <w:proofErr w:type="spellStart"/>
            <w:r w:rsidRPr="00CD39D5">
              <w:rPr>
                <w:rFonts w:cs="Arial"/>
                <w:sz w:val="16"/>
                <w:szCs w:val="16"/>
                <w:lang w:val="es-ES"/>
              </w:rPr>
              <w:t>Champion</w:t>
            </w:r>
            <w:proofErr w:type="spellEnd"/>
            <w:r w:rsidRPr="00CD39D5">
              <w:rPr>
                <w:rFonts w:cs="Arial"/>
                <w:sz w:val="16"/>
                <w:szCs w:val="16"/>
                <w:lang w:val="es-ES"/>
              </w:rPr>
              <w:t xml:space="preserve"> </w:t>
            </w:r>
            <w:r>
              <w:rPr>
                <w:rFonts w:cs="Arial"/>
                <w:sz w:val="16"/>
                <w:szCs w:val="16"/>
                <w:lang w:val="es-ES"/>
              </w:rPr>
              <w:t xml:space="preserve">Plus </w:t>
            </w:r>
            <w:proofErr w:type="spellStart"/>
            <w:r w:rsidRPr="00CD39D5">
              <w:rPr>
                <w:rFonts w:cs="Arial"/>
                <w:sz w:val="16"/>
                <w:szCs w:val="16"/>
                <w:lang w:val="es-ES"/>
              </w:rPr>
              <w:t>pour</w:t>
            </w:r>
            <w:proofErr w:type="spellEnd"/>
            <w:r w:rsidRPr="00CD39D5">
              <w:rPr>
                <w:rFonts w:cs="Arial"/>
                <w:sz w:val="16"/>
                <w:szCs w:val="16"/>
                <w:lang w:val="es-ES"/>
              </w:rPr>
              <w:t xml:space="preserve"> son </w:t>
            </w:r>
            <w:proofErr w:type="spellStart"/>
            <w:r w:rsidRPr="00CD39D5">
              <w:rPr>
                <w:rFonts w:cs="Arial"/>
                <w:sz w:val="16"/>
                <w:szCs w:val="16"/>
                <w:lang w:val="es-ES"/>
              </w:rPr>
              <w:t>soutien</w:t>
            </w:r>
            <w:proofErr w:type="spellEnd"/>
            <w:r w:rsidRPr="00CD39D5">
              <w:rPr>
                <w:rFonts w:cs="Arial"/>
                <w:sz w:val="16"/>
                <w:szCs w:val="16"/>
                <w:lang w:val="es-ES"/>
              </w:rPr>
              <w:t xml:space="preserve"> </w:t>
            </w:r>
            <w:proofErr w:type="spellStart"/>
            <w:r w:rsidRPr="00CD39D5">
              <w:rPr>
                <w:rFonts w:cs="Arial"/>
                <w:sz w:val="16"/>
                <w:szCs w:val="16"/>
                <w:lang w:val="es-ES"/>
              </w:rPr>
              <w:t>généreux</w:t>
            </w:r>
            <w:proofErr w:type="spellEnd"/>
            <w:r w:rsidRPr="00CD39D5">
              <w:rPr>
                <w:rFonts w:cs="Arial"/>
                <w:sz w:val="16"/>
                <w:szCs w:val="16"/>
                <w:lang w:val="es-ES"/>
              </w:rPr>
              <w:t xml:space="preserve"> et son </w:t>
            </w:r>
            <w:proofErr w:type="spellStart"/>
            <w:r w:rsidRPr="00CD39D5">
              <w:rPr>
                <w:rFonts w:cs="Arial"/>
                <w:sz w:val="16"/>
                <w:szCs w:val="16"/>
                <w:lang w:val="es-ES"/>
              </w:rPr>
              <w:t>engagement</w:t>
            </w:r>
            <w:proofErr w:type="spellEnd"/>
            <w:r w:rsidRPr="00CD39D5">
              <w:rPr>
                <w:rFonts w:cs="Arial"/>
                <w:sz w:val="16"/>
                <w:szCs w:val="16"/>
                <w:lang w:val="es-ES"/>
              </w:rPr>
              <w:t xml:space="preserve"> en </w:t>
            </w:r>
            <w:proofErr w:type="spellStart"/>
            <w:r w:rsidRPr="00CD39D5">
              <w:rPr>
                <w:rFonts w:cs="Arial"/>
                <w:sz w:val="16"/>
                <w:szCs w:val="16"/>
                <w:lang w:val="es-ES"/>
              </w:rPr>
              <w:t>faveur</w:t>
            </w:r>
            <w:proofErr w:type="spellEnd"/>
            <w:r w:rsidRPr="00CD39D5">
              <w:rPr>
                <w:rFonts w:cs="Arial"/>
                <w:sz w:val="16"/>
                <w:szCs w:val="16"/>
                <w:lang w:val="es-ES"/>
              </w:rPr>
              <w:t xml:space="preserve"> de la </w:t>
            </w:r>
            <w:proofErr w:type="spellStart"/>
            <w:r w:rsidRPr="00CD39D5">
              <w:rPr>
                <w:rFonts w:cs="Arial"/>
                <w:sz w:val="16"/>
                <w:szCs w:val="16"/>
                <w:lang w:val="es-ES"/>
              </w:rPr>
              <w:t>conservation</w:t>
            </w:r>
            <w:proofErr w:type="spellEnd"/>
            <w:r w:rsidRPr="00CD39D5">
              <w:rPr>
                <w:rFonts w:cs="Arial"/>
                <w:sz w:val="16"/>
                <w:szCs w:val="16"/>
                <w:lang w:val="es-ES"/>
              </w:rPr>
              <w:t xml:space="preserve"> des </w:t>
            </w:r>
            <w:proofErr w:type="spellStart"/>
            <w:r w:rsidRPr="00CD39D5">
              <w:rPr>
                <w:rFonts w:cs="Arial"/>
                <w:sz w:val="16"/>
                <w:szCs w:val="16"/>
                <w:lang w:val="es-ES"/>
              </w:rPr>
              <w:t>espèces</w:t>
            </w:r>
            <w:proofErr w:type="spellEnd"/>
            <w:r w:rsidRPr="00CD39D5">
              <w:rPr>
                <w:rFonts w:cs="Arial"/>
                <w:sz w:val="16"/>
                <w:szCs w:val="16"/>
                <w:lang w:val="es-ES"/>
              </w:rPr>
              <w:t xml:space="preserve"> marines </w:t>
            </w:r>
            <w:proofErr w:type="spellStart"/>
            <w:r w:rsidRPr="00CD39D5">
              <w:rPr>
                <w:rFonts w:cs="Arial"/>
                <w:sz w:val="16"/>
                <w:szCs w:val="16"/>
                <w:lang w:val="es-ES"/>
              </w:rPr>
              <w:t>pour</w:t>
            </w:r>
            <w:proofErr w:type="spellEnd"/>
            <w:r w:rsidRPr="00CD39D5">
              <w:rPr>
                <w:rFonts w:cs="Arial"/>
                <w:sz w:val="16"/>
                <w:szCs w:val="16"/>
                <w:lang w:val="es-ES"/>
              </w:rPr>
              <w:t xml:space="preserve"> la </w:t>
            </w:r>
            <w:proofErr w:type="spellStart"/>
            <w:r w:rsidRPr="00CD39D5">
              <w:rPr>
                <w:rFonts w:cs="Arial"/>
                <w:sz w:val="16"/>
                <w:szCs w:val="16"/>
                <w:lang w:val="es-ES"/>
              </w:rPr>
              <w:t>période</w:t>
            </w:r>
            <w:proofErr w:type="spellEnd"/>
            <w:r w:rsidRPr="00CD39D5">
              <w:rPr>
                <w:rFonts w:cs="Arial"/>
                <w:sz w:val="16"/>
                <w:szCs w:val="16"/>
                <w:lang w:val="es-ES"/>
              </w:rPr>
              <w:t xml:space="preserve"> 201</w:t>
            </w:r>
            <w:r>
              <w:rPr>
                <w:rFonts w:cs="Arial"/>
                <w:sz w:val="16"/>
                <w:szCs w:val="16"/>
                <w:lang w:val="es-ES"/>
              </w:rPr>
              <w:t>8</w:t>
            </w:r>
            <w:r w:rsidRPr="00CD39D5">
              <w:rPr>
                <w:rFonts w:cs="Arial"/>
                <w:sz w:val="16"/>
                <w:szCs w:val="16"/>
                <w:lang w:val="es-ES"/>
              </w:rPr>
              <w:t>-20</w:t>
            </w:r>
            <w:r>
              <w:rPr>
                <w:rFonts w:cs="Arial"/>
                <w:sz w:val="16"/>
                <w:szCs w:val="16"/>
                <w:lang w:val="es-ES"/>
              </w:rPr>
              <w:t>20</w:t>
            </w:r>
            <w:r w:rsidRPr="00CD39D5">
              <w:rPr>
                <w:rFonts w:cs="Arial"/>
                <w:sz w:val="16"/>
                <w:szCs w:val="16"/>
                <w:lang w:val="es-ES"/>
              </w:rPr>
              <w:t xml:space="preserve">. </w:t>
            </w:r>
            <w:proofErr w:type="spellStart"/>
            <w:r w:rsidRPr="00CD39D5">
              <w:rPr>
                <w:rFonts w:cs="Arial"/>
                <w:sz w:val="16"/>
                <w:szCs w:val="16"/>
                <w:lang w:val="es-ES"/>
              </w:rPr>
              <w:t>Cette</w:t>
            </w:r>
            <w:proofErr w:type="spellEnd"/>
            <w:r w:rsidRPr="00CD39D5">
              <w:rPr>
                <w:rFonts w:cs="Arial"/>
                <w:sz w:val="16"/>
                <w:szCs w:val="16"/>
                <w:lang w:val="es-ES"/>
              </w:rPr>
              <w:t xml:space="preserve"> </w:t>
            </w:r>
            <w:proofErr w:type="spellStart"/>
            <w:r w:rsidRPr="00CD39D5">
              <w:rPr>
                <w:rFonts w:cs="Arial"/>
                <w:sz w:val="16"/>
                <w:szCs w:val="16"/>
                <w:lang w:val="es-ES"/>
              </w:rPr>
              <w:t>activité</w:t>
            </w:r>
            <w:proofErr w:type="spellEnd"/>
            <w:r w:rsidRPr="00CD39D5">
              <w:rPr>
                <w:rFonts w:cs="Arial"/>
                <w:sz w:val="16"/>
                <w:szCs w:val="16"/>
                <w:lang w:val="es-ES"/>
              </w:rPr>
              <w:t xml:space="preserve"> a </w:t>
            </w:r>
            <w:proofErr w:type="spellStart"/>
            <w:r w:rsidRPr="00CD39D5">
              <w:rPr>
                <w:rFonts w:cs="Arial"/>
                <w:sz w:val="16"/>
                <w:szCs w:val="16"/>
                <w:lang w:val="es-ES"/>
              </w:rPr>
              <w:t>été</w:t>
            </w:r>
            <w:proofErr w:type="spellEnd"/>
            <w:r w:rsidRPr="00CD39D5">
              <w:rPr>
                <w:rFonts w:cs="Arial"/>
                <w:sz w:val="16"/>
                <w:szCs w:val="16"/>
                <w:lang w:val="es-ES"/>
              </w:rPr>
              <w:t xml:space="preserve"> </w:t>
            </w:r>
            <w:proofErr w:type="spellStart"/>
            <w:r w:rsidRPr="00CD39D5">
              <w:rPr>
                <w:rFonts w:cs="Arial"/>
                <w:sz w:val="16"/>
                <w:szCs w:val="16"/>
                <w:lang w:val="es-ES"/>
              </w:rPr>
              <w:t>financée</w:t>
            </w:r>
            <w:proofErr w:type="spellEnd"/>
            <w:r w:rsidRPr="00CD39D5">
              <w:rPr>
                <w:rFonts w:cs="Arial"/>
                <w:sz w:val="16"/>
                <w:szCs w:val="16"/>
                <w:lang w:val="es-ES"/>
              </w:rPr>
              <w:t xml:space="preserve"> </w:t>
            </w:r>
            <w:proofErr w:type="spellStart"/>
            <w:r w:rsidRPr="00CD39D5">
              <w:rPr>
                <w:rFonts w:cs="Arial"/>
                <w:sz w:val="16"/>
                <w:szCs w:val="16"/>
                <w:lang w:val="es-ES"/>
              </w:rPr>
              <w:t>grâce</w:t>
            </w:r>
            <w:proofErr w:type="spellEnd"/>
            <w:r w:rsidRPr="00CD39D5">
              <w:rPr>
                <w:rFonts w:cs="Arial"/>
                <w:sz w:val="16"/>
                <w:szCs w:val="16"/>
                <w:lang w:val="es-ES"/>
              </w:rPr>
              <w:t xml:space="preserve"> à la </w:t>
            </w:r>
            <w:proofErr w:type="spellStart"/>
            <w:r w:rsidRPr="00CD39D5">
              <w:rPr>
                <w:rFonts w:cs="Arial"/>
                <w:sz w:val="16"/>
                <w:szCs w:val="16"/>
                <w:lang w:val="es-ES"/>
              </w:rPr>
              <w:t>contribution</w:t>
            </w:r>
            <w:proofErr w:type="spellEnd"/>
            <w:r w:rsidRPr="00CD39D5">
              <w:rPr>
                <w:rFonts w:cs="Arial"/>
                <w:sz w:val="16"/>
                <w:szCs w:val="16"/>
                <w:lang w:val="es-ES"/>
              </w:rPr>
              <w:t xml:space="preserve"> </w:t>
            </w:r>
            <w:proofErr w:type="spellStart"/>
            <w:r w:rsidRPr="00CD39D5">
              <w:rPr>
                <w:rFonts w:cs="Arial"/>
                <w:sz w:val="16"/>
                <w:szCs w:val="16"/>
                <w:lang w:val="es-ES"/>
              </w:rPr>
              <w:t>accordée</w:t>
            </w:r>
            <w:proofErr w:type="spellEnd"/>
            <w:r w:rsidRPr="00CD39D5">
              <w:rPr>
                <w:rFonts w:cs="Arial"/>
                <w:sz w:val="16"/>
                <w:szCs w:val="16"/>
                <w:lang w:val="es-ES"/>
              </w:rPr>
              <w:t xml:space="preserve"> par </w:t>
            </w:r>
            <w:proofErr w:type="spellStart"/>
            <w:r w:rsidRPr="00CD39D5">
              <w:rPr>
                <w:rFonts w:cs="Arial"/>
                <w:sz w:val="16"/>
                <w:szCs w:val="16"/>
                <w:lang w:val="es-ES"/>
              </w:rPr>
              <w:t>Monaco</w:t>
            </w:r>
            <w:proofErr w:type="spellEnd"/>
            <w:r w:rsidRPr="00CD39D5">
              <w:rPr>
                <w:rFonts w:cs="Arial"/>
                <w:sz w:val="16"/>
                <w:szCs w:val="16"/>
                <w:lang w:val="es-ES"/>
              </w:rPr>
              <w:t xml:space="preserve"> </w:t>
            </w:r>
            <w:proofErr w:type="spellStart"/>
            <w:r>
              <w:rPr>
                <w:rFonts w:cs="Arial"/>
                <w:sz w:val="16"/>
                <w:szCs w:val="16"/>
                <w:lang w:val="es-ES"/>
              </w:rPr>
              <w:t>sous</w:t>
            </w:r>
            <w:proofErr w:type="spellEnd"/>
            <w:r>
              <w:rPr>
                <w:rFonts w:cs="Arial"/>
                <w:sz w:val="16"/>
                <w:szCs w:val="16"/>
                <w:lang w:val="es-ES"/>
              </w:rPr>
              <w:t xml:space="preserve"> </w:t>
            </w:r>
            <w:proofErr w:type="spellStart"/>
            <w:r>
              <w:rPr>
                <w:rFonts w:cs="Arial"/>
                <w:sz w:val="16"/>
                <w:szCs w:val="16"/>
                <w:lang w:val="es-ES"/>
              </w:rPr>
              <w:t>l’égide</w:t>
            </w:r>
            <w:proofErr w:type="spellEnd"/>
            <w:r w:rsidRPr="00CD39D5">
              <w:rPr>
                <w:rFonts w:cs="Arial"/>
                <w:sz w:val="16"/>
                <w:szCs w:val="16"/>
                <w:lang w:val="es-ES"/>
              </w:rPr>
              <w:t xml:space="preserve"> du </w:t>
            </w:r>
            <w:proofErr w:type="spellStart"/>
            <w:r w:rsidRPr="00CD39D5">
              <w:rPr>
                <w:rFonts w:cs="Arial"/>
                <w:sz w:val="16"/>
                <w:szCs w:val="16"/>
                <w:lang w:val="es-ES"/>
              </w:rPr>
              <w:t>Programme</w:t>
            </w:r>
            <w:proofErr w:type="spellEnd"/>
            <w:r w:rsidRPr="00CD39D5">
              <w:rPr>
                <w:rFonts w:cs="Arial"/>
                <w:sz w:val="16"/>
                <w:szCs w:val="16"/>
                <w:lang w:val="es-ES"/>
              </w:rPr>
              <w:t xml:space="preserve"> </w:t>
            </w:r>
            <w:r>
              <w:rPr>
                <w:rFonts w:cs="Arial"/>
                <w:sz w:val="16"/>
                <w:szCs w:val="16"/>
                <w:lang w:val="es-ES"/>
              </w:rPr>
              <w:t xml:space="preserve">des </w:t>
            </w:r>
            <w:r w:rsidRPr="00CD39D5">
              <w:rPr>
                <w:rFonts w:cs="Arial"/>
                <w:sz w:val="16"/>
                <w:szCs w:val="16"/>
                <w:lang w:val="es-ES"/>
              </w:rPr>
              <w:t>Champion</w:t>
            </w:r>
            <w:r>
              <w:rPr>
                <w:rFonts w:cs="Arial"/>
                <w:sz w:val="16"/>
                <w:szCs w:val="16"/>
                <w:lang w:val="es-ES"/>
              </w:rPr>
              <w:t>s</w:t>
            </w:r>
            <w:r w:rsidRPr="00CD39D5">
              <w:rPr>
                <w:rFonts w:cs="Arial"/>
                <w:sz w:val="16"/>
                <w:szCs w:val="16"/>
                <w:lang w:val="es-ES"/>
              </w:rPr>
              <w:t xml:space="preserve"> des </w:t>
            </w:r>
            <w:proofErr w:type="spellStart"/>
            <w:r>
              <w:rPr>
                <w:rFonts w:cs="Arial"/>
                <w:sz w:val="16"/>
                <w:szCs w:val="16"/>
                <w:lang w:val="es-ES"/>
              </w:rPr>
              <w:t>e</w:t>
            </w:r>
            <w:r w:rsidRPr="00CD39D5">
              <w:rPr>
                <w:rFonts w:cs="Arial"/>
                <w:sz w:val="16"/>
                <w:szCs w:val="16"/>
                <w:lang w:val="es-ES"/>
              </w:rPr>
              <w:t>spèces</w:t>
            </w:r>
            <w:proofErr w:type="spellEnd"/>
            <w:r w:rsidRPr="00CD39D5">
              <w:rPr>
                <w:rFonts w:cs="Arial"/>
                <w:sz w:val="16"/>
                <w:szCs w:val="16"/>
                <w:lang w:val="es-ES"/>
              </w:rPr>
              <w:t xml:space="preserve"> </w:t>
            </w:r>
            <w:proofErr w:type="spellStart"/>
            <w:r>
              <w:rPr>
                <w:rFonts w:cs="Arial"/>
                <w:sz w:val="16"/>
                <w:szCs w:val="16"/>
                <w:lang w:val="es-ES"/>
              </w:rPr>
              <w:t>m</w:t>
            </w:r>
            <w:r w:rsidRPr="00CD39D5">
              <w:rPr>
                <w:rFonts w:cs="Arial"/>
                <w:sz w:val="16"/>
                <w:szCs w:val="16"/>
                <w:lang w:val="es-ES"/>
              </w:rPr>
              <w:t>igratrices</w:t>
            </w:r>
            <w:proofErr w:type="spellEnd"/>
            <w:r w:rsidRPr="00282E87">
              <w:rPr>
                <w:rFonts w:cs="Arial"/>
                <w:sz w:val="16"/>
                <w:szCs w:val="16"/>
                <w:lang w:val="es-ES"/>
              </w:rPr>
              <w:t>.</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88F" w:rsidRPr="00282E87" w:rsidRDefault="00DC688F" w:rsidP="00F1345A">
            <w:pPr>
              <w:spacing w:after="0"/>
              <w:rPr>
                <w:lang w:val="es-ES"/>
              </w:rPr>
            </w:pPr>
            <w:r>
              <w:rPr>
                <w:noProof/>
              </w:rPr>
              <w:drawing>
                <wp:anchor distT="0" distB="0" distL="114300" distR="114300" simplePos="0" relativeHeight="251661312" behindDoc="0" locked="0" layoutInCell="1" allowOverlap="1" wp14:anchorId="071A13AE" wp14:editId="0E71BA5A">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2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256544"/>
                          </a:xfrm>
                          <a:prstGeom prst="rect">
                            <a:avLst/>
                          </a:prstGeom>
                          <a:noFill/>
                          <a:ln>
                            <a:noFill/>
                            <a:prstDash/>
                          </a:ln>
                        </pic:spPr>
                      </pic:pic>
                    </a:graphicData>
                  </a:graphic>
                </wp:anchor>
              </w:drawing>
            </w:r>
          </w:p>
        </w:tc>
      </w:tr>
    </w:tbl>
    <w:p w:rsidR="004D2819" w:rsidRDefault="004D2819" w:rsidP="00DC688F">
      <w:pPr>
        <w:pStyle w:val="Title1"/>
        <w:jc w:val="left"/>
      </w:pPr>
    </w:p>
    <w:p w:rsidR="0005300F" w:rsidRPr="0005300F" w:rsidRDefault="0005300F" w:rsidP="0005300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sidRPr="0005300F">
        <w:rPr>
          <w:b/>
          <w:bCs/>
          <w:lang w:val="fr-FR"/>
        </w:rPr>
        <w:t>ANGUILLE D’EUROPE</w:t>
      </w:r>
    </w:p>
    <w:p w:rsidR="0005300F" w:rsidRPr="0005300F" w:rsidRDefault="0005300F" w:rsidP="0005300F">
      <w:pPr>
        <w:suppressAutoHyphens/>
        <w:autoSpaceDN w:val="0"/>
        <w:spacing w:after="0" w:line="240" w:lineRule="auto"/>
        <w:textAlignment w:val="baseline"/>
        <w:rPr>
          <w:rFonts w:eastAsia="Calibri" w:cs="Arial"/>
          <w:lang w:val="fr-FR"/>
        </w:rPr>
      </w:pPr>
    </w:p>
    <w:p w:rsidR="0005300F" w:rsidRPr="0005300F" w:rsidRDefault="0005300F" w:rsidP="0005300F">
      <w:pPr>
        <w:suppressAutoHyphens/>
        <w:autoSpaceDN w:val="0"/>
        <w:spacing w:after="0" w:line="240" w:lineRule="auto"/>
        <w:textAlignment w:val="baseline"/>
        <w:rPr>
          <w:rFonts w:eastAsia="Calibri" w:cs="Arial"/>
          <w:lang w:val="fr-FR"/>
        </w:rPr>
      </w:pPr>
    </w:p>
    <w:p w:rsidR="0005300F" w:rsidRPr="0005300F" w:rsidRDefault="0005300F" w:rsidP="0005300F">
      <w:pPr>
        <w:suppressAutoHyphens/>
        <w:autoSpaceDN w:val="0"/>
        <w:spacing w:after="0" w:line="240" w:lineRule="auto"/>
        <w:textAlignment w:val="baseline"/>
        <w:rPr>
          <w:rFonts w:eastAsia="Calibri" w:cs="Arial"/>
          <w:u w:val="single"/>
          <w:lang w:val="fr-FR"/>
        </w:rPr>
      </w:pPr>
      <w:r w:rsidRPr="0005300F">
        <w:rPr>
          <w:u w:val="single"/>
          <w:lang w:val="fr-FR"/>
        </w:rPr>
        <w:t>Contexte</w:t>
      </w:r>
    </w:p>
    <w:p w:rsidR="0005300F" w:rsidRPr="0005300F" w:rsidRDefault="0005300F" w:rsidP="0005300F">
      <w:pPr>
        <w:spacing w:after="0" w:line="240" w:lineRule="auto"/>
        <w:rPr>
          <w:lang w:val="fr-FR"/>
        </w:rPr>
      </w:pPr>
    </w:p>
    <w:p w:rsidR="0005300F" w:rsidRPr="0005300F" w:rsidRDefault="0005300F" w:rsidP="0005300F">
      <w:pPr>
        <w:pStyle w:val="Firstnumbering"/>
      </w:pPr>
      <w:r w:rsidRPr="0005300F">
        <w:t>La Conférence des Parties a inscrit l’anguille d’Europe (</w:t>
      </w:r>
      <w:r w:rsidRPr="0005300F">
        <w:rPr>
          <w:i/>
          <w:iCs/>
        </w:rPr>
        <w:t xml:space="preserve">Anguilla </w:t>
      </w:r>
      <w:proofErr w:type="spellStart"/>
      <w:r w:rsidRPr="0005300F">
        <w:rPr>
          <w:i/>
          <w:iCs/>
        </w:rPr>
        <w:t>anguilla</w:t>
      </w:r>
      <w:proofErr w:type="spellEnd"/>
      <w:r w:rsidRPr="0005300F">
        <w:t>) à l’Annexe II de la CMS à sa onzième réunion (COP 11) [(Quito, 2014)].</w:t>
      </w:r>
    </w:p>
    <w:p w:rsidR="0005300F" w:rsidRPr="0005300F" w:rsidRDefault="0005300F" w:rsidP="0005300F">
      <w:pPr>
        <w:spacing w:after="0" w:line="240" w:lineRule="auto"/>
        <w:rPr>
          <w:lang w:val="fr-FR"/>
        </w:rPr>
      </w:pPr>
    </w:p>
    <w:p w:rsidR="0005300F" w:rsidRPr="0005300F" w:rsidRDefault="0005300F" w:rsidP="0005300F">
      <w:pPr>
        <w:spacing w:after="0" w:line="240" w:lineRule="auto"/>
        <w:rPr>
          <w:u w:val="single"/>
          <w:lang w:val="fr-FR"/>
        </w:rPr>
      </w:pPr>
      <w:r w:rsidRPr="0005300F">
        <w:rPr>
          <w:u w:val="single"/>
          <w:lang w:val="fr-FR"/>
        </w:rPr>
        <w:t>Première réunion des États de l’aire de répartition et adoption de l’Action concertée</w:t>
      </w:r>
    </w:p>
    <w:p w:rsidR="0005300F" w:rsidRPr="0005300F" w:rsidRDefault="0005300F" w:rsidP="0005300F">
      <w:pPr>
        <w:spacing w:after="0" w:line="240" w:lineRule="auto"/>
        <w:ind w:left="540"/>
        <w:contextualSpacing/>
        <w:rPr>
          <w:lang w:val="fr-FR"/>
        </w:rPr>
      </w:pPr>
    </w:p>
    <w:p w:rsidR="0005300F" w:rsidRPr="0005300F" w:rsidRDefault="0005300F" w:rsidP="0005300F">
      <w:pPr>
        <w:pStyle w:val="Firstnumbering"/>
      </w:pPr>
      <w:r w:rsidRPr="0005300F">
        <w:t xml:space="preserve"> Le Secrétariat de la CMS et la Commission de la mer des Sargasses ont organisé en 2016 le premier </w:t>
      </w:r>
      <w:hyperlink r:id="rId10" w:history="1">
        <w:r w:rsidRPr="0005300F">
          <w:rPr>
            <w:color w:val="0563C1" w:themeColor="hyperlink"/>
            <w:u w:val="single"/>
          </w:rPr>
          <w:t>atelier</w:t>
        </w:r>
      </w:hyperlink>
      <w:r w:rsidRPr="0005300F">
        <w:t xml:space="preserve"> des États de l’aire de répartition de l’anguille d’Europe à Galway, en Irlande, dans le but d’examiner l’état de conservation de cette espèce et les mesures de gestion existantes.</w:t>
      </w:r>
    </w:p>
    <w:p w:rsidR="0005300F" w:rsidRPr="0005300F" w:rsidRDefault="0005300F" w:rsidP="0005300F">
      <w:pPr>
        <w:spacing w:after="0" w:line="240" w:lineRule="auto"/>
        <w:ind w:left="720"/>
        <w:contextualSpacing/>
        <w:rPr>
          <w:lang w:val="fr-FR"/>
        </w:rPr>
      </w:pPr>
    </w:p>
    <w:p w:rsidR="0005300F" w:rsidRPr="0005300F" w:rsidRDefault="0005300F" w:rsidP="0005300F">
      <w:pPr>
        <w:pStyle w:val="Firstnumbering"/>
      </w:pPr>
      <w:r w:rsidRPr="0005300F">
        <w:t>Des représentants de 11 États de l’aire de répartition et des scientifiques issus de plus de 10 pays, y compris des experts de l’anguille d’Amérique (</w:t>
      </w:r>
      <w:r w:rsidRPr="0005300F">
        <w:rPr>
          <w:i/>
          <w:iCs/>
        </w:rPr>
        <w:t xml:space="preserve">Anguilla </w:t>
      </w:r>
      <w:proofErr w:type="spellStart"/>
      <w:r w:rsidRPr="0005300F">
        <w:rPr>
          <w:i/>
          <w:iCs/>
        </w:rPr>
        <w:t>rostrata</w:t>
      </w:r>
      <w:proofErr w:type="spellEnd"/>
      <w:r w:rsidRPr="0005300F">
        <w:t>), y ont participé. La réunion s’est concentrée sur les lacunes dans les connaissances scientifiques relatives à l’espèce et à ses besoins en matière de conservation, et a évoqué les arguments en faveur de l’élaboration d’un instrument de la CMS. La réunion a conclu qu’un deuxième atelier réunissant d’autres États de l’aire de répartition, plus particulièrement d’Afrique du Nord, aurait toute son utilité.</w:t>
      </w:r>
    </w:p>
    <w:p w:rsidR="0005300F" w:rsidRPr="0005300F" w:rsidRDefault="0005300F" w:rsidP="0005300F">
      <w:pPr>
        <w:spacing w:after="0" w:line="240" w:lineRule="auto"/>
        <w:rPr>
          <w:lang w:val="fr-FR"/>
        </w:rPr>
      </w:pPr>
    </w:p>
    <w:p w:rsidR="0005300F" w:rsidRPr="006F556C" w:rsidRDefault="0005300F" w:rsidP="0005300F">
      <w:pPr>
        <w:pStyle w:val="Firstnumbering"/>
      </w:pPr>
      <w:r w:rsidRPr="0005300F">
        <w:t>Le Gouvernement de la Principauté de Monaco, en collaboration avec la Commission de la mer des Sargasses et le Secrétariat, a soumis une proposition d’Action concertée pour examen par la 12</w:t>
      </w:r>
      <w:r w:rsidRPr="0005300F">
        <w:rPr>
          <w:vertAlign w:val="superscript"/>
        </w:rPr>
        <w:t>ème</w:t>
      </w:r>
      <w:r w:rsidRPr="0005300F">
        <w:t xml:space="preserve"> session de la Conférence des Parties en 2017. La proposition d’Action </w:t>
      </w:r>
      <w:r w:rsidRPr="006F556C">
        <w:t xml:space="preserve">concertée a été adoptée avec quelques amendements sous la côte </w:t>
      </w:r>
      <w:hyperlink r:id="rId11" w:history="1">
        <w:r w:rsidRPr="006F556C">
          <w:t>UNEP/CMS/</w:t>
        </w:r>
        <w:proofErr w:type="spellStart"/>
        <w:r w:rsidRPr="006F556C">
          <w:t>Concerted</w:t>
        </w:r>
        <w:proofErr w:type="spellEnd"/>
        <w:r w:rsidRPr="006F556C">
          <w:t xml:space="preserve"> Action 12.1</w:t>
        </w:r>
      </w:hyperlink>
      <w:r w:rsidRPr="006F556C">
        <w:t xml:space="preserve">. Un rapport sur la mise en œuvre de l’Action concertée est disponible dans le document UNEP/CMS/COP13.Doc.28.1.1 </w:t>
      </w:r>
    </w:p>
    <w:p w:rsidR="0005300F" w:rsidRPr="006F556C" w:rsidRDefault="0005300F" w:rsidP="0005300F">
      <w:pPr>
        <w:spacing w:after="0" w:line="240" w:lineRule="auto"/>
        <w:ind w:left="720"/>
        <w:contextualSpacing/>
        <w:rPr>
          <w:lang w:val="fr-FR"/>
        </w:rPr>
      </w:pPr>
    </w:p>
    <w:p w:rsidR="0005300F" w:rsidRPr="0005300F" w:rsidRDefault="0005300F" w:rsidP="0005300F">
      <w:pPr>
        <w:pStyle w:val="Firstnumbering"/>
      </w:pPr>
      <w:r w:rsidRPr="0005300F">
        <w:t>L’Action concertée comprend cinq activités, la principale étant la convocation d’une deuxième réunion politique des États de l’aire de répartition afin d’explorer toutes les options susceptibles de contribuer à renforcer les efforts de conservation de l’anguille d’Europe.</w:t>
      </w:r>
    </w:p>
    <w:p w:rsidR="0005300F" w:rsidRPr="0005300F" w:rsidRDefault="0005300F" w:rsidP="0005300F">
      <w:pPr>
        <w:spacing w:after="0" w:line="240" w:lineRule="auto"/>
        <w:rPr>
          <w:lang w:val="fr-FR"/>
        </w:rPr>
      </w:pPr>
    </w:p>
    <w:p w:rsidR="0005300F" w:rsidRPr="0005300F" w:rsidRDefault="0005300F" w:rsidP="0005300F">
      <w:pPr>
        <w:spacing w:after="0" w:line="240" w:lineRule="auto"/>
        <w:rPr>
          <w:u w:val="single"/>
          <w:lang w:val="fr-FR"/>
        </w:rPr>
      </w:pPr>
      <w:r w:rsidRPr="0005300F">
        <w:rPr>
          <w:u w:val="single"/>
          <w:lang w:val="fr-FR"/>
        </w:rPr>
        <w:t>Deuxième et troisième réunions des États de l’aire de répartition</w:t>
      </w:r>
    </w:p>
    <w:p w:rsidR="0005300F" w:rsidRPr="0005300F" w:rsidRDefault="0005300F" w:rsidP="0005300F">
      <w:pPr>
        <w:spacing w:after="0" w:line="240" w:lineRule="auto"/>
        <w:rPr>
          <w:lang w:val="fr-FR"/>
        </w:rPr>
      </w:pPr>
    </w:p>
    <w:p w:rsidR="0005300F" w:rsidRPr="0005300F" w:rsidRDefault="0005300F" w:rsidP="0005300F">
      <w:pPr>
        <w:pStyle w:val="Firstnumbering"/>
      </w:pPr>
      <w:r w:rsidRPr="0005300F">
        <w:t xml:space="preserve">La </w:t>
      </w:r>
      <w:hyperlink r:id="rId12" w:history="1">
        <w:r w:rsidRPr="0005300F">
          <w:rPr>
            <w:color w:val="0563C1" w:themeColor="hyperlink"/>
            <w:u w:val="single"/>
          </w:rPr>
          <w:t>deuxième réunion</w:t>
        </w:r>
      </w:hyperlink>
      <w:r w:rsidRPr="0005300F">
        <w:t xml:space="preserve"> des États de l’aire de répartition a été organisée par le Secrétariat et la Commission de la mer des Sargasses, avec le soutien de la Principauté de Monaco et de l’Université maritime mondiale (UMM), et s’est tenue à Malmö, en Suède, les 15 et 16 mai 2018. La réunion a examiné les informations relatives aux activités d’évaluation, de conservation et de gestion de l’anguille d’Europe en cours au sein et à l’extérieur de l’Union européenne. À la suite des exposés présentés par les experts, les représentants de pays et les organisations intergouvernementales et non gouvernementales engagées dans la conservation de l’anguille, les délégués ont identifié un certain nombre de lacunes et de possibilités, ainsi que les avantages d’une coopération internationale renforcée en faveur de la conservation de l’anguille d’Europe.</w:t>
      </w:r>
    </w:p>
    <w:p w:rsidR="0005300F" w:rsidRPr="0005300F" w:rsidRDefault="0005300F" w:rsidP="0005300F">
      <w:pPr>
        <w:spacing w:after="0" w:line="240" w:lineRule="auto"/>
        <w:ind w:left="720"/>
        <w:contextualSpacing/>
        <w:rPr>
          <w:lang w:val="fr-FR"/>
        </w:rPr>
      </w:pPr>
    </w:p>
    <w:p w:rsidR="0005300F" w:rsidRPr="0005300F" w:rsidRDefault="0005300F" w:rsidP="0005300F">
      <w:pPr>
        <w:pStyle w:val="Firstnumbering"/>
      </w:pPr>
      <w:r w:rsidRPr="0005300F">
        <w:t>La réunion a souligné la nécessité de tenir compte de l’ensemble des menaces qui pèsent sur les anguilles tout au long de leur cycle de vie et dans toute leur aire de répartition, y compris en haute mer. Le groupe a identifié divers domaines qui ajouteraient de la valeur et compléteraient les efforts actuels, et a reconnu la nécessité d’impliquer tous les États de l’aire de répartition et les pays de destination des spécimens commercialisés.</w:t>
      </w:r>
    </w:p>
    <w:p w:rsidR="006F556C" w:rsidRDefault="006F556C" w:rsidP="0005300F">
      <w:pPr>
        <w:spacing w:after="0" w:line="240" w:lineRule="auto"/>
        <w:ind w:left="720"/>
        <w:contextualSpacing/>
        <w:rPr>
          <w:lang w:val="fr-FR"/>
        </w:rPr>
      </w:pPr>
      <w:r>
        <w:rPr>
          <w:lang w:val="fr-FR"/>
        </w:rPr>
        <w:br w:type="page"/>
      </w:r>
    </w:p>
    <w:p w:rsidR="0005300F" w:rsidRPr="0005300F" w:rsidRDefault="0005300F" w:rsidP="0005300F">
      <w:pPr>
        <w:spacing w:after="0" w:line="240" w:lineRule="auto"/>
        <w:ind w:left="720"/>
        <w:contextualSpacing/>
        <w:rPr>
          <w:lang w:val="fr-FR"/>
        </w:rPr>
      </w:pPr>
    </w:p>
    <w:p w:rsidR="0005300F" w:rsidRPr="0005300F" w:rsidRDefault="0005300F" w:rsidP="0005300F">
      <w:pPr>
        <w:pStyle w:val="Firstnumbering"/>
        <w:rPr>
          <w:rFonts w:cs="Arial"/>
          <w:sz w:val="20"/>
          <w:szCs w:val="20"/>
        </w:rPr>
      </w:pPr>
      <w:r w:rsidRPr="0005300F">
        <w:t>La réunion est parvenue à la conclusion suivante : « la coopération internationale est susceptible de combler les lacunes et de relever les défis en matière de conservation de l’anguille d’Europe. Dans ce contexte, la CMS pourrait, en tant que mécanisme mondial, s’attaquer à nombre de ces problèmes. Sur la base des modalités définies plus haut, la CMS pourrait entamer les consultations sur la mise en place d’un tel mécanisme pour une conservation plus coordonnée et plus complète de l’anguille d’Europe. Un processus de négociation visant à renforcer la coopération internationale devrait prendre en compte les révisions en cours des politiques européennes relatives à l’anguille, notamment celles menées au sein de l’Union européenne, au CGPM, à la CITES, à l’UICN et au CIEM. Il convient également de tenir compte de la nécessité de renforcer l’action dès que possible compte tenu de l’état de conservation de l’anguille d’Europe, qui est classée dans la catégorie des espèces En danger critique. »</w:t>
      </w:r>
      <w:r w:rsidRPr="0005300F">
        <w:rPr>
          <w:rFonts w:cs="Arial"/>
          <w:vertAlign w:val="superscript"/>
        </w:rPr>
        <w:footnoteReference w:id="1"/>
      </w:r>
    </w:p>
    <w:p w:rsidR="0005300F" w:rsidRPr="0005300F" w:rsidRDefault="0005300F" w:rsidP="0005300F">
      <w:pPr>
        <w:spacing w:after="0" w:line="240" w:lineRule="auto"/>
        <w:rPr>
          <w:lang w:val="fr-FR"/>
        </w:rPr>
      </w:pPr>
    </w:p>
    <w:p w:rsidR="0005300F" w:rsidRPr="0005300F" w:rsidRDefault="0005300F" w:rsidP="0005300F">
      <w:pPr>
        <w:pStyle w:val="Firstnumbering"/>
        <w:rPr>
          <w:rFonts w:cs="Arial"/>
        </w:rPr>
      </w:pPr>
      <w:r w:rsidRPr="0005300F">
        <w:t xml:space="preserve">Une </w:t>
      </w:r>
      <w:hyperlink r:id="rId13" w:history="1">
        <w:r w:rsidRPr="0005300F">
          <w:rPr>
            <w:color w:val="0563C1" w:themeColor="hyperlink"/>
            <w:u w:val="single"/>
          </w:rPr>
          <w:t>troisième réunion</w:t>
        </w:r>
      </w:hyperlink>
      <w:r w:rsidRPr="0005300F">
        <w:t xml:space="preserve"> des États de l’aire de répartition de l’anguille d’Europe s’est tenue à Malmö (Suède) du 25 au 26 juin 2019, organisée par le Secrétariat et la Commission de la mer des Sargasses, et financée en partie par le Gouvernement de la Principauté de Monaco. Vingt-quatre États de l’aire de répartition, y compris l’Union européenne, ainsi que des représentants de l’Organisation pour l’alimentation et l’agriculture (FAO), de la Convention sur le commerce international des espèces de faune et de flore sauvages menacées d’extinction (CITES), de l’Université maritime mondiale, de la Commission pour la protection du milieu marin de la Baltique (HELCOM), du Groupe de spécialistes des anguillidés de l’UICN, du Conseil général de la pêche de la Méditerranée (CGPM) et des ONG, ont également assisté à la réunion.</w:t>
      </w:r>
    </w:p>
    <w:p w:rsidR="0005300F" w:rsidRPr="0005300F" w:rsidRDefault="0005300F" w:rsidP="0005300F">
      <w:pPr>
        <w:spacing w:after="0" w:line="240" w:lineRule="auto"/>
        <w:ind w:left="720"/>
        <w:contextualSpacing/>
        <w:rPr>
          <w:rFonts w:cs="Arial"/>
          <w:lang w:val="fr-FR"/>
        </w:rPr>
      </w:pPr>
    </w:p>
    <w:p w:rsidR="0005300F" w:rsidRPr="0005300F" w:rsidRDefault="0005300F" w:rsidP="0005300F">
      <w:pPr>
        <w:pStyle w:val="Firstnumbering"/>
        <w:rPr>
          <w:rFonts w:cs="Arial"/>
        </w:rPr>
      </w:pPr>
      <w:r w:rsidRPr="0005300F">
        <w:t>Les pays ont discuté de la nécessité d’une coopération transfrontalière accrue, en particulier entre les pays de l’Union européenne et les pays tiers. La réunion a débattu du rôle que la CMS pourrait éventuellement jouer à cet égard. Les experts et les États de l’aire de répartition ont présenté les principales menaces pesant sur l’espèce et défini les domaines d’action possibles dans le contexte de la CMS.</w:t>
      </w:r>
    </w:p>
    <w:p w:rsidR="0005300F" w:rsidRPr="0005300F" w:rsidRDefault="0005300F" w:rsidP="0005300F">
      <w:pPr>
        <w:spacing w:after="0" w:line="240" w:lineRule="auto"/>
        <w:ind w:left="720"/>
        <w:contextualSpacing/>
        <w:rPr>
          <w:rFonts w:cs="Arial"/>
          <w:lang w:val="fr-FR"/>
        </w:rPr>
      </w:pPr>
    </w:p>
    <w:p w:rsidR="0005300F" w:rsidRPr="0005300F" w:rsidRDefault="0005300F" w:rsidP="0005300F">
      <w:pPr>
        <w:pStyle w:val="Firstnumbering"/>
      </w:pPr>
      <w:r w:rsidRPr="0005300F">
        <w:t>Les participants à la réunion ont convenu qu’il était trop tôt pour examiner un projet d’accord juridique à ce stade et que d’autres options devraient être envisagées.</w:t>
      </w:r>
    </w:p>
    <w:p w:rsidR="0005300F" w:rsidRPr="0005300F" w:rsidRDefault="0005300F" w:rsidP="0005300F">
      <w:pPr>
        <w:spacing w:after="0" w:line="240" w:lineRule="auto"/>
        <w:ind w:left="720"/>
        <w:contextualSpacing/>
        <w:rPr>
          <w:rFonts w:cs="Arial"/>
          <w:lang w:val="fr-FR"/>
        </w:rPr>
      </w:pPr>
    </w:p>
    <w:p w:rsidR="0005300F" w:rsidRPr="0005300F" w:rsidRDefault="0005300F" w:rsidP="0005300F">
      <w:pPr>
        <w:pStyle w:val="Firstnumbering"/>
      </w:pPr>
      <w:r w:rsidRPr="0005300F">
        <w:t>De nombreux États de l’aire de répartition étaient favorables à l’élaboration d’un Plan d’action par espèce, ou d’un instrument similaire pour l’espèce, plutôt que d’un accord juridiquement contraignant.</w:t>
      </w:r>
      <w:r>
        <w:t xml:space="preserve"> </w:t>
      </w:r>
      <w:r w:rsidRPr="0005300F">
        <w:t>Le Secrétariat a suggéré à la réunion qu’un Plan d’action par espèce pouvait répondre aux besoins des États de l’aire de répartition et a fourni un projet de Plan d’action qui pourrait être utilisé pour l’anguille d’Europe. Ce modèle est présenté en Annexe 1.</w:t>
      </w:r>
    </w:p>
    <w:p w:rsidR="0005300F" w:rsidRPr="0005300F" w:rsidRDefault="0005300F" w:rsidP="0005300F">
      <w:pPr>
        <w:spacing w:after="0" w:line="240" w:lineRule="auto"/>
        <w:ind w:left="720"/>
        <w:contextualSpacing/>
        <w:rPr>
          <w:lang w:val="fr-FR"/>
        </w:rPr>
      </w:pPr>
    </w:p>
    <w:p w:rsidR="0005300F" w:rsidRPr="0005300F" w:rsidRDefault="0005300F" w:rsidP="0005300F">
      <w:pPr>
        <w:pStyle w:val="Firstnumbering"/>
      </w:pPr>
      <w:r w:rsidRPr="0005300F">
        <w:t>La Conférence des Parties à la CMS a adopté un certain nombre de plans d’action pour divers groupes taxonomiques au fil des ans. Les plans d’action peuvent prendre plusieurs formes, et cibler une seule</w:t>
      </w:r>
      <w:r w:rsidRPr="0005300F">
        <w:rPr>
          <w:vertAlign w:val="superscript"/>
        </w:rPr>
        <w:footnoteReference w:id="2"/>
      </w:r>
      <w:r w:rsidRPr="0005300F">
        <w:t xml:space="preserve"> ou plusieurs espèces</w:t>
      </w:r>
      <w:r w:rsidRPr="0005300F">
        <w:rPr>
          <w:vertAlign w:val="superscript"/>
        </w:rPr>
        <w:footnoteReference w:id="3"/>
      </w:r>
      <w:r w:rsidRPr="0005300F">
        <w:t>. Ils peuvent être adoptés par la Conférence des Parties à la CMS</w:t>
      </w:r>
      <w:r w:rsidRPr="0005300F">
        <w:rPr>
          <w:vertAlign w:val="superscript"/>
        </w:rPr>
        <w:footnoteReference w:id="4"/>
      </w:r>
      <w:r w:rsidRPr="0005300F">
        <w:t>, par son Comité permanent ou par les États Parties de l’aire de répartition eux-mêmes. Les plans d’action peuvent également être développés en tant qu’instrument de la CMS – à l’instar d’un accord juridiquement contraignant</w:t>
      </w:r>
      <w:r w:rsidRPr="0005300F">
        <w:rPr>
          <w:vertAlign w:val="superscript"/>
        </w:rPr>
        <w:footnoteReference w:id="5"/>
      </w:r>
      <w:r w:rsidRPr="0005300F">
        <w:t xml:space="preserve"> ou d’un Mémorandum d’entente juridiquement non contraignant</w:t>
      </w:r>
      <w:r w:rsidRPr="0005300F">
        <w:rPr>
          <w:vertAlign w:val="superscript"/>
        </w:rPr>
        <w:footnoteReference w:id="6"/>
      </w:r>
      <w:r w:rsidRPr="0005300F">
        <w:t xml:space="preserve"> – ou peuvent être autonomes au titre de la Convention</w:t>
      </w:r>
      <w:r w:rsidRPr="0005300F">
        <w:rPr>
          <w:vertAlign w:val="superscript"/>
        </w:rPr>
        <w:footnoteReference w:id="7"/>
      </w:r>
      <w:r w:rsidR="006F556C">
        <w:t xml:space="preserve"> </w:t>
      </w:r>
      <w:r w:rsidRPr="0005300F">
        <w:rPr>
          <w:vertAlign w:val="superscript"/>
        </w:rPr>
        <w:footnoteReference w:id="8"/>
      </w:r>
      <w:r w:rsidRPr="0005300F">
        <w:t>.</w:t>
      </w:r>
    </w:p>
    <w:p w:rsidR="0005300F" w:rsidRDefault="0005300F" w:rsidP="0005300F">
      <w:pPr>
        <w:spacing w:after="0" w:line="240" w:lineRule="auto"/>
        <w:ind w:left="540"/>
        <w:contextualSpacing/>
        <w:rPr>
          <w:lang w:val="fr-FR"/>
        </w:rPr>
      </w:pPr>
    </w:p>
    <w:p w:rsidR="006F556C" w:rsidRDefault="006F556C" w:rsidP="0005300F">
      <w:pPr>
        <w:spacing w:after="0" w:line="240" w:lineRule="auto"/>
        <w:ind w:left="540"/>
        <w:contextualSpacing/>
        <w:rPr>
          <w:lang w:val="fr-FR"/>
        </w:rPr>
      </w:pPr>
    </w:p>
    <w:p w:rsidR="006F556C" w:rsidRDefault="006F556C" w:rsidP="0005300F">
      <w:pPr>
        <w:spacing w:after="0" w:line="240" w:lineRule="auto"/>
        <w:ind w:left="540"/>
        <w:contextualSpacing/>
        <w:rPr>
          <w:lang w:val="fr-FR"/>
        </w:rPr>
      </w:pPr>
    </w:p>
    <w:p w:rsidR="006F556C" w:rsidRPr="0005300F" w:rsidRDefault="006F556C" w:rsidP="0005300F">
      <w:pPr>
        <w:spacing w:after="0" w:line="240" w:lineRule="auto"/>
        <w:ind w:left="540"/>
        <w:contextualSpacing/>
        <w:rPr>
          <w:lang w:val="fr-FR"/>
        </w:rPr>
      </w:pPr>
    </w:p>
    <w:p w:rsidR="0005300F" w:rsidRPr="0005300F" w:rsidRDefault="0005300F" w:rsidP="0005300F">
      <w:pPr>
        <w:pStyle w:val="Firstnumbering"/>
      </w:pPr>
      <w:r w:rsidRPr="0005300F">
        <w:t>La réunion a également élaboré une liste des menaces, des défis et des problèmes émergents auxquels l’espèce est confrontée, qui pourraient constituer la base de la section du Plan d’action consacrée aux menaces. Cette liste est fournie en Annexe 2.</w:t>
      </w:r>
    </w:p>
    <w:p w:rsidR="0005300F" w:rsidRPr="0005300F" w:rsidRDefault="0005300F" w:rsidP="0005300F">
      <w:pPr>
        <w:spacing w:after="0" w:line="240" w:lineRule="auto"/>
        <w:ind w:left="720"/>
        <w:contextualSpacing/>
        <w:rPr>
          <w:lang w:val="fr-FR"/>
        </w:rPr>
      </w:pPr>
    </w:p>
    <w:p w:rsidR="0005300F" w:rsidRPr="0005300F" w:rsidRDefault="0005300F" w:rsidP="0005300F">
      <w:pPr>
        <w:pStyle w:val="Firstnumbering"/>
      </w:pPr>
      <w:r w:rsidRPr="0005300F">
        <w:t>Afin de permettre un examen et une consultation appropriés, les États de l’aire de répartition ont demandé qu’un document contenant ces éléments soit soumis à l’avis de la 13</w:t>
      </w:r>
      <w:r w:rsidRPr="0005300F">
        <w:rPr>
          <w:vertAlign w:val="superscript"/>
        </w:rPr>
        <w:t>ème</w:t>
      </w:r>
      <w:r w:rsidRPr="0005300F">
        <w:t> session de la Conférence des Parties.</w:t>
      </w:r>
    </w:p>
    <w:p w:rsidR="0005300F" w:rsidRPr="0005300F" w:rsidRDefault="0005300F" w:rsidP="0005300F">
      <w:pPr>
        <w:spacing w:after="0" w:line="240" w:lineRule="auto"/>
        <w:rPr>
          <w:lang w:val="fr-FR"/>
        </w:rPr>
      </w:pPr>
    </w:p>
    <w:p w:rsidR="0005300F" w:rsidRPr="0005300F" w:rsidRDefault="0005300F" w:rsidP="0005300F">
      <w:pPr>
        <w:spacing w:after="0" w:line="240" w:lineRule="auto"/>
        <w:rPr>
          <w:lang w:val="fr-FR"/>
        </w:rPr>
      </w:pPr>
    </w:p>
    <w:p w:rsidR="0005300F" w:rsidRPr="0005300F" w:rsidRDefault="0005300F" w:rsidP="0005300F">
      <w:pPr>
        <w:spacing w:after="0" w:line="240" w:lineRule="auto"/>
        <w:rPr>
          <w:rFonts w:cs="Arial"/>
          <w:u w:val="single"/>
          <w:lang w:val="fr-FR"/>
        </w:rPr>
      </w:pPr>
      <w:r w:rsidRPr="0005300F">
        <w:rPr>
          <w:u w:val="single"/>
          <w:lang w:val="fr-FR"/>
        </w:rPr>
        <w:t>Actions recommandées :</w:t>
      </w:r>
    </w:p>
    <w:p w:rsidR="0005300F" w:rsidRPr="0005300F" w:rsidRDefault="0005300F" w:rsidP="0005300F">
      <w:pPr>
        <w:spacing w:after="0" w:line="240" w:lineRule="auto"/>
        <w:rPr>
          <w:lang w:val="fr-FR"/>
        </w:rPr>
      </w:pPr>
    </w:p>
    <w:p w:rsidR="0005300F" w:rsidRPr="0005300F" w:rsidRDefault="006F556C" w:rsidP="0005300F">
      <w:pPr>
        <w:pStyle w:val="Firstnumbering"/>
        <w:rPr>
          <w:rFonts w:cs="Arial"/>
        </w:rPr>
      </w:pPr>
      <w:r>
        <w:t xml:space="preserve">Il est recommandé à la </w:t>
      </w:r>
      <w:r w:rsidR="0005300F" w:rsidRPr="0005300F">
        <w:t>Conférence des Parties :</w:t>
      </w:r>
    </w:p>
    <w:p w:rsidR="0005300F" w:rsidRPr="0005300F" w:rsidRDefault="0005300F" w:rsidP="0005300F">
      <w:pPr>
        <w:spacing w:after="0" w:line="240" w:lineRule="auto"/>
        <w:ind w:left="1080"/>
        <w:contextualSpacing/>
        <w:jc w:val="both"/>
        <w:rPr>
          <w:rFonts w:cs="Arial"/>
          <w:lang w:val="fr-FR"/>
        </w:rPr>
      </w:pPr>
    </w:p>
    <w:p w:rsidR="0005300F" w:rsidRPr="0005300F" w:rsidRDefault="006F556C" w:rsidP="0005300F">
      <w:pPr>
        <w:pStyle w:val="Secondnumberinga"/>
        <w:spacing w:after="0" w:line="240" w:lineRule="auto"/>
        <w:ind w:hanging="436"/>
      </w:pPr>
      <w:r>
        <w:t>d’</w:t>
      </w:r>
      <w:r w:rsidR="0005300F" w:rsidRPr="0005300F">
        <w:t>examiner et fournir toute orientation sur la liste des menaces et des défis, établie lors de la troisième réunion des États de l’aire de répartition de l’anguille d’Europe, et figurant à l’Annexe 1 ;</w:t>
      </w:r>
    </w:p>
    <w:p w:rsidR="0005300F" w:rsidRPr="0005300F" w:rsidRDefault="0005300F" w:rsidP="0005300F">
      <w:pPr>
        <w:widowControl w:val="0"/>
        <w:autoSpaceDE w:val="0"/>
        <w:autoSpaceDN w:val="0"/>
        <w:adjustRightInd w:val="0"/>
        <w:spacing w:after="0" w:line="240" w:lineRule="auto"/>
        <w:ind w:left="1440" w:hanging="436"/>
        <w:contextualSpacing/>
        <w:jc w:val="both"/>
        <w:rPr>
          <w:rFonts w:cs="Arial"/>
          <w:lang w:val="fr-FR"/>
        </w:rPr>
      </w:pPr>
    </w:p>
    <w:p w:rsidR="0005300F" w:rsidRPr="0005300F" w:rsidRDefault="006F556C" w:rsidP="0005300F">
      <w:pPr>
        <w:pStyle w:val="Secondnumberinga"/>
        <w:spacing w:after="0" w:line="240" w:lineRule="auto"/>
        <w:ind w:hanging="436"/>
      </w:pPr>
      <w:r>
        <w:t>d’</w:t>
      </w:r>
      <w:r w:rsidR="0005300F" w:rsidRPr="0005300F">
        <w:t>examiner et formuler des recommandations sur l’ébauche d’un Plan d’action, figurant à l’Annexe 2 ;</w:t>
      </w:r>
    </w:p>
    <w:p w:rsidR="0005300F" w:rsidRPr="0005300F" w:rsidRDefault="0005300F" w:rsidP="0005300F">
      <w:pPr>
        <w:widowControl w:val="0"/>
        <w:autoSpaceDE w:val="0"/>
        <w:autoSpaceDN w:val="0"/>
        <w:adjustRightInd w:val="0"/>
        <w:spacing w:after="0" w:line="240" w:lineRule="auto"/>
        <w:ind w:left="1440" w:hanging="436"/>
        <w:contextualSpacing/>
        <w:jc w:val="both"/>
        <w:rPr>
          <w:rFonts w:cs="Arial"/>
          <w:lang w:val="fr-FR"/>
        </w:rPr>
      </w:pPr>
    </w:p>
    <w:p w:rsidR="0005300F" w:rsidRPr="0005300F" w:rsidRDefault="006F556C" w:rsidP="0005300F">
      <w:pPr>
        <w:pStyle w:val="Secondnumberinga"/>
        <w:spacing w:after="0" w:line="240" w:lineRule="auto"/>
        <w:ind w:hanging="436"/>
      </w:pPr>
      <w:r>
        <w:t>d’</w:t>
      </w:r>
      <w:r w:rsidR="0005300F" w:rsidRPr="0005300F">
        <w:t xml:space="preserve">examiner et </w:t>
      </w:r>
      <w:r>
        <w:t>d’</w:t>
      </w:r>
      <w:r w:rsidR="0005300F" w:rsidRPr="0005300F">
        <w:t xml:space="preserve">adopter les </w:t>
      </w:r>
      <w:r>
        <w:t>D</w:t>
      </w:r>
      <w:r w:rsidR="0005300F" w:rsidRPr="0005300F">
        <w:t>écisions figurant à l’Annexe 3.</w:t>
      </w:r>
    </w:p>
    <w:p w:rsidR="0005300F" w:rsidRDefault="0005300F" w:rsidP="0005300F">
      <w:pPr>
        <w:spacing w:after="0" w:line="240" w:lineRule="auto"/>
        <w:ind w:left="720"/>
        <w:contextualSpacing/>
        <w:rPr>
          <w:rFonts w:cs="Arial"/>
          <w:lang w:val="fr-FR"/>
        </w:rPr>
      </w:pPr>
    </w:p>
    <w:p w:rsidR="0005300F" w:rsidRDefault="0005300F" w:rsidP="0005300F">
      <w:pPr>
        <w:spacing w:after="0" w:line="240" w:lineRule="auto"/>
        <w:ind w:left="720"/>
        <w:contextualSpacing/>
        <w:rPr>
          <w:rFonts w:cs="Arial"/>
          <w:lang w:val="fr-FR"/>
        </w:rPr>
      </w:pPr>
    </w:p>
    <w:p w:rsidR="0005300F" w:rsidRDefault="0005300F" w:rsidP="0005300F">
      <w:pPr>
        <w:spacing w:after="0" w:line="240" w:lineRule="auto"/>
        <w:ind w:left="720"/>
        <w:contextualSpacing/>
        <w:rPr>
          <w:rFonts w:cs="Arial"/>
          <w:lang w:val="fr-FR"/>
        </w:rPr>
        <w:sectPr w:rsidR="0005300F" w:rsidSect="00D71837">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cols w:space="720"/>
          <w:titlePg/>
          <w:docGrid w:linePitch="360"/>
        </w:sectPr>
      </w:pPr>
    </w:p>
    <w:p w:rsidR="0005300F" w:rsidRPr="0005300F" w:rsidRDefault="0005300F" w:rsidP="0005300F">
      <w:pPr>
        <w:spacing w:after="0" w:line="240" w:lineRule="auto"/>
        <w:jc w:val="right"/>
        <w:rPr>
          <w:rFonts w:cs="Arial"/>
          <w:b/>
          <w:lang w:val="fr-FR"/>
        </w:rPr>
      </w:pPr>
      <w:r w:rsidRPr="0005300F">
        <w:rPr>
          <w:b/>
          <w:lang w:val="fr-FR"/>
        </w:rPr>
        <w:lastRenderedPageBreak/>
        <w:t>ANNEXE 1</w:t>
      </w:r>
    </w:p>
    <w:p w:rsidR="0005300F" w:rsidRDefault="0005300F" w:rsidP="0005300F">
      <w:pPr>
        <w:spacing w:after="0" w:line="240" w:lineRule="auto"/>
        <w:jc w:val="center"/>
        <w:rPr>
          <w:b/>
          <w:lang w:val="fr-FR"/>
        </w:rPr>
      </w:pPr>
    </w:p>
    <w:p w:rsidR="0005300F" w:rsidRDefault="0005300F" w:rsidP="0005300F">
      <w:pPr>
        <w:spacing w:after="0" w:line="240" w:lineRule="auto"/>
        <w:jc w:val="center"/>
        <w:rPr>
          <w:b/>
          <w:lang w:val="fr-FR"/>
        </w:rPr>
      </w:pPr>
    </w:p>
    <w:p w:rsidR="0005300F" w:rsidRPr="0005300F" w:rsidRDefault="0005300F" w:rsidP="0005300F">
      <w:pPr>
        <w:spacing w:after="0" w:line="240" w:lineRule="auto"/>
        <w:jc w:val="center"/>
        <w:rPr>
          <w:rFonts w:cs="Arial"/>
          <w:b/>
          <w:lang w:val="fr-FR"/>
        </w:rPr>
      </w:pPr>
      <w:r w:rsidRPr="0005300F">
        <w:rPr>
          <w:b/>
          <w:lang w:val="fr-FR"/>
        </w:rPr>
        <w:t>MOD</w:t>
      </w:r>
      <w:r w:rsidR="009B631C">
        <w:rPr>
          <w:b/>
          <w:lang w:val="fr-FR"/>
        </w:rPr>
        <w:t>È</w:t>
      </w:r>
      <w:r w:rsidRPr="0005300F">
        <w:rPr>
          <w:b/>
          <w:lang w:val="fr-FR"/>
        </w:rPr>
        <w:t>LE DE PLAN D’ACTION PAR ESP</w:t>
      </w:r>
      <w:r w:rsidR="009B631C">
        <w:rPr>
          <w:b/>
          <w:lang w:val="fr-FR"/>
        </w:rPr>
        <w:t>È</w:t>
      </w:r>
      <w:r w:rsidRPr="0005300F">
        <w:rPr>
          <w:b/>
          <w:lang w:val="fr-FR"/>
        </w:rPr>
        <w:t>CE</w:t>
      </w:r>
    </w:p>
    <w:p w:rsidR="0005300F" w:rsidRPr="0005300F" w:rsidRDefault="0005300F" w:rsidP="0005300F">
      <w:pPr>
        <w:spacing w:after="0" w:line="240" w:lineRule="auto"/>
        <w:jc w:val="center"/>
        <w:rPr>
          <w:rFonts w:cs="Arial"/>
          <w:b/>
          <w:lang w:val="fr-FR"/>
        </w:rPr>
      </w:pPr>
      <w:r w:rsidRPr="0005300F">
        <w:rPr>
          <w:b/>
          <w:lang w:val="fr-FR"/>
        </w:rPr>
        <w:t>QUI POURRAIT ETRE ADAPT</w:t>
      </w:r>
      <w:r w:rsidR="009B631C">
        <w:rPr>
          <w:b/>
          <w:lang w:val="fr-FR"/>
        </w:rPr>
        <w:t>É</w:t>
      </w:r>
      <w:r w:rsidRPr="0005300F">
        <w:rPr>
          <w:b/>
          <w:lang w:val="fr-FR"/>
        </w:rPr>
        <w:t xml:space="preserve"> POUR L’ANGUILLE D’EUROPE</w:t>
      </w:r>
    </w:p>
    <w:p w:rsidR="0005300F" w:rsidRPr="002079A1" w:rsidRDefault="0005300F" w:rsidP="0005300F">
      <w:pPr>
        <w:spacing w:after="0" w:line="240" w:lineRule="auto"/>
        <w:rPr>
          <w:rFonts w:cs="Arial"/>
          <w:lang w:val="fr-FR"/>
        </w:rPr>
      </w:pPr>
    </w:p>
    <w:p w:rsidR="0005300F" w:rsidRPr="0005300F" w:rsidRDefault="0005300F" w:rsidP="0005300F">
      <w:pPr>
        <w:pStyle w:val="ListParagraph"/>
        <w:numPr>
          <w:ilvl w:val="0"/>
          <w:numId w:val="11"/>
        </w:numPr>
        <w:spacing w:after="0" w:line="240" w:lineRule="auto"/>
        <w:ind w:left="567" w:hanging="567"/>
        <w:rPr>
          <w:rFonts w:cs="Arial"/>
          <w:b/>
        </w:rPr>
      </w:pPr>
      <w:proofErr w:type="spellStart"/>
      <w:r>
        <w:rPr>
          <w:b/>
        </w:rPr>
        <w:t>Évaluation</w:t>
      </w:r>
      <w:proofErr w:type="spellEnd"/>
      <w:r>
        <w:rPr>
          <w:b/>
        </w:rPr>
        <w:t xml:space="preserve"> </w:t>
      </w:r>
      <w:proofErr w:type="spellStart"/>
      <w:r>
        <w:rPr>
          <w:b/>
        </w:rPr>
        <w:t>biologique</w:t>
      </w:r>
      <w:proofErr w:type="spellEnd"/>
    </w:p>
    <w:p w:rsidR="0005300F" w:rsidRPr="008E09A0" w:rsidRDefault="0005300F" w:rsidP="0005300F">
      <w:pPr>
        <w:pStyle w:val="ListParagraph"/>
        <w:spacing w:after="0" w:line="240" w:lineRule="auto"/>
        <w:ind w:left="567"/>
        <w:rPr>
          <w:rFonts w:cs="Arial"/>
          <w:b/>
        </w:rPr>
      </w:pPr>
    </w:p>
    <w:p w:rsidR="0005300F" w:rsidRPr="008E09A0" w:rsidRDefault="0005300F" w:rsidP="0005300F">
      <w:pPr>
        <w:pStyle w:val="ListParagraph"/>
        <w:numPr>
          <w:ilvl w:val="1"/>
          <w:numId w:val="11"/>
        </w:numPr>
        <w:spacing w:after="0" w:line="240" w:lineRule="auto"/>
        <w:ind w:left="1276" w:hanging="425"/>
        <w:rPr>
          <w:rFonts w:cs="Arial"/>
        </w:rPr>
      </w:pPr>
      <w:proofErr w:type="spellStart"/>
      <w:r>
        <w:t>Taxonomie</w:t>
      </w:r>
      <w:proofErr w:type="spellEnd"/>
    </w:p>
    <w:p w:rsidR="0005300F" w:rsidRPr="008E09A0" w:rsidRDefault="0005300F" w:rsidP="0005300F">
      <w:pPr>
        <w:pStyle w:val="ListParagraph"/>
        <w:numPr>
          <w:ilvl w:val="1"/>
          <w:numId w:val="11"/>
        </w:numPr>
        <w:spacing w:after="0" w:line="240" w:lineRule="auto"/>
        <w:ind w:left="1276" w:hanging="425"/>
        <w:rPr>
          <w:rFonts w:cs="Arial"/>
        </w:rPr>
      </w:pPr>
      <w:proofErr w:type="spellStart"/>
      <w:r>
        <w:t>Répartition</w:t>
      </w:r>
      <w:proofErr w:type="spellEnd"/>
      <w:r>
        <w:t xml:space="preserve">/Aire de </w:t>
      </w:r>
      <w:proofErr w:type="spellStart"/>
      <w:r>
        <w:t>répartition</w:t>
      </w:r>
      <w:proofErr w:type="spellEnd"/>
    </w:p>
    <w:p w:rsidR="0005300F" w:rsidRPr="008E09A0" w:rsidRDefault="0005300F" w:rsidP="0005300F">
      <w:pPr>
        <w:pStyle w:val="ListParagraph"/>
        <w:numPr>
          <w:ilvl w:val="1"/>
          <w:numId w:val="11"/>
        </w:numPr>
        <w:spacing w:after="0" w:line="240" w:lineRule="auto"/>
        <w:ind w:left="1276" w:hanging="425"/>
        <w:rPr>
          <w:rFonts w:cs="Arial"/>
        </w:rPr>
      </w:pPr>
      <w:proofErr w:type="spellStart"/>
      <w:r>
        <w:t>Schémas</w:t>
      </w:r>
      <w:proofErr w:type="spellEnd"/>
      <w:r>
        <w:t xml:space="preserve"> </w:t>
      </w:r>
      <w:proofErr w:type="spellStart"/>
      <w:r>
        <w:t>migratoires</w:t>
      </w:r>
      <w:proofErr w:type="spellEnd"/>
    </w:p>
    <w:p w:rsidR="0005300F" w:rsidRPr="008E09A0" w:rsidRDefault="0005300F" w:rsidP="0005300F">
      <w:pPr>
        <w:pStyle w:val="ListParagraph"/>
        <w:numPr>
          <w:ilvl w:val="1"/>
          <w:numId w:val="11"/>
        </w:numPr>
        <w:spacing w:after="0" w:line="240" w:lineRule="auto"/>
        <w:ind w:left="1276" w:hanging="425"/>
        <w:rPr>
          <w:rFonts w:cs="Arial"/>
        </w:rPr>
      </w:pPr>
      <w:proofErr w:type="spellStart"/>
      <w:r>
        <w:t>Tendances</w:t>
      </w:r>
      <w:proofErr w:type="spellEnd"/>
      <w:r>
        <w:t xml:space="preserve"> de la population</w:t>
      </w:r>
    </w:p>
    <w:p w:rsidR="0005300F" w:rsidRPr="008E09A0" w:rsidRDefault="0005300F" w:rsidP="0005300F">
      <w:pPr>
        <w:pStyle w:val="ListParagraph"/>
        <w:spacing w:after="0" w:line="240" w:lineRule="auto"/>
        <w:ind w:left="1440"/>
        <w:rPr>
          <w:rFonts w:cs="Arial"/>
          <w:lang w:val="en-GB"/>
        </w:rPr>
      </w:pPr>
    </w:p>
    <w:p w:rsidR="0005300F" w:rsidRPr="0005300F" w:rsidRDefault="0005300F" w:rsidP="0005300F">
      <w:pPr>
        <w:pStyle w:val="ListParagraph"/>
        <w:numPr>
          <w:ilvl w:val="0"/>
          <w:numId w:val="11"/>
        </w:numPr>
        <w:spacing w:after="0" w:line="240" w:lineRule="auto"/>
        <w:ind w:left="567" w:hanging="567"/>
        <w:rPr>
          <w:rFonts w:cs="Arial"/>
          <w:b/>
        </w:rPr>
      </w:pPr>
      <w:r>
        <w:rPr>
          <w:b/>
        </w:rPr>
        <w:t>Menaces</w:t>
      </w:r>
    </w:p>
    <w:p w:rsidR="0005300F" w:rsidRPr="008E09A0" w:rsidRDefault="0005300F" w:rsidP="0005300F">
      <w:pPr>
        <w:pStyle w:val="ListParagraph"/>
        <w:spacing w:after="0" w:line="240" w:lineRule="auto"/>
        <w:ind w:left="567"/>
        <w:rPr>
          <w:rFonts w:cs="Arial"/>
          <w:b/>
        </w:rPr>
      </w:pPr>
    </w:p>
    <w:p w:rsidR="0005300F" w:rsidRPr="008E09A0" w:rsidRDefault="0005300F" w:rsidP="0005300F">
      <w:pPr>
        <w:pStyle w:val="ListParagraph"/>
        <w:numPr>
          <w:ilvl w:val="1"/>
          <w:numId w:val="11"/>
        </w:numPr>
        <w:spacing w:after="0" w:line="240" w:lineRule="auto"/>
        <w:ind w:left="1276" w:hanging="425"/>
        <w:rPr>
          <w:rFonts w:cs="Arial"/>
        </w:rPr>
      </w:pPr>
      <w:r>
        <w:t>Xx</w:t>
      </w:r>
    </w:p>
    <w:p w:rsidR="0005300F" w:rsidRPr="008E09A0" w:rsidRDefault="0005300F" w:rsidP="0005300F">
      <w:pPr>
        <w:pStyle w:val="ListParagraph"/>
        <w:numPr>
          <w:ilvl w:val="1"/>
          <w:numId w:val="11"/>
        </w:numPr>
        <w:spacing w:after="0" w:line="240" w:lineRule="auto"/>
        <w:ind w:left="1276" w:hanging="425"/>
        <w:rPr>
          <w:rFonts w:cs="Arial"/>
        </w:rPr>
      </w:pPr>
      <w:r>
        <w:t>Xx</w:t>
      </w:r>
    </w:p>
    <w:p w:rsidR="0005300F" w:rsidRPr="008E09A0" w:rsidRDefault="0005300F" w:rsidP="0005300F">
      <w:pPr>
        <w:pStyle w:val="ListParagraph"/>
        <w:numPr>
          <w:ilvl w:val="1"/>
          <w:numId w:val="11"/>
        </w:numPr>
        <w:spacing w:after="0" w:line="240" w:lineRule="auto"/>
        <w:ind w:left="1276" w:hanging="425"/>
        <w:rPr>
          <w:rFonts w:cs="Arial"/>
        </w:rPr>
      </w:pPr>
      <w:r>
        <w:t>Xx</w:t>
      </w:r>
    </w:p>
    <w:p w:rsidR="0005300F" w:rsidRPr="008E09A0" w:rsidRDefault="0005300F" w:rsidP="0005300F">
      <w:pPr>
        <w:pStyle w:val="ListParagraph"/>
        <w:numPr>
          <w:ilvl w:val="1"/>
          <w:numId w:val="11"/>
        </w:numPr>
        <w:spacing w:after="0" w:line="240" w:lineRule="auto"/>
        <w:ind w:left="1276" w:hanging="425"/>
        <w:rPr>
          <w:rFonts w:cs="Arial"/>
        </w:rPr>
      </w:pPr>
      <w:r>
        <w:t>Xx</w:t>
      </w:r>
    </w:p>
    <w:p w:rsidR="0005300F" w:rsidRPr="008E09A0" w:rsidRDefault="0005300F" w:rsidP="0005300F">
      <w:pPr>
        <w:pStyle w:val="ListParagraph"/>
        <w:numPr>
          <w:ilvl w:val="1"/>
          <w:numId w:val="11"/>
        </w:numPr>
        <w:spacing w:after="0" w:line="240" w:lineRule="auto"/>
        <w:ind w:left="1276" w:hanging="425"/>
        <w:rPr>
          <w:rFonts w:cs="Arial"/>
        </w:rPr>
      </w:pPr>
      <w:r>
        <w:t>Xx</w:t>
      </w:r>
    </w:p>
    <w:p w:rsidR="0005300F" w:rsidRPr="008E09A0" w:rsidRDefault="0005300F" w:rsidP="0005300F">
      <w:pPr>
        <w:pStyle w:val="ListParagraph"/>
        <w:numPr>
          <w:ilvl w:val="1"/>
          <w:numId w:val="11"/>
        </w:numPr>
        <w:spacing w:after="0" w:line="240" w:lineRule="auto"/>
        <w:ind w:left="1276" w:hanging="425"/>
        <w:rPr>
          <w:rFonts w:cs="Arial"/>
        </w:rPr>
      </w:pPr>
      <w:r>
        <w:t>Xx</w:t>
      </w:r>
    </w:p>
    <w:p w:rsidR="0005300F" w:rsidRPr="008E09A0" w:rsidRDefault="0005300F" w:rsidP="0005300F">
      <w:pPr>
        <w:pStyle w:val="ListParagraph"/>
        <w:spacing w:after="0" w:line="240" w:lineRule="auto"/>
        <w:rPr>
          <w:rFonts w:cs="Arial"/>
          <w:lang w:val="en-GB"/>
        </w:rPr>
      </w:pPr>
    </w:p>
    <w:p w:rsidR="0005300F" w:rsidRPr="0005300F" w:rsidRDefault="0005300F" w:rsidP="0005300F">
      <w:pPr>
        <w:pStyle w:val="ListParagraph"/>
        <w:numPr>
          <w:ilvl w:val="0"/>
          <w:numId w:val="11"/>
        </w:numPr>
        <w:spacing w:after="120" w:line="240" w:lineRule="auto"/>
        <w:ind w:left="567" w:hanging="567"/>
        <w:rPr>
          <w:rFonts w:cs="Arial"/>
          <w:b/>
          <w:lang w:val="fr-FR"/>
        </w:rPr>
      </w:pPr>
      <w:r w:rsidRPr="0005300F">
        <w:rPr>
          <w:b/>
          <w:lang w:val="fr-FR"/>
        </w:rPr>
        <w:t>Matrice de hiérarchisation des menaces/des risques</w:t>
      </w:r>
    </w:p>
    <w:tbl>
      <w:tblPr>
        <w:tblStyle w:val="TableGrid"/>
        <w:tblW w:w="5000" w:type="pct"/>
        <w:tblLook w:val="04A0" w:firstRow="1" w:lastRow="0" w:firstColumn="1" w:lastColumn="0" w:noHBand="0" w:noVBand="1"/>
      </w:tblPr>
      <w:tblGrid>
        <w:gridCol w:w="1611"/>
        <w:gridCol w:w="1567"/>
        <w:gridCol w:w="1544"/>
        <w:gridCol w:w="1554"/>
        <w:gridCol w:w="1573"/>
        <w:gridCol w:w="1779"/>
      </w:tblGrid>
      <w:tr w:rsidR="0005300F" w:rsidRPr="008E09A0" w:rsidTr="0005300F">
        <w:tc>
          <w:tcPr>
            <w:tcW w:w="836" w:type="pct"/>
          </w:tcPr>
          <w:p w:rsidR="0005300F" w:rsidRPr="008E09A0" w:rsidRDefault="0005300F" w:rsidP="0005300F">
            <w:pPr>
              <w:rPr>
                <w:rFonts w:ascii="Arial" w:hAnsi="Arial" w:cs="Arial"/>
              </w:rPr>
            </w:pPr>
            <w:r>
              <w:rPr>
                <w:rFonts w:ascii="Arial" w:hAnsi="Arial"/>
              </w:rPr>
              <w:t>Probabilité</w:t>
            </w:r>
          </w:p>
        </w:tc>
        <w:tc>
          <w:tcPr>
            <w:tcW w:w="4164" w:type="pct"/>
            <w:gridSpan w:val="5"/>
          </w:tcPr>
          <w:p w:rsidR="0005300F" w:rsidRPr="008E09A0" w:rsidRDefault="0005300F" w:rsidP="0005300F">
            <w:pPr>
              <w:rPr>
                <w:rFonts w:ascii="Arial" w:hAnsi="Arial" w:cs="Arial"/>
              </w:rPr>
            </w:pPr>
            <w:r>
              <w:rPr>
                <w:rFonts w:ascii="Arial" w:hAnsi="Arial"/>
              </w:rPr>
              <w:t>Conséquences</w:t>
            </w:r>
          </w:p>
        </w:tc>
      </w:tr>
      <w:tr w:rsidR="0005300F" w:rsidRPr="008E09A0" w:rsidTr="0005300F">
        <w:tc>
          <w:tcPr>
            <w:tcW w:w="836" w:type="pct"/>
          </w:tcPr>
          <w:p w:rsidR="0005300F" w:rsidRPr="008E09A0" w:rsidRDefault="0005300F" w:rsidP="0005300F">
            <w:pPr>
              <w:rPr>
                <w:rFonts w:ascii="Arial" w:hAnsi="Arial" w:cs="Arial"/>
                <w:lang w:val="en-GB"/>
              </w:rPr>
            </w:pPr>
          </w:p>
        </w:tc>
        <w:tc>
          <w:tcPr>
            <w:tcW w:w="814" w:type="pct"/>
          </w:tcPr>
          <w:p w:rsidR="0005300F" w:rsidRPr="008E09A0" w:rsidRDefault="0005300F" w:rsidP="0005300F">
            <w:pPr>
              <w:rPr>
                <w:rFonts w:ascii="Arial" w:hAnsi="Arial" w:cs="Arial"/>
              </w:rPr>
            </w:pPr>
            <w:r>
              <w:rPr>
                <w:rFonts w:ascii="Arial" w:hAnsi="Arial"/>
              </w:rPr>
              <w:t>Négligeable</w:t>
            </w:r>
          </w:p>
        </w:tc>
        <w:tc>
          <w:tcPr>
            <w:tcW w:w="802" w:type="pct"/>
          </w:tcPr>
          <w:p w:rsidR="0005300F" w:rsidRPr="008E09A0" w:rsidRDefault="0005300F" w:rsidP="0005300F">
            <w:pPr>
              <w:rPr>
                <w:rFonts w:ascii="Arial" w:hAnsi="Arial" w:cs="Arial"/>
              </w:rPr>
            </w:pPr>
            <w:r>
              <w:rPr>
                <w:rFonts w:ascii="Arial" w:hAnsi="Arial"/>
              </w:rPr>
              <w:t>Mineur</w:t>
            </w:r>
          </w:p>
        </w:tc>
        <w:tc>
          <w:tcPr>
            <w:tcW w:w="807" w:type="pct"/>
          </w:tcPr>
          <w:p w:rsidR="0005300F" w:rsidRPr="008E09A0" w:rsidRDefault="0005300F" w:rsidP="0005300F">
            <w:pPr>
              <w:rPr>
                <w:rFonts w:ascii="Arial" w:hAnsi="Arial" w:cs="Arial"/>
              </w:rPr>
            </w:pPr>
            <w:r>
              <w:rPr>
                <w:rFonts w:ascii="Arial" w:hAnsi="Arial"/>
              </w:rPr>
              <w:t>Modéré</w:t>
            </w:r>
          </w:p>
        </w:tc>
        <w:tc>
          <w:tcPr>
            <w:tcW w:w="817" w:type="pct"/>
          </w:tcPr>
          <w:p w:rsidR="0005300F" w:rsidRPr="008E09A0" w:rsidRDefault="0005300F" w:rsidP="0005300F">
            <w:pPr>
              <w:rPr>
                <w:rFonts w:ascii="Arial" w:hAnsi="Arial" w:cs="Arial"/>
              </w:rPr>
            </w:pPr>
            <w:r>
              <w:rPr>
                <w:rFonts w:ascii="Arial" w:hAnsi="Arial"/>
              </w:rPr>
              <w:t>Considérable</w:t>
            </w:r>
          </w:p>
        </w:tc>
        <w:tc>
          <w:tcPr>
            <w:tcW w:w="923" w:type="pct"/>
          </w:tcPr>
          <w:p w:rsidR="0005300F" w:rsidRPr="008E09A0" w:rsidRDefault="0005300F" w:rsidP="0005300F">
            <w:pPr>
              <w:rPr>
                <w:rFonts w:ascii="Arial" w:hAnsi="Arial" w:cs="Arial"/>
              </w:rPr>
            </w:pPr>
            <w:r>
              <w:rPr>
                <w:rFonts w:ascii="Arial" w:hAnsi="Arial"/>
              </w:rPr>
              <w:t>Catastrophique</w:t>
            </w:r>
          </w:p>
        </w:tc>
      </w:tr>
      <w:tr w:rsidR="0005300F" w:rsidRPr="008E09A0" w:rsidTr="0005300F">
        <w:tc>
          <w:tcPr>
            <w:tcW w:w="836" w:type="pct"/>
          </w:tcPr>
          <w:p w:rsidR="0005300F" w:rsidRPr="008E09A0" w:rsidRDefault="0005300F" w:rsidP="0005300F">
            <w:pPr>
              <w:rPr>
                <w:rFonts w:ascii="Arial" w:hAnsi="Arial" w:cs="Arial"/>
              </w:rPr>
            </w:pPr>
            <w:r>
              <w:rPr>
                <w:rFonts w:ascii="Arial" w:hAnsi="Arial"/>
              </w:rPr>
              <w:t>Quasiment certain</w:t>
            </w:r>
          </w:p>
        </w:tc>
        <w:tc>
          <w:tcPr>
            <w:tcW w:w="814" w:type="pct"/>
          </w:tcPr>
          <w:p w:rsidR="0005300F" w:rsidRPr="008E09A0" w:rsidRDefault="0005300F" w:rsidP="0005300F">
            <w:pPr>
              <w:rPr>
                <w:rFonts w:ascii="Arial" w:hAnsi="Arial" w:cs="Arial"/>
                <w:lang w:val="en-GB"/>
              </w:rPr>
            </w:pPr>
          </w:p>
        </w:tc>
        <w:tc>
          <w:tcPr>
            <w:tcW w:w="802" w:type="pct"/>
          </w:tcPr>
          <w:p w:rsidR="0005300F" w:rsidRPr="008E09A0" w:rsidRDefault="0005300F" w:rsidP="0005300F">
            <w:pPr>
              <w:rPr>
                <w:rFonts w:ascii="Arial" w:hAnsi="Arial" w:cs="Arial"/>
                <w:lang w:val="en-GB"/>
              </w:rPr>
            </w:pPr>
          </w:p>
        </w:tc>
        <w:tc>
          <w:tcPr>
            <w:tcW w:w="807" w:type="pct"/>
          </w:tcPr>
          <w:p w:rsidR="0005300F" w:rsidRPr="008E09A0" w:rsidRDefault="0005300F" w:rsidP="0005300F">
            <w:pPr>
              <w:rPr>
                <w:rFonts w:ascii="Arial" w:hAnsi="Arial" w:cs="Arial"/>
                <w:lang w:val="en-GB"/>
              </w:rPr>
            </w:pPr>
          </w:p>
        </w:tc>
        <w:tc>
          <w:tcPr>
            <w:tcW w:w="817" w:type="pct"/>
          </w:tcPr>
          <w:p w:rsidR="0005300F" w:rsidRPr="008E09A0" w:rsidRDefault="0005300F" w:rsidP="0005300F">
            <w:pPr>
              <w:rPr>
                <w:rFonts w:ascii="Arial" w:hAnsi="Arial" w:cs="Arial"/>
                <w:lang w:val="en-GB"/>
              </w:rPr>
            </w:pPr>
          </w:p>
        </w:tc>
        <w:tc>
          <w:tcPr>
            <w:tcW w:w="923" w:type="pct"/>
          </w:tcPr>
          <w:p w:rsidR="0005300F" w:rsidRPr="008E09A0" w:rsidRDefault="0005300F" w:rsidP="0005300F">
            <w:pPr>
              <w:rPr>
                <w:rFonts w:ascii="Arial" w:hAnsi="Arial" w:cs="Arial"/>
                <w:lang w:val="en-GB"/>
              </w:rPr>
            </w:pPr>
          </w:p>
        </w:tc>
      </w:tr>
      <w:tr w:rsidR="0005300F" w:rsidRPr="008E09A0" w:rsidTr="0005300F">
        <w:tc>
          <w:tcPr>
            <w:tcW w:w="836" w:type="pct"/>
          </w:tcPr>
          <w:p w:rsidR="0005300F" w:rsidRPr="008E09A0" w:rsidRDefault="0005300F" w:rsidP="0005300F">
            <w:pPr>
              <w:rPr>
                <w:rFonts w:ascii="Arial" w:hAnsi="Arial" w:cs="Arial"/>
              </w:rPr>
            </w:pPr>
            <w:r>
              <w:rPr>
                <w:rFonts w:ascii="Arial" w:hAnsi="Arial"/>
              </w:rPr>
              <w:t>Probable</w:t>
            </w:r>
          </w:p>
        </w:tc>
        <w:tc>
          <w:tcPr>
            <w:tcW w:w="814" w:type="pct"/>
          </w:tcPr>
          <w:p w:rsidR="0005300F" w:rsidRPr="008E09A0" w:rsidRDefault="0005300F" w:rsidP="0005300F">
            <w:pPr>
              <w:rPr>
                <w:rFonts w:ascii="Arial" w:hAnsi="Arial" w:cs="Arial"/>
                <w:lang w:val="en-GB"/>
              </w:rPr>
            </w:pPr>
          </w:p>
        </w:tc>
        <w:tc>
          <w:tcPr>
            <w:tcW w:w="802" w:type="pct"/>
          </w:tcPr>
          <w:p w:rsidR="0005300F" w:rsidRPr="008E09A0" w:rsidRDefault="0005300F" w:rsidP="0005300F">
            <w:pPr>
              <w:rPr>
                <w:rFonts w:ascii="Arial" w:hAnsi="Arial" w:cs="Arial"/>
                <w:lang w:val="en-GB"/>
              </w:rPr>
            </w:pPr>
          </w:p>
        </w:tc>
        <w:tc>
          <w:tcPr>
            <w:tcW w:w="807" w:type="pct"/>
          </w:tcPr>
          <w:p w:rsidR="0005300F" w:rsidRPr="008E09A0" w:rsidRDefault="0005300F" w:rsidP="0005300F">
            <w:pPr>
              <w:rPr>
                <w:rFonts w:ascii="Arial" w:hAnsi="Arial" w:cs="Arial"/>
                <w:lang w:val="en-GB"/>
              </w:rPr>
            </w:pPr>
          </w:p>
        </w:tc>
        <w:tc>
          <w:tcPr>
            <w:tcW w:w="817" w:type="pct"/>
          </w:tcPr>
          <w:p w:rsidR="0005300F" w:rsidRPr="008E09A0" w:rsidRDefault="0005300F" w:rsidP="0005300F">
            <w:pPr>
              <w:rPr>
                <w:rFonts w:ascii="Arial" w:hAnsi="Arial" w:cs="Arial"/>
                <w:lang w:val="en-GB"/>
              </w:rPr>
            </w:pPr>
          </w:p>
        </w:tc>
        <w:tc>
          <w:tcPr>
            <w:tcW w:w="923" w:type="pct"/>
          </w:tcPr>
          <w:p w:rsidR="0005300F" w:rsidRPr="008E09A0" w:rsidRDefault="0005300F" w:rsidP="0005300F">
            <w:pPr>
              <w:rPr>
                <w:rFonts w:ascii="Arial" w:hAnsi="Arial" w:cs="Arial"/>
                <w:lang w:val="en-GB"/>
              </w:rPr>
            </w:pPr>
          </w:p>
        </w:tc>
      </w:tr>
      <w:tr w:rsidR="0005300F" w:rsidRPr="008E09A0" w:rsidTr="0005300F">
        <w:tc>
          <w:tcPr>
            <w:tcW w:w="836" w:type="pct"/>
          </w:tcPr>
          <w:p w:rsidR="0005300F" w:rsidRPr="008E09A0" w:rsidRDefault="0005300F" w:rsidP="0005300F">
            <w:pPr>
              <w:rPr>
                <w:rFonts w:ascii="Arial" w:hAnsi="Arial" w:cs="Arial"/>
              </w:rPr>
            </w:pPr>
            <w:r>
              <w:rPr>
                <w:rFonts w:ascii="Arial" w:hAnsi="Arial"/>
              </w:rPr>
              <w:t xml:space="preserve">Possible </w:t>
            </w:r>
          </w:p>
        </w:tc>
        <w:tc>
          <w:tcPr>
            <w:tcW w:w="814" w:type="pct"/>
          </w:tcPr>
          <w:p w:rsidR="0005300F" w:rsidRPr="008E09A0" w:rsidRDefault="0005300F" w:rsidP="0005300F">
            <w:pPr>
              <w:rPr>
                <w:rFonts w:ascii="Arial" w:hAnsi="Arial" w:cs="Arial"/>
                <w:lang w:val="en-GB"/>
              </w:rPr>
            </w:pPr>
          </w:p>
        </w:tc>
        <w:tc>
          <w:tcPr>
            <w:tcW w:w="802" w:type="pct"/>
          </w:tcPr>
          <w:p w:rsidR="0005300F" w:rsidRPr="008E09A0" w:rsidRDefault="0005300F" w:rsidP="0005300F">
            <w:pPr>
              <w:rPr>
                <w:rFonts w:ascii="Arial" w:hAnsi="Arial" w:cs="Arial"/>
                <w:lang w:val="en-GB"/>
              </w:rPr>
            </w:pPr>
          </w:p>
        </w:tc>
        <w:tc>
          <w:tcPr>
            <w:tcW w:w="807" w:type="pct"/>
          </w:tcPr>
          <w:p w:rsidR="0005300F" w:rsidRPr="008E09A0" w:rsidRDefault="0005300F" w:rsidP="0005300F">
            <w:pPr>
              <w:rPr>
                <w:rFonts w:ascii="Arial" w:hAnsi="Arial" w:cs="Arial"/>
                <w:lang w:val="en-GB"/>
              </w:rPr>
            </w:pPr>
          </w:p>
        </w:tc>
        <w:tc>
          <w:tcPr>
            <w:tcW w:w="817" w:type="pct"/>
          </w:tcPr>
          <w:p w:rsidR="0005300F" w:rsidRPr="008E09A0" w:rsidRDefault="0005300F" w:rsidP="0005300F">
            <w:pPr>
              <w:rPr>
                <w:rFonts w:ascii="Arial" w:hAnsi="Arial" w:cs="Arial"/>
                <w:lang w:val="en-GB"/>
              </w:rPr>
            </w:pPr>
          </w:p>
        </w:tc>
        <w:tc>
          <w:tcPr>
            <w:tcW w:w="923" w:type="pct"/>
          </w:tcPr>
          <w:p w:rsidR="0005300F" w:rsidRPr="008E09A0" w:rsidRDefault="0005300F" w:rsidP="0005300F">
            <w:pPr>
              <w:rPr>
                <w:rFonts w:ascii="Arial" w:hAnsi="Arial" w:cs="Arial"/>
                <w:lang w:val="en-GB"/>
              </w:rPr>
            </w:pPr>
          </w:p>
        </w:tc>
      </w:tr>
      <w:tr w:rsidR="0005300F" w:rsidRPr="008E09A0" w:rsidTr="0005300F">
        <w:tc>
          <w:tcPr>
            <w:tcW w:w="836" w:type="pct"/>
          </w:tcPr>
          <w:p w:rsidR="0005300F" w:rsidRPr="008E09A0" w:rsidRDefault="0005300F" w:rsidP="0005300F">
            <w:pPr>
              <w:rPr>
                <w:rFonts w:ascii="Arial" w:hAnsi="Arial" w:cs="Arial"/>
              </w:rPr>
            </w:pPr>
            <w:r>
              <w:rPr>
                <w:rFonts w:ascii="Arial" w:hAnsi="Arial"/>
              </w:rPr>
              <w:t>Peu probable</w:t>
            </w:r>
          </w:p>
        </w:tc>
        <w:tc>
          <w:tcPr>
            <w:tcW w:w="814" w:type="pct"/>
          </w:tcPr>
          <w:p w:rsidR="0005300F" w:rsidRPr="008E09A0" w:rsidRDefault="0005300F" w:rsidP="0005300F">
            <w:pPr>
              <w:rPr>
                <w:rFonts w:ascii="Arial" w:hAnsi="Arial" w:cs="Arial"/>
                <w:lang w:val="en-GB"/>
              </w:rPr>
            </w:pPr>
          </w:p>
        </w:tc>
        <w:tc>
          <w:tcPr>
            <w:tcW w:w="802" w:type="pct"/>
          </w:tcPr>
          <w:p w:rsidR="0005300F" w:rsidRPr="008E09A0" w:rsidRDefault="0005300F" w:rsidP="0005300F">
            <w:pPr>
              <w:rPr>
                <w:rFonts w:ascii="Arial" w:hAnsi="Arial" w:cs="Arial"/>
                <w:lang w:val="en-GB"/>
              </w:rPr>
            </w:pPr>
          </w:p>
        </w:tc>
        <w:tc>
          <w:tcPr>
            <w:tcW w:w="807" w:type="pct"/>
          </w:tcPr>
          <w:p w:rsidR="0005300F" w:rsidRPr="008E09A0" w:rsidRDefault="0005300F" w:rsidP="0005300F">
            <w:pPr>
              <w:rPr>
                <w:rFonts w:ascii="Arial" w:hAnsi="Arial" w:cs="Arial"/>
                <w:lang w:val="en-GB"/>
              </w:rPr>
            </w:pPr>
          </w:p>
        </w:tc>
        <w:tc>
          <w:tcPr>
            <w:tcW w:w="817" w:type="pct"/>
          </w:tcPr>
          <w:p w:rsidR="0005300F" w:rsidRPr="008E09A0" w:rsidRDefault="0005300F" w:rsidP="0005300F">
            <w:pPr>
              <w:rPr>
                <w:rFonts w:ascii="Arial" w:hAnsi="Arial" w:cs="Arial"/>
                <w:lang w:val="en-GB"/>
              </w:rPr>
            </w:pPr>
          </w:p>
        </w:tc>
        <w:tc>
          <w:tcPr>
            <w:tcW w:w="923" w:type="pct"/>
          </w:tcPr>
          <w:p w:rsidR="0005300F" w:rsidRPr="008E09A0" w:rsidRDefault="0005300F" w:rsidP="0005300F">
            <w:pPr>
              <w:rPr>
                <w:rFonts w:ascii="Arial" w:hAnsi="Arial" w:cs="Arial"/>
                <w:lang w:val="en-GB"/>
              </w:rPr>
            </w:pPr>
          </w:p>
        </w:tc>
      </w:tr>
      <w:tr w:rsidR="0005300F" w:rsidRPr="008E09A0" w:rsidTr="0005300F">
        <w:tc>
          <w:tcPr>
            <w:tcW w:w="836" w:type="pct"/>
          </w:tcPr>
          <w:p w:rsidR="0005300F" w:rsidRPr="008E09A0" w:rsidRDefault="0005300F" w:rsidP="0005300F">
            <w:pPr>
              <w:rPr>
                <w:rFonts w:ascii="Arial" w:hAnsi="Arial" w:cs="Arial"/>
              </w:rPr>
            </w:pPr>
            <w:r>
              <w:rPr>
                <w:rFonts w:ascii="Arial" w:hAnsi="Arial"/>
              </w:rPr>
              <w:t>Rare/inconnu</w:t>
            </w:r>
          </w:p>
        </w:tc>
        <w:tc>
          <w:tcPr>
            <w:tcW w:w="814" w:type="pct"/>
          </w:tcPr>
          <w:p w:rsidR="0005300F" w:rsidRPr="008E09A0" w:rsidRDefault="0005300F" w:rsidP="0005300F">
            <w:pPr>
              <w:rPr>
                <w:rFonts w:ascii="Arial" w:hAnsi="Arial" w:cs="Arial"/>
                <w:lang w:val="en-GB"/>
              </w:rPr>
            </w:pPr>
          </w:p>
        </w:tc>
        <w:tc>
          <w:tcPr>
            <w:tcW w:w="802" w:type="pct"/>
          </w:tcPr>
          <w:p w:rsidR="0005300F" w:rsidRPr="008E09A0" w:rsidRDefault="0005300F" w:rsidP="0005300F">
            <w:pPr>
              <w:rPr>
                <w:rFonts w:ascii="Arial" w:hAnsi="Arial" w:cs="Arial"/>
                <w:lang w:val="en-GB"/>
              </w:rPr>
            </w:pPr>
          </w:p>
        </w:tc>
        <w:tc>
          <w:tcPr>
            <w:tcW w:w="807" w:type="pct"/>
          </w:tcPr>
          <w:p w:rsidR="0005300F" w:rsidRPr="008E09A0" w:rsidRDefault="0005300F" w:rsidP="0005300F">
            <w:pPr>
              <w:rPr>
                <w:rFonts w:ascii="Arial" w:hAnsi="Arial" w:cs="Arial"/>
                <w:lang w:val="en-GB"/>
              </w:rPr>
            </w:pPr>
          </w:p>
        </w:tc>
        <w:tc>
          <w:tcPr>
            <w:tcW w:w="817" w:type="pct"/>
          </w:tcPr>
          <w:p w:rsidR="0005300F" w:rsidRPr="008E09A0" w:rsidRDefault="0005300F" w:rsidP="0005300F">
            <w:pPr>
              <w:rPr>
                <w:rFonts w:ascii="Arial" w:hAnsi="Arial" w:cs="Arial"/>
                <w:lang w:val="en-GB"/>
              </w:rPr>
            </w:pPr>
          </w:p>
        </w:tc>
        <w:tc>
          <w:tcPr>
            <w:tcW w:w="923" w:type="pct"/>
          </w:tcPr>
          <w:p w:rsidR="0005300F" w:rsidRPr="008E09A0" w:rsidRDefault="0005300F" w:rsidP="0005300F">
            <w:pPr>
              <w:rPr>
                <w:rFonts w:ascii="Arial" w:hAnsi="Arial" w:cs="Arial"/>
                <w:lang w:val="en-GB"/>
              </w:rPr>
            </w:pPr>
          </w:p>
        </w:tc>
      </w:tr>
    </w:tbl>
    <w:p w:rsidR="0005300F" w:rsidRPr="008E09A0" w:rsidRDefault="0005300F" w:rsidP="0005300F">
      <w:pPr>
        <w:spacing w:after="0" w:line="240" w:lineRule="auto"/>
        <w:rPr>
          <w:rFonts w:cs="Arial"/>
          <w:lang w:val="en-GB"/>
        </w:rPr>
      </w:pPr>
    </w:p>
    <w:p w:rsidR="0005300F" w:rsidRPr="0005300F" w:rsidRDefault="0005300F" w:rsidP="0005300F">
      <w:pPr>
        <w:pStyle w:val="ListParagraph"/>
        <w:numPr>
          <w:ilvl w:val="0"/>
          <w:numId w:val="11"/>
        </w:numPr>
        <w:spacing w:after="0" w:line="240" w:lineRule="auto"/>
        <w:ind w:left="567" w:hanging="567"/>
        <w:rPr>
          <w:rFonts w:cs="Arial"/>
          <w:b/>
          <w:lang w:val="fr-FR"/>
        </w:rPr>
      </w:pPr>
      <w:r w:rsidRPr="0005300F">
        <w:rPr>
          <w:b/>
          <w:lang w:val="fr-FR"/>
        </w:rPr>
        <w:t>Politiques et lois applicables à la gestion</w:t>
      </w:r>
    </w:p>
    <w:p w:rsidR="0005300F" w:rsidRPr="0005300F" w:rsidRDefault="0005300F" w:rsidP="0005300F">
      <w:pPr>
        <w:pStyle w:val="ListParagraph"/>
        <w:spacing w:after="0" w:line="240" w:lineRule="auto"/>
        <w:ind w:left="567"/>
        <w:rPr>
          <w:rFonts w:cs="Arial"/>
          <w:b/>
          <w:lang w:val="fr-FR"/>
        </w:rPr>
      </w:pPr>
    </w:p>
    <w:p w:rsidR="0005300F" w:rsidRPr="008E09A0" w:rsidRDefault="0005300F" w:rsidP="0005300F">
      <w:pPr>
        <w:pStyle w:val="ListParagraph"/>
        <w:numPr>
          <w:ilvl w:val="1"/>
          <w:numId w:val="11"/>
        </w:numPr>
        <w:spacing w:after="0" w:line="240" w:lineRule="auto"/>
        <w:ind w:left="1134" w:hanging="425"/>
        <w:rPr>
          <w:rFonts w:cs="Arial"/>
        </w:rPr>
      </w:pPr>
      <w:r>
        <w:t>État de conservation international</w:t>
      </w:r>
    </w:p>
    <w:p w:rsidR="0005300F" w:rsidRPr="008E09A0" w:rsidRDefault="0005300F" w:rsidP="0005300F">
      <w:pPr>
        <w:pStyle w:val="ListParagraph"/>
        <w:numPr>
          <w:ilvl w:val="2"/>
          <w:numId w:val="11"/>
        </w:numPr>
        <w:spacing w:after="0" w:line="240" w:lineRule="auto"/>
        <w:ind w:left="1843" w:hanging="425"/>
        <w:rPr>
          <w:rFonts w:cs="Arial"/>
        </w:rPr>
      </w:pPr>
      <w:proofErr w:type="spellStart"/>
      <w:r>
        <w:t>Statut</w:t>
      </w:r>
      <w:proofErr w:type="spellEnd"/>
      <w:r>
        <w:t xml:space="preserve"> UICN</w:t>
      </w:r>
    </w:p>
    <w:p w:rsidR="0005300F" w:rsidRPr="008E09A0" w:rsidRDefault="0005300F" w:rsidP="0005300F">
      <w:pPr>
        <w:pStyle w:val="ListParagraph"/>
        <w:numPr>
          <w:ilvl w:val="2"/>
          <w:numId w:val="11"/>
        </w:numPr>
        <w:spacing w:after="0" w:line="240" w:lineRule="auto"/>
        <w:ind w:left="1843" w:hanging="425"/>
        <w:rPr>
          <w:rFonts w:cs="Arial"/>
        </w:rPr>
      </w:pPr>
      <w:r>
        <w:t>Annexes de la CITES</w:t>
      </w:r>
    </w:p>
    <w:p w:rsidR="0005300F" w:rsidRPr="008E09A0" w:rsidRDefault="0005300F" w:rsidP="0005300F">
      <w:pPr>
        <w:pStyle w:val="ListParagraph"/>
        <w:numPr>
          <w:ilvl w:val="2"/>
          <w:numId w:val="11"/>
        </w:numPr>
        <w:spacing w:after="0" w:line="240" w:lineRule="auto"/>
        <w:ind w:left="1843" w:hanging="425"/>
        <w:rPr>
          <w:rFonts w:cs="Arial"/>
        </w:rPr>
      </w:pPr>
      <w:r>
        <w:t>Annexes de la CMS</w:t>
      </w:r>
    </w:p>
    <w:p w:rsidR="0005300F" w:rsidRPr="008E09A0" w:rsidRDefault="0005300F" w:rsidP="0005300F">
      <w:pPr>
        <w:pStyle w:val="ListParagraph"/>
        <w:spacing w:after="0" w:line="240" w:lineRule="auto"/>
        <w:ind w:left="2160"/>
        <w:rPr>
          <w:rFonts w:cs="Arial"/>
          <w:lang w:val="en-GB"/>
        </w:rPr>
      </w:pPr>
    </w:p>
    <w:p w:rsidR="0005300F" w:rsidRPr="0005300F" w:rsidRDefault="0005300F" w:rsidP="0005300F">
      <w:pPr>
        <w:pStyle w:val="ListParagraph"/>
        <w:numPr>
          <w:ilvl w:val="1"/>
          <w:numId w:val="11"/>
        </w:numPr>
        <w:spacing w:after="0" w:line="240" w:lineRule="auto"/>
        <w:ind w:left="1134" w:hanging="425"/>
        <w:rPr>
          <w:rFonts w:cs="Arial"/>
        </w:rPr>
      </w:pPr>
      <w:r>
        <w:t xml:space="preserve">OIG/RIEO </w:t>
      </w:r>
      <w:proofErr w:type="spellStart"/>
      <w:r>
        <w:t>pertinents</w:t>
      </w:r>
      <w:proofErr w:type="spellEnd"/>
      <w:r>
        <w:t xml:space="preserve"> par pays</w:t>
      </w:r>
    </w:p>
    <w:p w:rsidR="0005300F" w:rsidRPr="008E09A0" w:rsidRDefault="0005300F" w:rsidP="0005300F">
      <w:pPr>
        <w:pStyle w:val="ListParagraph"/>
        <w:spacing w:after="0" w:line="240" w:lineRule="auto"/>
        <w:ind w:left="1134"/>
        <w:rPr>
          <w:rFonts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5300F" w:rsidRPr="008E09A0" w:rsidTr="003A104D">
        <w:tc>
          <w:tcPr>
            <w:tcW w:w="1502" w:type="dxa"/>
          </w:tcPr>
          <w:p w:rsidR="0005300F" w:rsidRPr="008E09A0" w:rsidRDefault="0005300F" w:rsidP="0005300F">
            <w:pPr>
              <w:rPr>
                <w:rFonts w:ascii="Arial" w:hAnsi="Arial" w:cs="Arial"/>
              </w:rPr>
            </w:pPr>
            <w:r>
              <w:rPr>
                <w:rFonts w:ascii="Arial" w:hAnsi="Arial"/>
              </w:rPr>
              <w:t xml:space="preserve">Pays </w:t>
            </w:r>
          </w:p>
        </w:tc>
        <w:tc>
          <w:tcPr>
            <w:tcW w:w="1502" w:type="dxa"/>
          </w:tcPr>
          <w:p w:rsidR="0005300F" w:rsidRPr="008E09A0" w:rsidRDefault="0005300F" w:rsidP="0005300F">
            <w:pPr>
              <w:rPr>
                <w:rFonts w:ascii="Arial" w:hAnsi="Arial" w:cs="Arial"/>
              </w:rPr>
            </w:pPr>
            <w:r>
              <w:rPr>
                <w:rFonts w:ascii="Arial" w:hAnsi="Arial"/>
              </w:rPr>
              <w:t>CITES</w:t>
            </w:r>
          </w:p>
        </w:tc>
        <w:tc>
          <w:tcPr>
            <w:tcW w:w="1503" w:type="dxa"/>
          </w:tcPr>
          <w:p w:rsidR="0005300F" w:rsidRPr="008E09A0" w:rsidRDefault="0005300F" w:rsidP="0005300F">
            <w:pPr>
              <w:rPr>
                <w:rFonts w:ascii="Arial" w:hAnsi="Arial" w:cs="Arial"/>
              </w:rPr>
            </w:pPr>
            <w:r>
              <w:rPr>
                <w:rFonts w:ascii="Arial" w:hAnsi="Arial"/>
              </w:rPr>
              <w:t>CMS</w:t>
            </w:r>
          </w:p>
        </w:tc>
        <w:tc>
          <w:tcPr>
            <w:tcW w:w="1503" w:type="dxa"/>
          </w:tcPr>
          <w:p w:rsidR="0005300F" w:rsidRPr="008E09A0" w:rsidRDefault="0005300F" w:rsidP="0005300F">
            <w:pPr>
              <w:rPr>
                <w:rFonts w:ascii="Arial" w:hAnsi="Arial" w:cs="Arial"/>
              </w:rPr>
            </w:pPr>
            <w:r>
              <w:rPr>
                <w:rFonts w:ascii="Arial" w:hAnsi="Arial"/>
              </w:rPr>
              <w:t>UE</w:t>
            </w:r>
          </w:p>
        </w:tc>
        <w:tc>
          <w:tcPr>
            <w:tcW w:w="1503" w:type="dxa"/>
          </w:tcPr>
          <w:p w:rsidR="0005300F" w:rsidRPr="008E09A0" w:rsidRDefault="0005300F" w:rsidP="0005300F">
            <w:pPr>
              <w:rPr>
                <w:rFonts w:ascii="Arial" w:hAnsi="Arial" w:cs="Arial"/>
              </w:rPr>
            </w:pPr>
            <w:r>
              <w:rPr>
                <w:rFonts w:ascii="Arial" w:hAnsi="Arial"/>
              </w:rPr>
              <w:t>CGPM</w:t>
            </w:r>
          </w:p>
        </w:tc>
        <w:tc>
          <w:tcPr>
            <w:tcW w:w="1503" w:type="dxa"/>
          </w:tcPr>
          <w:p w:rsidR="0005300F" w:rsidRPr="008E09A0" w:rsidRDefault="0005300F" w:rsidP="0005300F">
            <w:pPr>
              <w:rPr>
                <w:rFonts w:ascii="Arial" w:hAnsi="Arial" w:cs="Arial"/>
              </w:rPr>
            </w:pPr>
            <w:r>
              <w:rPr>
                <w:rFonts w:ascii="Arial" w:hAnsi="Arial"/>
              </w:rPr>
              <w:t>?</w:t>
            </w:r>
          </w:p>
        </w:tc>
      </w:tr>
      <w:tr w:rsidR="0005300F" w:rsidRPr="008E09A0" w:rsidTr="003A104D">
        <w:tc>
          <w:tcPr>
            <w:tcW w:w="1502" w:type="dxa"/>
          </w:tcPr>
          <w:p w:rsidR="0005300F" w:rsidRPr="008E09A0" w:rsidRDefault="0005300F" w:rsidP="0005300F">
            <w:pPr>
              <w:rPr>
                <w:rFonts w:ascii="Arial" w:hAnsi="Arial" w:cs="Arial"/>
                <w:lang w:val="en-GB"/>
              </w:rPr>
            </w:pPr>
          </w:p>
        </w:tc>
        <w:tc>
          <w:tcPr>
            <w:tcW w:w="1502" w:type="dxa"/>
          </w:tcPr>
          <w:p w:rsidR="0005300F" w:rsidRPr="008E09A0" w:rsidRDefault="0005300F" w:rsidP="0005300F">
            <w:pPr>
              <w:rPr>
                <w:rFonts w:ascii="Arial" w:hAnsi="Arial" w:cs="Arial"/>
              </w:rPr>
            </w:pPr>
            <w:r>
              <w:rPr>
                <w:rFonts w:ascii="Arial" w:hAnsi="Arial"/>
              </w:rPr>
              <w:t xml:space="preserve">Oui </w:t>
            </w:r>
          </w:p>
        </w:tc>
        <w:tc>
          <w:tcPr>
            <w:tcW w:w="1503" w:type="dxa"/>
          </w:tcPr>
          <w:p w:rsidR="0005300F" w:rsidRPr="008E09A0" w:rsidRDefault="0005300F" w:rsidP="0005300F">
            <w:pPr>
              <w:rPr>
                <w:rFonts w:ascii="Arial" w:hAnsi="Arial" w:cs="Arial"/>
              </w:rPr>
            </w:pPr>
            <w:r>
              <w:rPr>
                <w:rFonts w:ascii="Arial" w:hAnsi="Arial"/>
              </w:rPr>
              <w:t xml:space="preserve">Oui </w:t>
            </w:r>
          </w:p>
        </w:tc>
        <w:tc>
          <w:tcPr>
            <w:tcW w:w="1503" w:type="dxa"/>
          </w:tcPr>
          <w:p w:rsidR="0005300F" w:rsidRPr="008E09A0" w:rsidRDefault="0005300F" w:rsidP="0005300F">
            <w:pPr>
              <w:rPr>
                <w:rFonts w:ascii="Arial" w:hAnsi="Arial" w:cs="Arial"/>
              </w:rPr>
            </w:pPr>
            <w:r>
              <w:rPr>
                <w:rFonts w:ascii="Arial" w:hAnsi="Arial"/>
              </w:rPr>
              <w:t>Non</w:t>
            </w:r>
          </w:p>
        </w:tc>
        <w:tc>
          <w:tcPr>
            <w:tcW w:w="1503" w:type="dxa"/>
          </w:tcPr>
          <w:p w:rsidR="0005300F" w:rsidRPr="008E09A0" w:rsidRDefault="0005300F" w:rsidP="0005300F">
            <w:pPr>
              <w:rPr>
                <w:rFonts w:ascii="Arial" w:hAnsi="Arial" w:cs="Arial"/>
              </w:rPr>
            </w:pPr>
            <w:r>
              <w:rPr>
                <w:rFonts w:ascii="Arial" w:hAnsi="Arial"/>
              </w:rPr>
              <w:t xml:space="preserve">Oui </w:t>
            </w:r>
          </w:p>
        </w:tc>
        <w:tc>
          <w:tcPr>
            <w:tcW w:w="1503" w:type="dxa"/>
          </w:tcPr>
          <w:p w:rsidR="0005300F" w:rsidRPr="008E09A0" w:rsidRDefault="0005300F" w:rsidP="0005300F">
            <w:pPr>
              <w:rPr>
                <w:rFonts w:ascii="Arial" w:hAnsi="Arial" w:cs="Arial"/>
                <w:lang w:val="en-GB"/>
              </w:rPr>
            </w:pPr>
          </w:p>
        </w:tc>
      </w:tr>
      <w:tr w:rsidR="0005300F" w:rsidRPr="008E09A0" w:rsidTr="003A104D">
        <w:tc>
          <w:tcPr>
            <w:tcW w:w="1502" w:type="dxa"/>
          </w:tcPr>
          <w:p w:rsidR="0005300F" w:rsidRPr="008E09A0" w:rsidRDefault="0005300F" w:rsidP="0005300F">
            <w:pPr>
              <w:rPr>
                <w:rFonts w:ascii="Arial" w:hAnsi="Arial" w:cs="Arial"/>
                <w:lang w:val="en-GB"/>
              </w:rPr>
            </w:pPr>
          </w:p>
        </w:tc>
        <w:tc>
          <w:tcPr>
            <w:tcW w:w="1502"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r>
      <w:tr w:rsidR="0005300F" w:rsidRPr="008E09A0" w:rsidTr="003A104D">
        <w:tc>
          <w:tcPr>
            <w:tcW w:w="1502" w:type="dxa"/>
          </w:tcPr>
          <w:p w:rsidR="0005300F" w:rsidRPr="008E09A0" w:rsidRDefault="0005300F" w:rsidP="0005300F">
            <w:pPr>
              <w:rPr>
                <w:rFonts w:ascii="Arial" w:hAnsi="Arial" w:cs="Arial"/>
                <w:lang w:val="en-GB"/>
              </w:rPr>
            </w:pPr>
          </w:p>
        </w:tc>
        <w:tc>
          <w:tcPr>
            <w:tcW w:w="1502"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r>
      <w:tr w:rsidR="0005300F" w:rsidRPr="008E09A0" w:rsidTr="003A104D">
        <w:tc>
          <w:tcPr>
            <w:tcW w:w="1502" w:type="dxa"/>
          </w:tcPr>
          <w:p w:rsidR="0005300F" w:rsidRPr="008E09A0" w:rsidRDefault="0005300F" w:rsidP="0005300F">
            <w:pPr>
              <w:rPr>
                <w:rFonts w:ascii="Arial" w:hAnsi="Arial" w:cs="Arial"/>
                <w:lang w:val="en-GB"/>
              </w:rPr>
            </w:pPr>
          </w:p>
        </w:tc>
        <w:tc>
          <w:tcPr>
            <w:tcW w:w="1502"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r>
      <w:tr w:rsidR="0005300F" w:rsidRPr="008E09A0" w:rsidTr="003A104D">
        <w:tc>
          <w:tcPr>
            <w:tcW w:w="1502" w:type="dxa"/>
          </w:tcPr>
          <w:p w:rsidR="0005300F" w:rsidRPr="008E09A0" w:rsidRDefault="0005300F" w:rsidP="0005300F">
            <w:pPr>
              <w:rPr>
                <w:rFonts w:ascii="Arial" w:hAnsi="Arial" w:cs="Arial"/>
                <w:lang w:val="en-GB"/>
              </w:rPr>
            </w:pPr>
          </w:p>
        </w:tc>
        <w:tc>
          <w:tcPr>
            <w:tcW w:w="1502"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c>
          <w:tcPr>
            <w:tcW w:w="1503" w:type="dxa"/>
          </w:tcPr>
          <w:p w:rsidR="0005300F" w:rsidRPr="008E09A0" w:rsidRDefault="0005300F" w:rsidP="0005300F">
            <w:pPr>
              <w:rPr>
                <w:rFonts w:ascii="Arial" w:hAnsi="Arial" w:cs="Arial"/>
                <w:lang w:val="en-GB"/>
              </w:rPr>
            </w:pPr>
          </w:p>
        </w:tc>
      </w:tr>
    </w:tbl>
    <w:p w:rsidR="0005300F" w:rsidRPr="008E09A0" w:rsidRDefault="0005300F" w:rsidP="0005300F">
      <w:pPr>
        <w:spacing w:after="0" w:line="240" w:lineRule="auto"/>
        <w:rPr>
          <w:rFonts w:cs="Arial"/>
          <w:lang w:val="en-GB"/>
        </w:rPr>
      </w:pPr>
    </w:p>
    <w:p w:rsidR="0005300F" w:rsidRPr="0005300F" w:rsidRDefault="0005300F" w:rsidP="0005300F">
      <w:pPr>
        <w:pStyle w:val="ListParagraph"/>
        <w:numPr>
          <w:ilvl w:val="1"/>
          <w:numId w:val="11"/>
        </w:numPr>
        <w:spacing w:after="0" w:line="240" w:lineRule="auto"/>
        <w:ind w:left="1276" w:hanging="567"/>
        <w:rPr>
          <w:rFonts w:cs="Arial"/>
          <w:lang w:val="fr-FR"/>
        </w:rPr>
      </w:pPr>
      <w:r w:rsidRPr="0005300F">
        <w:rPr>
          <w:lang w:val="fr-FR"/>
        </w:rPr>
        <w:t>Législation nationale applicable à l’anguille d’Europe</w:t>
      </w:r>
    </w:p>
    <w:p w:rsidR="0005300F" w:rsidRPr="008E09A0" w:rsidRDefault="0005300F" w:rsidP="0005300F">
      <w:pPr>
        <w:pStyle w:val="ListParagraph"/>
        <w:spacing w:after="0" w:line="240" w:lineRule="auto"/>
        <w:ind w:left="1276"/>
        <w:rPr>
          <w:rFonts w:cs="Arial"/>
        </w:rPr>
      </w:pPr>
      <w:r>
        <w:t>Tableau…..</w:t>
      </w:r>
    </w:p>
    <w:p w:rsidR="009B631C" w:rsidRDefault="009B631C" w:rsidP="0005300F">
      <w:pPr>
        <w:pStyle w:val="ListParagraph"/>
        <w:spacing w:after="0" w:line="240" w:lineRule="auto"/>
        <w:ind w:left="1440"/>
        <w:rPr>
          <w:rFonts w:cs="Arial"/>
          <w:lang w:val="en-GB"/>
        </w:rPr>
      </w:pPr>
      <w:r>
        <w:rPr>
          <w:rFonts w:cs="Arial"/>
          <w:lang w:val="en-GB"/>
        </w:rPr>
        <w:br w:type="page"/>
      </w:r>
    </w:p>
    <w:p w:rsidR="0005300F" w:rsidRPr="008E09A0" w:rsidRDefault="0005300F" w:rsidP="0005300F">
      <w:pPr>
        <w:pStyle w:val="ListParagraph"/>
        <w:spacing w:after="0" w:line="240" w:lineRule="auto"/>
        <w:ind w:left="1440"/>
        <w:rPr>
          <w:rFonts w:cs="Arial"/>
          <w:lang w:val="en-GB"/>
        </w:rPr>
      </w:pPr>
    </w:p>
    <w:p w:rsidR="0005300F" w:rsidRPr="0005300F" w:rsidRDefault="0005300F" w:rsidP="0005300F">
      <w:pPr>
        <w:pStyle w:val="ListParagraph"/>
        <w:numPr>
          <w:ilvl w:val="0"/>
          <w:numId w:val="11"/>
        </w:numPr>
        <w:spacing w:after="0" w:line="240" w:lineRule="auto"/>
        <w:ind w:left="567" w:hanging="567"/>
        <w:rPr>
          <w:rFonts w:cs="Arial"/>
          <w:b/>
        </w:rPr>
      </w:pPr>
      <w:r>
        <w:rPr>
          <w:b/>
        </w:rPr>
        <w:t xml:space="preserve">Cadre </w:t>
      </w:r>
      <w:proofErr w:type="spellStart"/>
      <w:r>
        <w:rPr>
          <w:b/>
        </w:rPr>
        <w:t>d’action</w:t>
      </w:r>
      <w:proofErr w:type="spellEnd"/>
      <w:r>
        <w:rPr>
          <w:b/>
        </w:rPr>
        <w:t xml:space="preserve"> </w:t>
      </w:r>
    </w:p>
    <w:p w:rsidR="0005300F" w:rsidRPr="008E09A0" w:rsidRDefault="0005300F" w:rsidP="0005300F">
      <w:pPr>
        <w:pStyle w:val="ListParagraph"/>
        <w:spacing w:after="0" w:line="240" w:lineRule="auto"/>
        <w:ind w:left="567"/>
        <w:rPr>
          <w:rFonts w:cs="Arial"/>
          <w:b/>
        </w:rPr>
      </w:pPr>
    </w:p>
    <w:p w:rsidR="0005300F" w:rsidRPr="008E09A0" w:rsidRDefault="0005300F" w:rsidP="0005300F">
      <w:pPr>
        <w:pStyle w:val="ListParagraph"/>
        <w:numPr>
          <w:ilvl w:val="1"/>
          <w:numId w:val="11"/>
        </w:numPr>
        <w:spacing w:after="0" w:line="240" w:lineRule="auto"/>
        <w:ind w:left="993" w:hanging="426"/>
        <w:rPr>
          <w:rFonts w:cs="Arial"/>
        </w:rPr>
      </w:pPr>
      <w:r>
        <w:t>Objectif : xxx</w:t>
      </w:r>
    </w:p>
    <w:p w:rsidR="0005300F" w:rsidRPr="008E09A0" w:rsidRDefault="0005300F" w:rsidP="0005300F">
      <w:pPr>
        <w:pStyle w:val="ListParagraph"/>
        <w:numPr>
          <w:ilvl w:val="1"/>
          <w:numId w:val="11"/>
        </w:numPr>
        <w:spacing w:after="0" w:line="240" w:lineRule="auto"/>
        <w:ind w:left="993" w:hanging="426"/>
        <w:rPr>
          <w:rFonts w:cs="Arial"/>
        </w:rPr>
      </w:pPr>
      <w:proofErr w:type="spellStart"/>
      <w:r>
        <w:t>Objectifs</w:t>
      </w:r>
      <w:proofErr w:type="spellEnd"/>
      <w:r>
        <w:t xml:space="preserve">, actions et </w:t>
      </w:r>
      <w:proofErr w:type="spellStart"/>
      <w:r>
        <w:t>résultats</w:t>
      </w:r>
      <w:proofErr w:type="spellEnd"/>
      <w:r>
        <w:t> :</w:t>
      </w:r>
    </w:p>
    <w:p w:rsidR="0005300F" w:rsidRPr="0005300F" w:rsidRDefault="0005300F" w:rsidP="0005300F">
      <w:pPr>
        <w:pStyle w:val="ListParagraph"/>
        <w:spacing w:after="0" w:line="240" w:lineRule="auto"/>
        <w:ind w:left="1440"/>
        <w:rPr>
          <w:rFonts w:cs="Arial"/>
          <w:lang w:val="fr-FR"/>
        </w:rPr>
      </w:pPr>
      <w:r w:rsidRPr="0005300F">
        <w:rPr>
          <w:lang w:val="fr-FR"/>
        </w:rPr>
        <w:t xml:space="preserve">Ces objectifs, ainsi que les actions et résultats correspondants, sont présentés dans les tableaux ci-dessous pour toutes les menaces pesant sur l’anguille d’Europe qui ont été identifiées. Les menaces sont hiérarchisées en fonction de la matrice de risques </w:t>
      </w:r>
    </w:p>
    <w:p w:rsidR="0005300F" w:rsidRPr="008E09A0" w:rsidRDefault="0005300F" w:rsidP="0005300F">
      <w:pPr>
        <w:pStyle w:val="ListParagraph"/>
        <w:numPr>
          <w:ilvl w:val="1"/>
          <w:numId w:val="11"/>
        </w:numPr>
        <w:spacing w:after="0" w:line="240" w:lineRule="auto"/>
        <w:ind w:left="993" w:hanging="426"/>
        <w:rPr>
          <w:rFonts w:cs="Arial"/>
        </w:rPr>
      </w:pPr>
      <w:proofErr w:type="spellStart"/>
      <w:r>
        <w:t>Échéanciers</w:t>
      </w:r>
      <w:proofErr w:type="spellEnd"/>
      <w:r>
        <w:t xml:space="preserve"> </w:t>
      </w:r>
    </w:p>
    <w:p w:rsidR="0005300F" w:rsidRPr="0005300F" w:rsidRDefault="0005300F" w:rsidP="0005300F">
      <w:pPr>
        <w:pStyle w:val="ListParagraph"/>
        <w:numPr>
          <w:ilvl w:val="2"/>
          <w:numId w:val="11"/>
        </w:numPr>
        <w:spacing w:after="0" w:line="240" w:lineRule="auto"/>
        <w:ind w:left="1701" w:hanging="425"/>
        <w:rPr>
          <w:rFonts w:cs="Arial"/>
          <w:lang w:val="fr-FR"/>
        </w:rPr>
      </w:pPr>
      <w:r w:rsidRPr="0005300F">
        <w:rPr>
          <w:lang w:val="fr-FR"/>
        </w:rPr>
        <w:t xml:space="preserve">Immédiat </w:t>
      </w:r>
      <w:r w:rsidRPr="0005300F">
        <w:rPr>
          <w:lang w:val="fr-FR"/>
        </w:rPr>
        <w:tab/>
      </w:r>
      <w:r w:rsidRPr="0005300F">
        <w:rPr>
          <w:lang w:val="fr-FR"/>
        </w:rPr>
        <w:tab/>
        <w:t>à faire au cours de l’année prochaine</w:t>
      </w:r>
    </w:p>
    <w:p w:rsidR="0005300F" w:rsidRPr="0005300F" w:rsidRDefault="0005300F" w:rsidP="0005300F">
      <w:pPr>
        <w:pStyle w:val="ListParagraph"/>
        <w:numPr>
          <w:ilvl w:val="2"/>
          <w:numId w:val="11"/>
        </w:numPr>
        <w:spacing w:after="0" w:line="240" w:lineRule="auto"/>
        <w:ind w:left="1701" w:right="-330" w:hanging="425"/>
        <w:rPr>
          <w:rFonts w:cs="Arial"/>
          <w:lang w:val="fr-FR"/>
        </w:rPr>
      </w:pPr>
      <w:r w:rsidRPr="0005300F">
        <w:rPr>
          <w:lang w:val="fr-FR"/>
        </w:rPr>
        <w:t>Court terme</w:t>
      </w:r>
      <w:r w:rsidRPr="0005300F">
        <w:rPr>
          <w:lang w:val="fr-FR"/>
        </w:rPr>
        <w:tab/>
      </w:r>
      <w:r w:rsidRPr="0005300F">
        <w:rPr>
          <w:lang w:val="fr-FR"/>
        </w:rPr>
        <w:tab/>
        <w:t>à faire au cours des trois prochaines années</w:t>
      </w:r>
    </w:p>
    <w:p w:rsidR="0005300F" w:rsidRPr="0005300F" w:rsidRDefault="0005300F" w:rsidP="0005300F">
      <w:pPr>
        <w:pStyle w:val="ListParagraph"/>
        <w:numPr>
          <w:ilvl w:val="2"/>
          <w:numId w:val="11"/>
        </w:numPr>
        <w:spacing w:after="0" w:line="240" w:lineRule="auto"/>
        <w:ind w:left="1701" w:hanging="425"/>
        <w:rPr>
          <w:rFonts w:cs="Arial"/>
          <w:lang w:val="fr-FR"/>
        </w:rPr>
      </w:pPr>
      <w:r w:rsidRPr="0005300F">
        <w:rPr>
          <w:lang w:val="fr-FR"/>
        </w:rPr>
        <w:t>Moyen terme</w:t>
      </w:r>
      <w:r w:rsidRPr="0005300F">
        <w:rPr>
          <w:lang w:val="fr-FR"/>
        </w:rPr>
        <w:tab/>
        <w:t>à faire au cours des cinq prochaines années</w:t>
      </w:r>
    </w:p>
    <w:p w:rsidR="0005300F" w:rsidRPr="0005300F" w:rsidRDefault="0005300F" w:rsidP="0005300F">
      <w:pPr>
        <w:pStyle w:val="ListParagraph"/>
        <w:numPr>
          <w:ilvl w:val="2"/>
          <w:numId w:val="11"/>
        </w:numPr>
        <w:spacing w:after="0" w:line="240" w:lineRule="auto"/>
        <w:ind w:left="1701" w:hanging="425"/>
        <w:rPr>
          <w:rFonts w:cs="Arial"/>
          <w:lang w:val="fr-FR"/>
        </w:rPr>
      </w:pPr>
      <w:r w:rsidRPr="0005300F">
        <w:rPr>
          <w:lang w:val="fr-FR"/>
        </w:rPr>
        <w:t>Long terme</w:t>
      </w:r>
      <w:r w:rsidRPr="0005300F">
        <w:rPr>
          <w:lang w:val="fr-FR"/>
        </w:rPr>
        <w:tab/>
      </w:r>
      <w:r w:rsidRPr="0005300F">
        <w:rPr>
          <w:lang w:val="fr-FR"/>
        </w:rPr>
        <w:tab/>
        <w:t>à faire au cours des 10 prochaines années</w:t>
      </w:r>
    </w:p>
    <w:p w:rsidR="0005300F" w:rsidRPr="0005300F" w:rsidRDefault="0005300F" w:rsidP="0005300F">
      <w:pPr>
        <w:pStyle w:val="ListParagraph"/>
        <w:numPr>
          <w:ilvl w:val="2"/>
          <w:numId w:val="11"/>
        </w:numPr>
        <w:spacing w:after="0" w:line="240" w:lineRule="auto"/>
        <w:ind w:left="1701" w:hanging="425"/>
        <w:rPr>
          <w:rFonts w:cs="Arial"/>
          <w:lang w:val="fr-FR"/>
        </w:rPr>
      </w:pPr>
      <w:r w:rsidRPr="0005300F">
        <w:rPr>
          <w:lang w:val="fr-FR"/>
        </w:rPr>
        <w:t>En cours</w:t>
      </w:r>
      <w:r w:rsidRPr="0005300F">
        <w:rPr>
          <w:lang w:val="fr-FR"/>
        </w:rPr>
        <w:tab/>
      </w:r>
      <w:r w:rsidRPr="0005300F">
        <w:rPr>
          <w:lang w:val="fr-FR"/>
        </w:rPr>
        <w:tab/>
        <w:t>Actuellement en cours de mise en œuvre et devrait se</w:t>
      </w:r>
      <w:r>
        <w:rPr>
          <w:lang w:val="fr-FR"/>
        </w:rPr>
        <w:t xml:space="preserve"> </w:t>
      </w:r>
    </w:p>
    <w:p w:rsidR="0005300F" w:rsidRPr="0005300F" w:rsidRDefault="0005300F" w:rsidP="0005300F">
      <w:pPr>
        <w:pStyle w:val="ListParagraph"/>
        <w:spacing w:after="0" w:line="240" w:lineRule="auto"/>
        <w:ind w:left="1701" w:firstLine="1843"/>
        <w:rPr>
          <w:rFonts w:cs="Arial"/>
          <w:lang w:val="fr-FR"/>
        </w:rPr>
      </w:pPr>
      <w:r>
        <w:rPr>
          <w:lang w:val="fr-FR"/>
        </w:rPr>
        <w:t xml:space="preserve"> </w:t>
      </w:r>
      <w:r w:rsidR="009B631C">
        <w:rPr>
          <w:lang w:val="fr-FR"/>
        </w:rPr>
        <w:t xml:space="preserve"> </w:t>
      </w:r>
      <w:r w:rsidRPr="0005300F">
        <w:rPr>
          <w:lang w:val="fr-FR"/>
        </w:rPr>
        <w:t xml:space="preserve">poursuivre </w:t>
      </w:r>
    </w:p>
    <w:p w:rsidR="0005300F" w:rsidRPr="0005300F" w:rsidRDefault="0005300F" w:rsidP="0005300F">
      <w:pPr>
        <w:pStyle w:val="ListParagraph"/>
        <w:numPr>
          <w:ilvl w:val="2"/>
          <w:numId w:val="11"/>
        </w:numPr>
        <w:spacing w:after="0" w:line="240" w:lineRule="auto"/>
        <w:ind w:left="1701" w:hanging="425"/>
        <w:rPr>
          <w:rFonts w:cs="Arial"/>
          <w:lang w:val="fr-FR"/>
        </w:rPr>
      </w:pPr>
      <w:r w:rsidRPr="0005300F">
        <w:rPr>
          <w:lang w:val="fr-FR"/>
        </w:rPr>
        <w:t>Terminé</w:t>
      </w:r>
      <w:r w:rsidRPr="0005300F">
        <w:rPr>
          <w:lang w:val="fr-FR"/>
        </w:rPr>
        <w:tab/>
      </w:r>
      <w:r w:rsidRPr="0005300F">
        <w:rPr>
          <w:lang w:val="fr-FR"/>
        </w:rPr>
        <w:tab/>
        <w:t>achevé au cours de la préparation du Plan d’action</w:t>
      </w:r>
    </w:p>
    <w:p w:rsidR="0005300F" w:rsidRPr="002079A1" w:rsidRDefault="0005300F" w:rsidP="0005300F">
      <w:pPr>
        <w:spacing w:after="0" w:line="240" w:lineRule="auto"/>
        <w:rPr>
          <w:rFonts w:cs="Arial"/>
          <w:lang w:val="fr-FR"/>
        </w:rPr>
      </w:pPr>
    </w:p>
    <w:p w:rsidR="0005300F" w:rsidRDefault="0005300F" w:rsidP="0005300F">
      <w:pPr>
        <w:spacing w:after="0" w:line="240" w:lineRule="auto"/>
        <w:rPr>
          <w:i/>
          <w:lang w:val="fr-FR"/>
        </w:rPr>
      </w:pPr>
      <w:r w:rsidRPr="0005300F">
        <w:rPr>
          <w:lang w:val="fr-FR"/>
        </w:rPr>
        <w:t xml:space="preserve">Menace 1. XXX </w:t>
      </w:r>
      <w:r w:rsidRPr="0005300F">
        <w:rPr>
          <w:i/>
          <w:lang w:val="fr-FR"/>
        </w:rPr>
        <w:t>(évaluation du risque : très élevée)</w:t>
      </w:r>
    </w:p>
    <w:p w:rsidR="009B631C" w:rsidRPr="0005300F" w:rsidRDefault="009B631C" w:rsidP="0005300F">
      <w:pPr>
        <w:spacing w:after="0" w:line="240" w:lineRule="auto"/>
        <w:rPr>
          <w:rFonts w:cs="Arial"/>
          <w:i/>
          <w:lang w:val="fr-FR"/>
        </w:rPr>
      </w:pPr>
    </w:p>
    <w:tbl>
      <w:tblPr>
        <w:tblStyle w:val="TableGrid"/>
        <w:tblW w:w="0" w:type="auto"/>
        <w:tblLook w:val="04A0" w:firstRow="1" w:lastRow="0" w:firstColumn="1" w:lastColumn="0" w:noHBand="0" w:noVBand="1"/>
      </w:tblPr>
      <w:tblGrid>
        <w:gridCol w:w="2254"/>
        <w:gridCol w:w="2254"/>
        <w:gridCol w:w="2254"/>
        <w:gridCol w:w="2254"/>
      </w:tblGrid>
      <w:tr w:rsidR="0005300F" w:rsidRPr="008E09A0" w:rsidTr="003A104D">
        <w:tc>
          <w:tcPr>
            <w:tcW w:w="9016" w:type="dxa"/>
            <w:gridSpan w:val="4"/>
          </w:tcPr>
          <w:p w:rsidR="0005300F" w:rsidRPr="008E09A0" w:rsidRDefault="0005300F" w:rsidP="0005300F">
            <w:pPr>
              <w:rPr>
                <w:rFonts w:ascii="Arial" w:hAnsi="Arial" w:cs="Arial"/>
              </w:rPr>
            </w:pPr>
            <w:r>
              <w:rPr>
                <w:rFonts w:ascii="Arial" w:hAnsi="Arial"/>
              </w:rPr>
              <w:t>Objectif 1. xxx</w:t>
            </w:r>
          </w:p>
        </w:tc>
      </w:tr>
      <w:tr w:rsidR="0005300F" w:rsidRPr="008E09A0" w:rsidTr="003A104D">
        <w:tc>
          <w:tcPr>
            <w:tcW w:w="2254" w:type="dxa"/>
          </w:tcPr>
          <w:p w:rsidR="0005300F" w:rsidRPr="008E09A0" w:rsidRDefault="0005300F" w:rsidP="0005300F">
            <w:pPr>
              <w:rPr>
                <w:rFonts w:ascii="Arial" w:hAnsi="Arial" w:cs="Arial"/>
              </w:rPr>
            </w:pPr>
            <w:r>
              <w:rPr>
                <w:rFonts w:ascii="Arial" w:hAnsi="Arial"/>
              </w:rPr>
              <w:t>Résultat</w:t>
            </w:r>
          </w:p>
        </w:tc>
        <w:tc>
          <w:tcPr>
            <w:tcW w:w="2254" w:type="dxa"/>
          </w:tcPr>
          <w:p w:rsidR="0005300F" w:rsidRPr="008E09A0" w:rsidRDefault="0005300F" w:rsidP="0005300F">
            <w:pPr>
              <w:rPr>
                <w:rFonts w:ascii="Arial" w:hAnsi="Arial" w:cs="Arial"/>
              </w:rPr>
            </w:pPr>
            <w:r>
              <w:rPr>
                <w:rFonts w:ascii="Arial" w:hAnsi="Arial"/>
              </w:rPr>
              <w:t>Action</w:t>
            </w:r>
          </w:p>
        </w:tc>
        <w:tc>
          <w:tcPr>
            <w:tcW w:w="2254" w:type="dxa"/>
          </w:tcPr>
          <w:p w:rsidR="0005300F" w:rsidRPr="008E09A0" w:rsidRDefault="0005300F" w:rsidP="0005300F">
            <w:pPr>
              <w:rPr>
                <w:rFonts w:ascii="Arial" w:hAnsi="Arial" w:cs="Arial"/>
              </w:rPr>
            </w:pPr>
            <w:r>
              <w:rPr>
                <w:rFonts w:ascii="Arial" w:hAnsi="Arial"/>
              </w:rPr>
              <w:t>Priorité</w:t>
            </w:r>
          </w:p>
        </w:tc>
        <w:tc>
          <w:tcPr>
            <w:tcW w:w="2254" w:type="dxa"/>
          </w:tcPr>
          <w:p w:rsidR="0005300F" w:rsidRPr="008E09A0" w:rsidRDefault="0005300F" w:rsidP="0005300F">
            <w:pPr>
              <w:rPr>
                <w:rFonts w:ascii="Arial" w:hAnsi="Arial" w:cs="Arial"/>
              </w:rPr>
            </w:pPr>
            <w:r>
              <w:rPr>
                <w:rFonts w:ascii="Arial" w:hAnsi="Arial"/>
              </w:rPr>
              <w:t xml:space="preserve">Échéance </w:t>
            </w:r>
          </w:p>
        </w:tc>
      </w:tr>
      <w:tr w:rsidR="0005300F" w:rsidRPr="008E09A0" w:rsidTr="003A104D">
        <w:tc>
          <w:tcPr>
            <w:tcW w:w="2254" w:type="dxa"/>
          </w:tcPr>
          <w:p w:rsidR="0005300F" w:rsidRPr="008E09A0" w:rsidRDefault="0005300F" w:rsidP="0005300F">
            <w:pPr>
              <w:rPr>
                <w:rFonts w:ascii="Arial" w:hAnsi="Arial" w:cs="Arial"/>
              </w:rPr>
            </w:pPr>
            <w:r>
              <w:rPr>
                <w:rFonts w:ascii="Arial" w:hAnsi="Arial"/>
              </w:rPr>
              <w:t>1.1 xxx</w:t>
            </w:r>
          </w:p>
        </w:tc>
        <w:tc>
          <w:tcPr>
            <w:tcW w:w="2254" w:type="dxa"/>
          </w:tcPr>
          <w:p w:rsidR="0005300F" w:rsidRPr="008E09A0" w:rsidRDefault="0005300F" w:rsidP="0005300F">
            <w:pPr>
              <w:rPr>
                <w:rFonts w:ascii="Arial" w:hAnsi="Arial" w:cs="Arial"/>
              </w:rPr>
            </w:pPr>
            <w:r>
              <w:rPr>
                <w:rFonts w:ascii="Arial" w:hAnsi="Arial"/>
              </w:rPr>
              <w:t xml:space="preserve">1.1.1 </w:t>
            </w:r>
            <w:proofErr w:type="spellStart"/>
            <w:r>
              <w:rPr>
                <w:rFonts w:ascii="Arial" w:hAnsi="Arial"/>
              </w:rPr>
              <w:t>xxxx</w:t>
            </w:r>
            <w:proofErr w:type="spellEnd"/>
          </w:p>
        </w:tc>
        <w:tc>
          <w:tcPr>
            <w:tcW w:w="2254" w:type="dxa"/>
          </w:tcPr>
          <w:p w:rsidR="0005300F" w:rsidRPr="008E09A0" w:rsidRDefault="0005300F" w:rsidP="0005300F">
            <w:pPr>
              <w:rPr>
                <w:rFonts w:ascii="Arial" w:hAnsi="Arial" w:cs="Arial"/>
              </w:rPr>
            </w:pPr>
            <w:r>
              <w:rPr>
                <w:rFonts w:ascii="Arial" w:hAnsi="Arial"/>
              </w:rPr>
              <w:t>xxx</w:t>
            </w:r>
          </w:p>
        </w:tc>
        <w:tc>
          <w:tcPr>
            <w:tcW w:w="2254" w:type="dxa"/>
          </w:tcPr>
          <w:p w:rsidR="0005300F" w:rsidRPr="008E09A0" w:rsidRDefault="0005300F" w:rsidP="0005300F">
            <w:pPr>
              <w:rPr>
                <w:rFonts w:ascii="Arial" w:hAnsi="Arial" w:cs="Arial"/>
              </w:rPr>
            </w:pPr>
            <w:r>
              <w:rPr>
                <w:rFonts w:ascii="Arial" w:hAnsi="Arial"/>
              </w:rPr>
              <w:t>xxx</w:t>
            </w: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rPr>
            </w:pPr>
            <w:r>
              <w:rPr>
                <w:rFonts w:ascii="Arial" w:hAnsi="Arial"/>
              </w:rPr>
              <w:t>1.1.2</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rPr>
            </w:pPr>
            <w:r>
              <w:rPr>
                <w:rFonts w:ascii="Arial" w:hAnsi="Arial"/>
              </w:rPr>
              <w:t>1.1.3</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rPr>
            </w:pPr>
            <w:r>
              <w:rPr>
                <w:rFonts w:ascii="Arial" w:hAnsi="Arial"/>
              </w:rPr>
              <w:t>1.2 xxx</w:t>
            </w:r>
          </w:p>
        </w:tc>
        <w:tc>
          <w:tcPr>
            <w:tcW w:w="2254" w:type="dxa"/>
          </w:tcPr>
          <w:p w:rsidR="0005300F" w:rsidRPr="008E09A0" w:rsidRDefault="0005300F" w:rsidP="0005300F">
            <w:pPr>
              <w:rPr>
                <w:rFonts w:ascii="Arial" w:hAnsi="Arial" w:cs="Arial"/>
              </w:rPr>
            </w:pPr>
            <w:r>
              <w:rPr>
                <w:rFonts w:ascii="Arial" w:hAnsi="Arial"/>
              </w:rPr>
              <w:t>1.2.1</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rPr>
            </w:pPr>
            <w:r>
              <w:rPr>
                <w:rFonts w:ascii="Arial" w:hAnsi="Arial"/>
              </w:rPr>
              <w:t>1.2.2</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9016" w:type="dxa"/>
            <w:gridSpan w:val="4"/>
          </w:tcPr>
          <w:p w:rsidR="0005300F" w:rsidRPr="008E09A0" w:rsidRDefault="0005300F" w:rsidP="0005300F">
            <w:pPr>
              <w:rPr>
                <w:rFonts w:ascii="Arial" w:hAnsi="Arial" w:cs="Arial"/>
              </w:rPr>
            </w:pPr>
            <w:r>
              <w:rPr>
                <w:rFonts w:ascii="Arial" w:hAnsi="Arial"/>
              </w:rPr>
              <w:t xml:space="preserve">Objectif 2. </w:t>
            </w:r>
            <w:proofErr w:type="spellStart"/>
            <w:r>
              <w:rPr>
                <w:rFonts w:ascii="Arial" w:hAnsi="Arial"/>
              </w:rPr>
              <w:t>xxxxx</w:t>
            </w:r>
            <w:proofErr w:type="spellEnd"/>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bl>
    <w:p w:rsidR="0005300F" w:rsidRPr="008E09A0" w:rsidRDefault="0005300F" w:rsidP="0005300F">
      <w:pPr>
        <w:spacing w:after="0" w:line="240" w:lineRule="auto"/>
        <w:rPr>
          <w:rFonts w:cs="Arial"/>
          <w:lang w:val="en-GB"/>
        </w:rPr>
      </w:pPr>
    </w:p>
    <w:p w:rsidR="0005300F" w:rsidRDefault="0005300F" w:rsidP="0005300F">
      <w:pPr>
        <w:spacing w:after="0" w:line="240" w:lineRule="auto"/>
        <w:rPr>
          <w:i/>
          <w:lang w:val="fr-FR"/>
        </w:rPr>
      </w:pPr>
      <w:r w:rsidRPr="0005300F">
        <w:rPr>
          <w:lang w:val="fr-FR"/>
        </w:rPr>
        <w:t xml:space="preserve">Menace 2. XXX </w:t>
      </w:r>
      <w:r w:rsidRPr="0005300F">
        <w:rPr>
          <w:i/>
          <w:lang w:val="fr-FR"/>
        </w:rPr>
        <w:t>(évaluation du risque : moyen)</w:t>
      </w:r>
    </w:p>
    <w:p w:rsidR="009B631C" w:rsidRPr="0005300F" w:rsidRDefault="009B631C" w:rsidP="0005300F">
      <w:pPr>
        <w:spacing w:after="0" w:line="240" w:lineRule="auto"/>
        <w:rPr>
          <w:rFonts w:cs="Arial"/>
          <w:i/>
          <w:lang w:val="fr-FR"/>
        </w:rPr>
      </w:pPr>
    </w:p>
    <w:tbl>
      <w:tblPr>
        <w:tblStyle w:val="TableGrid"/>
        <w:tblW w:w="0" w:type="auto"/>
        <w:tblLook w:val="04A0" w:firstRow="1" w:lastRow="0" w:firstColumn="1" w:lastColumn="0" w:noHBand="0" w:noVBand="1"/>
      </w:tblPr>
      <w:tblGrid>
        <w:gridCol w:w="2254"/>
        <w:gridCol w:w="2254"/>
        <w:gridCol w:w="2254"/>
        <w:gridCol w:w="2254"/>
      </w:tblGrid>
      <w:tr w:rsidR="0005300F" w:rsidRPr="008E09A0" w:rsidTr="003A104D">
        <w:tc>
          <w:tcPr>
            <w:tcW w:w="9016" w:type="dxa"/>
            <w:gridSpan w:val="4"/>
          </w:tcPr>
          <w:p w:rsidR="0005300F" w:rsidRPr="008E09A0" w:rsidRDefault="0005300F" w:rsidP="0005300F">
            <w:pPr>
              <w:rPr>
                <w:rFonts w:ascii="Arial" w:hAnsi="Arial" w:cs="Arial"/>
              </w:rPr>
            </w:pPr>
            <w:r>
              <w:rPr>
                <w:rFonts w:ascii="Arial" w:hAnsi="Arial"/>
              </w:rPr>
              <w:t>Objectif 1. xxx</w:t>
            </w:r>
          </w:p>
        </w:tc>
      </w:tr>
      <w:tr w:rsidR="0005300F" w:rsidRPr="008E09A0" w:rsidTr="003A104D">
        <w:tc>
          <w:tcPr>
            <w:tcW w:w="2254" w:type="dxa"/>
          </w:tcPr>
          <w:p w:rsidR="0005300F" w:rsidRPr="008E09A0" w:rsidRDefault="0005300F" w:rsidP="0005300F">
            <w:pPr>
              <w:rPr>
                <w:rFonts w:ascii="Arial" w:hAnsi="Arial" w:cs="Arial"/>
              </w:rPr>
            </w:pPr>
            <w:r>
              <w:rPr>
                <w:rFonts w:ascii="Arial" w:hAnsi="Arial"/>
              </w:rPr>
              <w:t>Résultat</w:t>
            </w:r>
          </w:p>
        </w:tc>
        <w:tc>
          <w:tcPr>
            <w:tcW w:w="2254" w:type="dxa"/>
          </w:tcPr>
          <w:p w:rsidR="0005300F" w:rsidRPr="008E09A0" w:rsidRDefault="0005300F" w:rsidP="0005300F">
            <w:pPr>
              <w:rPr>
                <w:rFonts w:ascii="Arial" w:hAnsi="Arial" w:cs="Arial"/>
              </w:rPr>
            </w:pPr>
            <w:r>
              <w:rPr>
                <w:rFonts w:ascii="Arial" w:hAnsi="Arial"/>
              </w:rPr>
              <w:t>Action</w:t>
            </w:r>
          </w:p>
        </w:tc>
        <w:tc>
          <w:tcPr>
            <w:tcW w:w="2254" w:type="dxa"/>
          </w:tcPr>
          <w:p w:rsidR="0005300F" w:rsidRPr="008E09A0" w:rsidRDefault="0005300F" w:rsidP="0005300F">
            <w:pPr>
              <w:rPr>
                <w:rFonts w:ascii="Arial" w:hAnsi="Arial" w:cs="Arial"/>
              </w:rPr>
            </w:pPr>
            <w:r>
              <w:rPr>
                <w:rFonts w:ascii="Arial" w:hAnsi="Arial"/>
              </w:rPr>
              <w:t>Priorité</w:t>
            </w:r>
          </w:p>
        </w:tc>
        <w:tc>
          <w:tcPr>
            <w:tcW w:w="2254" w:type="dxa"/>
          </w:tcPr>
          <w:p w:rsidR="0005300F" w:rsidRPr="008E09A0" w:rsidRDefault="0005300F" w:rsidP="0005300F">
            <w:pPr>
              <w:rPr>
                <w:rFonts w:ascii="Arial" w:hAnsi="Arial" w:cs="Arial"/>
              </w:rPr>
            </w:pPr>
            <w:r>
              <w:rPr>
                <w:rFonts w:ascii="Arial" w:hAnsi="Arial"/>
              </w:rPr>
              <w:t>Échéance</w:t>
            </w:r>
          </w:p>
        </w:tc>
      </w:tr>
      <w:tr w:rsidR="0005300F" w:rsidRPr="008E09A0" w:rsidTr="003A104D">
        <w:tc>
          <w:tcPr>
            <w:tcW w:w="2254" w:type="dxa"/>
          </w:tcPr>
          <w:p w:rsidR="0005300F" w:rsidRPr="008E09A0" w:rsidRDefault="0005300F" w:rsidP="0005300F">
            <w:pPr>
              <w:rPr>
                <w:rFonts w:ascii="Arial" w:hAnsi="Arial" w:cs="Arial"/>
              </w:rPr>
            </w:pPr>
            <w:r>
              <w:rPr>
                <w:rFonts w:ascii="Arial" w:hAnsi="Arial"/>
              </w:rPr>
              <w:t>2.1 xxx</w:t>
            </w:r>
          </w:p>
        </w:tc>
        <w:tc>
          <w:tcPr>
            <w:tcW w:w="2254" w:type="dxa"/>
          </w:tcPr>
          <w:p w:rsidR="0005300F" w:rsidRPr="008E09A0" w:rsidRDefault="0005300F" w:rsidP="0005300F">
            <w:pPr>
              <w:rPr>
                <w:rFonts w:ascii="Arial" w:hAnsi="Arial" w:cs="Arial"/>
              </w:rPr>
            </w:pPr>
            <w:r>
              <w:rPr>
                <w:rFonts w:ascii="Arial" w:hAnsi="Arial"/>
              </w:rPr>
              <w:t xml:space="preserve">2.1.1 </w:t>
            </w:r>
            <w:proofErr w:type="spellStart"/>
            <w:r>
              <w:rPr>
                <w:rFonts w:ascii="Arial" w:hAnsi="Arial"/>
              </w:rPr>
              <w:t>xxxx</w:t>
            </w:r>
            <w:proofErr w:type="spellEnd"/>
          </w:p>
        </w:tc>
        <w:tc>
          <w:tcPr>
            <w:tcW w:w="2254" w:type="dxa"/>
          </w:tcPr>
          <w:p w:rsidR="0005300F" w:rsidRPr="008E09A0" w:rsidRDefault="0005300F" w:rsidP="0005300F">
            <w:pPr>
              <w:rPr>
                <w:rFonts w:ascii="Arial" w:hAnsi="Arial" w:cs="Arial"/>
              </w:rPr>
            </w:pPr>
            <w:r>
              <w:rPr>
                <w:rFonts w:ascii="Arial" w:hAnsi="Arial"/>
              </w:rPr>
              <w:t>xxx</w:t>
            </w:r>
          </w:p>
        </w:tc>
        <w:tc>
          <w:tcPr>
            <w:tcW w:w="2254" w:type="dxa"/>
          </w:tcPr>
          <w:p w:rsidR="0005300F" w:rsidRPr="008E09A0" w:rsidRDefault="0005300F" w:rsidP="0005300F">
            <w:pPr>
              <w:rPr>
                <w:rFonts w:ascii="Arial" w:hAnsi="Arial" w:cs="Arial"/>
              </w:rPr>
            </w:pPr>
            <w:r>
              <w:rPr>
                <w:rFonts w:ascii="Arial" w:hAnsi="Arial"/>
              </w:rPr>
              <w:t>xxx</w:t>
            </w: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rPr>
            </w:pPr>
            <w:r>
              <w:rPr>
                <w:rFonts w:ascii="Arial" w:hAnsi="Arial"/>
              </w:rPr>
              <w:t>2.1.2</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rPr>
            </w:pPr>
            <w:r>
              <w:rPr>
                <w:rFonts w:ascii="Arial" w:hAnsi="Arial"/>
              </w:rPr>
              <w:t>2.1.3</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rPr>
            </w:pPr>
            <w:r>
              <w:rPr>
                <w:rFonts w:ascii="Arial" w:hAnsi="Arial"/>
              </w:rPr>
              <w:t>2.2 xxx</w:t>
            </w:r>
          </w:p>
        </w:tc>
        <w:tc>
          <w:tcPr>
            <w:tcW w:w="2254" w:type="dxa"/>
          </w:tcPr>
          <w:p w:rsidR="0005300F" w:rsidRPr="008E09A0" w:rsidRDefault="0005300F" w:rsidP="0005300F">
            <w:pPr>
              <w:rPr>
                <w:rFonts w:ascii="Arial" w:hAnsi="Arial" w:cs="Arial"/>
              </w:rPr>
            </w:pPr>
            <w:r>
              <w:rPr>
                <w:rFonts w:ascii="Arial" w:hAnsi="Arial"/>
              </w:rPr>
              <w:t>2.2.1</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rPr>
            </w:pPr>
            <w:r>
              <w:rPr>
                <w:rFonts w:ascii="Arial" w:hAnsi="Arial"/>
              </w:rPr>
              <w:t>2.2.2</w:t>
            </w: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9016" w:type="dxa"/>
            <w:gridSpan w:val="4"/>
          </w:tcPr>
          <w:p w:rsidR="0005300F" w:rsidRPr="008E09A0" w:rsidRDefault="0005300F" w:rsidP="0005300F">
            <w:pPr>
              <w:rPr>
                <w:rFonts w:ascii="Arial" w:hAnsi="Arial" w:cs="Arial"/>
              </w:rPr>
            </w:pPr>
            <w:r>
              <w:rPr>
                <w:rFonts w:ascii="Arial" w:hAnsi="Arial"/>
              </w:rPr>
              <w:t xml:space="preserve">Objectif 2. </w:t>
            </w:r>
            <w:proofErr w:type="spellStart"/>
            <w:r>
              <w:rPr>
                <w:rFonts w:ascii="Arial" w:hAnsi="Arial"/>
              </w:rPr>
              <w:t>xxxxx</w:t>
            </w:r>
            <w:proofErr w:type="spellEnd"/>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r w:rsidR="0005300F" w:rsidRPr="008E09A0" w:rsidTr="003A104D">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c>
          <w:tcPr>
            <w:tcW w:w="2254" w:type="dxa"/>
          </w:tcPr>
          <w:p w:rsidR="0005300F" w:rsidRPr="008E09A0" w:rsidRDefault="0005300F" w:rsidP="0005300F">
            <w:pPr>
              <w:rPr>
                <w:rFonts w:ascii="Arial" w:hAnsi="Arial" w:cs="Arial"/>
                <w:lang w:val="en-GB"/>
              </w:rPr>
            </w:pPr>
          </w:p>
        </w:tc>
      </w:tr>
    </w:tbl>
    <w:p w:rsidR="0005300F" w:rsidRPr="008E09A0" w:rsidRDefault="0005300F" w:rsidP="0005300F">
      <w:pPr>
        <w:spacing w:after="0" w:line="240" w:lineRule="auto"/>
        <w:rPr>
          <w:rFonts w:cs="Arial"/>
          <w:lang w:val="en-GB"/>
        </w:rPr>
      </w:pPr>
    </w:p>
    <w:p w:rsidR="0005300F" w:rsidRDefault="0005300F" w:rsidP="0005300F">
      <w:pPr>
        <w:spacing w:after="0" w:line="240" w:lineRule="auto"/>
      </w:pPr>
      <w:r>
        <w:t>Menace xx. Etc.</w:t>
      </w:r>
    </w:p>
    <w:p w:rsidR="0005300F" w:rsidRDefault="0005300F" w:rsidP="0005300F">
      <w:pPr>
        <w:spacing w:after="0" w:line="240" w:lineRule="auto"/>
        <w:rPr>
          <w:rFonts w:cs="Arial"/>
        </w:rPr>
      </w:pPr>
    </w:p>
    <w:p w:rsidR="0005300F" w:rsidRPr="0005300F" w:rsidRDefault="0005300F" w:rsidP="0005300F">
      <w:pPr>
        <w:pStyle w:val="ListParagraph"/>
        <w:numPr>
          <w:ilvl w:val="0"/>
          <w:numId w:val="11"/>
        </w:numPr>
        <w:spacing w:after="0" w:line="240" w:lineRule="auto"/>
        <w:ind w:left="567" w:hanging="567"/>
        <w:rPr>
          <w:rFonts w:cs="Arial"/>
          <w:b/>
        </w:rPr>
      </w:pPr>
      <w:proofErr w:type="spellStart"/>
      <w:r w:rsidRPr="0005300F">
        <w:rPr>
          <w:b/>
        </w:rPr>
        <w:t>Références</w:t>
      </w:r>
      <w:proofErr w:type="spellEnd"/>
    </w:p>
    <w:p w:rsidR="0005300F" w:rsidRDefault="0005300F" w:rsidP="0005300F">
      <w:pPr>
        <w:spacing w:after="0" w:line="240" w:lineRule="auto"/>
        <w:ind w:left="720"/>
        <w:contextualSpacing/>
        <w:rPr>
          <w:rFonts w:cs="Arial"/>
          <w:lang w:val="fr-FR"/>
        </w:rPr>
      </w:pPr>
    </w:p>
    <w:p w:rsidR="00602741" w:rsidRDefault="00602741">
      <w:pPr>
        <w:rPr>
          <w:rFonts w:cs="Arial"/>
          <w:lang w:val="fr-FR"/>
        </w:rPr>
        <w:sectPr w:rsidR="00602741" w:rsidSect="00D71837">
          <w:headerReference w:type="even" r:id="rId20"/>
          <w:headerReference w:type="default" r:id="rId21"/>
          <w:headerReference w:type="first" r:id="rId22"/>
          <w:footerReference w:type="first" r:id="rId23"/>
          <w:pgSz w:w="11906" w:h="16838" w:code="9"/>
          <w:pgMar w:top="1134" w:right="1134" w:bottom="1134" w:left="1134" w:header="720" w:footer="720" w:gutter="0"/>
          <w:cols w:space="720"/>
          <w:titlePg/>
          <w:docGrid w:linePitch="360"/>
        </w:sectPr>
      </w:pPr>
    </w:p>
    <w:p w:rsidR="002F4C28" w:rsidRDefault="002F4C28" w:rsidP="002F4C28">
      <w:pPr>
        <w:tabs>
          <w:tab w:val="num" w:pos="2160"/>
        </w:tabs>
        <w:spacing w:after="0"/>
        <w:jc w:val="right"/>
        <w:rPr>
          <w:b/>
          <w:lang w:val="fr-FR"/>
        </w:rPr>
      </w:pPr>
    </w:p>
    <w:p w:rsidR="002F4C28" w:rsidRPr="002F4C28" w:rsidRDefault="002F4C28" w:rsidP="002F4C28">
      <w:pPr>
        <w:tabs>
          <w:tab w:val="num" w:pos="2160"/>
        </w:tabs>
        <w:spacing w:after="0"/>
        <w:jc w:val="right"/>
        <w:rPr>
          <w:rFonts w:cs="Arial"/>
          <w:b/>
          <w:lang w:val="fr-FR"/>
        </w:rPr>
      </w:pPr>
      <w:r w:rsidRPr="002F4C28">
        <w:rPr>
          <w:b/>
          <w:lang w:val="fr-FR"/>
        </w:rPr>
        <w:t>ANNEXE 2</w:t>
      </w:r>
    </w:p>
    <w:p w:rsidR="002F4C28" w:rsidRPr="002F4C28" w:rsidRDefault="002F4C28" w:rsidP="002F4C28">
      <w:pPr>
        <w:tabs>
          <w:tab w:val="num" w:pos="2160"/>
        </w:tabs>
        <w:spacing w:after="0"/>
        <w:rPr>
          <w:rFonts w:cs="Arial"/>
          <w:b/>
          <w:u w:val="single"/>
          <w:lang w:val="fr-FR"/>
        </w:rPr>
      </w:pPr>
    </w:p>
    <w:p w:rsidR="002F4C28" w:rsidRPr="002F4C28" w:rsidRDefault="002F4C28" w:rsidP="002F4C28">
      <w:pPr>
        <w:tabs>
          <w:tab w:val="num" w:pos="2160"/>
        </w:tabs>
        <w:spacing w:after="0"/>
        <w:jc w:val="center"/>
        <w:rPr>
          <w:rFonts w:cs="Arial"/>
          <w:b/>
          <w:lang w:val="fr-FR"/>
        </w:rPr>
      </w:pPr>
      <w:r w:rsidRPr="002F4C28">
        <w:rPr>
          <w:b/>
          <w:lang w:val="fr-FR"/>
        </w:rPr>
        <w:t>MENACES, DÉFIS ET PROBLÈMES ÉMERGENTS AUXQUELS L’ESPÈCE EST CONFRONTÉE</w:t>
      </w:r>
      <w:r w:rsidRPr="002F4C28">
        <w:rPr>
          <w:rFonts w:cs="Arial"/>
          <w:b/>
          <w:vertAlign w:val="superscript"/>
          <w:lang w:val="en-GB"/>
        </w:rPr>
        <w:footnoteReference w:id="9"/>
      </w:r>
    </w:p>
    <w:p w:rsidR="002F4C28" w:rsidRPr="002F4C28" w:rsidRDefault="002F4C28" w:rsidP="002F4C28">
      <w:pPr>
        <w:tabs>
          <w:tab w:val="num" w:pos="2160"/>
        </w:tabs>
        <w:spacing w:after="0"/>
        <w:rPr>
          <w:rFonts w:cs="Arial"/>
          <w:lang w:val="fr-FR"/>
        </w:rPr>
      </w:pPr>
    </w:p>
    <w:p w:rsidR="002F4C28" w:rsidRPr="002F4C28" w:rsidRDefault="002F4C28" w:rsidP="002F4C28">
      <w:pPr>
        <w:tabs>
          <w:tab w:val="num" w:pos="2160"/>
        </w:tabs>
        <w:spacing w:after="0"/>
        <w:rPr>
          <w:rFonts w:cs="Arial"/>
          <w:lang w:val="fr-FR"/>
        </w:rPr>
      </w:pPr>
    </w:p>
    <w:p w:rsidR="002F4C28" w:rsidRPr="002F4C28" w:rsidRDefault="002F4C28" w:rsidP="009B631C">
      <w:pPr>
        <w:tabs>
          <w:tab w:val="num" w:pos="2160"/>
        </w:tabs>
        <w:spacing w:after="0" w:line="240" w:lineRule="auto"/>
        <w:rPr>
          <w:rFonts w:cs="Arial"/>
          <w:lang w:val="fr-FR"/>
        </w:rPr>
      </w:pPr>
      <w:r w:rsidRPr="002F4C28">
        <w:rPr>
          <w:lang w:val="fr-FR"/>
        </w:rPr>
        <w:t>La troisième réunion des États de l’aire de répartition de l’anguille d’Europe a dressé une liste non exhaustive des menaces, des défis et des problèmes émergents auxquels l’espèce est confrontée, qui pourrait faire partie intégrante de tout futur instrument, notamment d’un plan d’action.</w:t>
      </w:r>
    </w:p>
    <w:p w:rsidR="002F4C28" w:rsidRPr="002F4C28" w:rsidRDefault="002F4C28" w:rsidP="002F4C28">
      <w:pPr>
        <w:tabs>
          <w:tab w:val="num" w:pos="2160"/>
        </w:tabs>
        <w:spacing w:after="0"/>
        <w:rPr>
          <w:rFonts w:cs="Arial"/>
          <w:b/>
          <w:u w:val="single"/>
          <w:lang w:val="fr-FR"/>
        </w:rPr>
      </w:pPr>
    </w:p>
    <w:p w:rsidR="002F4C28" w:rsidRPr="002F4C28" w:rsidRDefault="002F4C28" w:rsidP="002F4C28">
      <w:pPr>
        <w:tabs>
          <w:tab w:val="num" w:pos="2160"/>
        </w:tabs>
        <w:spacing w:after="0"/>
        <w:rPr>
          <w:rFonts w:cs="Arial"/>
          <w:b/>
          <w:u w:val="single"/>
          <w:lang w:val="fr-FR"/>
        </w:rPr>
      </w:pPr>
      <w:r w:rsidRPr="002F4C28">
        <w:rPr>
          <w:b/>
          <w:u w:val="single"/>
          <w:lang w:val="fr-FR"/>
        </w:rPr>
        <w:t>Menaces directes</w:t>
      </w:r>
    </w:p>
    <w:p w:rsidR="002F4C28" w:rsidRPr="002F4C28" w:rsidRDefault="002F4C28" w:rsidP="002F4C28">
      <w:pPr>
        <w:tabs>
          <w:tab w:val="num" w:pos="2160"/>
        </w:tabs>
        <w:spacing w:after="0"/>
        <w:rPr>
          <w:rFonts w:cs="Arial"/>
          <w:b/>
          <w:u w:val="single"/>
          <w:lang w:val="en-GB"/>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Changements climatiques</w:t>
      </w:r>
    </w:p>
    <w:p w:rsidR="002F4C28" w:rsidRPr="002F4C28" w:rsidRDefault="002F4C28" w:rsidP="002F4C28">
      <w:pPr>
        <w:numPr>
          <w:ilvl w:val="0"/>
          <w:numId w:val="13"/>
        </w:numPr>
        <w:tabs>
          <w:tab w:val="num" w:pos="2880"/>
        </w:tabs>
        <w:spacing w:after="0" w:line="256" w:lineRule="auto"/>
        <w:ind w:left="993" w:hanging="426"/>
        <w:contextualSpacing/>
        <w:jc w:val="both"/>
        <w:rPr>
          <w:rFonts w:cs="Arial"/>
          <w:lang w:val="fr-FR"/>
        </w:rPr>
      </w:pPr>
      <w:r w:rsidRPr="002F4C28">
        <w:rPr>
          <w:lang w:val="fr-FR"/>
        </w:rPr>
        <w:t>Changement des conditions océaniques</w:t>
      </w:r>
    </w:p>
    <w:p w:rsidR="002F4C28" w:rsidRPr="002F4C28" w:rsidRDefault="002F4C28" w:rsidP="002F4C28">
      <w:pPr>
        <w:numPr>
          <w:ilvl w:val="0"/>
          <w:numId w:val="13"/>
        </w:numPr>
        <w:tabs>
          <w:tab w:val="num" w:pos="3600"/>
        </w:tabs>
        <w:spacing w:after="0" w:line="256" w:lineRule="auto"/>
        <w:ind w:left="993" w:hanging="426"/>
        <w:contextualSpacing/>
        <w:jc w:val="both"/>
        <w:rPr>
          <w:rFonts w:cs="Arial"/>
          <w:lang w:val="fr-FR"/>
        </w:rPr>
      </w:pPr>
      <w:r w:rsidRPr="002F4C28">
        <w:rPr>
          <w:lang w:val="fr-FR"/>
        </w:rPr>
        <w:t>Déterminer les besoins en matière de recherche</w:t>
      </w:r>
    </w:p>
    <w:p w:rsidR="002F4C28" w:rsidRPr="002F4C28" w:rsidRDefault="002F4C28" w:rsidP="002F4C28">
      <w:pPr>
        <w:numPr>
          <w:ilvl w:val="0"/>
          <w:numId w:val="13"/>
        </w:numPr>
        <w:tabs>
          <w:tab w:val="num" w:pos="3600"/>
        </w:tabs>
        <w:spacing w:after="0" w:line="256" w:lineRule="auto"/>
        <w:ind w:left="993" w:hanging="426"/>
        <w:contextualSpacing/>
        <w:jc w:val="both"/>
        <w:rPr>
          <w:rFonts w:cs="Arial"/>
          <w:lang w:val="fr-FR"/>
        </w:rPr>
      </w:pPr>
      <w:r w:rsidRPr="002F4C28">
        <w:rPr>
          <w:lang w:val="fr-FR"/>
        </w:rPr>
        <w:t>Possibilités de collaboration pour combler les lacunes en matière de connaissances</w:t>
      </w:r>
    </w:p>
    <w:p w:rsidR="002F4C28" w:rsidRPr="002F4C28" w:rsidRDefault="002F4C28" w:rsidP="002F4C28">
      <w:pPr>
        <w:numPr>
          <w:ilvl w:val="0"/>
          <w:numId w:val="13"/>
        </w:numPr>
        <w:tabs>
          <w:tab w:val="num" w:pos="4320"/>
        </w:tabs>
        <w:spacing w:after="0" w:line="256" w:lineRule="auto"/>
        <w:ind w:left="993" w:hanging="426"/>
        <w:contextualSpacing/>
        <w:jc w:val="both"/>
        <w:rPr>
          <w:rFonts w:cs="Arial"/>
          <w:lang w:val="fr-FR"/>
        </w:rPr>
      </w:pPr>
      <w:r w:rsidRPr="002F4C28">
        <w:rPr>
          <w:lang w:val="fr-FR"/>
        </w:rPr>
        <w:t>Identification des risques et des solutions</w:t>
      </w:r>
    </w:p>
    <w:p w:rsidR="002F4C28" w:rsidRPr="002F4C28" w:rsidRDefault="002F4C28" w:rsidP="002F4C28">
      <w:pPr>
        <w:numPr>
          <w:ilvl w:val="0"/>
          <w:numId w:val="13"/>
        </w:numPr>
        <w:tabs>
          <w:tab w:val="num" w:pos="2880"/>
        </w:tabs>
        <w:spacing w:after="0" w:line="256" w:lineRule="auto"/>
        <w:ind w:left="993" w:hanging="426"/>
        <w:contextualSpacing/>
        <w:jc w:val="both"/>
        <w:rPr>
          <w:rFonts w:cs="Arial"/>
          <w:lang w:val="fr-FR"/>
        </w:rPr>
      </w:pPr>
      <w:r w:rsidRPr="002F4C28">
        <w:rPr>
          <w:lang w:val="fr-FR"/>
        </w:rPr>
        <w:t>Changements dans les eaux intérieures et les eaux de transition</w:t>
      </w:r>
    </w:p>
    <w:p w:rsidR="002F4C28" w:rsidRPr="002F4C28" w:rsidRDefault="002F4C28" w:rsidP="002F4C28">
      <w:pPr>
        <w:numPr>
          <w:ilvl w:val="0"/>
          <w:numId w:val="13"/>
        </w:numPr>
        <w:tabs>
          <w:tab w:val="num" w:pos="3600"/>
        </w:tabs>
        <w:spacing w:after="0" w:line="256" w:lineRule="auto"/>
        <w:ind w:left="993" w:hanging="426"/>
        <w:contextualSpacing/>
        <w:jc w:val="both"/>
        <w:rPr>
          <w:rFonts w:cs="Arial"/>
          <w:lang w:val="fr-FR"/>
        </w:rPr>
      </w:pPr>
      <w:r w:rsidRPr="002F4C28">
        <w:rPr>
          <w:lang w:val="fr-FR"/>
        </w:rPr>
        <w:t>Identifier les besoins en matière de recherche, de gestion et de conservation</w:t>
      </w:r>
    </w:p>
    <w:p w:rsidR="002F4C28" w:rsidRPr="002F4C28" w:rsidRDefault="002F4C28" w:rsidP="002F4C28">
      <w:pPr>
        <w:numPr>
          <w:ilvl w:val="0"/>
          <w:numId w:val="13"/>
        </w:numPr>
        <w:tabs>
          <w:tab w:val="num" w:pos="3600"/>
        </w:tabs>
        <w:spacing w:after="0" w:line="256" w:lineRule="auto"/>
        <w:ind w:left="993" w:hanging="426"/>
        <w:contextualSpacing/>
        <w:jc w:val="both"/>
        <w:rPr>
          <w:rFonts w:cs="Arial"/>
          <w:lang w:val="fr-FR"/>
        </w:rPr>
      </w:pPr>
      <w:r w:rsidRPr="002F4C28">
        <w:rPr>
          <w:lang w:val="fr-FR"/>
        </w:rPr>
        <w:t>Possibilités de collaboration pour combler les lacunes en matière de connaissances</w:t>
      </w:r>
    </w:p>
    <w:p w:rsidR="002F4C28" w:rsidRPr="002F4C28" w:rsidRDefault="002F4C28" w:rsidP="002F4C28">
      <w:pPr>
        <w:numPr>
          <w:ilvl w:val="0"/>
          <w:numId w:val="13"/>
        </w:numPr>
        <w:tabs>
          <w:tab w:val="num" w:pos="4320"/>
        </w:tabs>
        <w:spacing w:after="0" w:line="256" w:lineRule="auto"/>
        <w:ind w:left="993" w:hanging="426"/>
        <w:contextualSpacing/>
        <w:jc w:val="both"/>
        <w:rPr>
          <w:rFonts w:cs="Arial"/>
          <w:lang w:val="fr-FR"/>
        </w:rPr>
      </w:pPr>
      <w:r w:rsidRPr="002F4C28">
        <w:rPr>
          <w:lang w:val="fr-FR"/>
        </w:rPr>
        <w:t>Identification des risques et des solutions</w:t>
      </w:r>
    </w:p>
    <w:p w:rsidR="002F4C28" w:rsidRPr="002F4C28" w:rsidRDefault="002F4C28" w:rsidP="002F4C28">
      <w:pPr>
        <w:tabs>
          <w:tab w:val="num" w:pos="1980"/>
        </w:tabs>
        <w:spacing w:after="0"/>
        <w:ind w:left="720" w:hanging="360"/>
        <w:rPr>
          <w:rFonts w:cs="Arial"/>
          <w:i/>
          <w:lang w:val="fr-FR"/>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Maladie/Parasitisme</w:t>
      </w:r>
    </w:p>
    <w:p w:rsidR="002F4C28" w:rsidRPr="002F4C28" w:rsidRDefault="002F4C28" w:rsidP="002F4C28">
      <w:pPr>
        <w:numPr>
          <w:ilvl w:val="0"/>
          <w:numId w:val="14"/>
        </w:numPr>
        <w:tabs>
          <w:tab w:val="num" w:pos="3600"/>
        </w:tabs>
        <w:spacing w:after="0" w:line="256" w:lineRule="auto"/>
        <w:ind w:left="993" w:hanging="426"/>
        <w:contextualSpacing/>
        <w:jc w:val="both"/>
        <w:rPr>
          <w:rFonts w:cs="Arial"/>
          <w:lang w:val="fr-FR"/>
        </w:rPr>
      </w:pPr>
      <w:r w:rsidRPr="002F4C28">
        <w:rPr>
          <w:lang w:val="fr-FR"/>
        </w:rPr>
        <w:t>Partage des connaissances sur les meilleures pratiques en matière de prise en charge des maladies</w:t>
      </w:r>
    </w:p>
    <w:p w:rsidR="002F4C28" w:rsidRPr="002F4C28" w:rsidRDefault="002F4C28" w:rsidP="002F4C28">
      <w:pPr>
        <w:numPr>
          <w:ilvl w:val="0"/>
          <w:numId w:val="14"/>
        </w:numPr>
        <w:tabs>
          <w:tab w:val="num" w:pos="4320"/>
        </w:tabs>
        <w:spacing w:after="0" w:line="256" w:lineRule="auto"/>
        <w:ind w:left="993" w:hanging="426"/>
        <w:contextualSpacing/>
        <w:jc w:val="both"/>
        <w:rPr>
          <w:rFonts w:cs="Arial"/>
          <w:lang w:val="fr-FR"/>
        </w:rPr>
      </w:pPr>
      <w:r w:rsidRPr="002F4C28">
        <w:rPr>
          <w:lang w:val="fr-FR"/>
        </w:rPr>
        <w:t>Sauvage et d’élevage</w:t>
      </w:r>
    </w:p>
    <w:p w:rsidR="002F4C28" w:rsidRPr="002F4C28" w:rsidRDefault="002F4C28" w:rsidP="002F4C28">
      <w:pPr>
        <w:numPr>
          <w:ilvl w:val="0"/>
          <w:numId w:val="14"/>
        </w:numPr>
        <w:tabs>
          <w:tab w:val="num" w:pos="3600"/>
        </w:tabs>
        <w:spacing w:after="0" w:line="256" w:lineRule="auto"/>
        <w:ind w:left="993" w:hanging="426"/>
        <w:contextualSpacing/>
        <w:jc w:val="both"/>
        <w:rPr>
          <w:rFonts w:cs="Arial"/>
          <w:lang w:val="fr-FR"/>
        </w:rPr>
      </w:pPr>
      <w:r w:rsidRPr="002F4C28">
        <w:rPr>
          <w:lang w:val="fr-FR"/>
        </w:rPr>
        <w:t>Anguillidés non listés</w:t>
      </w:r>
    </w:p>
    <w:p w:rsidR="002F4C28" w:rsidRPr="002F4C28" w:rsidRDefault="002F4C28" w:rsidP="002F4C28">
      <w:pPr>
        <w:numPr>
          <w:ilvl w:val="0"/>
          <w:numId w:val="14"/>
        </w:numPr>
        <w:tabs>
          <w:tab w:val="num" w:pos="2880"/>
        </w:tabs>
        <w:spacing w:after="0" w:line="256" w:lineRule="auto"/>
        <w:ind w:left="993" w:hanging="426"/>
        <w:contextualSpacing/>
        <w:jc w:val="both"/>
        <w:rPr>
          <w:rFonts w:cs="Arial"/>
          <w:lang w:val="fr-FR"/>
        </w:rPr>
      </w:pPr>
      <w:r w:rsidRPr="002F4C28">
        <w:rPr>
          <w:lang w:val="fr-FR"/>
        </w:rPr>
        <w:t>Virus/bactéries/helminthes</w:t>
      </w:r>
    </w:p>
    <w:p w:rsidR="002F4C28" w:rsidRPr="002F4C28" w:rsidRDefault="002F4C28" w:rsidP="002F4C28">
      <w:pPr>
        <w:numPr>
          <w:ilvl w:val="0"/>
          <w:numId w:val="14"/>
        </w:numPr>
        <w:tabs>
          <w:tab w:val="num" w:pos="3600"/>
        </w:tabs>
        <w:spacing w:after="0" w:line="256" w:lineRule="auto"/>
        <w:ind w:left="993" w:hanging="426"/>
        <w:contextualSpacing/>
        <w:jc w:val="both"/>
        <w:rPr>
          <w:rFonts w:cs="Arial"/>
          <w:lang w:val="fr-FR"/>
        </w:rPr>
      </w:pPr>
      <w:r w:rsidRPr="002F4C28">
        <w:rPr>
          <w:lang w:val="fr-FR"/>
        </w:rPr>
        <w:t>Herpès ?/Reconstitution des stocks</w:t>
      </w:r>
    </w:p>
    <w:p w:rsidR="002F4C28" w:rsidRPr="002F4C28" w:rsidRDefault="002F4C28" w:rsidP="002F4C28">
      <w:pPr>
        <w:numPr>
          <w:ilvl w:val="0"/>
          <w:numId w:val="14"/>
        </w:numPr>
        <w:tabs>
          <w:tab w:val="num" w:pos="2880"/>
        </w:tabs>
        <w:spacing w:after="0" w:line="256" w:lineRule="auto"/>
        <w:ind w:left="993" w:hanging="426"/>
        <w:contextualSpacing/>
        <w:jc w:val="both"/>
        <w:rPr>
          <w:rFonts w:cs="Arial"/>
          <w:lang w:val="fr-FR"/>
        </w:rPr>
      </w:pPr>
      <w:r w:rsidRPr="002F4C28">
        <w:rPr>
          <w:lang w:val="fr-FR"/>
        </w:rPr>
        <w:t>Espèces envahissantes (</w:t>
      </w:r>
      <w:proofErr w:type="spellStart"/>
      <w:r w:rsidRPr="002F4C28">
        <w:rPr>
          <w:i/>
          <w:iCs/>
          <w:lang w:val="fr-FR"/>
        </w:rPr>
        <w:t>Anguillicola</w:t>
      </w:r>
      <w:proofErr w:type="spellEnd"/>
      <w:r w:rsidRPr="002F4C28">
        <w:rPr>
          <w:i/>
          <w:iCs/>
          <w:lang w:val="fr-FR"/>
        </w:rPr>
        <w:t xml:space="preserve"> </w:t>
      </w:r>
      <w:proofErr w:type="spellStart"/>
      <w:r w:rsidRPr="002F4C28">
        <w:rPr>
          <w:i/>
          <w:iCs/>
          <w:lang w:val="fr-FR"/>
        </w:rPr>
        <w:t>crassus</w:t>
      </w:r>
      <w:proofErr w:type="spellEnd"/>
      <w:r w:rsidRPr="002F4C28">
        <w:rPr>
          <w:lang w:val="fr-FR"/>
        </w:rPr>
        <w:t>, par exemple)</w:t>
      </w:r>
    </w:p>
    <w:p w:rsidR="002F4C28" w:rsidRPr="002F4C28" w:rsidRDefault="002F4C28" w:rsidP="002F4C28">
      <w:pPr>
        <w:tabs>
          <w:tab w:val="num" w:pos="1980"/>
        </w:tabs>
        <w:spacing w:after="0"/>
        <w:ind w:left="720" w:hanging="360"/>
        <w:rPr>
          <w:rFonts w:cs="Arial"/>
          <w:lang w:val="it-IT"/>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Pollution</w:t>
      </w:r>
    </w:p>
    <w:p w:rsidR="002F4C28" w:rsidRPr="002F4C28" w:rsidRDefault="002F4C28" w:rsidP="002F4C28">
      <w:pPr>
        <w:numPr>
          <w:ilvl w:val="0"/>
          <w:numId w:val="15"/>
        </w:numPr>
        <w:tabs>
          <w:tab w:val="num" w:pos="3600"/>
        </w:tabs>
        <w:spacing w:after="0" w:line="256" w:lineRule="auto"/>
        <w:ind w:left="993" w:hanging="426"/>
        <w:contextualSpacing/>
        <w:jc w:val="both"/>
        <w:rPr>
          <w:rFonts w:cs="Arial"/>
          <w:lang w:val="fr-FR"/>
        </w:rPr>
      </w:pPr>
      <w:r w:rsidRPr="002F4C28">
        <w:rPr>
          <w:lang w:val="fr-FR"/>
        </w:rPr>
        <w:t>Partage des connaissances</w:t>
      </w:r>
    </w:p>
    <w:p w:rsidR="002F4C28" w:rsidRPr="002F4C28" w:rsidRDefault="002F4C28" w:rsidP="002F4C28">
      <w:pPr>
        <w:numPr>
          <w:ilvl w:val="0"/>
          <w:numId w:val="15"/>
        </w:numPr>
        <w:tabs>
          <w:tab w:val="num" w:pos="2880"/>
        </w:tabs>
        <w:spacing w:after="0" w:line="256" w:lineRule="auto"/>
        <w:ind w:left="993" w:hanging="426"/>
        <w:contextualSpacing/>
        <w:jc w:val="both"/>
        <w:rPr>
          <w:rFonts w:cs="Arial"/>
          <w:lang w:val="fr-FR"/>
        </w:rPr>
      </w:pPr>
      <w:r w:rsidRPr="002F4C28">
        <w:rPr>
          <w:lang w:val="fr-FR"/>
        </w:rPr>
        <w:t>Type de polluant</w:t>
      </w:r>
    </w:p>
    <w:p w:rsidR="002F4C28" w:rsidRPr="002F4C28" w:rsidRDefault="002F4C28" w:rsidP="002F4C28">
      <w:pPr>
        <w:numPr>
          <w:ilvl w:val="0"/>
          <w:numId w:val="15"/>
        </w:numPr>
        <w:tabs>
          <w:tab w:val="num" w:pos="3600"/>
        </w:tabs>
        <w:spacing w:after="0" w:line="256" w:lineRule="auto"/>
        <w:ind w:left="993" w:hanging="426"/>
        <w:contextualSpacing/>
        <w:jc w:val="both"/>
        <w:rPr>
          <w:rFonts w:cs="Arial"/>
          <w:lang w:val="fr-FR"/>
        </w:rPr>
      </w:pPr>
      <w:r w:rsidRPr="002F4C28">
        <w:rPr>
          <w:lang w:val="fr-FR"/>
        </w:rPr>
        <w:t>Toxiques lipophiles</w:t>
      </w:r>
    </w:p>
    <w:p w:rsidR="002F4C28" w:rsidRPr="002F4C28" w:rsidRDefault="002F4C28" w:rsidP="002F4C28">
      <w:pPr>
        <w:numPr>
          <w:ilvl w:val="0"/>
          <w:numId w:val="15"/>
        </w:numPr>
        <w:tabs>
          <w:tab w:val="num" w:pos="3600"/>
        </w:tabs>
        <w:spacing w:after="0" w:line="256" w:lineRule="auto"/>
        <w:ind w:left="993" w:hanging="426"/>
        <w:contextualSpacing/>
        <w:jc w:val="both"/>
        <w:rPr>
          <w:rFonts w:cs="Arial"/>
          <w:lang w:val="fr-FR"/>
        </w:rPr>
      </w:pPr>
      <w:r w:rsidRPr="002F4C28">
        <w:rPr>
          <w:lang w:val="fr-FR"/>
        </w:rPr>
        <w:t>Microplastiques</w:t>
      </w:r>
    </w:p>
    <w:p w:rsidR="002F4C28" w:rsidRPr="002F4C28" w:rsidRDefault="002F4C28" w:rsidP="002F4C28">
      <w:pPr>
        <w:numPr>
          <w:ilvl w:val="0"/>
          <w:numId w:val="15"/>
        </w:numPr>
        <w:tabs>
          <w:tab w:val="num" w:pos="2880"/>
        </w:tabs>
        <w:spacing w:after="0" w:line="256" w:lineRule="auto"/>
        <w:ind w:left="993" w:hanging="426"/>
        <w:contextualSpacing/>
        <w:jc w:val="both"/>
        <w:rPr>
          <w:rFonts w:cs="Arial"/>
          <w:lang w:val="fr-FR"/>
        </w:rPr>
      </w:pPr>
      <w:r w:rsidRPr="002F4C28">
        <w:rPr>
          <w:lang w:val="fr-FR"/>
        </w:rPr>
        <w:t>Effets aigus</w:t>
      </w:r>
    </w:p>
    <w:p w:rsidR="002F4C28" w:rsidRPr="002F4C28" w:rsidRDefault="002F4C28" w:rsidP="002F4C28">
      <w:pPr>
        <w:numPr>
          <w:ilvl w:val="0"/>
          <w:numId w:val="15"/>
        </w:numPr>
        <w:tabs>
          <w:tab w:val="num" w:pos="3600"/>
        </w:tabs>
        <w:spacing w:after="0" w:line="256" w:lineRule="auto"/>
        <w:ind w:left="993" w:hanging="426"/>
        <w:contextualSpacing/>
        <w:jc w:val="both"/>
        <w:rPr>
          <w:rFonts w:cs="Arial"/>
          <w:lang w:val="fr-FR"/>
        </w:rPr>
      </w:pPr>
      <w:r w:rsidRPr="002F4C28">
        <w:rPr>
          <w:lang w:val="fr-FR"/>
        </w:rPr>
        <w:t>Mortalité/morbidité directe</w:t>
      </w:r>
    </w:p>
    <w:p w:rsidR="002F4C28" w:rsidRPr="002F4C28" w:rsidRDefault="002F4C28" w:rsidP="002F4C28">
      <w:pPr>
        <w:numPr>
          <w:ilvl w:val="0"/>
          <w:numId w:val="15"/>
        </w:numPr>
        <w:tabs>
          <w:tab w:val="num" w:pos="2880"/>
        </w:tabs>
        <w:spacing w:after="0" w:line="256" w:lineRule="auto"/>
        <w:ind w:left="993" w:hanging="426"/>
        <w:contextualSpacing/>
        <w:jc w:val="both"/>
        <w:rPr>
          <w:rFonts w:cs="Arial"/>
          <w:lang w:val="fr-FR"/>
        </w:rPr>
      </w:pPr>
      <w:r w:rsidRPr="002F4C28">
        <w:rPr>
          <w:lang w:val="fr-FR"/>
        </w:rPr>
        <w:t>Effets chroniques</w:t>
      </w:r>
    </w:p>
    <w:p w:rsidR="002F4C28" w:rsidRPr="002F4C28" w:rsidRDefault="002F4C28" w:rsidP="002F4C28">
      <w:pPr>
        <w:numPr>
          <w:ilvl w:val="0"/>
          <w:numId w:val="15"/>
        </w:numPr>
        <w:tabs>
          <w:tab w:val="num" w:pos="3600"/>
        </w:tabs>
        <w:spacing w:after="0" w:line="256" w:lineRule="auto"/>
        <w:ind w:left="993" w:hanging="426"/>
        <w:contextualSpacing/>
        <w:jc w:val="both"/>
        <w:rPr>
          <w:rFonts w:cs="Arial"/>
          <w:lang w:val="fr-FR"/>
        </w:rPr>
      </w:pPr>
      <w:r w:rsidRPr="002F4C28">
        <w:rPr>
          <w:lang w:val="fr-FR"/>
        </w:rPr>
        <w:t>Accumulation de substances toxiques chez les poissons migrateurs</w:t>
      </w:r>
    </w:p>
    <w:p w:rsidR="002F4C28" w:rsidRPr="002F4C28" w:rsidRDefault="002F4C28" w:rsidP="002F4C28">
      <w:pPr>
        <w:tabs>
          <w:tab w:val="num" w:pos="1980"/>
        </w:tabs>
        <w:spacing w:after="0"/>
        <w:ind w:left="720" w:hanging="360"/>
        <w:rPr>
          <w:rFonts w:cs="Arial"/>
          <w:lang w:val="fr-FR"/>
        </w:rPr>
      </w:pPr>
    </w:p>
    <w:p w:rsidR="002F4C28" w:rsidRPr="002F4C28" w:rsidRDefault="002F4C28" w:rsidP="002F4C28">
      <w:pPr>
        <w:numPr>
          <w:ilvl w:val="0"/>
          <w:numId w:val="12"/>
        </w:numPr>
        <w:spacing w:after="0"/>
        <w:ind w:left="426" w:hanging="426"/>
        <w:contextualSpacing/>
        <w:rPr>
          <w:rFonts w:cs="Arial"/>
          <w:b/>
          <w:lang w:val="fr-FR"/>
        </w:rPr>
      </w:pPr>
      <w:r w:rsidRPr="002F4C28">
        <w:rPr>
          <w:b/>
          <w:lang w:val="fr-FR"/>
        </w:rPr>
        <w:t>Obstacles à la migration/énergie hydraulique/pompes</w:t>
      </w:r>
    </w:p>
    <w:p w:rsidR="002F4C28" w:rsidRPr="002F4C28" w:rsidRDefault="002F4C28" w:rsidP="002F4C28">
      <w:pPr>
        <w:numPr>
          <w:ilvl w:val="0"/>
          <w:numId w:val="16"/>
        </w:numPr>
        <w:tabs>
          <w:tab w:val="num" w:pos="2880"/>
        </w:tabs>
        <w:spacing w:after="0" w:line="256" w:lineRule="auto"/>
        <w:ind w:left="993" w:hanging="426"/>
        <w:contextualSpacing/>
        <w:jc w:val="both"/>
        <w:rPr>
          <w:rFonts w:cs="Arial"/>
          <w:lang w:val="fr-FR"/>
        </w:rPr>
      </w:pPr>
      <w:r w:rsidRPr="002F4C28">
        <w:rPr>
          <w:lang w:val="fr-FR"/>
        </w:rPr>
        <w:t>Eaux salines, de transition et douces</w:t>
      </w:r>
    </w:p>
    <w:p w:rsidR="002F4C28" w:rsidRPr="002F4C28" w:rsidRDefault="002F4C28" w:rsidP="002F4C28">
      <w:pPr>
        <w:numPr>
          <w:ilvl w:val="0"/>
          <w:numId w:val="16"/>
        </w:numPr>
        <w:tabs>
          <w:tab w:val="num" w:pos="2880"/>
        </w:tabs>
        <w:spacing w:after="0" w:line="256" w:lineRule="auto"/>
        <w:ind w:left="993" w:hanging="426"/>
        <w:contextualSpacing/>
        <w:jc w:val="both"/>
        <w:rPr>
          <w:rFonts w:cs="Arial"/>
          <w:lang w:val="fr-FR"/>
        </w:rPr>
      </w:pPr>
      <w:r w:rsidRPr="002F4C28">
        <w:rPr>
          <w:lang w:val="fr-FR"/>
        </w:rPr>
        <w:t>En amont et/ou en aval</w:t>
      </w:r>
    </w:p>
    <w:p w:rsidR="002F4C28" w:rsidRPr="002F4C28" w:rsidRDefault="002F4C28" w:rsidP="002F4C28">
      <w:pPr>
        <w:numPr>
          <w:ilvl w:val="0"/>
          <w:numId w:val="16"/>
        </w:numPr>
        <w:tabs>
          <w:tab w:val="num" w:pos="2880"/>
        </w:tabs>
        <w:spacing w:after="0" w:line="256" w:lineRule="auto"/>
        <w:ind w:left="993" w:hanging="426"/>
        <w:contextualSpacing/>
        <w:jc w:val="both"/>
        <w:rPr>
          <w:rFonts w:cs="Arial"/>
          <w:lang w:val="fr-FR"/>
        </w:rPr>
      </w:pPr>
      <w:r w:rsidRPr="002F4C28">
        <w:rPr>
          <w:lang w:val="fr-FR"/>
        </w:rPr>
        <w:t>Hydroélectricité/barrages/barrages-déversoirs</w:t>
      </w:r>
    </w:p>
    <w:p w:rsidR="002F4C28" w:rsidRPr="002F4C28" w:rsidRDefault="002F4C28" w:rsidP="002F4C28">
      <w:pPr>
        <w:numPr>
          <w:ilvl w:val="0"/>
          <w:numId w:val="16"/>
        </w:numPr>
        <w:tabs>
          <w:tab w:val="num" w:pos="2880"/>
        </w:tabs>
        <w:spacing w:after="0" w:line="256" w:lineRule="auto"/>
        <w:ind w:left="993" w:hanging="426"/>
        <w:contextualSpacing/>
        <w:jc w:val="both"/>
        <w:rPr>
          <w:rFonts w:cs="Arial"/>
          <w:lang w:val="fr-FR"/>
        </w:rPr>
      </w:pPr>
      <w:r w:rsidRPr="002F4C28">
        <w:rPr>
          <w:lang w:val="fr-FR"/>
        </w:rPr>
        <w:t>Mortalité imputable aux pompes/turbines</w:t>
      </w:r>
    </w:p>
    <w:p w:rsidR="002F4C28" w:rsidRPr="002F4C28" w:rsidRDefault="002F4C28" w:rsidP="002F4C28">
      <w:pPr>
        <w:numPr>
          <w:ilvl w:val="0"/>
          <w:numId w:val="16"/>
        </w:numPr>
        <w:tabs>
          <w:tab w:val="num" w:pos="3600"/>
        </w:tabs>
        <w:spacing w:after="0" w:line="256" w:lineRule="auto"/>
        <w:ind w:left="993" w:hanging="426"/>
        <w:contextualSpacing/>
        <w:jc w:val="both"/>
        <w:rPr>
          <w:rFonts w:cs="Arial"/>
          <w:lang w:val="fr-FR"/>
        </w:rPr>
      </w:pPr>
      <w:r w:rsidRPr="002F4C28">
        <w:rPr>
          <w:lang w:val="fr-FR"/>
        </w:rPr>
        <w:t>Collaboration transfrontalière - au sein/à l’extérieur de l’UE</w:t>
      </w:r>
    </w:p>
    <w:p w:rsidR="002F4C28" w:rsidRPr="002F4C28" w:rsidRDefault="002F4C28" w:rsidP="002F4C28">
      <w:pPr>
        <w:numPr>
          <w:ilvl w:val="0"/>
          <w:numId w:val="16"/>
        </w:numPr>
        <w:tabs>
          <w:tab w:val="num" w:pos="3600"/>
        </w:tabs>
        <w:spacing w:after="0" w:line="256" w:lineRule="auto"/>
        <w:ind w:left="993" w:hanging="426"/>
        <w:contextualSpacing/>
        <w:jc w:val="both"/>
        <w:rPr>
          <w:rFonts w:cs="Arial"/>
          <w:lang w:val="fr-FR"/>
        </w:rPr>
      </w:pPr>
      <w:r w:rsidRPr="002F4C28">
        <w:rPr>
          <w:lang w:val="fr-FR"/>
        </w:rPr>
        <w:t>Projet AMBER ?</w:t>
      </w:r>
    </w:p>
    <w:p w:rsidR="002F4C28" w:rsidRPr="002F4C28" w:rsidRDefault="002F4C28" w:rsidP="002F4C28">
      <w:pPr>
        <w:numPr>
          <w:ilvl w:val="0"/>
          <w:numId w:val="16"/>
        </w:numPr>
        <w:tabs>
          <w:tab w:val="num" w:pos="3600"/>
        </w:tabs>
        <w:spacing w:after="0" w:line="256" w:lineRule="auto"/>
        <w:ind w:left="993" w:hanging="426"/>
        <w:contextualSpacing/>
        <w:jc w:val="both"/>
        <w:rPr>
          <w:rFonts w:cs="Arial"/>
          <w:lang w:val="fr-FR"/>
        </w:rPr>
      </w:pPr>
      <w:r w:rsidRPr="002F4C28">
        <w:rPr>
          <w:lang w:val="fr-FR"/>
        </w:rPr>
        <w:t>Élaboration de directives</w:t>
      </w:r>
    </w:p>
    <w:p w:rsidR="002F4C28" w:rsidRPr="002F4C28" w:rsidRDefault="002F4C28" w:rsidP="002F4C28">
      <w:pPr>
        <w:numPr>
          <w:ilvl w:val="0"/>
          <w:numId w:val="16"/>
        </w:numPr>
        <w:tabs>
          <w:tab w:val="num" w:pos="3600"/>
        </w:tabs>
        <w:spacing w:after="0" w:line="256" w:lineRule="auto"/>
        <w:ind w:left="993" w:hanging="426"/>
        <w:contextualSpacing/>
        <w:jc w:val="both"/>
        <w:rPr>
          <w:rFonts w:cs="Arial"/>
          <w:lang w:val="fr-FR"/>
        </w:rPr>
      </w:pPr>
      <w:r w:rsidRPr="002F4C28">
        <w:rPr>
          <w:lang w:val="fr-FR"/>
        </w:rPr>
        <w:t>Enquêtes dans les États de l’aire de répartition ?</w:t>
      </w:r>
    </w:p>
    <w:p w:rsidR="002F4C28" w:rsidRPr="002F4C28" w:rsidRDefault="002F4C28" w:rsidP="002F4C28">
      <w:pPr>
        <w:tabs>
          <w:tab w:val="num" w:pos="1980"/>
        </w:tabs>
        <w:spacing w:after="0"/>
        <w:ind w:left="720" w:hanging="360"/>
        <w:rPr>
          <w:rFonts w:cs="Arial"/>
          <w:lang w:val="fr-FR"/>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Perte/dégradation de l’habitat</w:t>
      </w:r>
    </w:p>
    <w:p w:rsidR="002F4C28" w:rsidRPr="002F4C28" w:rsidRDefault="002F4C28" w:rsidP="002F4C28">
      <w:pPr>
        <w:numPr>
          <w:ilvl w:val="0"/>
          <w:numId w:val="17"/>
        </w:numPr>
        <w:tabs>
          <w:tab w:val="num" w:pos="2880"/>
        </w:tabs>
        <w:spacing w:after="0" w:line="256" w:lineRule="auto"/>
        <w:ind w:left="993" w:hanging="426"/>
        <w:contextualSpacing/>
        <w:jc w:val="both"/>
        <w:rPr>
          <w:rFonts w:cs="Arial"/>
          <w:lang w:val="fr-FR"/>
        </w:rPr>
      </w:pPr>
      <w:r w:rsidRPr="002F4C28">
        <w:rPr>
          <w:lang w:val="fr-FR"/>
        </w:rPr>
        <w:t>Changement de la qualité et/ou de la quantité de l’eau</w:t>
      </w:r>
    </w:p>
    <w:p w:rsidR="002F4C28" w:rsidRPr="002F4C28" w:rsidRDefault="002F4C28" w:rsidP="002F4C28">
      <w:pPr>
        <w:numPr>
          <w:ilvl w:val="0"/>
          <w:numId w:val="17"/>
        </w:numPr>
        <w:tabs>
          <w:tab w:val="num" w:pos="2880"/>
        </w:tabs>
        <w:spacing w:after="0" w:line="256" w:lineRule="auto"/>
        <w:ind w:left="993" w:hanging="426"/>
        <w:contextualSpacing/>
        <w:jc w:val="both"/>
        <w:rPr>
          <w:rFonts w:cs="Arial"/>
          <w:lang w:val="fr-FR"/>
        </w:rPr>
      </w:pPr>
      <w:r w:rsidRPr="002F4C28">
        <w:rPr>
          <w:lang w:val="fr-FR"/>
        </w:rPr>
        <w:t>Réduction des ressources</w:t>
      </w:r>
    </w:p>
    <w:p w:rsidR="002F4C28" w:rsidRPr="002F4C28" w:rsidRDefault="002F4C28" w:rsidP="002F4C28">
      <w:pPr>
        <w:numPr>
          <w:ilvl w:val="0"/>
          <w:numId w:val="17"/>
        </w:numPr>
        <w:tabs>
          <w:tab w:val="num" w:pos="2880"/>
        </w:tabs>
        <w:spacing w:after="0" w:line="256" w:lineRule="auto"/>
        <w:ind w:left="993" w:hanging="426"/>
        <w:contextualSpacing/>
        <w:jc w:val="both"/>
        <w:rPr>
          <w:rFonts w:cs="Arial"/>
          <w:lang w:val="fr-FR"/>
        </w:rPr>
      </w:pPr>
      <w:r w:rsidRPr="002F4C28">
        <w:rPr>
          <w:lang w:val="fr-FR"/>
        </w:rPr>
        <w:t>Concurrence accrue</w:t>
      </w:r>
    </w:p>
    <w:p w:rsidR="002F4C28" w:rsidRPr="002F4C28" w:rsidRDefault="002F4C28" w:rsidP="002F4C28">
      <w:pPr>
        <w:numPr>
          <w:ilvl w:val="0"/>
          <w:numId w:val="17"/>
        </w:numPr>
        <w:tabs>
          <w:tab w:val="num" w:pos="2880"/>
        </w:tabs>
        <w:spacing w:after="0" w:line="256" w:lineRule="auto"/>
        <w:ind w:left="993" w:hanging="426"/>
        <w:contextualSpacing/>
        <w:jc w:val="both"/>
        <w:rPr>
          <w:rFonts w:cs="Arial"/>
          <w:lang w:val="fr-FR"/>
        </w:rPr>
      </w:pPr>
      <w:r w:rsidRPr="002F4C28">
        <w:rPr>
          <w:lang w:val="fr-FR"/>
        </w:rPr>
        <w:t>Impacts sur la croissance</w:t>
      </w:r>
    </w:p>
    <w:p w:rsidR="002F4C28" w:rsidRPr="002F4C28" w:rsidRDefault="002F4C28" w:rsidP="002F4C28">
      <w:pPr>
        <w:numPr>
          <w:ilvl w:val="0"/>
          <w:numId w:val="17"/>
        </w:numPr>
        <w:tabs>
          <w:tab w:val="num" w:pos="3600"/>
        </w:tabs>
        <w:spacing w:after="0" w:line="256" w:lineRule="auto"/>
        <w:ind w:left="993" w:hanging="426"/>
        <w:contextualSpacing/>
        <w:jc w:val="both"/>
        <w:rPr>
          <w:rFonts w:cs="Arial"/>
          <w:lang w:val="fr-FR"/>
        </w:rPr>
      </w:pPr>
      <w:r w:rsidRPr="002F4C28">
        <w:rPr>
          <w:lang w:val="fr-FR"/>
        </w:rPr>
        <w:t>Conservation et gestion transfrontalières</w:t>
      </w:r>
    </w:p>
    <w:p w:rsidR="002F4C28" w:rsidRPr="002F4C28" w:rsidRDefault="002F4C28" w:rsidP="002F4C28">
      <w:pPr>
        <w:numPr>
          <w:ilvl w:val="0"/>
          <w:numId w:val="17"/>
        </w:numPr>
        <w:tabs>
          <w:tab w:val="num" w:pos="4320"/>
        </w:tabs>
        <w:spacing w:after="0" w:line="256" w:lineRule="auto"/>
        <w:ind w:left="993" w:hanging="426"/>
        <w:contextualSpacing/>
        <w:jc w:val="both"/>
        <w:rPr>
          <w:rFonts w:cs="Arial"/>
          <w:lang w:val="fr-FR"/>
        </w:rPr>
      </w:pPr>
      <w:r w:rsidRPr="002F4C28">
        <w:rPr>
          <w:lang w:val="fr-FR"/>
        </w:rPr>
        <w:t>Avantages supplémentaires pour la biodiversité, les habitats et les communautés</w:t>
      </w:r>
    </w:p>
    <w:p w:rsidR="002F4C28" w:rsidRPr="002F4C28" w:rsidRDefault="002F4C28" w:rsidP="002F4C28">
      <w:pPr>
        <w:numPr>
          <w:ilvl w:val="0"/>
          <w:numId w:val="17"/>
        </w:numPr>
        <w:tabs>
          <w:tab w:val="num" w:pos="3600"/>
        </w:tabs>
        <w:spacing w:after="0" w:line="256" w:lineRule="auto"/>
        <w:ind w:left="993" w:hanging="426"/>
        <w:contextualSpacing/>
        <w:jc w:val="both"/>
        <w:rPr>
          <w:rFonts w:cs="Arial"/>
          <w:lang w:val="fr-FR"/>
        </w:rPr>
      </w:pPr>
      <w:r w:rsidRPr="002F4C28">
        <w:rPr>
          <w:lang w:val="fr-FR"/>
        </w:rPr>
        <w:t>Cartographie de la perte d’habitats ? Qu’est-ce qui peut être restauré ?</w:t>
      </w:r>
    </w:p>
    <w:p w:rsidR="002F4C28" w:rsidRPr="002F4C28" w:rsidRDefault="002F4C28" w:rsidP="002F4C28">
      <w:pPr>
        <w:numPr>
          <w:ilvl w:val="0"/>
          <w:numId w:val="17"/>
        </w:numPr>
        <w:tabs>
          <w:tab w:val="num" w:pos="3600"/>
        </w:tabs>
        <w:spacing w:after="0" w:line="256" w:lineRule="auto"/>
        <w:ind w:left="993" w:hanging="426"/>
        <w:contextualSpacing/>
        <w:jc w:val="both"/>
        <w:rPr>
          <w:rFonts w:cs="Arial"/>
          <w:lang w:val="fr-FR"/>
        </w:rPr>
      </w:pPr>
      <w:r w:rsidRPr="002F4C28">
        <w:rPr>
          <w:lang w:val="fr-FR"/>
        </w:rPr>
        <w:t>Études de cas - Bassin versant de l’Erne</w:t>
      </w:r>
    </w:p>
    <w:p w:rsidR="002F4C28" w:rsidRPr="002F4C28" w:rsidRDefault="002F4C28" w:rsidP="002F4C28">
      <w:pPr>
        <w:numPr>
          <w:ilvl w:val="0"/>
          <w:numId w:val="17"/>
        </w:numPr>
        <w:tabs>
          <w:tab w:val="num" w:pos="3600"/>
        </w:tabs>
        <w:spacing w:after="0" w:line="256" w:lineRule="auto"/>
        <w:ind w:left="993" w:hanging="426"/>
        <w:contextualSpacing/>
        <w:jc w:val="both"/>
        <w:rPr>
          <w:rFonts w:cs="Arial"/>
          <w:lang w:val="fr-FR"/>
        </w:rPr>
      </w:pPr>
      <w:r w:rsidRPr="002F4C28">
        <w:rPr>
          <w:lang w:val="fr-FR"/>
        </w:rPr>
        <w:t>Identifier des partenaires (GRID Arendal, par exemple) pour tirer parti des efforts existants</w:t>
      </w:r>
    </w:p>
    <w:p w:rsidR="002F4C28" w:rsidRPr="002F4C28" w:rsidRDefault="002F4C28" w:rsidP="002F4C28">
      <w:pPr>
        <w:numPr>
          <w:ilvl w:val="0"/>
          <w:numId w:val="17"/>
        </w:numPr>
        <w:tabs>
          <w:tab w:val="num" w:pos="3600"/>
        </w:tabs>
        <w:spacing w:after="0" w:line="256" w:lineRule="auto"/>
        <w:ind w:left="993" w:hanging="426"/>
        <w:contextualSpacing/>
        <w:jc w:val="both"/>
        <w:rPr>
          <w:rFonts w:cs="Arial"/>
          <w:lang w:val="fr-FR"/>
        </w:rPr>
      </w:pPr>
      <w:r w:rsidRPr="002F4C28">
        <w:rPr>
          <w:lang w:val="fr-FR"/>
        </w:rPr>
        <w:t>Décisions de la CMS sur les réseaux écologiques</w:t>
      </w:r>
    </w:p>
    <w:p w:rsidR="002F4C28" w:rsidRPr="002F4C28" w:rsidRDefault="002F4C28" w:rsidP="002F4C28">
      <w:pPr>
        <w:tabs>
          <w:tab w:val="num" w:pos="1980"/>
        </w:tabs>
        <w:spacing w:after="0"/>
        <w:ind w:left="720" w:hanging="360"/>
        <w:rPr>
          <w:rFonts w:cs="Arial"/>
          <w:lang w:val="fr-FR"/>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Exploitation non durable</w:t>
      </w:r>
    </w:p>
    <w:p w:rsidR="002F4C28" w:rsidRPr="002F4C28" w:rsidRDefault="002F4C28" w:rsidP="002F4C28">
      <w:pPr>
        <w:numPr>
          <w:ilvl w:val="0"/>
          <w:numId w:val="18"/>
        </w:numPr>
        <w:tabs>
          <w:tab w:val="num" w:pos="3600"/>
        </w:tabs>
        <w:spacing w:after="0" w:line="256" w:lineRule="auto"/>
        <w:ind w:left="993" w:hanging="426"/>
        <w:contextualSpacing/>
        <w:jc w:val="both"/>
        <w:rPr>
          <w:rFonts w:cs="Arial"/>
          <w:lang w:val="fr-FR"/>
        </w:rPr>
      </w:pPr>
      <w:r w:rsidRPr="002F4C28">
        <w:rPr>
          <w:lang w:val="fr-FR"/>
        </w:rPr>
        <w:t>Partage des connaissances, notamment les NDF, les meilleures pratiques, les nouvelles technologies pour l’application de la loi et la collecte des données sur les captures.</w:t>
      </w:r>
    </w:p>
    <w:p w:rsidR="002F4C28" w:rsidRPr="002F4C28" w:rsidRDefault="002F4C28" w:rsidP="002F4C28">
      <w:pPr>
        <w:numPr>
          <w:ilvl w:val="0"/>
          <w:numId w:val="18"/>
        </w:numPr>
        <w:tabs>
          <w:tab w:val="num" w:pos="3600"/>
        </w:tabs>
        <w:spacing w:after="0" w:line="256" w:lineRule="auto"/>
        <w:ind w:left="993" w:hanging="426"/>
        <w:contextualSpacing/>
        <w:jc w:val="both"/>
        <w:rPr>
          <w:rFonts w:cs="Arial"/>
          <w:lang w:val="fr-FR"/>
        </w:rPr>
      </w:pPr>
      <w:r w:rsidRPr="002F4C28">
        <w:rPr>
          <w:lang w:val="fr-FR"/>
        </w:rPr>
        <w:t>Objectifs communs (réduire la mortalité par pêche, par exemple)</w:t>
      </w:r>
    </w:p>
    <w:p w:rsidR="002F4C28" w:rsidRPr="002F4C28" w:rsidRDefault="002F4C28" w:rsidP="002F4C28">
      <w:pPr>
        <w:numPr>
          <w:ilvl w:val="0"/>
          <w:numId w:val="18"/>
        </w:numPr>
        <w:tabs>
          <w:tab w:val="num" w:pos="3600"/>
        </w:tabs>
        <w:spacing w:after="0" w:line="256" w:lineRule="auto"/>
        <w:ind w:left="993" w:hanging="426"/>
        <w:contextualSpacing/>
        <w:jc w:val="both"/>
        <w:rPr>
          <w:rFonts w:cs="Arial"/>
          <w:lang w:val="fr-FR"/>
        </w:rPr>
      </w:pPr>
      <w:r w:rsidRPr="002F4C28">
        <w:rPr>
          <w:lang w:val="fr-FR"/>
        </w:rPr>
        <w:t>Évolution de la demande - adaptation à l’exploitation pour réduire les excédents</w:t>
      </w:r>
    </w:p>
    <w:p w:rsidR="002F4C28" w:rsidRPr="002F4C28" w:rsidRDefault="002F4C28" w:rsidP="002F4C28">
      <w:pPr>
        <w:numPr>
          <w:ilvl w:val="0"/>
          <w:numId w:val="18"/>
        </w:numPr>
        <w:tabs>
          <w:tab w:val="num" w:pos="3600"/>
        </w:tabs>
        <w:spacing w:after="0" w:line="256" w:lineRule="auto"/>
        <w:ind w:left="993" w:hanging="426"/>
        <w:contextualSpacing/>
        <w:jc w:val="both"/>
        <w:rPr>
          <w:rFonts w:cs="Arial"/>
          <w:lang w:val="fr-FR"/>
        </w:rPr>
      </w:pPr>
      <w:r w:rsidRPr="002F4C28">
        <w:rPr>
          <w:lang w:val="fr-FR"/>
        </w:rPr>
        <w:t>Exploitation transfrontalière - Baltique</w:t>
      </w:r>
    </w:p>
    <w:p w:rsidR="002F4C28" w:rsidRPr="002F4C28" w:rsidRDefault="002F4C28" w:rsidP="002F4C28">
      <w:pPr>
        <w:numPr>
          <w:ilvl w:val="0"/>
          <w:numId w:val="18"/>
        </w:numPr>
        <w:tabs>
          <w:tab w:val="num" w:pos="2880"/>
        </w:tabs>
        <w:spacing w:after="0" w:line="256" w:lineRule="auto"/>
        <w:ind w:left="993" w:hanging="426"/>
        <w:contextualSpacing/>
        <w:jc w:val="both"/>
        <w:rPr>
          <w:rFonts w:cs="Arial"/>
          <w:lang w:val="fr-FR"/>
        </w:rPr>
      </w:pPr>
      <w:r w:rsidRPr="002F4C28">
        <w:rPr>
          <w:lang w:val="fr-FR"/>
        </w:rPr>
        <w:t>Légal</w:t>
      </w:r>
    </w:p>
    <w:p w:rsidR="002F4C28" w:rsidRPr="002F4C28" w:rsidRDefault="002F4C28" w:rsidP="002F4C28">
      <w:pPr>
        <w:numPr>
          <w:ilvl w:val="0"/>
          <w:numId w:val="18"/>
        </w:numPr>
        <w:tabs>
          <w:tab w:val="num" w:pos="2880"/>
        </w:tabs>
        <w:spacing w:after="0" w:line="256" w:lineRule="auto"/>
        <w:ind w:left="993" w:hanging="426"/>
        <w:contextualSpacing/>
        <w:jc w:val="both"/>
        <w:rPr>
          <w:rFonts w:cs="Arial"/>
          <w:lang w:val="fr-FR"/>
        </w:rPr>
      </w:pPr>
      <w:r w:rsidRPr="002F4C28">
        <w:rPr>
          <w:lang w:val="fr-FR"/>
        </w:rPr>
        <w:t>Illégal</w:t>
      </w:r>
    </w:p>
    <w:p w:rsidR="002F4C28" w:rsidRPr="002F4C28" w:rsidRDefault="002F4C28" w:rsidP="002F4C28">
      <w:pPr>
        <w:tabs>
          <w:tab w:val="num" w:pos="1980"/>
        </w:tabs>
        <w:spacing w:after="0"/>
        <w:ind w:left="720" w:hanging="360"/>
        <w:rPr>
          <w:rFonts w:cs="Arial"/>
          <w:lang w:val="fr-FR"/>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Prédation et concurrence</w:t>
      </w:r>
    </w:p>
    <w:p w:rsidR="002F4C28" w:rsidRPr="002F4C28" w:rsidRDefault="002F4C28" w:rsidP="002F4C28">
      <w:pPr>
        <w:numPr>
          <w:ilvl w:val="0"/>
          <w:numId w:val="19"/>
        </w:numPr>
        <w:tabs>
          <w:tab w:val="num" w:pos="3600"/>
        </w:tabs>
        <w:spacing w:after="0" w:line="256" w:lineRule="auto"/>
        <w:ind w:left="993" w:hanging="426"/>
        <w:contextualSpacing/>
        <w:rPr>
          <w:rFonts w:cs="Arial"/>
          <w:lang w:val="fr-FR"/>
        </w:rPr>
      </w:pPr>
      <w:r w:rsidRPr="002F4C28">
        <w:rPr>
          <w:lang w:val="fr-FR"/>
        </w:rPr>
        <w:t>Impact des espèces non indigènes/introduites</w:t>
      </w:r>
    </w:p>
    <w:p w:rsidR="002F4C28" w:rsidRPr="002F4C28" w:rsidRDefault="002F4C28" w:rsidP="002F4C28">
      <w:pPr>
        <w:numPr>
          <w:ilvl w:val="0"/>
          <w:numId w:val="19"/>
        </w:numPr>
        <w:tabs>
          <w:tab w:val="num" w:pos="3600"/>
        </w:tabs>
        <w:spacing w:after="0" w:line="256" w:lineRule="auto"/>
        <w:ind w:left="993" w:hanging="426"/>
        <w:contextualSpacing/>
        <w:rPr>
          <w:rFonts w:cs="Arial"/>
          <w:lang w:val="fr-FR"/>
        </w:rPr>
      </w:pPr>
      <w:r w:rsidRPr="002F4C28">
        <w:rPr>
          <w:lang w:val="fr-FR"/>
        </w:rPr>
        <w:t xml:space="preserve">Initiatives de conservation « concurrentes » - les oiseaux ont le dessus sur les poissons ; la passe à poissons n’est pas forcément une passe à anguille ; </w:t>
      </w:r>
    </w:p>
    <w:p w:rsidR="002F4C28" w:rsidRPr="002F4C28" w:rsidRDefault="002F4C28" w:rsidP="002F4C28">
      <w:pPr>
        <w:numPr>
          <w:ilvl w:val="0"/>
          <w:numId w:val="19"/>
        </w:numPr>
        <w:tabs>
          <w:tab w:val="num" w:pos="3600"/>
        </w:tabs>
        <w:spacing w:after="0" w:line="256" w:lineRule="auto"/>
        <w:ind w:left="993" w:hanging="426"/>
        <w:contextualSpacing/>
        <w:rPr>
          <w:rFonts w:cs="Arial"/>
          <w:lang w:val="fr-FR"/>
        </w:rPr>
      </w:pPr>
      <w:r w:rsidRPr="002F4C28">
        <w:rPr>
          <w:lang w:val="fr-FR"/>
        </w:rPr>
        <w:t>Les avantages multi-espèces devraient être pris en compte</w:t>
      </w:r>
    </w:p>
    <w:p w:rsidR="002F4C28" w:rsidRPr="002F4C28" w:rsidRDefault="002F4C28" w:rsidP="002F4C28">
      <w:pPr>
        <w:tabs>
          <w:tab w:val="num" w:pos="1980"/>
        </w:tabs>
        <w:spacing w:after="0"/>
        <w:ind w:left="993" w:hanging="426"/>
        <w:rPr>
          <w:rFonts w:cs="Arial"/>
          <w:lang w:val="fr-FR"/>
        </w:rPr>
      </w:pPr>
    </w:p>
    <w:p w:rsidR="002F4C28" w:rsidRPr="002F4C28" w:rsidRDefault="002F4C28" w:rsidP="002F4C28">
      <w:pPr>
        <w:spacing w:after="0"/>
        <w:rPr>
          <w:rFonts w:cs="Arial"/>
          <w:b/>
          <w:u w:val="single"/>
          <w:lang w:val="fr-FR"/>
        </w:rPr>
      </w:pPr>
      <w:r w:rsidRPr="002F4C28">
        <w:rPr>
          <w:b/>
          <w:u w:val="single"/>
          <w:lang w:val="fr-FR"/>
        </w:rPr>
        <w:t>Autres questions émergentes</w:t>
      </w:r>
    </w:p>
    <w:p w:rsidR="002F4C28" w:rsidRPr="002F4C28" w:rsidRDefault="002F4C28" w:rsidP="002F4C28">
      <w:pPr>
        <w:spacing w:after="0"/>
        <w:rPr>
          <w:rFonts w:cs="Arial"/>
          <w:b/>
          <w:lang w:val="en-GB"/>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Exploitation minière des fonds marins</w:t>
      </w:r>
    </w:p>
    <w:p w:rsidR="002F4C28" w:rsidRPr="002F4C28" w:rsidRDefault="002F4C28" w:rsidP="002F4C28">
      <w:pPr>
        <w:spacing w:after="0"/>
        <w:rPr>
          <w:rFonts w:cs="Arial"/>
          <w:b/>
          <w:lang w:val="en-GB"/>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Transport maritime - risque de déversement d’hydrocarbures/bruit</w:t>
      </w:r>
    </w:p>
    <w:p w:rsidR="002F4C28" w:rsidRPr="002F4C28" w:rsidRDefault="002F4C28" w:rsidP="002F4C28">
      <w:pPr>
        <w:spacing w:after="0"/>
        <w:rPr>
          <w:rFonts w:cs="Arial"/>
          <w:b/>
          <w:lang w:val="fr-FR"/>
        </w:rPr>
      </w:pPr>
    </w:p>
    <w:p w:rsidR="002F4C28" w:rsidRPr="002F4C28" w:rsidRDefault="002F4C28" w:rsidP="002F4C28">
      <w:pPr>
        <w:numPr>
          <w:ilvl w:val="0"/>
          <w:numId w:val="12"/>
        </w:numPr>
        <w:spacing w:after="0"/>
        <w:ind w:left="567" w:hanging="567"/>
        <w:contextualSpacing/>
        <w:rPr>
          <w:rFonts w:cs="Arial"/>
          <w:b/>
          <w:lang w:val="fr-FR"/>
        </w:rPr>
      </w:pPr>
      <w:r w:rsidRPr="002F4C28">
        <w:rPr>
          <w:b/>
          <w:lang w:val="fr-FR"/>
        </w:rPr>
        <w:t xml:space="preserve">Collection </w:t>
      </w:r>
      <w:proofErr w:type="spellStart"/>
      <w:r w:rsidRPr="002F4C28">
        <w:rPr>
          <w:b/>
          <w:lang w:val="fr-FR"/>
        </w:rPr>
        <w:t>Sargassum</w:t>
      </w:r>
      <w:proofErr w:type="spellEnd"/>
    </w:p>
    <w:p w:rsidR="0005300F" w:rsidRDefault="0005300F" w:rsidP="0005300F">
      <w:pPr>
        <w:spacing w:after="0" w:line="240" w:lineRule="auto"/>
        <w:ind w:left="720"/>
        <w:contextualSpacing/>
        <w:rPr>
          <w:rFonts w:cs="Arial"/>
          <w:lang w:val="fr-FR"/>
        </w:rPr>
      </w:pPr>
    </w:p>
    <w:p w:rsidR="002F4C28" w:rsidRDefault="002F4C28" w:rsidP="0005300F">
      <w:pPr>
        <w:spacing w:after="0" w:line="240" w:lineRule="auto"/>
        <w:ind w:left="720"/>
        <w:contextualSpacing/>
        <w:rPr>
          <w:rFonts w:cs="Arial"/>
          <w:lang w:val="fr-FR"/>
        </w:rPr>
        <w:sectPr w:rsidR="002F4C28" w:rsidSect="00D71837">
          <w:headerReference w:type="first" r:id="rId24"/>
          <w:pgSz w:w="11906" w:h="16838" w:code="9"/>
          <w:pgMar w:top="1134" w:right="1134" w:bottom="1134" w:left="1134" w:header="720" w:footer="720" w:gutter="0"/>
          <w:cols w:space="720"/>
          <w:titlePg/>
          <w:docGrid w:linePitch="360"/>
        </w:sectPr>
      </w:pPr>
    </w:p>
    <w:p w:rsidR="002F4C28" w:rsidRPr="002F4C28" w:rsidRDefault="002F4C28" w:rsidP="002F4C28">
      <w:pPr>
        <w:spacing w:after="0" w:line="240" w:lineRule="auto"/>
        <w:jc w:val="right"/>
        <w:rPr>
          <w:rFonts w:eastAsia="Times New Roman" w:cs="Times New Roman"/>
          <w:b/>
          <w:lang w:val="fr-FR"/>
        </w:rPr>
      </w:pPr>
      <w:r w:rsidRPr="002F4C28">
        <w:rPr>
          <w:b/>
          <w:lang w:val="fr-FR"/>
        </w:rPr>
        <w:lastRenderedPageBreak/>
        <w:t xml:space="preserve">ANNEXE 3 </w:t>
      </w:r>
    </w:p>
    <w:p w:rsidR="002F4C28" w:rsidRDefault="002F4C28" w:rsidP="002F4C28">
      <w:pPr>
        <w:spacing w:after="0" w:line="240" w:lineRule="auto"/>
        <w:jc w:val="center"/>
        <w:rPr>
          <w:lang w:val="fr-FR"/>
        </w:rPr>
      </w:pPr>
    </w:p>
    <w:p w:rsidR="002F4C28" w:rsidRPr="002F4C28" w:rsidRDefault="002F4C28" w:rsidP="002F4C28">
      <w:pPr>
        <w:spacing w:after="0" w:line="240" w:lineRule="auto"/>
        <w:jc w:val="center"/>
        <w:rPr>
          <w:rFonts w:cs="Arial"/>
          <w:b/>
          <w:lang w:val="fr-FR"/>
        </w:rPr>
      </w:pPr>
      <w:r w:rsidRPr="002F4C28">
        <w:rPr>
          <w:lang w:val="fr-FR"/>
        </w:rPr>
        <w:t>PROJETS DE DÉCISIONS</w:t>
      </w:r>
    </w:p>
    <w:p w:rsidR="002F4C28" w:rsidRPr="002F4C28" w:rsidRDefault="002F4C28" w:rsidP="002F4C28">
      <w:pPr>
        <w:spacing w:after="0" w:line="240" w:lineRule="auto"/>
        <w:jc w:val="both"/>
        <w:rPr>
          <w:rFonts w:cs="Arial"/>
          <w:b/>
          <w:i/>
          <w:lang w:val="fr-FR"/>
        </w:rPr>
      </w:pPr>
    </w:p>
    <w:p w:rsidR="002F4C28" w:rsidRPr="002F4C28" w:rsidRDefault="002F4C28" w:rsidP="002F4C2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sidRPr="002F4C28">
        <w:rPr>
          <w:b/>
          <w:bCs/>
          <w:lang w:val="fr-FR"/>
        </w:rPr>
        <w:t>CONSERVATION DE L’ANGUILLE D’EUROPE</w:t>
      </w:r>
    </w:p>
    <w:p w:rsidR="002F4C28" w:rsidRPr="002F4C28" w:rsidRDefault="002F4C28" w:rsidP="002F4C28">
      <w:pPr>
        <w:spacing w:after="0" w:line="240" w:lineRule="auto"/>
        <w:ind w:firstLine="720"/>
        <w:rPr>
          <w:rFonts w:cs="Arial"/>
          <w:i/>
          <w:lang w:val="fr-FR"/>
        </w:rPr>
      </w:pPr>
    </w:p>
    <w:p w:rsidR="002F4C28" w:rsidRPr="002E1876" w:rsidRDefault="009B631C" w:rsidP="002F4C28">
      <w:pPr>
        <w:spacing w:after="0" w:line="240" w:lineRule="auto"/>
        <w:jc w:val="both"/>
        <w:rPr>
          <w:b/>
          <w:i/>
          <w:lang w:val="fr-FR"/>
        </w:rPr>
      </w:pPr>
      <w:r w:rsidRPr="002E1876">
        <w:rPr>
          <w:b/>
          <w:i/>
          <w:lang w:val="fr-FR"/>
        </w:rPr>
        <w:t>Adressé aux</w:t>
      </w:r>
      <w:r w:rsidR="002F4C28" w:rsidRPr="002E1876">
        <w:rPr>
          <w:b/>
          <w:i/>
          <w:lang w:val="fr-FR"/>
        </w:rPr>
        <w:t xml:space="preserve"> Parties qui sont des États de l’aire de répartition de l’anguille d’Europe :</w:t>
      </w:r>
    </w:p>
    <w:p w:rsidR="002F4C28" w:rsidRPr="002F4C28" w:rsidRDefault="002F4C28" w:rsidP="002F4C28">
      <w:pPr>
        <w:spacing w:after="0" w:line="240" w:lineRule="auto"/>
        <w:jc w:val="both"/>
        <w:rPr>
          <w:b/>
          <w:lang w:val="fr-FR"/>
        </w:rPr>
      </w:pPr>
    </w:p>
    <w:p w:rsidR="002F4C28" w:rsidRDefault="002F4C28" w:rsidP="00602741">
      <w:pPr>
        <w:spacing w:after="0" w:line="240" w:lineRule="auto"/>
        <w:ind w:left="851" w:hanging="851"/>
        <w:jc w:val="both"/>
        <w:rPr>
          <w:lang w:val="fr-FR"/>
        </w:rPr>
      </w:pPr>
      <w:r w:rsidRPr="002F4C28">
        <w:rPr>
          <w:lang w:val="fr-FR"/>
        </w:rPr>
        <w:t>13.AA</w:t>
      </w:r>
      <w:r w:rsidRPr="002F4C28">
        <w:rPr>
          <w:lang w:val="fr-FR"/>
        </w:rPr>
        <w:tab/>
        <w:t>Les Parties qui sont des États de l’aire de répartition de l’anguille d’Europe sont instamment priées de :</w:t>
      </w:r>
    </w:p>
    <w:p w:rsidR="002F4C28" w:rsidRPr="002F4C28" w:rsidRDefault="002F4C28" w:rsidP="00602741">
      <w:pPr>
        <w:spacing w:after="0" w:line="240" w:lineRule="auto"/>
        <w:ind w:left="851" w:hanging="851"/>
        <w:jc w:val="both"/>
        <w:rPr>
          <w:lang w:val="fr-FR"/>
        </w:rPr>
      </w:pPr>
    </w:p>
    <w:p w:rsidR="002F4C28" w:rsidRPr="002F4C28" w:rsidRDefault="002F4C28" w:rsidP="00602741">
      <w:pPr>
        <w:pStyle w:val="ListParagraph"/>
        <w:numPr>
          <w:ilvl w:val="0"/>
          <w:numId w:val="20"/>
        </w:numPr>
        <w:spacing w:after="0" w:line="240" w:lineRule="auto"/>
        <w:ind w:left="1134" w:hanging="425"/>
        <w:jc w:val="both"/>
        <w:rPr>
          <w:rFonts w:cs="Arial"/>
          <w:lang w:val="fr-FR"/>
        </w:rPr>
      </w:pPr>
      <w:r w:rsidRPr="002F4C28">
        <w:rPr>
          <w:lang w:val="fr-FR"/>
        </w:rPr>
        <w:t>donner des orientations au Secrétariat sur la structure et la portée du projet de Plan d’action pour l’anguille d’Europe (</w:t>
      </w:r>
      <w:r w:rsidRPr="002F4C28">
        <w:rPr>
          <w:i/>
          <w:iCs/>
          <w:lang w:val="fr-FR"/>
        </w:rPr>
        <w:t xml:space="preserve">Anguilla </w:t>
      </w:r>
      <w:proofErr w:type="spellStart"/>
      <w:r w:rsidRPr="002F4C28">
        <w:rPr>
          <w:i/>
          <w:iCs/>
          <w:lang w:val="fr-FR"/>
        </w:rPr>
        <w:t>anguilla</w:t>
      </w:r>
      <w:proofErr w:type="spellEnd"/>
      <w:r w:rsidRPr="002F4C28">
        <w:rPr>
          <w:lang w:val="fr-FR"/>
        </w:rPr>
        <w:t>) d’ici le 31 mai 2020, afin qu’une ébauche puisse être préparée, diffusée et finalisée à temps pour soumission au Comité permanent à sa 51</w:t>
      </w:r>
      <w:r w:rsidRPr="002F4C28">
        <w:rPr>
          <w:vertAlign w:val="superscript"/>
          <w:lang w:val="fr-FR"/>
        </w:rPr>
        <w:t>ème</w:t>
      </w:r>
      <w:r w:rsidRPr="002F4C28">
        <w:rPr>
          <w:lang w:val="fr-FR"/>
        </w:rPr>
        <w:t xml:space="preserve"> ou 52</w:t>
      </w:r>
      <w:r w:rsidRPr="002F4C28">
        <w:rPr>
          <w:vertAlign w:val="superscript"/>
          <w:lang w:val="fr-FR"/>
        </w:rPr>
        <w:t>ème</w:t>
      </w:r>
      <w:r w:rsidRPr="002F4C28">
        <w:rPr>
          <w:lang w:val="fr-FR"/>
        </w:rPr>
        <w:t> réunion ;</w:t>
      </w:r>
    </w:p>
    <w:p w:rsidR="002F4C28" w:rsidRPr="002079A1" w:rsidRDefault="002F4C28" w:rsidP="00602741">
      <w:pPr>
        <w:pStyle w:val="ListParagraph"/>
        <w:spacing w:after="0" w:line="240" w:lineRule="auto"/>
        <w:ind w:left="1134" w:hanging="425"/>
        <w:jc w:val="both"/>
        <w:rPr>
          <w:rFonts w:cs="Arial"/>
          <w:lang w:val="fr-FR"/>
        </w:rPr>
      </w:pPr>
    </w:p>
    <w:p w:rsidR="002F4C28" w:rsidRPr="002F4C28" w:rsidRDefault="002F4C28" w:rsidP="00602741">
      <w:pPr>
        <w:pStyle w:val="ListParagraph"/>
        <w:numPr>
          <w:ilvl w:val="0"/>
          <w:numId w:val="20"/>
        </w:numPr>
        <w:spacing w:after="0" w:line="240" w:lineRule="auto"/>
        <w:ind w:left="1134" w:hanging="425"/>
        <w:jc w:val="both"/>
        <w:rPr>
          <w:rFonts w:cs="Arial"/>
          <w:lang w:val="fr-FR"/>
        </w:rPr>
      </w:pPr>
      <w:r w:rsidRPr="002F4C28">
        <w:rPr>
          <w:lang w:val="fr-FR"/>
        </w:rPr>
        <w:t>fournir des fonds pour l’élaboration du Plan, ainsi que pour la convocation d’une réunion des États de l’aire de répartition pour le finaliser.</w:t>
      </w:r>
    </w:p>
    <w:p w:rsidR="002F4C28" w:rsidRPr="002F4C28" w:rsidRDefault="002F4C28" w:rsidP="00602741">
      <w:pPr>
        <w:pStyle w:val="ListParagraph"/>
        <w:spacing w:after="0" w:line="240" w:lineRule="auto"/>
        <w:jc w:val="both"/>
        <w:rPr>
          <w:rFonts w:cs="Arial"/>
          <w:lang w:val="fr-FR"/>
        </w:rPr>
      </w:pPr>
    </w:p>
    <w:p w:rsidR="002F4C28" w:rsidRPr="002E1876" w:rsidRDefault="009B631C" w:rsidP="00602741">
      <w:pPr>
        <w:spacing w:after="0" w:line="240" w:lineRule="auto"/>
        <w:jc w:val="both"/>
        <w:rPr>
          <w:b/>
          <w:i/>
          <w:lang w:val="fr-FR"/>
        </w:rPr>
      </w:pPr>
      <w:r w:rsidRPr="002E1876">
        <w:rPr>
          <w:b/>
          <w:i/>
          <w:lang w:val="fr-FR"/>
        </w:rPr>
        <w:t>Adressé</w:t>
      </w:r>
      <w:r w:rsidR="00DE6EE2" w:rsidRPr="002E1876">
        <w:rPr>
          <w:b/>
          <w:i/>
          <w:lang w:val="fr-FR"/>
        </w:rPr>
        <w:t xml:space="preserve"> au</w:t>
      </w:r>
      <w:r w:rsidR="002F4C28" w:rsidRPr="002E1876">
        <w:rPr>
          <w:b/>
          <w:i/>
          <w:lang w:val="fr-FR"/>
        </w:rPr>
        <w:t xml:space="preserve"> Comité permanent</w:t>
      </w:r>
    </w:p>
    <w:p w:rsidR="00602741" w:rsidRPr="002F4C28" w:rsidRDefault="00602741" w:rsidP="00602741">
      <w:pPr>
        <w:spacing w:after="0" w:line="240" w:lineRule="auto"/>
        <w:jc w:val="both"/>
        <w:rPr>
          <w:rFonts w:cs="Arial"/>
          <w:b/>
          <w:lang w:val="fr-FR"/>
        </w:rPr>
      </w:pPr>
    </w:p>
    <w:p w:rsidR="002F4C28" w:rsidRPr="002F4C28" w:rsidRDefault="002F4C28" w:rsidP="00602741">
      <w:pPr>
        <w:spacing w:after="0" w:line="240" w:lineRule="auto"/>
        <w:ind w:left="851" w:hanging="851"/>
        <w:jc w:val="both"/>
        <w:rPr>
          <w:rFonts w:cs="Arial"/>
          <w:lang w:val="fr-FR"/>
        </w:rPr>
      </w:pPr>
      <w:r w:rsidRPr="002F4C28">
        <w:rPr>
          <w:lang w:val="fr-FR"/>
        </w:rPr>
        <w:t>13.BB</w:t>
      </w:r>
      <w:r w:rsidRPr="002F4C28">
        <w:rPr>
          <w:lang w:val="fr-FR"/>
        </w:rPr>
        <w:tab/>
        <w:t>Prier le Comité permanent d’adopter le Plan d’action si celui-ci est soumis à sa 51</w:t>
      </w:r>
      <w:r w:rsidRPr="002F4C28">
        <w:rPr>
          <w:vertAlign w:val="superscript"/>
          <w:lang w:val="fr-FR"/>
        </w:rPr>
        <w:t>ème</w:t>
      </w:r>
      <w:r w:rsidRPr="002F4C28">
        <w:rPr>
          <w:lang w:val="fr-FR"/>
        </w:rPr>
        <w:t xml:space="preserve"> ou 52</w:t>
      </w:r>
      <w:r w:rsidRPr="002F4C28">
        <w:rPr>
          <w:vertAlign w:val="superscript"/>
          <w:lang w:val="fr-FR"/>
        </w:rPr>
        <w:t>ème</w:t>
      </w:r>
      <w:r w:rsidRPr="002F4C28">
        <w:rPr>
          <w:lang w:val="fr-FR"/>
        </w:rPr>
        <w:t xml:space="preserve"> réunion.</w:t>
      </w:r>
    </w:p>
    <w:p w:rsidR="002F4C28" w:rsidRPr="002079A1" w:rsidRDefault="002F4C28" w:rsidP="00602741">
      <w:pPr>
        <w:spacing w:after="0" w:line="240" w:lineRule="auto"/>
        <w:jc w:val="both"/>
        <w:rPr>
          <w:rFonts w:cs="Arial"/>
          <w:lang w:val="fr-FR"/>
        </w:rPr>
      </w:pPr>
    </w:p>
    <w:p w:rsidR="002F4C28" w:rsidRPr="002E1876" w:rsidRDefault="00DE6EE2" w:rsidP="00602741">
      <w:pPr>
        <w:spacing w:after="0" w:line="240" w:lineRule="auto"/>
        <w:jc w:val="both"/>
        <w:rPr>
          <w:b/>
          <w:i/>
          <w:lang w:val="fr-FR"/>
        </w:rPr>
      </w:pPr>
      <w:r w:rsidRPr="002E1876">
        <w:rPr>
          <w:b/>
          <w:i/>
          <w:lang w:val="fr-FR"/>
        </w:rPr>
        <w:t>Adressé</w:t>
      </w:r>
      <w:r w:rsidR="002F4C28" w:rsidRPr="002E1876">
        <w:rPr>
          <w:b/>
          <w:i/>
          <w:lang w:val="fr-FR"/>
        </w:rPr>
        <w:t xml:space="preserve"> </w:t>
      </w:r>
      <w:r w:rsidRPr="002E1876">
        <w:rPr>
          <w:b/>
          <w:i/>
          <w:lang w:val="fr-FR"/>
        </w:rPr>
        <w:t xml:space="preserve">aux </w:t>
      </w:r>
      <w:r w:rsidR="002F4C28" w:rsidRPr="002E1876">
        <w:rPr>
          <w:b/>
          <w:i/>
          <w:lang w:val="fr-FR"/>
        </w:rPr>
        <w:t xml:space="preserve">organisations intergouvernementales et </w:t>
      </w:r>
      <w:r w:rsidRPr="002E1876">
        <w:rPr>
          <w:b/>
          <w:i/>
          <w:lang w:val="fr-FR"/>
        </w:rPr>
        <w:t xml:space="preserve">aux </w:t>
      </w:r>
      <w:r w:rsidR="002F4C28" w:rsidRPr="002E1876">
        <w:rPr>
          <w:b/>
          <w:i/>
          <w:lang w:val="fr-FR"/>
        </w:rPr>
        <w:t>organisations non gouvernementales</w:t>
      </w:r>
    </w:p>
    <w:p w:rsidR="00602741" w:rsidRPr="002F4C28" w:rsidRDefault="00602741" w:rsidP="00602741">
      <w:pPr>
        <w:spacing w:after="0" w:line="240" w:lineRule="auto"/>
        <w:jc w:val="both"/>
        <w:rPr>
          <w:rFonts w:cs="Arial"/>
          <w:b/>
          <w:lang w:val="fr-FR"/>
        </w:rPr>
      </w:pPr>
    </w:p>
    <w:p w:rsidR="002F4C28" w:rsidRDefault="002F4C28" w:rsidP="00602741">
      <w:pPr>
        <w:spacing w:after="0" w:line="240" w:lineRule="auto"/>
        <w:ind w:left="851" w:hanging="851"/>
        <w:jc w:val="both"/>
        <w:rPr>
          <w:lang w:val="fr-FR"/>
        </w:rPr>
      </w:pPr>
      <w:r w:rsidRPr="002F4C28">
        <w:rPr>
          <w:lang w:val="fr-FR"/>
        </w:rPr>
        <w:t>13.CC</w:t>
      </w:r>
      <w:r w:rsidRPr="002F4C28">
        <w:rPr>
          <w:lang w:val="fr-FR"/>
        </w:rPr>
        <w:tab/>
        <w:t>Les organisations intergouvernementales et non gouvernementales sont instamment priées de :</w:t>
      </w:r>
    </w:p>
    <w:p w:rsidR="00602741" w:rsidRPr="002F4C28" w:rsidRDefault="00602741" w:rsidP="00602741">
      <w:pPr>
        <w:spacing w:after="0" w:line="240" w:lineRule="auto"/>
        <w:ind w:left="851" w:hanging="851"/>
        <w:jc w:val="both"/>
        <w:rPr>
          <w:rFonts w:cs="Arial"/>
          <w:lang w:val="fr-FR"/>
        </w:rPr>
      </w:pPr>
    </w:p>
    <w:p w:rsidR="002F4C28" w:rsidRPr="002F4C28" w:rsidRDefault="002F4C28" w:rsidP="00602741">
      <w:pPr>
        <w:pStyle w:val="ListParagraph"/>
        <w:numPr>
          <w:ilvl w:val="0"/>
          <w:numId w:val="22"/>
        </w:numPr>
        <w:spacing w:after="0" w:line="240" w:lineRule="auto"/>
        <w:ind w:left="1134" w:hanging="425"/>
        <w:jc w:val="both"/>
        <w:rPr>
          <w:rFonts w:cs="Arial"/>
          <w:lang w:val="fr-FR"/>
        </w:rPr>
      </w:pPr>
      <w:r w:rsidRPr="002F4C28">
        <w:rPr>
          <w:lang w:val="fr-FR"/>
        </w:rPr>
        <w:t>fournir l’expertise et les fonds pour l’élaboration du Plan, ainsi que pour la convocation d’une réunion des États de l’aire de répartition en vue de finaliser ce plan.</w:t>
      </w:r>
    </w:p>
    <w:p w:rsidR="002F4C28" w:rsidRPr="002079A1" w:rsidRDefault="002F4C28" w:rsidP="00602741">
      <w:pPr>
        <w:spacing w:after="0" w:line="240" w:lineRule="auto"/>
        <w:jc w:val="both"/>
        <w:rPr>
          <w:rFonts w:cs="Arial"/>
          <w:b/>
          <w:i/>
          <w:lang w:val="fr-FR"/>
        </w:rPr>
      </w:pPr>
    </w:p>
    <w:p w:rsidR="002F4C28" w:rsidRPr="002E1876" w:rsidRDefault="00DE6EE2" w:rsidP="00602741">
      <w:pPr>
        <w:spacing w:after="0" w:line="240" w:lineRule="auto"/>
        <w:jc w:val="both"/>
        <w:rPr>
          <w:b/>
          <w:i/>
          <w:lang w:val="fr-FR"/>
        </w:rPr>
      </w:pPr>
      <w:r w:rsidRPr="002E1876">
        <w:rPr>
          <w:b/>
          <w:i/>
          <w:lang w:val="fr-FR"/>
        </w:rPr>
        <w:t>Adressé au</w:t>
      </w:r>
      <w:r w:rsidR="002F4C28" w:rsidRPr="002E1876">
        <w:rPr>
          <w:b/>
          <w:i/>
          <w:lang w:val="fr-FR"/>
        </w:rPr>
        <w:t xml:space="preserve"> Secrétariat</w:t>
      </w:r>
    </w:p>
    <w:p w:rsidR="00602741" w:rsidRPr="002F4C28" w:rsidRDefault="00602741" w:rsidP="00602741">
      <w:pPr>
        <w:spacing w:after="0" w:line="240" w:lineRule="auto"/>
        <w:jc w:val="both"/>
        <w:rPr>
          <w:rFonts w:cs="Arial"/>
          <w:b/>
          <w:lang w:val="fr-FR"/>
        </w:rPr>
      </w:pPr>
    </w:p>
    <w:p w:rsidR="002F4C28" w:rsidRDefault="002F4C28" w:rsidP="00602741">
      <w:pPr>
        <w:spacing w:after="0" w:line="240" w:lineRule="auto"/>
        <w:ind w:left="851" w:hanging="851"/>
        <w:jc w:val="both"/>
        <w:rPr>
          <w:lang w:val="fr-FR"/>
        </w:rPr>
      </w:pPr>
      <w:r w:rsidRPr="002F4C28">
        <w:rPr>
          <w:lang w:val="fr-FR"/>
        </w:rPr>
        <w:t>13.CC</w:t>
      </w:r>
      <w:r w:rsidRPr="002F4C28">
        <w:rPr>
          <w:lang w:val="fr-FR"/>
        </w:rPr>
        <w:tab/>
        <w:t>Le Secrétariat est chargé, sous réserve de la disponibilité des ressources :</w:t>
      </w:r>
    </w:p>
    <w:p w:rsidR="00602741" w:rsidRPr="002F4C28" w:rsidRDefault="00602741" w:rsidP="00602741">
      <w:pPr>
        <w:spacing w:after="0" w:line="240" w:lineRule="auto"/>
        <w:jc w:val="both"/>
        <w:rPr>
          <w:rFonts w:cs="Arial"/>
          <w:lang w:val="fr-FR"/>
        </w:rPr>
      </w:pPr>
    </w:p>
    <w:p w:rsidR="002F4C28" w:rsidRPr="00602741" w:rsidRDefault="002F4C28" w:rsidP="00602741">
      <w:pPr>
        <w:pStyle w:val="ListParagraph"/>
        <w:numPr>
          <w:ilvl w:val="0"/>
          <w:numId w:val="21"/>
        </w:numPr>
        <w:spacing w:after="0" w:line="240" w:lineRule="auto"/>
        <w:ind w:left="1276" w:hanging="425"/>
        <w:jc w:val="both"/>
        <w:rPr>
          <w:rFonts w:cs="Arial"/>
          <w:lang w:val="fr-FR"/>
        </w:rPr>
      </w:pPr>
      <w:r w:rsidRPr="002F4C28">
        <w:rPr>
          <w:lang w:val="fr-FR"/>
        </w:rPr>
        <w:t>d’élaborer un projet de Plan d’action pour l’anguille d’Europe (</w:t>
      </w:r>
      <w:r w:rsidRPr="002F4C28">
        <w:rPr>
          <w:i/>
          <w:iCs/>
          <w:lang w:val="fr-FR"/>
        </w:rPr>
        <w:t xml:space="preserve">Anguilla </w:t>
      </w:r>
      <w:proofErr w:type="spellStart"/>
      <w:r w:rsidRPr="002F4C28">
        <w:rPr>
          <w:i/>
          <w:iCs/>
          <w:lang w:val="fr-FR"/>
        </w:rPr>
        <w:t>anguilla</w:t>
      </w:r>
      <w:proofErr w:type="spellEnd"/>
      <w:r w:rsidRPr="002F4C28">
        <w:rPr>
          <w:lang w:val="fr-FR"/>
        </w:rPr>
        <w:t>) en suivant les orientations fournies par les États Parties de l’aire de répartition ;</w:t>
      </w:r>
    </w:p>
    <w:p w:rsidR="00602741" w:rsidRPr="002F4C28" w:rsidRDefault="00602741" w:rsidP="00602741">
      <w:pPr>
        <w:pStyle w:val="ListParagraph"/>
        <w:spacing w:after="0" w:line="240" w:lineRule="auto"/>
        <w:ind w:left="1276" w:hanging="425"/>
        <w:jc w:val="both"/>
        <w:rPr>
          <w:rFonts w:cs="Arial"/>
          <w:lang w:val="fr-FR"/>
        </w:rPr>
      </w:pPr>
    </w:p>
    <w:p w:rsidR="00602741" w:rsidRPr="00602741" w:rsidRDefault="002F4C28" w:rsidP="00602741">
      <w:pPr>
        <w:pStyle w:val="ListParagraph"/>
        <w:numPr>
          <w:ilvl w:val="0"/>
          <w:numId w:val="21"/>
        </w:numPr>
        <w:spacing w:after="0" w:line="240" w:lineRule="auto"/>
        <w:ind w:left="1276" w:hanging="425"/>
        <w:jc w:val="both"/>
        <w:rPr>
          <w:rFonts w:cs="Arial"/>
          <w:lang w:val="fr-FR"/>
        </w:rPr>
      </w:pPr>
      <w:r w:rsidRPr="002F4C28">
        <w:rPr>
          <w:lang w:val="fr-FR"/>
        </w:rPr>
        <w:t>d’organiser des consultations entre les États de l’aire de répartition et les OIG et ONG concernées sur le projet de Plan d’action, par correspondance et si le financement le permet, en convoquant une autre réunion des États de l’aire de répartition ;</w:t>
      </w:r>
    </w:p>
    <w:p w:rsidR="00602741" w:rsidRPr="00602741" w:rsidRDefault="00602741" w:rsidP="00602741">
      <w:pPr>
        <w:spacing w:after="0" w:line="240" w:lineRule="auto"/>
        <w:ind w:left="1276" w:hanging="425"/>
        <w:jc w:val="both"/>
        <w:rPr>
          <w:rFonts w:cs="Arial"/>
          <w:lang w:val="fr-FR"/>
        </w:rPr>
      </w:pPr>
    </w:p>
    <w:p w:rsidR="002F4C28" w:rsidRPr="002F4C28" w:rsidRDefault="002F4C28" w:rsidP="00602741">
      <w:pPr>
        <w:pStyle w:val="ListParagraph"/>
        <w:numPr>
          <w:ilvl w:val="0"/>
          <w:numId w:val="21"/>
        </w:numPr>
        <w:spacing w:after="0" w:line="240" w:lineRule="auto"/>
        <w:ind w:left="1276" w:hanging="425"/>
        <w:jc w:val="both"/>
        <w:rPr>
          <w:rFonts w:cs="Arial"/>
          <w:lang w:val="fr-FR"/>
        </w:rPr>
      </w:pPr>
      <w:r w:rsidRPr="002F4C28">
        <w:rPr>
          <w:lang w:val="fr-FR"/>
        </w:rPr>
        <w:t>de soumettre le projet de plan au Comité permanent à sa 51</w:t>
      </w:r>
      <w:r w:rsidRPr="002F4C28">
        <w:rPr>
          <w:vertAlign w:val="superscript"/>
          <w:lang w:val="fr-FR"/>
        </w:rPr>
        <w:t>e</w:t>
      </w:r>
      <w:r w:rsidRPr="002F4C28">
        <w:rPr>
          <w:lang w:val="fr-FR"/>
        </w:rPr>
        <w:t xml:space="preserve"> ou 52</w:t>
      </w:r>
      <w:r w:rsidRPr="002F4C28">
        <w:rPr>
          <w:vertAlign w:val="superscript"/>
          <w:lang w:val="fr-FR"/>
        </w:rPr>
        <w:t>e</w:t>
      </w:r>
      <w:r w:rsidRPr="002F4C28">
        <w:rPr>
          <w:lang w:val="fr-FR"/>
        </w:rPr>
        <w:t> réunion pour adoption ou, s’il n’est pas finalisé à temps, à la 14</w:t>
      </w:r>
      <w:r w:rsidRPr="002F4C28">
        <w:rPr>
          <w:vertAlign w:val="superscript"/>
          <w:lang w:val="fr-FR"/>
        </w:rPr>
        <w:t>e</w:t>
      </w:r>
      <w:r w:rsidRPr="002F4C28">
        <w:rPr>
          <w:lang w:val="fr-FR"/>
        </w:rPr>
        <w:t xml:space="preserve"> session de la Conférence des Parties.</w:t>
      </w:r>
    </w:p>
    <w:p w:rsidR="002F4C28" w:rsidRPr="0005300F" w:rsidRDefault="002F4C28" w:rsidP="002F4C28">
      <w:pPr>
        <w:spacing w:after="0" w:line="240" w:lineRule="auto"/>
        <w:jc w:val="right"/>
        <w:rPr>
          <w:rFonts w:cs="Arial"/>
          <w:lang w:val="fr-FR"/>
        </w:rPr>
      </w:pPr>
    </w:p>
    <w:sectPr w:rsidR="002F4C28" w:rsidRPr="0005300F" w:rsidSect="00D95B16">
      <w:headerReference w:type="even" r:id="rId25"/>
      <w:headerReference w:type="default" r:id="rId26"/>
      <w:footerReference w:type="even" r:id="rId27"/>
      <w:footerReference w:type="default" r:id="rId28"/>
      <w:headerReference w:type="first" r:id="rId29"/>
      <w:footerReference w:type="first" r:id="rId30"/>
      <w:pgSz w:w="11906" w:h="16838" w:code="9"/>
      <w:pgMar w:top="1440" w:right="113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41" w:rsidRDefault="00602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99257"/>
      <w:docPartObj>
        <w:docPartGallery w:val="Page Numbers (Bottom of Page)"/>
        <w:docPartUnique/>
      </w:docPartObj>
    </w:sdtPr>
    <w:sdtEndPr>
      <w:rPr>
        <w:noProof/>
        <w:sz w:val="18"/>
        <w:szCs w:val="18"/>
      </w:rPr>
    </w:sdtEndPr>
    <w:sdtContent>
      <w:p w:rsidR="00602741" w:rsidRPr="00602741" w:rsidRDefault="00602741">
        <w:pPr>
          <w:pStyle w:val="Footer"/>
          <w:jc w:val="center"/>
          <w:rPr>
            <w:sz w:val="18"/>
            <w:szCs w:val="18"/>
          </w:rPr>
        </w:pPr>
        <w:r w:rsidRPr="00602741">
          <w:rPr>
            <w:sz w:val="18"/>
            <w:szCs w:val="18"/>
          </w:rPr>
          <w:fldChar w:fldCharType="begin"/>
        </w:r>
        <w:r w:rsidRPr="00602741">
          <w:rPr>
            <w:sz w:val="18"/>
            <w:szCs w:val="18"/>
          </w:rPr>
          <w:instrText xml:space="preserve"> PAGE   \* MERGEFORMAT </w:instrText>
        </w:r>
        <w:r w:rsidRPr="00602741">
          <w:rPr>
            <w:sz w:val="18"/>
            <w:szCs w:val="18"/>
          </w:rPr>
          <w:fldChar w:fldCharType="separate"/>
        </w:r>
        <w:r w:rsidRPr="00602741">
          <w:rPr>
            <w:noProof/>
            <w:sz w:val="18"/>
            <w:szCs w:val="18"/>
          </w:rPr>
          <w:t>2</w:t>
        </w:r>
        <w:r w:rsidRPr="00602741">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21836"/>
      <w:docPartObj>
        <w:docPartGallery w:val="Page Numbers (Bottom of Page)"/>
        <w:docPartUnique/>
      </w:docPartObj>
    </w:sdtPr>
    <w:sdtEndPr>
      <w:rPr>
        <w:noProof/>
        <w:sz w:val="18"/>
        <w:szCs w:val="18"/>
      </w:rPr>
    </w:sdtEndPr>
    <w:sdtContent>
      <w:p w:rsidR="002E0DE9" w:rsidRPr="002E0DE9" w:rsidRDefault="00602741">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8</w:t>
        </w:r>
        <w:r w:rsidRPr="002E0DE9">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58" w:rsidRDefault="00DC68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05053"/>
      <w:docPartObj>
        <w:docPartGallery w:val="Page Numbers (Bottom of Page)"/>
        <w:docPartUnique/>
      </w:docPartObj>
    </w:sdtPr>
    <w:sdtEndPr>
      <w:rPr>
        <w:noProof/>
        <w:sz w:val="18"/>
        <w:szCs w:val="18"/>
      </w:rPr>
    </w:sdtEndPr>
    <w:sdtContent>
      <w:p w:rsidR="00602741" w:rsidRPr="00602741" w:rsidRDefault="00602741">
        <w:pPr>
          <w:pStyle w:val="Footer"/>
          <w:jc w:val="center"/>
          <w:rPr>
            <w:sz w:val="18"/>
            <w:szCs w:val="18"/>
          </w:rPr>
        </w:pPr>
        <w:r w:rsidRPr="00602741">
          <w:rPr>
            <w:sz w:val="18"/>
            <w:szCs w:val="18"/>
          </w:rPr>
          <w:fldChar w:fldCharType="begin"/>
        </w:r>
        <w:r w:rsidRPr="00602741">
          <w:rPr>
            <w:sz w:val="18"/>
            <w:szCs w:val="18"/>
          </w:rPr>
          <w:instrText xml:space="preserve"> PAGE   \* MERGEFORMAT </w:instrText>
        </w:r>
        <w:r w:rsidRPr="00602741">
          <w:rPr>
            <w:sz w:val="18"/>
            <w:szCs w:val="18"/>
          </w:rPr>
          <w:fldChar w:fldCharType="separate"/>
        </w:r>
        <w:r w:rsidRPr="00602741">
          <w:rPr>
            <w:noProof/>
            <w:sz w:val="18"/>
            <w:szCs w:val="18"/>
          </w:rPr>
          <w:t>2</w:t>
        </w:r>
        <w:r w:rsidRPr="0060274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05300F" w:rsidRPr="006F556C" w:rsidRDefault="0005300F" w:rsidP="0005300F">
      <w:pPr>
        <w:pStyle w:val="FootnoteText"/>
        <w:rPr>
          <w:rFonts w:cs="Arial"/>
          <w:sz w:val="16"/>
          <w:szCs w:val="16"/>
        </w:rPr>
      </w:pPr>
      <w:r w:rsidRPr="006F556C">
        <w:rPr>
          <w:rStyle w:val="FootnoteReference"/>
          <w:rFonts w:cs="Arial"/>
          <w:sz w:val="16"/>
          <w:szCs w:val="16"/>
        </w:rPr>
        <w:footnoteRef/>
      </w:r>
      <w:r w:rsidRPr="006F556C">
        <w:rPr>
          <w:rFonts w:cs="Arial"/>
          <w:sz w:val="16"/>
          <w:szCs w:val="16"/>
        </w:rPr>
        <w:t xml:space="preserve"> </w:t>
      </w:r>
      <w:hyperlink r:id="rId1" w:history="1">
        <w:r w:rsidRPr="006F556C">
          <w:rPr>
            <w:rStyle w:val="Hyperlink"/>
            <w:rFonts w:cs="Arial"/>
            <w:sz w:val="16"/>
            <w:szCs w:val="16"/>
          </w:rPr>
          <w:t>https://www.cms.int/en/document/outcomes-meeting</w:t>
        </w:r>
      </w:hyperlink>
      <w:r w:rsidRPr="006F556C">
        <w:rPr>
          <w:rFonts w:cs="Arial"/>
          <w:sz w:val="16"/>
          <w:szCs w:val="16"/>
        </w:rPr>
        <w:t xml:space="preserve"> </w:t>
      </w:r>
    </w:p>
  </w:footnote>
  <w:footnote w:id="2">
    <w:p w:rsidR="0005300F" w:rsidRPr="006F556C" w:rsidRDefault="0005300F" w:rsidP="0005300F">
      <w:pPr>
        <w:spacing w:after="0" w:line="240" w:lineRule="auto"/>
        <w:rPr>
          <w:rFonts w:cs="Arial"/>
          <w:sz w:val="16"/>
          <w:szCs w:val="16"/>
          <w:lang w:val="fr-FR"/>
        </w:rPr>
      </w:pPr>
      <w:r w:rsidRPr="006F556C">
        <w:rPr>
          <w:rStyle w:val="FootnoteReference"/>
          <w:rFonts w:cs="Arial"/>
          <w:sz w:val="16"/>
          <w:szCs w:val="16"/>
        </w:rPr>
        <w:footnoteRef/>
      </w:r>
      <w:r w:rsidRPr="006F556C">
        <w:rPr>
          <w:rFonts w:cs="Arial"/>
          <w:sz w:val="16"/>
          <w:szCs w:val="16"/>
          <w:lang w:val="fr-FR"/>
        </w:rPr>
        <w:t xml:space="preserve"> </w:t>
      </w:r>
      <w:hyperlink r:id="rId2" w:history="1">
        <w:r w:rsidRPr="006F556C">
          <w:rPr>
            <w:rStyle w:val="Hyperlink"/>
            <w:rFonts w:cs="Arial"/>
            <w:sz w:val="16"/>
            <w:szCs w:val="16"/>
            <w:lang w:val="fr-FR"/>
          </w:rPr>
          <w:t>Plan d’action par espèce pour la tortue caouanne (</w:t>
        </w:r>
        <w:proofErr w:type="spellStart"/>
        <w:r w:rsidRPr="006F556C">
          <w:rPr>
            <w:rStyle w:val="Hyperlink"/>
            <w:rFonts w:cs="Arial"/>
            <w:i/>
            <w:iCs/>
            <w:sz w:val="16"/>
            <w:szCs w:val="16"/>
            <w:lang w:val="fr-FR"/>
          </w:rPr>
          <w:t>caretta</w:t>
        </w:r>
        <w:proofErr w:type="spellEnd"/>
        <w:r w:rsidRPr="006F556C">
          <w:rPr>
            <w:rStyle w:val="Hyperlink"/>
            <w:rFonts w:cs="Arial"/>
            <w:i/>
            <w:iCs/>
            <w:sz w:val="16"/>
            <w:szCs w:val="16"/>
            <w:lang w:val="fr-FR"/>
          </w:rPr>
          <w:t xml:space="preserve"> </w:t>
        </w:r>
        <w:proofErr w:type="spellStart"/>
        <w:r w:rsidRPr="006F556C">
          <w:rPr>
            <w:rStyle w:val="Hyperlink"/>
            <w:rFonts w:cs="Arial"/>
            <w:i/>
            <w:iCs/>
            <w:sz w:val="16"/>
            <w:szCs w:val="16"/>
            <w:lang w:val="fr-FR"/>
          </w:rPr>
          <w:t>caretta</w:t>
        </w:r>
        <w:proofErr w:type="spellEnd"/>
        <w:r w:rsidRPr="006F556C">
          <w:rPr>
            <w:rStyle w:val="Hyperlink"/>
            <w:rFonts w:cs="Arial"/>
            <w:sz w:val="16"/>
            <w:szCs w:val="16"/>
            <w:lang w:val="fr-FR"/>
          </w:rPr>
          <w:t>) dans l’océan Pacifique Sud</w:t>
        </w:r>
      </w:hyperlink>
    </w:p>
  </w:footnote>
  <w:footnote w:id="3">
    <w:p w:rsidR="0005300F" w:rsidRPr="006F556C" w:rsidRDefault="002E1876" w:rsidP="0005300F">
      <w:pPr>
        <w:pStyle w:val="Heading1"/>
        <w:shd w:val="clear" w:color="auto" w:fill="FFFFFF"/>
        <w:spacing w:before="0"/>
        <w:rPr>
          <w:rFonts w:ascii="Arial" w:hAnsi="Arial" w:cs="Arial"/>
          <w:sz w:val="16"/>
          <w:szCs w:val="16"/>
          <w:lang w:val="fr-FR"/>
        </w:rPr>
      </w:pPr>
      <w:hyperlink r:id="rId3" w:history="1">
        <w:r w:rsidR="0005300F" w:rsidRPr="006F556C">
          <w:rPr>
            <w:rStyle w:val="Hyperlink"/>
            <w:rFonts w:ascii="Arial" w:hAnsi="Arial" w:cs="Arial"/>
            <w:sz w:val="16"/>
            <w:szCs w:val="16"/>
            <w:vertAlign w:val="superscript"/>
          </w:rPr>
          <w:footnoteRef/>
        </w:r>
        <w:r w:rsidR="0005300F" w:rsidRPr="006F556C">
          <w:rPr>
            <w:rStyle w:val="Hyperlink"/>
            <w:rFonts w:ascii="Arial" w:hAnsi="Arial" w:cs="Arial"/>
            <w:sz w:val="16"/>
            <w:szCs w:val="16"/>
            <w:lang w:val="fr-FR"/>
          </w:rPr>
          <w:t xml:space="preserve"> Plan d’action multi-espèces pour conserver les vautours d’Afrique-Eurasie</w:t>
        </w:r>
      </w:hyperlink>
    </w:p>
  </w:footnote>
  <w:footnote w:id="4">
    <w:p w:rsidR="0005300F" w:rsidRPr="006F556C" w:rsidRDefault="0005300F" w:rsidP="0005300F">
      <w:pPr>
        <w:spacing w:after="0" w:line="240" w:lineRule="auto"/>
        <w:rPr>
          <w:rFonts w:cs="Arial"/>
          <w:b/>
          <w:sz w:val="16"/>
          <w:szCs w:val="16"/>
          <w:lang w:val="fr-FR"/>
        </w:rPr>
      </w:pPr>
      <w:r w:rsidRPr="006F556C">
        <w:rPr>
          <w:rStyle w:val="FootnoteReference"/>
          <w:rFonts w:cs="Arial"/>
          <w:sz w:val="16"/>
          <w:szCs w:val="16"/>
        </w:rPr>
        <w:footnoteRef/>
      </w:r>
      <w:r w:rsidRPr="006F556C">
        <w:rPr>
          <w:rFonts w:cs="Arial"/>
          <w:sz w:val="16"/>
          <w:szCs w:val="16"/>
          <w:lang w:val="fr-FR"/>
        </w:rPr>
        <w:t xml:space="preserve"> </w:t>
      </w:r>
      <w:hyperlink r:id="rId4" w:history="1">
        <w:r w:rsidRPr="006F556C">
          <w:rPr>
            <w:rStyle w:val="Hyperlink"/>
            <w:rFonts w:cs="Arial"/>
            <w:sz w:val="16"/>
            <w:szCs w:val="16"/>
            <w:lang w:val="fr-FR"/>
          </w:rPr>
          <w:t>Plan d’action international par espèce pour la conservation de l’argali</w:t>
        </w:r>
      </w:hyperlink>
    </w:p>
  </w:footnote>
  <w:footnote w:id="5">
    <w:p w:rsidR="0005300F" w:rsidRPr="006F556C" w:rsidRDefault="002E1876" w:rsidP="0005300F">
      <w:pPr>
        <w:spacing w:after="0" w:line="240" w:lineRule="auto"/>
        <w:rPr>
          <w:rFonts w:cs="Arial"/>
          <w:sz w:val="16"/>
          <w:szCs w:val="16"/>
          <w:u w:val="single"/>
          <w:lang w:val="fr-FR"/>
        </w:rPr>
      </w:pPr>
      <w:hyperlink r:id="rId5" w:history="1">
        <w:r w:rsidR="0005300F" w:rsidRPr="006F556C">
          <w:rPr>
            <w:rStyle w:val="Hyperlink"/>
            <w:rFonts w:cs="Arial"/>
            <w:sz w:val="16"/>
            <w:szCs w:val="16"/>
            <w:vertAlign w:val="superscript"/>
          </w:rPr>
          <w:footnoteRef/>
        </w:r>
        <w:r w:rsidR="0005300F" w:rsidRPr="006F556C">
          <w:rPr>
            <w:rStyle w:val="Hyperlink"/>
            <w:rFonts w:cs="Arial"/>
            <w:sz w:val="16"/>
            <w:szCs w:val="16"/>
            <w:lang w:val="fr-FR"/>
          </w:rPr>
          <w:t xml:space="preserve"> Plan de conservation ACCOBAMS pour le dauphin commun dans l’est de l’Atlantique Nord</w:t>
        </w:r>
      </w:hyperlink>
    </w:p>
  </w:footnote>
  <w:footnote w:id="6">
    <w:p w:rsidR="0005300F" w:rsidRPr="006F556C" w:rsidRDefault="0005300F" w:rsidP="0005300F">
      <w:pPr>
        <w:pStyle w:val="FootnoteText"/>
        <w:rPr>
          <w:rFonts w:cs="Arial"/>
          <w:sz w:val="16"/>
          <w:szCs w:val="16"/>
          <w:lang w:val="fr-FR"/>
        </w:rPr>
      </w:pPr>
      <w:r w:rsidRPr="006F556C">
        <w:rPr>
          <w:rStyle w:val="FootnoteReference"/>
          <w:rFonts w:cs="Arial"/>
          <w:sz w:val="16"/>
          <w:szCs w:val="16"/>
        </w:rPr>
        <w:footnoteRef/>
      </w:r>
      <w:r w:rsidRPr="006F556C">
        <w:rPr>
          <w:rFonts w:cs="Arial"/>
          <w:sz w:val="16"/>
          <w:szCs w:val="16"/>
          <w:lang w:val="fr-FR"/>
        </w:rPr>
        <w:t xml:space="preserve"> </w:t>
      </w:r>
      <w:hyperlink r:id="rId6" w:history="1">
        <w:r w:rsidRPr="006F556C">
          <w:rPr>
            <w:rStyle w:val="Hyperlink"/>
            <w:rFonts w:cs="Arial"/>
            <w:sz w:val="16"/>
            <w:szCs w:val="16"/>
            <w:lang w:val="fr-FR"/>
          </w:rPr>
          <w:t>Plan de conservation du Mémorandum d’Entente sur la conservation des requins migrateurs</w:t>
        </w:r>
      </w:hyperlink>
    </w:p>
  </w:footnote>
  <w:footnote w:id="7">
    <w:p w:rsidR="0005300F" w:rsidRPr="006F556C" w:rsidRDefault="0005300F" w:rsidP="0005300F">
      <w:pPr>
        <w:pStyle w:val="FootnoteText"/>
        <w:rPr>
          <w:rFonts w:cs="Arial"/>
          <w:sz w:val="16"/>
          <w:szCs w:val="16"/>
          <w:lang w:val="fr-FR"/>
        </w:rPr>
      </w:pPr>
      <w:r w:rsidRPr="006F556C">
        <w:rPr>
          <w:rStyle w:val="FootnoteReference"/>
          <w:rFonts w:cs="Arial"/>
          <w:sz w:val="16"/>
          <w:szCs w:val="16"/>
        </w:rPr>
        <w:footnoteRef/>
      </w:r>
      <w:r w:rsidRPr="006F556C">
        <w:rPr>
          <w:rFonts w:cs="Arial"/>
          <w:sz w:val="16"/>
          <w:szCs w:val="16"/>
          <w:lang w:val="fr-FR"/>
        </w:rPr>
        <w:t xml:space="preserve"> </w:t>
      </w:r>
      <w:hyperlink r:id="rId7" w:history="1">
        <w:r w:rsidRPr="006F556C">
          <w:rPr>
            <w:rStyle w:val="Hyperlink"/>
            <w:rFonts w:cs="Arial"/>
            <w:sz w:val="16"/>
            <w:szCs w:val="16"/>
            <w:lang w:val="fr-FR"/>
          </w:rPr>
          <w:t>Plan d’action pour le rollier d’Europe</w:t>
        </w:r>
      </w:hyperlink>
    </w:p>
  </w:footnote>
  <w:footnote w:id="8">
    <w:p w:rsidR="0005300F" w:rsidRPr="006F556C" w:rsidRDefault="0005300F" w:rsidP="0005300F">
      <w:pPr>
        <w:pStyle w:val="FootnoteText"/>
        <w:rPr>
          <w:rFonts w:cs="Arial"/>
          <w:sz w:val="16"/>
          <w:szCs w:val="16"/>
          <w:lang w:val="fr-FR"/>
        </w:rPr>
      </w:pPr>
      <w:r w:rsidRPr="006F556C">
        <w:rPr>
          <w:rStyle w:val="FootnoteReference"/>
          <w:rFonts w:cs="Arial"/>
          <w:sz w:val="16"/>
          <w:szCs w:val="16"/>
        </w:rPr>
        <w:footnoteRef/>
      </w:r>
      <w:r w:rsidRPr="006F556C">
        <w:rPr>
          <w:rFonts w:cs="Arial"/>
          <w:sz w:val="16"/>
          <w:szCs w:val="16"/>
          <w:lang w:val="fr-FR"/>
        </w:rPr>
        <w:t xml:space="preserve"> </w:t>
      </w:r>
      <w:hyperlink r:id="rId8" w:history="1">
        <w:r w:rsidRPr="006F556C">
          <w:rPr>
            <w:rStyle w:val="Hyperlink"/>
            <w:rFonts w:cs="Arial"/>
            <w:sz w:val="16"/>
            <w:szCs w:val="16"/>
            <w:lang w:val="fr-FR"/>
          </w:rPr>
          <w:t>Plans d’action pour les oiseaux</w:t>
        </w:r>
      </w:hyperlink>
      <w:r w:rsidRPr="006F556C">
        <w:rPr>
          <w:rFonts w:cs="Arial"/>
          <w:sz w:val="16"/>
          <w:szCs w:val="16"/>
          <w:lang w:val="fr-FR"/>
        </w:rPr>
        <w:t xml:space="preserve"> </w:t>
      </w:r>
    </w:p>
  </w:footnote>
  <w:footnote w:id="9">
    <w:p w:rsidR="002F4C28" w:rsidRPr="002F4C28" w:rsidRDefault="002F4C28" w:rsidP="002F4C28">
      <w:pPr>
        <w:pStyle w:val="FootnoteText"/>
        <w:rPr>
          <w:lang w:val="fr-FR"/>
        </w:rPr>
      </w:pPr>
      <w:r>
        <w:rPr>
          <w:rStyle w:val="FootnoteReference"/>
        </w:rPr>
        <w:footnoteRef/>
      </w:r>
      <w:r w:rsidRPr="002F4C28">
        <w:rPr>
          <w:lang w:val="fr-FR"/>
        </w:rPr>
        <w:t xml:space="preserve"> </w:t>
      </w:r>
      <w:r w:rsidRPr="002F4C28">
        <w:rPr>
          <w:sz w:val="16"/>
          <w:szCs w:val="16"/>
          <w:lang w:val="fr-FR"/>
        </w:rPr>
        <w:t xml:space="preserve">Restructuration de l’Annexe 3 du </w:t>
      </w:r>
      <w:hyperlink r:id="rId9" w:history="1">
        <w:r w:rsidRPr="002F4C28">
          <w:rPr>
            <w:rStyle w:val="Hyperlink"/>
            <w:sz w:val="16"/>
            <w:szCs w:val="16"/>
            <w:lang w:val="fr-FR"/>
          </w:rPr>
          <w:t>Rapport</w:t>
        </w:r>
      </w:hyperlink>
      <w:r w:rsidRPr="002F4C28">
        <w:rPr>
          <w:sz w:val="16"/>
          <w:szCs w:val="16"/>
          <w:lang w:val="fr-FR"/>
        </w:rPr>
        <w:t xml:space="preserve"> de la Troisième Réunion des États de l’aire de répartition à l’anguille d’Europe, tenue les 25 et 26 juin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05300F">
      <w:rPr>
        <w:rFonts w:eastAsia="Arial" w:cs="Arial"/>
        <w:i/>
        <w:sz w:val="18"/>
        <w:szCs w:val="18"/>
        <w:lang w:val="fr-FR"/>
      </w:rPr>
      <w:t>26.2.9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28" w:rsidRPr="00602741" w:rsidRDefault="002F4C28" w:rsidP="002F4C2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602741">
      <w:rPr>
        <w:rFonts w:eastAsia="Arial" w:cs="Arial"/>
        <w:i/>
        <w:sz w:val="18"/>
        <w:szCs w:val="18"/>
      </w:rPr>
      <w:t>UNEP/CMS/COP13/Doc.26.2.9</w:t>
    </w:r>
    <w:r w:rsidR="00602741" w:rsidRPr="00602741">
      <w:rPr>
        <w:rFonts w:eastAsia="Arial" w:cs="Arial"/>
        <w:i/>
        <w:sz w:val="18"/>
        <w:szCs w:val="18"/>
      </w:rPr>
      <w:t>/</w:t>
    </w:r>
    <w:proofErr w:type="spellStart"/>
    <w:r w:rsidR="00602741" w:rsidRPr="00602741">
      <w:rPr>
        <w:rFonts w:eastAsia="Arial" w:cs="Arial"/>
        <w:i/>
        <w:sz w:val="18"/>
        <w:szCs w:val="18"/>
      </w:rPr>
      <w:t>An</w:t>
    </w:r>
    <w:r w:rsidR="00602741">
      <w:rPr>
        <w:rFonts w:eastAsia="Arial" w:cs="Arial"/>
        <w:i/>
        <w:sz w:val="18"/>
        <w:szCs w:val="18"/>
      </w:rPr>
      <w:t>nexe</w:t>
    </w:r>
    <w:proofErr w:type="spellEnd"/>
    <w:r w:rsidR="00602741">
      <w:rPr>
        <w:rFonts w:eastAsia="Arial" w:cs="Arial"/>
        <w:i/>
        <w:sz w:val="18"/>
        <w:szCs w:val="18"/>
      </w:rPr>
      <w:t xml:space="preserve"> 3</w:t>
    </w:r>
  </w:p>
  <w:p w:rsidR="002E0DE9" w:rsidRDefault="00DC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05300F">
      <w:rPr>
        <w:rFonts w:eastAsia="Arial" w:cs="Arial"/>
        <w:i/>
        <w:sz w:val="18"/>
        <w:szCs w:val="18"/>
        <w:lang w:val="fr-FR"/>
      </w:rPr>
      <w:t>26.2.9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41" w:rsidRPr="00EC2A58" w:rsidRDefault="00602741"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26.2.9/Annexe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41" w:rsidRPr="00EC2A58" w:rsidRDefault="00602741"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26.2.9/Annexe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0F" w:rsidRPr="00EC2A58" w:rsidRDefault="0005300F" w:rsidP="0005300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26.2.9</w:t>
    </w:r>
    <w:r w:rsidR="00602741">
      <w:rPr>
        <w:rFonts w:eastAsia="Arial" w:cs="Arial"/>
        <w:i/>
        <w:sz w:val="18"/>
        <w:szCs w:val="18"/>
        <w:lang w:val="fr-FR"/>
      </w:rPr>
      <w:t>/Annexe 1</w:t>
    </w:r>
  </w:p>
  <w:p w:rsidR="0005300F" w:rsidRDefault="000530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41" w:rsidRPr="00EC2A58" w:rsidRDefault="00602741" w:rsidP="0005300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26.2.9/Annexe 2</w:t>
    </w:r>
  </w:p>
  <w:p w:rsidR="00602741" w:rsidRDefault="006027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602741" w:rsidP="002E0DE9">
    <w:pPr>
      <w:pStyle w:val="Header"/>
      <w:pBdr>
        <w:bottom w:val="single" w:sz="4" w:space="1" w:color="auto"/>
      </w:pBdr>
      <w:rPr>
        <w:i/>
        <w:sz w:val="18"/>
        <w:szCs w:val="18"/>
      </w:rPr>
    </w:pPr>
    <w:r>
      <w:rPr>
        <w:i/>
        <w:sz w:val="18"/>
        <w:szCs w:val="18"/>
      </w:rPr>
      <w:t>UNEP/CMS/COP13/</w:t>
    </w:r>
    <w:proofErr w:type="spellStart"/>
    <w:r>
      <w:rPr>
        <w:i/>
        <w:sz w:val="18"/>
        <w:szCs w:val="18"/>
      </w:rPr>
      <w:t>Doc.</w:t>
    </w:r>
    <w:r>
      <w:rPr>
        <w:i/>
        <w:sz w:val="18"/>
        <w:szCs w:val="18"/>
        <w:shd w:val="clear" w:color="auto" w:fill="FFFF00"/>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602741" w:rsidP="002E0DE9">
    <w:pPr>
      <w:pStyle w:val="Header"/>
      <w:pBdr>
        <w:bottom w:val="single" w:sz="4" w:space="1" w:color="auto"/>
      </w:pBdr>
      <w:rPr>
        <w:i/>
        <w:sz w:val="18"/>
        <w:szCs w:val="18"/>
      </w:rPr>
    </w:pPr>
    <w:r>
      <w:rPr>
        <w:i/>
        <w:sz w:val="18"/>
        <w:szCs w:val="18"/>
      </w:rPr>
      <w:t>UNEP/CMS/COP13/</w:t>
    </w:r>
    <w:proofErr w:type="spellStart"/>
    <w:r>
      <w:rPr>
        <w:i/>
        <w:sz w:val="18"/>
        <w:szCs w:val="18"/>
      </w:rPr>
      <w:t>Doc.</w:t>
    </w:r>
    <w:r>
      <w:rPr>
        <w:i/>
        <w:sz w:val="18"/>
        <w:szCs w:val="18"/>
        <w:shd w:val="clear" w:color="auto" w:fill="FFFF00"/>
      </w:rPr>
      <w:t>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3BF"/>
    <w:multiLevelType w:val="hybridMultilevel"/>
    <w:tmpl w:val="DCF2E12A"/>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 w15:restartNumberingAfterBreak="0">
    <w:nsid w:val="130D07A9"/>
    <w:multiLevelType w:val="hybridMultilevel"/>
    <w:tmpl w:val="124E8AD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2" w15:restartNumberingAfterBreak="0">
    <w:nsid w:val="14C3367E"/>
    <w:multiLevelType w:val="hybridMultilevel"/>
    <w:tmpl w:val="7F0A4354"/>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 w15:restartNumberingAfterBreak="0">
    <w:nsid w:val="22A435A6"/>
    <w:multiLevelType w:val="hybridMultilevel"/>
    <w:tmpl w:val="243A2CF0"/>
    <w:lvl w:ilvl="0" w:tplc="42CE4488">
      <w:start w:val="1"/>
      <w:numFmt w:val="lowerLetter"/>
      <w:pStyle w:val="Secondnumberinga"/>
      <w:lvlText w:val="%1)"/>
      <w:lvlJc w:val="righ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CE0AF0"/>
    <w:multiLevelType w:val="hybridMultilevel"/>
    <w:tmpl w:val="82847A1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DED2A6A"/>
    <w:multiLevelType w:val="hybridMultilevel"/>
    <w:tmpl w:val="E8FE1EAA"/>
    <w:lvl w:ilvl="0" w:tplc="D7267E8A">
      <w:start w:val="1"/>
      <w:numFmt w:val="decimal"/>
      <w:pStyle w:val="Firstnumbering"/>
      <w:lvlText w:val="%1."/>
      <w:lvlJc w:val="left"/>
      <w:pPr>
        <w:ind w:left="644" w:hanging="360"/>
      </w:pPr>
      <w:rPr>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4BB079F"/>
    <w:multiLevelType w:val="hybridMultilevel"/>
    <w:tmpl w:val="7B1203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2"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F940668"/>
    <w:multiLevelType w:val="hybridMultilevel"/>
    <w:tmpl w:val="0E066ECE"/>
    <w:lvl w:ilvl="0" w:tplc="A5227AB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D093F06"/>
    <w:multiLevelType w:val="hybridMultilevel"/>
    <w:tmpl w:val="522CEC54"/>
    <w:lvl w:ilvl="0" w:tplc="2000000F">
      <w:start w:val="1"/>
      <w:numFmt w:val="decimal"/>
      <w:lvlText w:val="%1."/>
      <w:lvlJc w:val="left"/>
      <w:pPr>
        <w:ind w:left="720" w:hanging="360"/>
      </w:pPr>
    </w:lvl>
    <w:lvl w:ilvl="1" w:tplc="0000001B">
      <w:start w:val="1"/>
      <w:numFmt w:val="lowerRoman"/>
      <w:lvlText w:val="%2."/>
      <w:lvlJc w:val="righ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B91347"/>
    <w:multiLevelType w:val="hybridMultilevel"/>
    <w:tmpl w:val="669859A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7" w15:restartNumberingAfterBreak="0">
    <w:nsid w:val="71620DAE"/>
    <w:multiLevelType w:val="hybridMultilevel"/>
    <w:tmpl w:val="0A98ED9C"/>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21102"/>
    <w:multiLevelType w:val="hybridMultilevel"/>
    <w:tmpl w:val="4A86775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21" w15:restartNumberingAfterBreak="0">
    <w:nsid w:val="753C5383"/>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1"/>
  </w:num>
  <w:num w:numId="5">
    <w:abstractNumId w:val="3"/>
  </w:num>
  <w:num w:numId="6">
    <w:abstractNumId w:val="19"/>
  </w:num>
  <w:num w:numId="7">
    <w:abstractNumId w:val="6"/>
  </w:num>
  <w:num w:numId="8">
    <w:abstractNumId w:val="9"/>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6"/>
  </w:num>
  <w:num w:numId="14">
    <w:abstractNumId w:val="4"/>
  </w:num>
  <w:num w:numId="15">
    <w:abstractNumId w:val="17"/>
  </w:num>
  <w:num w:numId="16">
    <w:abstractNumId w:val="0"/>
  </w:num>
  <w:num w:numId="17">
    <w:abstractNumId w:val="20"/>
  </w:num>
  <w:num w:numId="18">
    <w:abstractNumId w:val="1"/>
  </w:num>
  <w:num w:numId="19">
    <w:abstractNumId w:val="2"/>
  </w:num>
  <w:num w:numId="20">
    <w:abstractNumId w:val="10"/>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3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5300F"/>
    <w:rsid w:val="000B03CC"/>
    <w:rsid w:val="000B5A54"/>
    <w:rsid w:val="000F2EB4"/>
    <w:rsid w:val="0012615F"/>
    <w:rsid w:val="00293B2E"/>
    <w:rsid w:val="002E1876"/>
    <w:rsid w:val="002F4C28"/>
    <w:rsid w:val="004D2819"/>
    <w:rsid w:val="005330F7"/>
    <w:rsid w:val="00563598"/>
    <w:rsid w:val="00602741"/>
    <w:rsid w:val="00643D18"/>
    <w:rsid w:val="006F556C"/>
    <w:rsid w:val="00705C1D"/>
    <w:rsid w:val="00853DCA"/>
    <w:rsid w:val="00870459"/>
    <w:rsid w:val="00882CD0"/>
    <w:rsid w:val="00896FBB"/>
    <w:rsid w:val="008C067D"/>
    <w:rsid w:val="009B631C"/>
    <w:rsid w:val="00AB773C"/>
    <w:rsid w:val="00C771C2"/>
    <w:rsid w:val="00C87CA3"/>
    <w:rsid w:val="00CB6486"/>
    <w:rsid w:val="00D67AF1"/>
    <w:rsid w:val="00D71837"/>
    <w:rsid w:val="00DC688F"/>
    <w:rsid w:val="00DE6EE2"/>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0C00"/>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05300F"/>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05300F"/>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05300F"/>
    <w:pPr>
      <w:numPr>
        <w:numId w:val="5"/>
      </w:numPr>
    </w:pPr>
    <w:rPr>
      <w:rFonts w:cs="Arial"/>
      <w:lang w:val="fr-FR"/>
    </w:r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05300F"/>
    <w:rPr>
      <w:rFonts w:cs="Arial"/>
      <w:lang w:val="fr-FR"/>
    </w:rPr>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1Char">
    <w:name w:val="Heading 1 Char"/>
    <w:basedOn w:val="DefaultParagraphFont"/>
    <w:link w:val="Heading1"/>
    <w:uiPriority w:val="9"/>
    <w:rsid w:val="0005300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53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00F"/>
    <w:rPr>
      <w:sz w:val="20"/>
      <w:szCs w:val="20"/>
    </w:rPr>
  </w:style>
  <w:style w:type="character" w:styleId="Hyperlink">
    <w:name w:val="Hyperlink"/>
    <w:basedOn w:val="DefaultParagraphFont"/>
    <w:uiPriority w:val="99"/>
    <w:unhideWhenUsed/>
    <w:rsid w:val="0005300F"/>
    <w:rPr>
      <w:color w:val="0563C1" w:themeColor="hyperlink"/>
      <w:u w:val="single"/>
    </w:rPr>
  </w:style>
  <w:style w:type="character" w:styleId="FootnoteReference">
    <w:name w:val="footnote reference"/>
    <w:basedOn w:val="DefaultParagraphFont"/>
    <w:uiPriority w:val="99"/>
    <w:semiHidden/>
    <w:unhideWhenUsed/>
    <w:rsid w:val="0005300F"/>
    <w:rPr>
      <w:vertAlign w:val="superscript"/>
    </w:rPr>
  </w:style>
  <w:style w:type="paragraph" w:styleId="CommentText">
    <w:name w:val="annotation text"/>
    <w:basedOn w:val="Normal"/>
    <w:link w:val="CommentTextChar"/>
    <w:uiPriority w:val="99"/>
    <w:semiHidden/>
    <w:unhideWhenUsed/>
    <w:rsid w:val="0005300F"/>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05300F"/>
    <w:rPr>
      <w:sz w:val="20"/>
      <w:szCs w:val="20"/>
      <w:lang w:val="fr-FR"/>
    </w:rPr>
  </w:style>
  <w:style w:type="character" w:styleId="UnresolvedMention">
    <w:name w:val="Unresolved Mention"/>
    <w:basedOn w:val="DefaultParagraphFont"/>
    <w:uiPriority w:val="99"/>
    <w:semiHidden/>
    <w:unhideWhenUsed/>
    <w:rsid w:val="0005300F"/>
    <w:rPr>
      <w:color w:val="605E5C"/>
      <w:shd w:val="clear" w:color="auto" w:fill="E1DFDD"/>
    </w:rPr>
  </w:style>
  <w:style w:type="table" w:styleId="TableGrid">
    <w:name w:val="Table Grid"/>
    <w:basedOn w:val="TableNormal"/>
    <w:uiPriority w:val="39"/>
    <w:rsid w:val="0005300F"/>
    <w:pPr>
      <w:spacing w:after="0" w:line="240" w:lineRule="auto"/>
    </w:pPr>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ms.int/sites/default/files/document/cms_eels3_meeting-report_e_0.pdf"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yperlink" Target="https://www.cms.int/sites/default/files/document/cms_eels2_report-complete_e.pdf"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ites/default/files/document/cms_cop12_ca.12.1_anguille-d%27europe_f.pdf"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s://www.cms.int/sites/default/files/document/Report%20with%20outcome%20and%20participants%20list.pdf"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www.cms.int/en/document/action-plans-birds-0" TargetMode="External"/><Relationship Id="rId3" Type="http://schemas.openxmlformats.org/officeDocument/2006/relationships/hyperlink" Target="https://www.cms.int/raptors/fr/publication/plan-d%E2%80%99action-multi-esp%C3%A8ces-pour-conserver-les-vautours-dafrique-eurasie-pame-vautours" TargetMode="External"/><Relationship Id="rId7" Type="http://schemas.openxmlformats.org/officeDocument/2006/relationships/hyperlink" Target="https://www.cms.int/en/document/action-plan-european-roller" TargetMode="External"/><Relationship Id="rId2" Type="http://schemas.openxmlformats.org/officeDocument/2006/relationships/hyperlink" Target="https://www.cms.int/en/document/single-species-action-plan-loggerhead-turtle-caretta-caretta-south-pacific-ocean" TargetMode="External"/><Relationship Id="rId1" Type="http://schemas.openxmlformats.org/officeDocument/2006/relationships/hyperlink" Target="https://www.cms.int/en/document/outcomes-meeting" TargetMode="External"/><Relationship Id="rId6" Type="http://schemas.openxmlformats.org/officeDocument/2006/relationships/hyperlink" Target="https://www.cms.int/sites/default/files/document/CMS_Sharks_MOS2_Outcome_2.3_f.pdf" TargetMode="External"/><Relationship Id="rId5" Type="http://schemas.openxmlformats.org/officeDocument/2006/relationships/hyperlink" Target="https://www.ascobans.org/en/document/ascobans-species-action-plan-north-east-atlantic-common-dolphin" TargetMode="External"/><Relationship Id="rId4" Type="http://schemas.openxmlformats.org/officeDocument/2006/relationships/hyperlink" Target="https://www.cms.int/en/document/international-single-species-action-plan-conservation-argali-ovis-ammon-0" TargetMode="External"/><Relationship Id="rId9" Type="http://schemas.openxmlformats.org/officeDocument/2006/relationships/hyperlink" Target="https://www.cms.int/sites/default/files/document/cms_eels3_meeting-report_e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2454</Words>
  <Characters>13277</Characters>
  <Application>Microsoft Office Word</Application>
  <DocSecurity>0</DocSecurity>
  <Lines>663</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9</cp:revision>
  <dcterms:created xsi:type="dcterms:W3CDTF">2019-09-30T14:18:00Z</dcterms:created>
  <dcterms:modified xsi:type="dcterms:W3CDTF">2019-10-08T11:39:00Z</dcterms:modified>
</cp:coreProperties>
</file>