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bottom w:val="single" w:sz="12" w:space="0" w:color="auto"/>
          <w:insideV w:val="single" w:sz="12" w:space="0" w:color="auto"/>
        </w:tblBorders>
        <w:tblLayout w:type="fixed"/>
        <w:tblCellMar>
          <w:top w:w="198" w:type="dxa"/>
        </w:tblCellMar>
        <w:tblLook w:val="0000" w:firstRow="0" w:lastRow="0" w:firstColumn="0" w:lastColumn="0" w:noHBand="0" w:noVBand="0"/>
      </w:tblPr>
      <w:tblGrid>
        <w:gridCol w:w="1418"/>
        <w:gridCol w:w="4144"/>
        <w:gridCol w:w="3794"/>
      </w:tblGrid>
      <w:tr w:rsidR="00260B0B" w:rsidRPr="00166CF0">
        <w:trPr>
          <w:cantSplit/>
          <w:trHeight w:val="725"/>
        </w:trPr>
        <w:tc>
          <w:tcPr>
            <w:tcW w:w="9356" w:type="dxa"/>
            <w:gridSpan w:val="3"/>
            <w:tcBorders>
              <w:bottom w:val="single" w:sz="12" w:space="0" w:color="auto"/>
            </w:tcBorders>
          </w:tcPr>
          <w:p w:rsidR="00260B0B" w:rsidRPr="00166CF0" w:rsidRDefault="00902C3A" w:rsidP="00902C3A">
            <w:pPr>
              <w:tabs>
                <w:tab w:val="left" w:pos="-1057"/>
                <w:tab w:val="left" w:pos="-720"/>
                <w:tab w:val="left" w:pos="0"/>
                <w:tab w:val="left" w:pos="141"/>
                <w:tab w:val="left" w:pos="602"/>
                <w:tab w:val="left" w:pos="2655"/>
              </w:tabs>
              <w:rPr>
                <w:sz w:val="24"/>
              </w:rPr>
            </w:pPr>
            <w:r w:rsidRPr="00166CF0">
              <w:rPr>
                <w:noProof/>
                <w:lang w:val="en-US"/>
              </w:rPr>
              <mc:AlternateContent>
                <mc:Choice Requires="wps">
                  <w:drawing>
                    <wp:anchor distT="0" distB="0" distL="114300" distR="114300" simplePos="0" relativeHeight="251658240" behindDoc="0" locked="0" layoutInCell="1" allowOverlap="1">
                      <wp:simplePos x="0" y="0"/>
                      <wp:positionH relativeFrom="column">
                        <wp:posOffset>5064125</wp:posOffset>
                      </wp:positionH>
                      <wp:positionV relativeFrom="paragraph">
                        <wp:posOffset>55880</wp:posOffset>
                      </wp:positionV>
                      <wp:extent cx="803275" cy="3810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7D" w:rsidRPr="00902C3A" w:rsidRDefault="007C617D" w:rsidP="007C617D">
                                  <w:pPr>
                                    <w:rPr>
                                      <w:rFonts w:ascii="Arial" w:hAnsi="Arial" w:cs="Arial"/>
                                      <w:b/>
                                      <w:sz w:val="28"/>
                                      <w:szCs w:val="28"/>
                                    </w:rPr>
                                  </w:pPr>
                                  <w:r w:rsidRPr="00902C3A">
                                    <w:rPr>
                                      <w:rFonts w:ascii="Arial" w:hAnsi="Arial"/>
                                      <w:b/>
                                      <w:sz w:val="28"/>
                                      <w:szCs w:val="28"/>
                                    </w:rPr>
                                    <w:t>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8.75pt;margin-top:4.4pt;width:63.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" filled="f" stroked="f">
                      <v:textbox>
                        <w:txbxContent>
                          <w:p w:rsidR="007C617D" w:rsidRPr="00902C3A" w:rsidRDefault="007C617D" w:rsidP="007C617D">
                            <w:pPr>
                              <w:rPr>
                                <w:rFonts w:ascii="Arial" w:hAnsi="Arial" w:cs="Arial"/>
                                <w:b/>
                                <w:sz w:val="28"/>
                                <w:szCs w:val="28"/>
                              </w:rPr>
                            </w:pPr>
                            <w:r w:rsidRPr="00902C3A">
                              <w:rPr>
                                <w:rFonts w:ascii="Arial" w:hAnsi="Arial"/>
                                <w:b/>
                                <w:sz w:val="28"/>
                                <w:szCs w:val="28"/>
                              </w:rPr>
                              <w:t>CMS</w:t>
                            </w:r>
                          </w:p>
                        </w:txbxContent>
                      </v:textbox>
                    </v:shape>
                  </w:pict>
                </mc:Fallback>
              </mc:AlternateContent>
            </w:r>
            <w:r w:rsidRPr="00166CF0">
              <w:rPr>
                <w:noProof/>
                <w:sz w:val="24"/>
                <w:lang w:val="en-US"/>
              </w:rPr>
              <w:drawing>
                <wp:inline distT="0" distB="0" distL="0" distR="0" wp14:anchorId="678E5661" wp14:editId="5A94B05D">
                  <wp:extent cx="3619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66" t="-1329" r="60167" b="48798"/>
                          <a:stretch>
                            <a:fillRect/>
                          </a:stretch>
                        </pic:blipFill>
                        <pic:spPr bwMode="auto">
                          <a:xfrm>
                            <a:off x="0" y="0"/>
                            <a:ext cx="361950" cy="390525"/>
                          </a:xfrm>
                          <a:prstGeom prst="rect">
                            <a:avLst/>
                          </a:prstGeom>
                          <a:noFill/>
                          <a:ln>
                            <a:noFill/>
                          </a:ln>
                        </pic:spPr>
                      </pic:pic>
                    </a:graphicData>
                  </a:graphic>
                </wp:inline>
              </w:drawing>
            </w:r>
            <w:r>
              <w:rPr>
                <w:noProof/>
                <w:lang w:val="en-US"/>
              </w:rPr>
              <w:drawing>
                <wp:anchor distT="0" distB="0" distL="114300" distR="114300" simplePos="0" relativeHeight="251662336" behindDoc="1" locked="0" layoutInCell="1" allowOverlap="1" wp14:anchorId="546E0551" wp14:editId="1BCEE844">
                  <wp:simplePos x="0" y="0"/>
                  <wp:positionH relativeFrom="column">
                    <wp:posOffset>-68580</wp:posOffset>
                  </wp:positionH>
                  <wp:positionV relativeFrom="paragraph">
                    <wp:posOffset>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AB4" w:rsidRPr="00166CF0">
              <w:rPr>
                <w:sz w:val="24"/>
              </w:rPr>
              <w:t xml:space="preserve"> </w:t>
            </w:r>
            <w:r w:rsidR="00E60AB4" w:rsidRPr="00166CF0">
              <w:rPr>
                <w:sz w:val="24"/>
              </w:rPr>
              <w:tab/>
            </w:r>
            <w:r w:rsidR="00E60AB4" w:rsidRPr="00166CF0">
              <w:rPr>
                <w:sz w:val="24"/>
              </w:rPr>
              <w:tab/>
            </w:r>
            <w:r>
              <w:rPr>
                <w:sz w:val="24"/>
              </w:rPr>
              <w:tab/>
            </w:r>
          </w:p>
        </w:tc>
      </w:tr>
      <w:tr w:rsidR="00260B0B" w:rsidRPr="00166CF0" w:rsidTr="00902C3A">
        <w:trPr>
          <w:trHeight w:val="1774"/>
        </w:trPr>
        <w:tc>
          <w:tcPr>
            <w:tcW w:w="1418" w:type="dxa"/>
            <w:tcBorders>
              <w:top w:val="single" w:sz="12" w:space="0" w:color="auto"/>
              <w:bottom w:val="single" w:sz="12" w:space="0" w:color="auto"/>
              <w:right w:val="nil"/>
            </w:tcBorders>
          </w:tcPr>
          <w:p w:rsidR="00260B0B" w:rsidRPr="00166CF0" w:rsidRDefault="00E60AB4">
            <w:pPr>
              <w:pBdr>
                <w:top w:val="single" w:sz="6" w:space="0" w:color="FFFFFF"/>
                <w:left w:val="single" w:sz="6" w:space="0" w:color="FFFFFF"/>
                <w:bottom w:val="single" w:sz="6" w:space="0" w:color="FFFFFF"/>
                <w:right w:val="single" w:sz="6" w:space="0" w:color="FFFFFF"/>
              </w:pBdr>
              <w:rPr>
                <w:sz w:val="24"/>
              </w:rPr>
            </w:pPr>
            <w:r w:rsidRPr="00166CF0">
              <w:rPr>
                <w:noProof/>
                <w:lang w:val="en-US"/>
              </w:rPr>
              <w:drawing>
                <wp:inline distT="0" distB="0" distL="0" distR="0">
                  <wp:extent cx="7810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541" t="-722" r="-2541" b="-722"/>
                          <a:stretch>
                            <a:fillRect/>
                          </a:stretch>
                        </pic:blipFill>
                        <pic:spPr bwMode="auto">
                          <a:xfrm>
                            <a:off x="0" y="0"/>
                            <a:ext cx="781050" cy="733425"/>
                          </a:xfrm>
                          <a:prstGeom prst="rect">
                            <a:avLst/>
                          </a:prstGeom>
                          <a:noFill/>
                          <a:ln>
                            <a:noFill/>
                          </a:ln>
                        </pic:spPr>
                      </pic:pic>
                    </a:graphicData>
                  </a:graphic>
                </wp:inline>
              </w:drawing>
            </w:r>
          </w:p>
          <w:p w:rsidR="00260B0B" w:rsidRPr="00166CF0" w:rsidRDefault="00260B0B">
            <w:pPr>
              <w:rPr>
                <w:sz w:val="24"/>
              </w:rPr>
            </w:pPr>
          </w:p>
        </w:tc>
        <w:tc>
          <w:tcPr>
            <w:tcW w:w="4144" w:type="dxa"/>
            <w:tcBorders>
              <w:top w:val="single" w:sz="12" w:space="0" w:color="auto"/>
              <w:left w:val="nil"/>
              <w:bottom w:val="single" w:sz="12" w:space="0" w:color="auto"/>
              <w:right w:val="nil"/>
            </w:tcBorders>
          </w:tcPr>
          <w:p w:rsidR="00A34D1B" w:rsidRPr="00902C3A" w:rsidRDefault="00260B0B">
            <w:pPr>
              <w:pStyle w:val="Heading2"/>
              <w:ind w:left="34"/>
              <w:rPr>
                <w:rFonts w:ascii="Arial" w:hAnsi="Arial" w:cs="Arial"/>
                <w:sz w:val="32"/>
                <w:szCs w:val="32"/>
              </w:rPr>
            </w:pPr>
            <w:r w:rsidRPr="00902C3A">
              <w:rPr>
                <w:rFonts w:ascii="Arial" w:hAnsi="Arial"/>
                <w:sz w:val="32"/>
                <w:szCs w:val="32"/>
              </w:rPr>
              <w:t>CONVENCIÓN SOBRE</w:t>
            </w:r>
          </w:p>
          <w:p w:rsidR="00260B0B" w:rsidRPr="00902C3A" w:rsidRDefault="00260B0B">
            <w:pPr>
              <w:pStyle w:val="Heading2"/>
              <w:ind w:left="34"/>
              <w:rPr>
                <w:rFonts w:ascii="Arial" w:hAnsi="Arial" w:cs="Arial"/>
                <w:sz w:val="32"/>
                <w:szCs w:val="32"/>
              </w:rPr>
            </w:pPr>
            <w:r w:rsidRPr="00902C3A">
              <w:rPr>
                <w:rFonts w:ascii="Arial" w:hAnsi="Arial"/>
                <w:sz w:val="32"/>
                <w:szCs w:val="32"/>
              </w:rPr>
              <w:t>LAS ESPECIES</w:t>
            </w:r>
          </w:p>
          <w:p w:rsidR="00260B0B" w:rsidRPr="00902C3A" w:rsidRDefault="00260B0B">
            <w:pPr>
              <w:pStyle w:val="Heading2"/>
              <w:ind w:left="34"/>
              <w:rPr>
                <w:sz w:val="32"/>
                <w:szCs w:val="32"/>
              </w:rPr>
            </w:pPr>
            <w:r w:rsidRPr="00902C3A">
              <w:rPr>
                <w:rFonts w:ascii="Arial" w:hAnsi="Arial"/>
                <w:sz w:val="32"/>
                <w:szCs w:val="32"/>
              </w:rPr>
              <w:t>MIGRATORIAS</w:t>
            </w:r>
          </w:p>
          <w:p w:rsidR="00260B0B" w:rsidRPr="00166CF0" w:rsidRDefault="00260B0B">
            <w:pPr>
              <w:pStyle w:val="Heading1"/>
              <w:rPr>
                <w:sz w:val="36"/>
              </w:rPr>
            </w:pPr>
          </w:p>
        </w:tc>
        <w:tc>
          <w:tcPr>
            <w:tcW w:w="3794" w:type="dxa"/>
            <w:tcBorders>
              <w:top w:val="single" w:sz="12" w:space="0" w:color="auto"/>
              <w:left w:val="nil"/>
              <w:bottom w:val="single" w:sz="12" w:space="0" w:color="auto"/>
            </w:tcBorders>
          </w:tcPr>
          <w:p w:rsidR="00260B0B" w:rsidRPr="00166CF0" w:rsidRDefault="005D790E" w:rsidP="00A34D1B">
            <w:pPr>
              <w:rPr>
                <w:rFonts w:ascii="Arial" w:hAnsi="Arial" w:cs="Arial"/>
                <w:sz w:val="22"/>
                <w:szCs w:val="22"/>
              </w:rPr>
            </w:pPr>
            <w:r w:rsidRPr="00166CF0">
              <w:rPr>
                <w:rFonts w:ascii="Arial" w:hAnsi="Arial"/>
                <w:sz w:val="22"/>
                <w:szCs w:val="22"/>
              </w:rPr>
              <w:t xml:space="preserve">Distribución: General </w:t>
            </w:r>
          </w:p>
          <w:p w:rsidR="00260B0B" w:rsidRPr="00902C3A" w:rsidRDefault="00260B0B" w:rsidP="00A34D1B">
            <w:pPr>
              <w:rPr>
                <w:rFonts w:ascii="Arial" w:hAnsi="Arial" w:cs="Arial"/>
                <w:sz w:val="12"/>
                <w:szCs w:val="12"/>
              </w:rPr>
            </w:pPr>
          </w:p>
          <w:p w:rsidR="00260B0B" w:rsidRPr="00166CF0" w:rsidRDefault="00902C3A" w:rsidP="005D790E">
            <w:pPr>
              <w:rPr>
                <w:rFonts w:ascii="Arial" w:hAnsi="Arial" w:cs="Arial"/>
                <w:sz w:val="22"/>
                <w:szCs w:val="22"/>
              </w:rPr>
            </w:pPr>
            <w:r>
              <w:rPr>
                <w:rFonts w:ascii="Arial" w:hAnsi="Arial"/>
                <w:sz w:val="22"/>
                <w:szCs w:val="22"/>
              </w:rPr>
              <w:t>UNEP</w:t>
            </w:r>
            <w:r w:rsidR="00980873">
              <w:rPr>
                <w:rFonts w:ascii="Arial" w:hAnsi="Arial"/>
                <w:sz w:val="22"/>
                <w:szCs w:val="22"/>
              </w:rPr>
              <w:t>/CMS/COP12</w:t>
            </w:r>
            <w:r w:rsidR="0038222B" w:rsidRPr="00166CF0">
              <w:rPr>
                <w:rFonts w:ascii="Arial" w:hAnsi="Arial"/>
                <w:sz w:val="22"/>
                <w:szCs w:val="22"/>
              </w:rPr>
              <w:t>/Doc.26.2.1</w:t>
            </w:r>
          </w:p>
          <w:p w:rsidR="005D790E" w:rsidRPr="00166CF0" w:rsidRDefault="005D790E" w:rsidP="005D790E">
            <w:pPr>
              <w:rPr>
                <w:rFonts w:ascii="Arial" w:hAnsi="Arial" w:cs="Arial"/>
                <w:sz w:val="22"/>
                <w:szCs w:val="22"/>
              </w:rPr>
            </w:pPr>
            <w:r w:rsidRPr="00166CF0">
              <w:rPr>
                <w:rFonts w:ascii="Arial" w:hAnsi="Arial"/>
                <w:sz w:val="22"/>
                <w:szCs w:val="22"/>
              </w:rPr>
              <w:t>30 de mayo de 2017</w:t>
            </w:r>
          </w:p>
          <w:p w:rsidR="00A34D1B" w:rsidRPr="00166CF0" w:rsidRDefault="00A34D1B" w:rsidP="00A34D1B">
            <w:pPr>
              <w:rPr>
                <w:rFonts w:ascii="Arial" w:hAnsi="Arial" w:cs="Arial"/>
                <w:sz w:val="22"/>
                <w:szCs w:val="22"/>
              </w:rPr>
            </w:pPr>
          </w:p>
          <w:p w:rsidR="00260B0B" w:rsidRPr="00166CF0" w:rsidRDefault="005D790E" w:rsidP="00A34D1B">
            <w:pPr>
              <w:rPr>
                <w:rFonts w:ascii="Arial" w:hAnsi="Arial" w:cs="Arial"/>
                <w:sz w:val="22"/>
                <w:szCs w:val="22"/>
              </w:rPr>
            </w:pPr>
            <w:r w:rsidRPr="00166CF0">
              <w:rPr>
                <w:rFonts w:ascii="Arial" w:hAnsi="Arial"/>
                <w:sz w:val="22"/>
                <w:szCs w:val="22"/>
              </w:rPr>
              <w:t xml:space="preserve">Español </w:t>
            </w:r>
          </w:p>
          <w:p w:rsidR="00260B0B" w:rsidRPr="00166CF0" w:rsidRDefault="00260B0B" w:rsidP="005D790E">
            <w:pPr>
              <w:rPr>
                <w:rFonts w:ascii="Arial" w:hAnsi="Arial" w:cs="Arial"/>
                <w:sz w:val="22"/>
                <w:szCs w:val="22"/>
              </w:rPr>
            </w:pPr>
            <w:r w:rsidRPr="00166CF0">
              <w:rPr>
                <w:rFonts w:ascii="Arial" w:hAnsi="Arial"/>
                <w:sz w:val="22"/>
                <w:szCs w:val="22"/>
              </w:rPr>
              <w:t xml:space="preserve">Original: Ingles </w:t>
            </w:r>
          </w:p>
        </w:tc>
      </w:tr>
    </w:tbl>
    <w:p w:rsidR="00260B0B" w:rsidRPr="00166CF0" w:rsidRDefault="00260B0B">
      <w:pPr>
        <w:tabs>
          <w:tab w:val="left" w:pos="-1057"/>
          <w:tab w:val="left" w:pos="-720"/>
          <w:tab w:val="left" w:pos="-284"/>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left="-284"/>
        <w:rPr>
          <w:rFonts w:ascii="Arial" w:hAnsi="Arial" w:cs="Arial"/>
          <w:sz w:val="4"/>
          <w:szCs w:val="22"/>
        </w:rPr>
      </w:pPr>
      <w:r w:rsidRPr="00166CF0">
        <w:rPr>
          <w:rFonts w:ascii="Arial" w:hAnsi="Arial"/>
          <w:sz w:val="4"/>
          <w:szCs w:val="22"/>
        </w:rPr>
        <w:t>2</w:t>
      </w:r>
    </w:p>
    <w:p w:rsidR="00260B0B" w:rsidRPr="00166CF0" w:rsidRDefault="00260B0B">
      <w:pPr>
        <w:tabs>
          <w:tab w:val="left" w:pos="-1057"/>
          <w:tab w:val="left" w:pos="-720"/>
          <w:tab w:val="left" w:pos="-284"/>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left="-284"/>
        <w:rPr>
          <w:rFonts w:ascii="Arial" w:hAnsi="Arial" w:cs="Arial"/>
          <w:sz w:val="4"/>
          <w:szCs w:val="22"/>
        </w:rPr>
      </w:pPr>
    </w:p>
    <w:p w:rsidR="00260B0B" w:rsidRPr="00166CF0" w:rsidRDefault="005D790E" w:rsidP="00A34D1B">
      <w:pPr>
        <w:rPr>
          <w:rFonts w:ascii="Arial" w:hAnsi="Arial" w:cs="Arial"/>
          <w:sz w:val="22"/>
          <w:szCs w:val="22"/>
        </w:rPr>
      </w:pPr>
      <w:r w:rsidRPr="00166CF0">
        <w:rPr>
          <w:rFonts w:ascii="Arial" w:hAnsi="Arial"/>
          <w:sz w:val="22"/>
          <w:szCs w:val="22"/>
        </w:rPr>
        <w:t>12ª REUNIÓN DE LA CONFERENCIA DE LAS PARTES</w:t>
      </w:r>
    </w:p>
    <w:p w:rsidR="00260B0B" w:rsidRPr="00166CF0" w:rsidRDefault="005D790E" w:rsidP="00A34D1B">
      <w:pPr>
        <w:rPr>
          <w:rFonts w:ascii="Arial" w:hAnsi="Arial" w:cs="Arial"/>
          <w:sz w:val="22"/>
          <w:szCs w:val="22"/>
        </w:rPr>
      </w:pPr>
      <w:r w:rsidRPr="00166CF0">
        <w:rPr>
          <w:rFonts w:ascii="Arial" w:hAnsi="Arial"/>
          <w:sz w:val="22"/>
          <w:szCs w:val="22"/>
        </w:rPr>
        <w:t>Manila, Filipinas, del 23 al 28 de octubre del 2017</w:t>
      </w:r>
      <w:bookmarkStart w:id="0" w:name="_GoBack"/>
      <w:bookmarkEnd w:id="0"/>
    </w:p>
    <w:p w:rsidR="00A34D1B" w:rsidRPr="00166CF0" w:rsidRDefault="005D790E" w:rsidP="00A34D1B">
      <w:pPr>
        <w:rPr>
          <w:rFonts w:ascii="Arial" w:hAnsi="Arial" w:cs="Arial"/>
          <w:sz w:val="22"/>
          <w:szCs w:val="22"/>
        </w:rPr>
      </w:pPr>
      <w:r w:rsidRPr="00166CF0">
        <w:rPr>
          <w:rFonts w:ascii="Arial" w:hAnsi="Arial"/>
          <w:sz w:val="22"/>
          <w:szCs w:val="23"/>
        </w:rPr>
        <w:t>Punto 26.2.1 de la agenda</w:t>
      </w:r>
    </w:p>
    <w:p w:rsidR="00260B0B" w:rsidRPr="00166CF0" w:rsidRDefault="00260B0B" w:rsidP="0038222B">
      <w:pPr>
        <w:pStyle w:val="Title"/>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jc w:val="left"/>
        <w:rPr>
          <w:b w:val="0"/>
          <w:sz w:val="24"/>
          <w:szCs w:val="24"/>
        </w:rPr>
      </w:pPr>
    </w:p>
    <w:p w:rsidR="005D790E" w:rsidRPr="00166CF0" w:rsidRDefault="005D790E" w:rsidP="005D790E">
      <w:pPr>
        <w:tabs>
          <w:tab w:val="left" w:pos="8295"/>
        </w:tabs>
        <w:jc w:val="both"/>
        <w:rPr>
          <w:rFonts w:ascii="Arial" w:hAnsi="Arial" w:cs="Arial"/>
          <w:sz w:val="21"/>
          <w:szCs w:val="21"/>
        </w:rPr>
      </w:pPr>
    </w:p>
    <w:p w:rsidR="005D790E" w:rsidRPr="00166CF0" w:rsidRDefault="005D790E" w:rsidP="00902C3A">
      <w:pPr>
        <w:pStyle w:val="Heading2"/>
        <w:keepNext w:val="0"/>
        <w:ind w:left="-90" w:right="-367"/>
        <w:jc w:val="center"/>
        <w:rPr>
          <w:rFonts w:ascii="Arial" w:hAnsi="Arial" w:cs="Arial"/>
          <w:sz w:val="22"/>
          <w:szCs w:val="22"/>
        </w:rPr>
      </w:pPr>
      <w:r w:rsidRPr="00166CF0">
        <w:rPr>
          <w:rFonts w:ascii="Arial" w:hAnsi="Arial"/>
          <w:sz w:val="22"/>
          <w:szCs w:val="22"/>
        </w:rPr>
        <w:t xml:space="preserve">PROPUESTA DE ACCIÓN CONCERTADA PARA </w:t>
      </w:r>
    </w:p>
    <w:p w:rsidR="005D790E" w:rsidRPr="00166CF0" w:rsidRDefault="005D790E" w:rsidP="00902C3A">
      <w:pPr>
        <w:pStyle w:val="Heading2"/>
        <w:keepNext w:val="0"/>
        <w:ind w:left="-90" w:right="-367"/>
        <w:jc w:val="center"/>
        <w:rPr>
          <w:rFonts w:ascii="Arial" w:hAnsi="Arial" w:cs="Arial"/>
          <w:sz w:val="22"/>
          <w:szCs w:val="22"/>
        </w:rPr>
      </w:pPr>
      <w:r w:rsidRPr="00166CF0">
        <w:rPr>
          <w:rFonts w:ascii="Arial" w:hAnsi="Arial"/>
          <w:sz w:val="22"/>
          <w:szCs w:val="22"/>
        </w:rPr>
        <w:t xml:space="preserve">LA ANGUILA EUROPEA </w:t>
      </w:r>
      <w:r w:rsidRPr="00166CF0">
        <w:rPr>
          <w:rFonts w:ascii="Arial" w:hAnsi="Arial"/>
          <w:i/>
          <w:sz w:val="22"/>
          <w:szCs w:val="22"/>
        </w:rPr>
        <w:t>(Anguilla anguilla)</w:t>
      </w:r>
      <w:r w:rsidRPr="00166CF0">
        <w:rPr>
          <w:rFonts w:ascii="Arial" w:hAnsi="Arial"/>
          <w:sz w:val="22"/>
          <w:szCs w:val="22"/>
        </w:rPr>
        <w:t xml:space="preserve"> </w:t>
      </w:r>
    </w:p>
    <w:p w:rsidR="005D790E" w:rsidRPr="00166CF0" w:rsidRDefault="005D790E" w:rsidP="00902C3A">
      <w:pPr>
        <w:pStyle w:val="Heading2"/>
        <w:keepNext w:val="0"/>
        <w:ind w:left="-90" w:right="-367"/>
        <w:jc w:val="center"/>
        <w:rPr>
          <w:rFonts w:ascii="Arial" w:hAnsi="Arial" w:cs="Arial"/>
          <w:sz w:val="22"/>
          <w:szCs w:val="22"/>
        </w:rPr>
      </w:pPr>
      <w:r w:rsidRPr="00166CF0">
        <w:rPr>
          <w:rFonts w:ascii="Arial" w:hAnsi="Arial"/>
          <w:sz w:val="22"/>
          <w:szCs w:val="22"/>
        </w:rPr>
        <w:t xml:space="preserve">YA INCLUIDA EN EL APÉNDICE II DE LA CONVENCIÓN </w:t>
      </w:r>
    </w:p>
    <w:p w:rsidR="005D790E" w:rsidRPr="00166CF0" w:rsidRDefault="005D790E" w:rsidP="00902C3A">
      <w:pPr>
        <w:jc w:val="both"/>
        <w:rPr>
          <w:rFonts w:cs="Arial"/>
          <w:sz w:val="21"/>
          <w:szCs w:val="21"/>
        </w:rPr>
      </w:pPr>
    </w:p>
    <w:p w:rsidR="005D790E" w:rsidRPr="00166CF0" w:rsidRDefault="005D790E" w:rsidP="005D790E">
      <w:pPr>
        <w:jc w:val="both"/>
        <w:rPr>
          <w:rFonts w:cs="Arial"/>
          <w:sz w:val="21"/>
          <w:szCs w:val="21"/>
        </w:rPr>
      </w:pPr>
    </w:p>
    <w:p w:rsidR="005D790E" w:rsidRPr="00166CF0" w:rsidRDefault="005D790E" w:rsidP="005D790E">
      <w:pPr>
        <w:jc w:val="both"/>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r w:rsidRPr="00166CF0">
        <w:rPr>
          <w:rFonts w:cs="Arial"/>
          <w:noProof/>
          <w:sz w:val="21"/>
          <w:szCs w:val="21"/>
          <w:lang w:val="en-US"/>
        </w:rPr>
        <mc:AlternateContent>
          <mc:Choice Requires="wps">
            <w:drawing>
              <wp:anchor distT="0" distB="0" distL="114300" distR="114300" simplePos="0" relativeHeight="251660288" behindDoc="0" locked="0" layoutInCell="1" allowOverlap="1" wp14:anchorId="252816CD" wp14:editId="0DFF74D1">
                <wp:simplePos x="0" y="0"/>
                <wp:positionH relativeFrom="column">
                  <wp:posOffset>909320</wp:posOffset>
                </wp:positionH>
                <wp:positionV relativeFrom="paragraph">
                  <wp:posOffset>92076</wp:posOffset>
                </wp:positionV>
                <wp:extent cx="4210050" cy="1866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866900"/>
                        </a:xfrm>
                        <a:prstGeom prst="rect">
                          <a:avLst/>
                        </a:prstGeom>
                        <a:solidFill>
                          <a:srgbClr val="FFFFFF"/>
                        </a:solidFill>
                        <a:ln w="3175">
                          <a:solidFill>
                            <a:srgbClr val="000000"/>
                          </a:solidFill>
                          <a:miter lim="800000"/>
                          <a:headEnd/>
                          <a:tailEnd/>
                        </a:ln>
                      </wps:spPr>
                      <wps:txbx>
                        <w:txbxContent>
                          <w:p w:rsidR="005D790E" w:rsidRPr="00214FEA" w:rsidRDefault="005D790E" w:rsidP="00902C3A">
                            <w:pPr>
                              <w:rPr>
                                <w:rFonts w:ascii="Arial" w:hAnsi="Arial" w:cs="Arial"/>
                                <w:sz w:val="22"/>
                                <w:szCs w:val="22"/>
                              </w:rPr>
                            </w:pPr>
                            <w:r>
                              <w:rPr>
                                <w:rFonts w:ascii="Arial" w:hAnsi="Arial"/>
                                <w:sz w:val="22"/>
                                <w:szCs w:val="22"/>
                              </w:rPr>
                              <w:t>Resumen:</w:t>
                            </w:r>
                          </w:p>
                          <w:p w:rsidR="005D790E" w:rsidRPr="00214FEA" w:rsidRDefault="005D790E" w:rsidP="00902C3A">
                            <w:pPr>
                              <w:rPr>
                                <w:rFonts w:ascii="Arial" w:hAnsi="Arial" w:cs="Arial"/>
                                <w:i/>
                                <w:sz w:val="22"/>
                                <w:szCs w:val="22"/>
                              </w:rPr>
                            </w:pPr>
                          </w:p>
                          <w:p w:rsidR="005D790E" w:rsidRPr="00214FEA" w:rsidRDefault="005D790E" w:rsidP="00902C3A">
                            <w:pPr>
                              <w:jc w:val="both"/>
                              <w:rPr>
                                <w:rFonts w:ascii="Arial" w:hAnsi="Arial" w:cs="Arial"/>
                                <w:sz w:val="22"/>
                                <w:szCs w:val="22"/>
                              </w:rPr>
                            </w:pPr>
                            <w:r>
                              <w:rPr>
                                <w:rFonts w:ascii="Arial" w:hAnsi="Arial"/>
                                <w:sz w:val="22"/>
                                <w:szCs w:val="22"/>
                              </w:rPr>
                              <w:t>El Gobierno del Principado de Mónaco, junto con la Comisión del Mar de los Sargazos y la Secretaría de la CMS, han presentado la propuesta adjunta* de acción concertada para la anguila europea (</w:t>
                            </w:r>
                            <w:r>
                              <w:rPr>
                                <w:rFonts w:ascii="Arial" w:hAnsi="Arial"/>
                                <w:i/>
                                <w:sz w:val="22"/>
                                <w:szCs w:val="22"/>
                              </w:rPr>
                              <w:t>Anguilla anguilla)</w:t>
                            </w:r>
                            <w:r>
                              <w:rPr>
                                <w:rFonts w:ascii="Arial" w:hAnsi="Arial"/>
                                <w:sz w:val="22"/>
                                <w:szCs w:val="22"/>
                              </w:rPr>
                              <w:t xml:space="preserve"> de conformidad con el proceso descrito en el párrafo 4 y el Anexo 3 de la Resolución 11.13.</w:t>
                            </w:r>
                          </w:p>
                          <w:p w:rsidR="005D790E" w:rsidRPr="007A7C37" w:rsidRDefault="005D790E" w:rsidP="005D790E">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16CD" id="Text Box 4" o:spid="_x0000_s1027" type="#_x0000_t202" style="position:absolute;margin-left:71.6pt;margin-top:7.25pt;width:331.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xpLQIAAFgEAAAOAAAAZHJzL2Uyb0RvYy54bWysVNtu2zAMfR+wfxD0vtjOnD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" strokeweight=".25pt">
                <v:textbox>
                  <w:txbxContent>
                    <w:p w:rsidR="005D790E" w:rsidRPr="00214FEA" w:rsidRDefault="005D790E" w:rsidP="00902C3A">
                      <w:pPr>
                        <w:rPr>
                          <w:rFonts w:ascii="Arial" w:hAnsi="Arial" w:cs="Arial"/>
                          <w:sz w:val="22"/>
                          <w:szCs w:val="22"/>
                        </w:rPr>
                      </w:pPr>
                      <w:r>
                        <w:rPr>
                          <w:rFonts w:ascii="Arial" w:hAnsi="Arial"/>
                          <w:sz w:val="22"/>
                          <w:szCs w:val="22"/>
                        </w:rPr>
                        <w:t>Resumen:</w:t>
                      </w:r>
                    </w:p>
                    <w:p w:rsidR="005D790E" w:rsidRPr="00214FEA" w:rsidRDefault="005D790E" w:rsidP="00902C3A">
                      <w:pPr>
                        <w:rPr>
                          <w:rFonts w:ascii="Arial" w:hAnsi="Arial" w:cs="Arial"/>
                          <w:i/>
                          <w:sz w:val="22"/>
                          <w:szCs w:val="22"/>
                        </w:rPr>
                      </w:pPr>
                    </w:p>
                    <w:p w:rsidR="005D790E" w:rsidRPr="00214FEA" w:rsidRDefault="005D790E" w:rsidP="00902C3A">
                      <w:pPr>
                        <w:jc w:val="both"/>
                        <w:rPr>
                          <w:rFonts w:ascii="Arial" w:hAnsi="Arial" w:cs="Arial"/>
                          <w:sz w:val="22"/>
                          <w:szCs w:val="22"/>
                        </w:rPr>
                      </w:pPr>
                      <w:r>
                        <w:rPr>
                          <w:rFonts w:ascii="Arial" w:hAnsi="Arial"/>
                          <w:sz w:val="22"/>
                          <w:szCs w:val="22"/>
                        </w:rPr>
                        <w:t>El Gobierno del Principado de Mónaco, junto con la Comisión del Mar de los Sargazos y la Secretaría de la CMS, han presentado la propuesta adjunta* de acción concertada para la anguila europea (</w:t>
                      </w:r>
                      <w:r>
                        <w:rPr>
                          <w:rFonts w:ascii="Arial" w:hAnsi="Arial"/>
                          <w:i/>
                          <w:sz w:val="22"/>
                          <w:szCs w:val="22"/>
                        </w:rPr>
                        <w:t>Anguilla anguilla)</w:t>
                      </w:r>
                      <w:r>
                        <w:rPr>
                          <w:rFonts w:ascii="Arial" w:hAnsi="Arial"/>
                          <w:sz w:val="22"/>
                          <w:szCs w:val="22"/>
                        </w:rPr>
                        <w:t xml:space="preserve"> de conformidad con el proceso descrito en el párrafo 4 y el Anexo 3 de la Resolución 11.13.</w:t>
                      </w:r>
                    </w:p>
                    <w:p w:rsidR="005D790E" w:rsidRPr="007A7C37" w:rsidRDefault="005D790E" w:rsidP="005D790E">
                      <w:pPr>
                        <w:rPr>
                          <w:rFonts w:cs="Arial"/>
                          <w:sz w:val="22"/>
                          <w:szCs w:val="22"/>
                        </w:rPr>
                      </w:pPr>
                    </w:p>
                  </w:txbxContent>
                </v:textbox>
              </v:shape>
            </w:pict>
          </mc:Fallback>
        </mc:AlternateContent>
      </w: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rPr>
          <w:rFonts w:cs="Arial"/>
          <w:sz w:val="21"/>
          <w:szCs w:val="21"/>
        </w:rPr>
      </w:pPr>
    </w:p>
    <w:p w:rsidR="005D790E" w:rsidRPr="00166CF0" w:rsidRDefault="005D790E" w:rsidP="005D790E">
      <w:pPr>
        <w:tabs>
          <w:tab w:val="left" w:pos="1020"/>
        </w:tabs>
        <w:rPr>
          <w:rFonts w:ascii="Arial" w:hAnsi="Arial" w:cs="Arial"/>
          <w:szCs w:val="20"/>
        </w:rPr>
      </w:pPr>
    </w:p>
    <w:p w:rsidR="004E6B67" w:rsidRPr="00166CF0" w:rsidRDefault="004E6B67" w:rsidP="005D790E">
      <w:pPr>
        <w:tabs>
          <w:tab w:val="left" w:pos="1020"/>
        </w:tabs>
        <w:rPr>
          <w:rFonts w:ascii="Arial" w:hAnsi="Arial" w:cs="Arial"/>
          <w:szCs w:val="20"/>
        </w:rPr>
      </w:pPr>
    </w:p>
    <w:p w:rsidR="004E6B67" w:rsidRPr="00166CF0" w:rsidRDefault="004E6B67" w:rsidP="004E6B67">
      <w:pPr>
        <w:jc w:val="both"/>
        <w:rPr>
          <w:rFonts w:ascii="Arial" w:hAnsi="Arial" w:cs="Arial"/>
          <w:sz w:val="18"/>
          <w:szCs w:val="18"/>
        </w:rPr>
      </w:pPr>
      <w:r w:rsidRPr="00166CF0">
        <w:rPr>
          <w:rFonts w:ascii="Arial" w:hAnsi="Arial"/>
          <w:sz w:val="18"/>
          <w:szCs w:val="18"/>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4E6B67" w:rsidRPr="00166CF0" w:rsidRDefault="004E6B67" w:rsidP="005D790E">
      <w:pPr>
        <w:tabs>
          <w:tab w:val="left" w:pos="1020"/>
        </w:tabs>
        <w:rPr>
          <w:rFonts w:cs="Arial"/>
          <w:sz w:val="22"/>
          <w:szCs w:val="22"/>
        </w:rPr>
      </w:pPr>
    </w:p>
    <w:p w:rsidR="005D790E" w:rsidRDefault="005D790E" w:rsidP="00902C3A">
      <w:pPr>
        <w:tabs>
          <w:tab w:val="left" w:pos="1020"/>
        </w:tabs>
        <w:rPr>
          <w:rFonts w:cs="Arial"/>
          <w:sz w:val="22"/>
          <w:szCs w:val="22"/>
        </w:rPr>
      </w:pPr>
    </w:p>
    <w:p w:rsidR="00902C3A" w:rsidRDefault="00902C3A" w:rsidP="00902C3A">
      <w:pPr>
        <w:tabs>
          <w:tab w:val="left" w:pos="1020"/>
        </w:tabs>
        <w:rPr>
          <w:rFonts w:cs="Arial"/>
          <w:sz w:val="22"/>
          <w:szCs w:val="22"/>
        </w:rPr>
      </w:pPr>
    </w:p>
    <w:p w:rsidR="00902C3A" w:rsidRPr="00166CF0" w:rsidRDefault="00902C3A" w:rsidP="00902C3A">
      <w:pPr>
        <w:tabs>
          <w:tab w:val="left" w:pos="1020"/>
        </w:tabs>
        <w:rPr>
          <w:rFonts w:cs="Arial"/>
          <w:sz w:val="22"/>
          <w:szCs w:val="22"/>
        </w:rPr>
      </w:pPr>
    </w:p>
    <w:tbl>
      <w:tblPr>
        <w:tblStyle w:val="TableGrid"/>
        <w:tblW w:w="0" w:type="auto"/>
        <w:tblLook w:val="04A0" w:firstRow="1" w:lastRow="0" w:firstColumn="1" w:lastColumn="0" w:noHBand="0" w:noVBand="1"/>
      </w:tblPr>
      <w:tblGrid>
        <w:gridCol w:w="1921"/>
        <w:gridCol w:w="7148"/>
      </w:tblGrid>
      <w:tr w:rsidR="005D790E" w:rsidRPr="00166CF0" w:rsidTr="00902C3A">
        <w:tc>
          <w:tcPr>
            <w:tcW w:w="9360" w:type="dxa"/>
            <w:gridSpan w:val="2"/>
            <w:tcBorders>
              <w:top w:val="nil"/>
              <w:left w:val="nil"/>
              <w:right w:val="nil"/>
            </w:tcBorders>
            <w:shd w:val="clear" w:color="auto" w:fill="auto"/>
          </w:tcPr>
          <w:p w:rsidR="005D790E" w:rsidRPr="00166CF0" w:rsidRDefault="005D790E" w:rsidP="00902C3A">
            <w:pPr>
              <w:widowControl/>
              <w:autoSpaceDE/>
              <w:autoSpaceDN/>
              <w:adjustRightInd/>
              <w:spacing w:before="40" w:after="40"/>
              <w:jc w:val="center"/>
              <w:rPr>
                <w:rFonts w:ascii="Arial" w:eastAsia="MS Mincho" w:hAnsi="Arial" w:cs="Arial"/>
                <w:b/>
                <w:color w:val="000000"/>
                <w:sz w:val="22"/>
                <w:szCs w:val="22"/>
              </w:rPr>
            </w:pPr>
            <w:r w:rsidRPr="00166CF0">
              <w:rPr>
                <w:rFonts w:ascii="Arial" w:hAnsi="Arial"/>
                <w:b/>
                <w:color w:val="000000"/>
                <w:sz w:val="22"/>
                <w:szCs w:val="22"/>
              </w:rPr>
              <w:t xml:space="preserve">ACCIÓN CONCERTADA PARA LA ANGUILA EUROPEA </w:t>
            </w:r>
          </w:p>
          <w:p w:rsidR="005D790E" w:rsidRPr="00166CF0" w:rsidRDefault="005D790E" w:rsidP="00902C3A">
            <w:pPr>
              <w:widowControl/>
              <w:autoSpaceDE/>
              <w:autoSpaceDN/>
              <w:adjustRightInd/>
              <w:spacing w:before="40" w:after="40"/>
              <w:jc w:val="center"/>
              <w:rPr>
                <w:rFonts w:ascii="Arial" w:eastAsia="MS Mincho" w:hAnsi="Arial" w:cs="Arial"/>
                <w:b/>
                <w:color w:val="000000"/>
                <w:sz w:val="22"/>
                <w:szCs w:val="22"/>
              </w:rPr>
            </w:pPr>
            <w:r w:rsidRPr="00166CF0">
              <w:rPr>
                <w:rFonts w:ascii="Arial" w:hAnsi="Arial"/>
                <w:b/>
                <w:i/>
                <w:color w:val="000000"/>
                <w:sz w:val="22"/>
                <w:szCs w:val="22"/>
              </w:rPr>
              <w:t xml:space="preserve">(Anguilla anguilla) </w:t>
            </w:r>
          </w:p>
          <w:p w:rsidR="005D790E" w:rsidRPr="00166CF0" w:rsidRDefault="005D790E" w:rsidP="00902C3A">
            <w:pPr>
              <w:widowControl/>
              <w:autoSpaceDE/>
              <w:autoSpaceDN/>
              <w:adjustRightInd/>
              <w:spacing w:before="40" w:after="40"/>
              <w:jc w:val="center"/>
              <w:rPr>
                <w:rFonts w:ascii="Arial" w:eastAsia="MS Mincho" w:hAnsi="Arial" w:cs="Arial"/>
                <w:b/>
                <w:i/>
                <w:color w:val="000000"/>
                <w:sz w:val="22"/>
                <w:szCs w:val="22"/>
                <w:lang w:eastAsia="ja-JP"/>
              </w:rPr>
            </w:pPr>
          </w:p>
        </w:tc>
      </w:tr>
      <w:tr w:rsidR="005D790E" w:rsidRPr="00166CF0" w:rsidTr="00902C3A">
        <w:tc>
          <w:tcPr>
            <w:tcW w:w="1931" w:type="dxa"/>
          </w:tcPr>
          <w:p w:rsidR="005D790E" w:rsidRPr="00166CF0" w:rsidRDefault="005D790E" w:rsidP="00EB1B0B">
            <w:pPr>
              <w:widowControl/>
              <w:autoSpaceDE/>
              <w:autoSpaceDN/>
              <w:adjustRightInd/>
              <w:spacing w:before="40" w:after="40"/>
              <w:rPr>
                <w:rFonts w:ascii="Arial" w:eastAsia="MS Mincho" w:hAnsi="Arial" w:cs="Arial"/>
                <w:b/>
                <w:sz w:val="22"/>
                <w:szCs w:val="22"/>
              </w:rPr>
            </w:pPr>
            <w:proofErr w:type="spellStart"/>
            <w:r w:rsidRPr="00166CF0">
              <w:rPr>
                <w:rFonts w:ascii="Arial" w:hAnsi="Arial"/>
                <w:b/>
                <w:sz w:val="22"/>
                <w:szCs w:val="22"/>
                <w:lang w:val="en-GB" w:eastAsia="en-GB"/>
              </w:rPr>
              <w:t>Proponente</w:t>
            </w:r>
            <w:proofErr w:type="spellEnd"/>
          </w:p>
        </w:tc>
        <w:tc>
          <w:tcPr>
            <w:tcW w:w="7429" w:type="dxa"/>
            <w:shd w:val="clear" w:color="auto" w:fill="auto"/>
          </w:tcPr>
          <w:p w:rsidR="005D790E" w:rsidRPr="00166CF0" w:rsidRDefault="005D790E" w:rsidP="00902C3A">
            <w:pPr>
              <w:widowControl/>
              <w:autoSpaceDE/>
              <w:autoSpaceDN/>
              <w:adjustRightInd/>
              <w:jc w:val="both"/>
              <w:rPr>
                <w:rFonts w:ascii="Arial" w:eastAsia="MS Mincho" w:hAnsi="Arial" w:cs="Arial"/>
                <w:sz w:val="22"/>
                <w:szCs w:val="22"/>
              </w:rPr>
            </w:pPr>
            <w:r w:rsidRPr="00166CF0">
              <w:rPr>
                <w:rFonts w:ascii="Arial" w:hAnsi="Arial"/>
                <w:sz w:val="22"/>
                <w:szCs w:val="22"/>
              </w:rPr>
              <w:t>El Gobierno del Principado de Mónaco, en colaboración con la Comisión del Mar de los Sargazos y la Secretaría de la CMS.</w:t>
            </w:r>
          </w:p>
          <w:p w:rsidR="005D790E" w:rsidRPr="00166CF0" w:rsidRDefault="005D790E" w:rsidP="00EB1B0B">
            <w:pPr>
              <w:widowControl/>
              <w:autoSpaceDE/>
              <w:autoSpaceDN/>
              <w:adjustRightInd/>
              <w:jc w:val="both"/>
              <w:rPr>
                <w:rFonts w:ascii="Arial" w:eastAsia="MS Mincho" w:hAnsi="Arial" w:cs="Arial"/>
                <w:sz w:val="22"/>
                <w:szCs w:val="22"/>
                <w:lang w:eastAsia="en-GB"/>
              </w:rPr>
            </w:pPr>
          </w:p>
          <w:p w:rsidR="005D790E" w:rsidRPr="00166CF0" w:rsidRDefault="005D790E" w:rsidP="00EB1B0B">
            <w:pPr>
              <w:widowControl/>
              <w:autoSpaceDE/>
              <w:autoSpaceDN/>
              <w:adjustRightInd/>
              <w:jc w:val="both"/>
              <w:rPr>
                <w:rFonts w:ascii="Arial" w:eastAsia="MS Mincho" w:hAnsi="Arial" w:cs="Arial"/>
                <w:sz w:val="22"/>
                <w:szCs w:val="22"/>
              </w:rPr>
            </w:pPr>
            <w:r w:rsidRPr="00902C3A">
              <w:rPr>
                <w:rFonts w:ascii="Arial" w:hAnsi="Arial"/>
                <w:sz w:val="22"/>
                <w:szCs w:val="22"/>
              </w:rPr>
              <w:t xml:space="preserve">Mónaco propuso la inclusión de la </w:t>
            </w:r>
            <w:r w:rsidRPr="00902C3A">
              <w:rPr>
                <w:rFonts w:ascii="Arial" w:hAnsi="Arial"/>
                <w:i/>
                <w:sz w:val="22"/>
                <w:szCs w:val="22"/>
              </w:rPr>
              <w:t xml:space="preserve">Anguilla </w:t>
            </w:r>
            <w:proofErr w:type="spellStart"/>
            <w:r w:rsidRPr="00902C3A">
              <w:rPr>
                <w:rFonts w:ascii="Arial" w:hAnsi="Arial"/>
                <w:i/>
                <w:sz w:val="22"/>
                <w:szCs w:val="22"/>
              </w:rPr>
              <w:t>anguilla</w:t>
            </w:r>
            <w:proofErr w:type="spellEnd"/>
            <w:r w:rsidRPr="00902C3A">
              <w:rPr>
                <w:rFonts w:ascii="Arial" w:hAnsi="Arial"/>
                <w:sz w:val="22"/>
                <w:szCs w:val="22"/>
              </w:rPr>
              <w:t xml:space="preserve"> en el Apéndice II de la CMS en 2014.</w:t>
            </w:r>
            <w:r w:rsidR="001B67B3" w:rsidRPr="00902C3A">
              <w:rPr>
                <w:rFonts w:ascii="Arial" w:hAnsi="Arial"/>
                <w:sz w:val="22"/>
                <w:szCs w:val="22"/>
              </w:rPr>
              <w:t xml:space="preserve"> </w:t>
            </w:r>
            <w:r w:rsidRPr="00902C3A">
              <w:rPr>
                <w:rFonts w:ascii="Arial" w:hAnsi="Arial"/>
                <w:sz w:val="22"/>
                <w:szCs w:val="22"/>
              </w:rPr>
              <w:t xml:space="preserve">La Comisión del Mar de los Sargazos había encargado el estudio de ciencia básica para la inclusión de la </w:t>
            </w:r>
            <w:r w:rsidRPr="00902C3A">
              <w:rPr>
                <w:rFonts w:ascii="Arial" w:hAnsi="Arial"/>
                <w:i/>
                <w:sz w:val="22"/>
                <w:szCs w:val="22"/>
              </w:rPr>
              <w:t xml:space="preserve">Anguilla </w:t>
            </w:r>
            <w:proofErr w:type="spellStart"/>
            <w:r w:rsidRPr="00902C3A">
              <w:rPr>
                <w:rFonts w:ascii="Arial" w:hAnsi="Arial"/>
                <w:i/>
                <w:sz w:val="22"/>
                <w:szCs w:val="22"/>
              </w:rPr>
              <w:t>anguilla</w:t>
            </w:r>
            <w:proofErr w:type="spellEnd"/>
            <w:r w:rsidRPr="00902C3A">
              <w:rPr>
                <w:rFonts w:ascii="Arial" w:hAnsi="Arial"/>
                <w:sz w:val="22"/>
                <w:szCs w:val="22"/>
              </w:rPr>
              <w:t xml:space="preserve"> en el Apéndice II, al que Mónaco recurrió al exponer sus argumentos a favor de la inclusión en el Consejo Científico y en la COP en 2014. Posteriormente, la Comisión del Mar de los Sargazos trabajó con la Secretaría de la CMS, Mónaco, el Grupo de Especialistas en </w:t>
            </w:r>
            <w:proofErr w:type="spellStart"/>
            <w:r w:rsidRPr="00902C3A">
              <w:rPr>
                <w:rFonts w:ascii="Arial" w:hAnsi="Arial"/>
                <w:sz w:val="22"/>
                <w:szCs w:val="22"/>
              </w:rPr>
              <w:t>Angílidos</w:t>
            </w:r>
            <w:proofErr w:type="spellEnd"/>
            <w:r w:rsidRPr="00902C3A">
              <w:rPr>
                <w:rFonts w:ascii="Arial" w:hAnsi="Arial"/>
                <w:sz w:val="22"/>
                <w:szCs w:val="22"/>
              </w:rPr>
              <w:t xml:space="preserve"> de la Unión Internacional para la Conservación de la Naturaleza (UICN) y la Sociedad Zoológica de Londres para reunir a los Estados del Área de Distribución de la anguila europea en un taller inicial que tuvo lugar en Galway (Irlanda) en 2016.</w:t>
            </w:r>
            <w:r w:rsidRPr="00166CF0">
              <w:rPr>
                <w:rFonts w:ascii="Arial" w:hAnsi="Arial"/>
                <w:sz w:val="22"/>
                <w:szCs w:val="22"/>
              </w:rPr>
              <w:t xml:space="preserve"> </w:t>
            </w:r>
          </w:p>
        </w:tc>
      </w:tr>
      <w:tr w:rsidR="005D790E" w:rsidRPr="00166CF0" w:rsidTr="00902C3A">
        <w:tc>
          <w:tcPr>
            <w:tcW w:w="1931" w:type="dxa"/>
            <w:shd w:val="clear" w:color="auto" w:fill="auto"/>
          </w:tcPr>
          <w:p w:rsidR="005D790E" w:rsidRPr="00166CF0" w:rsidRDefault="005D790E" w:rsidP="00EB1B0B">
            <w:pPr>
              <w:widowControl/>
              <w:autoSpaceDE/>
              <w:autoSpaceDN/>
              <w:adjustRightInd/>
              <w:spacing w:before="40" w:after="40"/>
              <w:rPr>
                <w:rFonts w:ascii="Arial" w:eastAsia="MS Mincho" w:hAnsi="Arial" w:cs="Arial"/>
                <w:b/>
                <w:sz w:val="22"/>
                <w:szCs w:val="22"/>
              </w:rPr>
            </w:pPr>
            <w:r w:rsidRPr="00166CF0">
              <w:rPr>
                <w:rFonts w:ascii="Arial" w:hAnsi="Arial"/>
                <w:b/>
                <w:sz w:val="22"/>
                <w:szCs w:val="22"/>
              </w:rPr>
              <w:t>Especie, taxón inferior o población objetivo, o grupo de taxones con necesidades comunes</w:t>
            </w:r>
          </w:p>
        </w:tc>
        <w:tc>
          <w:tcPr>
            <w:tcW w:w="7429" w:type="dxa"/>
          </w:tcPr>
          <w:p w:rsidR="005D790E" w:rsidRPr="00902C3A" w:rsidRDefault="005D790E" w:rsidP="00EB1B0B">
            <w:pPr>
              <w:widowControl/>
              <w:rPr>
                <w:rFonts w:ascii="Arial" w:hAnsi="Arial" w:cs="Arial"/>
                <w:sz w:val="22"/>
                <w:szCs w:val="22"/>
                <w:lang w:val="fr-FR"/>
              </w:rPr>
            </w:pPr>
            <w:proofErr w:type="gramStart"/>
            <w:r w:rsidRPr="00166CF0">
              <w:rPr>
                <w:rFonts w:ascii="Arial" w:hAnsi="Arial"/>
                <w:bCs/>
                <w:sz w:val="22"/>
                <w:szCs w:val="22"/>
                <w:lang w:val="fr-FR"/>
              </w:rPr>
              <w:t>Classe:</w:t>
            </w:r>
            <w:proofErr w:type="gramEnd"/>
            <w:r w:rsidRPr="00166CF0">
              <w:rPr>
                <w:rFonts w:ascii="Arial" w:hAnsi="Arial"/>
                <w:bCs/>
                <w:sz w:val="22"/>
                <w:szCs w:val="22"/>
                <w:lang w:val="fr-FR"/>
              </w:rPr>
              <w:t xml:space="preserve"> </w:t>
            </w:r>
            <w:proofErr w:type="spellStart"/>
            <w:r w:rsidRPr="00166CF0">
              <w:rPr>
                <w:rFonts w:ascii="Arial" w:hAnsi="Arial"/>
                <w:sz w:val="22"/>
                <w:szCs w:val="22"/>
                <w:lang w:val="fr-FR"/>
              </w:rPr>
              <w:t>Actinopterygii</w:t>
            </w:r>
            <w:proofErr w:type="spellEnd"/>
          </w:p>
          <w:p w:rsidR="005D790E" w:rsidRPr="00902C3A" w:rsidRDefault="005D790E" w:rsidP="00EB1B0B">
            <w:pPr>
              <w:widowControl/>
              <w:rPr>
                <w:rFonts w:ascii="Arial" w:hAnsi="Arial" w:cs="Arial"/>
                <w:sz w:val="22"/>
                <w:szCs w:val="22"/>
                <w:lang w:val="fr-FR"/>
              </w:rPr>
            </w:pPr>
            <w:proofErr w:type="gramStart"/>
            <w:r w:rsidRPr="00166CF0">
              <w:rPr>
                <w:rFonts w:ascii="Arial" w:hAnsi="Arial"/>
                <w:bCs/>
                <w:sz w:val="22"/>
                <w:szCs w:val="22"/>
                <w:lang w:val="fr-FR"/>
              </w:rPr>
              <w:t>Ordre:</w:t>
            </w:r>
            <w:proofErr w:type="gramEnd"/>
            <w:r w:rsidRPr="00166CF0">
              <w:rPr>
                <w:rFonts w:ascii="Arial" w:hAnsi="Arial"/>
                <w:bCs/>
                <w:sz w:val="22"/>
                <w:szCs w:val="22"/>
                <w:lang w:val="fr-FR"/>
              </w:rPr>
              <w:t xml:space="preserve"> </w:t>
            </w:r>
            <w:r w:rsidRPr="00166CF0">
              <w:rPr>
                <w:rFonts w:ascii="Arial" w:hAnsi="Arial"/>
                <w:sz w:val="22"/>
                <w:szCs w:val="22"/>
                <w:lang w:val="fr-FR"/>
              </w:rPr>
              <w:t>Anguilliformes</w:t>
            </w:r>
          </w:p>
          <w:p w:rsidR="005D790E" w:rsidRPr="00902C3A" w:rsidRDefault="005D790E" w:rsidP="00EB1B0B">
            <w:pPr>
              <w:widowControl/>
              <w:rPr>
                <w:rFonts w:ascii="Arial" w:hAnsi="Arial" w:cs="Arial"/>
                <w:sz w:val="22"/>
                <w:szCs w:val="22"/>
                <w:lang w:val="fr-FR"/>
              </w:rPr>
            </w:pPr>
            <w:proofErr w:type="gramStart"/>
            <w:r w:rsidRPr="00166CF0">
              <w:rPr>
                <w:rFonts w:ascii="Arial" w:hAnsi="Arial"/>
                <w:bCs/>
                <w:sz w:val="22"/>
                <w:szCs w:val="22"/>
                <w:lang w:val="fr-FR"/>
              </w:rPr>
              <w:t>Famille:</w:t>
            </w:r>
            <w:proofErr w:type="gramEnd"/>
            <w:r w:rsidRPr="00166CF0">
              <w:rPr>
                <w:rFonts w:ascii="Arial" w:hAnsi="Arial"/>
                <w:bCs/>
                <w:sz w:val="22"/>
                <w:szCs w:val="22"/>
                <w:lang w:val="fr-FR"/>
              </w:rPr>
              <w:t xml:space="preserve"> </w:t>
            </w:r>
            <w:proofErr w:type="spellStart"/>
            <w:r w:rsidRPr="00166CF0">
              <w:rPr>
                <w:rFonts w:ascii="Arial" w:hAnsi="Arial"/>
                <w:sz w:val="22"/>
                <w:szCs w:val="22"/>
                <w:lang w:val="fr-FR"/>
              </w:rPr>
              <w:t>Anguillidae</w:t>
            </w:r>
            <w:proofErr w:type="spellEnd"/>
          </w:p>
          <w:p w:rsidR="005D790E" w:rsidRPr="00166CF0" w:rsidRDefault="005D790E" w:rsidP="00EB1B0B">
            <w:pPr>
              <w:widowControl/>
              <w:rPr>
                <w:rFonts w:ascii="Arial" w:hAnsi="Arial" w:cs="Arial"/>
                <w:sz w:val="22"/>
                <w:szCs w:val="22"/>
              </w:rPr>
            </w:pPr>
            <w:proofErr w:type="spellStart"/>
            <w:r w:rsidRPr="00166CF0">
              <w:rPr>
                <w:rFonts w:ascii="Arial" w:hAnsi="Arial"/>
                <w:bCs/>
                <w:sz w:val="22"/>
                <w:szCs w:val="22"/>
              </w:rPr>
              <w:t>Genre</w:t>
            </w:r>
            <w:proofErr w:type="spellEnd"/>
            <w:r w:rsidRPr="00166CF0">
              <w:rPr>
                <w:rFonts w:ascii="Arial" w:hAnsi="Arial"/>
                <w:bCs/>
                <w:sz w:val="22"/>
                <w:szCs w:val="22"/>
              </w:rPr>
              <w:t xml:space="preserve">: </w:t>
            </w:r>
            <w:r w:rsidRPr="00166CF0">
              <w:rPr>
                <w:rFonts w:ascii="Arial" w:hAnsi="Arial"/>
                <w:sz w:val="22"/>
                <w:szCs w:val="22"/>
              </w:rPr>
              <w:t>Anguilla</w:t>
            </w:r>
          </w:p>
          <w:p w:rsidR="005D790E" w:rsidRPr="00166CF0" w:rsidRDefault="005D790E" w:rsidP="00EB1B0B">
            <w:proofErr w:type="spellStart"/>
            <w:r w:rsidRPr="00166CF0">
              <w:rPr>
                <w:rFonts w:ascii="Arial" w:hAnsi="Arial"/>
                <w:bCs/>
                <w:sz w:val="22"/>
                <w:szCs w:val="22"/>
              </w:rPr>
              <w:t>Espèce</w:t>
            </w:r>
            <w:proofErr w:type="spellEnd"/>
            <w:r w:rsidRPr="00166CF0">
              <w:rPr>
                <w:rFonts w:ascii="Arial" w:hAnsi="Arial"/>
                <w:bCs/>
                <w:sz w:val="22"/>
                <w:szCs w:val="22"/>
              </w:rPr>
              <w:t>:</w:t>
            </w:r>
            <w:r w:rsidRPr="00166CF0">
              <w:rPr>
                <w:rFonts w:ascii="Arial" w:hAnsi="Arial"/>
                <w:b/>
                <w:bCs/>
                <w:sz w:val="22"/>
                <w:szCs w:val="22"/>
              </w:rPr>
              <w:t xml:space="preserve"> </w:t>
            </w:r>
            <w:r w:rsidRPr="00166CF0">
              <w:rPr>
                <w:rFonts w:ascii="Arial" w:hAnsi="Arial"/>
                <w:sz w:val="22"/>
                <w:szCs w:val="22"/>
              </w:rPr>
              <w:t>A. anguilla</w:t>
            </w:r>
            <w:r w:rsidRPr="00166CF0">
              <w:t xml:space="preserve"> </w:t>
            </w:r>
          </w:p>
          <w:p w:rsidR="005D790E" w:rsidRPr="00166CF0" w:rsidRDefault="005D790E" w:rsidP="00EB1B0B"/>
          <w:p w:rsidR="005D790E" w:rsidRPr="00166CF0" w:rsidRDefault="005D790E" w:rsidP="00EB1B0B">
            <w:pPr>
              <w:rPr>
                <w:rFonts w:ascii="Arial" w:eastAsia="MS Mincho" w:hAnsi="Arial" w:cs="Arial"/>
                <w:i/>
                <w:color w:val="0000FF"/>
                <w:sz w:val="22"/>
                <w:szCs w:val="22"/>
              </w:rPr>
            </w:pPr>
            <w:r w:rsidRPr="00902C3A">
              <w:rPr>
                <w:rFonts w:ascii="Arial" w:hAnsi="Arial"/>
                <w:sz w:val="22"/>
                <w:szCs w:val="22"/>
              </w:rPr>
              <w:t>Incluida en el Apéndice II de la CMS, 2014</w:t>
            </w:r>
          </w:p>
        </w:tc>
      </w:tr>
      <w:tr w:rsidR="005D790E" w:rsidRPr="00166CF0" w:rsidTr="00EB1B0B">
        <w:tc>
          <w:tcPr>
            <w:tcW w:w="1931" w:type="dxa"/>
          </w:tcPr>
          <w:p w:rsidR="005D790E" w:rsidRPr="00166CF0" w:rsidRDefault="005D790E" w:rsidP="00322514">
            <w:pPr>
              <w:widowControl/>
              <w:autoSpaceDE/>
              <w:autoSpaceDN/>
              <w:adjustRightInd/>
              <w:spacing w:before="40" w:after="40"/>
              <w:rPr>
                <w:rFonts w:ascii="Arial" w:eastAsia="MS Mincho" w:hAnsi="Arial" w:cs="Arial"/>
                <w:b/>
                <w:sz w:val="22"/>
                <w:szCs w:val="22"/>
              </w:rPr>
            </w:pPr>
            <w:r w:rsidRPr="00166CF0">
              <w:rPr>
                <w:rFonts w:ascii="Arial" w:hAnsi="Arial"/>
                <w:b/>
                <w:sz w:val="22"/>
                <w:szCs w:val="22"/>
                <w:lang w:eastAsia="en-GB"/>
              </w:rPr>
              <w:t>Distribuci</w:t>
            </w:r>
            <w:r w:rsidRPr="00166CF0">
              <w:rPr>
                <w:rFonts w:ascii="Arial" w:hAnsi="Arial"/>
                <w:b/>
                <w:sz w:val="22"/>
                <w:szCs w:val="22"/>
              </w:rPr>
              <w:t>ó</w:t>
            </w:r>
            <w:r w:rsidRPr="00166CF0">
              <w:rPr>
                <w:rFonts w:ascii="Arial" w:hAnsi="Arial"/>
                <w:b/>
                <w:sz w:val="22"/>
                <w:szCs w:val="22"/>
                <w:lang w:eastAsia="en-GB"/>
              </w:rPr>
              <w:t xml:space="preserve">n </w:t>
            </w:r>
          </w:p>
        </w:tc>
        <w:tc>
          <w:tcPr>
            <w:tcW w:w="7429" w:type="dxa"/>
          </w:tcPr>
          <w:p w:rsidR="004C395E" w:rsidRPr="00166CF0" w:rsidRDefault="00931582" w:rsidP="00322514">
            <w:pPr>
              <w:widowControl/>
              <w:autoSpaceDE/>
              <w:autoSpaceDN/>
              <w:adjustRightInd/>
              <w:jc w:val="both"/>
              <w:rPr>
                <w:rFonts w:ascii="Arial" w:hAnsi="Arial" w:cs="Arial"/>
                <w:sz w:val="21"/>
                <w:szCs w:val="21"/>
              </w:rPr>
            </w:pPr>
            <w:r w:rsidRPr="00166CF0">
              <w:rPr>
                <w:rFonts w:ascii="Arial" w:hAnsi="Arial"/>
                <w:sz w:val="21"/>
                <w:szCs w:val="21"/>
              </w:rPr>
              <w:t>La etapa de crecimiento continental – anguila amarilla –ocurre en masas de agua dulce, estuarios y aguas costeras de los estados del área de distribución (</w:t>
            </w:r>
            <w:proofErr w:type="spellStart"/>
            <w:r w:rsidRPr="00166CF0">
              <w:rPr>
                <w:rFonts w:ascii="Arial" w:hAnsi="Arial"/>
                <w:sz w:val="21"/>
                <w:szCs w:val="21"/>
              </w:rPr>
              <w:t>Moriarty</w:t>
            </w:r>
            <w:proofErr w:type="spellEnd"/>
            <w:r w:rsidRPr="00166CF0">
              <w:rPr>
                <w:rFonts w:ascii="Arial" w:hAnsi="Arial"/>
                <w:sz w:val="21"/>
                <w:szCs w:val="21"/>
              </w:rPr>
              <w:t xml:space="preserve"> y </w:t>
            </w:r>
            <w:proofErr w:type="spellStart"/>
            <w:r w:rsidRPr="00166CF0">
              <w:rPr>
                <w:rFonts w:ascii="Arial" w:hAnsi="Arial"/>
                <w:sz w:val="21"/>
                <w:szCs w:val="21"/>
              </w:rPr>
              <w:t>Dekker</w:t>
            </w:r>
            <w:proofErr w:type="spellEnd"/>
            <w:r w:rsidRPr="00166CF0">
              <w:rPr>
                <w:rFonts w:ascii="Arial" w:hAnsi="Arial"/>
                <w:sz w:val="21"/>
                <w:szCs w:val="21"/>
              </w:rPr>
              <w:t xml:space="preserve"> 1997) una parte de la vida de algunas Anguilla </w:t>
            </w:r>
            <w:proofErr w:type="spellStart"/>
            <w:r w:rsidRPr="00166CF0">
              <w:rPr>
                <w:rFonts w:ascii="Arial" w:hAnsi="Arial"/>
                <w:sz w:val="21"/>
                <w:szCs w:val="21"/>
              </w:rPr>
              <w:t>anguilla</w:t>
            </w:r>
            <w:proofErr w:type="spellEnd"/>
            <w:r w:rsidRPr="00166CF0">
              <w:rPr>
                <w:rFonts w:ascii="Arial" w:hAnsi="Arial"/>
                <w:sz w:val="21"/>
                <w:szCs w:val="21"/>
              </w:rPr>
              <w:t xml:space="preserve"> – tanto la migración reproductiva adulta como la posterior migración de las larvas –tiene lugar en mar abierto, tanto en las Zonas Económicas Exclusivas (ZEE) de los estados del área de distribución como en alta mar</w:t>
            </w:r>
          </w:p>
          <w:p w:rsidR="004C395E" w:rsidRPr="00166CF0" w:rsidRDefault="004C395E" w:rsidP="004C395E">
            <w:pPr>
              <w:widowControl/>
              <w:autoSpaceDE/>
              <w:autoSpaceDN/>
              <w:adjustRightInd/>
              <w:rPr>
                <w:rFonts w:ascii="Arial" w:hAnsi="Arial" w:cs="Arial"/>
                <w:sz w:val="21"/>
                <w:szCs w:val="21"/>
              </w:rPr>
            </w:pPr>
          </w:p>
          <w:p w:rsidR="005D790E" w:rsidRPr="00166CF0" w:rsidRDefault="005D790E" w:rsidP="00EB1B0B">
            <w:pPr>
              <w:widowControl/>
              <w:autoSpaceDE/>
              <w:autoSpaceDN/>
              <w:adjustRightInd/>
              <w:jc w:val="both"/>
              <w:rPr>
                <w:rFonts w:ascii="Arial" w:eastAsia="MS Mincho" w:hAnsi="Arial" w:cs="Arial"/>
                <w:sz w:val="22"/>
                <w:szCs w:val="22"/>
                <w:lang w:eastAsia="en-GB"/>
              </w:rPr>
            </w:pPr>
          </w:p>
          <w:p w:rsidR="005D790E" w:rsidRPr="00166CF0" w:rsidRDefault="00322514" w:rsidP="00322514">
            <w:pPr>
              <w:widowControl/>
              <w:autoSpaceDE/>
              <w:autoSpaceDN/>
              <w:adjustRightInd/>
              <w:jc w:val="both"/>
              <w:rPr>
                <w:rFonts w:ascii="Arial" w:hAnsi="Arial" w:cs="Arial"/>
                <w:sz w:val="21"/>
                <w:szCs w:val="21"/>
              </w:rPr>
            </w:pPr>
            <w:r w:rsidRPr="00166CF0">
              <w:rPr>
                <w:rFonts w:ascii="Arial" w:hAnsi="Arial"/>
                <w:sz w:val="21"/>
                <w:szCs w:val="21"/>
              </w:rPr>
              <w:t xml:space="preserve">Su área de distribución se describe desde el Cabo Norte en Noruega hacia el sur siguiendo la costa de Europa, todas las costas del Mediterráneo y la costa del Norte de África, así como Islandia </w:t>
            </w:r>
            <w:r w:rsidRPr="00166CF0">
              <w:rPr>
                <w:rFonts w:ascii="Arial" w:hAnsi="Arial"/>
                <w:color w:val="000000"/>
                <w:sz w:val="22"/>
                <w:szCs w:val="22"/>
              </w:rPr>
              <w:t xml:space="preserve">(Schmidt, 1922; </w:t>
            </w:r>
            <w:proofErr w:type="spellStart"/>
            <w:r w:rsidRPr="00166CF0">
              <w:rPr>
                <w:rFonts w:ascii="Arial" w:hAnsi="Arial"/>
                <w:color w:val="000000"/>
                <w:sz w:val="22"/>
                <w:szCs w:val="22"/>
              </w:rPr>
              <w:t>Dekker</w:t>
            </w:r>
            <w:proofErr w:type="spellEnd"/>
            <w:r w:rsidRPr="00166CF0">
              <w:rPr>
                <w:rFonts w:ascii="Arial" w:hAnsi="Arial"/>
                <w:color w:val="000000"/>
                <w:sz w:val="22"/>
                <w:szCs w:val="22"/>
              </w:rPr>
              <w:t>, 2003).</w:t>
            </w:r>
          </w:p>
        </w:tc>
      </w:tr>
      <w:tr w:rsidR="005D790E" w:rsidRPr="00166CF0" w:rsidTr="00902C3A">
        <w:tc>
          <w:tcPr>
            <w:tcW w:w="1931" w:type="dxa"/>
            <w:shd w:val="clear" w:color="auto" w:fill="auto"/>
          </w:tcPr>
          <w:p w:rsidR="005D790E" w:rsidRPr="00166CF0" w:rsidRDefault="005D790E" w:rsidP="00EB1B0B">
            <w:pPr>
              <w:spacing w:before="40" w:after="40"/>
              <w:rPr>
                <w:rFonts w:ascii="Arial" w:eastAsia="MS Mincho" w:hAnsi="Arial" w:cs="Arial"/>
                <w:b/>
                <w:sz w:val="22"/>
                <w:szCs w:val="22"/>
              </w:rPr>
            </w:pPr>
            <w:r w:rsidRPr="00166CF0">
              <w:rPr>
                <w:rFonts w:ascii="Arial" w:hAnsi="Arial"/>
                <w:b/>
                <w:sz w:val="22"/>
                <w:szCs w:val="22"/>
              </w:rPr>
              <w:t>Actividades y resultados esperados</w:t>
            </w:r>
          </w:p>
        </w:tc>
        <w:tc>
          <w:tcPr>
            <w:tcW w:w="7429" w:type="dxa"/>
            <w:shd w:val="clear" w:color="auto" w:fill="auto"/>
          </w:tcPr>
          <w:p w:rsidR="005D790E" w:rsidRPr="00166CF0" w:rsidRDefault="005D790E" w:rsidP="003531E5">
            <w:pPr>
              <w:pStyle w:val="ListParagraph"/>
              <w:widowControl/>
              <w:numPr>
                <w:ilvl w:val="0"/>
                <w:numId w:val="2"/>
              </w:numPr>
              <w:tabs>
                <w:tab w:val="left" w:pos="316"/>
                <w:tab w:val="left" w:pos="586"/>
                <w:tab w:val="left" w:pos="676"/>
              </w:tabs>
              <w:autoSpaceDE/>
              <w:autoSpaceDN/>
              <w:adjustRightInd/>
              <w:spacing w:before="40" w:after="40"/>
              <w:ind w:left="226" w:hanging="180"/>
              <w:jc w:val="both"/>
              <w:rPr>
                <w:rFonts w:eastAsia="MS Mincho" w:cs="Arial"/>
                <w:color w:val="000000" w:themeColor="text1"/>
                <w:sz w:val="22"/>
                <w:szCs w:val="22"/>
              </w:rPr>
            </w:pPr>
            <w:r w:rsidRPr="00166CF0">
              <w:rPr>
                <w:color w:val="000000" w:themeColor="text1"/>
                <w:sz w:val="22"/>
                <w:szCs w:val="22"/>
              </w:rPr>
              <w:t>Convocar una junta de política de los Estados del Área de Distribución para debatir los parámetros de un potencial instrumento de la CMS para la anguila europea.</w:t>
            </w:r>
            <w:r w:rsidR="001B67B3">
              <w:rPr>
                <w:color w:val="000000" w:themeColor="text1"/>
                <w:sz w:val="22"/>
                <w:szCs w:val="22"/>
              </w:rPr>
              <w:t xml:space="preserve"> </w:t>
            </w:r>
          </w:p>
          <w:p w:rsidR="005D790E" w:rsidRPr="00166CF0" w:rsidRDefault="005D790E" w:rsidP="00EB1B0B">
            <w:pPr>
              <w:ind w:left="226"/>
              <w:jc w:val="both"/>
              <w:rPr>
                <w:rFonts w:ascii="Arial" w:eastAsia="MS Mincho" w:hAnsi="Arial" w:cs="Arial"/>
                <w:color w:val="000000" w:themeColor="text1"/>
                <w:sz w:val="22"/>
                <w:szCs w:val="22"/>
              </w:rPr>
            </w:pPr>
            <w:r w:rsidRPr="00166CF0">
              <w:rPr>
                <w:rFonts w:ascii="Arial" w:hAnsi="Arial"/>
                <w:color w:val="000000" w:themeColor="text1"/>
                <w:sz w:val="22"/>
                <w:szCs w:val="22"/>
              </w:rPr>
              <w:t>Se celebró una primera reunión en Galway (Irlanda) en octubre de 2016.</w:t>
            </w:r>
            <w:r w:rsidR="001B67B3">
              <w:rPr>
                <w:rFonts w:ascii="Arial" w:hAnsi="Arial"/>
                <w:color w:val="000000" w:themeColor="text1"/>
                <w:sz w:val="22"/>
                <w:szCs w:val="22"/>
              </w:rPr>
              <w:t xml:space="preserve"> </w:t>
            </w:r>
            <w:r w:rsidRPr="00166CF0">
              <w:rPr>
                <w:rFonts w:ascii="Arial" w:hAnsi="Arial"/>
                <w:color w:val="000000" w:themeColor="text1"/>
                <w:sz w:val="22"/>
                <w:szCs w:val="22"/>
              </w:rPr>
              <w:t xml:space="preserve">Asistieron representantes de unos 11 Estados del Área de Distribución y científicos de más de 10 países. La reunión se centró en las lagunas de conocimiento científico en relación con la especie y sus necesidades de conservación. Como se registró en el informe de la reunión, los participantes recomendaron celebrar una segunda reunión, con una participación más amplia de los Estados del Área de Distribución, inclusive aquellos fuera de la Unión Europea (UE). La reunión apoyó en general los argumentos expuestos a favor de desarrollar un instrumento de la CMS. Sería necesario seguir desarrollando esta propuesta mediante una reunión con buena asistencia de los Gobiernos de los Estados del Área de Distribución. </w:t>
            </w:r>
          </w:p>
          <w:p w:rsidR="005D790E" w:rsidRDefault="005D790E" w:rsidP="00EB1B0B">
            <w:pPr>
              <w:ind w:left="316" w:hanging="270"/>
              <w:jc w:val="both"/>
              <w:rPr>
                <w:rFonts w:ascii="Arial" w:eastAsia="MS Mincho" w:hAnsi="Arial" w:cs="Arial"/>
                <w:color w:val="000000" w:themeColor="text1"/>
                <w:sz w:val="22"/>
                <w:szCs w:val="22"/>
                <w:lang w:eastAsia="ja-JP"/>
              </w:rPr>
            </w:pPr>
          </w:p>
          <w:p w:rsidR="00902C3A" w:rsidRPr="00166CF0" w:rsidRDefault="00902C3A" w:rsidP="00EB1B0B">
            <w:pPr>
              <w:ind w:left="316" w:hanging="270"/>
              <w:jc w:val="both"/>
              <w:rPr>
                <w:rFonts w:ascii="Arial" w:eastAsia="MS Mincho" w:hAnsi="Arial" w:cs="Arial"/>
                <w:color w:val="000000" w:themeColor="text1"/>
                <w:sz w:val="22"/>
                <w:szCs w:val="22"/>
                <w:lang w:eastAsia="ja-JP"/>
              </w:rPr>
            </w:pPr>
          </w:p>
          <w:p w:rsidR="005D790E" w:rsidRPr="00166CF0" w:rsidRDefault="005D790E" w:rsidP="00EB1B0B">
            <w:pPr>
              <w:ind w:left="226"/>
              <w:jc w:val="both"/>
              <w:rPr>
                <w:rFonts w:ascii="Arial" w:eastAsia="MS Mincho" w:hAnsi="Arial" w:cs="Arial"/>
                <w:color w:val="000000" w:themeColor="text1"/>
                <w:sz w:val="22"/>
                <w:szCs w:val="22"/>
              </w:rPr>
            </w:pPr>
            <w:r w:rsidRPr="00166CF0">
              <w:rPr>
                <w:rFonts w:ascii="Arial" w:hAnsi="Arial"/>
                <w:color w:val="000000" w:themeColor="text1"/>
                <w:sz w:val="22"/>
                <w:szCs w:val="22"/>
              </w:rPr>
              <w:lastRenderedPageBreak/>
              <w:t xml:space="preserve">La reunión se planearía para principios de 2018, convocada por la Secretaría de la CMS con apoyo financiero y material de Mónaco y de la Comisión del Mar de los Sargazos. </w:t>
            </w:r>
          </w:p>
          <w:p w:rsidR="005D790E" w:rsidRPr="00166CF0" w:rsidRDefault="005D790E" w:rsidP="00EB1B0B">
            <w:pPr>
              <w:rPr>
                <w:rFonts w:ascii="Arial" w:eastAsia="MS Mincho" w:hAnsi="Arial" w:cs="Arial"/>
                <w:color w:val="000000" w:themeColor="text1"/>
                <w:sz w:val="22"/>
                <w:szCs w:val="22"/>
                <w:lang w:eastAsia="ja-JP"/>
              </w:rPr>
            </w:pPr>
          </w:p>
          <w:p w:rsidR="005D790E" w:rsidRPr="00166CF0" w:rsidRDefault="005D790E" w:rsidP="003531E5">
            <w:pPr>
              <w:pStyle w:val="ListParagraph"/>
              <w:widowControl/>
              <w:numPr>
                <w:ilvl w:val="0"/>
                <w:numId w:val="2"/>
              </w:numPr>
              <w:tabs>
                <w:tab w:val="left" w:pos="406"/>
              </w:tabs>
              <w:autoSpaceDE/>
              <w:autoSpaceDN/>
              <w:adjustRightInd/>
              <w:spacing w:before="40" w:after="40"/>
              <w:ind w:left="316" w:hanging="270"/>
              <w:jc w:val="both"/>
              <w:rPr>
                <w:rFonts w:eastAsia="MS Mincho" w:cs="Arial"/>
                <w:color w:val="000000" w:themeColor="text1"/>
                <w:sz w:val="22"/>
                <w:szCs w:val="22"/>
              </w:rPr>
            </w:pPr>
            <w:r w:rsidRPr="00166CF0">
              <w:rPr>
                <w:color w:val="000000" w:themeColor="text1"/>
                <w:sz w:val="22"/>
                <w:szCs w:val="22"/>
              </w:rPr>
              <w:t xml:space="preserve">Efectuar un estudio de los Estados del Área de Distribución para identificar lagunas en la conservación y la gestión de la especie. </w:t>
            </w:r>
          </w:p>
          <w:p w:rsidR="005D790E" w:rsidRPr="00166CF0" w:rsidRDefault="005D790E" w:rsidP="00EB1B0B">
            <w:pPr>
              <w:ind w:left="316"/>
              <w:rPr>
                <w:rFonts w:ascii="Arial" w:eastAsia="MS Mincho" w:hAnsi="Arial" w:cs="Arial"/>
                <w:color w:val="000000" w:themeColor="text1"/>
                <w:sz w:val="22"/>
                <w:szCs w:val="22"/>
              </w:rPr>
            </w:pPr>
            <w:r w:rsidRPr="00166CF0">
              <w:rPr>
                <w:rFonts w:ascii="Arial" w:hAnsi="Arial"/>
                <w:color w:val="000000" w:themeColor="text1"/>
                <w:sz w:val="22"/>
                <w:szCs w:val="22"/>
              </w:rPr>
              <w:t>Esto proporcionaría la base para preparar el debate de la segunda reunión.</w:t>
            </w:r>
            <w:r w:rsidR="001B67B3">
              <w:rPr>
                <w:rFonts w:ascii="Arial" w:hAnsi="Arial"/>
                <w:color w:val="000000" w:themeColor="text1"/>
                <w:sz w:val="22"/>
                <w:szCs w:val="22"/>
              </w:rPr>
              <w:t xml:space="preserve"> </w:t>
            </w:r>
            <w:r w:rsidRPr="00166CF0">
              <w:rPr>
                <w:rFonts w:ascii="Arial" w:hAnsi="Arial"/>
                <w:color w:val="000000" w:themeColor="text1"/>
                <w:sz w:val="22"/>
                <w:szCs w:val="22"/>
              </w:rPr>
              <w:t>No haría falta desembolso financiero por parte de los Estados del Área de Distribución.</w:t>
            </w:r>
          </w:p>
          <w:p w:rsidR="005D790E" w:rsidRPr="00166CF0" w:rsidRDefault="005D790E" w:rsidP="00EB1B0B">
            <w:pPr>
              <w:rPr>
                <w:rFonts w:ascii="Arial" w:eastAsia="MS Mincho" w:hAnsi="Arial" w:cs="Arial"/>
                <w:color w:val="000000" w:themeColor="text1"/>
                <w:sz w:val="22"/>
                <w:szCs w:val="22"/>
                <w:lang w:eastAsia="ja-JP"/>
              </w:rPr>
            </w:pPr>
          </w:p>
          <w:p w:rsidR="005D790E" w:rsidRPr="00166CF0" w:rsidRDefault="005D790E" w:rsidP="003531E5">
            <w:pPr>
              <w:pStyle w:val="ListParagraph"/>
              <w:widowControl/>
              <w:numPr>
                <w:ilvl w:val="0"/>
                <w:numId w:val="2"/>
              </w:numPr>
              <w:tabs>
                <w:tab w:val="left" w:pos="226"/>
                <w:tab w:val="left" w:pos="406"/>
              </w:tabs>
              <w:autoSpaceDE/>
              <w:autoSpaceDN/>
              <w:adjustRightInd/>
              <w:spacing w:before="40" w:after="40"/>
              <w:ind w:left="316" w:hanging="270"/>
              <w:jc w:val="both"/>
              <w:rPr>
                <w:rFonts w:eastAsia="MS Mincho" w:cs="Arial"/>
                <w:color w:val="000000" w:themeColor="text1"/>
                <w:sz w:val="22"/>
                <w:szCs w:val="22"/>
              </w:rPr>
            </w:pPr>
            <w:r w:rsidRPr="00166CF0">
              <w:rPr>
                <w:color w:val="000000" w:themeColor="text1"/>
                <w:sz w:val="22"/>
                <w:szCs w:val="22"/>
              </w:rPr>
              <w:t>Realizar una evaluación detallada del trasfondo de las ventajas comparativas de desarrollar un instrumento de la CMS.</w:t>
            </w:r>
          </w:p>
          <w:p w:rsidR="005D790E" w:rsidRPr="00166CF0" w:rsidRDefault="005D790E" w:rsidP="00EB1B0B">
            <w:pPr>
              <w:pStyle w:val="ListParagraph"/>
              <w:widowControl/>
              <w:tabs>
                <w:tab w:val="left" w:pos="226"/>
                <w:tab w:val="left" w:pos="406"/>
              </w:tabs>
              <w:autoSpaceDE/>
              <w:autoSpaceDN/>
              <w:adjustRightInd/>
              <w:ind w:left="0" w:firstLine="316"/>
              <w:jc w:val="both"/>
              <w:rPr>
                <w:rFonts w:eastAsia="MS Mincho" w:cs="Arial"/>
                <w:color w:val="000000" w:themeColor="text1"/>
                <w:sz w:val="22"/>
                <w:szCs w:val="22"/>
              </w:rPr>
            </w:pPr>
            <w:r w:rsidRPr="00166CF0">
              <w:rPr>
                <w:color w:val="000000" w:themeColor="text1"/>
                <w:sz w:val="22"/>
                <w:szCs w:val="22"/>
              </w:rPr>
              <w:t>Los costes los cubriría la Comisión del Mar de los Sargazos.</w:t>
            </w:r>
          </w:p>
          <w:p w:rsidR="005D790E" w:rsidRPr="00166CF0" w:rsidRDefault="005D790E" w:rsidP="00EB1B0B">
            <w:pPr>
              <w:pStyle w:val="ListParagraph"/>
              <w:widowControl/>
              <w:tabs>
                <w:tab w:val="left" w:pos="226"/>
                <w:tab w:val="left" w:pos="406"/>
              </w:tabs>
              <w:autoSpaceDE/>
              <w:autoSpaceDN/>
              <w:adjustRightInd/>
              <w:ind w:left="0" w:hanging="270"/>
              <w:jc w:val="both"/>
              <w:rPr>
                <w:rFonts w:eastAsia="MS Mincho" w:cs="Arial"/>
                <w:color w:val="000000" w:themeColor="text1"/>
                <w:sz w:val="22"/>
                <w:szCs w:val="22"/>
                <w:lang w:eastAsia="ja-JP"/>
              </w:rPr>
            </w:pPr>
          </w:p>
          <w:p w:rsidR="005D790E" w:rsidRPr="00166CF0" w:rsidRDefault="005D790E" w:rsidP="003531E5">
            <w:pPr>
              <w:pStyle w:val="ListParagraph"/>
              <w:widowControl/>
              <w:numPr>
                <w:ilvl w:val="0"/>
                <w:numId w:val="2"/>
              </w:numPr>
              <w:tabs>
                <w:tab w:val="left" w:pos="226"/>
                <w:tab w:val="left" w:pos="406"/>
              </w:tabs>
              <w:autoSpaceDE/>
              <w:autoSpaceDN/>
              <w:adjustRightInd/>
              <w:spacing w:before="40" w:after="40"/>
              <w:ind w:left="316" w:hanging="270"/>
              <w:jc w:val="both"/>
              <w:rPr>
                <w:rFonts w:eastAsia="MS Mincho" w:cs="Arial"/>
                <w:sz w:val="22"/>
                <w:szCs w:val="22"/>
              </w:rPr>
            </w:pPr>
            <w:r w:rsidRPr="00166CF0">
              <w:rPr>
                <w:sz w:val="22"/>
                <w:szCs w:val="22"/>
              </w:rPr>
              <w:t xml:space="preserve">Identificar acciones que complementen tanto la decisión de la COP17 de la Convención sobre el Comercio Internacional de Especies Amenazadas de Fauna y Flora Silvestres (CITES) en 2016 como la Resolución de 2016 del Consejo de Conservación Mundial de la UICN relativa a los </w:t>
            </w:r>
            <w:proofErr w:type="spellStart"/>
            <w:r w:rsidRPr="00166CF0">
              <w:rPr>
                <w:sz w:val="22"/>
                <w:szCs w:val="22"/>
              </w:rPr>
              <w:t>anguílidos</w:t>
            </w:r>
            <w:proofErr w:type="spellEnd"/>
            <w:r w:rsidRPr="00166CF0">
              <w:rPr>
                <w:sz w:val="22"/>
                <w:szCs w:val="22"/>
              </w:rPr>
              <w:t>.</w:t>
            </w:r>
          </w:p>
          <w:p w:rsidR="005D790E" w:rsidRPr="00166CF0" w:rsidRDefault="005D790E" w:rsidP="00EB1B0B">
            <w:pPr>
              <w:pStyle w:val="ListParagraph"/>
              <w:widowControl/>
              <w:tabs>
                <w:tab w:val="left" w:pos="226"/>
                <w:tab w:val="left" w:pos="406"/>
              </w:tabs>
              <w:autoSpaceDE/>
              <w:autoSpaceDN/>
              <w:adjustRightInd/>
              <w:spacing w:before="40" w:after="40"/>
              <w:ind w:left="316"/>
              <w:jc w:val="both"/>
              <w:rPr>
                <w:rFonts w:eastAsia="MS Mincho" w:cs="Arial"/>
                <w:sz w:val="22"/>
                <w:szCs w:val="22"/>
                <w:lang w:eastAsia="ja-JP"/>
              </w:rPr>
            </w:pPr>
          </w:p>
          <w:p w:rsidR="005D790E" w:rsidRPr="00166CF0" w:rsidRDefault="005D790E" w:rsidP="003531E5">
            <w:pPr>
              <w:pStyle w:val="ListParagraph"/>
              <w:widowControl/>
              <w:numPr>
                <w:ilvl w:val="0"/>
                <w:numId w:val="2"/>
              </w:numPr>
              <w:tabs>
                <w:tab w:val="left" w:pos="226"/>
                <w:tab w:val="left" w:pos="406"/>
              </w:tabs>
              <w:autoSpaceDE/>
              <w:autoSpaceDN/>
              <w:adjustRightInd/>
              <w:spacing w:before="40" w:after="40"/>
              <w:ind w:left="316" w:hanging="270"/>
              <w:jc w:val="both"/>
              <w:rPr>
                <w:rFonts w:eastAsia="MS Mincho" w:cs="Arial"/>
                <w:sz w:val="22"/>
                <w:szCs w:val="22"/>
              </w:rPr>
            </w:pPr>
            <w:r w:rsidRPr="00166CF0">
              <w:rPr>
                <w:sz w:val="22"/>
                <w:szCs w:val="22"/>
              </w:rPr>
              <w:t xml:space="preserve">Fomentar la mejora en el flujo/recolección de datos para el informe anual del Consejo Internacional para la Exploración del Mar (CIEM) y para la evaluación de la Lista Roja del Grupo de Especialistas en </w:t>
            </w:r>
            <w:proofErr w:type="spellStart"/>
            <w:r w:rsidRPr="00166CF0">
              <w:rPr>
                <w:sz w:val="22"/>
                <w:szCs w:val="22"/>
              </w:rPr>
              <w:t>Anguílidos</w:t>
            </w:r>
            <w:proofErr w:type="spellEnd"/>
            <w:r w:rsidRPr="00166CF0">
              <w:rPr>
                <w:sz w:val="22"/>
                <w:szCs w:val="22"/>
              </w:rPr>
              <w:t xml:space="preserve"> de 2018.</w:t>
            </w:r>
          </w:p>
          <w:p w:rsidR="005D790E" w:rsidRPr="00166CF0" w:rsidRDefault="005D790E" w:rsidP="00EB1B0B">
            <w:pPr>
              <w:pStyle w:val="ListParagraph"/>
              <w:rPr>
                <w:rFonts w:eastAsia="MS Mincho" w:cs="Arial"/>
                <w:sz w:val="22"/>
                <w:szCs w:val="22"/>
                <w:lang w:eastAsia="ja-JP"/>
              </w:rPr>
            </w:pPr>
          </w:p>
          <w:p w:rsidR="005D790E" w:rsidRPr="00166CF0" w:rsidRDefault="005D790E" w:rsidP="003531E5">
            <w:pPr>
              <w:pStyle w:val="ListParagraph"/>
              <w:widowControl/>
              <w:numPr>
                <w:ilvl w:val="0"/>
                <w:numId w:val="2"/>
              </w:numPr>
              <w:tabs>
                <w:tab w:val="left" w:pos="226"/>
                <w:tab w:val="left" w:pos="406"/>
              </w:tabs>
              <w:autoSpaceDE/>
              <w:autoSpaceDN/>
              <w:adjustRightInd/>
              <w:ind w:left="316" w:hanging="270"/>
              <w:jc w:val="both"/>
              <w:rPr>
                <w:rFonts w:eastAsia="MS Mincho" w:cs="Arial"/>
                <w:sz w:val="22"/>
                <w:szCs w:val="22"/>
              </w:rPr>
            </w:pPr>
            <w:r w:rsidRPr="00166CF0">
              <w:rPr>
                <w:sz w:val="22"/>
                <w:szCs w:val="22"/>
              </w:rPr>
              <w:t xml:space="preserve">Colaborar con las partes interesadas de los Estados que no pertenecen al área de distribución, por </w:t>
            </w:r>
            <w:proofErr w:type="gramStart"/>
            <w:r w:rsidRPr="00166CF0">
              <w:rPr>
                <w:sz w:val="22"/>
                <w:szCs w:val="22"/>
              </w:rPr>
              <w:t>ejemplo</w:t>
            </w:r>
            <w:proofErr w:type="gramEnd"/>
            <w:r w:rsidRPr="00166CF0">
              <w:rPr>
                <w:sz w:val="22"/>
                <w:szCs w:val="22"/>
              </w:rPr>
              <w:t xml:space="preserve"> los órganos de pesca regionales pertinentes.</w:t>
            </w:r>
          </w:p>
          <w:p w:rsidR="005D790E" w:rsidRPr="00166CF0" w:rsidRDefault="005D790E" w:rsidP="00EB1B0B">
            <w:pPr>
              <w:ind w:left="46"/>
              <w:rPr>
                <w:rFonts w:ascii="Arial" w:eastAsia="MS Mincho" w:hAnsi="Arial" w:cs="Arial"/>
                <w:sz w:val="22"/>
                <w:szCs w:val="22"/>
                <w:lang w:eastAsia="ja-JP"/>
              </w:rPr>
            </w:pPr>
          </w:p>
          <w:p w:rsidR="005D790E" w:rsidRPr="00166CF0" w:rsidRDefault="005D790E" w:rsidP="00EB1B0B">
            <w:pPr>
              <w:ind w:left="43" w:firstLine="274"/>
              <w:rPr>
                <w:rFonts w:ascii="Arial" w:eastAsia="MS Mincho" w:hAnsi="Arial" w:cs="Arial"/>
                <w:sz w:val="22"/>
                <w:szCs w:val="22"/>
              </w:rPr>
            </w:pPr>
            <w:r w:rsidRPr="00166CF0">
              <w:rPr>
                <w:rFonts w:ascii="Arial" w:hAnsi="Arial"/>
                <w:sz w:val="22"/>
                <w:szCs w:val="22"/>
              </w:rPr>
              <w:t>Las partes interesadas identificarán las fuentes de financiación pertinentes en caso necesario.</w:t>
            </w:r>
          </w:p>
        </w:tc>
      </w:tr>
      <w:tr w:rsidR="005D790E" w:rsidRPr="00166CF0" w:rsidTr="00902C3A">
        <w:tc>
          <w:tcPr>
            <w:tcW w:w="1931" w:type="dxa"/>
            <w:shd w:val="clear" w:color="auto" w:fill="auto"/>
          </w:tcPr>
          <w:p w:rsidR="005D790E" w:rsidRPr="00166CF0" w:rsidRDefault="005D790E" w:rsidP="00EB1B0B">
            <w:pPr>
              <w:spacing w:before="40" w:after="40"/>
              <w:rPr>
                <w:rFonts w:ascii="Arial" w:eastAsia="MS Mincho" w:hAnsi="Arial" w:cs="Arial"/>
                <w:b/>
                <w:sz w:val="22"/>
                <w:szCs w:val="22"/>
              </w:rPr>
            </w:pPr>
            <w:r w:rsidRPr="00166CF0">
              <w:rPr>
                <w:rFonts w:ascii="Arial" w:hAnsi="Arial"/>
                <w:b/>
                <w:sz w:val="22"/>
                <w:szCs w:val="22"/>
              </w:rPr>
              <w:lastRenderedPageBreak/>
              <w:t>Beneficios asociados</w:t>
            </w:r>
          </w:p>
          <w:p w:rsidR="005D790E" w:rsidRPr="00166CF0" w:rsidRDefault="005D790E" w:rsidP="00EB1B0B">
            <w:pPr>
              <w:spacing w:before="40" w:after="40"/>
              <w:rPr>
                <w:rFonts w:ascii="Arial" w:eastAsia="MS Mincho" w:hAnsi="Arial" w:cs="Arial"/>
                <w:b/>
                <w:i/>
                <w:sz w:val="22"/>
                <w:szCs w:val="22"/>
                <w:lang w:val="en-GB" w:eastAsia="en-GB"/>
              </w:rPr>
            </w:pPr>
          </w:p>
        </w:tc>
        <w:tc>
          <w:tcPr>
            <w:tcW w:w="7429" w:type="dxa"/>
            <w:shd w:val="clear" w:color="auto" w:fill="auto"/>
          </w:tcPr>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 xml:space="preserve">El desarrollo de un instrumento de la CMS para la anguila europea en toda su área de distribución proporcionaría un patrón importante para la gestión de otros </w:t>
            </w:r>
            <w:proofErr w:type="spellStart"/>
            <w:r w:rsidRPr="00166CF0">
              <w:rPr>
                <w:rFonts w:ascii="Arial" w:hAnsi="Arial"/>
                <w:sz w:val="22"/>
                <w:szCs w:val="22"/>
              </w:rPr>
              <w:t>anguílidos</w:t>
            </w:r>
            <w:proofErr w:type="spellEnd"/>
            <w:r w:rsidRPr="00166CF0">
              <w:rPr>
                <w:rFonts w:ascii="Arial" w:hAnsi="Arial"/>
                <w:sz w:val="22"/>
                <w:szCs w:val="22"/>
              </w:rPr>
              <w:t>. Otras especies de aguas continentales probablemente se beneficiarán de iniciativas centradas en la mejora del estado del hábitat o la conectividad por agua dulce.</w:t>
            </w:r>
          </w:p>
        </w:tc>
      </w:tr>
      <w:tr w:rsidR="005D790E" w:rsidRPr="00166CF0" w:rsidTr="00902C3A">
        <w:tc>
          <w:tcPr>
            <w:tcW w:w="1931" w:type="dxa"/>
            <w:shd w:val="clear" w:color="auto" w:fill="auto"/>
          </w:tcPr>
          <w:p w:rsidR="005D790E" w:rsidRPr="00166CF0" w:rsidRDefault="005D790E" w:rsidP="00EB1B0B">
            <w:pPr>
              <w:spacing w:before="40" w:after="40"/>
              <w:rPr>
                <w:rFonts w:ascii="Arial" w:eastAsia="MS Mincho" w:hAnsi="Arial" w:cs="Arial"/>
                <w:b/>
                <w:sz w:val="22"/>
                <w:szCs w:val="22"/>
              </w:rPr>
            </w:pPr>
            <w:r w:rsidRPr="00166CF0">
              <w:rPr>
                <w:rFonts w:ascii="Arial" w:hAnsi="Arial"/>
                <w:b/>
                <w:sz w:val="22"/>
                <w:szCs w:val="22"/>
              </w:rPr>
              <w:t>Marco temporal</w:t>
            </w:r>
          </w:p>
          <w:p w:rsidR="005D790E" w:rsidRPr="00166CF0" w:rsidRDefault="005D790E" w:rsidP="00EB1B0B">
            <w:pPr>
              <w:spacing w:before="40" w:after="40"/>
              <w:rPr>
                <w:rFonts w:ascii="Arial" w:eastAsia="MS Mincho" w:hAnsi="Arial" w:cs="Arial"/>
                <w:b/>
                <w:sz w:val="22"/>
                <w:szCs w:val="22"/>
                <w:lang w:val="en-GB" w:eastAsia="en-GB"/>
              </w:rPr>
            </w:pPr>
          </w:p>
        </w:tc>
        <w:tc>
          <w:tcPr>
            <w:tcW w:w="7429" w:type="dxa"/>
            <w:shd w:val="clear" w:color="auto" w:fill="auto"/>
          </w:tcPr>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La segunda reunión de los Estados del Área de Distribución tendrá lugar en el primer semestre de 2018, a ser posible.</w:t>
            </w:r>
            <w:r w:rsidR="001B67B3">
              <w:rPr>
                <w:rFonts w:ascii="Arial" w:hAnsi="Arial"/>
                <w:sz w:val="22"/>
                <w:szCs w:val="22"/>
              </w:rPr>
              <w:t xml:space="preserve"> </w:t>
            </w:r>
          </w:p>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 xml:space="preserve">Las actividades conexas continuarán, en caso necesario, hasta la COP 13. </w:t>
            </w:r>
          </w:p>
        </w:tc>
      </w:tr>
      <w:tr w:rsidR="005D790E" w:rsidRPr="00166CF0" w:rsidTr="00902C3A">
        <w:trPr>
          <w:trHeight w:val="636"/>
        </w:trPr>
        <w:tc>
          <w:tcPr>
            <w:tcW w:w="1931" w:type="dxa"/>
            <w:shd w:val="clear" w:color="auto" w:fill="auto"/>
          </w:tcPr>
          <w:p w:rsidR="005D790E" w:rsidRPr="00166CF0" w:rsidRDefault="005D790E" w:rsidP="00EB1B0B">
            <w:pPr>
              <w:spacing w:before="40" w:after="40"/>
              <w:rPr>
                <w:rFonts w:ascii="Arial" w:eastAsia="MS Mincho" w:hAnsi="Arial" w:cs="Arial"/>
                <w:b/>
                <w:sz w:val="22"/>
                <w:szCs w:val="22"/>
              </w:rPr>
            </w:pPr>
            <w:r w:rsidRPr="00166CF0">
              <w:rPr>
                <w:rFonts w:ascii="Arial" w:hAnsi="Arial"/>
                <w:b/>
                <w:sz w:val="22"/>
                <w:szCs w:val="22"/>
              </w:rPr>
              <w:t>Relación con otras acciones de la CMS</w:t>
            </w:r>
          </w:p>
        </w:tc>
        <w:tc>
          <w:tcPr>
            <w:tcW w:w="7429" w:type="dxa"/>
            <w:shd w:val="clear" w:color="auto" w:fill="auto"/>
          </w:tcPr>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 xml:space="preserve">Al incluir a la especie en el Apéndice II, las Partes </w:t>
            </w:r>
            <w:r w:rsidR="00591A00" w:rsidRPr="00166CF0">
              <w:rPr>
                <w:rFonts w:ascii="Arial" w:hAnsi="Arial"/>
                <w:sz w:val="22"/>
                <w:szCs w:val="22"/>
              </w:rPr>
              <w:t>de</w:t>
            </w:r>
            <w:r w:rsidRPr="00166CF0">
              <w:rPr>
                <w:rFonts w:ascii="Arial" w:hAnsi="Arial"/>
                <w:sz w:val="22"/>
                <w:szCs w:val="22"/>
              </w:rPr>
              <w:t xml:space="preserve"> la CMS ya han convenido que la especie se beneficiaría de un acuerdo internacional.</w:t>
            </w:r>
          </w:p>
        </w:tc>
      </w:tr>
      <w:tr w:rsidR="005D790E" w:rsidRPr="00166CF0" w:rsidTr="00902C3A">
        <w:tc>
          <w:tcPr>
            <w:tcW w:w="1931" w:type="dxa"/>
            <w:shd w:val="clear" w:color="auto" w:fill="auto"/>
          </w:tcPr>
          <w:p w:rsidR="005D790E" w:rsidRPr="00166CF0" w:rsidRDefault="005D790E" w:rsidP="00EB1B0B">
            <w:pPr>
              <w:spacing w:before="40" w:after="40"/>
              <w:rPr>
                <w:rFonts w:ascii="Arial" w:eastAsia="MS Mincho" w:hAnsi="Arial" w:cs="Arial"/>
                <w:b/>
                <w:color w:val="000000"/>
                <w:sz w:val="22"/>
                <w:szCs w:val="22"/>
              </w:rPr>
            </w:pPr>
            <w:r w:rsidRPr="00166CF0">
              <w:rPr>
                <w:rFonts w:ascii="Arial" w:hAnsi="Arial"/>
                <w:b/>
                <w:color w:val="000000"/>
                <w:sz w:val="22"/>
                <w:szCs w:val="22"/>
              </w:rPr>
              <w:t>Prioridad de conservación</w:t>
            </w:r>
          </w:p>
          <w:p w:rsidR="005D790E" w:rsidRPr="00166CF0" w:rsidRDefault="005D790E" w:rsidP="00EB1B0B">
            <w:pPr>
              <w:spacing w:before="40" w:after="40"/>
              <w:rPr>
                <w:rFonts w:ascii="Arial" w:eastAsia="MS Mincho" w:hAnsi="Arial" w:cs="Arial"/>
                <w:b/>
                <w:i/>
                <w:color w:val="000000"/>
                <w:sz w:val="22"/>
                <w:szCs w:val="22"/>
                <w:lang w:val="en-GB" w:eastAsia="ja-JP"/>
              </w:rPr>
            </w:pPr>
          </w:p>
        </w:tc>
        <w:tc>
          <w:tcPr>
            <w:tcW w:w="7429" w:type="dxa"/>
            <w:shd w:val="clear" w:color="auto" w:fill="auto"/>
          </w:tcPr>
          <w:p w:rsidR="005D790E" w:rsidRPr="00166CF0" w:rsidRDefault="00BD7ACB" w:rsidP="00322514">
            <w:pPr>
              <w:widowControl/>
              <w:autoSpaceDE/>
              <w:autoSpaceDN/>
              <w:adjustRightInd/>
              <w:jc w:val="both"/>
              <w:rPr>
                <w:rFonts w:ascii="Arial" w:hAnsi="Arial" w:cs="Arial"/>
                <w:sz w:val="21"/>
                <w:szCs w:val="21"/>
              </w:rPr>
            </w:pPr>
            <w:r w:rsidRPr="00902C3A">
              <w:rPr>
                <w:rFonts w:ascii="Arial" w:hAnsi="Arial"/>
                <w:sz w:val="22"/>
                <w:szCs w:val="22"/>
              </w:rPr>
              <w:t xml:space="preserve">Como se explica en la propuesta </w:t>
            </w:r>
            <w:r w:rsidR="005D790E" w:rsidRPr="00902C3A">
              <w:rPr>
                <w:rFonts w:ascii="Arial" w:hAnsi="Arial"/>
                <w:sz w:val="22"/>
                <w:szCs w:val="22"/>
              </w:rPr>
              <w:t>de inclusión de la especie en el Apéndice II,</w:t>
            </w:r>
            <w:r w:rsidR="005D790E" w:rsidRPr="00166CF0">
              <w:rPr>
                <w:rFonts w:ascii="Arial" w:hAnsi="Arial"/>
                <w:sz w:val="21"/>
                <w:szCs w:val="21"/>
              </w:rPr>
              <w:t xml:space="preserve"> existe una gran preocupación sobre el estado de la especie debido a una disminución en el reclutamiento, población y fuga de la especie durante las últimas cuatro décadas, y actualmente se encuentra en la Lista Roja de la UICN como “En Peligro Crítico” y en el Apéndice II de CITES</w:t>
            </w:r>
            <w:r w:rsidR="005D790E" w:rsidRPr="00902C3A">
              <w:rPr>
                <w:rFonts w:ascii="Arial" w:hAnsi="Arial"/>
                <w:sz w:val="22"/>
                <w:szCs w:val="22"/>
              </w:rPr>
              <w:t>,</w:t>
            </w:r>
            <w:r w:rsidR="005D790E" w:rsidRPr="00902C3A">
              <w:rPr>
                <w:rFonts w:ascii="Arial" w:hAnsi="Arial"/>
                <w:sz w:val="21"/>
                <w:szCs w:val="21"/>
              </w:rPr>
              <w:t xml:space="preserve"> </w:t>
            </w:r>
            <w:r w:rsidR="005D790E" w:rsidRPr="00902C3A">
              <w:rPr>
                <w:rFonts w:ascii="Arial" w:hAnsi="Arial"/>
                <w:sz w:val="22"/>
                <w:szCs w:val="22"/>
              </w:rPr>
              <w:t>así como en el Apéndice II de la CMS.</w:t>
            </w:r>
          </w:p>
          <w:p w:rsidR="005D790E" w:rsidRPr="00166CF0" w:rsidRDefault="005D790E" w:rsidP="00EB1B0B">
            <w:pPr>
              <w:widowControl/>
              <w:autoSpaceDE/>
              <w:autoSpaceDN/>
              <w:adjustRightInd/>
              <w:jc w:val="both"/>
              <w:rPr>
                <w:rFonts w:ascii="Arial" w:eastAsia="MS Mincho" w:hAnsi="Arial" w:cs="Arial"/>
                <w:sz w:val="22"/>
                <w:szCs w:val="22"/>
                <w:lang w:eastAsia="ja-JP"/>
              </w:rPr>
            </w:pPr>
          </w:p>
          <w:p w:rsidR="005D790E" w:rsidRPr="00166CF0" w:rsidRDefault="00322514" w:rsidP="00322514">
            <w:pPr>
              <w:widowControl/>
              <w:autoSpaceDE/>
              <w:autoSpaceDN/>
              <w:adjustRightInd/>
              <w:jc w:val="both"/>
              <w:rPr>
                <w:rFonts w:ascii="Arial" w:hAnsi="Arial" w:cs="Arial"/>
                <w:sz w:val="21"/>
                <w:szCs w:val="21"/>
              </w:rPr>
            </w:pPr>
            <w:r w:rsidRPr="00166CF0">
              <w:rPr>
                <w:rFonts w:ascii="Arial" w:hAnsi="Arial"/>
                <w:sz w:val="21"/>
                <w:szCs w:val="21"/>
              </w:rPr>
              <w:t xml:space="preserve">La especie fue incluida en el Apéndice II de CITES en 2007 debido a la preocupación por el impacto que el comercio internacional tenía sobre las poblaciones de anguila europea. Esto se hizo con ánimo de asegurar que todo el comercio de la especie fuera sostenible. Sin </w:t>
            </w:r>
            <w:proofErr w:type="gramStart"/>
            <w:r w:rsidRPr="00166CF0">
              <w:rPr>
                <w:rFonts w:ascii="Arial" w:hAnsi="Arial"/>
                <w:sz w:val="21"/>
                <w:szCs w:val="21"/>
              </w:rPr>
              <w:t>embargo</w:t>
            </w:r>
            <w:proofErr w:type="gramEnd"/>
            <w:r w:rsidRPr="00166CF0">
              <w:rPr>
                <w:rFonts w:ascii="Arial" w:hAnsi="Arial"/>
                <w:sz w:val="21"/>
                <w:szCs w:val="21"/>
              </w:rPr>
              <w:t xml:space="preserve"> en diciembre de 2010 la UE prohibió toda la importación y exportación de anguilas </w:t>
            </w:r>
            <w:r w:rsidRPr="00166CF0">
              <w:rPr>
                <w:rFonts w:ascii="Arial" w:hAnsi="Arial"/>
                <w:sz w:val="21"/>
                <w:szCs w:val="21"/>
              </w:rPr>
              <w:lastRenderedPageBreak/>
              <w:t>europeas vivas o procesadas desde y hacia la UE, ya que no se creía posible garantizar un comercio no perjudicial para la especie (</w:t>
            </w:r>
            <w:proofErr w:type="spellStart"/>
            <w:r w:rsidRPr="00166CF0">
              <w:rPr>
                <w:rFonts w:ascii="Arial" w:hAnsi="Arial"/>
                <w:sz w:val="21"/>
                <w:szCs w:val="21"/>
              </w:rPr>
              <w:t>Crook</w:t>
            </w:r>
            <w:proofErr w:type="spellEnd"/>
            <w:r w:rsidRPr="00166CF0">
              <w:rPr>
                <w:rFonts w:ascii="Arial" w:hAnsi="Arial"/>
                <w:sz w:val="21"/>
                <w:szCs w:val="21"/>
              </w:rPr>
              <w:t xml:space="preserve">, 2011). No </w:t>
            </w:r>
            <w:proofErr w:type="gramStart"/>
            <w:r w:rsidRPr="00166CF0">
              <w:rPr>
                <w:rFonts w:ascii="Arial" w:hAnsi="Arial"/>
                <w:sz w:val="21"/>
                <w:szCs w:val="21"/>
              </w:rPr>
              <w:t>obstante</w:t>
            </w:r>
            <w:proofErr w:type="gramEnd"/>
            <w:r w:rsidRPr="00166CF0">
              <w:rPr>
                <w:rFonts w:ascii="Arial" w:hAnsi="Arial"/>
                <w:sz w:val="21"/>
                <w:szCs w:val="21"/>
              </w:rPr>
              <w:t xml:space="preserve"> esta especie todavía puede ser comercializada fuera de la UE desde los países no miembros de la UE, por ejemplo los países del Norte de África.</w:t>
            </w:r>
          </w:p>
        </w:tc>
      </w:tr>
      <w:tr w:rsidR="005D790E" w:rsidRPr="00166CF0" w:rsidTr="00902C3A">
        <w:tc>
          <w:tcPr>
            <w:tcW w:w="1931" w:type="dxa"/>
          </w:tcPr>
          <w:p w:rsidR="005D790E" w:rsidRPr="00166CF0" w:rsidRDefault="005D790E" w:rsidP="00EB1B0B">
            <w:pPr>
              <w:spacing w:before="40" w:after="40"/>
              <w:rPr>
                <w:rFonts w:ascii="Arial" w:eastAsia="MS Mincho" w:hAnsi="Arial" w:cs="Arial"/>
                <w:b/>
                <w:color w:val="000000"/>
                <w:sz w:val="22"/>
                <w:szCs w:val="22"/>
              </w:rPr>
            </w:pPr>
            <w:r w:rsidRPr="00166CF0">
              <w:rPr>
                <w:rFonts w:ascii="Arial" w:hAnsi="Arial"/>
                <w:b/>
                <w:color w:val="000000"/>
                <w:sz w:val="22"/>
                <w:szCs w:val="22"/>
              </w:rPr>
              <w:lastRenderedPageBreak/>
              <w:t>Relevancia</w:t>
            </w:r>
          </w:p>
          <w:p w:rsidR="005D790E" w:rsidRPr="00166CF0" w:rsidRDefault="005D790E" w:rsidP="00EB1B0B">
            <w:pPr>
              <w:spacing w:before="40" w:after="40"/>
              <w:rPr>
                <w:rFonts w:ascii="Arial" w:eastAsia="MS Mincho" w:hAnsi="Arial" w:cs="Arial"/>
                <w:b/>
                <w:i/>
                <w:color w:val="000000"/>
                <w:sz w:val="22"/>
                <w:szCs w:val="22"/>
                <w:lang w:val="en-GB" w:eastAsia="ja-JP"/>
              </w:rPr>
            </w:pPr>
          </w:p>
        </w:tc>
        <w:tc>
          <w:tcPr>
            <w:tcW w:w="7429" w:type="dxa"/>
            <w:shd w:val="clear" w:color="auto" w:fill="auto"/>
          </w:tcPr>
          <w:p w:rsidR="005D790E" w:rsidRPr="00166CF0" w:rsidRDefault="005D790E" w:rsidP="00902C3A">
            <w:pPr>
              <w:widowControl/>
              <w:autoSpaceDE/>
              <w:autoSpaceDN/>
              <w:adjustRightInd/>
              <w:jc w:val="both"/>
              <w:rPr>
                <w:rFonts w:ascii="Arial" w:hAnsi="Arial" w:cs="Arial"/>
                <w:color w:val="000000"/>
                <w:sz w:val="22"/>
                <w:szCs w:val="22"/>
              </w:rPr>
            </w:pPr>
            <w:r w:rsidRPr="00166CF0">
              <w:rPr>
                <w:rFonts w:ascii="Arial" w:hAnsi="Arial"/>
                <w:color w:val="000000"/>
                <w:sz w:val="22"/>
                <w:szCs w:val="22"/>
              </w:rPr>
              <w:t xml:space="preserve">La especie figura actualmente en el Apéndice II de la CMS. Muchos Estados del Área de Distribución fundamentales, como por ejemplo los del norte de África, todavía no se han involucrado en las reuniones, aunque se requiere una acción colectiva para asegurar su protección adecuada. </w:t>
            </w:r>
          </w:p>
          <w:p w:rsidR="005D790E" w:rsidRPr="00166CF0" w:rsidRDefault="005D790E" w:rsidP="00EB1B0B">
            <w:pPr>
              <w:widowControl/>
              <w:autoSpaceDE/>
              <w:autoSpaceDN/>
              <w:adjustRightInd/>
              <w:jc w:val="both"/>
              <w:rPr>
                <w:rFonts w:ascii="Arial" w:hAnsi="Arial" w:cs="Arial"/>
                <w:color w:val="000000"/>
                <w:sz w:val="22"/>
                <w:szCs w:val="22"/>
              </w:rPr>
            </w:pPr>
          </w:p>
          <w:p w:rsidR="00322514" w:rsidRPr="00166CF0" w:rsidRDefault="005D790E" w:rsidP="00322514">
            <w:pPr>
              <w:widowControl/>
              <w:autoSpaceDE/>
              <w:autoSpaceDN/>
              <w:adjustRightInd/>
              <w:jc w:val="both"/>
              <w:rPr>
                <w:rFonts w:ascii="Arial" w:hAnsi="Arial" w:cs="Arial"/>
                <w:sz w:val="21"/>
                <w:szCs w:val="21"/>
              </w:rPr>
            </w:pPr>
            <w:r w:rsidRPr="00902C3A">
              <w:rPr>
                <w:rFonts w:ascii="Arial" w:hAnsi="Arial"/>
                <w:sz w:val="22"/>
                <w:szCs w:val="22"/>
              </w:rPr>
              <w:t xml:space="preserve">Como se explica en la </w:t>
            </w:r>
            <w:hyperlink r:id="rId11" w:history="1">
              <w:r w:rsidRPr="00902C3A">
                <w:rPr>
                  <w:rStyle w:val="Hyperlink"/>
                  <w:rFonts w:ascii="Arial" w:hAnsi="Arial"/>
                  <w:sz w:val="22"/>
                  <w:szCs w:val="22"/>
                </w:rPr>
                <w:t>propuesta</w:t>
              </w:r>
            </w:hyperlink>
            <w:r w:rsidR="009476FB" w:rsidRPr="00902C3A">
              <w:rPr>
                <w:rStyle w:val="Hyperlink"/>
                <w:rFonts w:ascii="Arial" w:hAnsi="Arial"/>
                <w:sz w:val="22"/>
                <w:szCs w:val="22"/>
              </w:rPr>
              <w:t xml:space="preserve"> </w:t>
            </w:r>
            <w:r w:rsidRPr="00902C3A">
              <w:rPr>
                <w:rFonts w:ascii="Arial" w:hAnsi="Arial"/>
                <w:sz w:val="22"/>
                <w:szCs w:val="22"/>
              </w:rPr>
              <w:t>de inclusión de la especie en el Apéndice II,</w:t>
            </w:r>
            <w:r w:rsidRPr="00166CF0">
              <w:rPr>
                <w:rFonts w:ascii="Arial" w:hAnsi="Arial"/>
                <w:sz w:val="22"/>
                <w:szCs w:val="22"/>
              </w:rPr>
              <w:t xml:space="preserve"> «</w:t>
            </w:r>
            <w:r w:rsidRPr="00166CF0">
              <w:rPr>
                <w:rFonts w:ascii="Arial" w:hAnsi="Arial"/>
                <w:sz w:val="21"/>
                <w:szCs w:val="21"/>
              </w:rPr>
              <w:t>La anguila europea tiene un ciclo de vida que se describe mejor como “</w:t>
            </w:r>
            <w:proofErr w:type="spellStart"/>
            <w:r w:rsidRPr="00166CF0">
              <w:rPr>
                <w:rFonts w:ascii="Arial" w:hAnsi="Arial"/>
                <w:sz w:val="21"/>
                <w:szCs w:val="21"/>
              </w:rPr>
              <w:t>catádromo</w:t>
            </w:r>
            <w:proofErr w:type="spellEnd"/>
            <w:r w:rsidRPr="00166CF0">
              <w:rPr>
                <w:rFonts w:ascii="Arial" w:hAnsi="Arial"/>
                <w:sz w:val="21"/>
                <w:szCs w:val="21"/>
              </w:rPr>
              <w:t xml:space="preserve"> facultativo”. La </w:t>
            </w:r>
            <w:proofErr w:type="spellStart"/>
            <w:r w:rsidRPr="00166CF0">
              <w:rPr>
                <w:rFonts w:ascii="Arial" w:hAnsi="Arial"/>
                <w:sz w:val="21"/>
                <w:szCs w:val="21"/>
              </w:rPr>
              <w:t>catadromía</w:t>
            </w:r>
            <w:proofErr w:type="spellEnd"/>
            <w:r w:rsidRPr="00166CF0">
              <w:rPr>
                <w:rFonts w:ascii="Arial" w:hAnsi="Arial"/>
                <w:sz w:val="21"/>
                <w:szCs w:val="21"/>
              </w:rPr>
              <w:t xml:space="preserve"> verdadera podría describirse como que la alimentación y el crecimiento tienen lugar en agua dulce y la reproducción en el medio marino, sin </w:t>
            </w:r>
            <w:proofErr w:type="gramStart"/>
            <w:r w:rsidRPr="00166CF0">
              <w:rPr>
                <w:rFonts w:ascii="Arial" w:hAnsi="Arial"/>
                <w:sz w:val="21"/>
                <w:szCs w:val="21"/>
              </w:rPr>
              <w:t>embargo</w:t>
            </w:r>
            <w:proofErr w:type="gramEnd"/>
            <w:r w:rsidRPr="00166CF0">
              <w:rPr>
                <w:rFonts w:ascii="Arial" w:hAnsi="Arial"/>
                <w:sz w:val="21"/>
                <w:szCs w:val="21"/>
              </w:rPr>
              <w:t xml:space="preserve"> la fase de crecimiento de la anguila europea se describe a menudo como ‘continental’ al encontrarse en aguas dulces, salobres y costeras. Por lo </w:t>
            </w:r>
            <w:proofErr w:type="gramStart"/>
            <w:r w:rsidRPr="00166CF0">
              <w:rPr>
                <w:rFonts w:ascii="Arial" w:hAnsi="Arial"/>
                <w:sz w:val="21"/>
                <w:szCs w:val="21"/>
              </w:rPr>
              <w:t>tanto</w:t>
            </w:r>
            <w:proofErr w:type="gramEnd"/>
            <w:r w:rsidRPr="00166CF0">
              <w:rPr>
                <w:rFonts w:ascii="Arial" w:hAnsi="Arial"/>
                <w:sz w:val="21"/>
                <w:szCs w:val="21"/>
              </w:rPr>
              <w:t xml:space="preserve"> el agua dulce no se considera esencial para la continuación de la especie –de ahí la </w:t>
            </w:r>
            <w:proofErr w:type="spellStart"/>
            <w:r w:rsidRPr="00166CF0">
              <w:rPr>
                <w:rFonts w:ascii="Arial" w:hAnsi="Arial"/>
                <w:sz w:val="21"/>
                <w:szCs w:val="21"/>
              </w:rPr>
              <w:t>catadromía</w:t>
            </w:r>
            <w:proofErr w:type="spellEnd"/>
            <w:r w:rsidRPr="00166CF0">
              <w:rPr>
                <w:rFonts w:ascii="Arial" w:hAnsi="Arial"/>
                <w:sz w:val="21"/>
                <w:szCs w:val="21"/>
              </w:rPr>
              <w:t xml:space="preserve"> facultativa. La reproducción y el desove de la anguila europea ocurren en el medio marino y se cree que este elemento es esencial para poder completar el ciclo biológico.</w:t>
            </w:r>
            <w:r w:rsidRPr="00166CF0">
              <w:rPr>
                <w:rFonts w:ascii="Arial" w:hAnsi="Arial"/>
                <w:sz w:val="22"/>
                <w:szCs w:val="22"/>
              </w:rPr>
              <w:t>»</w:t>
            </w:r>
          </w:p>
          <w:p w:rsidR="005D790E" w:rsidRPr="00166CF0" w:rsidRDefault="005D790E" w:rsidP="00EB1B0B">
            <w:pPr>
              <w:widowControl/>
              <w:jc w:val="both"/>
              <w:rPr>
                <w:rFonts w:ascii="Arial" w:hAnsi="Arial" w:cs="Arial"/>
                <w:sz w:val="22"/>
                <w:szCs w:val="22"/>
              </w:rPr>
            </w:pPr>
          </w:p>
          <w:p w:rsidR="005D790E" w:rsidRPr="00166CF0" w:rsidRDefault="005D790E" w:rsidP="00EB1B0B">
            <w:pPr>
              <w:pStyle w:val="Default"/>
              <w:jc w:val="both"/>
              <w:rPr>
                <w:rFonts w:cs="Arial"/>
                <w:sz w:val="22"/>
                <w:szCs w:val="22"/>
              </w:rPr>
            </w:pPr>
          </w:p>
          <w:p w:rsidR="005D790E" w:rsidRPr="00166CF0" w:rsidRDefault="005D790E" w:rsidP="00F83D06">
            <w:pPr>
              <w:widowControl/>
              <w:autoSpaceDE/>
              <w:autoSpaceDN/>
              <w:adjustRightInd/>
              <w:jc w:val="both"/>
              <w:rPr>
                <w:rFonts w:ascii="Arial" w:hAnsi="Arial" w:cs="Arial"/>
                <w:sz w:val="21"/>
                <w:szCs w:val="21"/>
              </w:rPr>
            </w:pPr>
            <w:r w:rsidRPr="00166CF0">
              <w:rPr>
                <w:rFonts w:ascii="Arial" w:hAnsi="Arial"/>
                <w:sz w:val="22"/>
                <w:szCs w:val="22"/>
              </w:rPr>
              <w:t>«</w:t>
            </w:r>
            <w:r w:rsidRPr="00166CF0">
              <w:rPr>
                <w:rFonts w:ascii="Arial" w:hAnsi="Arial"/>
                <w:sz w:val="21"/>
                <w:szCs w:val="21"/>
              </w:rPr>
              <w:t>Todavía no hay datos exactos sobre lugares de reproducción concretos, sin embargo, basándose en el trabajo llevado a cabo por Johannes Schmidt a principios del siglo XX (Schmidt, 1922), se ha deducido que la reproducción tiene lugar en una zona elíptica de unos 2.000km de ancho en el mar de los Sargazos en el Atlántico Central Occidental (centrada aproximadamente alrededor de 26°N 60°W).</w:t>
            </w:r>
            <w:r w:rsidRPr="00166CF0">
              <w:rPr>
                <w:rFonts w:ascii="Arial" w:hAnsi="Arial"/>
                <w:sz w:val="22"/>
                <w:szCs w:val="22"/>
              </w:rPr>
              <w:t>»</w:t>
            </w:r>
          </w:p>
          <w:p w:rsidR="005D790E" w:rsidRPr="00166CF0" w:rsidRDefault="005D790E" w:rsidP="00EB1B0B">
            <w:pPr>
              <w:widowControl/>
              <w:autoSpaceDE/>
              <w:autoSpaceDN/>
              <w:adjustRightInd/>
              <w:jc w:val="both"/>
              <w:rPr>
                <w:rFonts w:ascii="Arial" w:hAnsi="Arial" w:cs="Arial"/>
                <w:color w:val="000000"/>
                <w:sz w:val="22"/>
                <w:szCs w:val="22"/>
              </w:rPr>
            </w:pPr>
          </w:p>
          <w:p w:rsidR="005D790E" w:rsidRPr="00166CF0" w:rsidRDefault="009476FB" w:rsidP="00EB1B0B">
            <w:pPr>
              <w:widowControl/>
              <w:autoSpaceDE/>
              <w:autoSpaceDN/>
              <w:adjustRightInd/>
              <w:jc w:val="both"/>
              <w:rPr>
                <w:rFonts w:ascii="Arial" w:hAnsi="Arial" w:cs="Arial"/>
                <w:sz w:val="22"/>
                <w:szCs w:val="22"/>
              </w:rPr>
            </w:pPr>
            <w:r w:rsidRPr="00902C3A">
              <w:rPr>
                <w:rFonts w:ascii="Arial" w:hAnsi="Arial"/>
                <w:sz w:val="22"/>
                <w:szCs w:val="22"/>
              </w:rPr>
              <w:t>L</w:t>
            </w:r>
            <w:r w:rsidR="005D790E" w:rsidRPr="00902C3A">
              <w:rPr>
                <w:rFonts w:ascii="Arial" w:hAnsi="Arial"/>
                <w:sz w:val="22"/>
                <w:szCs w:val="22"/>
              </w:rPr>
              <w:t xml:space="preserve">os </w:t>
            </w:r>
            <w:proofErr w:type="spellStart"/>
            <w:r w:rsidR="005D790E" w:rsidRPr="00902C3A">
              <w:rPr>
                <w:rFonts w:ascii="Arial" w:hAnsi="Arial"/>
                <w:sz w:val="22"/>
                <w:szCs w:val="22"/>
              </w:rPr>
              <w:t>anguílidos</w:t>
            </w:r>
            <w:proofErr w:type="spellEnd"/>
            <w:r w:rsidR="005D790E" w:rsidRPr="00902C3A">
              <w:rPr>
                <w:rFonts w:ascii="Arial" w:hAnsi="Arial"/>
                <w:sz w:val="22"/>
                <w:szCs w:val="22"/>
              </w:rPr>
              <w:t xml:space="preserve"> son </w:t>
            </w:r>
            <w:proofErr w:type="spellStart"/>
            <w:r w:rsidR="005D790E" w:rsidRPr="00902C3A">
              <w:rPr>
                <w:rFonts w:ascii="Arial" w:hAnsi="Arial"/>
                <w:sz w:val="22"/>
                <w:szCs w:val="22"/>
              </w:rPr>
              <w:t>panmícticos</w:t>
            </w:r>
            <w:proofErr w:type="spellEnd"/>
            <w:r w:rsidR="005D790E" w:rsidRPr="00902C3A">
              <w:rPr>
                <w:rFonts w:ascii="Arial" w:hAnsi="Arial"/>
                <w:sz w:val="22"/>
                <w:szCs w:val="22"/>
              </w:rPr>
              <w:t xml:space="preserve"> y </w:t>
            </w:r>
            <w:proofErr w:type="spellStart"/>
            <w:r w:rsidR="005D790E" w:rsidRPr="00902C3A">
              <w:rPr>
                <w:rFonts w:ascii="Arial" w:hAnsi="Arial"/>
                <w:sz w:val="22"/>
                <w:szCs w:val="22"/>
              </w:rPr>
              <w:t>semélparos</w:t>
            </w:r>
            <w:proofErr w:type="spellEnd"/>
            <w:r w:rsidR="005D790E" w:rsidRPr="00902C3A">
              <w:rPr>
                <w:rFonts w:ascii="Arial" w:hAnsi="Arial"/>
                <w:sz w:val="22"/>
                <w:szCs w:val="22"/>
              </w:rPr>
              <w:t>, y el abandono de una región no se traduce directamente en el regreso de reclutamiento larval a la misma ubicación. Como tales, estos rasgos de la historia vital, además de las prolongadas migraciones sospechadas hacia y desde el mar de los Sargazos, implican que son susceptibles a una serie de amenazas, tanto en los entornos marinos como de agua dulce, y su gestión y conservación supone un reto.</w:t>
            </w:r>
          </w:p>
        </w:tc>
      </w:tr>
      <w:tr w:rsidR="005D790E" w:rsidRPr="00166CF0" w:rsidTr="00902C3A">
        <w:tc>
          <w:tcPr>
            <w:tcW w:w="1931" w:type="dxa"/>
            <w:shd w:val="clear" w:color="auto" w:fill="auto"/>
          </w:tcPr>
          <w:p w:rsidR="005D790E" w:rsidRPr="00166CF0" w:rsidRDefault="005D790E" w:rsidP="00EB1B0B">
            <w:pPr>
              <w:spacing w:before="40" w:after="40"/>
              <w:rPr>
                <w:rFonts w:ascii="Arial" w:eastAsia="MS Mincho" w:hAnsi="Arial" w:cs="Arial"/>
                <w:b/>
                <w:color w:val="000000"/>
                <w:sz w:val="22"/>
                <w:szCs w:val="22"/>
              </w:rPr>
            </w:pPr>
            <w:r w:rsidRPr="00166CF0">
              <w:rPr>
                <w:rFonts w:ascii="Arial" w:hAnsi="Arial"/>
                <w:b/>
                <w:color w:val="000000"/>
                <w:sz w:val="22"/>
                <w:szCs w:val="22"/>
              </w:rPr>
              <w:t>Ausencia de mejores soluciones</w:t>
            </w:r>
          </w:p>
        </w:tc>
        <w:tc>
          <w:tcPr>
            <w:tcW w:w="7429" w:type="dxa"/>
            <w:shd w:val="clear" w:color="auto" w:fill="auto"/>
          </w:tcPr>
          <w:p w:rsidR="005D790E" w:rsidRPr="00166CF0" w:rsidRDefault="005D790E" w:rsidP="00EB1B0B">
            <w:pPr>
              <w:widowControl/>
              <w:autoSpaceDE/>
              <w:autoSpaceDN/>
              <w:adjustRightInd/>
              <w:jc w:val="both"/>
              <w:rPr>
                <w:rFonts w:ascii="Arial" w:eastAsia="MS Mincho" w:hAnsi="Arial" w:cs="Arial"/>
                <w:sz w:val="22"/>
                <w:szCs w:val="22"/>
              </w:rPr>
            </w:pPr>
            <w:r w:rsidRPr="00166CF0">
              <w:rPr>
                <w:rFonts w:ascii="Arial" w:hAnsi="Arial"/>
                <w:sz w:val="22"/>
                <w:szCs w:val="22"/>
              </w:rPr>
              <w:t>Esta acción aborda directamente si un instrumento de la CMS sería una vía de avance deseable.</w:t>
            </w:r>
          </w:p>
          <w:p w:rsidR="005D790E" w:rsidRPr="00166CF0" w:rsidRDefault="005D790E" w:rsidP="00EB1B0B">
            <w:pPr>
              <w:widowControl/>
              <w:autoSpaceDE/>
              <w:autoSpaceDN/>
              <w:adjustRightInd/>
              <w:jc w:val="both"/>
              <w:rPr>
                <w:rFonts w:ascii="Arial" w:eastAsia="MS Mincho" w:hAnsi="Arial" w:cs="Arial"/>
                <w:sz w:val="22"/>
                <w:szCs w:val="22"/>
                <w:lang w:eastAsia="en-GB"/>
              </w:rPr>
            </w:pPr>
          </w:p>
          <w:p w:rsidR="005D790E" w:rsidRPr="00166CF0" w:rsidRDefault="005D790E" w:rsidP="00EB1B0B">
            <w:pPr>
              <w:widowControl/>
              <w:autoSpaceDE/>
              <w:autoSpaceDN/>
              <w:adjustRightInd/>
              <w:jc w:val="both"/>
              <w:rPr>
                <w:rFonts w:ascii="Arial" w:eastAsia="MS Mincho" w:hAnsi="Arial" w:cs="Arial"/>
                <w:sz w:val="22"/>
                <w:szCs w:val="22"/>
              </w:rPr>
            </w:pPr>
            <w:r w:rsidRPr="00166CF0">
              <w:rPr>
                <w:rFonts w:ascii="Arial" w:hAnsi="Arial"/>
                <w:sz w:val="22"/>
                <w:szCs w:val="22"/>
              </w:rPr>
              <w:t>La gestión de la especie se aborda en el marco del Reglamento (CE) n.º 1100/2007del Consejo de la Unión Europea y se exige que todos los Estados miembros que tienen hábitats potenciales de anguila adopten planes nacionales de gestión de la anguila.</w:t>
            </w:r>
            <w:r w:rsidR="001B67B3">
              <w:rPr>
                <w:rFonts w:ascii="Arial" w:hAnsi="Arial"/>
                <w:sz w:val="22"/>
                <w:szCs w:val="22"/>
              </w:rPr>
              <w:t xml:space="preserve"> </w:t>
            </w:r>
            <w:r w:rsidRPr="00166CF0">
              <w:rPr>
                <w:rFonts w:ascii="Arial" w:hAnsi="Arial"/>
                <w:sz w:val="22"/>
                <w:szCs w:val="22"/>
              </w:rPr>
              <w:t xml:space="preserve">No obstante, el área de distribución de la especie se extiende más allá de los Estados Miembros de la UE, en concreto a países del norte de África, que son Partes </w:t>
            </w:r>
            <w:r w:rsidR="00591A00" w:rsidRPr="00166CF0">
              <w:rPr>
                <w:rFonts w:ascii="Arial" w:hAnsi="Arial"/>
                <w:sz w:val="22"/>
                <w:szCs w:val="22"/>
              </w:rPr>
              <w:t>de</w:t>
            </w:r>
            <w:r w:rsidRPr="00166CF0">
              <w:rPr>
                <w:rFonts w:ascii="Arial" w:hAnsi="Arial"/>
                <w:sz w:val="22"/>
                <w:szCs w:val="22"/>
              </w:rPr>
              <w:t xml:space="preserve"> la CMS. </w:t>
            </w:r>
          </w:p>
          <w:p w:rsidR="005D790E" w:rsidRPr="00166CF0" w:rsidRDefault="005D790E" w:rsidP="00EB1B0B">
            <w:pPr>
              <w:widowControl/>
              <w:autoSpaceDE/>
              <w:autoSpaceDN/>
              <w:adjustRightInd/>
              <w:jc w:val="both"/>
              <w:rPr>
                <w:rFonts w:ascii="Arial" w:eastAsia="MS Mincho" w:hAnsi="Arial" w:cs="Arial"/>
                <w:sz w:val="22"/>
                <w:szCs w:val="22"/>
                <w:lang w:eastAsia="en-GB"/>
              </w:rPr>
            </w:pPr>
          </w:p>
          <w:p w:rsidR="005D790E" w:rsidRPr="00166CF0" w:rsidRDefault="005D790E" w:rsidP="00EB1B0B">
            <w:pPr>
              <w:widowControl/>
              <w:autoSpaceDE/>
              <w:autoSpaceDN/>
              <w:adjustRightInd/>
              <w:jc w:val="both"/>
              <w:rPr>
                <w:rFonts w:ascii="Arial" w:eastAsia="MS Mincho" w:hAnsi="Arial" w:cs="Arial"/>
                <w:sz w:val="22"/>
                <w:szCs w:val="22"/>
              </w:rPr>
            </w:pPr>
            <w:r w:rsidRPr="00166CF0">
              <w:rPr>
                <w:rFonts w:ascii="Arial" w:hAnsi="Arial"/>
                <w:sz w:val="22"/>
                <w:szCs w:val="22"/>
              </w:rPr>
              <w:t>Por consiguiente, un instrumento de la CMS podría implicar a todos los Estados del Área de Distribución de modo que ambos se expandan y complementen el enfoque de la UE.</w:t>
            </w:r>
          </w:p>
          <w:p w:rsidR="005D790E" w:rsidRPr="00166CF0" w:rsidRDefault="005D790E" w:rsidP="00EB1B0B">
            <w:pPr>
              <w:widowControl/>
              <w:autoSpaceDE/>
              <w:autoSpaceDN/>
              <w:adjustRightInd/>
              <w:jc w:val="both"/>
              <w:rPr>
                <w:rFonts w:ascii="Arial" w:hAnsi="Arial" w:cs="Arial"/>
                <w:color w:val="000000"/>
                <w:sz w:val="22"/>
                <w:szCs w:val="22"/>
              </w:rPr>
            </w:pPr>
          </w:p>
          <w:p w:rsidR="005D790E" w:rsidRPr="00166CF0" w:rsidRDefault="005D790E" w:rsidP="00EB1B0B">
            <w:pPr>
              <w:jc w:val="both"/>
              <w:rPr>
                <w:rFonts w:ascii="Arial" w:hAnsi="Arial" w:cs="Arial"/>
                <w:color w:val="000000" w:themeColor="text1"/>
                <w:sz w:val="22"/>
                <w:szCs w:val="22"/>
              </w:rPr>
            </w:pPr>
            <w:r w:rsidRPr="00166CF0">
              <w:rPr>
                <w:rFonts w:ascii="Arial" w:hAnsi="Arial"/>
                <w:iCs/>
                <w:color w:val="000000" w:themeColor="text1"/>
                <w:sz w:val="22"/>
                <w:szCs w:val="22"/>
              </w:rPr>
              <w:t>El instrumento se podría centrar en la conservación de hábitats, además de la conservación de la especie, que también podría beneficiar a un grupo más amplio de flora y fauna acuática, proporcionando así una ventaja comparativa adicional.</w:t>
            </w:r>
          </w:p>
        </w:tc>
      </w:tr>
      <w:tr w:rsidR="005D790E" w:rsidRPr="00166CF0" w:rsidTr="00902C3A">
        <w:tc>
          <w:tcPr>
            <w:tcW w:w="1931" w:type="dxa"/>
            <w:shd w:val="clear" w:color="auto" w:fill="auto"/>
          </w:tcPr>
          <w:p w:rsidR="005D790E" w:rsidRPr="00166CF0" w:rsidRDefault="005D790E" w:rsidP="00EB1B0B">
            <w:pPr>
              <w:widowControl/>
              <w:autoSpaceDE/>
              <w:autoSpaceDN/>
              <w:adjustRightInd/>
              <w:spacing w:before="40" w:after="40"/>
              <w:rPr>
                <w:rFonts w:ascii="Arial" w:eastAsia="MS Mincho" w:hAnsi="Arial" w:cs="Arial"/>
                <w:b/>
                <w:sz w:val="22"/>
                <w:szCs w:val="22"/>
              </w:rPr>
            </w:pPr>
            <w:r w:rsidRPr="00166CF0">
              <w:rPr>
                <w:rFonts w:ascii="Arial" w:hAnsi="Arial"/>
                <w:b/>
                <w:sz w:val="22"/>
                <w:szCs w:val="22"/>
              </w:rPr>
              <w:lastRenderedPageBreak/>
              <w:t>Disponibilidad y viabilidad</w:t>
            </w:r>
          </w:p>
          <w:p w:rsidR="005D790E" w:rsidRPr="00166CF0" w:rsidRDefault="005D790E" w:rsidP="00EB1B0B">
            <w:pPr>
              <w:widowControl/>
              <w:autoSpaceDE/>
              <w:autoSpaceDN/>
              <w:adjustRightInd/>
              <w:spacing w:before="40" w:after="40"/>
              <w:rPr>
                <w:rFonts w:ascii="Arial" w:eastAsia="MS Mincho" w:hAnsi="Arial" w:cs="Arial"/>
                <w:b/>
                <w:i/>
                <w:sz w:val="22"/>
                <w:szCs w:val="22"/>
                <w:lang w:val="en-GB" w:eastAsia="en-GB"/>
              </w:rPr>
            </w:pPr>
          </w:p>
        </w:tc>
        <w:tc>
          <w:tcPr>
            <w:tcW w:w="7429" w:type="dxa"/>
            <w:shd w:val="clear" w:color="auto" w:fill="auto"/>
          </w:tcPr>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Liderazgo del Gobierno de Mónaco, de la Secretaría de la CMS y de la Secretaría de la Comisión del Mar de los Sargazos. Financiada por Mónaco, la Comisión del Mar de los Sargazos y otros donantes.</w:t>
            </w:r>
          </w:p>
        </w:tc>
      </w:tr>
      <w:tr w:rsidR="005D790E" w:rsidRPr="00166CF0" w:rsidTr="00902C3A">
        <w:tc>
          <w:tcPr>
            <w:tcW w:w="1931" w:type="dxa"/>
            <w:shd w:val="clear" w:color="auto" w:fill="auto"/>
          </w:tcPr>
          <w:p w:rsidR="005D790E" w:rsidRPr="00166CF0" w:rsidRDefault="005D790E" w:rsidP="00EB1B0B">
            <w:pPr>
              <w:widowControl/>
              <w:autoSpaceDE/>
              <w:autoSpaceDN/>
              <w:adjustRightInd/>
              <w:spacing w:before="40" w:after="40"/>
              <w:rPr>
                <w:rFonts w:ascii="Arial" w:eastAsia="MS Mincho" w:hAnsi="Arial" w:cs="Arial"/>
                <w:b/>
                <w:sz w:val="22"/>
                <w:szCs w:val="22"/>
              </w:rPr>
            </w:pPr>
            <w:r w:rsidRPr="00166CF0">
              <w:rPr>
                <w:rFonts w:ascii="Arial" w:hAnsi="Arial"/>
                <w:b/>
                <w:sz w:val="22"/>
                <w:szCs w:val="22"/>
              </w:rPr>
              <w:t>Probabilidad de éxito</w:t>
            </w:r>
          </w:p>
          <w:p w:rsidR="005D790E" w:rsidRPr="00166CF0" w:rsidRDefault="005D790E" w:rsidP="00EB1B0B">
            <w:pPr>
              <w:widowControl/>
              <w:autoSpaceDE/>
              <w:autoSpaceDN/>
              <w:adjustRightInd/>
              <w:spacing w:before="40" w:after="40"/>
              <w:rPr>
                <w:rFonts w:ascii="Arial" w:eastAsia="MS Mincho" w:hAnsi="Arial" w:cs="Arial"/>
                <w:b/>
                <w:i/>
                <w:sz w:val="22"/>
                <w:szCs w:val="22"/>
                <w:lang w:val="en-GB" w:eastAsia="en-GB"/>
              </w:rPr>
            </w:pPr>
          </w:p>
        </w:tc>
        <w:tc>
          <w:tcPr>
            <w:tcW w:w="7429" w:type="dxa"/>
            <w:shd w:val="clear" w:color="auto" w:fill="auto"/>
          </w:tcPr>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 xml:space="preserve">La viabilidad de las acciones se apoya mediante la implicación de Mónaco, un Estado del Área de Distribución, y de la Comisión del Mar de los Sargazos. </w:t>
            </w:r>
          </w:p>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Los factores de riesgo incluyen la falta de participación de los Estados del Área de Distribución y la falta de financiación para apoyar futuros talleres y reuniones</w:t>
            </w:r>
            <w:r w:rsidR="009476FB" w:rsidRPr="00166CF0">
              <w:rPr>
                <w:rFonts w:ascii="Arial" w:hAnsi="Arial"/>
                <w:sz w:val="22"/>
                <w:szCs w:val="22"/>
              </w:rPr>
              <w:t>.</w:t>
            </w:r>
          </w:p>
        </w:tc>
      </w:tr>
      <w:tr w:rsidR="005D790E" w:rsidRPr="00166CF0" w:rsidTr="00902C3A">
        <w:tc>
          <w:tcPr>
            <w:tcW w:w="1931" w:type="dxa"/>
            <w:shd w:val="clear" w:color="auto" w:fill="auto"/>
          </w:tcPr>
          <w:p w:rsidR="005D790E" w:rsidRPr="00166CF0" w:rsidRDefault="005D790E" w:rsidP="00EB1B0B">
            <w:pPr>
              <w:widowControl/>
              <w:autoSpaceDE/>
              <w:autoSpaceDN/>
              <w:adjustRightInd/>
              <w:spacing w:before="40" w:after="40"/>
              <w:rPr>
                <w:rFonts w:ascii="Arial" w:eastAsia="MS Mincho" w:hAnsi="Arial" w:cs="Arial"/>
                <w:b/>
                <w:sz w:val="22"/>
                <w:szCs w:val="22"/>
              </w:rPr>
            </w:pPr>
            <w:r w:rsidRPr="00166CF0">
              <w:rPr>
                <w:rFonts w:ascii="Arial" w:hAnsi="Arial"/>
                <w:b/>
                <w:sz w:val="22"/>
                <w:szCs w:val="22"/>
              </w:rPr>
              <w:t>Magnitud del impacto probable</w:t>
            </w:r>
          </w:p>
          <w:p w:rsidR="005D790E" w:rsidRPr="00166CF0" w:rsidRDefault="005D790E" w:rsidP="00EB1B0B">
            <w:pPr>
              <w:widowControl/>
              <w:autoSpaceDE/>
              <w:autoSpaceDN/>
              <w:adjustRightInd/>
              <w:spacing w:before="40" w:after="40"/>
              <w:rPr>
                <w:rFonts w:ascii="Arial" w:eastAsia="MS Mincho" w:hAnsi="Arial" w:cs="Arial"/>
                <w:b/>
                <w:i/>
                <w:sz w:val="22"/>
                <w:szCs w:val="22"/>
                <w:lang w:val="en-GB" w:eastAsia="en-GB"/>
              </w:rPr>
            </w:pPr>
          </w:p>
        </w:tc>
        <w:tc>
          <w:tcPr>
            <w:tcW w:w="7429" w:type="dxa"/>
            <w:shd w:val="clear" w:color="auto" w:fill="auto"/>
          </w:tcPr>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Se desarrollan e implementan nuevas iniciativas que complementan los planes existentes para la gestión de la especie.</w:t>
            </w:r>
          </w:p>
          <w:p w:rsidR="005D790E" w:rsidRPr="00166CF0" w:rsidRDefault="005D790E" w:rsidP="00EB1B0B">
            <w:pPr>
              <w:widowControl/>
              <w:autoSpaceDE/>
              <w:autoSpaceDN/>
              <w:adjustRightInd/>
              <w:spacing w:before="40" w:after="40"/>
              <w:jc w:val="both"/>
              <w:rPr>
                <w:rFonts w:ascii="Arial" w:eastAsia="MS Mincho" w:hAnsi="Arial" w:cs="Arial"/>
                <w:sz w:val="22"/>
                <w:szCs w:val="22"/>
              </w:rPr>
            </w:pPr>
            <w:r w:rsidRPr="00166CF0">
              <w:rPr>
                <w:rFonts w:ascii="Arial" w:hAnsi="Arial"/>
                <w:sz w:val="22"/>
                <w:szCs w:val="22"/>
              </w:rPr>
              <w:t xml:space="preserve">La mejora de la gestión puede proporcionar un patrón para la conservación de otras especies de anguila. </w:t>
            </w:r>
          </w:p>
        </w:tc>
      </w:tr>
      <w:tr w:rsidR="005D790E" w:rsidRPr="00166CF0" w:rsidTr="00902C3A">
        <w:tc>
          <w:tcPr>
            <w:tcW w:w="1931" w:type="dxa"/>
            <w:shd w:val="clear" w:color="auto" w:fill="auto"/>
          </w:tcPr>
          <w:p w:rsidR="005D790E" w:rsidRPr="00166CF0" w:rsidRDefault="005D790E" w:rsidP="00EB1B0B">
            <w:pPr>
              <w:widowControl/>
              <w:autoSpaceDE/>
              <w:autoSpaceDN/>
              <w:adjustRightInd/>
              <w:spacing w:before="40" w:after="40"/>
              <w:rPr>
                <w:rFonts w:ascii="Arial" w:eastAsia="MS Mincho" w:hAnsi="Arial" w:cs="Arial"/>
                <w:b/>
                <w:i/>
                <w:sz w:val="22"/>
                <w:szCs w:val="22"/>
              </w:rPr>
            </w:pPr>
            <w:r w:rsidRPr="00166CF0">
              <w:rPr>
                <w:rFonts w:ascii="Arial" w:hAnsi="Arial"/>
                <w:b/>
                <w:sz w:val="22"/>
                <w:szCs w:val="22"/>
              </w:rPr>
              <w:t>Rentabilidad</w:t>
            </w:r>
          </w:p>
        </w:tc>
        <w:tc>
          <w:tcPr>
            <w:tcW w:w="7429" w:type="dxa"/>
            <w:shd w:val="clear" w:color="auto" w:fill="auto"/>
          </w:tcPr>
          <w:p w:rsidR="005D790E" w:rsidRPr="00166CF0" w:rsidRDefault="005D790E" w:rsidP="00EB1B0B">
            <w:pPr>
              <w:widowControl/>
              <w:autoSpaceDE/>
              <w:autoSpaceDN/>
              <w:adjustRightInd/>
              <w:jc w:val="both"/>
              <w:rPr>
                <w:rFonts w:ascii="Arial" w:eastAsia="MS Mincho" w:hAnsi="Arial" w:cs="Arial"/>
                <w:sz w:val="22"/>
                <w:szCs w:val="22"/>
              </w:rPr>
            </w:pPr>
            <w:r w:rsidRPr="00166CF0">
              <w:rPr>
                <w:rFonts w:ascii="Arial" w:hAnsi="Arial"/>
                <w:sz w:val="22"/>
                <w:szCs w:val="22"/>
              </w:rPr>
              <w:t>Este plan constituye la forma más eficiente de colaborar con los Estados del Área de Distribución y de determinar las perspectivas de un instrumento de la CMS.</w:t>
            </w:r>
          </w:p>
        </w:tc>
      </w:tr>
    </w:tbl>
    <w:p w:rsidR="00260B0B" w:rsidRPr="00166CF0" w:rsidRDefault="00260B0B" w:rsidP="00E84AA7">
      <w:pPr>
        <w:jc w:val="both"/>
        <w:rPr>
          <w:sz w:val="24"/>
        </w:rPr>
      </w:pPr>
    </w:p>
    <w:p w:rsidR="005040CE" w:rsidRDefault="005040CE" w:rsidP="0038222B">
      <w:pPr>
        <w:tabs>
          <w:tab w:val="left" w:pos="-1057"/>
          <w:tab w:val="left" w:pos="-720"/>
          <w:tab w:val="left" w:pos="0"/>
          <w:tab w:val="left" w:pos="566"/>
          <w:tab w:val="left" w:pos="1132"/>
          <w:tab w:val="left" w:pos="1700"/>
          <w:tab w:val="left" w:pos="2160"/>
          <w:tab w:val="left" w:pos="2880"/>
          <w:tab w:val="left" w:pos="3600"/>
          <w:tab w:val="left" w:pos="4320"/>
          <w:tab w:val="left" w:pos="5040"/>
          <w:tab w:val="left" w:pos="5760"/>
          <w:tab w:val="left" w:pos="6008"/>
          <w:tab w:val="left" w:pos="6480"/>
          <w:tab w:val="left" w:pos="7200"/>
          <w:tab w:val="left" w:pos="7920"/>
          <w:tab w:val="left" w:pos="8640"/>
        </w:tabs>
        <w:rPr>
          <w:rFonts w:ascii="Arial" w:hAnsi="Arial" w:cs="Arial"/>
          <w:sz w:val="18"/>
          <w:szCs w:val="18"/>
        </w:rPr>
      </w:pPr>
    </w:p>
    <w:p w:rsidR="00902C3A" w:rsidRDefault="00902C3A" w:rsidP="0038222B">
      <w:pPr>
        <w:tabs>
          <w:tab w:val="left" w:pos="-1057"/>
          <w:tab w:val="left" w:pos="-720"/>
          <w:tab w:val="left" w:pos="0"/>
          <w:tab w:val="left" w:pos="566"/>
          <w:tab w:val="left" w:pos="1132"/>
          <w:tab w:val="left" w:pos="1700"/>
          <w:tab w:val="left" w:pos="2160"/>
          <w:tab w:val="left" w:pos="2880"/>
          <w:tab w:val="left" w:pos="3600"/>
          <w:tab w:val="left" w:pos="4320"/>
          <w:tab w:val="left" w:pos="5040"/>
          <w:tab w:val="left" w:pos="5760"/>
          <w:tab w:val="left" w:pos="6008"/>
          <w:tab w:val="left" w:pos="6480"/>
          <w:tab w:val="left" w:pos="7200"/>
          <w:tab w:val="left" w:pos="7920"/>
          <w:tab w:val="left" w:pos="8640"/>
        </w:tabs>
        <w:rPr>
          <w:rFonts w:ascii="Arial" w:hAnsi="Arial" w:cs="Arial"/>
          <w:sz w:val="18"/>
          <w:szCs w:val="18"/>
        </w:rPr>
      </w:pPr>
    </w:p>
    <w:p w:rsidR="00902C3A" w:rsidRPr="00902C3A" w:rsidRDefault="00902C3A" w:rsidP="00902C3A">
      <w:pPr>
        <w:rPr>
          <w:rFonts w:ascii="Arial" w:hAnsi="Arial" w:cs="Arial"/>
          <w:sz w:val="22"/>
          <w:szCs w:val="22"/>
        </w:rPr>
      </w:pPr>
      <w:proofErr w:type="spellStart"/>
      <w:r w:rsidRPr="00902C3A">
        <w:rPr>
          <w:rFonts w:ascii="Arial" w:hAnsi="Arial" w:cs="Arial"/>
          <w:b/>
          <w:sz w:val="22"/>
          <w:szCs w:val="22"/>
        </w:rPr>
        <w:t>References</w:t>
      </w:r>
      <w:proofErr w:type="spellEnd"/>
    </w:p>
    <w:p w:rsidR="00902C3A" w:rsidRPr="00B4314C" w:rsidRDefault="00902C3A" w:rsidP="00902C3A">
      <w:pPr>
        <w:rPr>
          <w:rFonts w:cs="Arial"/>
          <w:szCs w:val="20"/>
        </w:rPr>
      </w:pPr>
    </w:p>
    <w:p w:rsidR="00902C3A" w:rsidRPr="00902C3A" w:rsidRDefault="00902C3A" w:rsidP="00902C3A">
      <w:pPr>
        <w:ind w:left="360" w:hanging="360"/>
        <w:jc w:val="both"/>
        <w:rPr>
          <w:rFonts w:ascii="Arial" w:hAnsi="Arial" w:cs="Arial"/>
          <w:color w:val="000000"/>
          <w:szCs w:val="20"/>
        </w:rPr>
      </w:pPr>
      <w:proofErr w:type="spellStart"/>
      <w:r w:rsidRPr="00902C3A">
        <w:rPr>
          <w:rFonts w:ascii="Arial" w:hAnsi="Arial" w:cs="Arial"/>
          <w:color w:val="000000"/>
          <w:szCs w:val="20"/>
        </w:rPr>
        <w:t>Crook</w:t>
      </w:r>
      <w:proofErr w:type="spellEnd"/>
      <w:r w:rsidRPr="00902C3A">
        <w:rPr>
          <w:rFonts w:ascii="Arial" w:hAnsi="Arial" w:cs="Arial"/>
          <w:color w:val="000000"/>
          <w:szCs w:val="20"/>
        </w:rPr>
        <w:t xml:space="preserve">, V. (2011) </w:t>
      </w:r>
      <w:proofErr w:type="spellStart"/>
      <w:r w:rsidRPr="00902C3A">
        <w:rPr>
          <w:rFonts w:ascii="Arial" w:hAnsi="Arial" w:cs="Arial"/>
          <w:color w:val="000000"/>
          <w:szCs w:val="20"/>
        </w:rPr>
        <w:t>Trade</w:t>
      </w:r>
      <w:proofErr w:type="spellEnd"/>
      <w:r w:rsidRPr="00902C3A">
        <w:rPr>
          <w:rFonts w:ascii="Arial" w:hAnsi="Arial" w:cs="Arial"/>
          <w:color w:val="000000"/>
          <w:szCs w:val="20"/>
        </w:rPr>
        <w:t xml:space="preserve"> in </w:t>
      </w:r>
      <w:proofErr w:type="spellStart"/>
      <w:r w:rsidRPr="00902C3A">
        <w:rPr>
          <w:rFonts w:ascii="Arial" w:hAnsi="Arial" w:cs="Arial"/>
          <w:color w:val="000000"/>
          <w:szCs w:val="20"/>
        </w:rPr>
        <w:t>European</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Eels</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Recent</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Developments</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under</w:t>
      </w:r>
      <w:proofErr w:type="spellEnd"/>
      <w:r w:rsidRPr="00902C3A">
        <w:rPr>
          <w:rFonts w:ascii="Arial" w:hAnsi="Arial" w:cs="Arial"/>
          <w:color w:val="000000"/>
          <w:szCs w:val="20"/>
        </w:rPr>
        <w:t xml:space="preserve"> CITES and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EU </w:t>
      </w:r>
      <w:proofErr w:type="spellStart"/>
      <w:r w:rsidRPr="00902C3A">
        <w:rPr>
          <w:rFonts w:ascii="Arial" w:hAnsi="Arial" w:cs="Arial"/>
          <w:color w:val="000000"/>
          <w:szCs w:val="20"/>
        </w:rPr>
        <w:t>Wildlife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Trade</w:t>
      </w:r>
      <w:proofErr w:type="spellEnd"/>
      <w:r w:rsidRPr="00902C3A">
        <w:rPr>
          <w:rFonts w:ascii="Arial" w:hAnsi="Arial" w:cs="Arial"/>
          <w:color w:val="000000"/>
          <w:szCs w:val="20"/>
        </w:rPr>
        <w:br/>
      </w:r>
      <w:proofErr w:type="spellStart"/>
      <w:r w:rsidRPr="00902C3A">
        <w:rPr>
          <w:rFonts w:ascii="Arial" w:hAnsi="Arial" w:cs="Arial"/>
          <w:color w:val="000000"/>
          <w:szCs w:val="20"/>
        </w:rPr>
        <w:t>Regulations</w:t>
      </w:r>
      <w:proofErr w:type="spellEnd"/>
      <w:r w:rsidRPr="00902C3A">
        <w:rPr>
          <w:rFonts w:ascii="Arial" w:hAnsi="Arial" w:cs="Arial"/>
          <w:color w:val="000000"/>
          <w:szCs w:val="20"/>
        </w:rPr>
        <w:t xml:space="preserve">. </w:t>
      </w:r>
      <w:r w:rsidRPr="00902C3A">
        <w:rPr>
          <w:rFonts w:ascii="Arial" w:hAnsi="Arial" w:cs="Arial"/>
          <w:i/>
          <w:iCs/>
          <w:color w:val="000000"/>
          <w:szCs w:val="20"/>
        </w:rPr>
        <w:t xml:space="preserve">TRAFFIC </w:t>
      </w:r>
      <w:proofErr w:type="spellStart"/>
      <w:r w:rsidRPr="00902C3A">
        <w:rPr>
          <w:rFonts w:ascii="Arial" w:hAnsi="Arial" w:cs="Arial"/>
          <w:i/>
          <w:iCs/>
          <w:color w:val="000000"/>
          <w:szCs w:val="20"/>
        </w:rPr>
        <w:t>Bulletin</w:t>
      </w:r>
      <w:proofErr w:type="spellEnd"/>
      <w:r w:rsidRPr="00902C3A">
        <w:rPr>
          <w:rFonts w:ascii="Arial" w:hAnsi="Arial" w:cs="Arial"/>
          <w:i/>
          <w:iCs/>
          <w:color w:val="000000"/>
          <w:szCs w:val="20"/>
        </w:rPr>
        <w:t xml:space="preserve"> </w:t>
      </w:r>
      <w:r w:rsidRPr="00902C3A">
        <w:rPr>
          <w:rFonts w:ascii="Arial" w:hAnsi="Arial" w:cs="Arial"/>
          <w:color w:val="000000"/>
          <w:szCs w:val="20"/>
        </w:rPr>
        <w:t>23(2): 71-74.</w:t>
      </w:r>
    </w:p>
    <w:p w:rsidR="00902C3A" w:rsidRPr="00902C3A" w:rsidRDefault="00902C3A" w:rsidP="00902C3A">
      <w:pPr>
        <w:ind w:left="360" w:hanging="360"/>
        <w:jc w:val="both"/>
        <w:rPr>
          <w:rFonts w:ascii="Arial" w:hAnsi="Arial" w:cs="Arial"/>
          <w:color w:val="000000"/>
          <w:szCs w:val="20"/>
        </w:rPr>
      </w:pPr>
      <w:proofErr w:type="spellStart"/>
      <w:r w:rsidRPr="00902C3A">
        <w:rPr>
          <w:rFonts w:ascii="Arial" w:hAnsi="Arial" w:cs="Arial"/>
          <w:color w:val="000000"/>
          <w:szCs w:val="20"/>
        </w:rPr>
        <w:t>Dekker</w:t>
      </w:r>
      <w:proofErr w:type="spellEnd"/>
      <w:r w:rsidRPr="00902C3A">
        <w:rPr>
          <w:rFonts w:ascii="Arial" w:hAnsi="Arial" w:cs="Arial"/>
          <w:color w:val="000000"/>
          <w:szCs w:val="20"/>
        </w:rPr>
        <w:t xml:space="preserve">, W. (2003) </w:t>
      </w:r>
      <w:proofErr w:type="spellStart"/>
      <w:r w:rsidRPr="00902C3A">
        <w:rPr>
          <w:rFonts w:ascii="Arial" w:hAnsi="Arial" w:cs="Arial"/>
          <w:color w:val="000000"/>
          <w:szCs w:val="20"/>
        </w:rPr>
        <w:t>Did</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lack</w:t>
      </w:r>
      <w:proofErr w:type="spellEnd"/>
      <w:r w:rsidRPr="00902C3A">
        <w:rPr>
          <w:rFonts w:ascii="Arial" w:hAnsi="Arial" w:cs="Arial"/>
          <w:color w:val="000000"/>
          <w:szCs w:val="20"/>
        </w:rPr>
        <w:t xml:space="preserve"> of </w:t>
      </w:r>
      <w:proofErr w:type="spellStart"/>
      <w:r w:rsidRPr="00902C3A">
        <w:rPr>
          <w:rFonts w:ascii="Arial" w:hAnsi="Arial" w:cs="Arial"/>
          <w:color w:val="000000"/>
          <w:szCs w:val="20"/>
        </w:rPr>
        <w:t>spawners</w:t>
      </w:r>
      <w:proofErr w:type="spellEnd"/>
      <w:r w:rsidRPr="00902C3A">
        <w:rPr>
          <w:rFonts w:ascii="Arial" w:hAnsi="Arial" w:cs="Arial"/>
          <w:color w:val="000000"/>
          <w:szCs w:val="20"/>
        </w:rPr>
        <w:t xml:space="preserve"> cause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collapse</w:t>
      </w:r>
      <w:proofErr w:type="spellEnd"/>
      <w:r w:rsidRPr="00902C3A">
        <w:rPr>
          <w:rFonts w:ascii="Arial" w:hAnsi="Arial" w:cs="Arial"/>
          <w:color w:val="000000"/>
          <w:szCs w:val="20"/>
        </w:rPr>
        <w:t xml:space="preserve"> of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European</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Eel</w:t>
      </w:r>
      <w:proofErr w:type="spellEnd"/>
      <w:r w:rsidRPr="00902C3A">
        <w:rPr>
          <w:rFonts w:ascii="Arial" w:hAnsi="Arial" w:cs="Arial"/>
          <w:color w:val="000000"/>
          <w:szCs w:val="20"/>
        </w:rPr>
        <w:t xml:space="preserve">, </w:t>
      </w:r>
      <w:r w:rsidRPr="00902C3A">
        <w:rPr>
          <w:rFonts w:ascii="Arial" w:hAnsi="Arial" w:cs="Arial"/>
          <w:i/>
          <w:iCs/>
          <w:color w:val="000000"/>
          <w:szCs w:val="20"/>
        </w:rPr>
        <w:t xml:space="preserve">Anguilla </w:t>
      </w:r>
      <w:proofErr w:type="spellStart"/>
      <w:r w:rsidRPr="00902C3A">
        <w:rPr>
          <w:rFonts w:ascii="Arial" w:hAnsi="Arial" w:cs="Arial"/>
          <w:i/>
          <w:iCs/>
          <w:color w:val="000000"/>
          <w:szCs w:val="20"/>
        </w:rPr>
        <w:t>anguilla</w:t>
      </w:r>
      <w:proofErr w:type="spellEnd"/>
      <w:r w:rsidRPr="00902C3A">
        <w:rPr>
          <w:rFonts w:ascii="Arial" w:hAnsi="Arial" w:cs="Arial"/>
          <w:color w:val="000000"/>
          <w:szCs w:val="20"/>
        </w:rPr>
        <w:t xml:space="preserve">? </w:t>
      </w:r>
      <w:proofErr w:type="spellStart"/>
      <w:r w:rsidRPr="00902C3A">
        <w:rPr>
          <w:rFonts w:ascii="Arial" w:hAnsi="Arial" w:cs="Arial"/>
          <w:i/>
          <w:iCs/>
          <w:color w:val="000000"/>
          <w:szCs w:val="20"/>
        </w:rPr>
        <w:t>Fisheries</w:t>
      </w:r>
      <w:proofErr w:type="spellEnd"/>
      <w:r w:rsidRPr="00902C3A">
        <w:rPr>
          <w:rFonts w:ascii="Arial" w:hAnsi="Arial" w:cs="Arial"/>
          <w:i/>
          <w:iCs/>
          <w:color w:val="000000"/>
          <w:szCs w:val="20"/>
        </w:rPr>
        <w:t xml:space="preserve"> Management and </w:t>
      </w:r>
      <w:proofErr w:type="spellStart"/>
      <w:r w:rsidRPr="00902C3A">
        <w:rPr>
          <w:rFonts w:ascii="Arial" w:hAnsi="Arial" w:cs="Arial"/>
          <w:i/>
          <w:iCs/>
          <w:color w:val="000000"/>
          <w:szCs w:val="20"/>
        </w:rPr>
        <w:t>Ecology</w:t>
      </w:r>
      <w:proofErr w:type="spellEnd"/>
      <w:r w:rsidRPr="00902C3A">
        <w:rPr>
          <w:rFonts w:ascii="Arial" w:hAnsi="Arial" w:cs="Arial"/>
          <w:i/>
          <w:iCs/>
          <w:color w:val="000000"/>
          <w:szCs w:val="20"/>
        </w:rPr>
        <w:t xml:space="preserve"> </w:t>
      </w:r>
      <w:r w:rsidRPr="00902C3A">
        <w:rPr>
          <w:rFonts w:ascii="Arial" w:hAnsi="Arial" w:cs="Arial"/>
          <w:bCs/>
          <w:color w:val="000000"/>
          <w:szCs w:val="20"/>
        </w:rPr>
        <w:t>10</w:t>
      </w:r>
      <w:r w:rsidRPr="00902C3A">
        <w:rPr>
          <w:rFonts w:ascii="Arial" w:hAnsi="Arial" w:cs="Arial"/>
          <w:color w:val="000000"/>
          <w:szCs w:val="20"/>
        </w:rPr>
        <w:t>: 365-376.</w:t>
      </w:r>
    </w:p>
    <w:p w:rsidR="00902C3A" w:rsidRPr="00902C3A" w:rsidRDefault="00902C3A" w:rsidP="00902C3A">
      <w:pPr>
        <w:ind w:left="360" w:hanging="360"/>
        <w:jc w:val="both"/>
        <w:rPr>
          <w:rFonts w:ascii="Arial" w:hAnsi="Arial" w:cs="Arial"/>
          <w:color w:val="000000"/>
          <w:szCs w:val="20"/>
        </w:rPr>
      </w:pPr>
      <w:r w:rsidRPr="00902C3A">
        <w:rPr>
          <w:rFonts w:ascii="Arial" w:hAnsi="Arial" w:cs="Arial"/>
          <w:color w:val="000000"/>
          <w:szCs w:val="20"/>
        </w:rPr>
        <w:t xml:space="preserve">ICES (2009) </w:t>
      </w:r>
      <w:proofErr w:type="spellStart"/>
      <w:r w:rsidRPr="00902C3A">
        <w:rPr>
          <w:rFonts w:ascii="Arial" w:hAnsi="Arial" w:cs="Arial"/>
          <w:color w:val="000000"/>
          <w:szCs w:val="20"/>
        </w:rPr>
        <w:t>Report</w:t>
      </w:r>
      <w:proofErr w:type="spellEnd"/>
      <w:r w:rsidRPr="00902C3A">
        <w:rPr>
          <w:rFonts w:ascii="Arial" w:hAnsi="Arial" w:cs="Arial"/>
          <w:color w:val="000000"/>
          <w:szCs w:val="20"/>
        </w:rPr>
        <w:t xml:space="preserve"> of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Study</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Group</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on</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Anguillid</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Eels</w:t>
      </w:r>
      <w:proofErr w:type="spellEnd"/>
      <w:r w:rsidRPr="00902C3A">
        <w:rPr>
          <w:rFonts w:ascii="Arial" w:hAnsi="Arial" w:cs="Arial"/>
          <w:color w:val="000000"/>
          <w:szCs w:val="20"/>
        </w:rPr>
        <w:t xml:space="preserve"> in </w:t>
      </w:r>
      <w:proofErr w:type="spellStart"/>
      <w:r w:rsidRPr="00902C3A">
        <w:rPr>
          <w:rFonts w:ascii="Arial" w:hAnsi="Arial" w:cs="Arial"/>
          <w:color w:val="000000"/>
          <w:szCs w:val="20"/>
        </w:rPr>
        <w:t>Saline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Waters</w:t>
      </w:r>
      <w:proofErr w:type="spellEnd"/>
      <w:r w:rsidRPr="00902C3A">
        <w:rPr>
          <w:rFonts w:ascii="Arial" w:hAnsi="Arial" w:cs="Arial"/>
          <w:color w:val="000000"/>
          <w:szCs w:val="20"/>
        </w:rPr>
        <w:t xml:space="preserve"> (SGAESAW).</w:t>
      </w:r>
    </w:p>
    <w:p w:rsidR="00902C3A" w:rsidRPr="00902C3A" w:rsidRDefault="00902C3A" w:rsidP="00902C3A">
      <w:pPr>
        <w:ind w:left="360" w:hanging="360"/>
        <w:jc w:val="both"/>
        <w:rPr>
          <w:rFonts w:ascii="Arial" w:hAnsi="Arial" w:cs="Arial"/>
          <w:color w:val="000000"/>
          <w:szCs w:val="20"/>
        </w:rPr>
      </w:pPr>
      <w:proofErr w:type="spellStart"/>
      <w:r w:rsidRPr="00902C3A">
        <w:rPr>
          <w:rFonts w:ascii="Arial" w:hAnsi="Arial" w:cs="Arial"/>
          <w:color w:val="000000"/>
          <w:szCs w:val="20"/>
        </w:rPr>
        <w:t>Moriarty</w:t>
      </w:r>
      <w:proofErr w:type="spellEnd"/>
      <w:r w:rsidRPr="00902C3A">
        <w:rPr>
          <w:rFonts w:ascii="Arial" w:hAnsi="Arial" w:cs="Arial"/>
          <w:color w:val="000000"/>
          <w:szCs w:val="20"/>
        </w:rPr>
        <w:t xml:space="preserve">, C. and </w:t>
      </w:r>
      <w:proofErr w:type="spellStart"/>
      <w:r w:rsidRPr="00902C3A">
        <w:rPr>
          <w:rFonts w:ascii="Arial" w:hAnsi="Arial" w:cs="Arial"/>
          <w:color w:val="000000"/>
          <w:szCs w:val="20"/>
        </w:rPr>
        <w:t>Dekker</w:t>
      </w:r>
      <w:proofErr w:type="spellEnd"/>
      <w:r w:rsidRPr="00902C3A">
        <w:rPr>
          <w:rFonts w:ascii="Arial" w:hAnsi="Arial" w:cs="Arial"/>
          <w:color w:val="000000"/>
          <w:szCs w:val="20"/>
        </w:rPr>
        <w:t xml:space="preserve">, W. (1997) Management of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European</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eel</w:t>
      </w:r>
      <w:proofErr w:type="spellEnd"/>
      <w:r w:rsidRPr="00902C3A">
        <w:rPr>
          <w:rFonts w:ascii="Arial" w:hAnsi="Arial" w:cs="Arial"/>
          <w:color w:val="000000"/>
          <w:szCs w:val="20"/>
        </w:rPr>
        <w:t xml:space="preserve">. </w:t>
      </w:r>
      <w:proofErr w:type="spellStart"/>
      <w:r w:rsidRPr="00902C3A">
        <w:rPr>
          <w:rFonts w:ascii="Arial" w:hAnsi="Arial" w:cs="Arial"/>
          <w:i/>
          <w:iCs/>
          <w:color w:val="000000"/>
          <w:szCs w:val="20"/>
        </w:rPr>
        <w:t>Irish</w:t>
      </w:r>
      <w:proofErr w:type="spellEnd"/>
      <w:r w:rsidRPr="00902C3A">
        <w:rPr>
          <w:rFonts w:ascii="Arial" w:hAnsi="Arial" w:cs="Arial"/>
          <w:i/>
          <w:iCs/>
          <w:color w:val="000000"/>
          <w:szCs w:val="20"/>
        </w:rPr>
        <w:t xml:space="preserve"> </w:t>
      </w:r>
      <w:proofErr w:type="spellStart"/>
      <w:r w:rsidRPr="00902C3A">
        <w:rPr>
          <w:rFonts w:ascii="Arial" w:hAnsi="Arial" w:cs="Arial"/>
          <w:i/>
          <w:iCs/>
          <w:color w:val="000000"/>
          <w:szCs w:val="20"/>
        </w:rPr>
        <w:t>Fisheries</w:t>
      </w:r>
      <w:proofErr w:type="spellEnd"/>
      <w:r w:rsidRPr="00902C3A">
        <w:rPr>
          <w:rFonts w:ascii="Arial" w:hAnsi="Arial" w:cs="Arial"/>
          <w:i/>
          <w:iCs/>
          <w:color w:val="000000"/>
          <w:szCs w:val="20"/>
        </w:rPr>
        <w:t xml:space="preserve"> </w:t>
      </w:r>
      <w:proofErr w:type="spellStart"/>
      <w:r w:rsidRPr="00902C3A">
        <w:rPr>
          <w:rFonts w:ascii="Arial" w:hAnsi="Arial" w:cs="Arial"/>
          <w:i/>
          <w:iCs/>
          <w:color w:val="000000"/>
          <w:szCs w:val="20"/>
        </w:rPr>
        <w:t>Bulletin</w:t>
      </w:r>
      <w:proofErr w:type="spellEnd"/>
      <w:r w:rsidRPr="00902C3A">
        <w:rPr>
          <w:rFonts w:ascii="Arial" w:hAnsi="Arial" w:cs="Arial"/>
          <w:i/>
          <w:iCs/>
          <w:color w:val="000000"/>
          <w:szCs w:val="20"/>
        </w:rPr>
        <w:t xml:space="preserve"> </w:t>
      </w:r>
      <w:r w:rsidRPr="00902C3A">
        <w:rPr>
          <w:rFonts w:ascii="Arial" w:hAnsi="Arial" w:cs="Arial"/>
          <w:bCs/>
          <w:color w:val="000000"/>
          <w:szCs w:val="20"/>
        </w:rPr>
        <w:t>15</w:t>
      </w:r>
      <w:r w:rsidRPr="00902C3A">
        <w:rPr>
          <w:rFonts w:ascii="Arial" w:hAnsi="Arial" w:cs="Arial"/>
          <w:color w:val="000000"/>
          <w:szCs w:val="20"/>
        </w:rPr>
        <w:t>: 1-110.</w:t>
      </w:r>
    </w:p>
    <w:p w:rsidR="00902C3A" w:rsidRPr="00902C3A" w:rsidRDefault="00902C3A" w:rsidP="00902C3A">
      <w:pPr>
        <w:ind w:left="360" w:hanging="360"/>
        <w:jc w:val="both"/>
        <w:rPr>
          <w:rFonts w:ascii="Arial" w:hAnsi="Arial" w:cs="Arial"/>
          <w:color w:val="000000"/>
          <w:szCs w:val="20"/>
        </w:rPr>
      </w:pPr>
      <w:r w:rsidRPr="00902C3A">
        <w:rPr>
          <w:rFonts w:ascii="Arial" w:hAnsi="Arial" w:cs="Arial"/>
          <w:color w:val="000000"/>
          <w:szCs w:val="20"/>
        </w:rPr>
        <w:t xml:space="preserve">Schmidt, J. (1922)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breeding</w:t>
      </w:r>
      <w:proofErr w:type="spellEnd"/>
      <w:r w:rsidRPr="00902C3A">
        <w:rPr>
          <w:rFonts w:ascii="Arial" w:hAnsi="Arial" w:cs="Arial"/>
          <w:color w:val="000000"/>
          <w:szCs w:val="20"/>
        </w:rPr>
        <w:t xml:space="preserve"> places of </w:t>
      </w:r>
      <w:proofErr w:type="spellStart"/>
      <w:r w:rsidRPr="00902C3A">
        <w:rPr>
          <w:rFonts w:ascii="Arial" w:hAnsi="Arial" w:cs="Arial"/>
          <w:color w:val="000000"/>
          <w:szCs w:val="20"/>
        </w:rPr>
        <w:t>the</w:t>
      </w:r>
      <w:proofErr w:type="spellEnd"/>
      <w:r w:rsidRPr="00902C3A">
        <w:rPr>
          <w:rFonts w:ascii="Arial" w:hAnsi="Arial" w:cs="Arial"/>
          <w:color w:val="000000"/>
          <w:szCs w:val="20"/>
        </w:rPr>
        <w:t xml:space="preserve"> </w:t>
      </w:r>
      <w:proofErr w:type="spellStart"/>
      <w:r w:rsidRPr="00902C3A">
        <w:rPr>
          <w:rFonts w:ascii="Arial" w:hAnsi="Arial" w:cs="Arial"/>
          <w:color w:val="000000"/>
          <w:szCs w:val="20"/>
        </w:rPr>
        <w:t>eel</w:t>
      </w:r>
      <w:proofErr w:type="spellEnd"/>
      <w:r w:rsidRPr="00902C3A">
        <w:rPr>
          <w:rFonts w:ascii="Arial" w:hAnsi="Arial" w:cs="Arial"/>
          <w:color w:val="000000"/>
          <w:szCs w:val="20"/>
        </w:rPr>
        <w:t xml:space="preserve">. </w:t>
      </w:r>
      <w:proofErr w:type="spellStart"/>
      <w:r w:rsidRPr="00902C3A">
        <w:rPr>
          <w:rFonts w:ascii="Arial" w:hAnsi="Arial" w:cs="Arial"/>
          <w:i/>
          <w:iCs/>
          <w:color w:val="000000"/>
          <w:szCs w:val="20"/>
        </w:rPr>
        <w:t>Philosophical</w:t>
      </w:r>
      <w:proofErr w:type="spellEnd"/>
      <w:r w:rsidRPr="00902C3A">
        <w:rPr>
          <w:rFonts w:ascii="Arial" w:hAnsi="Arial" w:cs="Arial"/>
          <w:i/>
          <w:iCs/>
          <w:color w:val="000000"/>
          <w:szCs w:val="20"/>
        </w:rPr>
        <w:t xml:space="preserve"> </w:t>
      </w:r>
      <w:proofErr w:type="spellStart"/>
      <w:r w:rsidRPr="00902C3A">
        <w:rPr>
          <w:rFonts w:ascii="Arial" w:hAnsi="Arial" w:cs="Arial"/>
          <w:i/>
          <w:iCs/>
          <w:color w:val="000000"/>
          <w:szCs w:val="20"/>
        </w:rPr>
        <w:t>Transactions</w:t>
      </w:r>
      <w:proofErr w:type="spellEnd"/>
      <w:r w:rsidRPr="00902C3A">
        <w:rPr>
          <w:rFonts w:ascii="Arial" w:hAnsi="Arial" w:cs="Arial"/>
          <w:i/>
          <w:iCs/>
          <w:color w:val="000000"/>
          <w:szCs w:val="20"/>
        </w:rPr>
        <w:t xml:space="preserve"> of </w:t>
      </w:r>
      <w:proofErr w:type="spellStart"/>
      <w:r w:rsidRPr="00902C3A">
        <w:rPr>
          <w:rFonts w:ascii="Arial" w:hAnsi="Arial" w:cs="Arial"/>
          <w:i/>
          <w:iCs/>
          <w:color w:val="000000"/>
          <w:szCs w:val="20"/>
        </w:rPr>
        <w:t>the</w:t>
      </w:r>
      <w:proofErr w:type="spellEnd"/>
      <w:r w:rsidRPr="00902C3A">
        <w:rPr>
          <w:rFonts w:ascii="Arial" w:hAnsi="Arial" w:cs="Arial"/>
          <w:i/>
          <w:iCs/>
          <w:color w:val="000000"/>
          <w:szCs w:val="20"/>
        </w:rPr>
        <w:t xml:space="preserve"> Royal </w:t>
      </w:r>
      <w:proofErr w:type="spellStart"/>
      <w:r w:rsidRPr="00902C3A">
        <w:rPr>
          <w:rFonts w:ascii="Arial" w:hAnsi="Arial" w:cs="Arial"/>
          <w:i/>
          <w:iCs/>
          <w:color w:val="000000"/>
          <w:szCs w:val="20"/>
        </w:rPr>
        <w:t>Society</w:t>
      </w:r>
      <w:proofErr w:type="spellEnd"/>
      <w:r w:rsidRPr="00902C3A">
        <w:rPr>
          <w:rFonts w:ascii="Arial" w:hAnsi="Arial" w:cs="Arial"/>
          <w:color w:val="000000"/>
          <w:szCs w:val="20"/>
        </w:rPr>
        <w:t xml:space="preserve"> </w:t>
      </w:r>
      <w:r w:rsidRPr="00902C3A">
        <w:rPr>
          <w:rFonts w:ascii="Arial" w:hAnsi="Arial" w:cs="Arial"/>
          <w:i/>
          <w:iCs/>
          <w:color w:val="000000"/>
          <w:szCs w:val="20"/>
        </w:rPr>
        <w:t xml:space="preserve">of London Series B </w:t>
      </w:r>
      <w:r w:rsidRPr="00902C3A">
        <w:rPr>
          <w:rFonts w:ascii="Arial" w:hAnsi="Arial" w:cs="Arial"/>
          <w:bCs/>
          <w:color w:val="000000"/>
          <w:szCs w:val="20"/>
        </w:rPr>
        <w:t>211</w:t>
      </w:r>
      <w:r w:rsidRPr="00902C3A">
        <w:rPr>
          <w:rFonts w:ascii="Arial" w:hAnsi="Arial" w:cs="Arial"/>
          <w:color w:val="000000"/>
          <w:szCs w:val="20"/>
        </w:rPr>
        <w:t>: 179–208.</w:t>
      </w:r>
    </w:p>
    <w:p w:rsidR="00902C3A" w:rsidRPr="00902C3A" w:rsidRDefault="00902C3A" w:rsidP="00902C3A">
      <w:pPr>
        <w:ind w:left="360" w:hanging="360"/>
        <w:jc w:val="both"/>
        <w:rPr>
          <w:rFonts w:ascii="Arial" w:hAnsi="Arial" w:cs="Arial"/>
          <w:color w:val="333333"/>
          <w:szCs w:val="20"/>
          <w:shd w:val="clear" w:color="auto" w:fill="FFFFFF"/>
        </w:rPr>
      </w:pPr>
      <w:r w:rsidRPr="00902C3A">
        <w:rPr>
          <w:rFonts w:ascii="Arial" w:hAnsi="Arial" w:cs="Arial"/>
          <w:color w:val="333333"/>
          <w:szCs w:val="20"/>
          <w:shd w:val="clear" w:color="auto" w:fill="FFFFFF"/>
        </w:rPr>
        <w:t xml:space="preserve">UNEP/CMS (2014) </w:t>
      </w:r>
      <w:proofErr w:type="spellStart"/>
      <w:r w:rsidRPr="00902C3A">
        <w:rPr>
          <w:rFonts w:ascii="Arial" w:hAnsi="Arial" w:cs="Arial"/>
          <w:color w:val="333333"/>
          <w:szCs w:val="20"/>
          <w:shd w:val="clear" w:color="auto" w:fill="FFFFFF"/>
        </w:rPr>
        <w:t>Proposal</w:t>
      </w:r>
      <w:proofErr w:type="spellEnd"/>
      <w:r w:rsidRPr="00902C3A">
        <w:rPr>
          <w:rFonts w:ascii="Arial" w:hAnsi="Arial" w:cs="Arial"/>
          <w:color w:val="333333"/>
          <w:szCs w:val="20"/>
          <w:shd w:val="clear" w:color="auto" w:fill="FFFFFF"/>
        </w:rPr>
        <w:t xml:space="preserve"> </w:t>
      </w:r>
      <w:proofErr w:type="spellStart"/>
      <w:r w:rsidRPr="00902C3A">
        <w:rPr>
          <w:rFonts w:ascii="Arial" w:hAnsi="Arial" w:cs="Arial"/>
          <w:color w:val="333333"/>
          <w:szCs w:val="20"/>
          <w:shd w:val="clear" w:color="auto" w:fill="FFFFFF"/>
        </w:rPr>
        <w:t>for</w:t>
      </w:r>
      <w:proofErr w:type="spellEnd"/>
      <w:r w:rsidRPr="00902C3A">
        <w:rPr>
          <w:rFonts w:ascii="Arial" w:hAnsi="Arial" w:cs="Arial"/>
          <w:color w:val="333333"/>
          <w:szCs w:val="20"/>
          <w:shd w:val="clear" w:color="auto" w:fill="FFFFFF"/>
        </w:rPr>
        <w:t xml:space="preserve"> </w:t>
      </w:r>
      <w:proofErr w:type="spellStart"/>
      <w:r w:rsidRPr="00902C3A">
        <w:rPr>
          <w:rFonts w:ascii="Arial" w:hAnsi="Arial" w:cs="Arial"/>
          <w:color w:val="333333"/>
          <w:szCs w:val="20"/>
          <w:shd w:val="clear" w:color="auto" w:fill="FFFFFF"/>
        </w:rPr>
        <w:t>the</w:t>
      </w:r>
      <w:proofErr w:type="spellEnd"/>
      <w:r w:rsidRPr="00902C3A">
        <w:rPr>
          <w:rFonts w:ascii="Arial" w:hAnsi="Arial" w:cs="Arial"/>
          <w:color w:val="333333"/>
          <w:szCs w:val="20"/>
          <w:shd w:val="clear" w:color="auto" w:fill="FFFFFF"/>
        </w:rPr>
        <w:t xml:space="preserve"> </w:t>
      </w:r>
      <w:proofErr w:type="spellStart"/>
      <w:r w:rsidRPr="00902C3A">
        <w:rPr>
          <w:rFonts w:ascii="Arial" w:hAnsi="Arial" w:cs="Arial"/>
          <w:color w:val="333333"/>
          <w:szCs w:val="20"/>
          <w:shd w:val="clear" w:color="auto" w:fill="FFFFFF"/>
        </w:rPr>
        <w:t>Inclusion</w:t>
      </w:r>
      <w:proofErr w:type="spellEnd"/>
      <w:r w:rsidRPr="00902C3A">
        <w:rPr>
          <w:rFonts w:ascii="Arial" w:hAnsi="Arial" w:cs="Arial"/>
          <w:color w:val="333333"/>
          <w:szCs w:val="20"/>
          <w:shd w:val="clear" w:color="auto" w:fill="FFFFFF"/>
        </w:rPr>
        <w:t xml:space="preserve"> of </w:t>
      </w:r>
      <w:proofErr w:type="spellStart"/>
      <w:r w:rsidRPr="00902C3A">
        <w:rPr>
          <w:rFonts w:ascii="Arial" w:hAnsi="Arial" w:cs="Arial"/>
          <w:color w:val="333333"/>
          <w:szCs w:val="20"/>
          <w:shd w:val="clear" w:color="auto" w:fill="FFFFFF"/>
        </w:rPr>
        <w:t>the</w:t>
      </w:r>
      <w:proofErr w:type="spellEnd"/>
      <w:r w:rsidRPr="00902C3A">
        <w:rPr>
          <w:rFonts w:ascii="Arial" w:hAnsi="Arial" w:cs="Arial"/>
          <w:color w:val="333333"/>
          <w:szCs w:val="20"/>
          <w:shd w:val="clear" w:color="auto" w:fill="FFFFFF"/>
        </w:rPr>
        <w:t xml:space="preserve"> </w:t>
      </w:r>
      <w:proofErr w:type="spellStart"/>
      <w:r w:rsidRPr="00902C3A">
        <w:rPr>
          <w:rFonts w:ascii="Arial" w:hAnsi="Arial" w:cs="Arial"/>
          <w:color w:val="333333"/>
          <w:szCs w:val="20"/>
          <w:shd w:val="clear" w:color="auto" w:fill="FFFFFF"/>
        </w:rPr>
        <w:t>European</w:t>
      </w:r>
      <w:proofErr w:type="spellEnd"/>
      <w:r w:rsidRPr="00902C3A">
        <w:rPr>
          <w:rFonts w:ascii="Arial" w:hAnsi="Arial" w:cs="Arial"/>
          <w:color w:val="333333"/>
          <w:szCs w:val="20"/>
          <w:shd w:val="clear" w:color="auto" w:fill="FFFFFF"/>
        </w:rPr>
        <w:t xml:space="preserve"> </w:t>
      </w:r>
      <w:proofErr w:type="spellStart"/>
      <w:r w:rsidRPr="00902C3A">
        <w:rPr>
          <w:rFonts w:ascii="Arial" w:hAnsi="Arial" w:cs="Arial"/>
          <w:color w:val="333333"/>
          <w:szCs w:val="20"/>
          <w:shd w:val="clear" w:color="auto" w:fill="FFFFFF"/>
        </w:rPr>
        <w:t>Eel</w:t>
      </w:r>
      <w:proofErr w:type="spellEnd"/>
      <w:r w:rsidRPr="00902C3A">
        <w:rPr>
          <w:rFonts w:ascii="Arial" w:hAnsi="Arial" w:cs="Arial"/>
          <w:color w:val="333333"/>
          <w:szCs w:val="20"/>
          <w:shd w:val="clear" w:color="auto" w:fill="FFFFFF"/>
        </w:rPr>
        <w:t xml:space="preserve"> (</w:t>
      </w:r>
      <w:r w:rsidRPr="00902C3A">
        <w:rPr>
          <w:rFonts w:ascii="Arial" w:hAnsi="Arial" w:cs="Arial"/>
          <w:i/>
          <w:color w:val="333333"/>
          <w:szCs w:val="20"/>
          <w:shd w:val="clear" w:color="auto" w:fill="FFFFFF"/>
        </w:rPr>
        <w:t>Anguilla Anguilla</w:t>
      </w:r>
      <w:r w:rsidRPr="00902C3A">
        <w:rPr>
          <w:rFonts w:ascii="Arial" w:hAnsi="Arial" w:cs="Arial"/>
          <w:color w:val="333333"/>
          <w:szCs w:val="20"/>
          <w:shd w:val="clear" w:color="auto" w:fill="FFFFFF"/>
        </w:rPr>
        <w:t xml:space="preserve">) </w:t>
      </w:r>
      <w:proofErr w:type="spellStart"/>
      <w:r w:rsidRPr="00902C3A">
        <w:rPr>
          <w:rFonts w:ascii="Arial" w:hAnsi="Arial" w:cs="Arial"/>
          <w:color w:val="333333"/>
          <w:szCs w:val="20"/>
          <w:shd w:val="clear" w:color="auto" w:fill="FFFFFF"/>
        </w:rPr>
        <w:t>on</w:t>
      </w:r>
      <w:proofErr w:type="spellEnd"/>
      <w:r w:rsidRPr="00902C3A">
        <w:rPr>
          <w:rFonts w:ascii="Arial" w:hAnsi="Arial" w:cs="Arial"/>
          <w:color w:val="333333"/>
          <w:szCs w:val="20"/>
          <w:shd w:val="clear" w:color="auto" w:fill="FFFFFF"/>
        </w:rPr>
        <w:t xml:space="preserve"> CMS </w:t>
      </w:r>
      <w:proofErr w:type="spellStart"/>
      <w:r w:rsidRPr="00902C3A">
        <w:rPr>
          <w:rFonts w:ascii="Arial" w:hAnsi="Arial" w:cs="Arial"/>
          <w:color w:val="333333"/>
          <w:szCs w:val="20"/>
          <w:shd w:val="clear" w:color="auto" w:fill="FFFFFF"/>
        </w:rPr>
        <w:t>Appendix</w:t>
      </w:r>
      <w:proofErr w:type="spellEnd"/>
      <w:r w:rsidRPr="00902C3A">
        <w:rPr>
          <w:rFonts w:ascii="Arial" w:hAnsi="Arial" w:cs="Arial"/>
          <w:color w:val="333333"/>
          <w:szCs w:val="20"/>
          <w:shd w:val="clear" w:color="auto" w:fill="FFFFFF"/>
        </w:rPr>
        <w:t xml:space="preserve"> II. </w:t>
      </w:r>
      <w:hyperlink r:id="rId12" w:history="1">
        <w:r w:rsidRPr="00902C3A">
          <w:rPr>
            <w:rStyle w:val="Hyperlink"/>
            <w:rFonts w:ascii="Arial" w:hAnsi="Arial" w:cs="Arial"/>
            <w:szCs w:val="20"/>
            <w:shd w:val="clear" w:color="auto" w:fill="FFFFFF"/>
          </w:rPr>
          <w:t>UNEP/CMS/COP11/Doc.24.1.</w:t>
        </w:r>
        <w:proofErr w:type="gramStart"/>
        <w:r w:rsidRPr="00902C3A">
          <w:rPr>
            <w:rStyle w:val="Hyperlink"/>
            <w:rFonts w:ascii="Arial" w:hAnsi="Arial" w:cs="Arial"/>
            <w:szCs w:val="20"/>
            <w:shd w:val="clear" w:color="auto" w:fill="FFFFFF"/>
          </w:rPr>
          <w:t>18.Rev.</w:t>
        </w:r>
        <w:proofErr w:type="gramEnd"/>
        <w:r w:rsidRPr="00902C3A">
          <w:rPr>
            <w:rStyle w:val="Hyperlink"/>
            <w:rFonts w:ascii="Arial" w:hAnsi="Arial" w:cs="Arial"/>
            <w:szCs w:val="20"/>
            <w:shd w:val="clear" w:color="auto" w:fill="FFFFFF"/>
          </w:rPr>
          <w:t>1</w:t>
        </w:r>
      </w:hyperlink>
    </w:p>
    <w:p w:rsidR="00902C3A" w:rsidRPr="00902C3A" w:rsidRDefault="00902C3A" w:rsidP="00902C3A">
      <w:pPr>
        <w:pStyle w:val="Heading2"/>
        <w:keepNext w:val="0"/>
        <w:ind w:left="-90" w:right="-367"/>
        <w:jc w:val="center"/>
        <w:rPr>
          <w:rFonts w:ascii="Arial" w:hAnsi="Arial" w:cs="Arial"/>
          <w:sz w:val="22"/>
          <w:szCs w:val="22"/>
          <w:lang w:val="en-GB"/>
        </w:rPr>
      </w:pPr>
    </w:p>
    <w:p w:rsidR="00902C3A" w:rsidRPr="00902C3A" w:rsidRDefault="00902C3A" w:rsidP="0038222B">
      <w:pPr>
        <w:tabs>
          <w:tab w:val="left" w:pos="-1057"/>
          <w:tab w:val="left" w:pos="-720"/>
          <w:tab w:val="left" w:pos="0"/>
          <w:tab w:val="left" w:pos="566"/>
          <w:tab w:val="left" w:pos="1132"/>
          <w:tab w:val="left" w:pos="1700"/>
          <w:tab w:val="left" w:pos="2160"/>
          <w:tab w:val="left" w:pos="2880"/>
          <w:tab w:val="left" w:pos="3600"/>
          <w:tab w:val="left" w:pos="4320"/>
          <w:tab w:val="left" w:pos="5040"/>
          <w:tab w:val="left" w:pos="5760"/>
          <w:tab w:val="left" w:pos="6008"/>
          <w:tab w:val="left" w:pos="6480"/>
          <w:tab w:val="left" w:pos="7200"/>
          <w:tab w:val="left" w:pos="7920"/>
          <w:tab w:val="left" w:pos="8640"/>
        </w:tabs>
        <w:rPr>
          <w:rFonts w:ascii="Arial" w:hAnsi="Arial" w:cs="Arial"/>
          <w:sz w:val="18"/>
          <w:szCs w:val="18"/>
        </w:rPr>
      </w:pPr>
    </w:p>
    <w:sectPr w:rsidR="00902C3A" w:rsidRPr="00902C3A" w:rsidSect="00902C3A">
      <w:headerReference w:type="even" r:id="rId13"/>
      <w:headerReference w:type="default" r:id="rId14"/>
      <w:footerReference w:type="even" r:id="rId15"/>
      <w:footerReference w:type="default" r:id="rId16"/>
      <w:endnotePr>
        <w:numFmt w:val="decimal"/>
      </w:endnotePr>
      <w:pgSz w:w="11905" w:h="16837" w:code="9"/>
      <w:pgMar w:top="142" w:right="1418" w:bottom="1418" w:left="1418" w:header="397" w:footer="39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16" w:rsidRDefault="007C0A16">
      <w:r>
        <w:separator/>
      </w:r>
    </w:p>
  </w:endnote>
  <w:endnote w:type="continuationSeparator" w:id="0">
    <w:p w:rsidR="007C0A16" w:rsidRDefault="007C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72030321"/>
      <w:docPartObj>
        <w:docPartGallery w:val="Page Numbers (Bottom of Page)"/>
        <w:docPartUnique/>
      </w:docPartObj>
    </w:sdtPr>
    <w:sdtEndPr>
      <w:rPr>
        <w:noProof/>
      </w:rPr>
    </w:sdtEndPr>
    <w:sdtContent>
      <w:p w:rsidR="00902C3A" w:rsidRPr="00902C3A" w:rsidRDefault="00902C3A">
        <w:pPr>
          <w:pStyle w:val="Footer"/>
          <w:jc w:val="center"/>
          <w:rPr>
            <w:rFonts w:ascii="Arial" w:hAnsi="Arial" w:cs="Arial"/>
            <w:sz w:val="18"/>
            <w:szCs w:val="18"/>
          </w:rPr>
        </w:pPr>
        <w:r w:rsidRPr="00902C3A">
          <w:rPr>
            <w:rFonts w:ascii="Arial" w:hAnsi="Arial" w:cs="Arial"/>
            <w:sz w:val="18"/>
            <w:szCs w:val="18"/>
          </w:rPr>
          <w:fldChar w:fldCharType="begin"/>
        </w:r>
        <w:r w:rsidRPr="00902C3A">
          <w:rPr>
            <w:rFonts w:ascii="Arial" w:hAnsi="Arial" w:cs="Arial"/>
            <w:sz w:val="18"/>
            <w:szCs w:val="18"/>
          </w:rPr>
          <w:instrText xml:space="preserve"> PAGE   \* MERGEFORMAT </w:instrText>
        </w:r>
        <w:r w:rsidRPr="00902C3A">
          <w:rPr>
            <w:rFonts w:ascii="Arial" w:hAnsi="Arial" w:cs="Arial"/>
            <w:sz w:val="18"/>
            <w:szCs w:val="18"/>
          </w:rPr>
          <w:fldChar w:fldCharType="separate"/>
        </w:r>
        <w:r w:rsidR="00980873">
          <w:rPr>
            <w:rFonts w:ascii="Arial" w:hAnsi="Arial" w:cs="Arial"/>
            <w:noProof/>
            <w:sz w:val="18"/>
            <w:szCs w:val="18"/>
          </w:rPr>
          <w:t>4</w:t>
        </w:r>
        <w:r w:rsidRPr="00902C3A">
          <w:rPr>
            <w:rFonts w:ascii="Arial" w:hAnsi="Arial" w:cs="Arial"/>
            <w:noProof/>
            <w:sz w:val="18"/>
            <w:szCs w:val="18"/>
          </w:rPr>
          <w:fldChar w:fldCharType="end"/>
        </w:r>
      </w:p>
    </w:sdtContent>
  </w:sdt>
  <w:p w:rsidR="00902C3A" w:rsidRDefault="00902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06596511"/>
      <w:docPartObj>
        <w:docPartGallery w:val="Page Numbers (Bottom of Page)"/>
        <w:docPartUnique/>
      </w:docPartObj>
    </w:sdtPr>
    <w:sdtEndPr>
      <w:rPr>
        <w:noProof/>
      </w:rPr>
    </w:sdtEndPr>
    <w:sdtContent>
      <w:p w:rsidR="00A1546A" w:rsidRPr="00902C3A" w:rsidRDefault="00902C3A" w:rsidP="00902C3A">
        <w:pPr>
          <w:pStyle w:val="Footer"/>
          <w:jc w:val="center"/>
          <w:rPr>
            <w:rFonts w:ascii="Arial" w:hAnsi="Arial" w:cs="Arial"/>
            <w:sz w:val="18"/>
            <w:szCs w:val="18"/>
          </w:rPr>
        </w:pPr>
        <w:r w:rsidRPr="00902C3A">
          <w:rPr>
            <w:rFonts w:ascii="Arial" w:hAnsi="Arial" w:cs="Arial"/>
            <w:sz w:val="18"/>
            <w:szCs w:val="18"/>
          </w:rPr>
          <w:fldChar w:fldCharType="begin"/>
        </w:r>
        <w:r w:rsidRPr="00902C3A">
          <w:rPr>
            <w:rFonts w:ascii="Arial" w:hAnsi="Arial" w:cs="Arial"/>
            <w:sz w:val="18"/>
            <w:szCs w:val="18"/>
          </w:rPr>
          <w:instrText xml:space="preserve"> PAGE   \* MERGEFORMAT </w:instrText>
        </w:r>
        <w:r w:rsidRPr="00902C3A">
          <w:rPr>
            <w:rFonts w:ascii="Arial" w:hAnsi="Arial" w:cs="Arial"/>
            <w:sz w:val="18"/>
            <w:szCs w:val="18"/>
          </w:rPr>
          <w:fldChar w:fldCharType="separate"/>
        </w:r>
        <w:r w:rsidR="00980873">
          <w:rPr>
            <w:rFonts w:ascii="Arial" w:hAnsi="Arial" w:cs="Arial"/>
            <w:noProof/>
            <w:sz w:val="18"/>
            <w:szCs w:val="18"/>
          </w:rPr>
          <w:t>5</w:t>
        </w:r>
        <w:r w:rsidRPr="00902C3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16" w:rsidRDefault="007C0A16">
      <w:r>
        <w:separator/>
      </w:r>
    </w:p>
  </w:footnote>
  <w:footnote w:type="continuationSeparator" w:id="0">
    <w:p w:rsidR="007C0A16" w:rsidRDefault="007C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C3A" w:rsidRPr="00902C3A" w:rsidRDefault="00902C3A" w:rsidP="00902C3A">
    <w:pPr>
      <w:pStyle w:val="Header"/>
      <w:pBdr>
        <w:bottom w:val="single" w:sz="4" w:space="1" w:color="auto"/>
      </w:pBdr>
      <w:rPr>
        <w:rFonts w:ascii="Arial" w:hAnsi="Arial" w:cs="Arial"/>
        <w:i/>
        <w:sz w:val="18"/>
        <w:szCs w:val="18"/>
        <w:lang w:val="de-DE"/>
      </w:rPr>
    </w:pPr>
    <w:r w:rsidRPr="00902C3A">
      <w:rPr>
        <w:rFonts w:ascii="Arial" w:hAnsi="Arial" w:cs="Arial"/>
        <w:i/>
        <w:sz w:val="18"/>
        <w:szCs w:val="18"/>
        <w:lang w:val="de-DE"/>
      </w:rPr>
      <w:t>UNEP/CMS/COP12/Doc26.2.1</w:t>
    </w:r>
  </w:p>
  <w:p w:rsidR="00902C3A" w:rsidRDefault="0090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C3A" w:rsidRPr="00902C3A" w:rsidRDefault="00902C3A" w:rsidP="00902C3A">
    <w:pPr>
      <w:pStyle w:val="Header"/>
      <w:pBdr>
        <w:bottom w:val="single" w:sz="4" w:space="1" w:color="auto"/>
      </w:pBdr>
      <w:jc w:val="right"/>
      <w:rPr>
        <w:rFonts w:ascii="Arial" w:hAnsi="Arial" w:cs="Arial"/>
        <w:i/>
        <w:sz w:val="18"/>
        <w:szCs w:val="18"/>
        <w:lang w:val="de-DE"/>
      </w:rPr>
    </w:pPr>
    <w:r w:rsidRPr="00902C3A">
      <w:rPr>
        <w:rFonts w:ascii="Arial" w:hAnsi="Arial" w:cs="Arial"/>
        <w:i/>
        <w:sz w:val="18"/>
        <w:szCs w:val="18"/>
        <w:lang w:val="de-DE"/>
      </w:rPr>
      <w:t>UNEP/CMS/COP12/Doc26.2.1</w:t>
    </w:r>
  </w:p>
  <w:p w:rsidR="00902C3A" w:rsidRDefault="00902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s-AR"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B4"/>
    <w:rsid w:val="000C4224"/>
    <w:rsid w:val="00113630"/>
    <w:rsid w:val="00123347"/>
    <w:rsid w:val="00125262"/>
    <w:rsid w:val="00165D92"/>
    <w:rsid w:val="00166CF0"/>
    <w:rsid w:val="0019797F"/>
    <w:rsid w:val="001B0A7E"/>
    <w:rsid w:val="001B67B3"/>
    <w:rsid w:val="001D2C8C"/>
    <w:rsid w:val="00214FEA"/>
    <w:rsid w:val="00231AFC"/>
    <w:rsid w:val="002564B5"/>
    <w:rsid w:val="00260B0B"/>
    <w:rsid w:val="002A1F37"/>
    <w:rsid w:val="002B1B97"/>
    <w:rsid w:val="002B374A"/>
    <w:rsid w:val="002D77BD"/>
    <w:rsid w:val="00302AEF"/>
    <w:rsid w:val="00322514"/>
    <w:rsid w:val="003528F2"/>
    <w:rsid w:val="003531E5"/>
    <w:rsid w:val="0038222B"/>
    <w:rsid w:val="003B5734"/>
    <w:rsid w:val="003D25F1"/>
    <w:rsid w:val="0041421C"/>
    <w:rsid w:val="0042128C"/>
    <w:rsid w:val="00427FDD"/>
    <w:rsid w:val="004344E8"/>
    <w:rsid w:val="0048630F"/>
    <w:rsid w:val="004C06D5"/>
    <w:rsid w:val="004C395E"/>
    <w:rsid w:val="004E6B67"/>
    <w:rsid w:val="005040CE"/>
    <w:rsid w:val="00506C4D"/>
    <w:rsid w:val="00544B7B"/>
    <w:rsid w:val="0055190D"/>
    <w:rsid w:val="00591A00"/>
    <w:rsid w:val="005976CE"/>
    <w:rsid w:val="005B45F6"/>
    <w:rsid w:val="005D790E"/>
    <w:rsid w:val="0060101C"/>
    <w:rsid w:val="006A4342"/>
    <w:rsid w:val="006D74CC"/>
    <w:rsid w:val="006E31A2"/>
    <w:rsid w:val="006F4B78"/>
    <w:rsid w:val="00705F3F"/>
    <w:rsid w:val="007554BD"/>
    <w:rsid w:val="00775BB2"/>
    <w:rsid w:val="00791D6B"/>
    <w:rsid w:val="007A7C37"/>
    <w:rsid w:val="007C0A16"/>
    <w:rsid w:val="007C617D"/>
    <w:rsid w:val="007D01BC"/>
    <w:rsid w:val="00831D8D"/>
    <w:rsid w:val="008809D2"/>
    <w:rsid w:val="008821EA"/>
    <w:rsid w:val="008A4A04"/>
    <w:rsid w:val="008A6B0A"/>
    <w:rsid w:val="008D0EA1"/>
    <w:rsid w:val="008D39CE"/>
    <w:rsid w:val="008D41BD"/>
    <w:rsid w:val="00902C3A"/>
    <w:rsid w:val="00931582"/>
    <w:rsid w:val="00942399"/>
    <w:rsid w:val="009476FB"/>
    <w:rsid w:val="00953832"/>
    <w:rsid w:val="00956B9C"/>
    <w:rsid w:val="00980873"/>
    <w:rsid w:val="009B7948"/>
    <w:rsid w:val="009E759B"/>
    <w:rsid w:val="00A1546A"/>
    <w:rsid w:val="00A34D1B"/>
    <w:rsid w:val="00A85A66"/>
    <w:rsid w:val="00AC3035"/>
    <w:rsid w:val="00AE5B29"/>
    <w:rsid w:val="00B674B0"/>
    <w:rsid w:val="00BD7ACB"/>
    <w:rsid w:val="00BE4EF6"/>
    <w:rsid w:val="00CB266A"/>
    <w:rsid w:val="00D41CF4"/>
    <w:rsid w:val="00D500F7"/>
    <w:rsid w:val="00D85329"/>
    <w:rsid w:val="00E10FE5"/>
    <w:rsid w:val="00E246E9"/>
    <w:rsid w:val="00E2636E"/>
    <w:rsid w:val="00E60AB4"/>
    <w:rsid w:val="00E84859"/>
    <w:rsid w:val="00E84AA7"/>
    <w:rsid w:val="00E91EBB"/>
    <w:rsid w:val="00EC31FA"/>
    <w:rsid w:val="00EF390B"/>
    <w:rsid w:val="00F05D7B"/>
    <w:rsid w:val="00F166C4"/>
    <w:rsid w:val="00F21FE0"/>
    <w:rsid w:val="00F81B0C"/>
    <w:rsid w:val="00F83D06"/>
    <w:rsid w:val="00FE0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BCF"/>
  <w15:chartTrackingRefBased/>
  <w15:docId w15:val="{FABCA600-4F6F-47CA-99E0-3A066DBB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qFormat/>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qFormat/>
    <w:pPr>
      <w:keepNext/>
      <w:outlineLvl w:val="3"/>
    </w:pPr>
    <w:rPr>
      <w:b/>
      <w:bCs/>
      <w:szCs w:val="20"/>
    </w:rPr>
  </w:style>
  <w:style w:type="paragraph" w:styleId="Heading5">
    <w:name w:val="heading 5"/>
    <w:basedOn w:val="Normal"/>
    <w:next w:val="Normal"/>
    <w:qFormat/>
    <w:pPr>
      <w:keepNext/>
      <w:jc w:val="both"/>
      <w:outlineLvl w:val="4"/>
    </w:pPr>
    <w:rPr>
      <w:b/>
      <w:i/>
      <w:iCs/>
      <w:sz w:val="22"/>
      <w:u w:val="single"/>
    </w:rPr>
  </w:style>
  <w:style w:type="paragraph" w:styleId="Heading6">
    <w:name w:val="heading 6"/>
    <w:basedOn w:val="Normal"/>
    <w:next w:val="Normal"/>
    <w:qFormat/>
    <w:pPr>
      <w:keepNext/>
      <w:outlineLvl w:val="5"/>
    </w:pPr>
    <w:rPr>
      <w:i/>
      <w:iCs/>
      <w:sz w:val="23"/>
      <w:szCs w:val="23"/>
    </w:rPr>
  </w:style>
  <w:style w:type="paragraph" w:styleId="Heading7">
    <w:name w:val="heading 7"/>
    <w:basedOn w:val="Normal"/>
    <w:next w:val="Normal"/>
    <w:qFormat/>
    <w:pPr>
      <w:keepNext/>
      <w:widowControl/>
      <w:jc w:val="center"/>
      <w:outlineLvl w:val="6"/>
    </w:pPr>
    <w:rPr>
      <w:rFonts w:ascii="Arial" w:hAnsi="Arial" w:cs="Arial"/>
      <w:b/>
      <w:bCs/>
      <w:sz w:val="26"/>
      <w:szCs w:val="26"/>
    </w:rPr>
  </w:style>
  <w:style w:type="paragraph" w:styleId="Heading8">
    <w:name w:val="heading 8"/>
    <w:basedOn w:val="Normal"/>
    <w:next w:val="Normal"/>
    <w:qFormat/>
    <w:pPr>
      <w:keepNext/>
      <w:widowControl/>
      <w:pBdr>
        <w:top w:val="single" w:sz="4" w:space="1" w:color="auto"/>
        <w:left w:val="single" w:sz="4" w:space="4" w:color="auto"/>
        <w:bottom w:val="single" w:sz="4" w:space="1" w:color="auto"/>
        <w:right w:val="single" w:sz="4" w:space="3" w:color="auto"/>
      </w:pBdr>
      <w:jc w:val="center"/>
      <w:outlineLvl w:val="7"/>
    </w:pPr>
    <w:rPr>
      <w:rFonts w:ascii="Arial" w:hAnsi="Arial" w:cs="Arial"/>
      <w:b/>
      <w:bCs/>
      <w:sz w:val="26"/>
      <w:szCs w:val="26"/>
    </w:rPr>
  </w:style>
  <w:style w:type="paragraph" w:styleId="Heading9">
    <w:name w:val="heading 9"/>
    <w:basedOn w:val="Normal"/>
    <w:next w:val="Normal"/>
    <w:qFormat/>
    <w:pPr>
      <w:keepNext/>
      <w:spacing w:line="320" w:lineRule="atLeast"/>
      <w:jc w:val="center"/>
      <w:outlineLvl w:val="8"/>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1"/>
      </w:numPr>
      <w:ind w:left="1132" w:hanging="566"/>
      <w:outlineLvl w:val="1"/>
    </w:pPr>
  </w:style>
  <w:style w:type="paragraph" w:customStyle="1" w:styleId="Level3">
    <w:name w:val="Level 3"/>
    <w:basedOn w:val="Normal"/>
    <w:pPr>
      <w:numPr>
        <w:ilvl w:val="2"/>
        <w:numId w:val="1"/>
      </w:numPr>
      <w:ind w:left="1700" w:hanging="568"/>
      <w:outlineLvl w:val="2"/>
    </w:p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pPr>
      <w:widowControl w:val="0"/>
      <w:autoSpaceDE w:val="0"/>
      <w:autoSpaceDN w:val="0"/>
      <w:adjustRightInd w:val="0"/>
      <w:jc w:val="both"/>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szCs w:val="20"/>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jc w:val="both"/>
    </w:pPr>
    <w:rPr>
      <w:sz w:val="22"/>
    </w:rPr>
  </w:style>
  <w:style w:type="paragraph" w:styleId="BodyText">
    <w:name w:val="Body Text"/>
    <w:basedOn w:val="Normal"/>
    <w:pPr>
      <w:jc w:val="both"/>
    </w:pPr>
    <w:rPr>
      <w:sz w:val="22"/>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semiHidden/>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00"/>
      <w:sz w:val="24"/>
    </w:rPr>
  </w:style>
  <w:style w:type="paragraph" w:styleId="Title">
    <w:name w:val="Title"/>
    <w:basedOn w:val="Normal"/>
    <w:qFormat/>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locked/>
    <w:rsid w:val="005D790E"/>
    <w:rPr>
      <w:lang w:val="es-ES"/>
    </w:rPr>
  </w:style>
  <w:style w:type="character" w:customStyle="1" w:styleId="FooterChar">
    <w:name w:val="Footer Char"/>
    <w:link w:val="Footer"/>
    <w:uiPriority w:val="99"/>
    <w:rsid w:val="005D790E"/>
    <w:rPr>
      <w:szCs w:val="24"/>
    </w:rPr>
  </w:style>
  <w:style w:type="character" w:customStyle="1" w:styleId="FootnoteTextChar">
    <w:name w:val="Footnote Text Char"/>
    <w:link w:val="FootnoteText"/>
    <w:uiPriority w:val="99"/>
    <w:semiHidden/>
    <w:rsid w:val="005D790E"/>
  </w:style>
  <w:style w:type="paragraph" w:styleId="ListParagraph">
    <w:name w:val="List Paragraph"/>
    <w:basedOn w:val="Normal"/>
    <w:uiPriority w:val="34"/>
    <w:qFormat/>
    <w:rsid w:val="005D790E"/>
    <w:pPr>
      <w:ind w:left="720"/>
      <w:contextualSpacing/>
    </w:pPr>
    <w:rPr>
      <w:rFonts w:ascii="Arial" w:hAnsi="Arial"/>
      <w:sz w:val="18"/>
    </w:rPr>
  </w:style>
  <w:style w:type="paragraph" w:customStyle="1" w:styleId="Default">
    <w:name w:val="Default"/>
    <w:basedOn w:val="Normal"/>
    <w:rsid w:val="005D790E"/>
    <w:pPr>
      <w:widowControl/>
      <w:adjustRightInd/>
    </w:pPr>
    <w:rPr>
      <w:rFonts w:ascii="Arial" w:hAnsi="Arial"/>
      <w:color w:val="000000"/>
      <w:sz w:val="24"/>
      <w:lang w:eastAsia="en-GB"/>
    </w:rPr>
  </w:style>
  <w:style w:type="table" w:styleId="TableGrid">
    <w:name w:val="Table Grid"/>
    <w:basedOn w:val="TableNormal"/>
    <w:uiPriority w:val="59"/>
    <w:rsid w:val="005D790E"/>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98533978">
          <w:marLeft w:val="0"/>
          <w:marRight w:val="0"/>
          <w:marTop w:val="0"/>
          <w:marBottom w:val="0"/>
          <w:divBdr>
            <w:top w:val="none" w:sz="0" w:space="0" w:color="auto"/>
            <w:left w:val="none" w:sz="0" w:space="0" w:color="auto"/>
            <w:bottom w:val="none" w:sz="0" w:space="0" w:color="auto"/>
            <w:right w:val="none" w:sz="0" w:space="0" w:color="auto"/>
          </w:divBdr>
        </w:div>
        <w:div w:id="594553893">
          <w:marLeft w:val="0"/>
          <w:marRight w:val="0"/>
          <w:marTop w:val="0"/>
          <w:marBottom w:val="0"/>
          <w:divBdr>
            <w:top w:val="none" w:sz="0" w:space="0" w:color="auto"/>
            <w:left w:val="none" w:sz="0" w:space="0" w:color="auto"/>
            <w:bottom w:val="none" w:sz="0" w:space="0" w:color="auto"/>
            <w:right w:val="none" w:sz="0" w:space="0" w:color="auto"/>
          </w:divBdr>
        </w:div>
        <w:div w:id="164515764">
          <w:marLeft w:val="0"/>
          <w:marRight w:val="0"/>
          <w:marTop w:val="0"/>
          <w:marBottom w:val="0"/>
          <w:divBdr>
            <w:top w:val="none" w:sz="0" w:space="0" w:color="auto"/>
            <w:left w:val="none" w:sz="0" w:space="0" w:color="auto"/>
            <w:bottom w:val="none" w:sz="0" w:space="0" w:color="auto"/>
            <w:right w:val="none" w:sz="0" w:space="0" w:color="auto"/>
          </w:divBdr>
        </w:div>
        <w:div w:id="1534264480">
          <w:marLeft w:val="0"/>
          <w:marRight w:val="0"/>
          <w:marTop w:val="0"/>
          <w:marBottom w:val="0"/>
          <w:divBdr>
            <w:top w:val="none" w:sz="0" w:space="0" w:color="auto"/>
            <w:left w:val="none" w:sz="0" w:space="0" w:color="auto"/>
            <w:bottom w:val="none" w:sz="0" w:space="0" w:color="auto"/>
            <w:right w:val="none" w:sz="0" w:space="0" w:color="auto"/>
          </w:divBdr>
        </w:div>
      </w:divsChild>
    </w:div>
    <w:div w:id="427232685">
      <w:bodyDiv w:val="1"/>
      <w:marLeft w:val="0"/>
      <w:marRight w:val="0"/>
      <w:marTop w:val="0"/>
      <w:marBottom w:val="0"/>
      <w:divBdr>
        <w:top w:val="none" w:sz="0" w:space="0" w:color="auto"/>
        <w:left w:val="none" w:sz="0" w:space="0" w:color="auto"/>
        <w:bottom w:val="none" w:sz="0" w:space="0" w:color="auto"/>
        <w:right w:val="none" w:sz="0" w:space="0" w:color="auto"/>
      </w:divBdr>
      <w:divsChild>
        <w:div w:id="1063018977">
          <w:marLeft w:val="0"/>
          <w:marRight w:val="0"/>
          <w:marTop w:val="0"/>
          <w:marBottom w:val="0"/>
          <w:divBdr>
            <w:top w:val="none" w:sz="0" w:space="0" w:color="auto"/>
            <w:left w:val="none" w:sz="0" w:space="0" w:color="auto"/>
            <w:bottom w:val="none" w:sz="0" w:space="0" w:color="auto"/>
            <w:right w:val="none" w:sz="0" w:space="0" w:color="auto"/>
          </w:divBdr>
        </w:div>
        <w:div w:id="293948344">
          <w:marLeft w:val="0"/>
          <w:marRight w:val="0"/>
          <w:marTop w:val="0"/>
          <w:marBottom w:val="0"/>
          <w:divBdr>
            <w:top w:val="none" w:sz="0" w:space="0" w:color="auto"/>
            <w:left w:val="none" w:sz="0" w:space="0" w:color="auto"/>
            <w:bottom w:val="none" w:sz="0" w:space="0" w:color="auto"/>
            <w:right w:val="none" w:sz="0" w:space="0" w:color="auto"/>
          </w:divBdr>
        </w:div>
        <w:div w:id="2091610587">
          <w:marLeft w:val="0"/>
          <w:marRight w:val="0"/>
          <w:marTop w:val="0"/>
          <w:marBottom w:val="0"/>
          <w:divBdr>
            <w:top w:val="none" w:sz="0" w:space="0" w:color="auto"/>
            <w:left w:val="none" w:sz="0" w:space="0" w:color="auto"/>
            <w:bottom w:val="none" w:sz="0" w:space="0" w:color="auto"/>
            <w:right w:val="none" w:sz="0" w:space="0" w:color="auto"/>
          </w:divBdr>
        </w:div>
        <w:div w:id="52626258">
          <w:marLeft w:val="0"/>
          <w:marRight w:val="0"/>
          <w:marTop w:val="0"/>
          <w:marBottom w:val="0"/>
          <w:divBdr>
            <w:top w:val="none" w:sz="0" w:space="0" w:color="auto"/>
            <w:left w:val="none" w:sz="0" w:space="0" w:color="auto"/>
            <w:bottom w:val="none" w:sz="0" w:space="0" w:color="auto"/>
            <w:right w:val="none" w:sz="0" w:space="0" w:color="auto"/>
          </w:divBdr>
        </w:div>
        <w:div w:id="1965503716">
          <w:marLeft w:val="0"/>
          <w:marRight w:val="0"/>
          <w:marTop w:val="0"/>
          <w:marBottom w:val="0"/>
          <w:divBdr>
            <w:top w:val="none" w:sz="0" w:space="0" w:color="auto"/>
            <w:left w:val="none" w:sz="0" w:space="0" w:color="auto"/>
            <w:bottom w:val="none" w:sz="0" w:space="0" w:color="auto"/>
            <w:right w:val="none" w:sz="0" w:space="0" w:color="auto"/>
          </w:divBdr>
        </w:div>
      </w:divsChild>
    </w:div>
    <w:div w:id="507797060">
      <w:bodyDiv w:val="1"/>
      <w:marLeft w:val="0"/>
      <w:marRight w:val="0"/>
      <w:marTop w:val="0"/>
      <w:marBottom w:val="0"/>
      <w:divBdr>
        <w:top w:val="none" w:sz="0" w:space="0" w:color="auto"/>
        <w:left w:val="none" w:sz="0" w:space="0" w:color="auto"/>
        <w:bottom w:val="none" w:sz="0" w:space="0" w:color="auto"/>
        <w:right w:val="none" w:sz="0" w:space="0" w:color="auto"/>
      </w:divBdr>
      <w:divsChild>
        <w:div w:id="582495706">
          <w:marLeft w:val="0"/>
          <w:marRight w:val="0"/>
          <w:marTop w:val="0"/>
          <w:marBottom w:val="0"/>
          <w:divBdr>
            <w:top w:val="none" w:sz="0" w:space="0" w:color="auto"/>
            <w:left w:val="none" w:sz="0" w:space="0" w:color="auto"/>
            <w:bottom w:val="none" w:sz="0" w:space="0" w:color="auto"/>
            <w:right w:val="none" w:sz="0" w:space="0" w:color="auto"/>
          </w:divBdr>
          <w:divsChild>
            <w:div w:id="751123011">
              <w:marLeft w:val="0"/>
              <w:marRight w:val="0"/>
              <w:marTop w:val="0"/>
              <w:marBottom w:val="0"/>
              <w:divBdr>
                <w:top w:val="none" w:sz="0" w:space="0" w:color="auto"/>
                <w:left w:val="none" w:sz="0" w:space="0" w:color="auto"/>
                <w:bottom w:val="none" w:sz="0" w:space="0" w:color="auto"/>
                <w:right w:val="none" w:sz="0" w:space="0" w:color="auto"/>
              </w:divBdr>
            </w:div>
            <w:div w:id="1022628090">
              <w:marLeft w:val="0"/>
              <w:marRight w:val="0"/>
              <w:marTop w:val="0"/>
              <w:marBottom w:val="0"/>
              <w:divBdr>
                <w:top w:val="none" w:sz="0" w:space="0" w:color="auto"/>
                <w:left w:val="none" w:sz="0" w:space="0" w:color="auto"/>
                <w:bottom w:val="none" w:sz="0" w:space="0" w:color="auto"/>
                <w:right w:val="none" w:sz="0" w:space="0" w:color="auto"/>
              </w:divBdr>
            </w:div>
            <w:div w:id="1421833847">
              <w:marLeft w:val="0"/>
              <w:marRight w:val="0"/>
              <w:marTop w:val="0"/>
              <w:marBottom w:val="0"/>
              <w:divBdr>
                <w:top w:val="none" w:sz="0" w:space="0" w:color="auto"/>
                <w:left w:val="none" w:sz="0" w:space="0" w:color="auto"/>
                <w:bottom w:val="none" w:sz="0" w:space="0" w:color="auto"/>
                <w:right w:val="none" w:sz="0" w:space="0" w:color="auto"/>
              </w:divBdr>
            </w:div>
            <w:div w:id="1433277301">
              <w:marLeft w:val="0"/>
              <w:marRight w:val="0"/>
              <w:marTop w:val="0"/>
              <w:marBottom w:val="0"/>
              <w:divBdr>
                <w:top w:val="none" w:sz="0" w:space="0" w:color="auto"/>
                <w:left w:val="none" w:sz="0" w:space="0" w:color="auto"/>
                <w:bottom w:val="none" w:sz="0" w:space="0" w:color="auto"/>
                <w:right w:val="none" w:sz="0" w:space="0" w:color="auto"/>
              </w:divBdr>
            </w:div>
            <w:div w:id="1878539570">
              <w:marLeft w:val="0"/>
              <w:marRight w:val="0"/>
              <w:marTop w:val="0"/>
              <w:marBottom w:val="0"/>
              <w:divBdr>
                <w:top w:val="none" w:sz="0" w:space="0" w:color="auto"/>
                <w:left w:val="none" w:sz="0" w:space="0" w:color="auto"/>
                <w:bottom w:val="none" w:sz="0" w:space="0" w:color="auto"/>
                <w:right w:val="none" w:sz="0" w:space="0" w:color="auto"/>
              </w:divBdr>
            </w:div>
            <w:div w:id="914628764">
              <w:marLeft w:val="0"/>
              <w:marRight w:val="0"/>
              <w:marTop w:val="0"/>
              <w:marBottom w:val="0"/>
              <w:divBdr>
                <w:top w:val="none" w:sz="0" w:space="0" w:color="auto"/>
                <w:left w:val="none" w:sz="0" w:space="0" w:color="auto"/>
                <w:bottom w:val="none" w:sz="0" w:space="0" w:color="auto"/>
                <w:right w:val="none" w:sz="0" w:space="0" w:color="auto"/>
              </w:divBdr>
            </w:div>
            <w:div w:id="334384024">
              <w:marLeft w:val="0"/>
              <w:marRight w:val="0"/>
              <w:marTop w:val="0"/>
              <w:marBottom w:val="0"/>
              <w:divBdr>
                <w:top w:val="none" w:sz="0" w:space="0" w:color="auto"/>
                <w:left w:val="none" w:sz="0" w:space="0" w:color="auto"/>
                <w:bottom w:val="none" w:sz="0" w:space="0" w:color="auto"/>
                <w:right w:val="none" w:sz="0" w:space="0" w:color="auto"/>
              </w:divBdr>
            </w:div>
            <w:div w:id="928268230">
              <w:marLeft w:val="0"/>
              <w:marRight w:val="0"/>
              <w:marTop w:val="0"/>
              <w:marBottom w:val="0"/>
              <w:divBdr>
                <w:top w:val="none" w:sz="0" w:space="0" w:color="auto"/>
                <w:left w:val="none" w:sz="0" w:space="0" w:color="auto"/>
                <w:bottom w:val="none" w:sz="0" w:space="0" w:color="auto"/>
                <w:right w:val="none" w:sz="0" w:space="0" w:color="auto"/>
              </w:divBdr>
            </w:div>
            <w:div w:id="577636444">
              <w:marLeft w:val="0"/>
              <w:marRight w:val="0"/>
              <w:marTop w:val="0"/>
              <w:marBottom w:val="0"/>
              <w:divBdr>
                <w:top w:val="none" w:sz="0" w:space="0" w:color="auto"/>
                <w:left w:val="none" w:sz="0" w:space="0" w:color="auto"/>
                <w:bottom w:val="none" w:sz="0" w:space="0" w:color="auto"/>
                <w:right w:val="none" w:sz="0" w:space="0" w:color="auto"/>
              </w:divBdr>
            </w:div>
            <w:div w:id="904216484">
              <w:marLeft w:val="0"/>
              <w:marRight w:val="0"/>
              <w:marTop w:val="0"/>
              <w:marBottom w:val="0"/>
              <w:divBdr>
                <w:top w:val="none" w:sz="0" w:space="0" w:color="auto"/>
                <w:left w:val="none" w:sz="0" w:space="0" w:color="auto"/>
                <w:bottom w:val="none" w:sz="0" w:space="0" w:color="auto"/>
                <w:right w:val="none" w:sz="0" w:space="0" w:color="auto"/>
              </w:divBdr>
            </w:div>
            <w:div w:id="481118491">
              <w:marLeft w:val="0"/>
              <w:marRight w:val="0"/>
              <w:marTop w:val="0"/>
              <w:marBottom w:val="0"/>
              <w:divBdr>
                <w:top w:val="none" w:sz="0" w:space="0" w:color="auto"/>
                <w:left w:val="none" w:sz="0" w:space="0" w:color="auto"/>
                <w:bottom w:val="none" w:sz="0" w:space="0" w:color="auto"/>
                <w:right w:val="none" w:sz="0" w:space="0" w:color="auto"/>
              </w:divBdr>
            </w:div>
            <w:div w:id="1085879719">
              <w:marLeft w:val="0"/>
              <w:marRight w:val="0"/>
              <w:marTop w:val="0"/>
              <w:marBottom w:val="0"/>
              <w:divBdr>
                <w:top w:val="none" w:sz="0" w:space="0" w:color="auto"/>
                <w:left w:val="none" w:sz="0" w:space="0" w:color="auto"/>
                <w:bottom w:val="none" w:sz="0" w:space="0" w:color="auto"/>
                <w:right w:val="none" w:sz="0" w:space="0" w:color="auto"/>
              </w:divBdr>
            </w:div>
            <w:div w:id="1861770694">
              <w:marLeft w:val="0"/>
              <w:marRight w:val="0"/>
              <w:marTop w:val="0"/>
              <w:marBottom w:val="0"/>
              <w:divBdr>
                <w:top w:val="none" w:sz="0" w:space="0" w:color="auto"/>
                <w:left w:val="none" w:sz="0" w:space="0" w:color="auto"/>
                <w:bottom w:val="none" w:sz="0" w:space="0" w:color="auto"/>
                <w:right w:val="none" w:sz="0" w:space="0" w:color="auto"/>
              </w:divBdr>
            </w:div>
            <w:div w:id="161042584">
              <w:marLeft w:val="0"/>
              <w:marRight w:val="0"/>
              <w:marTop w:val="0"/>
              <w:marBottom w:val="0"/>
              <w:divBdr>
                <w:top w:val="none" w:sz="0" w:space="0" w:color="auto"/>
                <w:left w:val="none" w:sz="0" w:space="0" w:color="auto"/>
                <w:bottom w:val="none" w:sz="0" w:space="0" w:color="auto"/>
                <w:right w:val="none" w:sz="0" w:space="0" w:color="auto"/>
              </w:divBdr>
            </w:div>
            <w:div w:id="1760058187">
              <w:marLeft w:val="0"/>
              <w:marRight w:val="0"/>
              <w:marTop w:val="0"/>
              <w:marBottom w:val="0"/>
              <w:divBdr>
                <w:top w:val="none" w:sz="0" w:space="0" w:color="auto"/>
                <w:left w:val="none" w:sz="0" w:space="0" w:color="auto"/>
                <w:bottom w:val="none" w:sz="0" w:space="0" w:color="auto"/>
                <w:right w:val="none" w:sz="0" w:space="0" w:color="auto"/>
              </w:divBdr>
            </w:div>
            <w:div w:id="1884752390">
              <w:marLeft w:val="0"/>
              <w:marRight w:val="0"/>
              <w:marTop w:val="0"/>
              <w:marBottom w:val="0"/>
              <w:divBdr>
                <w:top w:val="none" w:sz="0" w:space="0" w:color="auto"/>
                <w:left w:val="none" w:sz="0" w:space="0" w:color="auto"/>
                <w:bottom w:val="none" w:sz="0" w:space="0" w:color="auto"/>
                <w:right w:val="none" w:sz="0" w:space="0" w:color="auto"/>
              </w:divBdr>
            </w:div>
            <w:div w:id="612059453">
              <w:marLeft w:val="0"/>
              <w:marRight w:val="0"/>
              <w:marTop w:val="0"/>
              <w:marBottom w:val="0"/>
              <w:divBdr>
                <w:top w:val="none" w:sz="0" w:space="0" w:color="auto"/>
                <w:left w:val="none" w:sz="0" w:space="0" w:color="auto"/>
                <w:bottom w:val="none" w:sz="0" w:space="0" w:color="auto"/>
                <w:right w:val="none" w:sz="0" w:space="0" w:color="auto"/>
              </w:divBdr>
            </w:div>
            <w:div w:id="13612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3043">
      <w:bodyDiv w:val="1"/>
      <w:marLeft w:val="0"/>
      <w:marRight w:val="0"/>
      <w:marTop w:val="0"/>
      <w:marBottom w:val="0"/>
      <w:divBdr>
        <w:top w:val="none" w:sz="0" w:space="0" w:color="auto"/>
        <w:left w:val="none" w:sz="0" w:space="0" w:color="auto"/>
        <w:bottom w:val="none" w:sz="0" w:space="0" w:color="auto"/>
        <w:right w:val="none" w:sz="0" w:space="0" w:color="auto"/>
      </w:divBdr>
      <w:divsChild>
        <w:div w:id="1422752115">
          <w:marLeft w:val="0"/>
          <w:marRight w:val="0"/>
          <w:marTop w:val="0"/>
          <w:marBottom w:val="0"/>
          <w:divBdr>
            <w:top w:val="none" w:sz="0" w:space="0" w:color="auto"/>
            <w:left w:val="none" w:sz="0" w:space="0" w:color="auto"/>
            <w:bottom w:val="none" w:sz="0" w:space="0" w:color="auto"/>
            <w:right w:val="none" w:sz="0" w:space="0" w:color="auto"/>
          </w:divBdr>
        </w:div>
        <w:div w:id="1280530914">
          <w:marLeft w:val="0"/>
          <w:marRight w:val="0"/>
          <w:marTop w:val="0"/>
          <w:marBottom w:val="0"/>
          <w:divBdr>
            <w:top w:val="none" w:sz="0" w:space="0" w:color="auto"/>
            <w:left w:val="none" w:sz="0" w:space="0" w:color="auto"/>
            <w:bottom w:val="none" w:sz="0" w:space="0" w:color="auto"/>
            <w:right w:val="none" w:sz="0" w:space="0" w:color="auto"/>
          </w:divBdr>
        </w:div>
        <w:div w:id="1154688528">
          <w:marLeft w:val="0"/>
          <w:marRight w:val="0"/>
          <w:marTop w:val="0"/>
          <w:marBottom w:val="0"/>
          <w:divBdr>
            <w:top w:val="none" w:sz="0" w:space="0" w:color="auto"/>
            <w:left w:val="none" w:sz="0" w:space="0" w:color="auto"/>
            <w:bottom w:val="none" w:sz="0" w:space="0" w:color="auto"/>
            <w:right w:val="none" w:sz="0" w:space="0" w:color="auto"/>
          </w:divBdr>
        </w:div>
        <w:div w:id="1245190025">
          <w:marLeft w:val="0"/>
          <w:marRight w:val="0"/>
          <w:marTop w:val="0"/>
          <w:marBottom w:val="0"/>
          <w:divBdr>
            <w:top w:val="none" w:sz="0" w:space="0" w:color="auto"/>
            <w:left w:val="none" w:sz="0" w:space="0" w:color="auto"/>
            <w:bottom w:val="none" w:sz="0" w:space="0" w:color="auto"/>
            <w:right w:val="none" w:sz="0" w:space="0" w:color="auto"/>
          </w:divBdr>
        </w:div>
        <w:div w:id="1634947322">
          <w:marLeft w:val="0"/>
          <w:marRight w:val="0"/>
          <w:marTop w:val="0"/>
          <w:marBottom w:val="0"/>
          <w:divBdr>
            <w:top w:val="none" w:sz="0" w:space="0" w:color="auto"/>
            <w:left w:val="none" w:sz="0" w:space="0" w:color="auto"/>
            <w:bottom w:val="none" w:sz="0" w:space="0" w:color="auto"/>
            <w:right w:val="none" w:sz="0" w:space="0" w:color="auto"/>
          </w:divBdr>
        </w:div>
        <w:div w:id="819659100">
          <w:marLeft w:val="0"/>
          <w:marRight w:val="0"/>
          <w:marTop w:val="0"/>
          <w:marBottom w:val="0"/>
          <w:divBdr>
            <w:top w:val="none" w:sz="0" w:space="0" w:color="auto"/>
            <w:left w:val="none" w:sz="0" w:space="0" w:color="auto"/>
            <w:bottom w:val="none" w:sz="0" w:space="0" w:color="auto"/>
            <w:right w:val="none" w:sz="0" w:space="0" w:color="auto"/>
          </w:divBdr>
        </w:div>
        <w:div w:id="722873016">
          <w:marLeft w:val="0"/>
          <w:marRight w:val="0"/>
          <w:marTop w:val="0"/>
          <w:marBottom w:val="0"/>
          <w:divBdr>
            <w:top w:val="none" w:sz="0" w:space="0" w:color="auto"/>
            <w:left w:val="none" w:sz="0" w:space="0" w:color="auto"/>
            <w:bottom w:val="none" w:sz="0" w:space="0" w:color="auto"/>
            <w:right w:val="none" w:sz="0" w:space="0" w:color="auto"/>
          </w:divBdr>
        </w:div>
        <w:div w:id="1727290816">
          <w:marLeft w:val="0"/>
          <w:marRight w:val="0"/>
          <w:marTop w:val="0"/>
          <w:marBottom w:val="0"/>
          <w:divBdr>
            <w:top w:val="none" w:sz="0" w:space="0" w:color="auto"/>
            <w:left w:val="none" w:sz="0" w:space="0" w:color="auto"/>
            <w:bottom w:val="none" w:sz="0" w:space="0" w:color="auto"/>
            <w:right w:val="none" w:sz="0" w:space="0" w:color="auto"/>
          </w:divBdr>
        </w:div>
        <w:div w:id="689262020">
          <w:marLeft w:val="0"/>
          <w:marRight w:val="0"/>
          <w:marTop w:val="0"/>
          <w:marBottom w:val="0"/>
          <w:divBdr>
            <w:top w:val="none" w:sz="0" w:space="0" w:color="auto"/>
            <w:left w:val="none" w:sz="0" w:space="0" w:color="auto"/>
            <w:bottom w:val="none" w:sz="0" w:space="0" w:color="auto"/>
            <w:right w:val="none" w:sz="0" w:space="0" w:color="auto"/>
          </w:divBdr>
        </w:div>
        <w:div w:id="2105756548">
          <w:marLeft w:val="0"/>
          <w:marRight w:val="0"/>
          <w:marTop w:val="0"/>
          <w:marBottom w:val="0"/>
          <w:divBdr>
            <w:top w:val="none" w:sz="0" w:space="0" w:color="auto"/>
            <w:left w:val="none" w:sz="0" w:space="0" w:color="auto"/>
            <w:bottom w:val="none" w:sz="0" w:space="0" w:color="auto"/>
            <w:right w:val="none" w:sz="0" w:space="0" w:color="auto"/>
          </w:divBdr>
        </w:div>
      </w:divsChild>
    </w:div>
    <w:div w:id="795176218">
      <w:bodyDiv w:val="1"/>
      <w:marLeft w:val="0"/>
      <w:marRight w:val="0"/>
      <w:marTop w:val="0"/>
      <w:marBottom w:val="0"/>
      <w:divBdr>
        <w:top w:val="none" w:sz="0" w:space="0" w:color="auto"/>
        <w:left w:val="none" w:sz="0" w:space="0" w:color="auto"/>
        <w:bottom w:val="none" w:sz="0" w:space="0" w:color="auto"/>
        <w:right w:val="none" w:sz="0" w:space="0" w:color="auto"/>
      </w:divBdr>
    </w:div>
    <w:div w:id="908997313">
      <w:bodyDiv w:val="1"/>
      <w:marLeft w:val="0"/>
      <w:marRight w:val="0"/>
      <w:marTop w:val="0"/>
      <w:marBottom w:val="0"/>
      <w:divBdr>
        <w:top w:val="none" w:sz="0" w:space="0" w:color="auto"/>
        <w:left w:val="none" w:sz="0" w:space="0" w:color="auto"/>
        <w:bottom w:val="none" w:sz="0" w:space="0" w:color="auto"/>
        <w:right w:val="none" w:sz="0" w:space="0" w:color="auto"/>
      </w:divBdr>
      <w:divsChild>
        <w:div w:id="394820056">
          <w:marLeft w:val="0"/>
          <w:marRight w:val="0"/>
          <w:marTop w:val="0"/>
          <w:marBottom w:val="0"/>
          <w:divBdr>
            <w:top w:val="none" w:sz="0" w:space="0" w:color="auto"/>
            <w:left w:val="none" w:sz="0" w:space="0" w:color="auto"/>
            <w:bottom w:val="none" w:sz="0" w:space="0" w:color="auto"/>
            <w:right w:val="none" w:sz="0" w:space="0" w:color="auto"/>
          </w:divBdr>
        </w:div>
        <w:div w:id="81535158">
          <w:marLeft w:val="0"/>
          <w:marRight w:val="0"/>
          <w:marTop w:val="0"/>
          <w:marBottom w:val="0"/>
          <w:divBdr>
            <w:top w:val="none" w:sz="0" w:space="0" w:color="auto"/>
            <w:left w:val="none" w:sz="0" w:space="0" w:color="auto"/>
            <w:bottom w:val="none" w:sz="0" w:space="0" w:color="auto"/>
            <w:right w:val="none" w:sz="0" w:space="0" w:color="auto"/>
          </w:divBdr>
        </w:div>
        <w:div w:id="92478071">
          <w:marLeft w:val="0"/>
          <w:marRight w:val="0"/>
          <w:marTop w:val="0"/>
          <w:marBottom w:val="0"/>
          <w:divBdr>
            <w:top w:val="none" w:sz="0" w:space="0" w:color="auto"/>
            <w:left w:val="none" w:sz="0" w:space="0" w:color="auto"/>
            <w:bottom w:val="none" w:sz="0" w:space="0" w:color="auto"/>
            <w:right w:val="none" w:sz="0" w:space="0" w:color="auto"/>
          </w:divBdr>
        </w:div>
        <w:div w:id="1554930279">
          <w:marLeft w:val="0"/>
          <w:marRight w:val="0"/>
          <w:marTop w:val="0"/>
          <w:marBottom w:val="0"/>
          <w:divBdr>
            <w:top w:val="none" w:sz="0" w:space="0" w:color="auto"/>
            <w:left w:val="none" w:sz="0" w:space="0" w:color="auto"/>
            <w:bottom w:val="none" w:sz="0" w:space="0" w:color="auto"/>
            <w:right w:val="none" w:sz="0" w:space="0" w:color="auto"/>
          </w:divBdr>
        </w:div>
        <w:div w:id="1451633410">
          <w:marLeft w:val="0"/>
          <w:marRight w:val="0"/>
          <w:marTop w:val="0"/>
          <w:marBottom w:val="0"/>
          <w:divBdr>
            <w:top w:val="none" w:sz="0" w:space="0" w:color="auto"/>
            <w:left w:val="none" w:sz="0" w:space="0" w:color="auto"/>
            <w:bottom w:val="none" w:sz="0" w:space="0" w:color="auto"/>
            <w:right w:val="none" w:sz="0" w:space="0" w:color="auto"/>
          </w:divBdr>
        </w:div>
        <w:div w:id="173034977">
          <w:marLeft w:val="0"/>
          <w:marRight w:val="0"/>
          <w:marTop w:val="0"/>
          <w:marBottom w:val="0"/>
          <w:divBdr>
            <w:top w:val="none" w:sz="0" w:space="0" w:color="auto"/>
            <w:left w:val="none" w:sz="0" w:space="0" w:color="auto"/>
            <w:bottom w:val="none" w:sz="0" w:space="0" w:color="auto"/>
            <w:right w:val="none" w:sz="0" w:space="0" w:color="auto"/>
          </w:divBdr>
        </w:div>
        <w:div w:id="1318344314">
          <w:marLeft w:val="0"/>
          <w:marRight w:val="0"/>
          <w:marTop w:val="0"/>
          <w:marBottom w:val="0"/>
          <w:divBdr>
            <w:top w:val="none" w:sz="0" w:space="0" w:color="auto"/>
            <w:left w:val="none" w:sz="0" w:space="0" w:color="auto"/>
            <w:bottom w:val="none" w:sz="0" w:space="0" w:color="auto"/>
            <w:right w:val="none" w:sz="0" w:space="0" w:color="auto"/>
          </w:divBdr>
        </w:div>
        <w:div w:id="478151662">
          <w:marLeft w:val="0"/>
          <w:marRight w:val="0"/>
          <w:marTop w:val="0"/>
          <w:marBottom w:val="0"/>
          <w:divBdr>
            <w:top w:val="none" w:sz="0" w:space="0" w:color="auto"/>
            <w:left w:val="none" w:sz="0" w:space="0" w:color="auto"/>
            <w:bottom w:val="none" w:sz="0" w:space="0" w:color="auto"/>
            <w:right w:val="none" w:sz="0" w:space="0" w:color="auto"/>
          </w:divBdr>
        </w:div>
        <w:div w:id="1009673676">
          <w:marLeft w:val="0"/>
          <w:marRight w:val="0"/>
          <w:marTop w:val="0"/>
          <w:marBottom w:val="0"/>
          <w:divBdr>
            <w:top w:val="none" w:sz="0" w:space="0" w:color="auto"/>
            <w:left w:val="none" w:sz="0" w:space="0" w:color="auto"/>
            <w:bottom w:val="none" w:sz="0" w:space="0" w:color="auto"/>
            <w:right w:val="none" w:sz="0" w:space="0" w:color="auto"/>
          </w:divBdr>
        </w:div>
        <w:div w:id="1663197017">
          <w:marLeft w:val="0"/>
          <w:marRight w:val="0"/>
          <w:marTop w:val="0"/>
          <w:marBottom w:val="0"/>
          <w:divBdr>
            <w:top w:val="none" w:sz="0" w:space="0" w:color="auto"/>
            <w:left w:val="none" w:sz="0" w:space="0" w:color="auto"/>
            <w:bottom w:val="none" w:sz="0" w:space="0" w:color="auto"/>
            <w:right w:val="none" w:sz="0" w:space="0" w:color="auto"/>
          </w:divBdr>
        </w:div>
        <w:div w:id="71390866">
          <w:marLeft w:val="0"/>
          <w:marRight w:val="0"/>
          <w:marTop w:val="0"/>
          <w:marBottom w:val="0"/>
          <w:divBdr>
            <w:top w:val="none" w:sz="0" w:space="0" w:color="auto"/>
            <w:left w:val="none" w:sz="0" w:space="0" w:color="auto"/>
            <w:bottom w:val="none" w:sz="0" w:space="0" w:color="auto"/>
            <w:right w:val="none" w:sz="0" w:space="0" w:color="auto"/>
          </w:divBdr>
        </w:div>
        <w:div w:id="1343430838">
          <w:marLeft w:val="0"/>
          <w:marRight w:val="0"/>
          <w:marTop w:val="0"/>
          <w:marBottom w:val="0"/>
          <w:divBdr>
            <w:top w:val="none" w:sz="0" w:space="0" w:color="auto"/>
            <w:left w:val="none" w:sz="0" w:space="0" w:color="auto"/>
            <w:bottom w:val="none" w:sz="0" w:space="0" w:color="auto"/>
            <w:right w:val="none" w:sz="0" w:space="0" w:color="auto"/>
          </w:divBdr>
        </w:div>
        <w:div w:id="1711683522">
          <w:marLeft w:val="0"/>
          <w:marRight w:val="0"/>
          <w:marTop w:val="0"/>
          <w:marBottom w:val="0"/>
          <w:divBdr>
            <w:top w:val="none" w:sz="0" w:space="0" w:color="auto"/>
            <w:left w:val="none" w:sz="0" w:space="0" w:color="auto"/>
            <w:bottom w:val="none" w:sz="0" w:space="0" w:color="auto"/>
            <w:right w:val="none" w:sz="0" w:space="0" w:color="auto"/>
          </w:divBdr>
        </w:div>
      </w:divsChild>
    </w:div>
    <w:div w:id="1068307420">
      <w:bodyDiv w:val="1"/>
      <w:marLeft w:val="0"/>
      <w:marRight w:val="0"/>
      <w:marTop w:val="0"/>
      <w:marBottom w:val="0"/>
      <w:divBdr>
        <w:top w:val="none" w:sz="0" w:space="0" w:color="auto"/>
        <w:left w:val="none" w:sz="0" w:space="0" w:color="auto"/>
        <w:bottom w:val="none" w:sz="0" w:space="0" w:color="auto"/>
        <w:right w:val="none" w:sz="0" w:space="0" w:color="auto"/>
      </w:divBdr>
      <w:divsChild>
        <w:div w:id="278881341">
          <w:marLeft w:val="0"/>
          <w:marRight w:val="0"/>
          <w:marTop w:val="0"/>
          <w:marBottom w:val="0"/>
          <w:divBdr>
            <w:top w:val="none" w:sz="0" w:space="0" w:color="auto"/>
            <w:left w:val="none" w:sz="0" w:space="0" w:color="auto"/>
            <w:bottom w:val="none" w:sz="0" w:space="0" w:color="auto"/>
            <w:right w:val="none" w:sz="0" w:space="0" w:color="auto"/>
          </w:divBdr>
        </w:div>
        <w:div w:id="311839458">
          <w:marLeft w:val="0"/>
          <w:marRight w:val="0"/>
          <w:marTop w:val="0"/>
          <w:marBottom w:val="0"/>
          <w:divBdr>
            <w:top w:val="none" w:sz="0" w:space="0" w:color="auto"/>
            <w:left w:val="none" w:sz="0" w:space="0" w:color="auto"/>
            <w:bottom w:val="none" w:sz="0" w:space="0" w:color="auto"/>
            <w:right w:val="none" w:sz="0" w:space="0" w:color="auto"/>
          </w:divBdr>
        </w:div>
        <w:div w:id="1334379654">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613944211">
          <w:marLeft w:val="0"/>
          <w:marRight w:val="0"/>
          <w:marTop w:val="0"/>
          <w:marBottom w:val="0"/>
          <w:divBdr>
            <w:top w:val="none" w:sz="0" w:space="0" w:color="auto"/>
            <w:left w:val="none" w:sz="0" w:space="0" w:color="auto"/>
            <w:bottom w:val="none" w:sz="0" w:space="0" w:color="auto"/>
            <w:right w:val="none" w:sz="0" w:space="0" w:color="auto"/>
          </w:divBdr>
        </w:div>
        <w:div w:id="496464704">
          <w:marLeft w:val="0"/>
          <w:marRight w:val="0"/>
          <w:marTop w:val="0"/>
          <w:marBottom w:val="0"/>
          <w:divBdr>
            <w:top w:val="none" w:sz="0" w:space="0" w:color="auto"/>
            <w:left w:val="none" w:sz="0" w:space="0" w:color="auto"/>
            <w:bottom w:val="none" w:sz="0" w:space="0" w:color="auto"/>
            <w:right w:val="none" w:sz="0" w:space="0" w:color="auto"/>
          </w:divBdr>
        </w:div>
        <w:div w:id="2139377131">
          <w:marLeft w:val="0"/>
          <w:marRight w:val="0"/>
          <w:marTop w:val="0"/>
          <w:marBottom w:val="0"/>
          <w:divBdr>
            <w:top w:val="none" w:sz="0" w:space="0" w:color="auto"/>
            <w:left w:val="none" w:sz="0" w:space="0" w:color="auto"/>
            <w:bottom w:val="none" w:sz="0" w:space="0" w:color="auto"/>
            <w:right w:val="none" w:sz="0" w:space="0" w:color="auto"/>
          </w:divBdr>
        </w:div>
      </w:divsChild>
    </w:div>
    <w:div w:id="1445997863">
      <w:bodyDiv w:val="1"/>
      <w:marLeft w:val="0"/>
      <w:marRight w:val="0"/>
      <w:marTop w:val="0"/>
      <w:marBottom w:val="0"/>
      <w:divBdr>
        <w:top w:val="none" w:sz="0" w:space="0" w:color="auto"/>
        <w:left w:val="none" w:sz="0" w:space="0" w:color="auto"/>
        <w:bottom w:val="none" w:sz="0" w:space="0" w:color="auto"/>
        <w:right w:val="none" w:sz="0" w:space="0" w:color="auto"/>
      </w:divBdr>
      <w:divsChild>
        <w:div w:id="156001418">
          <w:marLeft w:val="0"/>
          <w:marRight w:val="0"/>
          <w:marTop w:val="0"/>
          <w:marBottom w:val="0"/>
          <w:divBdr>
            <w:top w:val="none" w:sz="0" w:space="0" w:color="auto"/>
            <w:left w:val="none" w:sz="0" w:space="0" w:color="auto"/>
            <w:bottom w:val="none" w:sz="0" w:space="0" w:color="auto"/>
            <w:right w:val="none" w:sz="0" w:space="0" w:color="auto"/>
          </w:divBdr>
        </w:div>
        <w:div w:id="706876711">
          <w:marLeft w:val="0"/>
          <w:marRight w:val="0"/>
          <w:marTop w:val="0"/>
          <w:marBottom w:val="0"/>
          <w:divBdr>
            <w:top w:val="none" w:sz="0" w:space="0" w:color="auto"/>
            <w:left w:val="none" w:sz="0" w:space="0" w:color="auto"/>
            <w:bottom w:val="none" w:sz="0" w:space="0" w:color="auto"/>
            <w:right w:val="none" w:sz="0" w:space="0" w:color="auto"/>
          </w:divBdr>
        </w:div>
        <w:div w:id="104275497">
          <w:marLeft w:val="0"/>
          <w:marRight w:val="0"/>
          <w:marTop w:val="0"/>
          <w:marBottom w:val="0"/>
          <w:divBdr>
            <w:top w:val="none" w:sz="0" w:space="0" w:color="auto"/>
            <w:left w:val="none" w:sz="0" w:space="0" w:color="auto"/>
            <w:bottom w:val="none" w:sz="0" w:space="0" w:color="auto"/>
            <w:right w:val="none" w:sz="0" w:space="0" w:color="auto"/>
          </w:divBdr>
        </w:div>
        <w:div w:id="726995913">
          <w:marLeft w:val="0"/>
          <w:marRight w:val="0"/>
          <w:marTop w:val="0"/>
          <w:marBottom w:val="0"/>
          <w:divBdr>
            <w:top w:val="none" w:sz="0" w:space="0" w:color="auto"/>
            <w:left w:val="none" w:sz="0" w:space="0" w:color="auto"/>
            <w:bottom w:val="none" w:sz="0" w:space="0" w:color="auto"/>
            <w:right w:val="none" w:sz="0" w:space="0" w:color="auto"/>
          </w:divBdr>
        </w:div>
        <w:div w:id="421029693">
          <w:marLeft w:val="0"/>
          <w:marRight w:val="0"/>
          <w:marTop w:val="0"/>
          <w:marBottom w:val="0"/>
          <w:divBdr>
            <w:top w:val="none" w:sz="0" w:space="0" w:color="auto"/>
            <w:left w:val="none" w:sz="0" w:space="0" w:color="auto"/>
            <w:bottom w:val="none" w:sz="0" w:space="0" w:color="auto"/>
            <w:right w:val="none" w:sz="0" w:space="0" w:color="auto"/>
          </w:divBdr>
        </w:div>
        <w:div w:id="772170857">
          <w:marLeft w:val="0"/>
          <w:marRight w:val="0"/>
          <w:marTop w:val="0"/>
          <w:marBottom w:val="0"/>
          <w:divBdr>
            <w:top w:val="none" w:sz="0" w:space="0" w:color="auto"/>
            <w:left w:val="none" w:sz="0" w:space="0" w:color="auto"/>
            <w:bottom w:val="none" w:sz="0" w:space="0" w:color="auto"/>
            <w:right w:val="none" w:sz="0" w:space="0" w:color="auto"/>
          </w:divBdr>
        </w:div>
        <w:div w:id="810752192">
          <w:marLeft w:val="0"/>
          <w:marRight w:val="0"/>
          <w:marTop w:val="0"/>
          <w:marBottom w:val="0"/>
          <w:divBdr>
            <w:top w:val="none" w:sz="0" w:space="0" w:color="auto"/>
            <w:left w:val="none" w:sz="0" w:space="0" w:color="auto"/>
            <w:bottom w:val="none" w:sz="0" w:space="0" w:color="auto"/>
            <w:right w:val="none" w:sz="0" w:space="0" w:color="auto"/>
          </w:divBdr>
        </w:div>
        <w:div w:id="368914915">
          <w:marLeft w:val="0"/>
          <w:marRight w:val="0"/>
          <w:marTop w:val="0"/>
          <w:marBottom w:val="0"/>
          <w:divBdr>
            <w:top w:val="none" w:sz="0" w:space="0" w:color="auto"/>
            <w:left w:val="none" w:sz="0" w:space="0" w:color="auto"/>
            <w:bottom w:val="none" w:sz="0" w:space="0" w:color="auto"/>
            <w:right w:val="none" w:sz="0" w:space="0" w:color="auto"/>
          </w:divBdr>
        </w:div>
      </w:divsChild>
    </w:div>
    <w:div w:id="1567179464">
      <w:bodyDiv w:val="1"/>
      <w:marLeft w:val="0"/>
      <w:marRight w:val="0"/>
      <w:marTop w:val="0"/>
      <w:marBottom w:val="0"/>
      <w:divBdr>
        <w:top w:val="none" w:sz="0" w:space="0" w:color="auto"/>
        <w:left w:val="none" w:sz="0" w:space="0" w:color="auto"/>
        <w:bottom w:val="none" w:sz="0" w:space="0" w:color="auto"/>
        <w:right w:val="none" w:sz="0" w:space="0" w:color="auto"/>
      </w:divBdr>
      <w:divsChild>
        <w:div w:id="649209464">
          <w:marLeft w:val="0"/>
          <w:marRight w:val="0"/>
          <w:marTop w:val="0"/>
          <w:marBottom w:val="0"/>
          <w:divBdr>
            <w:top w:val="none" w:sz="0" w:space="0" w:color="auto"/>
            <w:left w:val="none" w:sz="0" w:space="0" w:color="auto"/>
            <w:bottom w:val="none" w:sz="0" w:space="0" w:color="auto"/>
            <w:right w:val="none" w:sz="0" w:space="0" w:color="auto"/>
          </w:divBdr>
        </w:div>
        <w:div w:id="1853450193">
          <w:marLeft w:val="0"/>
          <w:marRight w:val="0"/>
          <w:marTop w:val="0"/>
          <w:marBottom w:val="0"/>
          <w:divBdr>
            <w:top w:val="none" w:sz="0" w:space="0" w:color="auto"/>
            <w:left w:val="none" w:sz="0" w:space="0" w:color="auto"/>
            <w:bottom w:val="none" w:sz="0" w:space="0" w:color="auto"/>
            <w:right w:val="none" w:sz="0" w:space="0" w:color="auto"/>
          </w:divBdr>
        </w:div>
        <w:div w:id="1641840009">
          <w:marLeft w:val="0"/>
          <w:marRight w:val="0"/>
          <w:marTop w:val="0"/>
          <w:marBottom w:val="0"/>
          <w:divBdr>
            <w:top w:val="none" w:sz="0" w:space="0" w:color="auto"/>
            <w:left w:val="none" w:sz="0" w:space="0" w:color="auto"/>
            <w:bottom w:val="none" w:sz="0" w:space="0" w:color="auto"/>
            <w:right w:val="none" w:sz="0" w:space="0" w:color="auto"/>
          </w:divBdr>
        </w:div>
        <w:div w:id="227152275">
          <w:marLeft w:val="0"/>
          <w:marRight w:val="0"/>
          <w:marTop w:val="0"/>
          <w:marBottom w:val="0"/>
          <w:divBdr>
            <w:top w:val="none" w:sz="0" w:space="0" w:color="auto"/>
            <w:left w:val="none" w:sz="0" w:space="0" w:color="auto"/>
            <w:bottom w:val="none" w:sz="0" w:space="0" w:color="auto"/>
            <w:right w:val="none" w:sz="0" w:space="0" w:color="auto"/>
          </w:divBdr>
        </w:div>
        <w:div w:id="100015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virtue\AppData\Local\Microsoft\Windows\INetCache\Content.Outlook\F8RYXETW\UNEP\CMS%20%20(2014)%20%20Proposal%20for%20the%20Inclusion%20of%20the%20European%20Eel%20(Anguilla%20anguilla)%20%20on%20CMS%20Appendix%20II.%20%20UNEP\CMS\COP11\Doc.24.1.18.Rev.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en/document/european-eel-anguilla-anguilla-appendix-i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9\_DOCUMENTS\_IN-SESSION\Resolution_Recommendations\COP9_Resolution_Templat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3391-A828-48CA-8CAB-3C70334A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COP9_Resolution_Template_S</Template>
  <TotalTime>2</TotalTime>
  <Pages>5</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Harriet Taberner</dc:creator>
  <cp:keywords/>
  <dc:description/>
  <cp:lastModifiedBy>CMS Secretariat</cp:lastModifiedBy>
  <cp:revision>3</cp:revision>
  <cp:lastPrinted>2008-02-11T14:47:00Z</cp:lastPrinted>
  <dcterms:created xsi:type="dcterms:W3CDTF">2017-07-18T09:20:00Z</dcterms:created>
  <dcterms:modified xsi:type="dcterms:W3CDTF">2017-07-18T09:30:00Z</dcterms:modified>
</cp:coreProperties>
</file>