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415A2B"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6FCFAC1C" w:rsidR="00002A97" w:rsidRPr="008122F6"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8122F6">
              <w:rPr>
                <w:rFonts w:eastAsia="Times New Roman" w:cs="Arial"/>
                <w:szCs w:val="24"/>
                <w:lang w:eastAsia="es-ES"/>
              </w:rPr>
              <w:t>UNEP/CMS/COP1</w:t>
            </w:r>
            <w:r w:rsidR="00C22155" w:rsidRPr="008122F6">
              <w:rPr>
                <w:rFonts w:eastAsia="Times New Roman" w:cs="Arial"/>
                <w:szCs w:val="24"/>
                <w:lang w:eastAsia="es-ES"/>
              </w:rPr>
              <w:t>5</w:t>
            </w:r>
            <w:r w:rsidRPr="008122F6">
              <w:rPr>
                <w:rFonts w:eastAsia="Times New Roman" w:cs="Arial"/>
                <w:szCs w:val="24"/>
                <w:lang w:eastAsia="es-ES"/>
              </w:rPr>
              <w:t>/</w:t>
            </w:r>
            <w:r w:rsidR="00800CB3" w:rsidRPr="008122F6">
              <w:rPr>
                <w:rFonts w:eastAsia="Times New Roman" w:cs="Arial"/>
                <w:szCs w:val="24"/>
                <w:lang w:eastAsia="es-ES"/>
              </w:rPr>
              <w:t>Doc</w:t>
            </w:r>
            <w:r w:rsidRPr="008122F6">
              <w:rPr>
                <w:rFonts w:eastAsia="Times New Roman" w:cs="Arial"/>
                <w:szCs w:val="24"/>
                <w:lang w:eastAsia="es-ES"/>
              </w:rPr>
              <w:t>.</w:t>
            </w:r>
            <w:r w:rsidR="00D40EF8" w:rsidRPr="008122F6">
              <w:rPr>
                <w:rFonts w:eastAsia="Times New Roman" w:cs="Arial"/>
                <w:szCs w:val="24"/>
                <w:lang w:eastAsia="es-ES"/>
              </w:rPr>
              <w:t>1</w:t>
            </w:r>
            <w:r w:rsidR="006C41CA" w:rsidRPr="008122F6">
              <w:rPr>
                <w:rFonts w:eastAsia="Times New Roman" w:cs="Arial"/>
                <w:szCs w:val="24"/>
                <w:lang w:eastAsia="es-ES"/>
              </w:rPr>
              <w:t>6</w:t>
            </w:r>
            <w:r w:rsidR="00D40EF8" w:rsidRPr="008122F6">
              <w:rPr>
                <w:rFonts w:eastAsia="Times New Roman" w:cs="Arial"/>
                <w:szCs w:val="24"/>
                <w:lang w:eastAsia="es-ES"/>
              </w:rPr>
              <w:t>.1</w:t>
            </w:r>
            <w:r w:rsidR="008122F6" w:rsidRPr="008122F6">
              <w:rPr>
                <w:rFonts w:eastAsia="Times New Roman" w:cs="Arial"/>
                <w:szCs w:val="24"/>
                <w:lang w:eastAsia="es-ES"/>
              </w:rPr>
              <w:t>/Rev</w:t>
            </w:r>
            <w:r w:rsidR="008122F6">
              <w:rPr>
                <w:rFonts w:eastAsia="Times New Roman" w:cs="Arial"/>
                <w:szCs w:val="24"/>
                <w:lang w:eastAsia="es-ES"/>
              </w:rPr>
              <w:t>.</w:t>
            </w:r>
            <w:r w:rsidR="00415A2B">
              <w:rPr>
                <w:rFonts w:eastAsia="Times New Roman" w:cs="Arial"/>
                <w:szCs w:val="24"/>
                <w:lang w:eastAsia="es-ES"/>
              </w:rPr>
              <w:t>2</w:t>
            </w:r>
          </w:p>
          <w:p w14:paraId="5F9B9DE6" w14:textId="2A33E639" w:rsidR="00002A97" w:rsidRPr="006C41CA" w:rsidRDefault="00DC48AA"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Pr>
                <w:rFonts w:eastAsia="Times New Roman" w:cs="Arial"/>
                <w:szCs w:val="24"/>
                <w:lang w:val="es-ES" w:eastAsia="es-ES"/>
              </w:rPr>
              <w:t>2 de marzo</w:t>
            </w:r>
            <w:r w:rsidR="00415A2B">
              <w:rPr>
                <w:rFonts w:eastAsia="Times New Roman" w:cs="Arial"/>
                <w:szCs w:val="24"/>
                <w:lang w:val="es-ES" w:eastAsia="es-ES"/>
              </w:rPr>
              <w:t xml:space="preserve"> 2026</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2DDD2AC1"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D40EF8">
        <w:rPr>
          <w:rFonts w:eastAsia="Times New Roman" w:cs="Arial"/>
          <w:szCs w:val="24"/>
          <w:lang w:val="es-ES" w:eastAsia="es-ES"/>
        </w:rPr>
        <w:t>1</w:t>
      </w:r>
      <w:r w:rsidR="006C41CA">
        <w:rPr>
          <w:rFonts w:eastAsia="Times New Roman" w:cs="Arial"/>
          <w:szCs w:val="24"/>
          <w:lang w:val="es-ES" w:eastAsia="es-ES"/>
        </w:rPr>
        <w:t>6</w:t>
      </w:r>
      <w:r w:rsidR="00D40EF8">
        <w:rPr>
          <w:rFonts w:eastAsia="Times New Roman" w:cs="Arial"/>
          <w:szCs w:val="24"/>
          <w:lang w:val="es-ES" w:eastAsia="es-ES"/>
        </w:rPr>
        <w:t>.1</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3989AAFA" w14:textId="77777777" w:rsidR="0082473E" w:rsidRPr="008F2DF3" w:rsidRDefault="0082473E" w:rsidP="0082473E">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46"/>
        <w:jc w:val="center"/>
        <w:textAlignment w:val="baseline"/>
        <w:outlineLvl w:val="1"/>
        <w:rPr>
          <w:rFonts w:cs="Arial"/>
          <w:b/>
          <w:lang w:val="es-ES"/>
        </w:rPr>
      </w:pPr>
      <w:r w:rsidRPr="008F2DF3">
        <w:rPr>
          <w:rFonts w:cs="Arial"/>
          <w:b/>
          <w:lang w:val="es-ES"/>
        </w:rPr>
        <w:t>MIEMBROS DEL COMITÉ DEL PERÍODO DE SESIONES</w:t>
      </w:r>
    </w:p>
    <w:p w14:paraId="649BC530" w14:textId="7170F9DB" w:rsidR="00002A97" w:rsidRPr="00002A97" w:rsidRDefault="0082473E" w:rsidP="0082473E">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8F2DF3">
        <w:rPr>
          <w:rFonts w:eastAsia="Times New Roman" w:cs="Arial"/>
          <w:i/>
          <w:lang w:val="es-ES"/>
        </w:rPr>
        <w:t>(Preparado por la Secretaría y el Consejo Científico)</w:t>
      </w:r>
      <w:r w:rsidR="00002A97" w:rsidRPr="00002A97">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12DF2CBC">
                <wp:simplePos x="0" y="0"/>
                <wp:positionH relativeFrom="column">
                  <wp:posOffset>983112</wp:posOffset>
                </wp:positionH>
                <wp:positionV relativeFrom="paragraph">
                  <wp:posOffset>147430</wp:posOffset>
                </wp:positionV>
                <wp:extent cx="4304666" cy="4038160"/>
                <wp:effectExtent l="0" t="0" r="19685" b="19685"/>
                <wp:wrapNone/>
                <wp:docPr id="5" name="Text Box 4"/>
                <wp:cNvGraphicFramePr/>
                <a:graphic xmlns:a="http://schemas.openxmlformats.org/drawingml/2006/main">
                  <a:graphicData uri="http://schemas.microsoft.com/office/word/2010/wordprocessingShape">
                    <wps:wsp>
                      <wps:cNvSpPr txBox="1"/>
                      <wps:spPr>
                        <a:xfrm>
                          <a:off x="0" y="0"/>
                          <a:ext cx="4304666" cy="4038160"/>
                        </a:xfrm>
                        <a:prstGeom prst="rect">
                          <a:avLst/>
                        </a:prstGeom>
                        <a:solidFill>
                          <a:srgbClr val="FFFFFF"/>
                        </a:solidFill>
                        <a:ln w="3172">
                          <a:solidFill>
                            <a:srgbClr val="000000"/>
                          </a:solidFill>
                          <a:prstDash val="solid"/>
                        </a:ln>
                      </wps:spPr>
                      <wps:txbx>
                        <w:txbxContent>
                          <w:p w14:paraId="78EFDF6D" w14:textId="1DCE26E8" w:rsidR="002D5F2A" w:rsidRPr="006C41CA" w:rsidRDefault="002D5F2A" w:rsidP="006C41CA">
                            <w:pPr>
                              <w:spacing w:after="0" w:line="240" w:lineRule="auto"/>
                              <w:rPr>
                                <w:lang w:val="es-ES"/>
                              </w:rPr>
                            </w:pPr>
                            <w:r w:rsidRPr="006C41CA">
                              <w:rPr>
                                <w:rFonts w:eastAsia="Arial" w:cs="Arial"/>
                                <w:lang w:val="es-ES"/>
                              </w:rPr>
                              <w:t>Resumen:</w:t>
                            </w:r>
                          </w:p>
                          <w:p w14:paraId="255B4E63" w14:textId="77777777" w:rsidR="002D5F2A" w:rsidRPr="006C41CA" w:rsidRDefault="002D5F2A" w:rsidP="006C41CA">
                            <w:pPr>
                              <w:spacing w:after="0" w:line="240" w:lineRule="auto"/>
                              <w:rPr>
                                <w:rFonts w:cs="Arial"/>
                                <w:lang w:val="es-ES"/>
                              </w:rPr>
                            </w:pPr>
                          </w:p>
                          <w:p w14:paraId="50EE9DE9" w14:textId="77777777" w:rsidR="0012027B" w:rsidRPr="00114AE0" w:rsidRDefault="0012027B" w:rsidP="006C41CA">
                            <w:pPr>
                              <w:spacing w:after="0" w:line="240" w:lineRule="auto"/>
                              <w:jc w:val="both"/>
                              <w:rPr>
                                <w:rFonts w:cs="Arial"/>
                                <w:iCs/>
                                <w:lang w:val="es-ES"/>
                              </w:rPr>
                            </w:pPr>
                            <w:r w:rsidRPr="00114AE0">
                              <w:rPr>
                                <w:rFonts w:cs="Arial"/>
                                <w:iCs/>
                                <w:lang w:val="es-ES"/>
                              </w:rPr>
                              <w:t>El presente documento informa sobre los progresos realizados en la aplicación de la Decisión 14.5.</w:t>
                            </w:r>
                          </w:p>
                          <w:p w14:paraId="6D2CD7D2" w14:textId="77777777" w:rsidR="0012027B" w:rsidRPr="00114AE0" w:rsidRDefault="0012027B" w:rsidP="006C41CA">
                            <w:pPr>
                              <w:spacing w:after="0" w:line="240" w:lineRule="auto"/>
                              <w:jc w:val="both"/>
                              <w:rPr>
                                <w:rFonts w:cs="Arial"/>
                                <w:iCs/>
                                <w:lang w:val="es-ES"/>
                              </w:rPr>
                            </w:pPr>
                          </w:p>
                          <w:p w14:paraId="6C608DDF" w14:textId="77777777" w:rsidR="0012027B" w:rsidRPr="00114AE0" w:rsidRDefault="0012027B" w:rsidP="006C41CA">
                            <w:pPr>
                              <w:spacing w:after="0" w:line="240" w:lineRule="auto"/>
                              <w:jc w:val="both"/>
                              <w:rPr>
                                <w:rFonts w:cs="Arial"/>
                                <w:iCs/>
                                <w:lang w:val="es-ES"/>
                              </w:rPr>
                            </w:pPr>
                            <w:r w:rsidRPr="00114AE0">
                              <w:rPr>
                                <w:rFonts w:cs="Arial"/>
                                <w:iCs/>
                                <w:lang w:val="es-ES"/>
                              </w:rPr>
                              <w:t>Asimismo, proporciona información a las Partes sobre el nombramiento del presidente, el vicepresidente y los miembros del Consejo Científico y de su Comité del Período de Sesiones.</w:t>
                            </w:r>
                          </w:p>
                          <w:p w14:paraId="4F2F8425" w14:textId="77777777" w:rsidR="0012027B" w:rsidRPr="00114AE0" w:rsidRDefault="0012027B" w:rsidP="006C41CA">
                            <w:pPr>
                              <w:spacing w:after="0" w:line="240" w:lineRule="auto"/>
                              <w:jc w:val="both"/>
                              <w:rPr>
                                <w:rFonts w:cs="Arial"/>
                                <w:iCs/>
                                <w:lang w:val="es-ES"/>
                              </w:rPr>
                            </w:pPr>
                          </w:p>
                          <w:p w14:paraId="6CED5B14" w14:textId="77777777" w:rsidR="0012027B" w:rsidRPr="00114AE0" w:rsidRDefault="0012027B" w:rsidP="006C41CA">
                            <w:pPr>
                              <w:spacing w:after="0" w:line="240" w:lineRule="auto"/>
                              <w:jc w:val="both"/>
                              <w:rPr>
                                <w:rFonts w:cs="Arial"/>
                                <w:iCs/>
                                <w:lang w:val="es-ES"/>
                              </w:rPr>
                            </w:pPr>
                            <w:r w:rsidRPr="00114AE0">
                              <w:rPr>
                                <w:rFonts w:cs="Arial"/>
                                <w:iCs/>
                                <w:lang w:val="es-ES"/>
                              </w:rPr>
                              <w:t xml:space="preserve">La labor de los consejeros científicos respalda la aplicación de la mayoría de las metas del Plan Estratégico de Samarcanda para las Especies Migratorias, en particular la Meta 5.3. </w:t>
                            </w:r>
                          </w:p>
                          <w:p w14:paraId="6B73B4DE" w14:textId="77777777" w:rsidR="0012027B" w:rsidRDefault="0012027B" w:rsidP="0012027B">
                            <w:pPr>
                              <w:spacing w:after="0" w:line="240" w:lineRule="auto"/>
                              <w:rPr>
                                <w:rFonts w:cs="Arial"/>
                                <w:lang w:val="es-ES"/>
                              </w:rPr>
                            </w:pPr>
                          </w:p>
                          <w:p w14:paraId="7C886488" w14:textId="130A0D6B" w:rsidR="006F6ED7" w:rsidRDefault="006F6ED7" w:rsidP="006F6ED7">
                            <w:pPr>
                              <w:spacing w:after="0" w:line="240" w:lineRule="auto"/>
                              <w:jc w:val="both"/>
                              <w:rPr>
                                <w:rFonts w:cs="Arial"/>
                                <w:lang w:val="es-ES"/>
                              </w:rPr>
                            </w:pPr>
                            <w:r w:rsidRPr="006F6ED7">
                              <w:rPr>
                                <w:rFonts w:cs="Arial"/>
                                <w:lang w:val="es-ES"/>
                              </w:rPr>
                              <w:t xml:space="preserve">Este documento fue revisado por el Consejo Científico en </w:t>
                            </w:r>
                            <w:r w:rsidR="00BB5867">
                              <w:rPr>
                                <w:rFonts w:cs="Arial"/>
                                <w:lang w:val="es-ES"/>
                              </w:rPr>
                              <w:t>la</w:t>
                            </w:r>
                            <w:r w:rsidRPr="006F6ED7">
                              <w:rPr>
                                <w:rFonts w:cs="Arial"/>
                                <w:lang w:val="es-ES"/>
                              </w:rPr>
                              <w:t xml:space="preserve"> 8.ª reunión de</w:t>
                            </w:r>
                            <w:r w:rsidR="000E3CD2">
                              <w:rPr>
                                <w:rFonts w:cs="Arial"/>
                                <w:lang w:val="es-ES"/>
                              </w:rPr>
                              <w:t xml:space="preserve"> su</w:t>
                            </w:r>
                            <w:r w:rsidRPr="006F6ED7">
                              <w:rPr>
                                <w:rFonts w:cs="Arial"/>
                                <w:lang w:val="es-ES"/>
                              </w:rPr>
                              <w:t xml:space="preserve"> Comité de</w:t>
                            </w:r>
                            <w:r w:rsidR="00BB5867">
                              <w:rPr>
                                <w:rFonts w:cs="Arial"/>
                                <w:lang w:val="es-ES"/>
                              </w:rPr>
                              <w:t>l Periodo de Sesiones</w:t>
                            </w:r>
                            <w:r w:rsidRPr="006F6ED7">
                              <w:rPr>
                                <w:rFonts w:cs="Arial"/>
                                <w:lang w:val="es-ES"/>
                              </w:rPr>
                              <w:t xml:space="preserve"> celebrada en diciembre de 2025.</w:t>
                            </w:r>
                          </w:p>
                          <w:p w14:paraId="6CBFF5EF" w14:textId="77777777" w:rsidR="00BB5867" w:rsidRDefault="00BB5867" w:rsidP="006F6ED7">
                            <w:pPr>
                              <w:spacing w:after="0" w:line="240" w:lineRule="auto"/>
                              <w:jc w:val="both"/>
                              <w:rPr>
                                <w:rFonts w:cs="Arial"/>
                                <w:lang w:val="es-ES"/>
                              </w:rPr>
                            </w:pPr>
                          </w:p>
                          <w:p w14:paraId="79C6DB57" w14:textId="4F6D09D4" w:rsidR="00462539" w:rsidRPr="0012027B" w:rsidRDefault="00462539" w:rsidP="006F6ED7">
                            <w:pPr>
                              <w:spacing w:after="0" w:line="240" w:lineRule="auto"/>
                              <w:jc w:val="both"/>
                              <w:rPr>
                                <w:rFonts w:cs="Arial"/>
                                <w:lang w:val="es-ES"/>
                              </w:rPr>
                            </w:pPr>
                            <w:r w:rsidRPr="00462539">
                              <w:rPr>
                                <w:rFonts w:cs="Arial"/>
                                <w:lang w:val="es-ES"/>
                              </w:rPr>
                              <w:t>La Secretaría preparó la segunda revisión del documento con el fin de añadir información (párrafo 20) sobre el resultado de las consultas entre los miembros del Consejo Científico para nombrar a un consejero adicional designado por la COP que se ocupe del tema de los mamíferos terrestres, y actualizar la lista de miembros suplentes del Comité de Sesión del Consejo Científico.</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7.4pt;margin-top:11.6pt;width:338.95pt;height:317.9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" strokeweight=".08811mm">
                <v:textbox>
                  <w:txbxContent>
                    <w:p w14:paraId="78EFDF6D" w14:textId="1DCE26E8" w:rsidR="002D5F2A" w:rsidRPr="006C41CA" w:rsidRDefault="002D5F2A" w:rsidP="006C41CA">
                      <w:pPr>
                        <w:spacing w:after="0" w:line="240" w:lineRule="auto"/>
                        <w:rPr>
                          <w:lang w:val="es-ES"/>
                        </w:rPr>
                      </w:pPr>
                      <w:r w:rsidRPr="006C41CA">
                        <w:rPr>
                          <w:rFonts w:eastAsia="Arial" w:cs="Arial"/>
                          <w:lang w:val="es-ES"/>
                        </w:rPr>
                        <w:t>Resumen:</w:t>
                      </w:r>
                    </w:p>
                    <w:p w14:paraId="255B4E63" w14:textId="77777777" w:rsidR="002D5F2A" w:rsidRPr="006C41CA" w:rsidRDefault="002D5F2A" w:rsidP="006C41CA">
                      <w:pPr>
                        <w:spacing w:after="0" w:line="240" w:lineRule="auto"/>
                        <w:rPr>
                          <w:rFonts w:cs="Arial"/>
                          <w:lang w:val="es-ES"/>
                        </w:rPr>
                      </w:pPr>
                    </w:p>
                    <w:p w14:paraId="50EE9DE9" w14:textId="77777777" w:rsidR="0012027B" w:rsidRPr="00114AE0" w:rsidRDefault="0012027B" w:rsidP="006C41CA">
                      <w:pPr>
                        <w:spacing w:after="0" w:line="240" w:lineRule="auto"/>
                        <w:jc w:val="both"/>
                        <w:rPr>
                          <w:rFonts w:cs="Arial"/>
                          <w:iCs/>
                          <w:lang w:val="es-ES"/>
                        </w:rPr>
                      </w:pPr>
                      <w:r w:rsidRPr="00114AE0">
                        <w:rPr>
                          <w:rFonts w:cs="Arial"/>
                          <w:iCs/>
                          <w:lang w:val="es-ES"/>
                        </w:rPr>
                        <w:t>El presente documento informa sobre los progresos realizados en la aplicación de la Decisión 14.5.</w:t>
                      </w:r>
                    </w:p>
                    <w:p w14:paraId="6D2CD7D2" w14:textId="77777777" w:rsidR="0012027B" w:rsidRPr="00114AE0" w:rsidRDefault="0012027B" w:rsidP="006C41CA">
                      <w:pPr>
                        <w:spacing w:after="0" w:line="240" w:lineRule="auto"/>
                        <w:jc w:val="both"/>
                        <w:rPr>
                          <w:rFonts w:cs="Arial"/>
                          <w:iCs/>
                          <w:lang w:val="es-ES"/>
                        </w:rPr>
                      </w:pPr>
                    </w:p>
                    <w:p w14:paraId="6C608DDF" w14:textId="77777777" w:rsidR="0012027B" w:rsidRPr="00114AE0" w:rsidRDefault="0012027B" w:rsidP="006C41CA">
                      <w:pPr>
                        <w:spacing w:after="0" w:line="240" w:lineRule="auto"/>
                        <w:jc w:val="both"/>
                        <w:rPr>
                          <w:rFonts w:cs="Arial"/>
                          <w:iCs/>
                          <w:lang w:val="es-ES"/>
                        </w:rPr>
                      </w:pPr>
                      <w:r w:rsidRPr="00114AE0">
                        <w:rPr>
                          <w:rFonts w:cs="Arial"/>
                          <w:iCs/>
                          <w:lang w:val="es-ES"/>
                        </w:rPr>
                        <w:t>Asimismo, proporciona información a las Partes sobre el nombramiento del presidente, el vicepresidente y los miembros del Consejo Científico y de su Comité del Período de Sesiones.</w:t>
                      </w:r>
                    </w:p>
                    <w:p w14:paraId="4F2F8425" w14:textId="77777777" w:rsidR="0012027B" w:rsidRPr="00114AE0" w:rsidRDefault="0012027B" w:rsidP="006C41CA">
                      <w:pPr>
                        <w:spacing w:after="0" w:line="240" w:lineRule="auto"/>
                        <w:jc w:val="both"/>
                        <w:rPr>
                          <w:rFonts w:cs="Arial"/>
                          <w:iCs/>
                          <w:lang w:val="es-ES"/>
                        </w:rPr>
                      </w:pPr>
                    </w:p>
                    <w:p w14:paraId="6CED5B14" w14:textId="77777777" w:rsidR="0012027B" w:rsidRPr="00114AE0" w:rsidRDefault="0012027B" w:rsidP="006C41CA">
                      <w:pPr>
                        <w:spacing w:after="0" w:line="240" w:lineRule="auto"/>
                        <w:jc w:val="both"/>
                        <w:rPr>
                          <w:rFonts w:cs="Arial"/>
                          <w:iCs/>
                          <w:lang w:val="es-ES"/>
                        </w:rPr>
                      </w:pPr>
                      <w:r w:rsidRPr="00114AE0">
                        <w:rPr>
                          <w:rFonts w:cs="Arial"/>
                          <w:iCs/>
                          <w:lang w:val="es-ES"/>
                        </w:rPr>
                        <w:t xml:space="preserve">La labor de los consejeros científicos respalda la aplicación de la mayoría de las metas del Plan Estratégico de Samarcanda para las Especies Migratorias, en particular la Meta 5.3. </w:t>
                      </w:r>
                    </w:p>
                    <w:p w14:paraId="6B73B4DE" w14:textId="77777777" w:rsidR="0012027B" w:rsidRDefault="0012027B" w:rsidP="0012027B">
                      <w:pPr>
                        <w:spacing w:after="0" w:line="240" w:lineRule="auto"/>
                        <w:rPr>
                          <w:rFonts w:cs="Arial"/>
                          <w:lang w:val="es-ES"/>
                        </w:rPr>
                      </w:pPr>
                    </w:p>
                    <w:p w14:paraId="7C886488" w14:textId="130A0D6B" w:rsidR="006F6ED7" w:rsidRDefault="006F6ED7" w:rsidP="006F6ED7">
                      <w:pPr>
                        <w:spacing w:after="0" w:line="240" w:lineRule="auto"/>
                        <w:jc w:val="both"/>
                        <w:rPr>
                          <w:rFonts w:cs="Arial"/>
                          <w:lang w:val="es-ES"/>
                        </w:rPr>
                      </w:pPr>
                      <w:r w:rsidRPr="006F6ED7">
                        <w:rPr>
                          <w:rFonts w:cs="Arial"/>
                          <w:lang w:val="es-ES"/>
                        </w:rPr>
                        <w:t xml:space="preserve">Este documento fue revisado por el Consejo Científico en </w:t>
                      </w:r>
                      <w:r w:rsidR="00BB5867">
                        <w:rPr>
                          <w:rFonts w:cs="Arial"/>
                          <w:lang w:val="es-ES"/>
                        </w:rPr>
                        <w:t>la</w:t>
                      </w:r>
                      <w:r w:rsidRPr="006F6ED7">
                        <w:rPr>
                          <w:rFonts w:cs="Arial"/>
                          <w:lang w:val="es-ES"/>
                        </w:rPr>
                        <w:t xml:space="preserve"> 8.ª reunión de</w:t>
                      </w:r>
                      <w:r w:rsidR="000E3CD2">
                        <w:rPr>
                          <w:rFonts w:cs="Arial"/>
                          <w:lang w:val="es-ES"/>
                        </w:rPr>
                        <w:t xml:space="preserve"> su</w:t>
                      </w:r>
                      <w:r w:rsidRPr="006F6ED7">
                        <w:rPr>
                          <w:rFonts w:cs="Arial"/>
                          <w:lang w:val="es-ES"/>
                        </w:rPr>
                        <w:t xml:space="preserve"> Comité de</w:t>
                      </w:r>
                      <w:r w:rsidR="00BB5867">
                        <w:rPr>
                          <w:rFonts w:cs="Arial"/>
                          <w:lang w:val="es-ES"/>
                        </w:rPr>
                        <w:t>l Periodo de Sesiones</w:t>
                      </w:r>
                      <w:r w:rsidRPr="006F6ED7">
                        <w:rPr>
                          <w:rFonts w:cs="Arial"/>
                          <w:lang w:val="es-ES"/>
                        </w:rPr>
                        <w:t xml:space="preserve"> celebrada en diciembre de 2025.</w:t>
                      </w:r>
                    </w:p>
                    <w:p w14:paraId="6CBFF5EF" w14:textId="77777777" w:rsidR="00BB5867" w:rsidRDefault="00BB5867" w:rsidP="006F6ED7">
                      <w:pPr>
                        <w:spacing w:after="0" w:line="240" w:lineRule="auto"/>
                        <w:jc w:val="both"/>
                        <w:rPr>
                          <w:rFonts w:cs="Arial"/>
                          <w:lang w:val="es-ES"/>
                        </w:rPr>
                      </w:pPr>
                    </w:p>
                    <w:p w14:paraId="79C6DB57" w14:textId="4F6D09D4" w:rsidR="00462539" w:rsidRPr="0012027B" w:rsidRDefault="00462539" w:rsidP="006F6ED7">
                      <w:pPr>
                        <w:spacing w:after="0" w:line="240" w:lineRule="auto"/>
                        <w:jc w:val="both"/>
                        <w:rPr>
                          <w:rFonts w:cs="Arial"/>
                          <w:lang w:val="es-ES"/>
                        </w:rPr>
                      </w:pPr>
                      <w:r w:rsidRPr="00462539">
                        <w:rPr>
                          <w:rFonts w:cs="Arial"/>
                          <w:lang w:val="es-ES"/>
                        </w:rPr>
                        <w:t>La Secretaría preparó la segunda revisión del documento con el fin de añadir información (párrafo 20) sobre el resultado de las consultas entre los miembros del Consejo Científico para nombrar a un consejero adicional designado por la COP que se ocupe del tema de los mamíferos terrestres, y actualizar la lista de miembros suplentes del Comité de Sesión del Consejo Científico.</w:t>
                      </w: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6CFDDFC2" w14:textId="77777777" w:rsidR="00081A7D" w:rsidRPr="008F2DF3" w:rsidRDefault="00081A7D" w:rsidP="00081A7D">
      <w:pPr>
        <w:suppressAutoHyphens/>
        <w:autoSpaceDN w:val="0"/>
        <w:spacing w:after="0" w:line="240" w:lineRule="auto"/>
        <w:jc w:val="center"/>
        <w:textAlignment w:val="baseline"/>
        <w:rPr>
          <w:rFonts w:eastAsia="Times New Roman" w:cs="Arial"/>
          <w:b/>
          <w:lang w:val="es-ES"/>
        </w:rPr>
      </w:pPr>
      <w:r w:rsidRPr="008F2DF3">
        <w:rPr>
          <w:rFonts w:cs="Arial"/>
          <w:b/>
          <w:lang w:val="es-ES"/>
        </w:rPr>
        <w:lastRenderedPageBreak/>
        <w:t>MIEMBROS DEL COMITÉ DEL PERÍODO DE SESIONES</w:t>
      </w:r>
    </w:p>
    <w:p w14:paraId="627E1108" w14:textId="77777777" w:rsidR="00081A7D" w:rsidRPr="008F2DF3" w:rsidRDefault="00081A7D" w:rsidP="00081A7D">
      <w:pPr>
        <w:suppressAutoHyphens/>
        <w:autoSpaceDN w:val="0"/>
        <w:spacing w:after="0" w:line="240" w:lineRule="auto"/>
        <w:jc w:val="both"/>
        <w:textAlignment w:val="baseline"/>
        <w:rPr>
          <w:rFonts w:eastAsia="Calibri" w:cs="Arial"/>
          <w:u w:val="single"/>
          <w:lang w:val="es-ES"/>
        </w:rPr>
      </w:pPr>
    </w:p>
    <w:p w14:paraId="19604DFB" w14:textId="77777777" w:rsidR="00081A7D" w:rsidRPr="008F2DF3" w:rsidRDefault="00081A7D" w:rsidP="00081A7D">
      <w:pPr>
        <w:pStyle w:val="ListParagraph"/>
        <w:spacing w:after="0" w:line="240" w:lineRule="auto"/>
        <w:ind w:left="0"/>
        <w:contextualSpacing w:val="0"/>
        <w:rPr>
          <w:rFonts w:cs="Arial"/>
          <w:color w:val="000000" w:themeColor="text1"/>
          <w:lang w:val="es-ES"/>
        </w:rPr>
      </w:pPr>
    </w:p>
    <w:p w14:paraId="1E9C4325" w14:textId="77777777" w:rsidR="00081A7D" w:rsidRPr="008F2DF3" w:rsidRDefault="00081A7D" w:rsidP="00081A7D">
      <w:pPr>
        <w:spacing w:after="0" w:line="240" w:lineRule="auto"/>
        <w:ind w:left="284" w:hanging="284"/>
        <w:jc w:val="both"/>
        <w:rPr>
          <w:i/>
          <w:iCs/>
          <w:lang w:val="es-ES"/>
        </w:rPr>
      </w:pPr>
      <w:r w:rsidRPr="008F2DF3">
        <w:rPr>
          <w:rFonts w:eastAsia="Calibri" w:cs="Arial"/>
          <w:u w:val="single"/>
          <w:lang w:val="es-ES"/>
        </w:rPr>
        <w:t>Antecedentes</w:t>
      </w:r>
      <w:r w:rsidRPr="008F2DF3">
        <w:rPr>
          <w:i/>
          <w:iCs/>
          <w:lang w:val="es-ES"/>
        </w:rPr>
        <w:t xml:space="preserve"> </w:t>
      </w:r>
    </w:p>
    <w:p w14:paraId="6BC89551" w14:textId="77777777" w:rsidR="00081A7D" w:rsidRPr="008F2DF3" w:rsidRDefault="00081A7D" w:rsidP="00081A7D">
      <w:pPr>
        <w:spacing w:after="0" w:line="240" w:lineRule="auto"/>
        <w:jc w:val="both"/>
        <w:rPr>
          <w:i/>
          <w:iCs/>
          <w:lang w:val="es-ES"/>
        </w:rPr>
      </w:pPr>
    </w:p>
    <w:p w14:paraId="09152B15" w14:textId="77777777" w:rsidR="00081A7D" w:rsidRPr="008F2DF3" w:rsidRDefault="00081A7D" w:rsidP="00081A7D">
      <w:pPr>
        <w:spacing w:after="0" w:line="240" w:lineRule="auto"/>
        <w:ind w:left="284" w:hanging="284"/>
        <w:jc w:val="both"/>
        <w:rPr>
          <w:rFonts w:cs="Arial"/>
          <w:color w:val="000000" w:themeColor="text1"/>
          <w:lang w:val="es-ES"/>
        </w:rPr>
      </w:pPr>
      <w:r w:rsidRPr="008F2DF3">
        <w:rPr>
          <w:i/>
          <w:iCs/>
          <w:lang w:val="es-ES"/>
        </w:rPr>
        <w:t>Áreas temáticas de los consejeros designados por la COP</w:t>
      </w:r>
    </w:p>
    <w:p w14:paraId="0C22726A" w14:textId="77777777" w:rsidR="00081A7D" w:rsidRPr="008F2DF3" w:rsidRDefault="00081A7D" w:rsidP="00081A7D">
      <w:pPr>
        <w:spacing w:after="0" w:line="240" w:lineRule="auto"/>
        <w:ind w:left="284" w:hanging="284"/>
        <w:jc w:val="both"/>
        <w:rPr>
          <w:rFonts w:cs="Arial"/>
          <w:color w:val="000000" w:themeColor="text1"/>
          <w:lang w:val="es-ES"/>
        </w:rPr>
      </w:pPr>
    </w:p>
    <w:p w14:paraId="208BFF50" w14:textId="77777777" w:rsidR="00081A7D" w:rsidRPr="008F2DF3" w:rsidRDefault="00081A7D" w:rsidP="00081A7D">
      <w:pPr>
        <w:pStyle w:val="ListParagraph"/>
        <w:numPr>
          <w:ilvl w:val="0"/>
          <w:numId w:val="14"/>
        </w:numPr>
        <w:spacing w:after="0" w:line="240" w:lineRule="auto"/>
        <w:ind w:left="567" w:hanging="567"/>
        <w:contextualSpacing w:val="0"/>
        <w:jc w:val="both"/>
        <w:rPr>
          <w:rFonts w:cs="Arial"/>
          <w:color w:val="000000" w:themeColor="text1"/>
          <w:lang w:val="es-ES"/>
        </w:rPr>
      </w:pPr>
      <w:r w:rsidRPr="008F2DF3">
        <w:rPr>
          <w:rFonts w:cs="Arial"/>
          <w:color w:val="000000" w:themeColor="text1"/>
          <w:lang w:val="es-ES"/>
        </w:rPr>
        <w:t>La COP14 adoptó la siguiente Decisión:</w:t>
      </w:r>
    </w:p>
    <w:p w14:paraId="35CE5962" w14:textId="77777777" w:rsidR="00081A7D" w:rsidRPr="008F2DF3" w:rsidRDefault="00081A7D" w:rsidP="00081A7D">
      <w:pPr>
        <w:pStyle w:val="ListParagraph"/>
        <w:spacing w:after="0" w:line="240" w:lineRule="auto"/>
        <w:ind w:left="284"/>
        <w:contextualSpacing w:val="0"/>
        <w:jc w:val="both"/>
        <w:rPr>
          <w:rFonts w:cs="Arial"/>
          <w:color w:val="000000" w:themeColor="text1"/>
          <w:lang w:val="es-ES"/>
        </w:rPr>
      </w:pPr>
    </w:p>
    <w:p w14:paraId="4847DCB8" w14:textId="472757C0" w:rsidR="00081A7D" w:rsidRPr="00946498" w:rsidRDefault="00081A7D" w:rsidP="00946498">
      <w:pPr>
        <w:pStyle w:val="ListParagraph"/>
        <w:spacing w:after="0" w:line="240" w:lineRule="auto"/>
        <w:contextualSpacing w:val="0"/>
        <w:jc w:val="both"/>
        <w:rPr>
          <w:rFonts w:cs="Arial"/>
          <w:b/>
          <w:i/>
          <w:color w:val="000000" w:themeColor="text1"/>
          <w:sz w:val="20"/>
          <w:szCs w:val="20"/>
          <w:lang w:val="es-ES"/>
        </w:rPr>
      </w:pPr>
      <w:r w:rsidRPr="00946498">
        <w:rPr>
          <w:rFonts w:cs="Arial"/>
          <w:b/>
          <w:bCs/>
          <w:i/>
          <w:iCs/>
          <w:color w:val="000000" w:themeColor="text1"/>
          <w:sz w:val="20"/>
          <w:szCs w:val="20"/>
          <w:lang w:val="es-ES"/>
        </w:rPr>
        <w:t xml:space="preserve">14.5 </w:t>
      </w:r>
      <w:r w:rsidR="001A5003" w:rsidRPr="00946498">
        <w:rPr>
          <w:rFonts w:cs="Arial"/>
          <w:b/>
          <w:bCs/>
          <w:i/>
          <w:iCs/>
          <w:color w:val="000000" w:themeColor="text1"/>
          <w:sz w:val="20"/>
          <w:szCs w:val="20"/>
          <w:lang w:val="es-ES"/>
        </w:rPr>
        <w:t>dirigid</w:t>
      </w:r>
      <w:r w:rsidR="009577D8" w:rsidRPr="00946498">
        <w:rPr>
          <w:rFonts w:cs="Arial"/>
          <w:b/>
          <w:bCs/>
          <w:i/>
          <w:iCs/>
          <w:color w:val="000000" w:themeColor="text1"/>
          <w:sz w:val="20"/>
          <w:szCs w:val="20"/>
          <w:lang w:val="es-ES"/>
        </w:rPr>
        <w:t>a</w:t>
      </w:r>
      <w:r w:rsidR="001A5003" w:rsidRPr="00946498">
        <w:rPr>
          <w:rFonts w:cs="Arial"/>
          <w:b/>
          <w:bCs/>
          <w:i/>
          <w:iCs/>
          <w:color w:val="000000" w:themeColor="text1"/>
          <w:sz w:val="20"/>
          <w:szCs w:val="20"/>
          <w:lang w:val="es-ES"/>
        </w:rPr>
        <w:t xml:space="preserve"> al Consejo Científico</w:t>
      </w:r>
    </w:p>
    <w:p w14:paraId="07EB49B3" w14:textId="77777777" w:rsidR="00081A7D" w:rsidRPr="00946498" w:rsidRDefault="00081A7D" w:rsidP="00946498">
      <w:pPr>
        <w:spacing w:after="0" w:line="240" w:lineRule="auto"/>
        <w:ind w:left="720"/>
        <w:jc w:val="both"/>
        <w:rPr>
          <w:rFonts w:cs="Arial"/>
          <w:b/>
          <w:i/>
          <w:color w:val="000000" w:themeColor="text1"/>
          <w:sz w:val="20"/>
          <w:szCs w:val="20"/>
          <w:lang w:val="es-ES"/>
        </w:rPr>
      </w:pPr>
    </w:p>
    <w:p w14:paraId="68771D1C" w14:textId="691D13BF" w:rsidR="00081A7D" w:rsidRPr="00946498" w:rsidRDefault="00946498" w:rsidP="00946498">
      <w:pPr>
        <w:spacing w:after="0" w:line="240" w:lineRule="auto"/>
        <w:ind w:left="720"/>
        <w:jc w:val="both"/>
        <w:rPr>
          <w:rFonts w:cs="Arial"/>
          <w:i/>
          <w:iCs/>
          <w:color w:val="000000" w:themeColor="text1"/>
          <w:sz w:val="20"/>
          <w:szCs w:val="20"/>
          <w:lang w:val="es-ES"/>
        </w:rPr>
      </w:pPr>
      <w:r w:rsidRPr="00946498">
        <w:rPr>
          <w:rFonts w:cs="Arial"/>
          <w:i/>
          <w:iCs/>
          <w:color w:val="000000" w:themeColor="text1"/>
          <w:sz w:val="20"/>
          <w:szCs w:val="20"/>
          <w:lang w:val="es-ES"/>
        </w:rPr>
        <w:t>Se solicita al Consejo Científico, con el apoyo de la Secretaría, que revise los ámbitos existentes de los Consejeros designados por la COP y proponga a la COP15 cualquier cambio para el período posterior entre la COP15 y la COP17, según corresponda.</w:t>
      </w:r>
    </w:p>
    <w:p w14:paraId="3CA4A725" w14:textId="77777777" w:rsidR="00081A7D" w:rsidRPr="00946498" w:rsidRDefault="00081A7D" w:rsidP="00081A7D">
      <w:pPr>
        <w:spacing w:after="0" w:line="240" w:lineRule="auto"/>
        <w:ind w:left="284"/>
        <w:rPr>
          <w:rFonts w:cs="Arial"/>
          <w:color w:val="000000" w:themeColor="text1"/>
          <w:lang w:val="es-ES"/>
        </w:rPr>
      </w:pPr>
    </w:p>
    <w:p w14:paraId="13AD0678" w14:textId="4B251637" w:rsidR="00081A7D" w:rsidRPr="008F2DF3" w:rsidRDefault="00081A7D" w:rsidP="00081A7D">
      <w:pPr>
        <w:pStyle w:val="ListParagraph"/>
        <w:numPr>
          <w:ilvl w:val="0"/>
          <w:numId w:val="14"/>
        </w:numPr>
        <w:spacing w:after="0" w:line="240" w:lineRule="auto"/>
        <w:ind w:left="567" w:hanging="567"/>
        <w:contextualSpacing w:val="0"/>
        <w:jc w:val="both"/>
        <w:rPr>
          <w:rFonts w:cs="Arial"/>
          <w:color w:val="000000" w:themeColor="text1"/>
          <w:lang w:val="es-ES"/>
        </w:rPr>
      </w:pPr>
      <w:r w:rsidRPr="008F2DF3">
        <w:rPr>
          <w:rFonts w:cs="Arial"/>
          <w:color w:val="000000" w:themeColor="text1"/>
          <w:lang w:val="es-ES"/>
        </w:rPr>
        <w:t xml:space="preserve">Las áreas temáticas de los consejeros designados por la COP fueron modificadas de forma significativa en cada Conferencia de las Partes desde la COP1 hasta la COP6, en 1999, tras lo cual dichas áreas permanecieron bastante estables, con solo modificaciones menores en cada COP. Entre la COP6 y la COP10 se identificaron cuatro nuevas áreas temáticas: fauna africana, peces y captura incidental en la COP8 (2005), y cambio climático en la COP10 (2011). (Una panorámica general de todas las áreas temáticas desde la COP1 figura en el párrafo 3 del Anexo 2 del documento </w:t>
      </w:r>
      <w:hyperlink r:id="rId12" w:history="1">
        <w:r w:rsidR="009F1F93" w:rsidRPr="009F1F93">
          <w:rPr>
            <w:rStyle w:val="Hyperlink"/>
            <w:rFonts w:cs="Arial"/>
            <w:lang w:val="es-ES"/>
          </w:rPr>
          <w:t>UNEP/CMS/COP13/Doc.15.1</w:t>
        </w:r>
      </w:hyperlink>
      <w:r w:rsidRPr="008F2DF3">
        <w:rPr>
          <w:rFonts w:cs="Arial"/>
          <w:color w:val="000000" w:themeColor="text1"/>
          <w:lang w:val="es-ES"/>
        </w:rPr>
        <w:t>).</w:t>
      </w:r>
    </w:p>
    <w:p w14:paraId="6FDDDCC4" w14:textId="77777777" w:rsidR="00081A7D" w:rsidRPr="008F2DF3" w:rsidRDefault="00081A7D" w:rsidP="00081A7D">
      <w:pPr>
        <w:spacing w:after="0" w:line="240" w:lineRule="auto"/>
        <w:ind w:left="567" w:hanging="567"/>
        <w:jc w:val="both"/>
        <w:rPr>
          <w:rFonts w:cs="Arial"/>
          <w:color w:val="000000" w:themeColor="text1"/>
          <w:lang w:val="es-ES"/>
        </w:rPr>
      </w:pPr>
    </w:p>
    <w:p w14:paraId="2D6B4DBB" w14:textId="77777777" w:rsidR="00081A7D" w:rsidRPr="008F2DF3" w:rsidRDefault="00081A7D" w:rsidP="00081A7D">
      <w:pPr>
        <w:pStyle w:val="ListParagraph"/>
        <w:numPr>
          <w:ilvl w:val="0"/>
          <w:numId w:val="14"/>
        </w:numPr>
        <w:spacing w:after="0" w:line="240" w:lineRule="auto"/>
        <w:ind w:left="567" w:hanging="567"/>
        <w:contextualSpacing w:val="0"/>
        <w:jc w:val="both"/>
        <w:rPr>
          <w:rFonts w:cs="Arial"/>
          <w:color w:val="000000" w:themeColor="text1"/>
          <w:lang w:val="es-ES"/>
        </w:rPr>
      </w:pPr>
      <w:r w:rsidRPr="008F2DF3">
        <w:rPr>
          <w:rFonts w:cs="Arial"/>
          <w:color w:val="000000" w:themeColor="text1"/>
          <w:lang w:val="es-ES"/>
        </w:rPr>
        <w:t>El Comité del Período de Sesiones del Consejo Científico, en su 3.a reunión (ScC-SC3, 2018), decidió emprender una revisión de las áreas de especialización de los consejeros designados por la COP y estableció un grupo de trabajo entre períodos de sesiones, que informó a la ScC-SC4 (2019). El ScC-SC presentó sus recomendaciones a la COP13 en 2020. Sobre esa base, la COP13 decidió las siguientes áreas temáticas para los consejeros designados por la COP: mamíferos acuáticos, aves, captura incidental, cambio climático, conectividad/redes, peces, especies invasoras (incluidas enfermedades, animales asilvestrados, insectos, plagas y malezas marinas), contaminación marina y mamíferos terrestres. La responsabilidad de las áreas temáticas de aves, mamíferos terrestres y peces ha sido compartida por dos consejeros desde la COP13.</w:t>
      </w:r>
    </w:p>
    <w:p w14:paraId="0891C299" w14:textId="77777777" w:rsidR="00081A7D" w:rsidRPr="008F2DF3" w:rsidRDefault="00081A7D" w:rsidP="00081A7D">
      <w:pPr>
        <w:spacing w:after="0" w:line="240" w:lineRule="auto"/>
        <w:rPr>
          <w:rFonts w:cs="Arial"/>
          <w:color w:val="000000" w:themeColor="text1"/>
          <w:sz w:val="20"/>
          <w:szCs w:val="20"/>
          <w:lang w:val="es-ES"/>
        </w:rPr>
      </w:pPr>
    </w:p>
    <w:p w14:paraId="5AE31BE1" w14:textId="77777777" w:rsidR="00081A7D" w:rsidRPr="008F2DF3" w:rsidRDefault="00081A7D" w:rsidP="00081A7D">
      <w:pPr>
        <w:spacing w:after="0" w:line="240" w:lineRule="auto"/>
        <w:jc w:val="both"/>
        <w:rPr>
          <w:rFonts w:cs="Arial"/>
          <w:i/>
          <w:lang w:val="es-ES"/>
        </w:rPr>
      </w:pPr>
      <w:r w:rsidRPr="008F2DF3">
        <w:rPr>
          <w:rFonts w:cs="Arial"/>
          <w:i/>
          <w:lang w:val="es-ES"/>
        </w:rPr>
        <w:t>Composición del Consejo Científico y su Comité del Período de Sesiones</w:t>
      </w:r>
    </w:p>
    <w:p w14:paraId="55B17EB3" w14:textId="77777777" w:rsidR="00081A7D" w:rsidRPr="008F2DF3" w:rsidRDefault="00081A7D" w:rsidP="00081A7D">
      <w:pPr>
        <w:spacing w:after="0" w:line="240" w:lineRule="auto"/>
        <w:jc w:val="both"/>
        <w:rPr>
          <w:rFonts w:cs="Arial"/>
          <w:i/>
          <w:sz w:val="20"/>
          <w:szCs w:val="20"/>
          <w:lang w:val="es-ES"/>
        </w:rPr>
      </w:pPr>
    </w:p>
    <w:p w14:paraId="15566B74" w14:textId="6E8CD0B3" w:rsidR="00081A7D" w:rsidRPr="0058155E" w:rsidRDefault="00245FAF" w:rsidP="00081A7D">
      <w:pPr>
        <w:widowControl w:val="0"/>
        <w:numPr>
          <w:ilvl w:val="0"/>
          <w:numId w:val="14"/>
        </w:numPr>
        <w:autoSpaceDE w:val="0"/>
        <w:autoSpaceDN w:val="0"/>
        <w:adjustRightInd w:val="0"/>
        <w:spacing w:after="0" w:line="240" w:lineRule="auto"/>
        <w:ind w:left="567" w:hanging="567"/>
        <w:jc w:val="both"/>
        <w:rPr>
          <w:rFonts w:cs="Arial"/>
          <w:lang w:val="es-ES"/>
        </w:rPr>
      </w:pPr>
      <w:r w:rsidRPr="00245FAF">
        <w:rPr>
          <w:rFonts w:cs="Arial"/>
          <w:color w:val="000000"/>
          <w:lang w:val="es-ES" w:eastAsia="es-ES"/>
        </w:rPr>
        <w:t>Cualquier Parte puede nombrar un experto calificado como miembro del Consejo Científico</w:t>
      </w:r>
      <w:r w:rsidR="00081A7D" w:rsidRPr="00790C3C">
        <w:rPr>
          <w:rFonts w:cs="Arial"/>
          <w:color w:val="000000"/>
          <w:lang w:val="es-ES" w:eastAsia="es-ES"/>
        </w:rPr>
        <w:t xml:space="preserve"> (Art. </w:t>
      </w:r>
      <w:r w:rsidR="00081A7D" w:rsidRPr="00DC48AA">
        <w:rPr>
          <w:rFonts w:cs="Arial"/>
          <w:color w:val="000000"/>
          <w:lang w:val="es-ES" w:eastAsia="es-ES"/>
        </w:rPr>
        <w:t xml:space="preserve">VIII, para. </w:t>
      </w:r>
      <w:r w:rsidR="00081A7D" w:rsidRPr="0058155E">
        <w:rPr>
          <w:rFonts w:cs="Arial"/>
          <w:color w:val="000000"/>
          <w:lang w:val="es-ES" w:eastAsia="es-ES"/>
        </w:rPr>
        <w:t xml:space="preserve">2 </w:t>
      </w:r>
      <w:r w:rsidRPr="0058155E">
        <w:rPr>
          <w:rFonts w:cs="Arial"/>
          <w:color w:val="000000"/>
          <w:lang w:val="es-ES" w:eastAsia="es-ES"/>
        </w:rPr>
        <w:t>de la Convención</w:t>
      </w:r>
      <w:r w:rsidR="00081A7D" w:rsidRPr="0058155E">
        <w:rPr>
          <w:rFonts w:cs="Arial"/>
          <w:color w:val="000000"/>
          <w:lang w:val="es-ES" w:eastAsia="es-ES"/>
        </w:rPr>
        <w:t xml:space="preserve">). </w:t>
      </w:r>
      <w:r w:rsidR="0058155E" w:rsidRPr="0058155E">
        <w:rPr>
          <w:rFonts w:cs="Arial"/>
          <w:color w:val="000000"/>
          <w:lang w:val="es-ES" w:eastAsia="es-ES"/>
        </w:rPr>
        <w:t>Estos Consejeros designados por la Parte son nombrados por un período ilimitado, hasta que renuncien o sean reemplazados por el Parte que les nombró.</w:t>
      </w:r>
    </w:p>
    <w:p w14:paraId="2F64ED20" w14:textId="77777777" w:rsidR="00081A7D" w:rsidRPr="0058155E" w:rsidRDefault="00081A7D" w:rsidP="00081A7D">
      <w:pPr>
        <w:widowControl w:val="0"/>
        <w:autoSpaceDE w:val="0"/>
        <w:autoSpaceDN w:val="0"/>
        <w:adjustRightInd w:val="0"/>
        <w:spacing w:after="0" w:line="240" w:lineRule="auto"/>
        <w:ind w:left="567"/>
        <w:jc w:val="both"/>
        <w:rPr>
          <w:rFonts w:cs="Arial"/>
          <w:sz w:val="20"/>
          <w:szCs w:val="20"/>
          <w:lang w:val="es-ES"/>
        </w:rPr>
      </w:pPr>
    </w:p>
    <w:p w14:paraId="4DE9B001" w14:textId="15212831" w:rsidR="00081A7D" w:rsidRPr="007675EC" w:rsidRDefault="00081A7D" w:rsidP="00081A7D">
      <w:pPr>
        <w:pStyle w:val="ListParagraph"/>
        <w:numPr>
          <w:ilvl w:val="0"/>
          <w:numId w:val="14"/>
        </w:numPr>
        <w:spacing w:after="0" w:line="240" w:lineRule="auto"/>
        <w:ind w:left="567" w:hanging="567"/>
        <w:contextualSpacing w:val="0"/>
        <w:jc w:val="both"/>
        <w:rPr>
          <w:rFonts w:cs="Arial"/>
          <w:lang w:val="es-ES"/>
        </w:rPr>
      </w:pPr>
      <w:r w:rsidRPr="002E7B6D">
        <w:rPr>
          <w:rFonts w:cs="Arial"/>
          <w:lang w:val="es-ES"/>
        </w:rPr>
        <w:t>El párrafo 2 del artículo VIII de la Convención establece que…</w:t>
      </w:r>
      <w:r w:rsidR="002E7B6D" w:rsidRPr="002E7B6D">
        <w:rPr>
          <w:lang w:val="es-ES"/>
        </w:rPr>
        <w:t xml:space="preserve"> </w:t>
      </w:r>
      <w:r w:rsidR="002E7B6D" w:rsidRPr="002150E0">
        <w:rPr>
          <w:rFonts w:cs="Arial"/>
          <w:lang w:val="es-ES"/>
        </w:rPr>
        <w:t>El Consejo Científico comprende además expertos calificados escogidos y nombrados como miembros por la Conferencia de las Partes.</w:t>
      </w:r>
      <w:r w:rsidRPr="002150E0">
        <w:rPr>
          <w:rFonts w:cs="Arial"/>
          <w:lang w:val="es-ES"/>
        </w:rPr>
        <w:t xml:space="preserve">; </w:t>
      </w:r>
      <w:r w:rsidR="002150E0" w:rsidRPr="002150E0">
        <w:rPr>
          <w:rFonts w:cs="Arial"/>
          <w:lang w:val="es-ES"/>
        </w:rPr>
        <w:t>El número de estos expertos, los criterios para su selección, y la duración de su mandato serán determinados por la Conferencia de las Partes</w:t>
      </w:r>
      <w:r w:rsidRPr="002150E0">
        <w:rPr>
          <w:rFonts w:cs="Arial"/>
          <w:lang w:val="es-ES"/>
        </w:rPr>
        <w:t xml:space="preserve">”. </w:t>
      </w:r>
      <w:r w:rsidR="007675EC" w:rsidRPr="007675EC">
        <w:rPr>
          <w:rFonts w:cs="Arial"/>
          <w:lang w:val="es-ES"/>
        </w:rPr>
        <w:t xml:space="preserve">Estos expertos son llamados “Consejeros nominados </w:t>
      </w:r>
      <w:r w:rsidR="007675EC">
        <w:rPr>
          <w:rFonts w:cs="Arial"/>
          <w:lang w:val="es-ES"/>
        </w:rPr>
        <w:t>por la COP”</w:t>
      </w:r>
      <w:r w:rsidRPr="007675EC">
        <w:rPr>
          <w:rFonts w:cs="Arial"/>
          <w:lang w:val="es-ES"/>
        </w:rPr>
        <w:t xml:space="preserve">. </w:t>
      </w:r>
    </w:p>
    <w:p w14:paraId="1911E5DD" w14:textId="77777777" w:rsidR="00081A7D" w:rsidRPr="007675EC" w:rsidRDefault="00081A7D" w:rsidP="00081A7D">
      <w:pPr>
        <w:pStyle w:val="ListParagraph"/>
        <w:spacing w:after="0" w:line="240" w:lineRule="auto"/>
        <w:ind w:left="284" w:hanging="284"/>
        <w:contextualSpacing w:val="0"/>
        <w:rPr>
          <w:rFonts w:cs="Arial"/>
          <w:sz w:val="20"/>
          <w:szCs w:val="20"/>
          <w:lang w:val="es-ES"/>
        </w:rPr>
      </w:pPr>
    </w:p>
    <w:p w14:paraId="5EAC1E68" w14:textId="2F66444D" w:rsidR="00081A7D" w:rsidRPr="009F35E8" w:rsidRDefault="00D94FC4" w:rsidP="00081A7D">
      <w:pPr>
        <w:widowControl w:val="0"/>
        <w:numPr>
          <w:ilvl w:val="0"/>
          <w:numId w:val="14"/>
        </w:numPr>
        <w:autoSpaceDE w:val="0"/>
        <w:autoSpaceDN w:val="0"/>
        <w:adjustRightInd w:val="0"/>
        <w:spacing w:after="0" w:line="240" w:lineRule="auto"/>
        <w:ind w:left="567" w:hanging="567"/>
        <w:jc w:val="both"/>
        <w:rPr>
          <w:rFonts w:cs="Arial"/>
          <w:lang w:val="es-ES"/>
        </w:rPr>
      </w:pPr>
      <w:r w:rsidRPr="009F35E8">
        <w:rPr>
          <w:rFonts w:cs="Arial"/>
          <w:color w:val="000000"/>
          <w:lang w:val="es-ES" w:eastAsia="es-ES"/>
        </w:rPr>
        <w:t xml:space="preserve">Los consejeros designados por la COP son nombrados en cada reunión de la Conferencia de las Partes (artículo VIII, párrafo 2, de la Convención) para el trienio siguiente. Su nombramiento puede renovarse; sin embargo, la renovación no es automática y debe ser confirmada por cada reunión de la COP. </w:t>
      </w:r>
      <w:r w:rsidR="00081A7D" w:rsidRPr="009F35E8">
        <w:rPr>
          <w:rFonts w:cs="Arial"/>
          <w:color w:val="000000"/>
          <w:lang w:val="es-ES" w:eastAsia="es-ES"/>
        </w:rPr>
        <w:t xml:space="preserve"> </w:t>
      </w:r>
    </w:p>
    <w:p w14:paraId="0C1774CB" w14:textId="77777777" w:rsidR="00081A7D" w:rsidRDefault="00081A7D" w:rsidP="00081A7D">
      <w:pPr>
        <w:pStyle w:val="ListParagraph"/>
        <w:spacing w:after="0"/>
        <w:ind w:left="0"/>
        <w:rPr>
          <w:rFonts w:cs="Arial"/>
          <w:sz w:val="20"/>
          <w:szCs w:val="20"/>
          <w:lang w:val="es-ES"/>
        </w:rPr>
      </w:pPr>
    </w:p>
    <w:p w14:paraId="5494BC56" w14:textId="77777777" w:rsidR="007675EC" w:rsidRDefault="007675EC" w:rsidP="00081A7D">
      <w:pPr>
        <w:pStyle w:val="ListParagraph"/>
        <w:spacing w:after="0"/>
        <w:ind w:left="0"/>
        <w:rPr>
          <w:rFonts w:cs="Arial"/>
          <w:sz w:val="20"/>
          <w:szCs w:val="20"/>
          <w:lang w:val="es-ES"/>
        </w:rPr>
      </w:pPr>
    </w:p>
    <w:p w14:paraId="405BE431" w14:textId="77777777" w:rsidR="007675EC" w:rsidRPr="00D94FC4" w:rsidRDefault="007675EC" w:rsidP="00081A7D">
      <w:pPr>
        <w:pStyle w:val="ListParagraph"/>
        <w:spacing w:after="0"/>
        <w:ind w:left="0"/>
        <w:rPr>
          <w:rFonts w:cs="Arial"/>
          <w:sz w:val="20"/>
          <w:szCs w:val="20"/>
          <w:lang w:val="es-ES"/>
        </w:rPr>
      </w:pPr>
    </w:p>
    <w:p w14:paraId="7AE850A1" w14:textId="05CD2BE7" w:rsidR="00081A7D" w:rsidRPr="009F35E8" w:rsidRDefault="00081A7D" w:rsidP="00081A7D">
      <w:pPr>
        <w:widowControl w:val="0"/>
        <w:numPr>
          <w:ilvl w:val="0"/>
          <w:numId w:val="14"/>
        </w:numPr>
        <w:autoSpaceDE w:val="0"/>
        <w:autoSpaceDN w:val="0"/>
        <w:adjustRightInd w:val="0"/>
        <w:spacing w:after="0" w:line="240" w:lineRule="auto"/>
        <w:ind w:left="567" w:hanging="567"/>
        <w:jc w:val="both"/>
        <w:rPr>
          <w:rFonts w:cs="Arial"/>
          <w:lang w:val="es-ES"/>
        </w:rPr>
      </w:pPr>
      <w:r w:rsidRPr="008F2DF3">
        <w:rPr>
          <w:rFonts w:cs="Arial"/>
          <w:lang w:val="es-ES"/>
        </w:rPr>
        <w:lastRenderedPageBreak/>
        <w:t>«</w:t>
      </w:r>
      <w:hyperlink r:id="rId13" w:history="1">
        <w:r w:rsidRPr="007E47AF">
          <w:rPr>
            <w:rStyle w:val="Hyperlink"/>
            <w:rFonts w:cs="Arial"/>
            <w:lang w:val="es-ES"/>
          </w:rPr>
          <w:t>La Resolución 12.4 (Rev. COP14)</w:t>
        </w:r>
      </w:hyperlink>
      <w:r w:rsidRPr="008F2DF3">
        <w:rPr>
          <w:rFonts w:cs="Arial"/>
          <w:lang w:val="es-ES"/>
        </w:rPr>
        <w:t xml:space="preserve"> estableció la estructura y composición de un Período de Sesiones del Consejo Científico, con el fin de hacer más eficaz la labor de dicho Consejo. </w:t>
      </w:r>
      <w:r w:rsidRPr="008F2DF3">
        <w:rPr>
          <w:rFonts w:cs="Arial"/>
          <w:color w:val="000000" w:themeColor="text1"/>
          <w:lang w:val="es-ES" w:eastAsia="es-ES"/>
        </w:rPr>
        <w:t>El Comité está compuesto por consejeros designados por la COP y consejeros designados por las Partes (representantes regionales) seleccionados por regiones, nombrados en cada reunión ordinaria de la COP sobre la base de una recomendación de la Secretaría y en consulta con el Comité Permanente.</w:t>
      </w:r>
    </w:p>
    <w:p w14:paraId="015C3CE6" w14:textId="77777777" w:rsidR="009F35E8" w:rsidRPr="008F2DF3" w:rsidRDefault="009F35E8" w:rsidP="009F35E8">
      <w:pPr>
        <w:widowControl w:val="0"/>
        <w:autoSpaceDE w:val="0"/>
        <w:autoSpaceDN w:val="0"/>
        <w:adjustRightInd w:val="0"/>
        <w:spacing w:after="0" w:line="240" w:lineRule="auto"/>
        <w:jc w:val="both"/>
        <w:rPr>
          <w:rFonts w:cs="Arial"/>
          <w:lang w:val="es-ES"/>
        </w:rPr>
      </w:pPr>
    </w:p>
    <w:p w14:paraId="2F957422" w14:textId="08B5D822" w:rsidR="00081A7D" w:rsidRPr="00B27FF2" w:rsidRDefault="008E57EA" w:rsidP="00557DF8">
      <w:pPr>
        <w:widowControl w:val="0"/>
        <w:numPr>
          <w:ilvl w:val="0"/>
          <w:numId w:val="14"/>
        </w:numPr>
        <w:autoSpaceDE w:val="0"/>
        <w:autoSpaceDN w:val="0"/>
        <w:adjustRightInd w:val="0"/>
        <w:spacing w:after="0" w:line="240" w:lineRule="auto"/>
        <w:ind w:left="540" w:hanging="540"/>
        <w:jc w:val="both"/>
        <w:rPr>
          <w:rFonts w:cs="Arial"/>
          <w:lang w:val="es-ES"/>
        </w:rPr>
      </w:pPr>
      <w:r w:rsidRPr="008E57EA">
        <w:rPr>
          <w:rFonts w:cs="Arial"/>
          <w:color w:val="000000"/>
          <w:lang w:val="es-ES" w:eastAsia="es-ES"/>
        </w:rPr>
        <w:t>Según el párrafo 5 de la Resolución 12.4 (Rev. COP14)</w:t>
      </w:r>
      <w:r w:rsidR="00081A7D" w:rsidRPr="00B27FF2">
        <w:rPr>
          <w:rFonts w:cs="Arial"/>
          <w:color w:val="000000"/>
          <w:lang w:val="es-ES" w:eastAsia="es-ES"/>
        </w:rPr>
        <w:t>,”…</w:t>
      </w:r>
      <w:r w:rsidR="00907696" w:rsidRPr="00B27FF2">
        <w:rPr>
          <w:lang w:val="es-ES"/>
        </w:rPr>
        <w:t xml:space="preserve"> </w:t>
      </w:r>
      <w:r w:rsidR="00907696" w:rsidRPr="00B27FF2">
        <w:rPr>
          <w:rFonts w:cs="Arial"/>
          <w:color w:val="000000"/>
          <w:lang w:val="es-ES" w:eastAsia="es-ES"/>
        </w:rPr>
        <w:t>salvo que la Conferencia de las Partes decida otra cosa, el Comité del Período de Sesiones del Consejo Científico estará integrado por:</w:t>
      </w:r>
    </w:p>
    <w:p w14:paraId="51222C31" w14:textId="77777777" w:rsidR="00B27FF2" w:rsidRPr="00B123E0" w:rsidRDefault="00B27FF2" w:rsidP="00B27FF2">
      <w:pPr>
        <w:widowControl w:val="0"/>
        <w:autoSpaceDE w:val="0"/>
        <w:autoSpaceDN w:val="0"/>
        <w:adjustRightInd w:val="0"/>
        <w:spacing w:after="0" w:line="240" w:lineRule="auto"/>
        <w:jc w:val="both"/>
        <w:rPr>
          <w:rFonts w:cs="Arial"/>
          <w:lang w:val="es-ES"/>
        </w:rPr>
      </w:pPr>
    </w:p>
    <w:p w14:paraId="5A291E8D" w14:textId="77777777" w:rsidR="00B123E0" w:rsidRDefault="00B123E0" w:rsidP="00557DF8">
      <w:pPr>
        <w:numPr>
          <w:ilvl w:val="0"/>
          <w:numId w:val="15"/>
        </w:numPr>
        <w:spacing w:after="0" w:line="240" w:lineRule="auto"/>
        <w:ind w:left="1134" w:hanging="567"/>
        <w:jc w:val="both"/>
        <w:rPr>
          <w:rFonts w:eastAsia="Times New Roman" w:cs="Arial"/>
          <w:lang w:val="es-ES"/>
        </w:rPr>
      </w:pPr>
      <w:r w:rsidRPr="00B123E0">
        <w:rPr>
          <w:rFonts w:eastAsia="Times New Roman" w:cs="Arial"/>
          <w:lang w:val="es-ES"/>
        </w:rPr>
        <w:t xml:space="preserve">Nueve miembros designados por la COP con conocimientos en cuestiones taxonómicas y temáticas; y </w:t>
      </w:r>
    </w:p>
    <w:p w14:paraId="0A9C0307" w14:textId="77777777" w:rsidR="00B123E0" w:rsidRPr="00B123E0" w:rsidRDefault="00B123E0" w:rsidP="00557DF8">
      <w:pPr>
        <w:spacing w:after="0" w:line="240" w:lineRule="auto"/>
        <w:ind w:left="1134" w:hanging="567"/>
        <w:jc w:val="both"/>
        <w:rPr>
          <w:rFonts w:eastAsia="Times New Roman" w:cs="Arial"/>
          <w:lang w:val="es-ES"/>
        </w:rPr>
      </w:pPr>
    </w:p>
    <w:p w14:paraId="044B253C" w14:textId="370C81B5" w:rsidR="00081A7D" w:rsidRPr="00B123E0" w:rsidRDefault="00B123E0" w:rsidP="00557DF8">
      <w:pPr>
        <w:numPr>
          <w:ilvl w:val="0"/>
          <w:numId w:val="15"/>
        </w:numPr>
        <w:spacing w:after="0" w:line="240" w:lineRule="auto"/>
        <w:ind w:left="1134" w:hanging="567"/>
        <w:jc w:val="both"/>
        <w:rPr>
          <w:rFonts w:eastAsia="Times New Roman" w:cs="Arial"/>
          <w:lang w:val="es-ES"/>
        </w:rPr>
      </w:pPr>
      <w:r w:rsidRPr="00B123E0">
        <w:rPr>
          <w:rFonts w:eastAsia="Times New Roman" w:cs="Arial"/>
          <w:lang w:val="es-ES"/>
        </w:rPr>
        <w:t>Quince miembros seleccionados dentro de las regiones geográficas del Comité Permanente, como sigue: tres de África, tres de Asia; tres de Europa, tres de Oceanía, tres de América Central, del Sur y el Caribe;</w:t>
      </w:r>
    </w:p>
    <w:p w14:paraId="51E01BD4" w14:textId="77777777" w:rsidR="00081A7D" w:rsidRPr="00B123E0" w:rsidRDefault="00081A7D" w:rsidP="00081A7D">
      <w:pPr>
        <w:widowControl w:val="0"/>
        <w:autoSpaceDE w:val="0"/>
        <w:autoSpaceDN w:val="0"/>
        <w:adjustRightInd w:val="0"/>
        <w:spacing w:after="0" w:line="240" w:lineRule="auto"/>
        <w:rPr>
          <w:rFonts w:eastAsia="Times New Roman" w:cs="Arial"/>
          <w:lang w:val="es-ES"/>
        </w:rPr>
      </w:pPr>
    </w:p>
    <w:p w14:paraId="1D98743A" w14:textId="77777777" w:rsidR="00081A7D" w:rsidRPr="008F2DF3" w:rsidRDefault="00081A7D" w:rsidP="00DA081D">
      <w:pPr>
        <w:widowControl w:val="0"/>
        <w:numPr>
          <w:ilvl w:val="0"/>
          <w:numId w:val="14"/>
        </w:numPr>
        <w:autoSpaceDE w:val="0"/>
        <w:autoSpaceDN w:val="0"/>
        <w:adjustRightInd w:val="0"/>
        <w:spacing w:after="0" w:line="240" w:lineRule="auto"/>
        <w:ind w:left="567" w:hanging="567"/>
        <w:jc w:val="both"/>
        <w:rPr>
          <w:rFonts w:cs="Arial"/>
          <w:lang w:val="es-ES"/>
        </w:rPr>
      </w:pPr>
      <w:r w:rsidRPr="008F2DF3">
        <w:rPr>
          <w:rFonts w:cs="Arial"/>
          <w:color w:val="000000"/>
          <w:lang w:val="es-ES" w:eastAsia="es-ES"/>
        </w:rPr>
        <w:t>De conformidad con la Resolución 12.4 (Rev. COP14), los miembros del Comité del Período de Sesiones se nombrarán normalmente por un período mínimo de dos trienios. En cada reunión ordinaria de la COP se decidirá la renovación de la mitad</w:t>
      </w:r>
      <w:r w:rsidRPr="009C5B6B">
        <w:rPr>
          <w:rFonts w:cs="Times New Roman"/>
          <w:color w:val="000000"/>
          <w:vertAlign w:val="superscript"/>
          <w:lang w:val="es-ES" w:eastAsia="es-ES"/>
        </w:rPr>
        <w:footnoteReference w:id="1"/>
      </w:r>
      <w:r w:rsidRPr="008F2DF3">
        <w:rPr>
          <w:rFonts w:cs="Arial"/>
          <w:color w:val="000000"/>
          <w:lang w:val="es-ES" w:eastAsia="es-ES"/>
        </w:rPr>
        <w:t xml:space="preserve"> de los miembros designados por las Partes del Comité del Período de Sesiones</w:t>
      </w:r>
      <w:r w:rsidRPr="008F2DF3">
        <w:rPr>
          <w:rFonts w:cs="Arial"/>
          <w:lang w:val="es-ES"/>
        </w:rPr>
        <w:t xml:space="preserve">. </w:t>
      </w:r>
    </w:p>
    <w:p w14:paraId="7CAF913C" w14:textId="77777777" w:rsidR="00081A7D" w:rsidRPr="008F2DF3" w:rsidRDefault="00081A7D" w:rsidP="00DA081D">
      <w:pPr>
        <w:widowControl w:val="0"/>
        <w:autoSpaceDE w:val="0"/>
        <w:autoSpaceDN w:val="0"/>
        <w:adjustRightInd w:val="0"/>
        <w:spacing w:after="0" w:line="240" w:lineRule="auto"/>
        <w:ind w:left="567" w:hanging="567"/>
        <w:rPr>
          <w:rFonts w:eastAsia="Times New Roman" w:cs="Arial"/>
          <w:lang w:val="es-ES"/>
        </w:rPr>
      </w:pPr>
    </w:p>
    <w:p w14:paraId="7663A587" w14:textId="77777777" w:rsidR="00081A7D" w:rsidRPr="008F2DF3" w:rsidRDefault="00081A7D" w:rsidP="00DA081D">
      <w:pPr>
        <w:widowControl w:val="0"/>
        <w:numPr>
          <w:ilvl w:val="0"/>
          <w:numId w:val="14"/>
        </w:numPr>
        <w:autoSpaceDE w:val="0"/>
        <w:autoSpaceDN w:val="0"/>
        <w:adjustRightInd w:val="0"/>
        <w:spacing w:after="0" w:line="240" w:lineRule="auto"/>
        <w:ind w:left="567" w:hanging="567"/>
        <w:jc w:val="both"/>
        <w:rPr>
          <w:rFonts w:eastAsia="Times New Roman" w:cs="Arial"/>
          <w:color w:val="000000"/>
          <w:lang w:val="es-ES" w:eastAsia="en-GB"/>
        </w:rPr>
      </w:pPr>
      <w:r w:rsidRPr="008F2DF3">
        <w:rPr>
          <w:rFonts w:eastAsia="Times New Roman" w:cs="Arial"/>
          <w:color w:val="000000"/>
          <w:lang w:val="es-ES" w:eastAsia="es-ES"/>
        </w:rPr>
        <w:t>La Resolución 12.4 también recomienda, en su párrafo 7, que la COP «identifique, de entre el conjunto de consejeros designados por las Partes, hasta tres miembros suplentes por cada región, que puedan sustituir de forma permanente o temporal a un miembro habitual de la región que no pueda seguir sirviendo en el Comité del Período de Sesiones durante el período entre reuniones».</w:t>
      </w:r>
    </w:p>
    <w:p w14:paraId="67D21A43" w14:textId="77777777" w:rsidR="00081A7D" w:rsidRPr="008F2DF3" w:rsidRDefault="00081A7D" w:rsidP="00DA081D">
      <w:pPr>
        <w:pStyle w:val="ListParagraph"/>
        <w:spacing w:after="0" w:line="240" w:lineRule="auto"/>
        <w:ind w:left="567" w:hanging="567"/>
        <w:contextualSpacing w:val="0"/>
        <w:rPr>
          <w:rFonts w:cs="Arial"/>
          <w:highlight w:val="yellow"/>
          <w:lang w:val="es-ES"/>
        </w:rPr>
      </w:pPr>
    </w:p>
    <w:p w14:paraId="02465DAD" w14:textId="77777777" w:rsidR="00081A7D" w:rsidRPr="008F2DF3" w:rsidRDefault="00081A7D" w:rsidP="00DA081D">
      <w:pPr>
        <w:widowControl w:val="0"/>
        <w:numPr>
          <w:ilvl w:val="0"/>
          <w:numId w:val="14"/>
        </w:numPr>
        <w:autoSpaceDE w:val="0"/>
        <w:autoSpaceDN w:val="0"/>
        <w:adjustRightInd w:val="0"/>
        <w:spacing w:after="0" w:line="240" w:lineRule="auto"/>
        <w:ind w:left="567" w:hanging="567"/>
        <w:jc w:val="both"/>
        <w:rPr>
          <w:rFonts w:eastAsia="Times New Roman" w:cs="Arial"/>
          <w:u w:val="single"/>
          <w:lang w:val="es-ES"/>
        </w:rPr>
      </w:pPr>
      <w:r w:rsidRPr="008F2DF3">
        <w:rPr>
          <w:rFonts w:cs="Arial"/>
          <w:lang w:val="es-ES"/>
        </w:rPr>
        <w:t xml:space="preserve">En su párrafo 9, la Resolución 12.4 del </w:t>
      </w:r>
      <w:r w:rsidRPr="008F2DF3">
        <w:rPr>
          <w:rFonts w:cs="Arial"/>
          <w:i/>
          <w:lang w:val="es-ES"/>
        </w:rPr>
        <w:t>Consejo</w:t>
      </w:r>
      <w:r w:rsidRPr="008F2DF3">
        <w:rPr>
          <w:rFonts w:cs="Arial"/>
          <w:lang w:val="es-ES"/>
        </w:rPr>
        <w:t xml:space="preserve"> </w:t>
      </w:r>
      <w:r w:rsidRPr="008F2DF3">
        <w:rPr>
          <w:rFonts w:cs="Arial"/>
          <w:i/>
          <w:lang w:val="es-ES"/>
        </w:rPr>
        <w:t>Científico</w:t>
      </w:r>
      <w:r w:rsidRPr="008F2DF3">
        <w:rPr>
          <w:rFonts w:cs="Arial"/>
          <w:lang w:val="es-ES"/>
        </w:rPr>
        <w:t xml:space="preserve"> solicita además a la Secretaría «establecer un proceso de consulta, que incluya asesoramiento científico y experto, a fin de elaborar su recomendación en consulta con el Comité Permanente a la Conferencia de las Partes sobre la composición del Comité del Período de Sesiones».</w:t>
      </w:r>
    </w:p>
    <w:p w14:paraId="60846773" w14:textId="77777777" w:rsidR="00081A7D" w:rsidRPr="008F2DF3" w:rsidRDefault="00081A7D" w:rsidP="00081A7D">
      <w:pPr>
        <w:pStyle w:val="ListParagraph"/>
        <w:spacing w:after="0" w:line="240" w:lineRule="auto"/>
        <w:ind w:left="284"/>
        <w:contextualSpacing w:val="0"/>
        <w:jc w:val="both"/>
        <w:rPr>
          <w:rFonts w:cs="Arial"/>
          <w:color w:val="000000" w:themeColor="text1"/>
          <w:u w:val="single"/>
          <w:lang w:val="es-ES"/>
        </w:rPr>
      </w:pPr>
    </w:p>
    <w:p w14:paraId="52818A0F" w14:textId="77777777" w:rsidR="00081A7D" w:rsidRPr="008F2DF3" w:rsidRDefault="00081A7D" w:rsidP="00081A7D">
      <w:pPr>
        <w:suppressAutoHyphens/>
        <w:autoSpaceDN w:val="0"/>
        <w:spacing w:after="0" w:line="240" w:lineRule="auto"/>
        <w:jc w:val="both"/>
        <w:textAlignment w:val="baseline"/>
        <w:rPr>
          <w:i/>
          <w:iCs/>
          <w:u w:val="single"/>
          <w:lang w:val="es-ES"/>
        </w:rPr>
      </w:pPr>
      <w:r w:rsidRPr="008F2DF3">
        <w:rPr>
          <w:i/>
          <w:iCs/>
          <w:u w:val="single"/>
          <w:lang w:val="es-ES"/>
        </w:rPr>
        <w:t>Áreas temáticas de los consejeros designados por la COP</w:t>
      </w:r>
    </w:p>
    <w:p w14:paraId="4E9A45C7" w14:textId="77777777" w:rsidR="00081A7D" w:rsidRPr="008F2DF3" w:rsidRDefault="00081A7D" w:rsidP="00081A7D">
      <w:pPr>
        <w:suppressAutoHyphens/>
        <w:autoSpaceDN w:val="0"/>
        <w:spacing w:after="0" w:line="240" w:lineRule="auto"/>
        <w:jc w:val="both"/>
        <w:textAlignment w:val="baseline"/>
        <w:rPr>
          <w:i/>
          <w:iCs/>
          <w:lang w:val="es-ES"/>
        </w:rPr>
      </w:pPr>
    </w:p>
    <w:p w14:paraId="0F73C574" w14:textId="77777777" w:rsidR="00081A7D" w:rsidRPr="008F2DF3" w:rsidRDefault="00081A7D" w:rsidP="00081A7D">
      <w:pPr>
        <w:pStyle w:val="ListParagraph"/>
        <w:numPr>
          <w:ilvl w:val="0"/>
          <w:numId w:val="14"/>
        </w:numPr>
        <w:spacing w:after="0" w:line="240" w:lineRule="auto"/>
        <w:ind w:left="567" w:hanging="567"/>
        <w:contextualSpacing w:val="0"/>
        <w:jc w:val="both"/>
        <w:rPr>
          <w:rFonts w:cs="Arial"/>
          <w:color w:val="000000" w:themeColor="text1"/>
          <w:lang w:val="es-ES"/>
        </w:rPr>
      </w:pPr>
      <w:r w:rsidRPr="008F2DF3">
        <w:rPr>
          <w:rFonts w:cs="Arial"/>
          <w:color w:val="000000" w:themeColor="text1"/>
          <w:lang w:val="es-ES"/>
        </w:rPr>
        <w:t xml:space="preserve">La ScC-SC7 (2024) examinó las áreas temáticas (bajo el punto 4.1 del orden del día), basándose en el documento </w:t>
      </w:r>
      <w:hyperlink r:id="rId14" w:history="1">
        <w:r w:rsidRPr="008F2DF3">
          <w:rPr>
            <w:rStyle w:val="Hyperlink"/>
            <w:rFonts w:cs="Arial"/>
            <w:lang w:val="es-ES"/>
          </w:rPr>
          <w:t>UNEP/CMS/ScC-SC7/Doc.4.1/Rev.1</w:t>
        </w:r>
      </w:hyperlink>
      <w:r w:rsidRPr="008F2DF3">
        <w:rPr>
          <w:lang w:val="es-ES"/>
        </w:rPr>
        <w:t>,</w:t>
      </w:r>
      <w:r w:rsidRPr="008F2DF3">
        <w:rPr>
          <w:rFonts w:cs="Arial"/>
          <w:color w:val="000000" w:themeColor="text1"/>
          <w:lang w:val="es-ES"/>
        </w:rPr>
        <w:t xml:space="preserve"> y convino en que las áreas temáticas actuales de los consejeros designados por la COP eran todas importantes, recomendando su continuidad, con un único cambio de nombre: de «Especies invasoras, enfermedades, animales asilvestrados, insectos y plagas y malezas marinas» a «Salud de la flora y fauna silvestres».</w:t>
      </w:r>
    </w:p>
    <w:p w14:paraId="676AA4AB" w14:textId="77777777" w:rsidR="00081A7D" w:rsidRPr="008F2DF3" w:rsidRDefault="00081A7D" w:rsidP="00081A7D">
      <w:pPr>
        <w:spacing w:after="0" w:line="240" w:lineRule="auto"/>
        <w:ind w:left="567" w:hanging="567"/>
        <w:jc w:val="both"/>
        <w:rPr>
          <w:rFonts w:cs="Arial"/>
          <w:lang w:val="es-ES"/>
        </w:rPr>
      </w:pPr>
    </w:p>
    <w:p w14:paraId="013C1070" w14:textId="77777777" w:rsidR="00081A7D" w:rsidRPr="008F2DF3" w:rsidRDefault="00081A7D" w:rsidP="00081A7D">
      <w:pPr>
        <w:widowControl w:val="0"/>
        <w:autoSpaceDE w:val="0"/>
        <w:autoSpaceDN w:val="0"/>
        <w:adjustRightInd w:val="0"/>
        <w:spacing w:after="0" w:line="240" w:lineRule="auto"/>
        <w:rPr>
          <w:rFonts w:eastAsia="Times New Roman" w:cs="Arial"/>
          <w:i/>
          <w:iCs/>
          <w:lang w:val="es-ES"/>
        </w:rPr>
      </w:pPr>
      <w:r w:rsidRPr="008F2DF3">
        <w:rPr>
          <w:rFonts w:eastAsia="Times New Roman" w:cs="Arial"/>
          <w:i/>
          <w:iCs/>
          <w:lang w:val="es-ES"/>
        </w:rPr>
        <w:t>Nombramiento de los miembros designados por la COP del Comité del Período de Sesiones del Consejo Científico</w:t>
      </w:r>
    </w:p>
    <w:p w14:paraId="784F43C5" w14:textId="77777777" w:rsidR="00081A7D" w:rsidRPr="008F2DF3" w:rsidRDefault="00081A7D" w:rsidP="00081A7D">
      <w:pPr>
        <w:widowControl w:val="0"/>
        <w:autoSpaceDE w:val="0"/>
        <w:autoSpaceDN w:val="0"/>
        <w:adjustRightInd w:val="0"/>
        <w:spacing w:after="0" w:line="240" w:lineRule="auto"/>
        <w:jc w:val="both"/>
        <w:rPr>
          <w:rFonts w:cs="Arial"/>
          <w:lang w:val="es-ES"/>
        </w:rPr>
      </w:pPr>
    </w:p>
    <w:p w14:paraId="13E7C76B" w14:textId="77777777" w:rsidR="00081A7D" w:rsidRPr="008F2DF3" w:rsidRDefault="00081A7D" w:rsidP="00081A7D">
      <w:pPr>
        <w:pStyle w:val="ListParagraph"/>
        <w:widowControl w:val="0"/>
        <w:numPr>
          <w:ilvl w:val="0"/>
          <w:numId w:val="14"/>
        </w:numPr>
        <w:autoSpaceDE w:val="0"/>
        <w:autoSpaceDN w:val="0"/>
        <w:adjustRightInd w:val="0"/>
        <w:spacing w:after="0" w:line="240" w:lineRule="auto"/>
        <w:ind w:left="567" w:hanging="567"/>
        <w:contextualSpacing w:val="0"/>
        <w:jc w:val="both"/>
        <w:rPr>
          <w:rFonts w:cs="Arial"/>
          <w:color w:val="000000" w:themeColor="text1"/>
          <w:lang w:val="es-ES"/>
        </w:rPr>
      </w:pPr>
      <w:r w:rsidRPr="008F2DF3">
        <w:rPr>
          <w:rFonts w:cs="Arial"/>
          <w:lang w:val="es-ES"/>
        </w:rPr>
        <w:t xml:space="preserve">La siguiente Tabla 1 muestra los actuales consejeros designados por la COP y </w:t>
      </w:r>
      <w:r w:rsidRPr="008F2DF3">
        <w:rPr>
          <w:rFonts w:cs="Arial"/>
          <w:color w:val="000000" w:themeColor="text1"/>
          <w:lang w:val="es-ES"/>
        </w:rPr>
        <w:t xml:space="preserve">sus áreas temáticas, junto con las recomendaciones del Consejo Científico a la COP15 (incluido el cambio propuesto al título de una de las áreas temáticas). </w:t>
      </w:r>
    </w:p>
    <w:p w14:paraId="3DDA13A3" w14:textId="4CD1B826" w:rsidR="00081A7D" w:rsidRDefault="00081A7D" w:rsidP="00081A7D">
      <w:pPr>
        <w:widowControl w:val="0"/>
        <w:autoSpaceDE w:val="0"/>
        <w:autoSpaceDN w:val="0"/>
        <w:adjustRightInd w:val="0"/>
        <w:spacing w:after="0" w:line="240" w:lineRule="auto"/>
        <w:jc w:val="both"/>
        <w:rPr>
          <w:rFonts w:cs="Arial"/>
          <w:lang w:val="es-ES"/>
        </w:rPr>
      </w:pPr>
    </w:p>
    <w:p w14:paraId="21CE628B" w14:textId="77777777" w:rsidR="00611F3E" w:rsidRDefault="00611F3E" w:rsidP="00081A7D">
      <w:pPr>
        <w:widowControl w:val="0"/>
        <w:autoSpaceDE w:val="0"/>
        <w:autoSpaceDN w:val="0"/>
        <w:adjustRightInd w:val="0"/>
        <w:spacing w:after="0" w:line="240" w:lineRule="auto"/>
        <w:jc w:val="both"/>
        <w:rPr>
          <w:rFonts w:cs="Arial"/>
          <w:lang w:val="es-ES"/>
        </w:rPr>
      </w:pPr>
    </w:p>
    <w:p w14:paraId="79CEC81B" w14:textId="77777777" w:rsidR="00611F3E" w:rsidRPr="008F2DF3" w:rsidRDefault="00611F3E" w:rsidP="00081A7D">
      <w:pPr>
        <w:widowControl w:val="0"/>
        <w:autoSpaceDE w:val="0"/>
        <w:autoSpaceDN w:val="0"/>
        <w:adjustRightInd w:val="0"/>
        <w:spacing w:after="0" w:line="240" w:lineRule="auto"/>
        <w:jc w:val="both"/>
        <w:rPr>
          <w:rFonts w:cs="Arial"/>
          <w:lang w:val="es-ES"/>
        </w:rPr>
      </w:pPr>
    </w:p>
    <w:p w14:paraId="72301DCB" w14:textId="77777777" w:rsidR="00081A7D" w:rsidRPr="00B25743" w:rsidRDefault="00081A7D" w:rsidP="00081A7D">
      <w:pPr>
        <w:widowControl w:val="0"/>
        <w:autoSpaceDE w:val="0"/>
        <w:autoSpaceDN w:val="0"/>
        <w:adjustRightInd w:val="0"/>
        <w:spacing w:after="0" w:line="240" w:lineRule="auto"/>
        <w:contextualSpacing/>
        <w:jc w:val="both"/>
        <w:rPr>
          <w:rFonts w:cs="Arial"/>
          <w:sz w:val="20"/>
          <w:szCs w:val="20"/>
          <w:lang w:val="es-ES"/>
        </w:rPr>
      </w:pPr>
      <w:r w:rsidRPr="00B25743">
        <w:rPr>
          <w:rFonts w:cs="Arial"/>
          <w:sz w:val="20"/>
          <w:szCs w:val="20"/>
          <w:lang w:val="es-ES"/>
        </w:rPr>
        <w:lastRenderedPageBreak/>
        <w:t>Tabla 1. Panorámica general de los consejeros designados por la COP y sus áreas temáticas después de la COP14 y recomendaciones a la COP15</w:t>
      </w:r>
    </w:p>
    <w:p w14:paraId="3AF3DCD2" w14:textId="77777777" w:rsidR="00081A7D" w:rsidRPr="008F2DF3" w:rsidRDefault="00081A7D" w:rsidP="00081A7D">
      <w:pPr>
        <w:widowControl w:val="0"/>
        <w:autoSpaceDE w:val="0"/>
        <w:autoSpaceDN w:val="0"/>
        <w:adjustRightInd w:val="0"/>
        <w:spacing w:after="0" w:line="240" w:lineRule="auto"/>
        <w:contextualSpacing/>
        <w:jc w:val="both"/>
        <w:rPr>
          <w:rFonts w:cs="Arial"/>
          <w:lang w:val="es-ES"/>
        </w:rPr>
      </w:pPr>
    </w:p>
    <w:tbl>
      <w:tblPr>
        <w:tblStyle w:val="TableGrid"/>
        <w:tblW w:w="0" w:type="auto"/>
        <w:tblInd w:w="-5" w:type="dxa"/>
        <w:tblLayout w:type="fixed"/>
        <w:tblLook w:val="04A0" w:firstRow="1" w:lastRow="0" w:firstColumn="1" w:lastColumn="0" w:noHBand="0" w:noVBand="1"/>
      </w:tblPr>
      <w:tblGrid>
        <w:gridCol w:w="2694"/>
        <w:gridCol w:w="2551"/>
        <w:gridCol w:w="3776"/>
      </w:tblGrid>
      <w:tr w:rsidR="00081A7D" w:rsidRPr="008F2DF3" w14:paraId="75EA7978" w14:textId="77777777" w:rsidTr="007533FC">
        <w:trPr>
          <w:trHeight w:val="405"/>
        </w:trPr>
        <w:tc>
          <w:tcPr>
            <w:tcW w:w="2694" w:type="dxa"/>
            <w:shd w:val="clear" w:color="auto" w:fill="D9D9D9" w:themeFill="background1" w:themeFillShade="D9"/>
          </w:tcPr>
          <w:p w14:paraId="386B49AB" w14:textId="77777777" w:rsidR="00081A7D" w:rsidRPr="008F2DF3" w:rsidRDefault="00081A7D" w:rsidP="007533FC">
            <w:pPr>
              <w:pStyle w:val="ListParagraph"/>
              <w:widowControl w:val="0"/>
              <w:autoSpaceDE w:val="0"/>
              <w:autoSpaceDN w:val="0"/>
              <w:adjustRightInd w:val="0"/>
              <w:ind w:left="0"/>
              <w:rPr>
                <w:rFonts w:cs="Arial"/>
                <w:b/>
                <w:bCs/>
                <w:lang w:val="es-ES"/>
              </w:rPr>
            </w:pPr>
            <w:r w:rsidRPr="008F2DF3">
              <w:rPr>
                <w:rFonts w:cs="Arial"/>
                <w:b/>
                <w:bCs/>
                <w:lang w:val="es-ES"/>
              </w:rPr>
              <w:t>Área temática</w:t>
            </w:r>
          </w:p>
        </w:tc>
        <w:tc>
          <w:tcPr>
            <w:tcW w:w="2551" w:type="dxa"/>
            <w:shd w:val="clear" w:color="auto" w:fill="D9D9D9" w:themeFill="background1" w:themeFillShade="D9"/>
          </w:tcPr>
          <w:p w14:paraId="06F5F5BF" w14:textId="77777777" w:rsidR="00081A7D" w:rsidRPr="008F2DF3" w:rsidRDefault="00081A7D" w:rsidP="007533FC">
            <w:pPr>
              <w:pStyle w:val="ListParagraph"/>
              <w:widowControl w:val="0"/>
              <w:autoSpaceDE w:val="0"/>
              <w:autoSpaceDN w:val="0"/>
              <w:adjustRightInd w:val="0"/>
              <w:ind w:left="0"/>
              <w:rPr>
                <w:rFonts w:cs="Arial"/>
                <w:b/>
                <w:bCs/>
                <w:lang w:val="es-ES"/>
              </w:rPr>
            </w:pPr>
            <w:r w:rsidRPr="008F2DF3">
              <w:rPr>
                <w:rFonts w:cs="Arial"/>
                <w:b/>
                <w:bCs/>
                <w:lang w:val="es-ES"/>
              </w:rPr>
              <w:t>Consejero designado por la COP</w:t>
            </w:r>
          </w:p>
        </w:tc>
        <w:tc>
          <w:tcPr>
            <w:tcW w:w="3776" w:type="dxa"/>
            <w:shd w:val="clear" w:color="auto" w:fill="D9D9D9" w:themeFill="background1" w:themeFillShade="D9"/>
          </w:tcPr>
          <w:p w14:paraId="24E164F3" w14:textId="77777777" w:rsidR="00081A7D" w:rsidRPr="008F2DF3" w:rsidRDefault="00081A7D" w:rsidP="007533FC">
            <w:pPr>
              <w:pStyle w:val="ListParagraph"/>
              <w:widowControl w:val="0"/>
              <w:autoSpaceDE w:val="0"/>
              <w:autoSpaceDN w:val="0"/>
              <w:adjustRightInd w:val="0"/>
              <w:ind w:left="0"/>
              <w:rPr>
                <w:rFonts w:cs="Arial"/>
                <w:b/>
                <w:bCs/>
                <w:lang w:val="es-ES"/>
              </w:rPr>
            </w:pPr>
            <w:r w:rsidRPr="008F2DF3">
              <w:rPr>
                <w:rFonts w:cs="Arial"/>
                <w:b/>
                <w:bCs/>
                <w:lang w:val="es-ES"/>
              </w:rPr>
              <w:t>Recomendación a la COP15</w:t>
            </w:r>
          </w:p>
        </w:tc>
      </w:tr>
      <w:tr w:rsidR="00081A7D" w:rsidRPr="00DC48AA" w14:paraId="021CE52B" w14:textId="77777777" w:rsidTr="007533FC">
        <w:trPr>
          <w:trHeight w:val="300"/>
        </w:trPr>
        <w:tc>
          <w:tcPr>
            <w:tcW w:w="2694" w:type="dxa"/>
          </w:tcPr>
          <w:p w14:paraId="3F42DD77" w14:textId="77777777" w:rsidR="00081A7D" w:rsidRPr="008F2DF3" w:rsidRDefault="00081A7D" w:rsidP="007533FC">
            <w:pPr>
              <w:pStyle w:val="ListParagraph"/>
              <w:widowControl w:val="0"/>
              <w:autoSpaceDE w:val="0"/>
              <w:autoSpaceDN w:val="0"/>
              <w:adjustRightInd w:val="0"/>
              <w:ind w:left="0"/>
              <w:rPr>
                <w:rFonts w:cs="Arial"/>
                <w:lang w:val="es-ES"/>
              </w:rPr>
            </w:pPr>
            <w:r w:rsidRPr="008F2DF3">
              <w:rPr>
                <w:rFonts w:cs="Arial"/>
                <w:lang w:val="es-ES"/>
              </w:rPr>
              <w:t>Mamíferos acuáticos</w:t>
            </w:r>
          </w:p>
        </w:tc>
        <w:tc>
          <w:tcPr>
            <w:tcW w:w="2551" w:type="dxa"/>
          </w:tcPr>
          <w:p w14:paraId="0336F53A" w14:textId="77777777" w:rsidR="00081A7D" w:rsidRPr="008F2DF3" w:rsidRDefault="00081A7D" w:rsidP="007533FC">
            <w:pPr>
              <w:pStyle w:val="ListParagraph"/>
              <w:widowControl w:val="0"/>
              <w:autoSpaceDE w:val="0"/>
              <w:autoSpaceDN w:val="0"/>
              <w:adjustRightInd w:val="0"/>
              <w:ind w:left="0"/>
              <w:rPr>
                <w:rFonts w:cs="Arial"/>
                <w:lang w:val="es-ES"/>
              </w:rPr>
            </w:pPr>
            <w:r w:rsidRPr="008F2DF3">
              <w:rPr>
                <w:rFonts w:cs="Arial"/>
                <w:lang w:val="es-ES"/>
              </w:rPr>
              <w:t>D.ª Vanesa Patricia Tossenberger</w:t>
            </w:r>
          </w:p>
        </w:tc>
        <w:tc>
          <w:tcPr>
            <w:tcW w:w="3776" w:type="dxa"/>
          </w:tcPr>
          <w:p w14:paraId="6E6A611F" w14:textId="77777777" w:rsidR="00081A7D" w:rsidRPr="008F2DF3" w:rsidRDefault="00081A7D" w:rsidP="007533FC">
            <w:pPr>
              <w:pStyle w:val="ListParagraph"/>
              <w:widowControl w:val="0"/>
              <w:autoSpaceDE w:val="0"/>
              <w:autoSpaceDN w:val="0"/>
              <w:adjustRightInd w:val="0"/>
              <w:ind w:left="0"/>
              <w:rPr>
                <w:rFonts w:cs="Arial"/>
                <w:lang w:val="es-ES"/>
              </w:rPr>
            </w:pPr>
            <w:r w:rsidRPr="008F2DF3">
              <w:rPr>
                <w:rFonts w:cs="Arial"/>
                <w:lang w:val="es-ES"/>
              </w:rPr>
              <w:t>Nombrar a D.ª Vanesa Patricia Tossenberger para el próximo trienio</w:t>
            </w:r>
          </w:p>
        </w:tc>
      </w:tr>
      <w:tr w:rsidR="00081A7D" w:rsidRPr="00DC48AA" w14:paraId="11FC02AF" w14:textId="77777777" w:rsidTr="007533FC">
        <w:tc>
          <w:tcPr>
            <w:tcW w:w="2694" w:type="dxa"/>
          </w:tcPr>
          <w:p w14:paraId="29905340" w14:textId="77777777" w:rsidR="00081A7D" w:rsidRPr="008F2DF3" w:rsidRDefault="00081A7D" w:rsidP="007533FC">
            <w:pPr>
              <w:pStyle w:val="ListParagraph"/>
              <w:widowControl w:val="0"/>
              <w:autoSpaceDE w:val="0"/>
              <w:autoSpaceDN w:val="0"/>
              <w:adjustRightInd w:val="0"/>
              <w:ind w:left="0"/>
              <w:rPr>
                <w:rFonts w:cs="Arial"/>
                <w:lang w:val="es-ES"/>
              </w:rPr>
            </w:pPr>
            <w:r w:rsidRPr="008F2DF3">
              <w:rPr>
                <w:rFonts w:cs="Arial"/>
                <w:lang w:val="es-ES"/>
              </w:rPr>
              <w:t>Aves</w:t>
            </w:r>
          </w:p>
        </w:tc>
        <w:tc>
          <w:tcPr>
            <w:tcW w:w="2551" w:type="dxa"/>
          </w:tcPr>
          <w:p w14:paraId="20D693AC" w14:textId="77777777" w:rsidR="00081A7D" w:rsidRPr="008F2DF3" w:rsidRDefault="00081A7D" w:rsidP="007533FC">
            <w:pPr>
              <w:pStyle w:val="ListParagraph"/>
              <w:widowControl w:val="0"/>
              <w:autoSpaceDE w:val="0"/>
              <w:autoSpaceDN w:val="0"/>
              <w:adjustRightInd w:val="0"/>
              <w:ind w:left="0"/>
              <w:rPr>
                <w:rFonts w:cs="Arial"/>
                <w:lang w:val="es-ES"/>
              </w:rPr>
            </w:pPr>
            <w:r w:rsidRPr="008F2DF3">
              <w:rPr>
                <w:rFonts w:cs="Arial"/>
                <w:lang w:val="es-ES"/>
              </w:rPr>
              <w:t xml:space="preserve">Dr. Rob P. Clay </w:t>
            </w:r>
            <w:r w:rsidRPr="009C5B6B">
              <w:rPr>
                <w:rStyle w:val="FootnoteReference"/>
                <w:rFonts w:cs="Arial"/>
                <w:vertAlign w:val="superscript"/>
                <w:lang w:val="es-ES"/>
              </w:rPr>
              <w:footnoteReference w:id="2"/>
            </w:r>
          </w:p>
        </w:tc>
        <w:tc>
          <w:tcPr>
            <w:tcW w:w="3776" w:type="dxa"/>
          </w:tcPr>
          <w:p w14:paraId="62EBFAA9" w14:textId="77777777" w:rsidR="00081A7D" w:rsidRPr="008F2DF3" w:rsidRDefault="00081A7D" w:rsidP="007533FC">
            <w:pPr>
              <w:pStyle w:val="ListParagraph"/>
              <w:widowControl w:val="0"/>
              <w:autoSpaceDE w:val="0"/>
              <w:autoSpaceDN w:val="0"/>
              <w:adjustRightInd w:val="0"/>
              <w:ind w:left="0"/>
              <w:rPr>
                <w:rFonts w:cs="Arial"/>
                <w:lang w:val="es-ES"/>
              </w:rPr>
            </w:pPr>
            <w:r w:rsidRPr="008F2DF3">
              <w:rPr>
                <w:rFonts w:cs="Arial"/>
                <w:lang w:val="es-ES"/>
              </w:rPr>
              <w:t>Nombrar al Dr. Rob P. Clay2 para el próximo trienio</w:t>
            </w:r>
          </w:p>
        </w:tc>
      </w:tr>
      <w:tr w:rsidR="00081A7D" w:rsidRPr="00DC48AA" w14:paraId="092785A9" w14:textId="77777777" w:rsidTr="007533FC">
        <w:trPr>
          <w:trHeight w:val="213"/>
        </w:trPr>
        <w:tc>
          <w:tcPr>
            <w:tcW w:w="2694" w:type="dxa"/>
          </w:tcPr>
          <w:p w14:paraId="0BFFAC86" w14:textId="77777777" w:rsidR="00081A7D" w:rsidRPr="008F2DF3" w:rsidRDefault="00081A7D" w:rsidP="007533FC">
            <w:pPr>
              <w:pStyle w:val="ListParagraph"/>
              <w:widowControl w:val="0"/>
              <w:autoSpaceDE w:val="0"/>
              <w:autoSpaceDN w:val="0"/>
              <w:adjustRightInd w:val="0"/>
              <w:ind w:left="0"/>
              <w:rPr>
                <w:rFonts w:cs="Arial"/>
                <w:lang w:val="es-ES"/>
              </w:rPr>
            </w:pPr>
            <w:r w:rsidRPr="008F2DF3">
              <w:rPr>
                <w:rFonts w:cs="Arial"/>
                <w:lang w:val="es-ES"/>
              </w:rPr>
              <w:t>Aves</w:t>
            </w:r>
          </w:p>
        </w:tc>
        <w:tc>
          <w:tcPr>
            <w:tcW w:w="2551" w:type="dxa"/>
          </w:tcPr>
          <w:p w14:paraId="6A8A45F4" w14:textId="77777777" w:rsidR="00081A7D" w:rsidRPr="008F2DF3" w:rsidRDefault="00081A7D" w:rsidP="007533FC">
            <w:pPr>
              <w:spacing w:after="160" w:line="259" w:lineRule="auto"/>
              <w:rPr>
                <w:rFonts w:ascii="Segoe UI" w:hAnsi="Segoe UI" w:cs="Segoe UI"/>
                <w:sz w:val="16"/>
                <w:lang w:val="es-ES"/>
              </w:rPr>
            </w:pPr>
            <w:r w:rsidRPr="008F2DF3">
              <w:rPr>
                <w:rFonts w:cs="Arial"/>
                <w:lang w:val="es-ES"/>
              </w:rPr>
              <w:t xml:space="preserve">Prof. Stephen Garnett </w:t>
            </w:r>
            <w:r w:rsidRPr="009C5B6B">
              <w:rPr>
                <w:rFonts w:cs="Arial"/>
                <w:vertAlign w:val="superscript"/>
                <w:lang w:val="es-ES"/>
              </w:rPr>
              <w:t>2</w:t>
            </w:r>
          </w:p>
        </w:tc>
        <w:tc>
          <w:tcPr>
            <w:tcW w:w="3776" w:type="dxa"/>
          </w:tcPr>
          <w:p w14:paraId="55AA8119" w14:textId="77777777" w:rsidR="00081A7D" w:rsidRPr="008F2DF3" w:rsidRDefault="00081A7D" w:rsidP="007533FC">
            <w:pPr>
              <w:rPr>
                <w:rFonts w:cs="Arial"/>
                <w:lang w:val="es-ES"/>
              </w:rPr>
            </w:pPr>
            <w:r w:rsidRPr="008F2DF3">
              <w:rPr>
                <w:rFonts w:cs="Arial"/>
                <w:lang w:val="es-ES"/>
              </w:rPr>
              <w:t>Nombrar al Prof. Stephen Garnett2 para el próximo trienio</w:t>
            </w:r>
          </w:p>
        </w:tc>
      </w:tr>
      <w:tr w:rsidR="00081A7D" w:rsidRPr="00DC48AA" w14:paraId="3D6E33DC" w14:textId="77777777" w:rsidTr="007533FC">
        <w:tc>
          <w:tcPr>
            <w:tcW w:w="2694" w:type="dxa"/>
          </w:tcPr>
          <w:p w14:paraId="4C3F553F" w14:textId="77777777" w:rsidR="00081A7D" w:rsidRPr="008F2DF3" w:rsidRDefault="00081A7D" w:rsidP="007533FC">
            <w:pPr>
              <w:pStyle w:val="ListParagraph"/>
              <w:widowControl w:val="0"/>
              <w:autoSpaceDE w:val="0"/>
              <w:autoSpaceDN w:val="0"/>
              <w:adjustRightInd w:val="0"/>
              <w:ind w:left="0"/>
              <w:rPr>
                <w:rFonts w:cs="Arial"/>
                <w:lang w:val="es-ES"/>
              </w:rPr>
            </w:pPr>
            <w:r w:rsidRPr="008F2DF3">
              <w:rPr>
                <w:rFonts w:cs="Arial"/>
                <w:lang w:val="es-ES"/>
              </w:rPr>
              <w:t>Captura incidental</w:t>
            </w:r>
          </w:p>
        </w:tc>
        <w:tc>
          <w:tcPr>
            <w:tcW w:w="2551" w:type="dxa"/>
          </w:tcPr>
          <w:p w14:paraId="34B63C36" w14:textId="77777777" w:rsidR="00081A7D" w:rsidRPr="008F2DF3" w:rsidRDefault="00081A7D" w:rsidP="007533FC">
            <w:pPr>
              <w:pStyle w:val="ListParagraph"/>
              <w:widowControl w:val="0"/>
              <w:autoSpaceDE w:val="0"/>
              <w:autoSpaceDN w:val="0"/>
              <w:adjustRightInd w:val="0"/>
              <w:ind w:left="0"/>
              <w:rPr>
                <w:rFonts w:cs="Arial"/>
                <w:lang w:val="es-ES"/>
              </w:rPr>
            </w:pPr>
            <w:r w:rsidRPr="008F2DF3">
              <w:rPr>
                <w:rFonts w:cs="Arial"/>
                <w:lang w:val="es-ES"/>
              </w:rPr>
              <w:t>Dr. Barry G. Baker</w:t>
            </w:r>
          </w:p>
        </w:tc>
        <w:tc>
          <w:tcPr>
            <w:tcW w:w="3776" w:type="dxa"/>
          </w:tcPr>
          <w:p w14:paraId="4E30B3CA" w14:textId="77777777" w:rsidR="00081A7D" w:rsidRPr="008F2DF3" w:rsidRDefault="00081A7D" w:rsidP="007533FC">
            <w:pPr>
              <w:pStyle w:val="ListParagraph"/>
              <w:widowControl w:val="0"/>
              <w:autoSpaceDE w:val="0"/>
              <w:autoSpaceDN w:val="0"/>
              <w:adjustRightInd w:val="0"/>
              <w:ind w:left="0"/>
              <w:rPr>
                <w:rFonts w:cs="Arial"/>
                <w:lang w:val="es-ES"/>
              </w:rPr>
            </w:pPr>
            <w:r w:rsidRPr="008F2DF3">
              <w:rPr>
                <w:rFonts w:cs="Arial"/>
                <w:lang w:val="es-ES"/>
              </w:rPr>
              <w:t>Nombrar al Dr. Barry G. Baker para el próximo trienio</w:t>
            </w:r>
          </w:p>
        </w:tc>
      </w:tr>
      <w:tr w:rsidR="00081A7D" w:rsidRPr="00DC48AA" w14:paraId="0A9B8F8B" w14:textId="77777777" w:rsidTr="007533FC">
        <w:tc>
          <w:tcPr>
            <w:tcW w:w="2694" w:type="dxa"/>
          </w:tcPr>
          <w:p w14:paraId="47C852D7" w14:textId="77777777" w:rsidR="00081A7D" w:rsidRPr="008F2DF3" w:rsidRDefault="00081A7D" w:rsidP="007533FC">
            <w:pPr>
              <w:pStyle w:val="ListParagraph"/>
              <w:widowControl w:val="0"/>
              <w:autoSpaceDE w:val="0"/>
              <w:autoSpaceDN w:val="0"/>
              <w:adjustRightInd w:val="0"/>
              <w:ind w:left="0"/>
              <w:rPr>
                <w:rFonts w:cs="Arial"/>
                <w:lang w:val="es-ES"/>
              </w:rPr>
            </w:pPr>
            <w:r w:rsidRPr="008F2DF3">
              <w:rPr>
                <w:rFonts w:cs="Arial"/>
                <w:lang w:val="es-ES"/>
              </w:rPr>
              <w:t>Cambio climático</w:t>
            </w:r>
          </w:p>
        </w:tc>
        <w:tc>
          <w:tcPr>
            <w:tcW w:w="2551" w:type="dxa"/>
          </w:tcPr>
          <w:p w14:paraId="6B1EECBA" w14:textId="77777777" w:rsidR="00081A7D" w:rsidRPr="008F2DF3" w:rsidRDefault="00081A7D" w:rsidP="007533FC">
            <w:pPr>
              <w:pStyle w:val="ListParagraph"/>
              <w:widowControl w:val="0"/>
              <w:autoSpaceDE w:val="0"/>
              <w:autoSpaceDN w:val="0"/>
              <w:adjustRightInd w:val="0"/>
              <w:ind w:left="0"/>
              <w:rPr>
                <w:rFonts w:cs="Arial"/>
                <w:lang w:val="es-ES"/>
              </w:rPr>
            </w:pPr>
            <w:r w:rsidRPr="008F2DF3">
              <w:rPr>
                <w:rFonts w:cs="Arial"/>
                <w:lang w:val="es-ES"/>
              </w:rPr>
              <w:t>Prof. Des B.A. Thompson, (doctorado)</w:t>
            </w:r>
          </w:p>
        </w:tc>
        <w:tc>
          <w:tcPr>
            <w:tcW w:w="3776" w:type="dxa"/>
          </w:tcPr>
          <w:p w14:paraId="1C6C879F" w14:textId="77777777" w:rsidR="00081A7D" w:rsidRPr="008F2DF3" w:rsidRDefault="00081A7D" w:rsidP="007533FC">
            <w:pPr>
              <w:pStyle w:val="ListParagraph"/>
              <w:widowControl w:val="0"/>
              <w:autoSpaceDE w:val="0"/>
              <w:autoSpaceDN w:val="0"/>
              <w:adjustRightInd w:val="0"/>
              <w:ind w:left="0"/>
              <w:rPr>
                <w:rFonts w:cs="Arial"/>
                <w:lang w:val="es-ES"/>
              </w:rPr>
            </w:pPr>
            <w:r w:rsidRPr="008F2DF3">
              <w:rPr>
                <w:rFonts w:cs="Arial"/>
                <w:lang w:val="es-ES"/>
              </w:rPr>
              <w:t>Nombrar al Prof. Des B.A. Thompson, doctorado, para el próximo trienio</w:t>
            </w:r>
          </w:p>
        </w:tc>
      </w:tr>
      <w:tr w:rsidR="00081A7D" w:rsidRPr="00DC48AA" w14:paraId="10AEF438" w14:textId="77777777" w:rsidTr="007533FC">
        <w:tc>
          <w:tcPr>
            <w:tcW w:w="2694" w:type="dxa"/>
          </w:tcPr>
          <w:p w14:paraId="0CDE847E" w14:textId="77777777" w:rsidR="00081A7D" w:rsidRPr="008F2DF3" w:rsidRDefault="00081A7D" w:rsidP="007533FC">
            <w:pPr>
              <w:pStyle w:val="ListParagraph"/>
              <w:widowControl w:val="0"/>
              <w:autoSpaceDE w:val="0"/>
              <w:autoSpaceDN w:val="0"/>
              <w:adjustRightInd w:val="0"/>
              <w:ind w:left="0"/>
              <w:rPr>
                <w:rFonts w:cs="Arial"/>
                <w:lang w:val="es-ES"/>
              </w:rPr>
            </w:pPr>
            <w:r w:rsidRPr="008F2DF3">
              <w:rPr>
                <w:rFonts w:cs="Arial"/>
                <w:color w:val="000000" w:themeColor="text1"/>
                <w:lang w:val="es-ES"/>
              </w:rPr>
              <w:t>Conectividad/Redes</w:t>
            </w:r>
          </w:p>
        </w:tc>
        <w:tc>
          <w:tcPr>
            <w:tcW w:w="2551" w:type="dxa"/>
          </w:tcPr>
          <w:p w14:paraId="4F8D83B4" w14:textId="77777777" w:rsidR="00081A7D" w:rsidRPr="008F2DF3" w:rsidRDefault="00081A7D" w:rsidP="007533FC">
            <w:pPr>
              <w:pStyle w:val="ListParagraph"/>
              <w:widowControl w:val="0"/>
              <w:autoSpaceDE w:val="0"/>
              <w:autoSpaceDN w:val="0"/>
              <w:adjustRightInd w:val="0"/>
              <w:ind w:left="0"/>
              <w:rPr>
                <w:rFonts w:cs="Arial"/>
                <w:lang w:val="es-ES"/>
              </w:rPr>
            </w:pPr>
            <w:r w:rsidRPr="008F2DF3">
              <w:rPr>
                <w:rFonts w:cs="Arial"/>
                <w:lang w:val="es-ES"/>
              </w:rPr>
              <w:t>Dr. Fernando Spina</w:t>
            </w:r>
          </w:p>
        </w:tc>
        <w:tc>
          <w:tcPr>
            <w:tcW w:w="3776" w:type="dxa"/>
          </w:tcPr>
          <w:p w14:paraId="0302777F" w14:textId="77777777" w:rsidR="00081A7D" w:rsidRPr="008F2DF3" w:rsidRDefault="00081A7D" w:rsidP="007533FC">
            <w:pPr>
              <w:pStyle w:val="ListParagraph"/>
              <w:widowControl w:val="0"/>
              <w:autoSpaceDE w:val="0"/>
              <w:autoSpaceDN w:val="0"/>
              <w:adjustRightInd w:val="0"/>
              <w:ind w:left="0"/>
              <w:rPr>
                <w:rFonts w:cs="Arial"/>
                <w:lang w:val="es-ES"/>
              </w:rPr>
            </w:pPr>
            <w:r w:rsidRPr="008F2DF3">
              <w:rPr>
                <w:rFonts w:cs="Arial"/>
                <w:lang w:val="es-ES"/>
              </w:rPr>
              <w:t>Nombrar al Dr. Fernando Spina para el próximo trienio</w:t>
            </w:r>
          </w:p>
        </w:tc>
      </w:tr>
      <w:tr w:rsidR="00081A7D" w:rsidRPr="00DC48AA" w14:paraId="68DAE07F" w14:textId="77777777" w:rsidTr="007533FC">
        <w:tc>
          <w:tcPr>
            <w:tcW w:w="2694" w:type="dxa"/>
          </w:tcPr>
          <w:p w14:paraId="22DBBADA" w14:textId="77777777" w:rsidR="00081A7D" w:rsidRPr="008F2DF3" w:rsidRDefault="00081A7D" w:rsidP="007533FC">
            <w:pPr>
              <w:pStyle w:val="ListParagraph"/>
              <w:widowControl w:val="0"/>
              <w:autoSpaceDE w:val="0"/>
              <w:autoSpaceDN w:val="0"/>
              <w:adjustRightInd w:val="0"/>
              <w:ind w:left="0"/>
              <w:rPr>
                <w:rFonts w:cs="Arial"/>
                <w:lang w:val="es-ES"/>
              </w:rPr>
            </w:pPr>
            <w:r w:rsidRPr="008F2DF3">
              <w:rPr>
                <w:rFonts w:cs="Arial"/>
                <w:lang w:val="es-ES"/>
              </w:rPr>
              <w:t xml:space="preserve">Peces </w:t>
            </w:r>
          </w:p>
        </w:tc>
        <w:tc>
          <w:tcPr>
            <w:tcW w:w="2551" w:type="dxa"/>
          </w:tcPr>
          <w:p w14:paraId="629BF1A5" w14:textId="77777777" w:rsidR="00081A7D" w:rsidRPr="008F2DF3" w:rsidRDefault="00081A7D" w:rsidP="007533FC">
            <w:pPr>
              <w:pStyle w:val="ListParagraph"/>
              <w:widowControl w:val="0"/>
              <w:autoSpaceDE w:val="0"/>
              <w:autoSpaceDN w:val="0"/>
              <w:adjustRightInd w:val="0"/>
              <w:ind w:left="0"/>
              <w:rPr>
                <w:rFonts w:cs="Arial"/>
                <w:lang w:val="es-ES"/>
              </w:rPr>
            </w:pPr>
            <w:r w:rsidRPr="008F2DF3">
              <w:rPr>
                <w:rFonts w:cs="Arial"/>
                <w:lang w:val="es-ES"/>
              </w:rPr>
              <w:t xml:space="preserve">Dr. Zeb S. Hogan (agua dulce) </w:t>
            </w:r>
            <w:r w:rsidRPr="009C5B6B">
              <w:rPr>
                <w:rStyle w:val="FootnoteReference"/>
                <w:rFonts w:cs="Arial"/>
                <w:vertAlign w:val="superscript"/>
                <w:lang w:val="es-ES"/>
              </w:rPr>
              <w:footnoteReference w:id="3"/>
            </w:r>
          </w:p>
        </w:tc>
        <w:tc>
          <w:tcPr>
            <w:tcW w:w="3776" w:type="dxa"/>
          </w:tcPr>
          <w:p w14:paraId="1392267A" w14:textId="77777777" w:rsidR="00081A7D" w:rsidRPr="008F2DF3" w:rsidRDefault="00081A7D" w:rsidP="007533FC">
            <w:pPr>
              <w:pStyle w:val="ListParagraph"/>
              <w:widowControl w:val="0"/>
              <w:autoSpaceDE w:val="0"/>
              <w:autoSpaceDN w:val="0"/>
              <w:adjustRightInd w:val="0"/>
              <w:ind w:left="0"/>
              <w:rPr>
                <w:rFonts w:cs="Arial"/>
                <w:lang w:val="es-ES"/>
              </w:rPr>
            </w:pPr>
            <w:r w:rsidRPr="008F2DF3">
              <w:rPr>
                <w:rFonts w:cs="Arial"/>
                <w:lang w:val="es-ES"/>
              </w:rPr>
              <w:t>Nombrar al Dr. Zeb S. Hogan3 para el próximo trienio</w:t>
            </w:r>
          </w:p>
        </w:tc>
      </w:tr>
      <w:tr w:rsidR="00081A7D" w:rsidRPr="00DC48AA" w14:paraId="5A030B0D" w14:textId="77777777" w:rsidTr="007533FC">
        <w:tc>
          <w:tcPr>
            <w:tcW w:w="2694" w:type="dxa"/>
          </w:tcPr>
          <w:p w14:paraId="2FE36199" w14:textId="77777777" w:rsidR="00081A7D" w:rsidRPr="008F2DF3" w:rsidRDefault="00081A7D" w:rsidP="007533FC">
            <w:pPr>
              <w:pStyle w:val="ListParagraph"/>
              <w:widowControl w:val="0"/>
              <w:autoSpaceDE w:val="0"/>
              <w:autoSpaceDN w:val="0"/>
              <w:adjustRightInd w:val="0"/>
              <w:ind w:left="0"/>
              <w:rPr>
                <w:rFonts w:cs="Arial"/>
                <w:lang w:val="es-ES"/>
              </w:rPr>
            </w:pPr>
            <w:r w:rsidRPr="008F2DF3">
              <w:rPr>
                <w:rFonts w:cs="Arial"/>
                <w:lang w:val="es-ES"/>
              </w:rPr>
              <w:t xml:space="preserve">Peces </w:t>
            </w:r>
          </w:p>
        </w:tc>
        <w:tc>
          <w:tcPr>
            <w:tcW w:w="2551" w:type="dxa"/>
          </w:tcPr>
          <w:p w14:paraId="4123EEEB" w14:textId="77777777" w:rsidR="00081A7D" w:rsidRPr="008F2DF3" w:rsidRDefault="00081A7D" w:rsidP="007533FC">
            <w:pPr>
              <w:spacing w:after="160" w:line="259" w:lineRule="auto"/>
              <w:rPr>
                <w:rFonts w:ascii="Segoe UI" w:hAnsi="Segoe UI" w:cs="Segoe UI"/>
                <w:sz w:val="16"/>
                <w:szCs w:val="16"/>
                <w:lang w:val="es-ES"/>
              </w:rPr>
            </w:pPr>
            <w:r w:rsidRPr="008F2DF3">
              <w:rPr>
                <w:rFonts w:cs="Arial"/>
                <w:lang w:val="es-ES"/>
              </w:rPr>
              <w:t xml:space="preserve">Dra. Rima Jabado (marinos) 3 </w:t>
            </w:r>
          </w:p>
        </w:tc>
        <w:tc>
          <w:tcPr>
            <w:tcW w:w="3776" w:type="dxa"/>
          </w:tcPr>
          <w:p w14:paraId="1A917A06" w14:textId="77777777" w:rsidR="00081A7D" w:rsidRPr="008F2DF3" w:rsidRDefault="00081A7D" w:rsidP="007533FC">
            <w:pPr>
              <w:rPr>
                <w:rFonts w:cs="Arial"/>
                <w:lang w:val="es-ES"/>
              </w:rPr>
            </w:pPr>
            <w:r w:rsidRPr="008F2DF3">
              <w:rPr>
                <w:rFonts w:cs="Arial"/>
                <w:lang w:val="es-ES"/>
              </w:rPr>
              <w:t>Nombrar a la Dra. Rima Jabado3 para el próximo trienio</w:t>
            </w:r>
          </w:p>
        </w:tc>
      </w:tr>
      <w:tr w:rsidR="00081A7D" w:rsidRPr="00DC48AA" w14:paraId="2BC7CA77" w14:textId="77777777" w:rsidTr="007533FC">
        <w:tc>
          <w:tcPr>
            <w:tcW w:w="2694" w:type="dxa"/>
          </w:tcPr>
          <w:p w14:paraId="41CBC784" w14:textId="4D4054B7" w:rsidR="00081A7D" w:rsidRPr="008F2DF3" w:rsidRDefault="00081A7D" w:rsidP="007533FC">
            <w:pPr>
              <w:pStyle w:val="ListParagraph"/>
              <w:widowControl w:val="0"/>
              <w:autoSpaceDE w:val="0"/>
              <w:autoSpaceDN w:val="0"/>
              <w:adjustRightInd w:val="0"/>
              <w:ind w:left="0"/>
              <w:rPr>
                <w:rFonts w:cs="Arial"/>
                <w:lang w:val="es-ES"/>
              </w:rPr>
            </w:pPr>
            <w:bookmarkStart w:id="0" w:name="_Hlk147909099"/>
            <w:r w:rsidRPr="00C50B05">
              <w:rPr>
                <w:rFonts w:cs="Arial"/>
                <w:strike/>
                <w:lang w:val="es-ES"/>
              </w:rPr>
              <w:t>Especies invasoras, enfermedades, animales asilvestrados, insectos y plagas y malezas marinas</w:t>
            </w:r>
            <w:bookmarkEnd w:id="0"/>
            <w:r w:rsidRPr="008F2DF3">
              <w:rPr>
                <w:rFonts w:cs="Arial"/>
                <w:lang w:val="es-ES"/>
              </w:rPr>
              <w:t xml:space="preserve"> </w:t>
            </w:r>
            <w:r w:rsidRPr="008F2DF3">
              <w:rPr>
                <w:rFonts w:cs="Arial"/>
                <w:u w:val="single"/>
                <w:lang w:val="es-ES"/>
              </w:rPr>
              <w:t>Salud de la fauna silvestre</w:t>
            </w:r>
          </w:p>
        </w:tc>
        <w:tc>
          <w:tcPr>
            <w:tcW w:w="2551" w:type="dxa"/>
          </w:tcPr>
          <w:p w14:paraId="41B1EBF8" w14:textId="77777777" w:rsidR="00081A7D" w:rsidRPr="008F2DF3" w:rsidRDefault="00081A7D" w:rsidP="007533FC">
            <w:pPr>
              <w:pStyle w:val="ListParagraph"/>
              <w:widowControl w:val="0"/>
              <w:autoSpaceDE w:val="0"/>
              <w:autoSpaceDN w:val="0"/>
              <w:adjustRightInd w:val="0"/>
              <w:ind w:left="0"/>
              <w:rPr>
                <w:rFonts w:cs="Arial"/>
                <w:lang w:val="es-ES"/>
              </w:rPr>
            </w:pPr>
            <w:r w:rsidRPr="008F2DF3">
              <w:rPr>
                <w:rFonts w:cs="Arial"/>
                <w:lang w:val="es-ES"/>
              </w:rPr>
              <w:t>Dra. Ruth Cromie</w:t>
            </w:r>
          </w:p>
        </w:tc>
        <w:tc>
          <w:tcPr>
            <w:tcW w:w="3776" w:type="dxa"/>
          </w:tcPr>
          <w:p w14:paraId="61B65AD7" w14:textId="77777777" w:rsidR="00081A7D" w:rsidRPr="008F2DF3" w:rsidRDefault="00081A7D" w:rsidP="007533FC">
            <w:pPr>
              <w:pStyle w:val="ListParagraph"/>
              <w:widowControl w:val="0"/>
              <w:autoSpaceDE w:val="0"/>
              <w:autoSpaceDN w:val="0"/>
              <w:adjustRightInd w:val="0"/>
              <w:ind w:left="0"/>
              <w:rPr>
                <w:rFonts w:cs="Arial"/>
                <w:lang w:val="es-ES"/>
              </w:rPr>
            </w:pPr>
            <w:r w:rsidRPr="008F2DF3">
              <w:rPr>
                <w:rFonts w:cs="Arial"/>
                <w:lang w:val="es-ES"/>
              </w:rPr>
              <w:t>Vacante tras la clausura de la COP15; se invita a la ScC-SC8 a formular recomendaciones a la COP sobre la cobertura de este puesto</w:t>
            </w:r>
          </w:p>
        </w:tc>
      </w:tr>
      <w:tr w:rsidR="00081A7D" w:rsidRPr="00DC48AA" w14:paraId="262AD65F" w14:textId="77777777" w:rsidTr="007533FC">
        <w:tc>
          <w:tcPr>
            <w:tcW w:w="2694" w:type="dxa"/>
          </w:tcPr>
          <w:p w14:paraId="2AAF0156" w14:textId="77777777" w:rsidR="00081A7D" w:rsidRPr="008F2DF3" w:rsidRDefault="00081A7D" w:rsidP="007533FC">
            <w:pPr>
              <w:pStyle w:val="ListParagraph"/>
              <w:widowControl w:val="0"/>
              <w:autoSpaceDE w:val="0"/>
              <w:autoSpaceDN w:val="0"/>
              <w:adjustRightInd w:val="0"/>
              <w:ind w:left="0"/>
              <w:rPr>
                <w:rFonts w:cs="Arial"/>
                <w:lang w:val="es-ES"/>
              </w:rPr>
            </w:pPr>
            <w:r w:rsidRPr="008F2DF3">
              <w:rPr>
                <w:rFonts w:cs="Arial"/>
                <w:lang w:val="es-ES"/>
              </w:rPr>
              <w:t>Contaminación marina</w:t>
            </w:r>
          </w:p>
        </w:tc>
        <w:tc>
          <w:tcPr>
            <w:tcW w:w="2551" w:type="dxa"/>
          </w:tcPr>
          <w:p w14:paraId="16D30C5F" w14:textId="77777777" w:rsidR="00081A7D" w:rsidRPr="008F2DF3" w:rsidRDefault="00081A7D" w:rsidP="007533FC">
            <w:pPr>
              <w:pStyle w:val="ListParagraph"/>
              <w:widowControl w:val="0"/>
              <w:autoSpaceDE w:val="0"/>
              <w:autoSpaceDN w:val="0"/>
              <w:adjustRightInd w:val="0"/>
              <w:ind w:left="0"/>
              <w:rPr>
                <w:rFonts w:cs="Arial"/>
                <w:lang w:val="es-ES"/>
              </w:rPr>
            </w:pPr>
            <w:r w:rsidRPr="008F2DF3">
              <w:rPr>
                <w:rFonts w:cs="Arial"/>
                <w:lang w:val="es-ES"/>
              </w:rPr>
              <w:t>D. Mark P. Simmonds</w:t>
            </w:r>
          </w:p>
        </w:tc>
        <w:tc>
          <w:tcPr>
            <w:tcW w:w="3776" w:type="dxa"/>
          </w:tcPr>
          <w:p w14:paraId="398E60F8" w14:textId="77777777" w:rsidR="00081A7D" w:rsidRPr="008F2DF3" w:rsidRDefault="00081A7D" w:rsidP="007533FC">
            <w:pPr>
              <w:pStyle w:val="ListParagraph"/>
              <w:widowControl w:val="0"/>
              <w:autoSpaceDE w:val="0"/>
              <w:autoSpaceDN w:val="0"/>
              <w:adjustRightInd w:val="0"/>
              <w:ind w:left="0"/>
              <w:rPr>
                <w:rFonts w:cs="Arial"/>
                <w:lang w:val="es-ES"/>
              </w:rPr>
            </w:pPr>
            <w:r w:rsidRPr="008F2DF3">
              <w:rPr>
                <w:rFonts w:cs="Arial"/>
                <w:lang w:val="es-ES"/>
              </w:rPr>
              <w:t>Nombrar a D. Mark P. Simmonds para el próximo trienio</w:t>
            </w:r>
          </w:p>
        </w:tc>
      </w:tr>
      <w:tr w:rsidR="00081A7D" w:rsidRPr="00DC48AA" w14:paraId="38B54808" w14:textId="77777777" w:rsidTr="007533FC">
        <w:tc>
          <w:tcPr>
            <w:tcW w:w="2694" w:type="dxa"/>
          </w:tcPr>
          <w:p w14:paraId="546ED0E7" w14:textId="77777777" w:rsidR="00081A7D" w:rsidRPr="008F2DF3" w:rsidRDefault="00081A7D" w:rsidP="007533FC">
            <w:pPr>
              <w:pStyle w:val="ListParagraph"/>
              <w:widowControl w:val="0"/>
              <w:autoSpaceDE w:val="0"/>
              <w:autoSpaceDN w:val="0"/>
              <w:adjustRightInd w:val="0"/>
              <w:ind w:left="0"/>
              <w:rPr>
                <w:rFonts w:cs="Arial"/>
                <w:lang w:val="es-ES"/>
              </w:rPr>
            </w:pPr>
            <w:r w:rsidRPr="008F2DF3">
              <w:rPr>
                <w:rFonts w:cs="Arial"/>
                <w:lang w:val="es-ES"/>
              </w:rPr>
              <w:t>Mamíferos terrestres</w:t>
            </w:r>
          </w:p>
        </w:tc>
        <w:tc>
          <w:tcPr>
            <w:tcW w:w="2551" w:type="dxa"/>
          </w:tcPr>
          <w:p w14:paraId="3A511851" w14:textId="77777777" w:rsidR="00081A7D" w:rsidRPr="008F2DF3" w:rsidRDefault="00081A7D" w:rsidP="007533FC">
            <w:pPr>
              <w:spacing w:after="160" w:line="259" w:lineRule="auto"/>
              <w:rPr>
                <w:rFonts w:ascii="Segoe UI" w:hAnsi="Segoe UI" w:cs="Segoe UI"/>
                <w:sz w:val="16"/>
                <w:lang w:val="es-ES"/>
              </w:rPr>
            </w:pPr>
            <w:r w:rsidRPr="008F2DF3">
              <w:rPr>
                <w:rFonts w:cs="Arial"/>
                <w:lang w:val="es-ES"/>
              </w:rPr>
              <w:t xml:space="preserve">Prof. Alfred Oteng-Yeboah </w:t>
            </w:r>
          </w:p>
        </w:tc>
        <w:tc>
          <w:tcPr>
            <w:tcW w:w="3776" w:type="dxa"/>
          </w:tcPr>
          <w:p w14:paraId="541EB291" w14:textId="77777777" w:rsidR="00081A7D" w:rsidRPr="008F2DF3" w:rsidRDefault="00081A7D" w:rsidP="007533FC">
            <w:pPr>
              <w:rPr>
                <w:rFonts w:cs="Arial"/>
                <w:lang w:val="es-ES"/>
              </w:rPr>
            </w:pPr>
            <w:r w:rsidRPr="008F2DF3">
              <w:rPr>
                <w:rFonts w:cs="Arial"/>
                <w:lang w:val="es-ES"/>
              </w:rPr>
              <w:t>Nombrar al Prof. Alfred Oteng-Yeboah para el próximo trienio</w:t>
            </w:r>
          </w:p>
        </w:tc>
      </w:tr>
    </w:tbl>
    <w:p w14:paraId="1D992F34" w14:textId="77777777" w:rsidR="00081A7D" w:rsidRPr="008F2DF3" w:rsidRDefault="00081A7D" w:rsidP="00081A7D">
      <w:pPr>
        <w:widowControl w:val="0"/>
        <w:autoSpaceDE w:val="0"/>
        <w:autoSpaceDN w:val="0"/>
        <w:adjustRightInd w:val="0"/>
        <w:spacing w:after="0" w:line="240" w:lineRule="auto"/>
        <w:jc w:val="both"/>
        <w:rPr>
          <w:rFonts w:cs="Arial"/>
          <w:sz w:val="20"/>
          <w:szCs w:val="20"/>
          <w:lang w:val="es-ES"/>
        </w:rPr>
      </w:pPr>
    </w:p>
    <w:p w14:paraId="18B49EA2" w14:textId="77777777" w:rsidR="00081A7D" w:rsidRPr="008F2DF3" w:rsidRDefault="00081A7D" w:rsidP="00081A7D">
      <w:pPr>
        <w:widowControl w:val="0"/>
        <w:numPr>
          <w:ilvl w:val="0"/>
          <w:numId w:val="14"/>
        </w:numPr>
        <w:autoSpaceDE w:val="0"/>
        <w:autoSpaceDN w:val="0"/>
        <w:adjustRightInd w:val="0"/>
        <w:spacing w:after="0" w:line="240" w:lineRule="auto"/>
        <w:ind w:left="567" w:hanging="567"/>
        <w:jc w:val="both"/>
        <w:rPr>
          <w:rFonts w:cs="Arial"/>
          <w:lang w:val="es-ES"/>
        </w:rPr>
      </w:pPr>
      <w:r w:rsidRPr="008F2DF3">
        <w:rPr>
          <w:rFonts w:cs="Arial"/>
          <w:lang w:val="es-ES"/>
        </w:rPr>
        <w:t xml:space="preserve">La actual consejera designada por la COP para el área de especies invasoras, enfermedades, animales asilvestrados, insectos y plagas y malezas marinas ha informado a la Secretaría de su intención de dejar el cargo en la COP15, tras haber desempeñado dos mandatos. </w:t>
      </w:r>
    </w:p>
    <w:p w14:paraId="64365DED" w14:textId="77777777" w:rsidR="00081A7D" w:rsidRPr="008F2DF3" w:rsidRDefault="00081A7D" w:rsidP="00081A7D">
      <w:pPr>
        <w:widowControl w:val="0"/>
        <w:autoSpaceDE w:val="0"/>
        <w:autoSpaceDN w:val="0"/>
        <w:adjustRightInd w:val="0"/>
        <w:spacing w:after="0" w:line="240" w:lineRule="auto"/>
        <w:ind w:left="567"/>
        <w:jc w:val="both"/>
        <w:rPr>
          <w:rFonts w:cs="Arial"/>
          <w:sz w:val="20"/>
          <w:szCs w:val="20"/>
          <w:lang w:val="es-ES"/>
        </w:rPr>
      </w:pPr>
    </w:p>
    <w:p w14:paraId="14BE4C54" w14:textId="5913D0E9" w:rsidR="00081A7D" w:rsidRPr="00C82FBF" w:rsidRDefault="00081A7D" w:rsidP="001206CB">
      <w:pPr>
        <w:widowControl w:val="0"/>
        <w:numPr>
          <w:ilvl w:val="0"/>
          <w:numId w:val="14"/>
        </w:numPr>
        <w:autoSpaceDE w:val="0"/>
        <w:autoSpaceDN w:val="0"/>
        <w:adjustRightInd w:val="0"/>
        <w:spacing w:after="0" w:line="240" w:lineRule="auto"/>
        <w:ind w:left="567" w:hanging="567"/>
        <w:jc w:val="both"/>
        <w:rPr>
          <w:rFonts w:cs="Arial"/>
          <w:lang w:val="es-ES"/>
        </w:rPr>
      </w:pPr>
      <w:r w:rsidRPr="00C82FBF">
        <w:rPr>
          <w:rFonts w:cs="Arial"/>
          <w:lang w:val="es-ES"/>
        </w:rPr>
        <w:t>La Secretaría emitió una convocatoria de candidaturas para la</w:t>
      </w:r>
      <w:r w:rsidRPr="00C82FBF">
        <w:rPr>
          <w:rFonts w:cs="Arial"/>
          <w:color w:val="000000" w:themeColor="text1"/>
          <w:lang w:val="es-ES"/>
        </w:rPr>
        <w:t xml:space="preserve"> vacante </w:t>
      </w:r>
      <w:r w:rsidRPr="00C82FBF">
        <w:rPr>
          <w:rFonts w:cs="Arial"/>
          <w:lang w:val="es-ES"/>
        </w:rPr>
        <w:t>e</w:t>
      </w:r>
      <w:r w:rsidR="0057641C" w:rsidRPr="00C82FBF">
        <w:rPr>
          <w:rFonts w:cs="Arial"/>
          <w:lang w:val="es-ES"/>
        </w:rPr>
        <w:t xml:space="preserve">l 17 de noviembre 2025 a través de la </w:t>
      </w:r>
      <w:hyperlink r:id="rId15" w:history="1">
        <w:r w:rsidR="005A2CF9" w:rsidRPr="00C82FBF">
          <w:rPr>
            <w:rStyle w:val="Hyperlink"/>
            <w:rFonts w:cs="Arial"/>
            <w:lang w:val="es-ES"/>
          </w:rPr>
          <w:t>Notificación 2025/31</w:t>
        </w:r>
      </w:hyperlink>
      <w:r w:rsidR="00C82FBF" w:rsidRPr="00C82FBF">
        <w:rPr>
          <w:rFonts w:cs="Arial"/>
          <w:lang w:val="es-ES"/>
        </w:rPr>
        <w:t>,</w:t>
      </w:r>
      <w:r w:rsidR="00C82FBF">
        <w:rPr>
          <w:rFonts w:cs="Arial"/>
          <w:lang w:val="es-ES"/>
        </w:rPr>
        <w:t xml:space="preserve"> </w:t>
      </w:r>
      <w:r w:rsidR="00080F4E">
        <w:rPr>
          <w:rFonts w:cs="Arial"/>
          <w:lang w:val="es-ES"/>
        </w:rPr>
        <w:t>y</w:t>
      </w:r>
      <w:r w:rsidRPr="00C82FBF">
        <w:rPr>
          <w:rFonts w:cs="Arial"/>
          <w:lang w:val="es-ES"/>
        </w:rPr>
        <w:t xml:space="preserve"> emitirá un anexo a este documento con una actualización sobre los posibles candidatos.</w:t>
      </w:r>
    </w:p>
    <w:p w14:paraId="6382F653" w14:textId="77777777" w:rsidR="00081A7D" w:rsidRPr="008F2DF3" w:rsidRDefault="00081A7D" w:rsidP="00081A7D">
      <w:pPr>
        <w:pStyle w:val="ListParagraph"/>
        <w:spacing w:after="0"/>
        <w:rPr>
          <w:rFonts w:cs="Arial"/>
          <w:sz w:val="20"/>
          <w:szCs w:val="20"/>
          <w:lang w:val="es-ES"/>
        </w:rPr>
      </w:pPr>
    </w:p>
    <w:p w14:paraId="3230B6C1" w14:textId="77777777" w:rsidR="00081A7D" w:rsidRPr="008F2DF3" w:rsidRDefault="00081A7D" w:rsidP="00081A7D">
      <w:pPr>
        <w:widowControl w:val="0"/>
        <w:numPr>
          <w:ilvl w:val="0"/>
          <w:numId w:val="14"/>
        </w:numPr>
        <w:autoSpaceDE w:val="0"/>
        <w:autoSpaceDN w:val="0"/>
        <w:adjustRightInd w:val="0"/>
        <w:spacing w:after="0" w:line="240" w:lineRule="auto"/>
        <w:ind w:left="567" w:hanging="567"/>
        <w:jc w:val="both"/>
        <w:rPr>
          <w:rFonts w:cs="Arial"/>
          <w:lang w:val="es-ES"/>
        </w:rPr>
      </w:pPr>
      <w:r w:rsidRPr="008F2DF3">
        <w:rPr>
          <w:rFonts w:cs="Arial"/>
          <w:lang w:val="es-ES"/>
        </w:rPr>
        <w:t xml:space="preserve">Como parte del proceso de consulta establecido en el párrafo 9 de la Resolución 12.4 del </w:t>
      </w:r>
      <w:r w:rsidRPr="008F2DF3">
        <w:rPr>
          <w:rFonts w:cs="Arial"/>
          <w:i/>
          <w:iCs/>
          <w:lang w:val="es-ES"/>
        </w:rPr>
        <w:t>Consejo Científico</w:t>
      </w:r>
      <w:r w:rsidRPr="008F2DF3">
        <w:rPr>
          <w:rFonts w:cs="Arial"/>
          <w:lang w:val="es-ES"/>
        </w:rPr>
        <w:t>, la ScC-SC8 (diciembre de 2025) formulará sus recomendaciones</w:t>
      </w:r>
      <w:r w:rsidRPr="008F2DF3">
        <w:rPr>
          <w:rFonts w:cs="Arial"/>
          <w:color w:val="000000" w:themeColor="text1"/>
          <w:lang w:val="es-ES"/>
        </w:rPr>
        <w:t xml:space="preserve"> para </w:t>
      </w:r>
      <w:r w:rsidRPr="008F2DF3">
        <w:rPr>
          <w:rFonts w:cs="Arial"/>
          <w:lang w:val="es-ES"/>
        </w:rPr>
        <w:t>esta vacante.</w:t>
      </w:r>
    </w:p>
    <w:p w14:paraId="11DFD379" w14:textId="77777777" w:rsidR="00081A7D" w:rsidRPr="008F2DF3" w:rsidRDefault="00081A7D" w:rsidP="00081A7D">
      <w:pPr>
        <w:widowControl w:val="0"/>
        <w:autoSpaceDE w:val="0"/>
        <w:autoSpaceDN w:val="0"/>
        <w:adjustRightInd w:val="0"/>
        <w:spacing w:after="0" w:line="240" w:lineRule="auto"/>
        <w:ind w:left="567" w:hanging="567"/>
        <w:jc w:val="both"/>
        <w:rPr>
          <w:rFonts w:cs="Arial"/>
          <w:sz w:val="20"/>
          <w:szCs w:val="20"/>
          <w:lang w:val="es-ES"/>
        </w:rPr>
      </w:pPr>
    </w:p>
    <w:p w14:paraId="52C075C3" w14:textId="77777777" w:rsidR="00081A7D" w:rsidRDefault="00081A7D" w:rsidP="00081A7D">
      <w:pPr>
        <w:widowControl w:val="0"/>
        <w:numPr>
          <w:ilvl w:val="0"/>
          <w:numId w:val="14"/>
        </w:numPr>
        <w:autoSpaceDE w:val="0"/>
        <w:autoSpaceDN w:val="0"/>
        <w:adjustRightInd w:val="0"/>
        <w:spacing w:after="0" w:line="240" w:lineRule="auto"/>
        <w:ind w:left="567" w:hanging="567"/>
        <w:jc w:val="both"/>
        <w:rPr>
          <w:rFonts w:cs="Arial"/>
          <w:lang w:val="es-ES"/>
        </w:rPr>
      </w:pPr>
      <w:r w:rsidRPr="008F2DF3">
        <w:rPr>
          <w:rFonts w:cs="Arial"/>
          <w:lang w:val="es-ES"/>
        </w:rPr>
        <w:t xml:space="preserve">Los consejeros designados por la COP para las demás áreas temáticas han expresado su interés en continuar su labor tras la COP15. Se invita al Consejo Científico y a la COP15 a considerar su reelección para el período entre sesiones posterior a la COP15. </w:t>
      </w:r>
    </w:p>
    <w:p w14:paraId="38779650" w14:textId="77777777" w:rsidR="007A6FB5" w:rsidRDefault="007A6FB5" w:rsidP="007A6FB5">
      <w:pPr>
        <w:pStyle w:val="ListParagraph"/>
        <w:spacing w:after="0" w:line="240" w:lineRule="auto"/>
        <w:rPr>
          <w:rFonts w:cs="Arial"/>
          <w:lang w:val="es-ES"/>
        </w:rPr>
      </w:pPr>
    </w:p>
    <w:p w14:paraId="576AD4EE" w14:textId="23674E39" w:rsidR="007A6FB5" w:rsidRPr="008F2DF3" w:rsidRDefault="002463E1" w:rsidP="007A6FB5">
      <w:pPr>
        <w:widowControl w:val="0"/>
        <w:numPr>
          <w:ilvl w:val="0"/>
          <w:numId w:val="14"/>
        </w:numPr>
        <w:autoSpaceDE w:val="0"/>
        <w:autoSpaceDN w:val="0"/>
        <w:adjustRightInd w:val="0"/>
        <w:spacing w:after="0" w:line="240" w:lineRule="auto"/>
        <w:ind w:left="567" w:hanging="567"/>
        <w:jc w:val="both"/>
        <w:rPr>
          <w:rFonts w:cs="Arial"/>
          <w:lang w:val="es-ES"/>
        </w:rPr>
      </w:pPr>
      <w:r w:rsidRPr="002463E1">
        <w:rPr>
          <w:rFonts w:cs="Arial"/>
          <w:lang w:val="es-ES"/>
        </w:rPr>
        <w:lastRenderedPageBreak/>
        <w:t>El ScC-SC8 examinó las candidaturas para el cargo de consejero de salud designado por la COP que figuran en el apéndice 1 del presente documento. Concluyó que los cinco candidatos son elegibles y están debidamente cualificados para ocupar este cargo.</w:t>
      </w:r>
    </w:p>
    <w:p w14:paraId="79560A7A" w14:textId="77777777" w:rsidR="000035CD" w:rsidRDefault="000035CD" w:rsidP="000035CD">
      <w:pPr>
        <w:pStyle w:val="ListParagraph"/>
        <w:spacing w:after="0" w:line="240" w:lineRule="auto"/>
        <w:ind w:left="540"/>
        <w:contextualSpacing w:val="0"/>
        <w:jc w:val="both"/>
        <w:rPr>
          <w:rFonts w:cs="Arial"/>
          <w:color w:val="000000" w:themeColor="text1"/>
          <w:lang w:val="es-ES"/>
        </w:rPr>
      </w:pPr>
    </w:p>
    <w:p w14:paraId="3C72AB82" w14:textId="73615DBD" w:rsidR="00081A7D" w:rsidRDefault="000035CD" w:rsidP="000035CD">
      <w:pPr>
        <w:pStyle w:val="ListParagraph"/>
        <w:spacing w:after="0" w:line="240" w:lineRule="auto"/>
        <w:ind w:left="540"/>
        <w:contextualSpacing w:val="0"/>
        <w:jc w:val="both"/>
        <w:rPr>
          <w:rFonts w:cs="Arial"/>
          <w:color w:val="000000" w:themeColor="text1"/>
          <w:lang w:val="es-ES"/>
        </w:rPr>
      </w:pPr>
      <w:r w:rsidRPr="000035CD">
        <w:rPr>
          <w:rFonts w:cs="Arial"/>
          <w:color w:val="000000" w:themeColor="text1"/>
          <w:lang w:val="es-ES"/>
        </w:rPr>
        <w:t>Se consideró que dos candidatos, Craig Stephen y Chris Walzer, ofrecían unas credenciales científicas excepcionales y una amplia comprensión de la importancia de un enfoque holístico de la salud. Ambos son ya miembros activos del Grupo de Trabajo sobre Especies Migratorias y Salud de la CMS y, por lo tanto, están familiarizados con la labor de la Convención. Craig Stephen, director ejecutivo del Instituto McEachran, ya ha sido coautor de los dos últimos informes del Grupo de Trabajo, y Chris Walzer, director ejecutivo global de Salud de la Sociedad para la Conservación de la Vida Silvestre, aporta su familiaridad con el enfoque «Una sola salud» en el contexto de la conservación.</w:t>
      </w:r>
    </w:p>
    <w:p w14:paraId="58187FB4" w14:textId="77777777" w:rsidR="000035CD" w:rsidRPr="000035CD" w:rsidRDefault="000035CD" w:rsidP="000035CD">
      <w:pPr>
        <w:pStyle w:val="ListParagraph"/>
        <w:spacing w:after="0" w:line="240" w:lineRule="auto"/>
        <w:ind w:left="540"/>
        <w:contextualSpacing w:val="0"/>
        <w:jc w:val="both"/>
        <w:rPr>
          <w:rFonts w:cs="Arial"/>
          <w:color w:val="000000" w:themeColor="text1"/>
          <w:lang w:val="es-ES"/>
        </w:rPr>
      </w:pPr>
    </w:p>
    <w:p w14:paraId="162A62C3" w14:textId="77777777" w:rsidR="00081A7D" w:rsidRPr="00131B5F" w:rsidRDefault="00081A7D" w:rsidP="00081A7D">
      <w:pPr>
        <w:widowControl w:val="0"/>
        <w:numPr>
          <w:ilvl w:val="0"/>
          <w:numId w:val="14"/>
        </w:numPr>
        <w:autoSpaceDE w:val="0"/>
        <w:autoSpaceDN w:val="0"/>
        <w:adjustRightInd w:val="0"/>
        <w:spacing w:after="0" w:line="240" w:lineRule="auto"/>
        <w:ind w:left="567" w:hanging="567"/>
        <w:jc w:val="both"/>
        <w:rPr>
          <w:rFonts w:cs="Arial"/>
          <w:lang w:val="es-ES"/>
        </w:rPr>
      </w:pPr>
      <w:r w:rsidRPr="008F2DF3">
        <w:rPr>
          <w:rFonts w:cs="Arial"/>
          <w:color w:val="000000" w:themeColor="text1"/>
          <w:lang w:val="es-ES"/>
        </w:rPr>
        <w:t>Dado el alto volumen de trabajo relacionado con los mamíferos terrestres, la ScC-SC8 y la COP15 podrían considerar si el puesto de consejero designado por la COP para mamíferos debería ser compartido por dos consejeros en el período entre sesiones comprendido entre la COP15 y la COP16, siguiendo la práctica anterior a la COP14, con el entendimiento de que ello se contaría como un solo puesto.</w:t>
      </w:r>
    </w:p>
    <w:p w14:paraId="18586822" w14:textId="77777777" w:rsidR="00131B5F" w:rsidRPr="002D78F2" w:rsidRDefault="00131B5F" w:rsidP="00131B5F">
      <w:pPr>
        <w:widowControl w:val="0"/>
        <w:autoSpaceDE w:val="0"/>
        <w:autoSpaceDN w:val="0"/>
        <w:adjustRightInd w:val="0"/>
        <w:spacing w:after="0" w:line="240" w:lineRule="auto"/>
        <w:ind w:left="567"/>
        <w:jc w:val="both"/>
        <w:rPr>
          <w:rFonts w:cs="Arial"/>
          <w:lang w:val="es-ES"/>
        </w:rPr>
      </w:pPr>
    </w:p>
    <w:p w14:paraId="288EBB06" w14:textId="2D7DE3DE" w:rsidR="002D78F2" w:rsidRDefault="00131B5F" w:rsidP="009C5B6B">
      <w:pPr>
        <w:widowControl w:val="0"/>
        <w:numPr>
          <w:ilvl w:val="0"/>
          <w:numId w:val="14"/>
        </w:numPr>
        <w:autoSpaceDE w:val="0"/>
        <w:autoSpaceDN w:val="0"/>
        <w:adjustRightInd w:val="0"/>
        <w:spacing w:after="0" w:line="240" w:lineRule="auto"/>
        <w:ind w:left="567" w:hanging="567"/>
        <w:jc w:val="both"/>
        <w:rPr>
          <w:rFonts w:cs="Arial"/>
          <w:lang w:val="es-ES"/>
        </w:rPr>
      </w:pPr>
      <w:r w:rsidRPr="00131B5F">
        <w:rPr>
          <w:rFonts w:cs="Arial"/>
          <w:lang w:val="es-ES"/>
        </w:rPr>
        <w:t>El ScC-SC8 examinó esta cuestión y convino en que, dado el gran volumen de trabajo relacionado con los mamíferos terrestres, sería conveniente que dos consejeros compartieran este cargo. Solicitó a la Secretaría que convocara la presentación de candidaturas mediante una notificación. El ScC-SC8 solicitó además a la Secretaría que recabara las opiniones de los miembros del Comité de Sesión sobre las candidaturas mediante intercambio de correos electrónicos y que pusiera a disposición de la COP los perfiles de los candidatos, así como los comentarios del Comité de Sesión, para que esta tomara una decisión.</w:t>
      </w:r>
    </w:p>
    <w:p w14:paraId="5CF0D021" w14:textId="77777777" w:rsidR="002A06B1" w:rsidRDefault="002A06B1" w:rsidP="009C5B6B">
      <w:pPr>
        <w:pStyle w:val="ListParagraph"/>
        <w:spacing w:after="0" w:line="240" w:lineRule="auto"/>
        <w:rPr>
          <w:rFonts w:cs="Arial"/>
          <w:lang w:val="es-ES"/>
        </w:rPr>
      </w:pPr>
    </w:p>
    <w:p w14:paraId="3248474E" w14:textId="56B234F9" w:rsidR="00CA0B03" w:rsidRDefault="00CA0B03" w:rsidP="009C5B6B">
      <w:pPr>
        <w:widowControl w:val="0"/>
        <w:numPr>
          <w:ilvl w:val="0"/>
          <w:numId w:val="14"/>
        </w:numPr>
        <w:autoSpaceDE w:val="0"/>
        <w:autoSpaceDN w:val="0"/>
        <w:adjustRightInd w:val="0"/>
        <w:spacing w:after="0" w:line="240" w:lineRule="auto"/>
        <w:ind w:left="567" w:hanging="567"/>
        <w:jc w:val="both"/>
        <w:rPr>
          <w:rFonts w:cs="Arial"/>
          <w:lang w:val="es-ES"/>
        </w:rPr>
      </w:pPr>
      <w:r w:rsidRPr="002A06B1">
        <w:rPr>
          <w:rFonts w:cs="Arial"/>
          <w:lang w:val="es-ES"/>
        </w:rPr>
        <w:t>La Secretaría publicó una convocatoria para presentar candidaturas para la vacante el 17 de noviembre de 2025 mediante la Notificación 2025/034 y recibió dos candidaturas (disponibles como Adenda 2 al presente documento). La Secretaría solicitó asesoramiento al Comité de</w:t>
      </w:r>
      <w:r w:rsidR="007771CE" w:rsidRPr="002A06B1">
        <w:rPr>
          <w:rFonts w:cs="Arial"/>
          <w:lang w:val="es-ES"/>
        </w:rPr>
        <w:t>l Periodo de Sesiones</w:t>
      </w:r>
      <w:r w:rsidRPr="002A06B1">
        <w:rPr>
          <w:rFonts w:cs="Arial"/>
          <w:lang w:val="es-ES"/>
        </w:rPr>
        <w:t xml:space="preserve"> sobre la idoneidad de las candidaturas recibidas y el candidato preferido. De los 27 miembros y suplentes actuales del Comité de Sesión, 16 respondieron a la consulta. Coincidieron en que ambos candidatos eran elegibles y estaban bien cualificados para este puesto.</w:t>
      </w:r>
    </w:p>
    <w:p w14:paraId="57A37D70" w14:textId="77777777" w:rsidR="002A06B1" w:rsidRDefault="002A06B1" w:rsidP="009C5B6B">
      <w:pPr>
        <w:pStyle w:val="ListParagraph"/>
        <w:spacing w:after="0" w:line="240" w:lineRule="auto"/>
        <w:rPr>
          <w:rFonts w:cs="Arial"/>
          <w:lang w:val="es-ES"/>
        </w:rPr>
      </w:pPr>
    </w:p>
    <w:p w14:paraId="643A9855" w14:textId="391F6C72" w:rsidR="00CA0B03" w:rsidRDefault="00CA0B03" w:rsidP="009C5B6B">
      <w:pPr>
        <w:widowControl w:val="0"/>
        <w:numPr>
          <w:ilvl w:val="0"/>
          <w:numId w:val="14"/>
        </w:numPr>
        <w:autoSpaceDE w:val="0"/>
        <w:autoSpaceDN w:val="0"/>
        <w:adjustRightInd w:val="0"/>
        <w:spacing w:after="0" w:line="240" w:lineRule="auto"/>
        <w:ind w:left="567" w:hanging="567"/>
        <w:jc w:val="both"/>
        <w:rPr>
          <w:rFonts w:cs="Arial"/>
          <w:lang w:val="es-ES"/>
        </w:rPr>
      </w:pPr>
      <w:r w:rsidRPr="002A06B1">
        <w:rPr>
          <w:rFonts w:cs="Arial"/>
          <w:lang w:val="es-ES"/>
        </w:rPr>
        <w:t>La Dra. Nandintsetseg Dejid aporta una sólida experiencia científica en ecología del movimiento, conectividad e impacto de las infraestructuras en los ungulados migratorios, además de su reciente participación directa en iniciativas técnicas de la CMS, como la Iniciativa sobre Mamíferos de Asia Central (CAMI) y trabajos relacionados con la conectividad. Su base geográfica y su experiencia en Asia Central y su fauna terrestre complementarían la experiencia del otro consejero para los mamíferos terrestres en África, lo que proporcionaría una buena cobertura regional en muchas de las prioridades de la CMS en materia de mamíferos terrestres.</w:t>
      </w:r>
    </w:p>
    <w:p w14:paraId="145DB328" w14:textId="77777777" w:rsidR="002A06B1" w:rsidRDefault="002A06B1" w:rsidP="009C5B6B">
      <w:pPr>
        <w:pStyle w:val="ListParagraph"/>
        <w:spacing w:after="0" w:line="240" w:lineRule="auto"/>
        <w:rPr>
          <w:rFonts w:cs="Arial"/>
          <w:lang w:val="es-ES"/>
        </w:rPr>
      </w:pPr>
    </w:p>
    <w:p w14:paraId="7BC297AB" w14:textId="77777777" w:rsidR="00061A8F" w:rsidRDefault="00061A8F" w:rsidP="009C5B6B">
      <w:pPr>
        <w:widowControl w:val="0"/>
        <w:numPr>
          <w:ilvl w:val="0"/>
          <w:numId w:val="14"/>
        </w:numPr>
        <w:autoSpaceDE w:val="0"/>
        <w:autoSpaceDN w:val="0"/>
        <w:adjustRightInd w:val="0"/>
        <w:spacing w:after="0" w:line="240" w:lineRule="auto"/>
        <w:ind w:left="567" w:hanging="567"/>
        <w:jc w:val="both"/>
        <w:rPr>
          <w:rFonts w:cs="Arial"/>
          <w:lang w:val="es-ES"/>
        </w:rPr>
      </w:pPr>
      <w:r w:rsidRPr="00F813E8">
        <w:rPr>
          <w:rFonts w:cs="Arial"/>
          <w:lang w:val="es-ES"/>
        </w:rPr>
        <w:t xml:space="preserve">El Sr. Ian Redmond, licenciado en Ciencias (con honores), cuenta con una amplia experiencia en la conservación de mamíferos terrestres y una larga trayectoria en la CMS y otros acuerdos multilaterales sobre el medio ambiente, en particular en la conservación de los grandes simios y los elefantes y en los procesos políticos internacionales. </w:t>
      </w:r>
    </w:p>
    <w:p w14:paraId="50F0E433" w14:textId="77777777" w:rsidR="00F813E8" w:rsidRDefault="00F813E8" w:rsidP="009C5B6B">
      <w:pPr>
        <w:pStyle w:val="ListParagraph"/>
        <w:spacing w:after="0" w:line="240" w:lineRule="auto"/>
        <w:rPr>
          <w:rFonts w:cs="Arial"/>
          <w:lang w:val="es-ES"/>
        </w:rPr>
      </w:pPr>
    </w:p>
    <w:p w14:paraId="39C916D4" w14:textId="333ED58B" w:rsidR="00A13226" w:rsidRPr="00F813E8" w:rsidRDefault="00922CC4" w:rsidP="009C5B6B">
      <w:pPr>
        <w:widowControl w:val="0"/>
        <w:numPr>
          <w:ilvl w:val="0"/>
          <w:numId w:val="14"/>
        </w:numPr>
        <w:autoSpaceDE w:val="0"/>
        <w:autoSpaceDN w:val="0"/>
        <w:adjustRightInd w:val="0"/>
        <w:spacing w:after="0" w:line="240" w:lineRule="auto"/>
        <w:ind w:left="567" w:hanging="567"/>
        <w:jc w:val="both"/>
        <w:rPr>
          <w:rFonts w:cs="Arial"/>
          <w:lang w:val="es-ES"/>
        </w:rPr>
      </w:pPr>
      <w:r w:rsidRPr="00F813E8">
        <w:rPr>
          <w:rFonts w:cs="Arial"/>
          <w:lang w:val="es-ES"/>
        </w:rPr>
        <w:t xml:space="preserve">La mayoría de los miembros y suplentes del Comité de Sesión recomendaron a la COP15 que nombrara a la Sra. Dejid para el puesto compartido de Consejera designada </w:t>
      </w:r>
      <w:r w:rsidRPr="00F813E8">
        <w:rPr>
          <w:rFonts w:cs="Arial"/>
          <w:lang w:val="es-ES"/>
        </w:rPr>
        <w:lastRenderedPageBreak/>
        <w:t>por la COP para los Mamíferos Terrestres, ya que aportaría un equilibrio complementario a los conocimientos técnicos actuales, ofrecería una nueva perspectiva y mejoraría la diversidad geográfica</w:t>
      </w:r>
      <w:r w:rsidR="00873EA0" w:rsidRPr="00873EA0">
        <w:rPr>
          <w:rFonts w:ascii="Times New Roman" w:hAnsi="Times New Roman" w:cs="Times New Roman"/>
          <w:vertAlign w:val="superscript"/>
          <w:lang w:val="en-GB"/>
        </w:rPr>
        <w:footnoteReference w:id="4"/>
      </w:r>
      <w:r w:rsidRPr="00F813E8">
        <w:rPr>
          <w:rFonts w:cs="Arial"/>
          <w:lang w:val="es-ES"/>
        </w:rPr>
        <w:t xml:space="preserve">, de género y de edad de los Consejeros designados por la COP. </w:t>
      </w:r>
    </w:p>
    <w:p w14:paraId="0D991B93" w14:textId="77777777" w:rsidR="009069BC" w:rsidRDefault="009069BC" w:rsidP="009C5B6B">
      <w:pPr>
        <w:widowControl w:val="0"/>
        <w:autoSpaceDE w:val="0"/>
        <w:autoSpaceDN w:val="0"/>
        <w:adjustRightInd w:val="0"/>
        <w:spacing w:after="0" w:line="240" w:lineRule="auto"/>
        <w:ind w:left="540"/>
        <w:jc w:val="both"/>
        <w:rPr>
          <w:rFonts w:eastAsia="Times New Roman" w:cs="Arial"/>
          <w:i/>
          <w:iCs/>
          <w:lang w:val="es-ES"/>
        </w:rPr>
      </w:pPr>
    </w:p>
    <w:p w14:paraId="731B7FB8" w14:textId="5D26F1E4" w:rsidR="00081A7D" w:rsidRPr="008F2DF3" w:rsidRDefault="00081A7D" w:rsidP="009C5B6B">
      <w:pPr>
        <w:widowControl w:val="0"/>
        <w:autoSpaceDE w:val="0"/>
        <w:autoSpaceDN w:val="0"/>
        <w:adjustRightInd w:val="0"/>
        <w:spacing w:after="0" w:line="240" w:lineRule="auto"/>
        <w:jc w:val="both"/>
        <w:rPr>
          <w:rFonts w:eastAsia="Times New Roman" w:cs="Arial"/>
          <w:i/>
          <w:iCs/>
          <w:lang w:val="es-ES"/>
        </w:rPr>
      </w:pPr>
      <w:r w:rsidRPr="008F2DF3">
        <w:rPr>
          <w:rFonts w:eastAsia="Times New Roman" w:cs="Arial"/>
          <w:i/>
          <w:iCs/>
          <w:lang w:val="es-ES"/>
        </w:rPr>
        <w:t>Nombramiento de los miembros regionales del Comité del Período de Sesiones</w:t>
      </w:r>
    </w:p>
    <w:p w14:paraId="00FFAE7C" w14:textId="77777777" w:rsidR="00081A7D" w:rsidRPr="008F2DF3" w:rsidRDefault="00081A7D" w:rsidP="009C5B6B">
      <w:pPr>
        <w:widowControl w:val="0"/>
        <w:autoSpaceDE w:val="0"/>
        <w:autoSpaceDN w:val="0"/>
        <w:adjustRightInd w:val="0"/>
        <w:spacing w:after="0" w:line="240" w:lineRule="auto"/>
        <w:rPr>
          <w:rFonts w:ascii="Times New Roman" w:eastAsia="Times New Roman" w:hAnsi="Times New Roman" w:cs="Arial"/>
          <w:sz w:val="20"/>
          <w:szCs w:val="24"/>
          <w:lang w:val="es-ES"/>
        </w:rPr>
      </w:pPr>
    </w:p>
    <w:p w14:paraId="6BD5693E" w14:textId="77777777" w:rsidR="00081A7D" w:rsidRPr="008F2DF3" w:rsidRDefault="00081A7D" w:rsidP="009C5B6B">
      <w:pPr>
        <w:widowControl w:val="0"/>
        <w:numPr>
          <w:ilvl w:val="0"/>
          <w:numId w:val="14"/>
        </w:numPr>
        <w:autoSpaceDE w:val="0"/>
        <w:autoSpaceDN w:val="0"/>
        <w:adjustRightInd w:val="0"/>
        <w:spacing w:after="0" w:line="240" w:lineRule="auto"/>
        <w:ind w:left="567" w:hanging="567"/>
        <w:jc w:val="both"/>
        <w:rPr>
          <w:rFonts w:cs="Arial"/>
          <w:lang w:val="es-ES"/>
        </w:rPr>
      </w:pPr>
      <w:r w:rsidRPr="008F2DF3">
        <w:rPr>
          <w:rFonts w:cs="Arial"/>
          <w:lang w:val="es-ES"/>
        </w:rPr>
        <w:t>La siguiente Tabla 2 muestra los actuales representantes regionales en funciones del ScC-SC y el trienio en que fueron nombrados por primera vez.</w:t>
      </w:r>
    </w:p>
    <w:p w14:paraId="75335114" w14:textId="77777777" w:rsidR="00081A7D" w:rsidRPr="008F2DF3" w:rsidRDefault="00081A7D" w:rsidP="009C5B6B">
      <w:pPr>
        <w:widowControl w:val="0"/>
        <w:autoSpaceDE w:val="0"/>
        <w:autoSpaceDN w:val="0"/>
        <w:adjustRightInd w:val="0"/>
        <w:spacing w:after="0" w:line="240" w:lineRule="auto"/>
        <w:ind w:left="567"/>
        <w:jc w:val="both"/>
        <w:rPr>
          <w:rFonts w:cs="Arial"/>
          <w:lang w:val="es-ES"/>
        </w:rPr>
      </w:pPr>
    </w:p>
    <w:p w14:paraId="4CBA64AD" w14:textId="77777777" w:rsidR="00081A7D" w:rsidRPr="008F2DF3" w:rsidRDefault="00081A7D" w:rsidP="009C5B6B">
      <w:pPr>
        <w:widowControl w:val="0"/>
        <w:numPr>
          <w:ilvl w:val="0"/>
          <w:numId w:val="14"/>
        </w:numPr>
        <w:autoSpaceDE w:val="0"/>
        <w:autoSpaceDN w:val="0"/>
        <w:adjustRightInd w:val="0"/>
        <w:spacing w:after="0" w:line="240" w:lineRule="auto"/>
        <w:ind w:left="567" w:hanging="567"/>
        <w:jc w:val="both"/>
        <w:rPr>
          <w:rFonts w:cs="Arial"/>
          <w:lang w:val="es-ES"/>
        </w:rPr>
      </w:pPr>
      <w:r w:rsidRPr="008F2DF3">
        <w:rPr>
          <w:rFonts w:cs="Arial"/>
          <w:lang w:val="es-ES"/>
        </w:rPr>
        <w:t xml:space="preserve">Once de los representantes regionales actuales habrán completado al menos dos mandatos al momento de la COP15 (véanse las filas resaltadas en la tabla). </w:t>
      </w:r>
    </w:p>
    <w:p w14:paraId="25B516CB" w14:textId="77777777" w:rsidR="00081A7D" w:rsidRPr="008F2DF3" w:rsidRDefault="00081A7D" w:rsidP="009C5B6B">
      <w:pPr>
        <w:widowControl w:val="0"/>
        <w:autoSpaceDE w:val="0"/>
        <w:autoSpaceDN w:val="0"/>
        <w:adjustRightInd w:val="0"/>
        <w:spacing w:after="0" w:line="240" w:lineRule="auto"/>
        <w:ind w:left="567" w:hanging="567"/>
        <w:jc w:val="both"/>
        <w:rPr>
          <w:rFonts w:cs="Arial"/>
          <w:lang w:val="es-ES"/>
        </w:rPr>
      </w:pPr>
    </w:p>
    <w:p w14:paraId="2F382A56" w14:textId="77777777" w:rsidR="00081A7D" w:rsidRPr="008F2DF3" w:rsidRDefault="00081A7D" w:rsidP="009C5B6B">
      <w:pPr>
        <w:widowControl w:val="0"/>
        <w:numPr>
          <w:ilvl w:val="0"/>
          <w:numId w:val="14"/>
        </w:numPr>
        <w:autoSpaceDE w:val="0"/>
        <w:autoSpaceDN w:val="0"/>
        <w:adjustRightInd w:val="0"/>
        <w:spacing w:after="0" w:line="240" w:lineRule="auto"/>
        <w:ind w:left="567" w:hanging="567"/>
        <w:jc w:val="both"/>
        <w:rPr>
          <w:rFonts w:cs="Arial"/>
          <w:lang w:val="es-ES"/>
        </w:rPr>
      </w:pPr>
      <w:r w:rsidRPr="008F2DF3">
        <w:rPr>
          <w:rFonts w:cs="Arial"/>
          <w:lang w:val="es-ES"/>
        </w:rPr>
        <w:t xml:space="preserve">Dos representantes regionales habrán completado un mandato y deberán considerarse para renovación. </w:t>
      </w:r>
    </w:p>
    <w:p w14:paraId="18BCEEC0" w14:textId="77777777" w:rsidR="00081A7D" w:rsidRPr="008F2DF3" w:rsidRDefault="00081A7D" w:rsidP="009C5B6B">
      <w:pPr>
        <w:pStyle w:val="ListParagraph"/>
        <w:spacing w:after="0" w:line="240" w:lineRule="auto"/>
        <w:ind w:left="567" w:hanging="567"/>
        <w:contextualSpacing w:val="0"/>
        <w:rPr>
          <w:lang w:val="es-ES"/>
        </w:rPr>
      </w:pPr>
    </w:p>
    <w:p w14:paraId="231FF67F" w14:textId="77777777" w:rsidR="00081A7D" w:rsidRDefault="00081A7D" w:rsidP="009C5B6B">
      <w:pPr>
        <w:widowControl w:val="0"/>
        <w:numPr>
          <w:ilvl w:val="0"/>
          <w:numId w:val="14"/>
        </w:numPr>
        <w:autoSpaceDE w:val="0"/>
        <w:autoSpaceDN w:val="0"/>
        <w:adjustRightInd w:val="0"/>
        <w:spacing w:after="0" w:line="240" w:lineRule="auto"/>
        <w:ind w:left="567" w:hanging="567"/>
        <w:jc w:val="both"/>
        <w:rPr>
          <w:rFonts w:cs="Arial"/>
          <w:lang w:val="es-ES"/>
        </w:rPr>
      </w:pPr>
      <w:r w:rsidRPr="008F2DF3">
        <w:rPr>
          <w:lang w:val="es-ES"/>
        </w:rPr>
        <w:t>Fiyi informó a la Secretaría que D.ª Senivasa Waqairamasi, de Oceanía, ha renunciado a su cargo, que ahora está vacante.</w:t>
      </w:r>
      <w:r w:rsidRPr="008F2DF3">
        <w:rPr>
          <w:rFonts w:cs="Arial"/>
          <w:lang w:val="es-ES"/>
        </w:rPr>
        <w:t xml:space="preserve"> </w:t>
      </w:r>
    </w:p>
    <w:p w14:paraId="423F9A74" w14:textId="77777777" w:rsidR="00080F4E" w:rsidRDefault="00080F4E" w:rsidP="009C5B6B">
      <w:pPr>
        <w:pStyle w:val="ListParagraph"/>
        <w:spacing w:after="0" w:line="240" w:lineRule="auto"/>
        <w:rPr>
          <w:rFonts w:cs="Arial"/>
          <w:lang w:val="es-ES"/>
        </w:rPr>
      </w:pPr>
    </w:p>
    <w:p w14:paraId="53AA2AFA" w14:textId="7F3E0A1C" w:rsidR="00080F4E" w:rsidRPr="008F2DF3" w:rsidRDefault="009B2DF9" w:rsidP="009C5B6B">
      <w:pPr>
        <w:widowControl w:val="0"/>
        <w:numPr>
          <w:ilvl w:val="0"/>
          <w:numId w:val="14"/>
        </w:numPr>
        <w:autoSpaceDE w:val="0"/>
        <w:autoSpaceDN w:val="0"/>
        <w:adjustRightInd w:val="0"/>
        <w:spacing w:after="0" w:line="240" w:lineRule="auto"/>
        <w:ind w:left="567" w:hanging="567"/>
        <w:jc w:val="both"/>
        <w:rPr>
          <w:rFonts w:cs="Arial"/>
          <w:lang w:val="es-ES"/>
        </w:rPr>
      </w:pPr>
      <w:r>
        <w:rPr>
          <w:rFonts w:cs="Arial"/>
          <w:lang w:val="es-ES"/>
        </w:rPr>
        <w:t xml:space="preserve">Costa Rica informó a la Secretaría que el Sr. Carlos Mario Orrego Vásquez </w:t>
      </w:r>
      <w:r w:rsidR="00D74D2E">
        <w:rPr>
          <w:rFonts w:cs="Arial"/>
          <w:lang w:val="es-ES"/>
        </w:rPr>
        <w:t xml:space="preserve">ha renunciado a su cargo, el que </w:t>
      </w:r>
      <w:r w:rsidR="000A45C6">
        <w:rPr>
          <w:rFonts w:cs="Arial"/>
          <w:lang w:val="es-ES"/>
        </w:rPr>
        <w:t>ahora está vacante.</w:t>
      </w:r>
    </w:p>
    <w:p w14:paraId="1C402933" w14:textId="77777777" w:rsidR="00081A7D" w:rsidRPr="008F2DF3" w:rsidRDefault="00081A7D" w:rsidP="009C5B6B">
      <w:pPr>
        <w:pStyle w:val="ListParagraph"/>
        <w:spacing w:after="0" w:line="240" w:lineRule="auto"/>
        <w:contextualSpacing w:val="0"/>
        <w:rPr>
          <w:rFonts w:cs="Arial"/>
          <w:lang w:val="es-ES"/>
        </w:rPr>
      </w:pPr>
    </w:p>
    <w:p w14:paraId="647952CE" w14:textId="77777777" w:rsidR="00081A7D" w:rsidRPr="008F2DF3" w:rsidRDefault="00081A7D" w:rsidP="009C5B6B">
      <w:pPr>
        <w:widowControl w:val="0"/>
        <w:numPr>
          <w:ilvl w:val="0"/>
          <w:numId w:val="14"/>
        </w:numPr>
        <w:autoSpaceDE w:val="0"/>
        <w:autoSpaceDN w:val="0"/>
        <w:adjustRightInd w:val="0"/>
        <w:spacing w:after="0" w:line="240" w:lineRule="auto"/>
        <w:ind w:left="567" w:hanging="567"/>
        <w:jc w:val="both"/>
        <w:rPr>
          <w:rFonts w:cs="Arial"/>
          <w:lang w:val="es-ES"/>
        </w:rPr>
      </w:pPr>
      <w:r w:rsidRPr="008F2DF3">
        <w:rPr>
          <w:rFonts w:cs="Arial"/>
          <w:lang w:val="es-ES"/>
        </w:rPr>
        <w:t xml:space="preserve">Uno de los puestos regionales para África ha permanecido vacante durante todo el período entre sesiones comprendido entre la COP14 y la COP15. </w:t>
      </w:r>
    </w:p>
    <w:p w14:paraId="1D6A9B67" w14:textId="0CDFAEEB" w:rsidR="00D643E6" w:rsidRDefault="00D643E6" w:rsidP="009C5B6B">
      <w:pPr>
        <w:spacing w:after="0" w:line="240" w:lineRule="auto"/>
        <w:rPr>
          <w:rFonts w:cs="Arial"/>
          <w:lang w:val="es-ES"/>
        </w:rPr>
      </w:pPr>
    </w:p>
    <w:p w14:paraId="1DD88DD8" w14:textId="77777777" w:rsidR="00081A7D" w:rsidRPr="00B25743" w:rsidRDefault="00081A7D" w:rsidP="00081A7D">
      <w:pPr>
        <w:widowControl w:val="0"/>
        <w:autoSpaceDE w:val="0"/>
        <w:autoSpaceDN w:val="0"/>
        <w:adjustRightInd w:val="0"/>
        <w:spacing w:after="0" w:line="240" w:lineRule="auto"/>
        <w:contextualSpacing/>
        <w:jc w:val="both"/>
        <w:rPr>
          <w:rFonts w:cs="Arial"/>
          <w:sz w:val="20"/>
          <w:szCs w:val="20"/>
          <w:lang w:val="es-ES"/>
        </w:rPr>
      </w:pPr>
      <w:r w:rsidRPr="00B25743">
        <w:rPr>
          <w:rFonts w:cs="Arial"/>
          <w:sz w:val="20"/>
          <w:szCs w:val="20"/>
          <w:lang w:val="es-ES"/>
        </w:rPr>
        <w:t>Tabla 2. Panorámica general de los miembros regionales del Comité del Período de Sesiones</w:t>
      </w:r>
    </w:p>
    <w:p w14:paraId="09B27BC8" w14:textId="77777777" w:rsidR="00D643E6" w:rsidRPr="008F2DF3" w:rsidRDefault="00D643E6" w:rsidP="00081A7D">
      <w:pPr>
        <w:widowControl w:val="0"/>
        <w:autoSpaceDE w:val="0"/>
        <w:autoSpaceDN w:val="0"/>
        <w:adjustRightInd w:val="0"/>
        <w:spacing w:after="0" w:line="240" w:lineRule="auto"/>
        <w:contextualSpacing/>
        <w:jc w:val="both"/>
        <w:rPr>
          <w:rFonts w:cs="Arial"/>
          <w:lang w:val="es-ES"/>
        </w:rPr>
      </w:pPr>
    </w:p>
    <w:tbl>
      <w:tblPr>
        <w:tblStyle w:val="TableGrid"/>
        <w:tblW w:w="10260" w:type="dxa"/>
        <w:tblInd w:w="-635" w:type="dxa"/>
        <w:tblLayout w:type="fixed"/>
        <w:tblLook w:val="04A0" w:firstRow="1" w:lastRow="0" w:firstColumn="1" w:lastColumn="0" w:noHBand="0" w:noVBand="1"/>
      </w:tblPr>
      <w:tblGrid>
        <w:gridCol w:w="1530"/>
        <w:gridCol w:w="3073"/>
        <w:gridCol w:w="1877"/>
        <w:gridCol w:w="2340"/>
        <w:gridCol w:w="1440"/>
      </w:tblGrid>
      <w:tr w:rsidR="00081A7D" w:rsidRPr="002A06B1" w14:paraId="6E5238B4" w14:textId="77777777" w:rsidTr="004A78BA">
        <w:trPr>
          <w:trHeight w:val="589"/>
        </w:trPr>
        <w:tc>
          <w:tcPr>
            <w:tcW w:w="10260" w:type="dxa"/>
            <w:gridSpan w:val="5"/>
          </w:tcPr>
          <w:p w14:paraId="304F53E5" w14:textId="77777777" w:rsidR="00081A7D" w:rsidRPr="008F2DF3" w:rsidRDefault="00081A7D" w:rsidP="007533FC">
            <w:pPr>
              <w:widowControl w:val="0"/>
              <w:autoSpaceDE w:val="0"/>
              <w:autoSpaceDN w:val="0"/>
              <w:adjustRightInd w:val="0"/>
              <w:contextualSpacing/>
              <w:jc w:val="center"/>
              <w:rPr>
                <w:rFonts w:cs="Arial"/>
                <w:b/>
                <w:bCs/>
                <w:lang w:val="es-ES"/>
              </w:rPr>
            </w:pPr>
            <w:r w:rsidRPr="008F2DF3">
              <w:rPr>
                <w:rFonts w:cs="Arial"/>
                <w:b/>
                <w:bCs/>
                <w:lang w:val="es-ES"/>
              </w:rPr>
              <w:t>Representantes actuales regionales miembros del Comité del Período de Sesiones</w:t>
            </w:r>
          </w:p>
        </w:tc>
      </w:tr>
      <w:tr w:rsidR="00081A7D" w:rsidRPr="008F2DF3" w14:paraId="2DD58A79" w14:textId="77777777" w:rsidTr="004A78BA">
        <w:tc>
          <w:tcPr>
            <w:tcW w:w="1530" w:type="dxa"/>
          </w:tcPr>
          <w:p w14:paraId="63563A4A" w14:textId="77777777" w:rsidR="00081A7D" w:rsidRPr="008F2DF3" w:rsidRDefault="00081A7D" w:rsidP="007533FC">
            <w:pPr>
              <w:widowControl w:val="0"/>
              <w:autoSpaceDE w:val="0"/>
              <w:autoSpaceDN w:val="0"/>
              <w:adjustRightInd w:val="0"/>
              <w:contextualSpacing/>
              <w:rPr>
                <w:rFonts w:cs="Arial"/>
                <w:b/>
                <w:bCs/>
                <w:lang w:val="es-ES"/>
              </w:rPr>
            </w:pPr>
            <w:r w:rsidRPr="008F2DF3">
              <w:rPr>
                <w:rFonts w:cs="Arial"/>
                <w:b/>
                <w:bCs/>
                <w:lang w:val="es-ES"/>
              </w:rPr>
              <w:t>Región</w:t>
            </w:r>
          </w:p>
        </w:tc>
        <w:tc>
          <w:tcPr>
            <w:tcW w:w="3073" w:type="dxa"/>
          </w:tcPr>
          <w:p w14:paraId="7E070E1C" w14:textId="77777777" w:rsidR="00081A7D" w:rsidRPr="008F2DF3" w:rsidRDefault="00081A7D" w:rsidP="007533FC">
            <w:pPr>
              <w:widowControl w:val="0"/>
              <w:autoSpaceDE w:val="0"/>
              <w:autoSpaceDN w:val="0"/>
              <w:adjustRightInd w:val="0"/>
              <w:contextualSpacing/>
              <w:rPr>
                <w:rFonts w:cs="Arial"/>
                <w:b/>
                <w:bCs/>
                <w:lang w:val="es-ES"/>
              </w:rPr>
            </w:pPr>
            <w:r w:rsidRPr="008F2DF3">
              <w:rPr>
                <w:rFonts w:cs="Arial"/>
                <w:b/>
                <w:bCs/>
                <w:lang w:val="es-ES"/>
              </w:rPr>
              <w:t>Consejero científico</w:t>
            </w:r>
          </w:p>
        </w:tc>
        <w:tc>
          <w:tcPr>
            <w:tcW w:w="1877" w:type="dxa"/>
          </w:tcPr>
          <w:p w14:paraId="6FB53138" w14:textId="77777777" w:rsidR="00081A7D" w:rsidRPr="008F2DF3" w:rsidRDefault="00081A7D" w:rsidP="007533FC">
            <w:pPr>
              <w:widowControl w:val="0"/>
              <w:autoSpaceDE w:val="0"/>
              <w:autoSpaceDN w:val="0"/>
              <w:adjustRightInd w:val="0"/>
              <w:contextualSpacing/>
              <w:rPr>
                <w:rFonts w:cs="Arial"/>
                <w:b/>
                <w:bCs/>
                <w:lang w:val="es-ES"/>
              </w:rPr>
            </w:pPr>
            <w:r w:rsidRPr="008F2DF3">
              <w:rPr>
                <w:rFonts w:cs="Arial"/>
                <w:b/>
                <w:bCs/>
                <w:lang w:val="es-ES"/>
              </w:rPr>
              <w:t>Nombrado por</w:t>
            </w:r>
          </w:p>
        </w:tc>
        <w:tc>
          <w:tcPr>
            <w:tcW w:w="2340" w:type="dxa"/>
          </w:tcPr>
          <w:p w14:paraId="152E24A9" w14:textId="77777777" w:rsidR="00081A7D" w:rsidRPr="008F2DF3" w:rsidRDefault="00081A7D" w:rsidP="007533FC">
            <w:pPr>
              <w:widowControl w:val="0"/>
              <w:autoSpaceDE w:val="0"/>
              <w:autoSpaceDN w:val="0"/>
              <w:adjustRightInd w:val="0"/>
              <w:contextualSpacing/>
              <w:rPr>
                <w:rFonts w:cs="Arial"/>
                <w:b/>
                <w:bCs/>
                <w:lang w:val="es-ES"/>
              </w:rPr>
            </w:pPr>
            <w:r w:rsidRPr="008F2DF3">
              <w:rPr>
                <w:rFonts w:cs="Arial"/>
                <w:b/>
                <w:bCs/>
                <w:lang w:val="es-ES"/>
              </w:rPr>
              <w:t>Trienio del primer nombramiento al Comité del Período de Sesiones</w:t>
            </w:r>
          </w:p>
        </w:tc>
        <w:tc>
          <w:tcPr>
            <w:tcW w:w="1440" w:type="dxa"/>
          </w:tcPr>
          <w:p w14:paraId="26412FDA" w14:textId="77777777" w:rsidR="00081A7D" w:rsidRPr="008F2DF3" w:rsidRDefault="00081A7D" w:rsidP="007533FC">
            <w:pPr>
              <w:widowControl w:val="0"/>
              <w:autoSpaceDE w:val="0"/>
              <w:autoSpaceDN w:val="0"/>
              <w:adjustRightInd w:val="0"/>
              <w:contextualSpacing/>
              <w:jc w:val="center"/>
              <w:rPr>
                <w:rFonts w:cs="Arial"/>
                <w:b/>
                <w:bCs/>
                <w:lang w:val="es-ES"/>
              </w:rPr>
            </w:pPr>
            <w:r w:rsidRPr="008F2DF3">
              <w:rPr>
                <w:rFonts w:cs="Arial"/>
                <w:b/>
                <w:bCs/>
                <w:lang w:val="es-ES"/>
              </w:rPr>
              <w:t>N.º de mandatos</w:t>
            </w:r>
          </w:p>
        </w:tc>
      </w:tr>
      <w:tr w:rsidR="00081A7D" w:rsidRPr="008F2DF3" w14:paraId="543760AB" w14:textId="77777777" w:rsidTr="004A78BA">
        <w:tc>
          <w:tcPr>
            <w:tcW w:w="1530" w:type="dxa"/>
            <w:vMerge w:val="restart"/>
          </w:tcPr>
          <w:p w14:paraId="742E1A59"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África</w:t>
            </w:r>
          </w:p>
        </w:tc>
        <w:tc>
          <w:tcPr>
            <w:tcW w:w="3073" w:type="dxa"/>
            <w:shd w:val="clear" w:color="auto" w:fill="D9D9D9" w:themeFill="background1" w:themeFillShade="D9"/>
          </w:tcPr>
          <w:p w14:paraId="27B5B2BB"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D. Stephen Okiror</w:t>
            </w:r>
          </w:p>
        </w:tc>
        <w:tc>
          <w:tcPr>
            <w:tcW w:w="1877" w:type="dxa"/>
            <w:shd w:val="clear" w:color="auto" w:fill="D9D9D9" w:themeFill="background1" w:themeFillShade="D9"/>
          </w:tcPr>
          <w:p w14:paraId="00968714"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Uganda</w:t>
            </w:r>
          </w:p>
        </w:tc>
        <w:tc>
          <w:tcPr>
            <w:tcW w:w="2340" w:type="dxa"/>
            <w:shd w:val="clear" w:color="auto" w:fill="D9D9D9" w:themeFill="background1" w:themeFillShade="D9"/>
          </w:tcPr>
          <w:p w14:paraId="29C8C742"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COP13-COP14</w:t>
            </w:r>
          </w:p>
        </w:tc>
        <w:tc>
          <w:tcPr>
            <w:tcW w:w="1440" w:type="dxa"/>
            <w:shd w:val="clear" w:color="auto" w:fill="D9D9D9" w:themeFill="background1" w:themeFillShade="D9"/>
          </w:tcPr>
          <w:p w14:paraId="16910346" w14:textId="77777777" w:rsidR="00081A7D" w:rsidRPr="008F2DF3" w:rsidRDefault="00081A7D" w:rsidP="007533FC">
            <w:pPr>
              <w:widowControl w:val="0"/>
              <w:autoSpaceDE w:val="0"/>
              <w:autoSpaceDN w:val="0"/>
              <w:adjustRightInd w:val="0"/>
              <w:contextualSpacing/>
              <w:jc w:val="center"/>
              <w:rPr>
                <w:rFonts w:cs="Arial"/>
                <w:lang w:val="es-ES"/>
              </w:rPr>
            </w:pPr>
            <w:r w:rsidRPr="008F2DF3">
              <w:rPr>
                <w:rFonts w:cs="Arial"/>
                <w:lang w:val="es-ES"/>
              </w:rPr>
              <w:t>2</w:t>
            </w:r>
          </w:p>
        </w:tc>
      </w:tr>
      <w:tr w:rsidR="00081A7D" w:rsidRPr="008F2DF3" w14:paraId="74C80CA2" w14:textId="77777777" w:rsidTr="004A78BA">
        <w:tc>
          <w:tcPr>
            <w:tcW w:w="1530" w:type="dxa"/>
            <w:vMerge/>
          </w:tcPr>
          <w:p w14:paraId="6B846635" w14:textId="77777777" w:rsidR="00081A7D" w:rsidRPr="008F2DF3" w:rsidRDefault="00081A7D" w:rsidP="007533FC">
            <w:pPr>
              <w:widowControl w:val="0"/>
              <w:autoSpaceDE w:val="0"/>
              <w:autoSpaceDN w:val="0"/>
              <w:adjustRightInd w:val="0"/>
              <w:contextualSpacing/>
              <w:rPr>
                <w:rFonts w:cs="Arial"/>
                <w:lang w:val="es-ES"/>
              </w:rPr>
            </w:pPr>
          </w:p>
        </w:tc>
        <w:tc>
          <w:tcPr>
            <w:tcW w:w="3073" w:type="dxa"/>
            <w:shd w:val="clear" w:color="auto" w:fill="D9D9D9" w:themeFill="background1" w:themeFillShade="D9"/>
          </w:tcPr>
          <w:p w14:paraId="5151FEEE"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Prof. Dr. Edson Gandiwa</w:t>
            </w:r>
          </w:p>
        </w:tc>
        <w:tc>
          <w:tcPr>
            <w:tcW w:w="1877" w:type="dxa"/>
            <w:shd w:val="clear" w:color="auto" w:fill="D9D9D9" w:themeFill="background1" w:themeFillShade="D9"/>
          </w:tcPr>
          <w:p w14:paraId="51ADDE15" w14:textId="77BBBB3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Zimbab</w:t>
            </w:r>
            <w:r w:rsidR="00BD6D25">
              <w:rPr>
                <w:rFonts w:cs="Arial"/>
                <w:lang w:val="es-ES"/>
              </w:rPr>
              <w:t>w</w:t>
            </w:r>
            <w:r w:rsidRPr="008F2DF3">
              <w:rPr>
                <w:rFonts w:cs="Arial"/>
                <w:lang w:val="es-ES"/>
              </w:rPr>
              <w:t>e</w:t>
            </w:r>
          </w:p>
        </w:tc>
        <w:tc>
          <w:tcPr>
            <w:tcW w:w="2340" w:type="dxa"/>
            <w:shd w:val="clear" w:color="auto" w:fill="D9D9D9" w:themeFill="background1" w:themeFillShade="D9"/>
          </w:tcPr>
          <w:p w14:paraId="162D9B81"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COP13-COP14</w:t>
            </w:r>
          </w:p>
        </w:tc>
        <w:tc>
          <w:tcPr>
            <w:tcW w:w="1440" w:type="dxa"/>
            <w:shd w:val="clear" w:color="auto" w:fill="D9D9D9" w:themeFill="background1" w:themeFillShade="D9"/>
          </w:tcPr>
          <w:p w14:paraId="6EB36F77" w14:textId="77777777" w:rsidR="00081A7D" w:rsidRPr="008F2DF3" w:rsidRDefault="00081A7D" w:rsidP="007533FC">
            <w:pPr>
              <w:widowControl w:val="0"/>
              <w:autoSpaceDE w:val="0"/>
              <w:autoSpaceDN w:val="0"/>
              <w:adjustRightInd w:val="0"/>
              <w:contextualSpacing/>
              <w:jc w:val="center"/>
              <w:rPr>
                <w:rFonts w:cs="Arial"/>
                <w:lang w:val="es-ES"/>
              </w:rPr>
            </w:pPr>
            <w:r w:rsidRPr="008F2DF3">
              <w:rPr>
                <w:rFonts w:cs="Arial"/>
                <w:lang w:val="es-ES"/>
              </w:rPr>
              <w:t>2</w:t>
            </w:r>
          </w:p>
        </w:tc>
      </w:tr>
      <w:tr w:rsidR="00081A7D" w:rsidRPr="008F2DF3" w14:paraId="51728927" w14:textId="77777777" w:rsidTr="004A78BA">
        <w:tc>
          <w:tcPr>
            <w:tcW w:w="1530" w:type="dxa"/>
            <w:vMerge/>
          </w:tcPr>
          <w:p w14:paraId="39998BFA" w14:textId="77777777" w:rsidR="00081A7D" w:rsidRPr="008F2DF3" w:rsidRDefault="00081A7D" w:rsidP="007533FC">
            <w:pPr>
              <w:widowControl w:val="0"/>
              <w:autoSpaceDE w:val="0"/>
              <w:autoSpaceDN w:val="0"/>
              <w:adjustRightInd w:val="0"/>
              <w:contextualSpacing/>
              <w:rPr>
                <w:rFonts w:cs="Arial"/>
                <w:lang w:val="es-ES"/>
              </w:rPr>
            </w:pPr>
          </w:p>
        </w:tc>
        <w:tc>
          <w:tcPr>
            <w:tcW w:w="3073" w:type="dxa"/>
          </w:tcPr>
          <w:p w14:paraId="529BC9AA"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Vacante</w:t>
            </w:r>
          </w:p>
        </w:tc>
        <w:tc>
          <w:tcPr>
            <w:tcW w:w="1877" w:type="dxa"/>
          </w:tcPr>
          <w:p w14:paraId="3D94626A" w14:textId="77777777" w:rsidR="00081A7D" w:rsidRPr="008F2DF3" w:rsidRDefault="00081A7D" w:rsidP="007533FC">
            <w:pPr>
              <w:widowControl w:val="0"/>
              <w:autoSpaceDE w:val="0"/>
              <w:autoSpaceDN w:val="0"/>
              <w:adjustRightInd w:val="0"/>
              <w:contextualSpacing/>
              <w:rPr>
                <w:rFonts w:cs="Arial"/>
                <w:lang w:val="es-ES"/>
              </w:rPr>
            </w:pPr>
          </w:p>
        </w:tc>
        <w:tc>
          <w:tcPr>
            <w:tcW w:w="2340" w:type="dxa"/>
          </w:tcPr>
          <w:p w14:paraId="00904651" w14:textId="77777777" w:rsidR="00081A7D" w:rsidRPr="008F2DF3" w:rsidRDefault="00081A7D" w:rsidP="007533FC">
            <w:pPr>
              <w:widowControl w:val="0"/>
              <w:autoSpaceDE w:val="0"/>
              <w:autoSpaceDN w:val="0"/>
              <w:adjustRightInd w:val="0"/>
              <w:contextualSpacing/>
              <w:rPr>
                <w:rFonts w:cs="Arial"/>
                <w:lang w:val="es-ES"/>
              </w:rPr>
            </w:pPr>
          </w:p>
        </w:tc>
        <w:tc>
          <w:tcPr>
            <w:tcW w:w="1440" w:type="dxa"/>
          </w:tcPr>
          <w:p w14:paraId="39E641AE" w14:textId="77777777" w:rsidR="00081A7D" w:rsidRPr="008F2DF3" w:rsidRDefault="00081A7D" w:rsidP="007533FC">
            <w:pPr>
              <w:widowControl w:val="0"/>
              <w:autoSpaceDE w:val="0"/>
              <w:autoSpaceDN w:val="0"/>
              <w:adjustRightInd w:val="0"/>
              <w:contextualSpacing/>
              <w:jc w:val="center"/>
              <w:rPr>
                <w:rFonts w:cs="Arial"/>
                <w:lang w:val="es-ES"/>
              </w:rPr>
            </w:pPr>
          </w:p>
        </w:tc>
      </w:tr>
      <w:tr w:rsidR="00081A7D" w:rsidRPr="008F2DF3" w14:paraId="3359783D" w14:textId="77777777" w:rsidTr="004A78BA">
        <w:tc>
          <w:tcPr>
            <w:tcW w:w="1530" w:type="dxa"/>
            <w:vMerge w:val="restart"/>
          </w:tcPr>
          <w:p w14:paraId="32047369"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Asia</w:t>
            </w:r>
          </w:p>
        </w:tc>
        <w:tc>
          <w:tcPr>
            <w:tcW w:w="3073" w:type="dxa"/>
          </w:tcPr>
          <w:p w14:paraId="6FCC5F9A"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Dr. Sathyakumar Sambandam</w:t>
            </w:r>
          </w:p>
        </w:tc>
        <w:tc>
          <w:tcPr>
            <w:tcW w:w="1877" w:type="dxa"/>
          </w:tcPr>
          <w:p w14:paraId="0E7C9CB2"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India</w:t>
            </w:r>
          </w:p>
        </w:tc>
        <w:tc>
          <w:tcPr>
            <w:tcW w:w="2340" w:type="dxa"/>
          </w:tcPr>
          <w:p w14:paraId="5D9414FB"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COP14-COP15</w:t>
            </w:r>
          </w:p>
        </w:tc>
        <w:tc>
          <w:tcPr>
            <w:tcW w:w="1440" w:type="dxa"/>
          </w:tcPr>
          <w:p w14:paraId="14F5C37E" w14:textId="77777777" w:rsidR="00081A7D" w:rsidRPr="008F2DF3" w:rsidRDefault="00081A7D" w:rsidP="007533FC">
            <w:pPr>
              <w:widowControl w:val="0"/>
              <w:autoSpaceDE w:val="0"/>
              <w:autoSpaceDN w:val="0"/>
              <w:adjustRightInd w:val="0"/>
              <w:contextualSpacing/>
              <w:jc w:val="center"/>
              <w:rPr>
                <w:rFonts w:cs="Arial"/>
                <w:lang w:val="es-ES"/>
              </w:rPr>
            </w:pPr>
            <w:r w:rsidRPr="008F2DF3">
              <w:rPr>
                <w:rFonts w:cs="Arial"/>
                <w:lang w:val="es-ES"/>
              </w:rPr>
              <w:t>1</w:t>
            </w:r>
          </w:p>
        </w:tc>
      </w:tr>
      <w:tr w:rsidR="00081A7D" w:rsidRPr="008F2DF3" w14:paraId="01BD9315" w14:textId="77777777" w:rsidTr="004A78BA">
        <w:tc>
          <w:tcPr>
            <w:tcW w:w="1530" w:type="dxa"/>
            <w:vMerge/>
          </w:tcPr>
          <w:p w14:paraId="0A66903C" w14:textId="77777777" w:rsidR="00081A7D" w:rsidRPr="008F2DF3" w:rsidRDefault="00081A7D" w:rsidP="007533FC">
            <w:pPr>
              <w:widowControl w:val="0"/>
              <w:autoSpaceDE w:val="0"/>
              <w:autoSpaceDN w:val="0"/>
              <w:adjustRightInd w:val="0"/>
              <w:contextualSpacing/>
              <w:rPr>
                <w:rFonts w:cs="Arial"/>
                <w:lang w:val="es-ES"/>
              </w:rPr>
            </w:pPr>
          </w:p>
        </w:tc>
        <w:tc>
          <w:tcPr>
            <w:tcW w:w="3073" w:type="dxa"/>
            <w:shd w:val="clear" w:color="auto" w:fill="D9D9D9" w:themeFill="background1" w:themeFillShade="D9"/>
          </w:tcPr>
          <w:p w14:paraId="1BB7F9A2"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D. Daniel Fernando</w:t>
            </w:r>
          </w:p>
        </w:tc>
        <w:tc>
          <w:tcPr>
            <w:tcW w:w="1877" w:type="dxa"/>
            <w:shd w:val="clear" w:color="auto" w:fill="D9D9D9" w:themeFill="background1" w:themeFillShade="D9"/>
          </w:tcPr>
          <w:p w14:paraId="7BF0794A"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Sri Lanka</w:t>
            </w:r>
          </w:p>
        </w:tc>
        <w:tc>
          <w:tcPr>
            <w:tcW w:w="2340" w:type="dxa"/>
            <w:shd w:val="clear" w:color="auto" w:fill="D9D9D9" w:themeFill="background1" w:themeFillShade="D9"/>
          </w:tcPr>
          <w:p w14:paraId="536A09FC"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COP12-COP13</w:t>
            </w:r>
          </w:p>
        </w:tc>
        <w:tc>
          <w:tcPr>
            <w:tcW w:w="1440" w:type="dxa"/>
            <w:shd w:val="clear" w:color="auto" w:fill="D9D9D9" w:themeFill="background1" w:themeFillShade="D9"/>
          </w:tcPr>
          <w:p w14:paraId="260DFD5D" w14:textId="77777777" w:rsidR="00081A7D" w:rsidRPr="008F2DF3" w:rsidRDefault="00081A7D" w:rsidP="007533FC">
            <w:pPr>
              <w:widowControl w:val="0"/>
              <w:autoSpaceDE w:val="0"/>
              <w:autoSpaceDN w:val="0"/>
              <w:adjustRightInd w:val="0"/>
              <w:contextualSpacing/>
              <w:jc w:val="center"/>
              <w:rPr>
                <w:rFonts w:cs="Arial"/>
                <w:lang w:val="es-ES"/>
              </w:rPr>
            </w:pPr>
            <w:r w:rsidRPr="008F2DF3">
              <w:rPr>
                <w:rFonts w:cs="Arial"/>
                <w:lang w:val="es-ES"/>
              </w:rPr>
              <w:t>3</w:t>
            </w:r>
          </w:p>
        </w:tc>
      </w:tr>
      <w:tr w:rsidR="00081A7D" w:rsidRPr="008F2DF3" w14:paraId="50FFA718" w14:textId="77777777" w:rsidTr="004A78BA">
        <w:tc>
          <w:tcPr>
            <w:tcW w:w="1530" w:type="dxa"/>
            <w:vMerge/>
          </w:tcPr>
          <w:p w14:paraId="60C04C3E" w14:textId="77777777" w:rsidR="00081A7D" w:rsidRPr="008F2DF3" w:rsidRDefault="00081A7D" w:rsidP="007533FC">
            <w:pPr>
              <w:widowControl w:val="0"/>
              <w:autoSpaceDE w:val="0"/>
              <w:autoSpaceDN w:val="0"/>
              <w:adjustRightInd w:val="0"/>
              <w:contextualSpacing/>
              <w:rPr>
                <w:rFonts w:cs="Arial"/>
                <w:lang w:val="es-ES"/>
              </w:rPr>
            </w:pPr>
          </w:p>
        </w:tc>
        <w:tc>
          <w:tcPr>
            <w:tcW w:w="3073" w:type="dxa"/>
            <w:shd w:val="clear" w:color="auto" w:fill="D9D9D9" w:themeFill="background1" w:themeFillShade="D9"/>
          </w:tcPr>
          <w:p w14:paraId="4C39C888"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D. Askar Davletbakov, doctorado</w:t>
            </w:r>
          </w:p>
        </w:tc>
        <w:tc>
          <w:tcPr>
            <w:tcW w:w="1877" w:type="dxa"/>
            <w:shd w:val="clear" w:color="auto" w:fill="D9D9D9" w:themeFill="background1" w:themeFillShade="D9"/>
          </w:tcPr>
          <w:p w14:paraId="5FCEEA5D" w14:textId="21209AE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República Kirguis</w:t>
            </w:r>
            <w:r w:rsidR="00086522">
              <w:rPr>
                <w:rFonts w:cs="Arial"/>
                <w:lang w:val="es-ES"/>
              </w:rPr>
              <w:t>tán</w:t>
            </w:r>
          </w:p>
        </w:tc>
        <w:tc>
          <w:tcPr>
            <w:tcW w:w="2340" w:type="dxa"/>
            <w:shd w:val="clear" w:color="auto" w:fill="D9D9D9" w:themeFill="background1" w:themeFillShade="D9"/>
          </w:tcPr>
          <w:p w14:paraId="2001CD46"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COP13-COP14</w:t>
            </w:r>
          </w:p>
        </w:tc>
        <w:tc>
          <w:tcPr>
            <w:tcW w:w="1440" w:type="dxa"/>
            <w:shd w:val="clear" w:color="auto" w:fill="D9D9D9" w:themeFill="background1" w:themeFillShade="D9"/>
          </w:tcPr>
          <w:p w14:paraId="002CC7F5" w14:textId="77777777" w:rsidR="00081A7D" w:rsidRPr="008F2DF3" w:rsidRDefault="00081A7D" w:rsidP="007533FC">
            <w:pPr>
              <w:widowControl w:val="0"/>
              <w:autoSpaceDE w:val="0"/>
              <w:autoSpaceDN w:val="0"/>
              <w:adjustRightInd w:val="0"/>
              <w:contextualSpacing/>
              <w:jc w:val="center"/>
              <w:rPr>
                <w:rFonts w:cs="Arial"/>
                <w:lang w:val="es-ES"/>
              </w:rPr>
            </w:pPr>
            <w:r w:rsidRPr="008F2DF3">
              <w:rPr>
                <w:rFonts w:cs="Arial"/>
                <w:lang w:val="es-ES"/>
              </w:rPr>
              <w:t>2</w:t>
            </w:r>
          </w:p>
        </w:tc>
      </w:tr>
      <w:tr w:rsidR="00081A7D" w:rsidRPr="008F2DF3" w14:paraId="51846AA7" w14:textId="77777777" w:rsidTr="004A78BA">
        <w:tc>
          <w:tcPr>
            <w:tcW w:w="1530" w:type="dxa"/>
            <w:vMerge w:val="restart"/>
          </w:tcPr>
          <w:p w14:paraId="7ABA1A2F"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Europa</w:t>
            </w:r>
          </w:p>
        </w:tc>
        <w:tc>
          <w:tcPr>
            <w:tcW w:w="3073" w:type="dxa"/>
            <w:shd w:val="clear" w:color="auto" w:fill="D9D9D9" w:themeFill="background1" w:themeFillShade="D9"/>
          </w:tcPr>
          <w:p w14:paraId="508B7CD4"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Dr. João José de Bastos Loureiro</w:t>
            </w:r>
          </w:p>
        </w:tc>
        <w:tc>
          <w:tcPr>
            <w:tcW w:w="1877" w:type="dxa"/>
            <w:shd w:val="clear" w:color="auto" w:fill="D9D9D9" w:themeFill="background1" w:themeFillShade="D9"/>
          </w:tcPr>
          <w:p w14:paraId="12409F52"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Portugal</w:t>
            </w:r>
          </w:p>
        </w:tc>
        <w:tc>
          <w:tcPr>
            <w:tcW w:w="2340" w:type="dxa"/>
            <w:shd w:val="clear" w:color="auto" w:fill="D9D9D9" w:themeFill="background1" w:themeFillShade="D9"/>
          </w:tcPr>
          <w:p w14:paraId="542CB925"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COP13-COP14</w:t>
            </w:r>
          </w:p>
        </w:tc>
        <w:tc>
          <w:tcPr>
            <w:tcW w:w="1440" w:type="dxa"/>
            <w:shd w:val="clear" w:color="auto" w:fill="D9D9D9" w:themeFill="background1" w:themeFillShade="D9"/>
          </w:tcPr>
          <w:p w14:paraId="52C7AEA9" w14:textId="77777777" w:rsidR="00081A7D" w:rsidRPr="008F2DF3" w:rsidRDefault="00081A7D" w:rsidP="007533FC">
            <w:pPr>
              <w:widowControl w:val="0"/>
              <w:autoSpaceDE w:val="0"/>
              <w:autoSpaceDN w:val="0"/>
              <w:adjustRightInd w:val="0"/>
              <w:contextualSpacing/>
              <w:jc w:val="center"/>
              <w:rPr>
                <w:rFonts w:cs="Arial"/>
                <w:lang w:val="es-ES"/>
              </w:rPr>
            </w:pPr>
            <w:r w:rsidRPr="008F2DF3">
              <w:rPr>
                <w:rFonts w:cs="Arial"/>
                <w:lang w:val="es-ES"/>
              </w:rPr>
              <w:t>2</w:t>
            </w:r>
          </w:p>
        </w:tc>
      </w:tr>
      <w:tr w:rsidR="00081A7D" w:rsidRPr="008F2DF3" w14:paraId="17DA324A" w14:textId="77777777" w:rsidTr="004A78BA">
        <w:trPr>
          <w:trHeight w:val="423"/>
        </w:trPr>
        <w:tc>
          <w:tcPr>
            <w:tcW w:w="1530" w:type="dxa"/>
            <w:vMerge/>
          </w:tcPr>
          <w:p w14:paraId="5FFC59AA" w14:textId="77777777" w:rsidR="00081A7D" w:rsidRPr="008F2DF3" w:rsidRDefault="00081A7D" w:rsidP="007533FC">
            <w:pPr>
              <w:widowControl w:val="0"/>
              <w:autoSpaceDE w:val="0"/>
              <w:autoSpaceDN w:val="0"/>
              <w:adjustRightInd w:val="0"/>
              <w:contextualSpacing/>
              <w:rPr>
                <w:rFonts w:cs="Arial"/>
                <w:lang w:val="es-ES"/>
              </w:rPr>
            </w:pPr>
          </w:p>
        </w:tc>
        <w:tc>
          <w:tcPr>
            <w:tcW w:w="3073" w:type="dxa"/>
            <w:shd w:val="clear" w:color="auto" w:fill="D9D9D9" w:themeFill="background1" w:themeFillShade="D9"/>
          </w:tcPr>
          <w:p w14:paraId="6F08B628"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D. Rubén Moreno-Opo Diaz-Meco</w:t>
            </w:r>
          </w:p>
        </w:tc>
        <w:tc>
          <w:tcPr>
            <w:tcW w:w="1877" w:type="dxa"/>
            <w:shd w:val="clear" w:color="auto" w:fill="D9D9D9" w:themeFill="background1" w:themeFillShade="D9"/>
          </w:tcPr>
          <w:p w14:paraId="3C410FD9"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España</w:t>
            </w:r>
          </w:p>
        </w:tc>
        <w:tc>
          <w:tcPr>
            <w:tcW w:w="2340" w:type="dxa"/>
            <w:shd w:val="clear" w:color="auto" w:fill="D9D9D9" w:themeFill="background1" w:themeFillShade="D9"/>
          </w:tcPr>
          <w:p w14:paraId="2709C04A"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COP13-COP14</w:t>
            </w:r>
          </w:p>
        </w:tc>
        <w:tc>
          <w:tcPr>
            <w:tcW w:w="1440" w:type="dxa"/>
            <w:shd w:val="clear" w:color="auto" w:fill="D9D9D9" w:themeFill="background1" w:themeFillShade="D9"/>
          </w:tcPr>
          <w:p w14:paraId="3C22A329" w14:textId="77777777" w:rsidR="00081A7D" w:rsidRPr="008F2DF3" w:rsidRDefault="00081A7D" w:rsidP="007533FC">
            <w:pPr>
              <w:widowControl w:val="0"/>
              <w:autoSpaceDE w:val="0"/>
              <w:autoSpaceDN w:val="0"/>
              <w:adjustRightInd w:val="0"/>
              <w:contextualSpacing/>
              <w:jc w:val="center"/>
              <w:rPr>
                <w:rFonts w:cs="Arial"/>
                <w:lang w:val="es-ES"/>
              </w:rPr>
            </w:pPr>
            <w:r w:rsidRPr="008F2DF3">
              <w:rPr>
                <w:rFonts w:cs="Arial"/>
                <w:lang w:val="es-ES"/>
              </w:rPr>
              <w:t>2</w:t>
            </w:r>
          </w:p>
        </w:tc>
      </w:tr>
      <w:tr w:rsidR="00081A7D" w:rsidRPr="008F2DF3" w14:paraId="68BC807F" w14:textId="77777777" w:rsidTr="004A78BA">
        <w:tc>
          <w:tcPr>
            <w:tcW w:w="1530" w:type="dxa"/>
            <w:vMerge/>
          </w:tcPr>
          <w:p w14:paraId="28C804EB" w14:textId="77777777" w:rsidR="00081A7D" w:rsidRPr="008F2DF3" w:rsidRDefault="00081A7D" w:rsidP="007533FC">
            <w:pPr>
              <w:widowControl w:val="0"/>
              <w:autoSpaceDE w:val="0"/>
              <w:autoSpaceDN w:val="0"/>
              <w:adjustRightInd w:val="0"/>
              <w:contextualSpacing/>
              <w:rPr>
                <w:rFonts w:cs="Arial"/>
                <w:lang w:val="es-ES"/>
              </w:rPr>
            </w:pPr>
          </w:p>
        </w:tc>
        <w:tc>
          <w:tcPr>
            <w:tcW w:w="3073" w:type="dxa"/>
            <w:shd w:val="clear" w:color="auto" w:fill="D9D9D9" w:themeFill="background1" w:themeFillShade="D9"/>
          </w:tcPr>
          <w:p w14:paraId="1C718284"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Dra. Daliborka Stankovic</w:t>
            </w:r>
          </w:p>
        </w:tc>
        <w:tc>
          <w:tcPr>
            <w:tcW w:w="1877" w:type="dxa"/>
            <w:shd w:val="clear" w:color="auto" w:fill="D9D9D9" w:themeFill="background1" w:themeFillShade="D9"/>
          </w:tcPr>
          <w:p w14:paraId="49A8BEF2"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Serbia</w:t>
            </w:r>
          </w:p>
        </w:tc>
        <w:tc>
          <w:tcPr>
            <w:tcW w:w="2340" w:type="dxa"/>
            <w:shd w:val="clear" w:color="auto" w:fill="D9D9D9" w:themeFill="background1" w:themeFillShade="D9"/>
          </w:tcPr>
          <w:p w14:paraId="69B21E35"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COP13-COP14</w:t>
            </w:r>
          </w:p>
        </w:tc>
        <w:tc>
          <w:tcPr>
            <w:tcW w:w="1440" w:type="dxa"/>
            <w:shd w:val="clear" w:color="auto" w:fill="D9D9D9" w:themeFill="background1" w:themeFillShade="D9"/>
          </w:tcPr>
          <w:p w14:paraId="713DBE5A" w14:textId="77777777" w:rsidR="00081A7D" w:rsidRPr="008F2DF3" w:rsidRDefault="00081A7D" w:rsidP="007533FC">
            <w:pPr>
              <w:widowControl w:val="0"/>
              <w:autoSpaceDE w:val="0"/>
              <w:autoSpaceDN w:val="0"/>
              <w:adjustRightInd w:val="0"/>
              <w:contextualSpacing/>
              <w:jc w:val="center"/>
              <w:rPr>
                <w:rFonts w:cs="Arial"/>
                <w:lang w:val="es-ES"/>
              </w:rPr>
            </w:pPr>
            <w:r w:rsidRPr="008F2DF3">
              <w:rPr>
                <w:rFonts w:cs="Arial"/>
                <w:lang w:val="es-ES"/>
              </w:rPr>
              <w:t>2</w:t>
            </w:r>
          </w:p>
        </w:tc>
      </w:tr>
      <w:tr w:rsidR="00081A7D" w:rsidRPr="008F2DF3" w14:paraId="3FE2EEAC" w14:textId="77777777" w:rsidTr="004A78BA">
        <w:tc>
          <w:tcPr>
            <w:tcW w:w="1530" w:type="dxa"/>
            <w:vMerge w:val="restart"/>
          </w:tcPr>
          <w:p w14:paraId="229A8771"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Oceanía</w:t>
            </w:r>
          </w:p>
        </w:tc>
        <w:tc>
          <w:tcPr>
            <w:tcW w:w="3073" w:type="dxa"/>
            <w:shd w:val="clear" w:color="auto" w:fill="D9D9D9" w:themeFill="background1" w:themeFillShade="D9"/>
          </w:tcPr>
          <w:p w14:paraId="1D4AC4D5"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D.ª Narelle Montgomery</w:t>
            </w:r>
          </w:p>
        </w:tc>
        <w:tc>
          <w:tcPr>
            <w:tcW w:w="1877" w:type="dxa"/>
            <w:shd w:val="clear" w:color="auto" w:fill="D9D9D9" w:themeFill="background1" w:themeFillShade="D9"/>
          </w:tcPr>
          <w:p w14:paraId="586DDD7E"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Australia</w:t>
            </w:r>
          </w:p>
        </w:tc>
        <w:tc>
          <w:tcPr>
            <w:tcW w:w="2340" w:type="dxa"/>
            <w:shd w:val="clear" w:color="auto" w:fill="D9D9D9" w:themeFill="background1" w:themeFillShade="D9"/>
          </w:tcPr>
          <w:p w14:paraId="09D71ADF"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COP12-COP13</w:t>
            </w:r>
          </w:p>
        </w:tc>
        <w:tc>
          <w:tcPr>
            <w:tcW w:w="1440" w:type="dxa"/>
            <w:shd w:val="clear" w:color="auto" w:fill="D9D9D9" w:themeFill="background1" w:themeFillShade="D9"/>
          </w:tcPr>
          <w:p w14:paraId="1C2E864D" w14:textId="77777777" w:rsidR="00081A7D" w:rsidRPr="008F2DF3" w:rsidRDefault="00081A7D" w:rsidP="007533FC">
            <w:pPr>
              <w:widowControl w:val="0"/>
              <w:autoSpaceDE w:val="0"/>
              <w:autoSpaceDN w:val="0"/>
              <w:adjustRightInd w:val="0"/>
              <w:contextualSpacing/>
              <w:jc w:val="center"/>
              <w:rPr>
                <w:rFonts w:cs="Arial"/>
                <w:lang w:val="es-ES"/>
              </w:rPr>
            </w:pPr>
            <w:r w:rsidRPr="008F2DF3">
              <w:rPr>
                <w:rFonts w:cs="Arial"/>
                <w:lang w:val="es-ES"/>
              </w:rPr>
              <w:t>3</w:t>
            </w:r>
          </w:p>
        </w:tc>
      </w:tr>
      <w:tr w:rsidR="00081A7D" w:rsidRPr="008F2DF3" w14:paraId="59CB2702" w14:textId="77777777" w:rsidTr="004A78BA">
        <w:tc>
          <w:tcPr>
            <w:tcW w:w="1530" w:type="dxa"/>
            <w:vMerge/>
          </w:tcPr>
          <w:p w14:paraId="7FEB06E2" w14:textId="77777777" w:rsidR="00081A7D" w:rsidRPr="008F2DF3" w:rsidRDefault="00081A7D" w:rsidP="007533FC">
            <w:pPr>
              <w:widowControl w:val="0"/>
              <w:autoSpaceDE w:val="0"/>
              <w:autoSpaceDN w:val="0"/>
              <w:adjustRightInd w:val="0"/>
              <w:contextualSpacing/>
              <w:rPr>
                <w:rFonts w:cs="Arial"/>
                <w:lang w:val="es-ES"/>
              </w:rPr>
            </w:pPr>
          </w:p>
        </w:tc>
        <w:tc>
          <w:tcPr>
            <w:tcW w:w="3073" w:type="dxa"/>
            <w:shd w:val="clear" w:color="auto" w:fill="D9D9D9" w:themeFill="background1" w:themeFillShade="D9"/>
          </w:tcPr>
          <w:p w14:paraId="76741A76"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D. Graeme Taylor</w:t>
            </w:r>
          </w:p>
        </w:tc>
        <w:tc>
          <w:tcPr>
            <w:tcW w:w="1877" w:type="dxa"/>
            <w:shd w:val="clear" w:color="auto" w:fill="D9D9D9" w:themeFill="background1" w:themeFillShade="D9"/>
          </w:tcPr>
          <w:p w14:paraId="5F282590"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Nueva Zelanda</w:t>
            </w:r>
          </w:p>
        </w:tc>
        <w:tc>
          <w:tcPr>
            <w:tcW w:w="2340" w:type="dxa"/>
            <w:shd w:val="clear" w:color="auto" w:fill="D9D9D9" w:themeFill="background1" w:themeFillShade="D9"/>
          </w:tcPr>
          <w:p w14:paraId="2235F987"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COP11-COP12</w:t>
            </w:r>
          </w:p>
        </w:tc>
        <w:tc>
          <w:tcPr>
            <w:tcW w:w="1440" w:type="dxa"/>
            <w:shd w:val="clear" w:color="auto" w:fill="D9D9D9" w:themeFill="background1" w:themeFillShade="D9"/>
          </w:tcPr>
          <w:p w14:paraId="0BB27F52" w14:textId="77777777" w:rsidR="00081A7D" w:rsidRPr="008F2DF3" w:rsidRDefault="00081A7D" w:rsidP="007533FC">
            <w:pPr>
              <w:widowControl w:val="0"/>
              <w:autoSpaceDE w:val="0"/>
              <w:autoSpaceDN w:val="0"/>
              <w:adjustRightInd w:val="0"/>
              <w:contextualSpacing/>
              <w:jc w:val="center"/>
              <w:rPr>
                <w:rFonts w:cs="Arial"/>
                <w:lang w:val="es-ES"/>
              </w:rPr>
            </w:pPr>
            <w:r w:rsidRPr="008F2DF3">
              <w:rPr>
                <w:rFonts w:cs="Arial"/>
                <w:lang w:val="es-ES"/>
              </w:rPr>
              <w:t>4</w:t>
            </w:r>
          </w:p>
        </w:tc>
      </w:tr>
      <w:tr w:rsidR="00081A7D" w:rsidRPr="008F2DF3" w14:paraId="100CD092" w14:textId="77777777" w:rsidTr="004A78BA">
        <w:tc>
          <w:tcPr>
            <w:tcW w:w="1530" w:type="dxa"/>
            <w:vMerge/>
          </w:tcPr>
          <w:p w14:paraId="61A456BC" w14:textId="77777777" w:rsidR="00081A7D" w:rsidRPr="008F2DF3" w:rsidRDefault="00081A7D" w:rsidP="007533FC">
            <w:pPr>
              <w:widowControl w:val="0"/>
              <w:autoSpaceDE w:val="0"/>
              <w:autoSpaceDN w:val="0"/>
              <w:adjustRightInd w:val="0"/>
              <w:contextualSpacing/>
              <w:rPr>
                <w:rFonts w:cs="Arial"/>
                <w:lang w:val="es-ES"/>
              </w:rPr>
            </w:pPr>
          </w:p>
        </w:tc>
        <w:tc>
          <w:tcPr>
            <w:tcW w:w="3073" w:type="dxa"/>
          </w:tcPr>
          <w:p w14:paraId="78A0506C"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Vacante</w:t>
            </w:r>
          </w:p>
        </w:tc>
        <w:tc>
          <w:tcPr>
            <w:tcW w:w="1877" w:type="dxa"/>
          </w:tcPr>
          <w:p w14:paraId="393A2F2E" w14:textId="77777777" w:rsidR="00081A7D" w:rsidRPr="008F2DF3" w:rsidRDefault="00081A7D" w:rsidP="007533FC">
            <w:pPr>
              <w:widowControl w:val="0"/>
              <w:autoSpaceDE w:val="0"/>
              <w:autoSpaceDN w:val="0"/>
              <w:adjustRightInd w:val="0"/>
              <w:contextualSpacing/>
              <w:rPr>
                <w:rFonts w:cs="Arial"/>
                <w:lang w:val="es-ES"/>
              </w:rPr>
            </w:pPr>
          </w:p>
        </w:tc>
        <w:tc>
          <w:tcPr>
            <w:tcW w:w="2340" w:type="dxa"/>
          </w:tcPr>
          <w:p w14:paraId="0830B994" w14:textId="77777777" w:rsidR="00081A7D" w:rsidRPr="008F2DF3" w:rsidRDefault="00081A7D" w:rsidP="007533FC">
            <w:pPr>
              <w:widowControl w:val="0"/>
              <w:autoSpaceDE w:val="0"/>
              <w:autoSpaceDN w:val="0"/>
              <w:adjustRightInd w:val="0"/>
              <w:contextualSpacing/>
              <w:rPr>
                <w:rFonts w:cs="Arial"/>
                <w:lang w:val="es-ES"/>
              </w:rPr>
            </w:pPr>
          </w:p>
        </w:tc>
        <w:tc>
          <w:tcPr>
            <w:tcW w:w="1440" w:type="dxa"/>
          </w:tcPr>
          <w:p w14:paraId="504C0947" w14:textId="77777777" w:rsidR="00081A7D" w:rsidRPr="008F2DF3" w:rsidRDefault="00081A7D" w:rsidP="007533FC">
            <w:pPr>
              <w:widowControl w:val="0"/>
              <w:autoSpaceDE w:val="0"/>
              <w:autoSpaceDN w:val="0"/>
              <w:adjustRightInd w:val="0"/>
              <w:contextualSpacing/>
              <w:jc w:val="center"/>
              <w:rPr>
                <w:rFonts w:cs="Arial"/>
                <w:lang w:val="es-ES"/>
              </w:rPr>
            </w:pPr>
          </w:p>
        </w:tc>
      </w:tr>
      <w:tr w:rsidR="00081A7D" w:rsidRPr="008F2DF3" w14:paraId="3E7346CC" w14:textId="77777777" w:rsidTr="004A78BA">
        <w:tc>
          <w:tcPr>
            <w:tcW w:w="1530" w:type="dxa"/>
            <w:vMerge w:val="restart"/>
          </w:tcPr>
          <w:p w14:paraId="56AA3A78"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lastRenderedPageBreak/>
              <w:t>América del Sur y Central y el Caribe</w:t>
            </w:r>
          </w:p>
        </w:tc>
        <w:tc>
          <w:tcPr>
            <w:tcW w:w="3073" w:type="dxa"/>
            <w:shd w:val="clear" w:color="auto" w:fill="D9D9D9" w:themeFill="background1" w:themeFillShade="D9"/>
          </w:tcPr>
          <w:p w14:paraId="5B91E7BB" w14:textId="173B6390" w:rsidR="00081A7D" w:rsidRPr="008F2DF3" w:rsidRDefault="004A78BA" w:rsidP="007533FC">
            <w:pPr>
              <w:widowControl w:val="0"/>
              <w:autoSpaceDE w:val="0"/>
              <w:autoSpaceDN w:val="0"/>
              <w:adjustRightInd w:val="0"/>
              <w:contextualSpacing/>
              <w:rPr>
                <w:rFonts w:cs="Arial"/>
                <w:lang w:val="es-ES"/>
              </w:rPr>
            </w:pPr>
            <w:r>
              <w:rPr>
                <w:rFonts w:cs="Arial"/>
                <w:lang w:val="es-ES"/>
              </w:rPr>
              <w:t>Vacante</w:t>
            </w:r>
          </w:p>
        </w:tc>
        <w:tc>
          <w:tcPr>
            <w:tcW w:w="1877" w:type="dxa"/>
            <w:shd w:val="clear" w:color="auto" w:fill="D9D9D9" w:themeFill="background1" w:themeFillShade="D9"/>
          </w:tcPr>
          <w:p w14:paraId="0773DE7C" w14:textId="6A666C48" w:rsidR="00081A7D" w:rsidRPr="008F2DF3" w:rsidRDefault="00081A7D" w:rsidP="007533FC">
            <w:pPr>
              <w:widowControl w:val="0"/>
              <w:autoSpaceDE w:val="0"/>
              <w:autoSpaceDN w:val="0"/>
              <w:adjustRightInd w:val="0"/>
              <w:contextualSpacing/>
              <w:rPr>
                <w:rFonts w:cs="Arial"/>
                <w:lang w:val="es-ES"/>
              </w:rPr>
            </w:pPr>
          </w:p>
        </w:tc>
        <w:tc>
          <w:tcPr>
            <w:tcW w:w="2340" w:type="dxa"/>
            <w:shd w:val="clear" w:color="auto" w:fill="D9D9D9" w:themeFill="background1" w:themeFillShade="D9"/>
          </w:tcPr>
          <w:p w14:paraId="032ADD98" w14:textId="02E01A87" w:rsidR="00081A7D" w:rsidRPr="008F2DF3" w:rsidRDefault="00081A7D" w:rsidP="007533FC">
            <w:pPr>
              <w:widowControl w:val="0"/>
              <w:autoSpaceDE w:val="0"/>
              <w:autoSpaceDN w:val="0"/>
              <w:adjustRightInd w:val="0"/>
              <w:contextualSpacing/>
              <w:rPr>
                <w:rFonts w:cs="Arial"/>
                <w:lang w:val="es-ES"/>
              </w:rPr>
            </w:pPr>
          </w:p>
        </w:tc>
        <w:tc>
          <w:tcPr>
            <w:tcW w:w="1440" w:type="dxa"/>
            <w:shd w:val="clear" w:color="auto" w:fill="D9D9D9" w:themeFill="background1" w:themeFillShade="D9"/>
          </w:tcPr>
          <w:p w14:paraId="1E83B995" w14:textId="5C6752CB" w:rsidR="00081A7D" w:rsidRPr="008F2DF3" w:rsidRDefault="00081A7D" w:rsidP="007533FC">
            <w:pPr>
              <w:widowControl w:val="0"/>
              <w:autoSpaceDE w:val="0"/>
              <w:autoSpaceDN w:val="0"/>
              <w:adjustRightInd w:val="0"/>
              <w:contextualSpacing/>
              <w:jc w:val="center"/>
              <w:rPr>
                <w:rFonts w:cs="Arial"/>
                <w:lang w:val="es-ES"/>
              </w:rPr>
            </w:pPr>
          </w:p>
        </w:tc>
      </w:tr>
      <w:tr w:rsidR="00081A7D" w:rsidRPr="008F2DF3" w14:paraId="1C8134AB" w14:textId="77777777" w:rsidTr="004A78BA">
        <w:tc>
          <w:tcPr>
            <w:tcW w:w="1530" w:type="dxa"/>
            <w:vMerge/>
          </w:tcPr>
          <w:p w14:paraId="676FDD65" w14:textId="77777777" w:rsidR="00081A7D" w:rsidRPr="008F2DF3" w:rsidRDefault="00081A7D" w:rsidP="007533FC">
            <w:pPr>
              <w:widowControl w:val="0"/>
              <w:autoSpaceDE w:val="0"/>
              <w:autoSpaceDN w:val="0"/>
              <w:adjustRightInd w:val="0"/>
              <w:contextualSpacing/>
              <w:rPr>
                <w:rFonts w:cs="Arial"/>
                <w:lang w:val="es-ES"/>
              </w:rPr>
            </w:pPr>
          </w:p>
        </w:tc>
        <w:tc>
          <w:tcPr>
            <w:tcW w:w="3073" w:type="dxa"/>
          </w:tcPr>
          <w:p w14:paraId="498D4B00"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D. Andrei Langeloh Roos</w:t>
            </w:r>
          </w:p>
        </w:tc>
        <w:tc>
          <w:tcPr>
            <w:tcW w:w="1877" w:type="dxa"/>
          </w:tcPr>
          <w:p w14:paraId="4C831AA3"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Brasil</w:t>
            </w:r>
          </w:p>
        </w:tc>
        <w:tc>
          <w:tcPr>
            <w:tcW w:w="2340" w:type="dxa"/>
          </w:tcPr>
          <w:p w14:paraId="5CA1BEAC"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COP14-COP15</w:t>
            </w:r>
          </w:p>
        </w:tc>
        <w:tc>
          <w:tcPr>
            <w:tcW w:w="1440" w:type="dxa"/>
          </w:tcPr>
          <w:p w14:paraId="441CB60F" w14:textId="77777777" w:rsidR="00081A7D" w:rsidRPr="008F2DF3" w:rsidRDefault="00081A7D" w:rsidP="007533FC">
            <w:pPr>
              <w:widowControl w:val="0"/>
              <w:autoSpaceDE w:val="0"/>
              <w:autoSpaceDN w:val="0"/>
              <w:adjustRightInd w:val="0"/>
              <w:contextualSpacing/>
              <w:jc w:val="center"/>
              <w:rPr>
                <w:rFonts w:cs="Arial"/>
                <w:lang w:val="es-ES"/>
              </w:rPr>
            </w:pPr>
            <w:r w:rsidRPr="008F2DF3">
              <w:rPr>
                <w:rFonts w:cs="Arial"/>
                <w:lang w:val="es-ES"/>
              </w:rPr>
              <w:t>1</w:t>
            </w:r>
          </w:p>
        </w:tc>
      </w:tr>
      <w:tr w:rsidR="00081A7D" w:rsidRPr="008F2DF3" w14:paraId="4EF94924" w14:textId="77777777" w:rsidTr="004A78BA">
        <w:tc>
          <w:tcPr>
            <w:tcW w:w="1530" w:type="dxa"/>
            <w:vMerge/>
          </w:tcPr>
          <w:p w14:paraId="23CE4815" w14:textId="77777777" w:rsidR="00081A7D" w:rsidRPr="008F2DF3" w:rsidRDefault="00081A7D" w:rsidP="007533FC">
            <w:pPr>
              <w:widowControl w:val="0"/>
              <w:autoSpaceDE w:val="0"/>
              <w:autoSpaceDN w:val="0"/>
              <w:adjustRightInd w:val="0"/>
              <w:contextualSpacing/>
              <w:rPr>
                <w:rFonts w:cs="Arial"/>
                <w:lang w:val="es-ES"/>
              </w:rPr>
            </w:pPr>
          </w:p>
        </w:tc>
        <w:tc>
          <w:tcPr>
            <w:tcW w:w="3073" w:type="dxa"/>
            <w:shd w:val="clear" w:color="auto" w:fill="D9D9D9" w:themeFill="background1" w:themeFillShade="D9"/>
          </w:tcPr>
          <w:p w14:paraId="3BB01DCE"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Dr. Héctor Samuel Vera Alcaraz</w:t>
            </w:r>
          </w:p>
        </w:tc>
        <w:tc>
          <w:tcPr>
            <w:tcW w:w="1877" w:type="dxa"/>
            <w:shd w:val="clear" w:color="auto" w:fill="D9D9D9" w:themeFill="background1" w:themeFillShade="D9"/>
          </w:tcPr>
          <w:p w14:paraId="6E7428F2"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Paraguay</w:t>
            </w:r>
          </w:p>
        </w:tc>
        <w:tc>
          <w:tcPr>
            <w:tcW w:w="2340" w:type="dxa"/>
            <w:shd w:val="clear" w:color="auto" w:fill="D9D9D9" w:themeFill="background1" w:themeFillShade="D9"/>
          </w:tcPr>
          <w:p w14:paraId="7953C632"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COP12-COP13</w:t>
            </w:r>
          </w:p>
        </w:tc>
        <w:tc>
          <w:tcPr>
            <w:tcW w:w="1440" w:type="dxa"/>
            <w:shd w:val="clear" w:color="auto" w:fill="D9D9D9" w:themeFill="background1" w:themeFillShade="D9"/>
          </w:tcPr>
          <w:p w14:paraId="1DE756CA" w14:textId="77777777" w:rsidR="00081A7D" w:rsidRPr="008F2DF3" w:rsidRDefault="00081A7D" w:rsidP="007533FC">
            <w:pPr>
              <w:widowControl w:val="0"/>
              <w:autoSpaceDE w:val="0"/>
              <w:autoSpaceDN w:val="0"/>
              <w:adjustRightInd w:val="0"/>
              <w:contextualSpacing/>
              <w:jc w:val="center"/>
              <w:rPr>
                <w:rFonts w:cs="Arial"/>
                <w:lang w:val="es-ES"/>
              </w:rPr>
            </w:pPr>
            <w:r w:rsidRPr="008F2DF3">
              <w:rPr>
                <w:rFonts w:cs="Arial"/>
                <w:lang w:val="es-ES"/>
              </w:rPr>
              <w:t>2</w:t>
            </w:r>
          </w:p>
        </w:tc>
      </w:tr>
    </w:tbl>
    <w:p w14:paraId="4C77C80A" w14:textId="77777777" w:rsidR="00081A7D" w:rsidRPr="008F2DF3" w:rsidRDefault="00081A7D" w:rsidP="00081A7D">
      <w:pPr>
        <w:widowControl w:val="0"/>
        <w:autoSpaceDE w:val="0"/>
        <w:autoSpaceDN w:val="0"/>
        <w:adjustRightInd w:val="0"/>
        <w:spacing w:after="0" w:line="240" w:lineRule="auto"/>
        <w:ind w:left="567" w:hanging="567"/>
        <w:jc w:val="both"/>
        <w:rPr>
          <w:rFonts w:cs="Arial"/>
          <w:lang w:val="es-ES"/>
        </w:rPr>
      </w:pPr>
    </w:p>
    <w:p w14:paraId="2A41F8EF" w14:textId="77777777" w:rsidR="00081A7D" w:rsidRPr="008F2DF3" w:rsidRDefault="00081A7D" w:rsidP="00081A7D">
      <w:pPr>
        <w:widowControl w:val="0"/>
        <w:numPr>
          <w:ilvl w:val="0"/>
          <w:numId w:val="14"/>
        </w:numPr>
        <w:autoSpaceDE w:val="0"/>
        <w:autoSpaceDN w:val="0"/>
        <w:adjustRightInd w:val="0"/>
        <w:spacing w:after="0" w:line="240" w:lineRule="auto"/>
        <w:ind w:left="567" w:hanging="567"/>
        <w:jc w:val="both"/>
        <w:rPr>
          <w:rFonts w:cs="Arial"/>
          <w:lang w:val="es-ES"/>
        </w:rPr>
      </w:pPr>
      <w:r w:rsidRPr="008F2DF3">
        <w:rPr>
          <w:rFonts w:cs="Arial"/>
          <w:lang w:val="es-ES"/>
        </w:rPr>
        <w:t>Según lo decidido en la 44.a reunión del Comité Permanente, los candidatos propuestos para representantes regionales deberán identificarse mediante un proceso de consulta entre las Partes de las respectivas regiones, coordinado por los miembros pertinentes del Comité Permanente. Posteriormente, las regiones deberán presentar sus recomendaciones sobre los candidatos a la COP.</w:t>
      </w:r>
    </w:p>
    <w:p w14:paraId="3FF79F5F" w14:textId="77777777" w:rsidR="00081A7D" w:rsidRPr="008F2DF3" w:rsidRDefault="00081A7D" w:rsidP="00081A7D">
      <w:pPr>
        <w:widowControl w:val="0"/>
        <w:autoSpaceDE w:val="0"/>
        <w:autoSpaceDN w:val="0"/>
        <w:adjustRightInd w:val="0"/>
        <w:spacing w:after="0" w:line="240" w:lineRule="auto"/>
        <w:jc w:val="both"/>
        <w:rPr>
          <w:rFonts w:cs="Arial"/>
          <w:lang w:val="es-ES"/>
        </w:rPr>
      </w:pPr>
    </w:p>
    <w:p w14:paraId="19A9E258" w14:textId="76A5E11F" w:rsidR="00081A7D" w:rsidRPr="008F2DF3" w:rsidRDefault="00081A7D" w:rsidP="00081A7D">
      <w:pPr>
        <w:widowControl w:val="0"/>
        <w:numPr>
          <w:ilvl w:val="0"/>
          <w:numId w:val="14"/>
        </w:numPr>
        <w:autoSpaceDE w:val="0"/>
        <w:autoSpaceDN w:val="0"/>
        <w:adjustRightInd w:val="0"/>
        <w:spacing w:after="0" w:line="240" w:lineRule="auto"/>
        <w:ind w:left="567" w:hanging="567"/>
        <w:jc w:val="both"/>
        <w:rPr>
          <w:rFonts w:cs="Arial"/>
          <w:lang w:val="es-ES"/>
        </w:rPr>
      </w:pPr>
      <w:r w:rsidRPr="008F2DF3">
        <w:rPr>
          <w:rFonts w:cs="Arial"/>
          <w:lang w:val="es-ES"/>
        </w:rPr>
        <w:t>La Secretaría también contactó con los miembros de las regiones de África y Oceanía</w:t>
      </w:r>
      <w:r w:rsidR="003E7A01">
        <w:rPr>
          <w:rFonts w:cs="Arial"/>
          <w:lang w:val="es-ES"/>
        </w:rPr>
        <w:t xml:space="preserve"> y Sud</w:t>
      </w:r>
      <w:r w:rsidR="00460E00">
        <w:rPr>
          <w:rFonts w:cs="Arial"/>
          <w:lang w:val="es-ES"/>
        </w:rPr>
        <w:t>américa y el Caribe</w:t>
      </w:r>
      <w:r w:rsidRPr="008F2DF3">
        <w:rPr>
          <w:rFonts w:cs="Arial"/>
          <w:lang w:val="es-ES"/>
        </w:rPr>
        <w:t xml:space="preserve"> informándoles de los puestos vacantes de representantes regionales en sus respectivas regiones, y recomendó que estos puestos fueran ocupados por un miembro </w:t>
      </w:r>
      <w:r w:rsidRPr="008F2DF3">
        <w:rPr>
          <w:rFonts w:cs="Arial"/>
          <w:color w:val="000000" w:themeColor="text1"/>
          <w:lang w:val="es-ES"/>
        </w:rPr>
        <w:t xml:space="preserve">suplente </w:t>
      </w:r>
      <w:r w:rsidRPr="008F2DF3">
        <w:rPr>
          <w:rFonts w:cs="Arial"/>
          <w:lang w:val="es-ES"/>
        </w:rPr>
        <w:t xml:space="preserve">antes de la ScC-SC8, de conformidad con el inciso i) de la Regla 2 del Reglamento del Consejo Científico y su Comité del Período de Sesiones de la CMS. </w:t>
      </w:r>
    </w:p>
    <w:p w14:paraId="255D13DA" w14:textId="77777777" w:rsidR="00081A7D" w:rsidRPr="008F2DF3" w:rsidRDefault="00081A7D" w:rsidP="00081A7D">
      <w:pPr>
        <w:spacing w:after="0"/>
        <w:rPr>
          <w:rFonts w:cs="Arial"/>
          <w:lang w:val="es-ES"/>
        </w:rPr>
      </w:pPr>
    </w:p>
    <w:p w14:paraId="7ECF496A" w14:textId="77777777" w:rsidR="00081A7D" w:rsidRPr="008F2DF3" w:rsidRDefault="00081A7D" w:rsidP="00081A7D">
      <w:pPr>
        <w:widowControl w:val="0"/>
        <w:autoSpaceDE w:val="0"/>
        <w:autoSpaceDN w:val="0"/>
        <w:adjustRightInd w:val="0"/>
        <w:spacing w:after="0" w:line="240" w:lineRule="auto"/>
        <w:rPr>
          <w:rFonts w:eastAsia="Times New Roman" w:cs="Arial"/>
          <w:i/>
          <w:iCs/>
          <w:lang w:val="es-ES"/>
        </w:rPr>
      </w:pPr>
      <w:r w:rsidRPr="008F2DF3">
        <w:rPr>
          <w:rFonts w:eastAsia="Times New Roman" w:cs="Arial"/>
          <w:i/>
          <w:iCs/>
          <w:lang w:val="es-ES"/>
        </w:rPr>
        <w:t>Nombramiento de los miembros suplentes regionales del Comité del Período de Sesiones</w:t>
      </w:r>
    </w:p>
    <w:p w14:paraId="714062B0" w14:textId="77777777" w:rsidR="00081A7D" w:rsidRPr="008F2DF3" w:rsidRDefault="00081A7D" w:rsidP="00081A7D">
      <w:pPr>
        <w:pStyle w:val="ListParagraph"/>
        <w:spacing w:after="0"/>
        <w:rPr>
          <w:rFonts w:cs="Arial"/>
          <w:lang w:val="es-ES"/>
        </w:rPr>
      </w:pPr>
    </w:p>
    <w:p w14:paraId="4E16EB74" w14:textId="1541DB31" w:rsidR="00081A7D" w:rsidRPr="008F2DF3" w:rsidRDefault="00081A7D" w:rsidP="00081A7D">
      <w:pPr>
        <w:widowControl w:val="0"/>
        <w:numPr>
          <w:ilvl w:val="0"/>
          <w:numId w:val="14"/>
        </w:numPr>
        <w:autoSpaceDE w:val="0"/>
        <w:autoSpaceDN w:val="0"/>
        <w:adjustRightInd w:val="0"/>
        <w:spacing w:after="0" w:line="240" w:lineRule="auto"/>
        <w:ind w:left="567" w:hanging="567"/>
        <w:jc w:val="both"/>
        <w:rPr>
          <w:rFonts w:cs="Arial"/>
          <w:lang w:val="es-ES"/>
        </w:rPr>
      </w:pPr>
      <w:r w:rsidRPr="008F2DF3">
        <w:rPr>
          <w:rFonts w:cs="Arial"/>
          <w:lang w:val="es-ES"/>
        </w:rPr>
        <w:t>También se espera que la COP nombre, de entre los consejeros designados por las Partes, hasta tres miembros suplentes por cada región. No existe límite en la duración del mandato para este cargo. Solo dos regiones han nombrado suplentes. D. Simon Nemtzov renunció recientemente a su cargo como suplente para Europa.</w:t>
      </w:r>
      <w:r w:rsidR="00086522" w:rsidRPr="00086522">
        <w:rPr>
          <w:lang w:val="es-ES"/>
        </w:rPr>
        <w:t xml:space="preserve"> </w:t>
      </w:r>
      <w:r w:rsidR="00086522" w:rsidRPr="00086522">
        <w:rPr>
          <w:rFonts w:cs="Arial"/>
          <w:lang w:val="es-ES"/>
        </w:rPr>
        <w:t>Seychelles informó a la Secretaría que el Sr. Selby Remie ya no está en condiciones de formar parte del Consejo Científico.</w:t>
      </w:r>
      <w:r w:rsidRPr="008F2DF3">
        <w:rPr>
          <w:rFonts w:cs="Arial"/>
          <w:lang w:val="es-ES"/>
        </w:rPr>
        <w:t xml:space="preserve"> La lista actual de suplentes se resume en la Tabla 3.</w:t>
      </w:r>
    </w:p>
    <w:p w14:paraId="6210328E" w14:textId="77777777" w:rsidR="00611F3E" w:rsidRDefault="00611F3E" w:rsidP="00194841">
      <w:pPr>
        <w:spacing w:after="0" w:line="240" w:lineRule="auto"/>
        <w:rPr>
          <w:rFonts w:cs="Arial"/>
          <w:lang w:val="es-ES"/>
        </w:rPr>
      </w:pPr>
    </w:p>
    <w:p w14:paraId="03815472" w14:textId="53398677" w:rsidR="00081A7D" w:rsidRPr="008F2DF3" w:rsidRDefault="00081A7D" w:rsidP="00081A7D">
      <w:pPr>
        <w:widowControl w:val="0"/>
        <w:autoSpaceDE w:val="0"/>
        <w:autoSpaceDN w:val="0"/>
        <w:adjustRightInd w:val="0"/>
        <w:spacing w:after="0" w:line="240" w:lineRule="auto"/>
        <w:contextualSpacing/>
        <w:jc w:val="both"/>
        <w:rPr>
          <w:rFonts w:cs="Arial"/>
          <w:lang w:val="es-ES"/>
        </w:rPr>
      </w:pPr>
      <w:r w:rsidRPr="008F2DF3">
        <w:rPr>
          <w:rFonts w:cs="Arial"/>
          <w:lang w:val="es-ES"/>
        </w:rPr>
        <w:t>Tabla 3. Panorámica general de los miembros suplentes del Comité del Período de Sesiones</w:t>
      </w:r>
    </w:p>
    <w:p w14:paraId="13914074" w14:textId="77777777" w:rsidR="00081A7D" w:rsidRPr="008F2DF3" w:rsidRDefault="00081A7D" w:rsidP="00081A7D">
      <w:pPr>
        <w:widowControl w:val="0"/>
        <w:autoSpaceDE w:val="0"/>
        <w:autoSpaceDN w:val="0"/>
        <w:adjustRightInd w:val="0"/>
        <w:spacing w:after="0" w:line="240" w:lineRule="auto"/>
        <w:contextualSpacing/>
        <w:jc w:val="both"/>
        <w:rPr>
          <w:rFonts w:cs="Arial"/>
          <w:lang w:val="es-ES"/>
        </w:rPr>
      </w:pPr>
    </w:p>
    <w:tbl>
      <w:tblPr>
        <w:tblStyle w:val="TableGrid"/>
        <w:tblW w:w="0" w:type="auto"/>
        <w:tblInd w:w="279" w:type="dxa"/>
        <w:tblLook w:val="04A0" w:firstRow="1" w:lastRow="0" w:firstColumn="1" w:lastColumn="0" w:noHBand="0" w:noVBand="1"/>
      </w:tblPr>
      <w:tblGrid>
        <w:gridCol w:w="2551"/>
        <w:gridCol w:w="3969"/>
        <w:gridCol w:w="2217"/>
      </w:tblGrid>
      <w:tr w:rsidR="00081A7D" w:rsidRPr="002A06B1" w14:paraId="4921960A" w14:textId="77777777" w:rsidTr="007533FC">
        <w:tc>
          <w:tcPr>
            <w:tcW w:w="8737" w:type="dxa"/>
            <w:gridSpan w:val="3"/>
          </w:tcPr>
          <w:p w14:paraId="46626DF8" w14:textId="77777777" w:rsidR="00081A7D" w:rsidRPr="008F2DF3" w:rsidRDefault="00081A7D" w:rsidP="007533FC">
            <w:pPr>
              <w:jc w:val="center"/>
              <w:rPr>
                <w:b/>
                <w:bCs/>
                <w:lang w:val="es-ES"/>
              </w:rPr>
            </w:pPr>
            <w:r w:rsidRPr="008F2DF3">
              <w:rPr>
                <w:b/>
                <w:bCs/>
                <w:lang w:val="es-ES"/>
              </w:rPr>
              <w:t>Miembros actuales suplentes del Comité del Período de Sesiones del Consejo Científico</w:t>
            </w:r>
          </w:p>
        </w:tc>
      </w:tr>
      <w:tr w:rsidR="00081A7D" w:rsidRPr="008F2DF3" w14:paraId="767C30DE" w14:textId="77777777" w:rsidTr="007533FC">
        <w:tc>
          <w:tcPr>
            <w:tcW w:w="2551" w:type="dxa"/>
          </w:tcPr>
          <w:p w14:paraId="2885DA65" w14:textId="77777777" w:rsidR="00081A7D" w:rsidRPr="008F2DF3" w:rsidRDefault="00081A7D" w:rsidP="007533FC">
            <w:pPr>
              <w:rPr>
                <w:b/>
                <w:bCs/>
                <w:lang w:val="es-ES"/>
              </w:rPr>
            </w:pPr>
            <w:r w:rsidRPr="008F2DF3">
              <w:rPr>
                <w:b/>
                <w:bCs/>
                <w:lang w:val="es-ES"/>
              </w:rPr>
              <w:t>Región</w:t>
            </w:r>
          </w:p>
        </w:tc>
        <w:tc>
          <w:tcPr>
            <w:tcW w:w="3969" w:type="dxa"/>
          </w:tcPr>
          <w:p w14:paraId="32182996" w14:textId="77777777" w:rsidR="00081A7D" w:rsidRPr="008F2DF3" w:rsidRDefault="00081A7D" w:rsidP="007533FC">
            <w:pPr>
              <w:rPr>
                <w:b/>
                <w:bCs/>
                <w:lang w:val="es-ES"/>
              </w:rPr>
            </w:pPr>
            <w:r w:rsidRPr="008F2DF3">
              <w:rPr>
                <w:b/>
                <w:bCs/>
                <w:lang w:val="es-ES"/>
              </w:rPr>
              <w:t>Consejero científico</w:t>
            </w:r>
          </w:p>
        </w:tc>
        <w:tc>
          <w:tcPr>
            <w:tcW w:w="2217" w:type="dxa"/>
          </w:tcPr>
          <w:p w14:paraId="6400319D" w14:textId="77777777" w:rsidR="00081A7D" w:rsidRPr="008F2DF3" w:rsidRDefault="00081A7D" w:rsidP="007533FC">
            <w:pPr>
              <w:rPr>
                <w:b/>
                <w:bCs/>
                <w:lang w:val="es-ES"/>
              </w:rPr>
            </w:pPr>
            <w:r w:rsidRPr="008F2DF3">
              <w:rPr>
                <w:b/>
                <w:bCs/>
                <w:lang w:val="es-ES"/>
              </w:rPr>
              <w:t>Nombrado por</w:t>
            </w:r>
          </w:p>
        </w:tc>
      </w:tr>
      <w:tr w:rsidR="00081A7D" w:rsidRPr="008F2DF3" w14:paraId="63D95D1D" w14:textId="77777777" w:rsidTr="007533FC">
        <w:tc>
          <w:tcPr>
            <w:tcW w:w="2551" w:type="dxa"/>
            <w:vMerge w:val="restart"/>
          </w:tcPr>
          <w:p w14:paraId="156BB6E0" w14:textId="77777777" w:rsidR="00081A7D" w:rsidRPr="008F2DF3" w:rsidRDefault="00081A7D" w:rsidP="007533FC">
            <w:pPr>
              <w:rPr>
                <w:lang w:val="es-ES"/>
              </w:rPr>
            </w:pPr>
            <w:r w:rsidRPr="008F2DF3">
              <w:rPr>
                <w:lang w:val="es-ES"/>
              </w:rPr>
              <w:t>África</w:t>
            </w:r>
          </w:p>
        </w:tc>
        <w:tc>
          <w:tcPr>
            <w:tcW w:w="3969" w:type="dxa"/>
          </w:tcPr>
          <w:p w14:paraId="60537D86" w14:textId="77777777" w:rsidR="00081A7D" w:rsidRPr="008F2DF3" w:rsidRDefault="00081A7D" w:rsidP="007533FC">
            <w:pPr>
              <w:rPr>
                <w:lang w:val="es-ES"/>
              </w:rPr>
            </w:pPr>
            <w:r w:rsidRPr="008F2DF3">
              <w:rPr>
                <w:lang w:val="es-ES"/>
              </w:rPr>
              <w:t>D. Kahsay Gebretensae Asgedom</w:t>
            </w:r>
          </w:p>
        </w:tc>
        <w:tc>
          <w:tcPr>
            <w:tcW w:w="2217" w:type="dxa"/>
          </w:tcPr>
          <w:p w14:paraId="7E0368D3" w14:textId="77777777" w:rsidR="00081A7D" w:rsidRPr="008F2DF3" w:rsidRDefault="00081A7D" w:rsidP="007533FC">
            <w:pPr>
              <w:rPr>
                <w:lang w:val="es-ES"/>
              </w:rPr>
            </w:pPr>
            <w:r w:rsidRPr="008F2DF3">
              <w:rPr>
                <w:lang w:val="es-ES"/>
              </w:rPr>
              <w:t>Etiopía</w:t>
            </w:r>
          </w:p>
        </w:tc>
      </w:tr>
      <w:tr w:rsidR="00081A7D" w:rsidRPr="008F2DF3" w14:paraId="13B256BA" w14:textId="77777777" w:rsidTr="007533FC">
        <w:trPr>
          <w:trHeight w:val="231"/>
        </w:trPr>
        <w:tc>
          <w:tcPr>
            <w:tcW w:w="2551" w:type="dxa"/>
            <w:vMerge/>
          </w:tcPr>
          <w:p w14:paraId="24D6021F" w14:textId="77777777" w:rsidR="00081A7D" w:rsidRPr="008F2DF3" w:rsidRDefault="00081A7D" w:rsidP="007533FC">
            <w:pPr>
              <w:rPr>
                <w:lang w:val="es-ES"/>
              </w:rPr>
            </w:pPr>
          </w:p>
        </w:tc>
        <w:tc>
          <w:tcPr>
            <w:tcW w:w="3969" w:type="dxa"/>
          </w:tcPr>
          <w:p w14:paraId="411C17E8" w14:textId="435854FA" w:rsidR="00081A7D" w:rsidRPr="008F2DF3" w:rsidRDefault="00086522" w:rsidP="007533FC">
            <w:pPr>
              <w:rPr>
                <w:lang w:val="es-ES"/>
              </w:rPr>
            </w:pPr>
            <w:r w:rsidRPr="008F2DF3">
              <w:rPr>
                <w:lang w:val="es-ES"/>
              </w:rPr>
              <w:t>Vacante</w:t>
            </w:r>
          </w:p>
        </w:tc>
        <w:tc>
          <w:tcPr>
            <w:tcW w:w="2217" w:type="dxa"/>
          </w:tcPr>
          <w:p w14:paraId="6DCE0568" w14:textId="2EC0E020" w:rsidR="00081A7D" w:rsidRPr="008F2DF3" w:rsidRDefault="00081A7D" w:rsidP="007533FC">
            <w:pPr>
              <w:rPr>
                <w:lang w:val="es-ES"/>
              </w:rPr>
            </w:pPr>
          </w:p>
        </w:tc>
      </w:tr>
      <w:tr w:rsidR="00081A7D" w:rsidRPr="008F2DF3" w14:paraId="622BD7C4" w14:textId="77777777" w:rsidTr="007533FC">
        <w:trPr>
          <w:trHeight w:val="231"/>
        </w:trPr>
        <w:tc>
          <w:tcPr>
            <w:tcW w:w="2551" w:type="dxa"/>
            <w:vMerge/>
          </w:tcPr>
          <w:p w14:paraId="3BB5DF6F" w14:textId="77777777" w:rsidR="00081A7D" w:rsidRPr="008F2DF3" w:rsidRDefault="00081A7D" w:rsidP="007533FC">
            <w:pPr>
              <w:rPr>
                <w:lang w:val="es-ES"/>
              </w:rPr>
            </w:pPr>
          </w:p>
        </w:tc>
        <w:tc>
          <w:tcPr>
            <w:tcW w:w="3969" w:type="dxa"/>
          </w:tcPr>
          <w:p w14:paraId="4B497233" w14:textId="77777777" w:rsidR="00081A7D" w:rsidRPr="008F2DF3" w:rsidRDefault="00081A7D" w:rsidP="007533FC">
            <w:pPr>
              <w:rPr>
                <w:lang w:val="es-ES"/>
              </w:rPr>
            </w:pPr>
            <w:r w:rsidRPr="008F2DF3">
              <w:rPr>
                <w:lang w:val="es-ES"/>
              </w:rPr>
              <w:t>Vacante</w:t>
            </w:r>
          </w:p>
        </w:tc>
        <w:tc>
          <w:tcPr>
            <w:tcW w:w="2217" w:type="dxa"/>
          </w:tcPr>
          <w:p w14:paraId="5BAEF64D" w14:textId="77777777" w:rsidR="00081A7D" w:rsidRPr="008F2DF3" w:rsidRDefault="00081A7D" w:rsidP="007533FC">
            <w:pPr>
              <w:rPr>
                <w:lang w:val="es-ES"/>
              </w:rPr>
            </w:pPr>
          </w:p>
        </w:tc>
      </w:tr>
      <w:tr w:rsidR="00081A7D" w:rsidRPr="008F2DF3" w14:paraId="191EB8A1" w14:textId="77777777" w:rsidTr="007533FC">
        <w:tc>
          <w:tcPr>
            <w:tcW w:w="2551" w:type="dxa"/>
            <w:vMerge w:val="restart"/>
          </w:tcPr>
          <w:p w14:paraId="47015457" w14:textId="77777777" w:rsidR="00081A7D" w:rsidRPr="008F2DF3" w:rsidRDefault="00081A7D" w:rsidP="007533FC">
            <w:pPr>
              <w:rPr>
                <w:lang w:val="es-ES"/>
              </w:rPr>
            </w:pPr>
            <w:r w:rsidRPr="008F2DF3">
              <w:rPr>
                <w:lang w:val="es-ES"/>
              </w:rPr>
              <w:t>Asia</w:t>
            </w:r>
          </w:p>
        </w:tc>
        <w:tc>
          <w:tcPr>
            <w:tcW w:w="3969" w:type="dxa"/>
          </w:tcPr>
          <w:p w14:paraId="190D7B27" w14:textId="77777777" w:rsidR="00081A7D" w:rsidRPr="008F2DF3" w:rsidRDefault="00081A7D" w:rsidP="007533FC">
            <w:pPr>
              <w:rPr>
                <w:lang w:val="es-ES"/>
              </w:rPr>
            </w:pPr>
            <w:r w:rsidRPr="008F2DF3">
              <w:rPr>
                <w:lang w:val="es-ES"/>
              </w:rPr>
              <w:t>Vacante</w:t>
            </w:r>
          </w:p>
        </w:tc>
        <w:tc>
          <w:tcPr>
            <w:tcW w:w="2217" w:type="dxa"/>
          </w:tcPr>
          <w:p w14:paraId="353A5013" w14:textId="77777777" w:rsidR="00081A7D" w:rsidRPr="008F2DF3" w:rsidRDefault="00081A7D" w:rsidP="007533FC">
            <w:pPr>
              <w:rPr>
                <w:lang w:val="es-ES"/>
              </w:rPr>
            </w:pPr>
          </w:p>
        </w:tc>
      </w:tr>
      <w:tr w:rsidR="00081A7D" w:rsidRPr="008F2DF3" w14:paraId="0ABA2B01" w14:textId="77777777" w:rsidTr="007533FC">
        <w:tc>
          <w:tcPr>
            <w:tcW w:w="2551" w:type="dxa"/>
            <w:vMerge/>
          </w:tcPr>
          <w:p w14:paraId="4A9DB627" w14:textId="77777777" w:rsidR="00081A7D" w:rsidRPr="008F2DF3" w:rsidRDefault="00081A7D" w:rsidP="007533FC">
            <w:pPr>
              <w:rPr>
                <w:lang w:val="es-ES"/>
              </w:rPr>
            </w:pPr>
          </w:p>
        </w:tc>
        <w:tc>
          <w:tcPr>
            <w:tcW w:w="3969" w:type="dxa"/>
          </w:tcPr>
          <w:p w14:paraId="1F61E2D1" w14:textId="77777777" w:rsidR="00081A7D" w:rsidRPr="008F2DF3" w:rsidRDefault="00081A7D" w:rsidP="007533FC">
            <w:pPr>
              <w:rPr>
                <w:lang w:val="es-ES"/>
              </w:rPr>
            </w:pPr>
            <w:r w:rsidRPr="008F2DF3">
              <w:rPr>
                <w:lang w:val="es-ES"/>
              </w:rPr>
              <w:t>Vacante</w:t>
            </w:r>
          </w:p>
        </w:tc>
        <w:tc>
          <w:tcPr>
            <w:tcW w:w="2217" w:type="dxa"/>
          </w:tcPr>
          <w:p w14:paraId="09472DF1" w14:textId="77777777" w:rsidR="00081A7D" w:rsidRPr="008F2DF3" w:rsidRDefault="00081A7D" w:rsidP="007533FC">
            <w:pPr>
              <w:rPr>
                <w:lang w:val="es-ES"/>
              </w:rPr>
            </w:pPr>
          </w:p>
        </w:tc>
      </w:tr>
      <w:tr w:rsidR="00081A7D" w:rsidRPr="008F2DF3" w14:paraId="0BC45F37" w14:textId="77777777" w:rsidTr="007533FC">
        <w:tc>
          <w:tcPr>
            <w:tcW w:w="2551" w:type="dxa"/>
            <w:vMerge/>
          </w:tcPr>
          <w:p w14:paraId="23107E89" w14:textId="77777777" w:rsidR="00081A7D" w:rsidRPr="008F2DF3" w:rsidRDefault="00081A7D" w:rsidP="007533FC">
            <w:pPr>
              <w:rPr>
                <w:lang w:val="es-ES"/>
              </w:rPr>
            </w:pPr>
          </w:p>
        </w:tc>
        <w:tc>
          <w:tcPr>
            <w:tcW w:w="3969" w:type="dxa"/>
          </w:tcPr>
          <w:p w14:paraId="4AD317F3" w14:textId="77777777" w:rsidR="00081A7D" w:rsidRPr="008F2DF3" w:rsidRDefault="00081A7D" w:rsidP="007533FC">
            <w:pPr>
              <w:rPr>
                <w:lang w:val="es-ES"/>
              </w:rPr>
            </w:pPr>
            <w:r w:rsidRPr="008F2DF3">
              <w:rPr>
                <w:lang w:val="es-ES"/>
              </w:rPr>
              <w:t>Vacante</w:t>
            </w:r>
          </w:p>
        </w:tc>
        <w:tc>
          <w:tcPr>
            <w:tcW w:w="2217" w:type="dxa"/>
          </w:tcPr>
          <w:p w14:paraId="1F4A9860" w14:textId="77777777" w:rsidR="00081A7D" w:rsidRPr="008F2DF3" w:rsidRDefault="00081A7D" w:rsidP="007533FC">
            <w:pPr>
              <w:rPr>
                <w:lang w:val="es-ES"/>
              </w:rPr>
            </w:pPr>
          </w:p>
        </w:tc>
      </w:tr>
      <w:tr w:rsidR="00081A7D" w:rsidRPr="008F2DF3" w14:paraId="72BBC632" w14:textId="77777777" w:rsidTr="007533FC">
        <w:tc>
          <w:tcPr>
            <w:tcW w:w="2551" w:type="dxa"/>
            <w:vMerge w:val="restart"/>
          </w:tcPr>
          <w:p w14:paraId="07856746" w14:textId="77777777" w:rsidR="00081A7D" w:rsidRPr="008F2DF3" w:rsidRDefault="00081A7D" w:rsidP="007533FC">
            <w:pPr>
              <w:rPr>
                <w:lang w:val="es-ES"/>
              </w:rPr>
            </w:pPr>
            <w:r w:rsidRPr="008F2DF3">
              <w:rPr>
                <w:lang w:val="es-ES"/>
              </w:rPr>
              <w:t>Europa</w:t>
            </w:r>
          </w:p>
        </w:tc>
        <w:tc>
          <w:tcPr>
            <w:tcW w:w="3969" w:type="dxa"/>
          </w:tcPr>
          <w:p w14:paraId="23D794F0" w14:textId="77777777" w:rsidR="00081A7D" w:rsidRPr="008F2DF3" w:rsidRDefault="00081A7D" w:rsidP="007533FC">
            <w:pPr>
              <w:rPr>
                <w:lang w:val="es-ES"/>
              </w:rPr>
            </w:pPr>
            <w:r w:rsidRPr="008F2DF3">
              <w:rPr>
                <w:lang w:val="es-ES"/>
              </w:rPr>
              <w:t>Dr. Jean-Philippe Siblet</w:t>
            </w:r>
          </w:p>
        </w:tc>
        <w:tc>
          <w:tcPr>
            <w:tcW w:w="2217" w:type="dxa"/>
          </w:tcPr>
          <w:p w14:paraId="207990FC" w14:textId="77777777" w:rsidR="00081A7D" w:rsidRPr="008F2DF3" w:rsidRDefault="00081A7D" w:rsidP="007533FC">
            <w:pPr>
              <w:rPr>
                <w:lang w:val="es-ES"/>
              </w:rPr>
            </w:pPr>
            <w:r w:rsidRPr="008F2DF3">
              <w:rPr>
                <w:lang w:val="es-ES"/>
              </w:rPr>
              <w:t>Francia</w:t>
            </w:r>
          </w:p>
        </w:tc>
      </w:tr>
      <w:tr w:rsidR="00081A7D" w:rsidRPr="008F2DF3" w14:paraId="71D25D93" w14:textId="77777777" w:rsidTr="007533FC">
        <w:tc>
          <w:tcPr>
            <w:tcW w:w="2551" w:type="dxa"/>
            <w:vMerge/>
          </w:tcPr>
          <w:p w14:paraId="28AF6447" w14:textId="77777777" w:rsidR="00081A7D" w:rsidRPr="008F2DF3" w:rsidRDefault="00081A7D" w:rsidP="007533FC">
            <w:pPr>
              <w:rPr>
                <w:lang w:val="es-ES"/>
              </w:rPr>
            </w:pPr>
          </w:p>
        </w:tc>
        <w:tc>
          <w:tcPr>
            <w:tcW w:w="3969" w:type="dxa"/>
          </w:tcPr>
          <w:p w14:paraId="6BA6B1DC" w14:textId="77777777" w:rsidR="00081A7D" w:rsidRPr="008F2DF3" w:rsidRDefault="00081A7D" w:rsidP="007533FC">
            <w:pPr>
              <w:rPr>
                <w:lang w:val="es-ES"/>
              </w:rPr>
            </w:pPr>
            <w:r w:rsidRPr="008F2DF3">
              <w:rPr>
                <w:lang w:val="es-ES"/>
              </w:rPr>
              <w:t>D. James M. Williams</w:t>
            </w:r>
          </w:p>
        </w:tc>
        <w:tc>
          <w:tcPr>
            <w:tcW w:w="2217" w:type="dxa"/>
          </w:tcPr>
          <w:p w14:paraId="75023C5B" w14:textId="77777777" w:rsidR="00081A7D" w:rsidRPr="008F2DF3" w:rsidRDefault="00081A7D" w:rsidP="007533FC">
            <w:pPr>
              <w:rPr>
                <w:lang w:val="es-ES"/>
              </w:rPr>
            </w:pPr>
            <w:r w:rsidRPr="008F2DF3">
              <w:rPr>
                <w:lang w:val="es-ES"/>
              </w:rPr>
              <w:t>Reino Unido</w:t>
            </w:r>
          </w:p>
        </w:tc>
      </w:tr>
      <w:tr w:rsidR="00081A7D" w:rsidRPr="008F2DF3" w14:paraId="5F114868" w14:textId="77777777" w:rsidTr="007533FC">
        <w:tc>
          <w:tcPr>
            <w:tcW w:w="2551" w:type="dxa"/>
            <w:vMerge/>
          </w:tcPr>
          <w:p w14:paraId="2E5CCD9C" w14:textId="77777777" w:rsidR="00081A7D" w:rsidRPr="008F2DF3" w:rsidRDefault="00081A7D" w:rsidP="007533FC">
            <w:pPr>
              <w:rPr>
                <w:lang w:val="es-ES"/>
              </w:rPr>
            </w:pPr>
          </w:p>
        </w:tc>
        <w:tc>
          <w:tcPr>
            <w:tcW w:w="3969" w:type="dxa"/>
          </w:tcPr>
          <w:p w14:paraId="3948A13B" w14:textId="77777777" w:rsidR="00081A7D" w:rsidRPr="008F2DF3" w:rsidRDefault="00081A7D" w:rsidP="007533FC">
            <w:pPr>
              <w:rPr>
                <w:lang w:val="es-ES"/>
              </w:rPr>
            </w:pPr>
            <w:r w:rsidRPr="008F2DF3">
              <w:rPr>
                <w:lang w:val="es-ES"/>
              </w:rPr>
              <w:t>Vacante</w:t>
            </w:r>
          </w:p>
        </w:tc>
        <w:tc>
          <w:tcPr>
            <w:tcW w:w="2217" w:type="dxa"/>
          </w:tcPr>
          <w:p w14:paraId="325E19D1" w14:textId="77777777" w:rsidR="00081A7D" w:rsidRPr="008F2DF3" w:rsidRDefault="00081A7D" w:rsidP="007533FC">
            <w:pPr>
              <w:rPr>
                <w:lang w:val="es-ES"/>
              </w:rPr>
            </w:pPr>
          </w:p>
        </w:tc>
      </w:tr>
      <w:tr w:rsidR="00081A7D" w:rsidRPr="008F2DF3" w14:paraId="2D0EDA5A" w14:textId="77777777" w:rsidTr="007533FC">
        <w:tc>
          <w:tcPr>
            <w:tcW w:w="2551" w:type="dxa"/>
            <w:vMerge w:val="restart"/>
          </w:tcPr>
          <w:p w14:paraId="3513A3AF" w14:textId="77777777" w:rsidR="00081A7D" w:rsidRPr="008F2DF3" w:rsidRDefault="00081A7D" w:rsidP="007533FC">
            <w:pPr>
              <w:rPr>
                <w:lang w:val="es-ES"/>
              </w:rPr>
            </w:pPr>
            <w:r w:rsidRPr="008F2DF3">
              <w:rPr>
                <w:lang w:val="es-ES"/>
              </w:rPr>
              <w:t>Oceanía</w:t>
            </w:r>
          </w:p>
        </w:tc>
        <w:tc>
          <w:tcPr>
            <w:tcW w:w="3969" w:type="dxa"/>
          </w:tcPr>
          <w:p w14:paraId="4D7B4B9D" w14:textId="77777777" w:rsidR="00081A7D" w:rsidRPr="008F2DF3" w:rsidRDefault="00081A7D" w:rsidP="007533FC">
            <w:pPr>
              <w:rPr>
                <w:lang w:val="es-ES"/>
              </w:rPr>
            </w:pPr>
            <w:r w:rsidRPr="008F2DF3">
              <w:rPr>
                <w:lang w:val="es-ES"/>
              </w:rPr>
              <w:t>Vacante</w:t>
            </w:r>
          </w:p>
        </w:tc>
        <w:tc>
          <w:tcPr>
            <w:tcW w:w="2217" w:type="dxa"/>
          </w:tcPr>
          <w:p w14:paraId="0E10941D" w14:textId="77777777" w:rsidR="00081A7D" w:rsidRPr="008F2DF3" w:rsidRDefault="00081A7D" w:rsidP="007533FC">
            <w:pPr>
              <w:rPr>
                <w:lang w:val="es-ES"/>
              </w:rPr>
            </w:pPr>
          </w:p>
        </w:tc>
      </w:tr>
      <w:tr w:rsidR="00081A7D" w:rsidRPr="008F2DF3" w14:paraId="3BB16F12" w14:textId="77777777" w:rsidTr="007533FC">
        <w:tc>
          <w:tcPr>
            <w:tcW w:w="2551" w:type="dxa"/>
            <w:vMerge/>
          </w:tcPr>
          <w:p w14:paraId="2DDB82EB" w14:textId="77777777" w:rsidR="00081A7D" w:rsidRPr="008F2DF3" w:rsidRDefault="00081A7D" w:rsidP="007533FC">
            <w:pPr>
              <w:rPr>
                <w:lang w:val="es-ES"/>
              </w:rPr>
            </w:pPr>
          </w:p>
        </w:tc>
        <w:tc>
          <w:tcPr>
            <w:tcW w:w="3969" w:type="dxa"/>
          </w:tcPr>
          <w:p w14:paraId="593A2B24" w14:textId="77777777" w:rsidR="00081A7D" w:rsidRPr="008F2DF3" w:rsidRDefault="00081A7D" w:rsidP="007533FC">
            <w:pPr>
              <w:rPr>
                <w:lang w:val="es-ES"/>
              </w:rPr>
            </w:pPr>
            <w:r w:rsidRPr="008F2DF3">
              <w:rPr>
                <w:lang w:val="es-ES"/>
              </w:rPr>
              <w:t>Vacante</w:t>
            </w:r>
          </w:p>
        </w:tc>
        <w:tc>
          <w:tcPr>
            <w:tcW w:w="2217" w:type="dxa"/>
          </w:tcPr>
          <w:p w14:paraId="2795DFA4" w14:textId="77777777" w:rsidR="00081A7D" w:rsidRPr="008F2DF3" w:rsidRDefault="00081A7D" w:rsidP="007533FC">
            <w:pPr>
              <w:rPr>
                <w:lang w:val="es-ES"/>
              </w:rPr>
            </w:pPr>
          </w:p>
        </w:tc>
      </w:tr>
      <w:tr w:rsidR="00081A7D" w:rsidRPr="008F2DF3" w14:paraId="13FCFE6A" w14:textId="77777777" w:rsidTr="007533FC">
        <w:tc>
          <w:tcPr>
            <w:tcW w:w="2551" w:type="dxa"/>
            <w:vMerge/>
          </w:tcPr>
          <w:p w14:paraId="20FECCDF" w14:textId="77777777" w:rsidR="00081A7D" w:rsidRPr="008F2DF3" w:rsidRDefault="00081A7D" w:rsidP="007533FC">
            <w:pPr>
              <w:rPr>
                <w:lang w:val="es-ES"/>
              </w:rPr>
            </w:pPr>
          </w:p>
        </w:tc>
        <w:tc>
          <w:tcPr>
            <w:tcW w:w="3969" w:type="dxa"/>
          </w:tcPr>
          <w:p w14:paraId="6A065DDA" w14:textId="77777777" w:rsidR="00081A7D" w:rsidRPr="008F2DF3" w:rsidRDefault="00081A7D" w:rsidP="007533FC">
            <w:pPr>
              <w:rPr>
                <w:lang w:val="es-ES"/>
              </w:rPr>
            </w:pPr>
            <w:r w:rsidRPr="008F2DF3">
              <w:rPr>
                <w:lang w:val="es-ES"/>
              </w:rPr>
              <w:t>Vacante</w:t>
            </w:r>
          </w:p>
        </w:tc>
        <w:tc>
          <w:tcPr>
            <w:tcW w:w="2217" w:type="dxa"/>
          </w:tcPr>
          <w:p w14:paraId="114B620B" w14:textId="77777777" w:rsidR="00081A7D" w:rsidRPr="008F2DF3" w:rsidRDefault="00081A7D" w:rsidP="007533FC">
            <w:pPr>
              <w:rPr>
                <w:lang w:val="es-ES"/>
              </w:rPr>
            </w:pPr>
          </w:p>
        </w:tc>
      </w:tr>
      <w:tr w:rsidR="00081A7D" w:rsidRPr="008F2DF3" w14:paraId="032A773B" w14:textId="77777777" w:rsidTr="007533FC">
        <w:tc>
          <w:tcPr>
            <w:tcW w:w="2551" w:type="dxa"/>
            <w:vMerge w:val="restart"/>
          </w:tcPr>
          <w:p w14:paraId="6BB8E7BF" w14:textId="77777777" w:rsidR="00081A7D" w:rsidRPr="008F2DF3" w:rsidRDefault="00081A7D" w:rsidP="007533FC">
            <w:pPr>
              <w:rPr>
                <w:lang w:val="es-ES"/>
              </w:rPr>
            </w:pPr>
            <w:r w:rsidRPr="008F2DF3">
              <w:rPr>
                <w:rFonts w:cs="Arial"/>
                <w:lang w:val="es-ES"/>
              </w:rPr>
              <w:t>América del Sur y Central y el Caribe</w:t>
            </w:r>
          </w:p>
        </w:tc>
        <w:tc>
          <w:tcPr>
            <w:tcW w:w="3969" w:type="dxa"/>
          </w:tcPr>
          <w:p w14:paraId="2F9F6FEA" w14:textId="77777777" w:rsidR="00081A7D" w:rsidRPr="008F2DF3" w:rsidRDefault="00081A7D" w:rsidP="007533FC">
            <w:pPr>
              <w:rPr>
                <w:lang w:val="es-ES"/>
              </w:rPr>
            </w:pPr>
            <w:r w:rsidRPr="008F2DF3">
              <w:rPr>
                <w:lang w:val="es-ES"/>
              </w:rPr>
              <w:t>Vacante</w:t>
            </w:r>
          </w:p>
        </w:tc>
        <w:tc>
          <w:tcPr>
            <w:tcW w:w="2217" w:type="dxa"/>
          </w:tcPr>
          <w:p w14:paraId="129542A5" w14:textId="77777777" w:rsidR="00081A7D" w:rsidRPr="008F2DF3" w:rsidRDefault="00081A7D" w:rsidP="007533FC">
            <w:pPr>
              <w:rPr>
                <w:lang w:val="es-ES"/>
              </w:rPr>
            </w:pPr>
          </w:p>
        </w:tc>
      </w:tr>
      <w:tr w:rsidR="00081A7D" w:rsidRPr="008F2DF3" w14:paraId="6A72C535" w14:textId="77777777" w:rsidTr="007533FC">
        <w:tc>
          <w:tcPr>
            <w:tcW w:w="2551" w:type="dxa"/>
            <w:vMerge/>
          </w:tcPr>
          <w:p w14:paraId="0F2CCA42" w14:textId="77777777" w:rsidR="00081A7D" w:rsidRPr="008F2DF3" w:rsidRDefault="00081A7D" w:rsidP="007533FC">
            <w:pPr>
              <w:rPr>
                <w:lang w:val="es-ES"/>
              </w:rPr>
            </w:pPr>
          </w:p>
        </w:tc>
        <w:tc>
          <w:tcPr>
            <w:tcW w:w="3969" w:type="dxa"/>
          </w:tcPr>
          <w:p w14:paraId="445805D1" w14:textId="77777777" w:rsidR="00081A7D" w:rsidRPr="008F2DF3" w:rsidRDefault="00081A7D" w:rsidP="007533FC">
            <w:pPr>
              <w:rPr>
                <w:lang w:val="es-ES"/>
              </w:rPr>
            </w:pPr>
            <w:r w:rsidRPr="008F2DF3">
              <w:rPr>
                <w:lang w:val="es-ES"/>
              </w:rPr>
              <w:t>Vacante</w:t>
            </w:r>
          </w:p>
        </w:tc>
        <w:tc>
          <w:tcPr>
            <w:tcW w:w="2217" w:type="dxa"/>
          </w:tcPr>
          <w:p w14:paraId="7FE40A79" w14:textId="77777777" w:rsidR="00081A7D" w:rsidRPr="008F2DF3" w:rsidRDefault="00081A7D" w:rsidP="007533FC">
            <w:pPr>
              <w:rPr>
                <w:lang w:val="es-ES"/>
              </w:rPr>
            </w:pPr>
          </w:p>
        </w:tc>
      </w:tr>
      <w:tr w:rsidR="00081A7D" w:rsidRPr="008F2DF3" w14:paraId="06AB0A8B" w14:textId="77777777" w:rsidTr="007533FC">
        <w:tc>
          <w:tcPr>
            <w:tcW w:w="2551" w:type="dxa"/>
            <w:vMerge/>
          </w:tcPr>
          <w:p w14:paraId="500468D5" w14:textId="77777777" w:rsidR="00081A7D" w:rsidRPr="008F2DF3" w:rsidRDefault="00081A7D" w:rsidP="007533FC">
            <w:pPr>
              <w:rPr>
                <w:lang w:val="es-ES"/>
              </w:rPr>
            </w:pPr>
          </w:p>
        </w:tc>
        <w:tc>
          <w:tcPr>
            <w:tcW w:w="3969" w:type="dxa"/>
          </w:tcPr>
          <w:p w14:paraId="54368067" w14:textId="77777777" w:rsidR="00081A7D" w:rsidRPr="008F2DF3" w:rsidRDefault="00081A7D" w:rsidP="007533FC">
            <w:pPr>
              <w:rPr>
                <w:lang w:val="es-ES"/>
              </w:rPr>
            </w:pPr>
            <w:r w:rsidRPr="008F2DF3">
              <w:rPr>
                <w:lang w:val="es-ES"/>
              </w:rPr>
              <w:t>Vacante</w:t>
            </w:r>
          </w:p>
        </w:tc>
        <w:tc>
          <w:tcPr>
            <w:tcW w:w="2217" w:type="dxa"/>
          </w:tcPr>
          <w:p w14:paraId="49E8E521" w14:textId="77777777" w:rsidR="00081A7D" w:rsidRPr="008F2DF3" w:rsidRDefault="00081A7D" w:rsidP="007533FC">
            <w:pPr>
              <w:rPr>
                <w:lang w:val="es-ES"/>
              </w:rPr>
            </w:pPr>
          </w:p>
        </w:tc>
      </w:tr>
    </w:tbl>
    <w:p w14:paraId="6AC02B05" w14:textId="5E2BFE85" w:rsidR="00453FAA" w:rsidRDefault="00453FAA" w:rsidP="00081A7D">
      <w:pPr>
        <w:widowControl w:val="0"/>
        <w:autoSpaceDE w:val="0"/>
        <w:autoSpaceDN w:val="0"/>
        <w:adjustRightInd w:val="0"/>
        <w:spacing w:after="0" w:line="240" w:lineRule="auto"/>
        <w:jc w:val="both"/>
        <w:rPr>
          <w:rFonts w:cs="Arial"/>
          <w:sz w:val="18"/>
          <w:szCs w:val="18"/>
          <w:lang w:val="es-ES"/>
        </w:rPr>
      </w:pPr>
    </w:p>
    <w:p w14:paraId="58D00F5A" w14:textId="77777777" w:rsidR="00453FAA" w:rsidRDefault="00453FAA">
      <w:pPr>
        <w:rPr>
          <w:rFonts w:cs="Arial"/>
          <w:sz w:val="18"/>
          <w:szCs w:val="18"/>
          <w:lang w:val="es-ES"/>
        </w:rPr>
      </w:pPr>
      <w:r>
        <w:rPr>
          <w:rFonts w:cs="Arial"/>
          <w:sz w:val="18"/>
          <w:szCs w:val="18"/>
          <w:lang w:val="es-ES"/>
        </w:rPr>
        <w:br w:type="page"/>
      </w:r>
    </w:p>
    <w:p w14:paraId="71E0F536" w14:textId="77777777" w:rsidR="00081A7D" w:rsidRPr="008F2DF3" w:rsidRDefault="00081A7D" w:rsidP="00081A7D">
      <w:pPr>
        <w:widowControl w:val="0"/>
        <w:autoSpaceDE w:val="0"/>
        <w:autoSpaceDN w:val="0"/>
        <w:adjustRightInd w:val="0"/>
        <w:spacing w:after="0" w:line="240" w:lineRule="auto"/>
        <w:jc w:val="both"/>
        <w:rPr>
          <w:rFonts w:cs="Arial"/>
          <w:sz w:val="18"/>
          <w:szCs w:val="18"/>
          <w:lang w:val="es-ES"/>
        </w:rPr>
      </w:pPr>
    </w:p>
    <w:p w14:paraId="693F4551" w14:textId="77777777" w:rsidR="00081A7D" w:rsidRPr="008F2DF3" w:rsidRDefault="00081A7D" w:rsidP="00081A7D">
      <w:pPr>
        <w:widowControl w:val="0"/>
        <w:numPr>
          <w:ilvl w:val="0"/>
          <w:numId w:val="14"/>
        </w:numPr>
        <w:autoSpaceDE w:val="0"/>
        <w:autoSpaceDN w:val="0"/>
        <w:adjustRightInd w:val="0"/>
        <w:spacing w:after="0" w:line="240" w:lineRule="auto"/>
        <w:ind w:left="567" w:hanging="567"/>
        <w:jc w:val="both"/>
        <w:rPr>
          <w:rFonts w:cs="Arial"/>
          <w:lang w:val="es-ES"/>
        </w:rPr>
      </w:pPr>
      <w:r w:rsidRPr="008F2DF3">
        <w:rPr>
          <w:rFonts w:cs="Arial"/>
          <w:lang w:val="es-ES"/>
        </w:rPr>
        <w:t xml:space="preserve">Al identificar a los candidatos propuestos para representantes regionales, las Partes deben </w:t>
      </w:r>
      <w:r w:rsidRPr="008F2DF3">
        <w:rPr>
          <w:rFonts w:cs="Arial"/>
          <w:color w:val="000000" w:themeColor="text1"/>
          <w:lang w:val="es-ES"/>
        </w:rPr>
        <w:t xml:space="preserve">tener en cuenta </w:t>
      </w:r>
      <w:r w:rsidRPr="008F2DF3">
        <w:rPr>
          <w:rFonts w:cs="Arial"/>
          <w:lang w:val="es-ES"/>
        </w:rPr>
        <w:t xml:space="preserve">lo dispuesto en el párrafo 10 de la </w:t>
      </w:r>
      <w:hyperlink r:id="rId16" w:history="1">
        <w:r w:rsidRPr="008F2DF3">
          <w:rPr>
            <w:rStyle w:val="Hyperlink"/>
            <w:rFonts w:cs="Arial"/>
            <w:lang w:val="es-ES"/>
          </w:rPr>
          <w:t>Resolución 14.2</w:t>
        </w:r>
      </w:hyperlink>
      <w:r w:rsidRPr="008F2DF3">
        <w:rPr>
          <w:rFonts w:cs="Arial"/>
          <w:lang w:val="es-ES"/>
        </w:rPr>
        <w:t xml:space="preserve">, que estipula que los representantes de países con contribuciones en mora de tres años o más no podrán ocupar cargos en los órganos de la Convención. El estado de las contribuciones puede consultarse en el </w:t>
      </w:r>
      <w:hyperlink r:id="rId17">
        <w:r w:rsidRPr="008F2DF3">
          <w:rPr>
            <w:rStyle w:val="Hyperlink"/>
            <w:rFonts w:cs="Arial"/>
            <w:lang w:val="es-ES"/>
          </w:rPr>
          <w:t>sitio web de la CMS</w:t>
        </w:r>
      </w:hyperlink>
      <w:r w:rsidRPr="008F2DF3">
        <w:rPr>
          <w:rFonts w:cs="Arial"/>
          <w:lang w:val="es-ES"/>
        </w:rPr>
        <w:t>.</w:t>
      </w:r>
    </w:p>
    <w:p w14:paraId="3B5320D9" w14:textId="77777777" w:rsidR="00081A7D" w:rsidRPr="008F2DF3" w:rsidRDefault="00081A7D" w:rsidP="00081A7D">
      <w:pPr>
        <w:widowControl w:val="0"/>
        <w:autoSpaceDE w:val="0"/>
        <w:autoSpaceDN w:val="0"/>
        <w:adjustRightInd w:val="0"/>
        <w:spacing w:after="0" w:line="240" w:lineRule="auto"/>
        <w:ind w:left="567"/>
        <w:jc w:val="both"/>
        <w:rPr>
          <w:rFonts w:cs="Arial"/>
          <w:sz w:val="18"/>
          <w:szCs w:val="18"/>
          <w:lang w:val="es-ES"/>
        </w:rPr>
      </w:pPr>
    </w:p>
    <w:p w14:paraId="7F1FF84C" w14:textId="77777777" w:rsidR="00081A7D" w:rsidRPr="008F2DF3" w:rsidRDefault="00081A7D" w:rsidP="00081A7D">
      <w:pPr>
        <w:widowControl w:val="0"/>
        <w:numPr>
          <w:ilvl w:val="0"/>
          <w:numId w:val="14"/>
        </w:numPr>
        <w:autoSpaceDE w:val="0"/>
        <w:autoSpaceDN w:val="0"/>
        <w:adjustRightInd w:val="0"/>
        <w:spacing w:after="0" w:line="240" w:lineRule="auto"/>
        <w:ind w:left="567" w:hanging="567"/>
        <w:jc w:val="both"/>
        <w:rPr>
          <w:rFonts w:cs="Arial"/>
          <w:lang w:val="es-ES"/>
        </w:rPr>
      </w:pPr>
      <w:r w:rsidRPr="008F2DF3">
        <w:rPr>
          <w:rFonts w:cs="Arial"/>
          <w:lang w:val="es-ES"/>
        </w:rPr>
        <w:t>Se deberá asumir que los candidatos propuestos por Partes que no sean elegibles para financiación para asistir a las reuniones de la Convención disponen de medios para participar en las reuniones del Comité del Período de Sesiones, ya sea a través de su propia institución o del gobierno de la Parte que los haya designado.</w:t>
      </w:r>
    </w:p>
    <w:p w14:paraId="758905DF" w14:textId="77777777" w:rsidR="004E2133" w:rsidRPr="00D643E6" w:rsidRDefault="004E2133" w:rsidP="00081A7D">
      <w:pPr>
        <w:widowControl w:val="0"/>
        <w:autoSpaceDE w:val="0"/>
        <w:autoSpaceDN w:val="0"/>
        <w:adjustRightInd w:val="0"/>
        <w:spacing w:after="0" w:line="240" w:lineRule="auto"/>
        <w:ind w:left="567" w:hanging="567"/>
        <w:jc w:val="both"/>
        <w:rPr>
          <w:rFonts w:cs="Arial"/>
          <w:lang w:val="es-ES"/>
        </w:rPr>
      </w:pPr>
    </w:p>
    <w:p w14:paraId="05EB554B" w14:textId="77777777" w:rsidR="00081A7D" w:rsidRPr="008F2DF3" w:rsidRDefault="00081A7D" w:rsidP="00081A7D">
      <w:pPr>
        <w:widowControl w:val="0"/>
        <w:autoSpaceDE w:val="0"/>
        <w:autoSpaceDN w:val="0"/>
        <w:adjustRightInd w:val="0"/>
        <w:spacing w:after="0" w:line="240" w:lineRule="auto"/>
        <w:ind w:left="567" w:hanging="567"/>
        <w:jc w:val="both"/>
        <w:rPr>
          <w:rFonts w:cs="Arial"/>
          <w:lang w:val="es-ES"/>
        </w:rPr>
      </w:pPr>
      <w:r w:rsidRPr="008F2DF3">
        <w:rPr>
          <w:rFonts w:cs="Arial"/>
          <w:lang w:val="es-ES"/>
        </w:rPr>
        <w:t xml:space="preserve">Membresía del Consejo Científico </w:t>
      </w:r>
    </w:p>
    <w:p w14:paraId="3033D399" w14:textId="77777777" w:rsidR="00081A7D" w:rsidRPr="008F2DF3" w:rsidRDefault="00081A7D" w:rsidP="00081A7D">
      <w:pPr>
        <w:widowControl w:val="0"/>
        <w:autoSpaceDE w:val="0"/>
        <w:autoSpaceDN w:val="0"/>
        <w:adjustRightInd w:val="0"/>
        <w:spacing w:after="0" w:line="240" w:lineRule="auto"/>
        <w:ind w:left="567" w:hanging="567"/>
        <w:jc w:val="both"/>
        <w:rPr>
          <w:rFonts w:cs="Arial"/>
          <w:sz w:val="18"/>
          <w:szCs w:val="18"/>
          <w:lang w:val="es-ES"/>
        </w:rPr>
      </w:pPr>
    </w:p>
    <w:p w14:paraId="4F4954A5" w14:textId="77777777" w:rsidR="00081A7D" w:rsidRPr="008F2DF3" w:rsidRDefault="00081A7D" w:rsidP="00081A7D">
      <w:pPr>
        <w:widowControl w:val="0"/>
        <w:numPr>
          <w:ilvl w:val="0"/>
          <w:numId w:val="14"/>
        </w:numPr>
        <w:autoSpaceDE w:val="0"/>
        <w:autoSpaceDN w:val="0"/>
        <w:adjustRightInd w:val="0"/>
        <w:spacing w:after="0" w:line="240" w:lineRule="auto"/>
        <w:ind w:left="567" w:hanging="567"/>
        <w:jc w:val="both"/>
        <w:rPr>
          <w:rFonts w:cs="Arial"/>
          <w:lang w:val="es-ES"/>
        </w:rPr>
      </w:pPr>
      <w:r w:rsidRPr="008F2DF3">
        <w:rPr>
          <w:rFonts w:cs="Arial"/>
          <w:lang w:val="es-ES"/>
        </w:rPr>
        <w:t xml:space="preserve">Durante el período entre sesiones comprendido entre la COP13 y la COP14, la Secretaría actualizó los datos de contacto de los miembros del Consejo Científico de la CMS. En 2025, la Secretaría solicitó a los Puntos Focales </w:t>
      </w:r>
      <w:r w:rsidRPr="008F2DF3">
        <w:rPr>
          <w:rFonts w:cs="Arial"/>
          <w:color w:val="000000" w:themeColor="text1"/>
          <w:lang w:val="es-ES"/>
        </w:rPr>
        <w:t xml:space="preserve">Nacionales la actualización de las direcciones de correo electrónico de los consejeros científicos que ya no estaban en uso. La </w:t>
      </w:r>
      <w:r w:rsidRPr="008F2DF3">
        <w:rPr>
          <w:rFonts w:cs="Arial"/>
          <w:lang w:val="es-ES"/>
        </w:rPr>
        <w:t xml:space="preserve">Secretaría también contactó con las Partes que carecían de representante en el Consejo Científico, alentándolas a nombrar un miembro. La </w:t>
      </w:r>
      <w:hyperlink r:id="rId18" w:history="1">
        <w:r w:rsidRPr="008F2DF3">
          <w:rPr>
            <w:rStyle w:val="Hyperlink"/>
            <w:rFonts w:cs="Arial"/>
            <w:lang w:val="es-ES"/>
          </w:rPr>
          <w:t>lista de miembros del Consejo Científico</w:t>
        </w:r>
      </w:hyperlink>
      <w:r w:rsidRPr="008F2DF3">
        <w:rPr>
          <w:rFonts w:cs="Arial"/>
          <w:lang w:val="es-ES"/>
        </w:rPr>
        <w:t xml:space="preserve"> se actualizó en consecuencia. Se invita a las Partes a informar a la Secretaría sobre cualquier actualización en su membresía o en sus datos de contacto.</w:t>
      </w:r>
    </w:p>
    <w:p w14:paraId="50E9EA9D" w14:textId="77777777" w:rsidR="00347DEE" w:rsidRDefault="00347DEE" w:rsidP="00081A7D">
      <w:pPr>
        <w:pStyle w:val="ListParagraph"/>
        <w:spacing w:after="0" w:line="240" w:lineRule="auto"/>
        <w:ind w:left="567" w:hanging="567"/>
        <w:contextualSpacing w:val="0"/>
        <w:rPr>
          <w:rFonts w:cs="Arial"/>
          <w:u w:val="single"/>
          <w:lang w:val="es-ES"/>
        </w:rPr>
      </w:pPr>
    </w:p>
    <w:p w14:paraId="4B412365" w14:textId="6BEF284C" w:rsidR="00081A7D" w:rsidRPr="008F2DF3" w:rsidRDefault="00081A7D" w:rsidP="00347DEE">
      <w:pPr>
        <w:pStyle w:val="ListParagraph"/>
        <w:spacing w:after="0" w:line="240" w:lineRule="auto"/>
        <w:ind w:left="0"/>
        <w:contextualSpacing w:val="0"/>
        <w:rPr>
          <w:rFonts w:cs="Arial"/>
          <w:u w:val="single"/>
          <w:lang w:val="es-ES"/>
        </w:rPr>
      </w:pPr>
      <w:r w:rsidRPr="008F2DF3">
        <w:rPr>
          <w:rFonts w:cs="Arial"/>
          <w:u w:val="single"/>
          <w:lang w:val="es-ES"/>
        </w:rPr>
        <w:t>Elección del presidente y vicepresidente del Consejo Científico y de su Comité del Período de Sesiones</w:t>
      </w:r>
    </w:p>
    <w:p w14:paraId="1CF7B149" w14:textId="77777777" w:rsidR="00081A7D" w:rsidRPr="008F2DF3" w:rsidRDefault="00081A7D" w:rsidP="00081A7D">
      <w:pPr>
        <w:pStyle w:val="ListParagraph"/>
        <w:spacing w:after="0" w:line="240" w:lineRule="auto"/>
        <w:ind w:left="567" w:hanging="567"/>
        <w:contextualSpacing w:val="0"/>
        <w:rPr>
          <w:rFonts w:cs="Arial"/>
          <w:lang w:val="es-ES"/>
        </w:rPr>
      </w:pPr>
    </w:p>
    <w:p w14:paraId="6558FDF5" w14:textId="77777777" w:rsidR="00081A7D" w:rsidRPr="008F2DF3" w:rsidRDefault="00081A7D" w:rsidP="00081A7D">
      <w:pPr>
        <w:widowControl w:val="0"/>
        <w:numPr>
          <w:ilvl w:val="0"/>
          <w:numId w:val="14"/>
        </w:numPr>
        <w:autoSpaceDE w:val="0"/>
        <w:autoSpaceDN w:val="0"/>
        <w:adjustRightInd w:val="0"/>
        <w:spacing w:after="0" w:line="240" w:lineRule="auto"/>
        <w:ind w:left="567" w:hanging="567"/>
        <w:jc w:val="both"/>
        <w:rPr>
          <w:rFonts w:cs="Arial"/>
          <w:lang w:val="es-ES"/>
        </w:rPr>
      </w:pPr>
      <w:r w:rsidRPr="008F2DF3">
        <w:rPr>
          <w:rFonts w:cs="Arial"/>
          <w:lang w:val="es-ES"/>
        </w:rPr>
        <w:t>El segundo mandato del presidente y del vicepresidente del ScC finalizará en la COP15. Tras la conclusión de la COP15, la Secretaría apoyará al Comité del Período de Sesiones en la elección de un nuevo presidente y vicepresidente, de conformidad con el Reglamento interno. La Secretaría también propone convocar una reunión informal de los miembros electos del ScC-SC presentes en la COP15, que se celebrará al concluir dicha Conferencia.</w:t>
      </w:r>
    </w:p>
    <w:p w14:paraId="1E8BC859" w14:textId="77777777" w:rsidR="00453FAA" w:rsidRDefault="00453FAA" w:rsidP="00081A7D">
      <w:pPr>
        <w:spacing w:after="0" w:line="240" w:lineRule="auto"/>
        <w:rPr>
          <w:rFonts w:cs="Arial"/>
          <w:u w:val="single"/>
          <w:lang w:val="es-ES"/>
        </w:rPr>
      </w:pPr>
    </w:p>
    <w:p w14:paraId="616C972C" w14:textId="045A7D76" w:rsidR="00081A7D" w:rsidRPr="008F2DF3" w:rsidRDefault="00081A7D" w:rsidP="00081A7D">
      <w:pPr>
        <w:spacing w:after="0" w:line="240" w:lineRule="auto"/>
        <w:rPr>
          <w:rFonts w:cs="Arial"/>
          <w:lang w:val="es-ES"/>
        </w:rPr>
      </w:pPr>
      <w:r w:rsidRPr="008F2DF3">
        <w:rPr>
          <w:rFonts w:cs="Arial"/>
          <w:u w:val="single"/>
          <w:lang w:val="es-ES"/>
        </w:rPr>
        <w:t>Acciones recomendadas</w:t>
      </w:r>
    </w:p>
    <w:p w14:paraId="1DF05BA9" w14:textId="77777777" w:rsidR="00081A7D" w:rsidRPr="008F2DF3" w:rsidRDefault="00081A7D" w:rsidP="00081A7D">
      <w:pPr>
        <w:spacing w:after="0" w:line="240" w:lineRule="auto"/>
        <w:rPr>
          <w:rFonts w:cs="Arial"/>
          <w:lang w:val="es-ES"/>
        </w:rPr>
      </w:pPr>
    </w:p>
    <w:p w14:paraId="28F932B8" w14:textId="77777777" w:rsidR="00081A7D" w:rsidRPr="008F2DF3" w:rsidRDefault="00081A7D" w:rsidP="00081A7D">
      <w:pPr>
        <w:widowControl w:val="0"/>
        <w:numPr>
          <w:ilvl w:val="0"/>
          <w:numId w:val="14"/>
        </w:numPr>
        <w:autoSpaceDE w:val="0"/>
        <w:autoSpaceDN w:val="0"/>
        <w:adjustRightInd w:val="0"/>
        <w:spacing w:after="0" w:line="240" w:lineRule="auto"/>
        <w:ind w:left="567" w:hanging="567"/>
        <w:jc w:val="both"/>
        <w:rPr>
          <w:rFonts w:cs="Arial"/>
          <w:lang w:val="es-ES"/>
        </w:rPr>
      </w:pPr>
      <w:r w:rsidRPr="008F2DF3">
        <w:rPr>
          <w:rFonts w:cs="Arial"/>
          <w:lang w:val="es-ES" w:eastAsia="es-ES"/>
        </w:rPr>
        <w:t>Se recomienda a la Conferencia de las Partes que:</w:t>
      </w:r>
    </w:p>
    <w:p w14:paraId="7B1B8BE4" w14:textId="77777777" w:rsidR="00081A7D" w:rsidRPr="008F2DF3" w:rsidRDefault="00081A7D" w:rsidP="00081A7D">
      <w:pPr>
        <w:widowControl w:val="0"/>
        <w:autoSpaceDE w:val="0"/>
        <w:autoSpaceDN w:val="0"/>
        <w:adjustRightInd w:val="0"/>
        <w:spacing w:after="0" w:line="240" w:lineRule="auto"/>
        <w:ind w:left="540"/>
        <w:jc w:val="both"/>
        <w:rPr>
          <w:rFonts w:cs="Arial"/>
          <w:lang w:val="es-ES"/>
        </w:rPr>
      </w:pPr>
    </w:p>
    <w:p w14:paraId="6AD29BDE" w14:textId="77777777" w:rsidR="00081A7D" w:rsidRPr="008F2DF3" w:rsidRDefault="00081A7D" w:rsidP="00081A7D">
      <w:pPr>
        <w:numPr>
          <w:ilvl w:val="0"/>
          <w:numId w:val="13"/>
        </w:numPr>
        <w:autoSpaceDN w:val="0"/>
        <w:spacing w:after="0" w:line="240" w:lineRule="auto"/>
        <w:ind w:left="1134" w:hanging="567"/>
        <w:jc w:val="both"/>
        <w:rPr>
          <w:lang w:val="es-ES"/>
        </w:rPr>
      </w:pPr>
      <w:r w:rsidRPr="008F2DF3">
        <w:rPr>
          <w:lang w:val="es-ES"/>
        </w:rPr>
        <w:t>tras la consulta dentro de los grupos regionales, nombre a los miembros y suplentes regionales del Comité del Período de Sesiones del Consejo Científico para el período entre sesiones comprendido entre la COP15 y la COP16, de conformidad con la Resolución 12.4; y</w:t>
      </w:r>
    </w:p>
    <w:p w14:paraId="2CB27F2C" w14:textId="77777777" w:rsidR="00081A7D" w:rsidRPr="008F2DF3" w:rsidRDefault="00081A7D" w:rsidP="00081A7D">
      <w:pPr>
        <w:autoSpaceDN w:val="0"/>
        <w:spacing w:after="0" w:line="240" w:lineRule="auto"/>
        <w:ind w:left="1134" w:hanging="567"/>
        <w:jc w:val="both"/>
        <w:rPr>
          <w:lang w:val="es-ES"/>
        </w:rPr>
      </w:pPr>
    </w:p>
    <w:p w14:paraId="56C587A3" w14:textId="77777777" w:rsidR="00081A7D" w:rsidRPr="008F2DF3" w:rsidRDefault="00081A7D" w:rsidP="00081A7D">
      <w:pPr>
        <w:numPr>
          <w:ilvl w:val="0"/>
          <w:numId w:val="13"/>
        </w:numPr>
        <w:autoSpaceDN w:val="0"/>
        <w:spacing w:after="0" w:line="240" w:lineRule="auto"/>
        <w:ind w:left="1134" w:hanging="567"/>
        <w:jc w:val="both"/>
        <w:rPr>
          <w:lang w:val="es-ES"/>
        </w:rPr>
      </w:pPr>
      <w:r w:rsidRPr="008F2DF3">
        <w:rPr>
          <w:lang w:val="es-ES"/>
        </w:rPr>
        <w:t xml:space="preserve">nombre a los consejeros designados por la COP. </w:t>
      </w:r>
    </w:p>
    <w:p w14:paraId="559E8564" w14:textId="3AF54E5D" w:rsidR="002D5F2A" w:rsidRDefault="002D5F2A" w:rsidP="00081A7D">
      <w:pPr>
        <w:widowControl w:val="0"/>
        <w:suppressAutoHyphens/>
        <w:autoSpaceDE w:val="0"/>
        <w:autoSpaceDN w:val="0"/>
        <w:spacing w:after="0" w:line="240" w:lineRule="auto"/>
        <w:jc w:val="center"/>
        <w:textAlignment w:val="baseline"/>
        <w:rPr>
          <w:rFonts w:eastAsia="Times New Roman" w:cs="Arial"/>
          <w:lang w:val="es-ES" w:eastAsia="es-ES"/>
        </w:rPr>
      </w:pPr>
    </w:p>
    <w:sectPr w:rsidR="002D5F2A" w:rsidSect="00323406">
      <w:headerReference w:type="even" r:id="rId19"/>
      <w:headerReference w:type="default" r:id="rId20"/>
      <w:footerReference w:type="even" r:id="rId21"/>
      <w:footerReference w:type="default" r:id="rId22"/>
      <w:headerReference w:type="first" r:id="rId23"/>
      <w:footerReference w:type="first" r:id="rId24"/>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C4A43" w14:textId="77777777" w:rsidR="00DB4DA0" w:rsidRDefault="00DB4DA0" w:rsidP="00002A97">
      <w:pPr>
        <w:spacing w:after="0" w:line="240" w:lineRule="auto"/>
      </w:pPr>
      <w:r>
        <w:separator/>
      </w:r>
    </w:p>
  </w:endnote>
  <w:endnote w:type="continuationSeparator" w:id="0">
    <w:p w14:paraId="694E895E" w14:textId="77777777" w:rsidR="00DB4DA0" w:rsidRDefault="00DB4DA0"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49419459"/>
      <w:docPartObj>
        <w:docPartGallery w:val="Page Numbers (Bottom of Page)"/>
        <w:docPartUnique/>
      </w:docPartObj>
    </w:sdtPr>
    <w:sdtEndPr>
      <w:rPr>
        <w:noProof/>
      </w:rPr>
    </w:sdtEndPr>
    <w:sdtContent>
      <w:p w14:paraId="31A1958C" w14:textId="3CA64CEB" w:rsidR="00D70275" w:rsidRPr="00D70275" w:rsidRDefault="00DB4DA0">
        <w:pPr>
          <w:pStyle w:val="Footer"/>
          <w:jc w:val="center"/>
          <w:rPr>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90196" w14:textId="77777777" w:rsidR="00DB4DA0" w:rsidRDefault="00DB4DA0" w:rsidP="00002A97">
      <w:pPr>
        <w:spacing w:after="0" w:line="240" w:lineRule="auto"/>
      </w:pPr>
      <w:r>
        <w:separator/>
      </w:r>
    </w:p>
  </w:footnote>
  <w:footnote w:type="continuationSeparator" w:id="0">
    <w:p w14:paraId="2F0C644A" w14:textId="77777777" w:rsidR="00DB4DA0" w:rsidRDefault="00DB4DA0" w:rsidP="00002A97">
      <w:pPr>
        <w:spacing w:after="0" w:line="240" w:lineRule="auto"/>
      </w:pPr>
      <w:r>
        <w:continuationSeparator/>
      </w:r>
    </w:p>
  </w:footnote>
  <w:footnote w:id="1">
    <w:p w14:paraId="2DF41AB4" w14:textId="77777777" w:rsidR="00081A7D" w:rsidRPr="00114AE0" w:rsidRDefault="00081A7D" w:rsidP="001A694F">
      <w:pPr>
        <w:pStyle w:val="FootnoteText"/>
        <w:jc w:val="both"/>
        <w:rPr>
          <w:rFonts w:ascii="Arial" w:hAnsi="Arial" w:cs="Arial"/>
          <w:sz w:val="18"/>
          <w:szCs w:val="18"/>
          <w:lang w:val="es-ES"/>
        </w:rPr>
      </w:pPr>
      <w:r w:rsidRPr="00114AE0">
        <w:rPr>
          <w:rStyle w:val="FootnoteReference"/>
          <w:rFonts w:ascii="Arial" w:hAnsi="Arial" w:cs="Arial"/>
          <w:sz w:val="16"/>
          <w:szCs w:val="16"/>
          <w:vertAlign w:val="superscript"/>
          <w:lang w:val="es-ES"/>
        </w:rPr>
        <w:footnoteRef/>
      </w:r>
      <w:r w:rsidRPr="00114AE0">
        <w:rPr>
          <w:rFonts w:ascii="Arial" w:hAnsi="Arial" w:cs="Arial"/>
          <w:sz w:val="16"/>
          <w:szCs w:val="16"/>
          <w:lang w:val="es-ES"/>
        </w:rPr>
        <w:t xml:space="preserve"> Debido al número impar de miembros designados por las Partes (15) en el Comité del Período de Sesiones, este puede ser de 7 u 8.</w:t>
      </w:r>
    </w:p>
  </w:footnote>
  <w:footnote w:id="2">
    <w:p w14:paraId="08B135E0" w14:textId="77777777" w:rsidR="00081A7D" w:rsidRPr="00114AE0" w:rsidRDefault="00081A7D" w:rsidP="00081A7D">
      <w:pPr>
        <w:pStyle w:val="FootnoteText"/>
        <w:jc w:val="both"/>
        <w:rPr>
          <w:rFonts w:ascii="Arial" w:hAnsi="Arial" w:cs="Arial"/>
          <w:color w:val="000000" w:themeColor="text1"/>
          <w:sz w:val="16"/>
          <w:szCs w:val="16"/>
          <w:lang w:val="es-ES"/>
        </w:rPr>
      </w:pPr>
      <w:r w:rsidRPr="00114AE0">
        <w:rPr>
          <w:rStyle w:val="FootnoteReference"/>
          <w:rFonts w:ascii="Arial" w:hAnsi="Arial" w:cs="Arial"/>
          <w:sz w:val="16"/>
          <w:szCs w:val="16"/>
          <w:vertAlign w:val="superscript"/>
          <w:lang w:val="es-ES"/>
        </w:rPr>
        <w:footnoteRef/>
      </w:r>
      <w:r w:rsidRPr="00114AE0">
        <w:rPr>
          <w:rFonts w:ascii="Arial" w:hAnsi="Arial" w:cs="Arial"/>
          <w:sz w:val="16"/>
          <w:szCs w:val="16"/>
          <w:lang w:val="es-ES"/>
        </w:rPr>
        <w:t xml:space="preserve"> </w:t>
      </w:r>
      <w:r w:rsidRPr="00114AE0">
        <w:rPr>
          <w:rFonts w:ascii="Arial" w:hAnsi="Arial" w:cs="Arial"/>
          <w:kern w:val="2"/>
          <w:sz w:val="16"/>
          <w:szCs w:val="16"/>
          <w:lang w:val="es-ES"/>
        </w:rPr>
        <w:t>Los consejeros Clay y Garnett comparten la responsabilidad sobre las aves</w:t>
      </w:r>
      <w:r w:rsidRPr="00114AE0">
        <w:rPr>
          <w:rFonts w:ascii="Arial" w:hAnsi="Arial" w:cs="Arial"/>
          <w:color w:val="000000" w:themeColor="text1"/>
          <w:kern w:val="2"/>
          <w:sz w:val="16"/>
          <w:szCs w:val="16"/>
          <w:lang w:val="es-ES"/>
        </w:rPr>
        <w:t>, lo que cuenta como un único puesto.</w:t>
      </w:r>
    </w:p>
  </w:footnote>
  <w:footnote w:id="3">
    <w:p w14:paraId="116C749F" w14:textId="77777777" w:rsidR="00081A7D" w:rsidRPr="00081A7D" w:rsidRDefault="00081A7D" w:rsidP="00081A7D">
      <w:pPr>
        <w:pStyle w:val="FootnoteText"/>
        <w:jc w:val="both"/>
        <w:rPr>
          <w:rFonts w:ascii="Arial" w:hAnsi="Arial" w:cs="Arial"/>
          <w:color w:val="000000" w:themeColor="text1"/>
          <w:sz w:val="16"/>
          <w:szCs w:val="16"/>
          <w:vertAlign w:val="superscript"/>
          <w:lang w:val="es-ES"/>
        </w:rPr>
      </w:pPr>
      <w:r w:rsidRPr="00114AE0">
        <w:rPr>
          <w:rStyle w:val="FootnoteReference"/>
          <w:rFonts w:ascii="Arial" w:hAnsi="Arial" w:cs="Arial"/>
          <w:color w:val="000000" w:themeColor="text1"/>
          <w:sz w:val="16"/>
          <w:szCs w:val="16"/>
          <w:vertAlign w:val="superscript"/>
          <w:lang w:val="es-ES"/>
        </w:rPr>
        <w:footnoteRef/>
      </w:r>
      <w:r w:rsidRPr="00114AE0">
        <w:rPr>
          <w:rFonts w:ascii="Arial" w:hAnsi="Arial" w:cs="Arial"/>
          <w:color w:val="000000" w:themeColor="text1"/>
          <w:sz w:val="16"/>
          <w:szCs w:val="16"/>
          <w:vertAlign w:val="superscript"/>
          <w:lang w:val="es-ES"/>
        </w:rPr>
        <w:t xml:space="preserve"> </w:t>
      </w:r>
      <w:r w:rsidRPr="00114AE0">
        <w:rPr>
          <w:rFonts w:ascii="Arial" w:hAnsi="Arial" w:cs="Arial"/>
          <w:iCs/>
          <w:color w:val="000000" w:themeColor="text1"/>
          <w:kern w:val="2"/>
          <w:sz w:val="16"/>
          <w:szCs w:val="16"/>
          <w:lang w:val="es-ES"/>
        </w:rPr>
        <w:t>Los consejeros Hogan y Jabado comparten la responsabilidad sobre los peces, lo que cuenta como un único puesto</w:t>
      </w:r>
      <w:r w:rsidRPr="00081A7D">
        <w:rPr>
          <w:rFonts w:ascii="Arial" w:hAnsi="Arial" w:cs="Arial"/>
          <w:iCs/>
          <w:color w:val="000000" w:themeColor="text1"/>
          <w:kern w:val="2"/>
          <w:sz w:val="16"/>
          <w:szCs w:val="16"/>
          <w:lang w:val="es-ES"/>
        </w:rPr>
        <w:t>.</w:t>
      </w:r>
    </w:p>
  </w:footnote>
  <w:footnote w:id="4">
    <w:p w14:paraId="1265C4F7" w14:textId="351AE616" w:rsidR="00873EA0" w:rsidRPr="00D17A41" w:rsidRDefault="00873EA0" w:rsidP="00D17A41">
      <w:pPr>
        <w:pStyle w:val="FootnoteText"/>
        <w:jc w:val="both"/>
        <w:rPr>
          <w:rFonts w:ascii="Arial" w:hAnsi="Arial" w:cs="Arial"/>
          <w:sz w:val="16"/>
          <w:szCs w:val="16"/>
          <w:lang w:val="es-ES"/>
        </w:rPr>
      </w:pPr>
      <w:r w:rsidRPr="00D17A41">
        <w:rPr>
          <w:rStyle w:val="FootnoteReference"/>
          <w:rFonts w:ascii="Arial" w:hAnsi="Arial" w:cs="Arial"/>
          <w:sz w:val="16"/>
          <w:szCs w:val="16"/>
        </w:rPr>
        <w:footnoteRef/>
      </w:r>
      <w:r w:rsidRPr="00D17A41">
        <w:rPr>
          <w:rFonts w:ascii="Arial" w:hAnsi="Arial" w:cs="Arial"/>
          <w:sz w:val="16"/>
          <w:szCs w:val="16"/>
          <w:lang w:val="es-ES"/>
        </w:rPr>
        <w:t xml:space="preserve"> </w:t>
      </w:r>
      <w:r w:rsidR="00D17A41" w:rsidRPr="00D17A41">
        <w:rPr>
          <w:rFonts w:ascii="Arial" w:hAnsi="Arial" w:cs="Arial"/>
          <w:sz w:val="16"/>
          <w:szCs w:val="16"/>
          <w:lang w:val="es-ES"/>
        </w:rPr>
        <w:t xml:space="preserve">Si bien la Resolución 12.4 (Rev. COP14) </w:t>
      </w:r>
      <w:r w:rsidR="00D17A41" w:rsidRPr="00D17A41">
        <w:rPr>
          <w:rFonts w:ascii="Arial" w:hAnsi="Arial" w:cs="Arial"/>
          <w:i/>
          <w:iCs/>
          <w:sz w:val="16"/>
          <w:szCs w:val="16"/>
          <w:lang w:val="es-ES"/>
        </w:rPr>
        <w:t xml:space="preserve">Consejo Científico </w:t>
      </w:r>
      <w:r w:rsidR="00D17A41" w:rsidRPr="00D17A41">
        <w:rPr>
          <w:rFonts w:ascii="Arial" w:hAnsi="Arial" w:cs="Arial"/>
          <w:sz w:val="16"/>
          <w:szCs w:val="16"/>
          <w:lang w:val="es-ES"/>
        </w:rPr>
        <w:t>no menciona el equilibrio regional como criterio para seleccionar a los consejeros designados por la COP, el párrafo 8 de la Resolución se refiere al objetivo de lograr, entre otras cosas, «una selección de personas con un amplio conocimiento de las cuestiones científicas fundamentales y experiencia concreta en la traducción de la ciencia en políticas en sus regiones». De los 11 consejeros nombrados por la COP en la actualidad (que incluyen dos puestos compartidos), 6 proceden de Europa, 2 de América del Norte, 1 de África, 1 de América Latina y 1 de Oceanía; actualmente no hay ningún consejero nombrado por la COP procedente de Asia.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35348A73" w:rsidR="00D70275" w:rsidRPr="006F6ED7" w:rsidRDefault="00D70275" w:rsidP="00002A97">
    <w:pPr>
      <w:pStyle w:val="Header"/>
      <w:pBdr>
        <w:bottom w:val="single" w:sz="4" w:space="1" w:color="auto"/>
      </w:pBdr>
      <w:rPr>
        <w:i/>
        <w:sz w:val="18"/>
        <w:szCs w:val="18"/>
      </w:rPr>
    </w:pPr>
    <w:bookmarkStart w:id="1" w:name="_Hlk124847022"/>
    <w:bookmarkStart w:id="2" w:name="_Hlk124847023"/>
    <w:bookmarkStart w:id="3" w:name="_Hlk124847024"/>
    <w:bookmarkStart w:id="4" w:name="_Hlk124847025"/>
    <w:bookmarkStart w:id="5" w:name="_Hlk124847026"/>
    <w:bookmarkStart w:id="6" w:name="_Hlk124847027"/>
    <w:bookmarkStart w:id="7" w:name="_Hlk124847217"/>
    <w:bookmarkStart w:id="8" w:name="_Hlk124847218"/>
    <w:r w:rsidRPr="006F6ED7">
      <w:rPr>
        <w:rFonts w:eastAsia="Times New Roman" w:cs="Arial"/>
        <w:i/>
        <w:sz w:val="18"/>
        <w:szCs w:val="18"/>
        <w:lang w:eastAsia="es-ES"/>
      </w:rPr>
      <w:t>UNEP/CMS/COP1</w:t>
    </w:r>
    <w:r w:rsidR="00C22155" w:rsidRPr="006F6ED7">
      <w:rPr>
        <w:rFonts w:eastAsia="Times New Roman" w:cs="Arial"/>
        <w:i/>
        <w:sz w:val="18"/>
        <w:szCs w:val="18"/>
        <w:lang w:eastAsia="es-ES"/>
      </w:rPr>
      <w:t>5</w:t>
    </w:r>
    <w:r w:rsidRPr="006F6ED7">
      <w:rPr>
        <w:rFonts w:eastAsia="Times New Roman" w:cs="Arial"/>
        <w:i/>
        <w:sz w:val="18"/>
        <w:szCs w:val="18"/>
        <w:lang w:eastAsia="es-ES"/>
      </w:rPr>
      <w:t>/Doc.</w:t>
    </w:r>
    <w:bookmarkEnd w:id="1"/>
    <w:bookmarkEnd w:id="2"/>
    <w:bookmarkEnd w:id="3"/>
    <w:bookmarkEnd w:id="4"/>
    <w:bookmarkEnd w:id="5"/>
    <w:bookmarkEnd w:id="6"/>
    <w:bookmarkEnd w:id="7"/>
    <w:bookmarkEnd w:id="8"/>
    <w:r w:rsidR="00D40EF8" w:rsidRPr="006F6ED7">
      <w:rPr>
        <w:rFonts w:eastAsia="Times New Roman" w:cs="Arial"/>
        <w:i/>
        <w:sz w:val="18"/>
        <w:szCs w:val="18"/>
        <w:lang w:eastAsia="es-ES"/>
      </w:rPr>
      <w:t>1</w:t>
    </w:r>
    <w:r w:rsidR="006C41CA" w:rsidRPr="006F6ED7">
      <w:rPr>
        <w:rFonts w:eastAsia="Times New Roman" w:cs="Arial"/>
        <w:i/>
        <w:sz w:val="18"/>
        <w:szCs w:val="18"/>
        <w:lang w:eastAsia="es-ES"/>
      </w:rPr>
      <w:t>6</w:t>
    </w:r>
    <w:r w:rsidR="00D40EF8" w:rsidRPr="006F6ED7">
      <w:rPr>
        <w:rFonts w:eastAsia="Times New Roman" w:cs="Arial"/>
        <w:i/>
        <w:sz w:val="18"/>
        <w:szCs w:val="18"/>
        <w:lang w:eastAsia="es-ES"/>
      </w:rPr>
      <w:t>.1</w:t>
    </w:r>
    <w:r w:rsidR="006F6ED7" w:rsidRPr="006F6ED7">
      <w:rPr>
        <w:rFonts w:eastAsia="Times New Roman" w:cs="Arial"/>
        <w:i/>
        <w:sz w:val="18"/>
        <w:szCs w:val="18"/>
        <w:lang w:eastAsia="es-ES"/>
      </w:rPr>
      <w:t>/Rev.</w:t>
    </w:r>
    <w:r w:rsidR="0029510E">
      <w:rPr>
        <w:rFonts w:eastAsia="Times New Roman" w:cs="Arial"/>
        <w:i/>
        <w:sz w:val="18"/>
        <w:szCs w:val="18"/>
        <w:lang w:eastAsia="es-ES"/>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739D0B32" w:rsidR="000F4BDA" w:rsidRPr="006F6ED7" w:rsidRDefault="000F4BDA" w:rsidP="000F4BDA">
    <w:pPr>
      <w:pStyle w:val="Header"/>
      <w:pBdr>
        <w:bottom w:val="single" w:sz="4" w:space="1" w:color="auto"/>
      </w:pBdr>
      <w:jc w:val="right"/>
      <w:rPr>
        <w:i/>
        <w:sz w:val="18"/>
        <w:szCs w:val="18"/>
      </w:rPr>
    </w:pPr>
    <w:r w:rsidRPr="006F6ED7">
      <w:rPr>
        <w:rFonts w:eastAsia="Times New Roman" w:cs="Arial"/>
        <w:i/>
        <w:sz w:val="18"/>
        <w:szCs w:val="18"/>
        <w:lang w:eastAsia="es-ES"/>
      </w:rPr>
      <w:t>UNEP/CMS/COP1</w:t>
    </w:r>
    <w:r w:rsidR="00C22155" w:rsidRPr="006F6ED7">
      <w:rPr>
        <w:rFonts w:eastAsia="Times New Roman" w:cs="Arial"/>
        <w:i/>
        <w:sz w:val="18"/>
        <w:szCs w:val="18"/>
        <w:lang w:eastAsia="es-ES"/>
      </w:rPr>
      <w:t>5</w:t>
    </w:r>
    <w:r w:rsidRPr="006F6ED7">
      <w:rPr>
        <w:rFonts w:eastAsia="Times New Roman" w:cs="Arial"/>
        <w:i/>
        <w:sz w:val="18"/>
        <w:szCs w:val="18"/>
        <w:lang w:eastAsia="es-ES"/>
      </w:rPr>
      <w:t>/</w:t>
    </w:r>
    <w:r w:rsidR="007B53CC" w:rsidRPr="006F6ED7">
      <w:rPr>
        <w:rFonts w:eastAsia="Times New Roman" w:cs="Arial"/>
        <w:i/>
        <w:sz w:val="18"/>
        <w:szCs w:val="18"/>
        <w:lang w:eastAsia="es-ES"/>
      </w:rPr>
      <w:t>Doc</w:t>
    </w:r>
    <w:r w:rsidR="00430A25" w:rsidRPr="006F6ED7">
      <w:rPr>
        <w:rFonts w:eastAsia="Times New Roman" w:cs="Arial"/>
        <w:i/>
        <w:sz w:val="18"/>
        <w:szCs w:val="18"/>
        <w:lang w:eastAsia="es-ES"/>
      </w:rPr>
      <w:t>.</w:t>
    </w:r>
    <w:r w:rsidR="00405503" w:rsidRPr="006F6ED7">
      <w:rPr>
        <w:rFonts w:eastAsia="Times New Roman" w:cs="Arial"/>
        <w:i/>
        <w:sz w:val="18"/>
        <w:szCs w:val="18"/>
        <w:lang w:eastAsia="es-ES"/>
      </w:rPr>
      <w:t>1</w:t>
    </w:r>
    <w:r w:rsidR="006C41CA" w:rsidRPr="006F6ED7">
      <w:rPr>
        <w:rFonts w:eastAsia="Times New Roman" w:cs="Arial"/>
        <w:i/>
        <w:sz w:val="18"/>
        <w:szCs w:val="18"/>
        <w:lang w:eastAsia="es-ES"/>
      </w:rPr>
      <w:t>6</w:t>
    </w:r>
    <w:r w:rsidR="00405503" w:rsidRPr="006F6ED7">
      <w:rPr>
        <w:rFonts w:eastAsia="Times New Roman" w:cs="Arial"/>
        <w:i/>
        <w:sz w:val="18"/>
        <w:szCs w:val="18"/>
        <w:lang w:eastAsia="es-ES"/>
      </w:rPr>
      <w:t>.1</w:t>
    </w:r>
    <w:r w:rsidR="006F6ED7" w:rsidRPr="006F6ED7">
      <w:rPr>
        <w:rFonts w:eastAsia="Times New Roman" w:cs="Arial"/>
        <w:i/>
        <w:sz w:val="18"/>
        <w:szCs w:val="18"/>
        <w:lang w:eastAsia="es-ES"/>
      </w:rPr>
      <w:t>/Rev.</w:t>
    </w:r>
    <w:r w:rsidR="0029510E">
      <w:rPr>
        <w:rFonts w:eastAsia="Times New Roman" w:cs="Arial"/>
        <w:i/>
        <w:sz w:val="18"/>
        <w:szCs w:val="18"/>
        <w:lang w:eastAsia="es-ES"/>
      </w:rPr>
      <w:t>2</w:t>
    </w:r>
  </w:p>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CB1DCF"/>
    <w:multiLevelType w:val="hybridMultilevel"/>
    <w:tmpl w:val="7CE86D86"/>
    <w:lvl w:ilvl="0" w:tplc="0809000F">
      <w:start w:val="1"/>
      <w:numFmt w:val="decimal"/>
      <w:lvlText w:val="%1."/>
      <w:lvlJc w:val="left"/>
      <w:pPr>
        <w:ind w:left="108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68D20A28"/>
    <w:multiLevelType w:val="hybridMultilevel"/>
    <w:tmpl w:val="B8B6C6E6"/>
    <w:lvl w:ilvl="0" w:tplc="2000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abstractNum w:abstractNumId="14"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7"/>
  </w:num>
  <w:num w:numId="5" w16cid:durableId="37974177">
    <w:abstractNumId w:val="4"/>
  </w:num>
  <w:num w:numId="6" w16cid:durableId="1958830237">
    <w:abstractNumId w:val="8"/>
  </w:num>
  <w:num w:numId="7" w16cid:durableId="396439182">
    <w:abstractNumId w:val="10"/>
  </w:num>
  <w:num w:numId="8" w16cid:durableId="260603560">
    <w:abstractNumId w:val="6"/>
  </w:num>
  <w:num w:numId="9" w16cid:durableId="1356272424">
    <w:abstractNumId w:val="5"/>
  </w:num>
  <w:num w:numId="10" w16cid:durableId="630594039">
    <w:abstractNumId w:val="14"/>
  </w:num>
  <w:num w:numId="11" w16cid:durableId="2069759870">
    <w:abstractNumId w:val="9"/>
  </w:num>
  <w:num w:numId="12" w16cid:durableId="904724938">
    <w:abstractNumId w:val="11"/>
  </w:num>
  <w:num w:numId="13" w16cid:durableId="2848903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02180696">
    <w:abstractNumId w:val="3"/>
  </w:num>
  <w:num w:numId="15" w16cid:durableId="8783974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035CD"/>
    <w:rsid w:val="000130B9"/>
    <w:rsid w:val="00040D1E"/>
    <w:rsid w:val="00061A8F"/>
    <w:rsid w:val="00065B97"/>
    <w:rsid w:val="000712B1"/>
    <w:rsid w:val="00080F4E"/>
    <w:rsid w:val="00081A7D"/>
    <w:rsid w:val="00086522"/>
    <w:rsid w:val="000A45C6"/>
    <w:rsid w:val="000D1332"/>
    <w:rsid w:val="000E192F"/>
    <w:rsid w:val="000E3CD2"/>
    <w:rsid w:val="000F4BDA"/>
    <w:rsid w:val="0012027B"/>
    <w:rsid w:val="001206CB"/>
    <w:rsid w:val="00127CCF"/>
    <w:rsid w:val="00131B5F"/>
    <w:rsid w:val="00154A11"/>
    <w:rsid w:val="00166CB7"/>
    <w:rsid w:val="00167FF8"/>
    <w:rsid w:val="001722A0"/>
    <w:rsid w:val="00192411"/>
    <w:rsid w:val="00194841"/>
    <w:rsid w:val="001A5003"/>
    <w:rsid w:val="001A694F"/>
    <w:rsid w:val="001E6CDF"/>
    <w:rsid w:val="001E73E0"/>
    <w:rsid w:val="001F0D6E"/>
    <w:rsid w:val="002150E0"/>
    <w:rsid w:val="00237CF1"/>
    <w:rsid w:val="0024152C"/>
    <w:rsid w:val="00245FAF"/>
    <w:rsid w:val="002463E1"/>
    <w:rsid w:val="00256158"/>
    <w:rsid w:val="0029510E"/>
    <w:rsid w:val="0029631E"/>
    <w:rsid w:val="002A06B1"/>
    <w:rsid w:val="002A40B8"/>
    <w:rsid w:val="002A5ABE"/>
    <w:rsid w:val="002B0628"/>
    <w:rsid w:val="002D5F2A"/>
    <w:rsid w:val="002D78F2"/>
    <w:rsid w:val="002E7B6D"/>
    <w:rsid w:val="002F43C9"/>
    <w:rsid w:val="002F7EC2"/>
    <w:rsid w:val="003133A7"/>
    <w:rsid w:val="00323406"/>
    <w:rsid w:val="00332CB1"/>
    <w:rsid w:val="00347DEE"/>
    <w:rsid w:val="003A6C81"/>
    <w:rsid w:val="003B0B83"/>
    <w:rsid w:val="003C0B1D"/>
    <w:rsid w:val="003E3044"/>
    <w:rsid w:val="003E7A01"/>
    <w:rsid w:val="00405503"/>
    <w:rsid w:val="00415A2B"/>
    <w:rsid w:val="004177B0"/>
    <w:rsid w:val="00430A25"/>
    <w:rsid w:val="004476C9"/>
    <w:rsid w:val="00453FAA"/>
    <w:rsid w:val="00457C8A"/>
    <w:rsid w:val="00460E00"/>
    <w:rsid w:val="00462539"/>
    <w:rsid w:val="0046627A"/>
    <w:rsid w:val="004A4D1E"/>
    <w:rsid w:val="004A78BA"/>
    <w:rsid w:val="004C7808"/>
    <w:rsid w:val="004E2133"/>
    <w:rsid w:val="005330F7"/>
    <w:rsid w:val="00557DF8"/>
    <w:rsid w:val="00563598"/>
    <w:rsid w:val="0057641C"/>
    <w:rsid w:val="0058155E"/>
    <w:rsid w:val="00591364"/>
    <w:rsid w:val="00592262"/>
    <w:rsid w:val="0059243E"/>
    <w:rsid w:val="005A2CF9"/>
    <w:rsid w:val="005C39FC"/>
    <w:rsid w:val="006114FC"/>
    <w:rsid w:val="00611F3E"/>
    <w:rsid w:val="00655E7C"/>
    <w:rsid w:val="006C2EF5"/>
    <w:rsid w:val="006C41CA"/>
    <w:rsid w:val="006D5D77"/>
    <w:rsid w:val="006F22B0"/>
    <w:rsid w:val="006F6ED7"/>
    <w:rsid w:val="007675EC"/>
    <w:rsid w:val="007771CE"/>
    <w:rsid w:val="00782FC9"/>
    <w:rsid w:val="00790422"/>
    <w:rsid w:val="00790C3C"/>
    <w:rsid w:val="007A6FB5"/>
    <w:rsid w:val="007B53CC"/>
    <w:rsid w:val="007C212E"/>
    <w:rsid w:val="007C4D12"/>
    <w:rsid w:val="007D7231"/>
    <w:rsid w:val="007E47AF"/>
    <w:rsid w:val="007E5A82"/>
    <w:rsid w:val="00800CB3"/>
    <w:rsid w:val="00810C64"/>
    <w:rsid w:val="008122F6"/>
    <w:rsid w:val="0082473E"/>
    <w:rsid w:val="00873EA0"/>
    <w:rsid w:val="008801CD"/>
    <w:rsid w:val="00890936"/>
    <w:rsid w:val="008B6F42"/>
    <w:rsid w:val="008D686F"/>
    <w:rsid w:val="008E57EA"/>
    <w:rsid w:val="009059D0"/>
    <w:rsid w:val="009069BC"/>
    <w:rsid w:val="00906B55"/>
    <w:rsid w:val="00907696"/>
    <w:rsid w:val="00922CC4"/>
    <w:rsid w:val="0093220B"/>
    <w:rsid w:val="00943D15"/>
    <w:rsid w:val="00946498"/>
    <w:rsid w:val="009505AE"/>
    <w:rsid w:val="0095740D"/>
    <w:rsid w:val="009577D8"/>
    <w:rsid w:val="00980477"/>
    <w:rsid w:val="009871B2"/>
    <w:rsid w:val="009B2DF9"/>
    <w:rsid w:val="009C1B58"/>
    <w:rsid w:val="009C5B6B"/>
    <w:rsid w:val="009E0ACC"/>
    <w:rsid w:val="009F1187"/>
    <w:rsid w:val="009F1F93"/>
    <w:rsid w:val="009F35E8"/>
    <w:rsid w:val="00A13226"/>
    <w:rsid w:val="00A94058"/>
    <w:rsid w:val="00A96EB9"/>
    <w:rsid w:val="00AC0347"/>
    <w:rsid w:val="00AC09AE"/>
    <w:rsid w:val="00B104EC"/>
    <w:rsid w:val="00B123E0"/>
    <w:rsid w:val="00B25743"/>
    <w:rsid w:val="00B27FF2"/>
    <w:rsid w:val="00B40E07"/>
    <w:rsid w:val="00BB5867"/>
    <w:rsid w:val="00BC5707"/>
    <w:rsid w:val="00BD1B1C"/>
    <w:rsid w:val="00BD6D25"/>
    <w:rsid w:val="00BE6C85"/>
    <w:rsid w:val="00BF7838"/>
    <w:rsid w:val="00C10AB7"/>
    <w:rsid w:val="00C22155"/>
    <w:rsid w:val="00C373DA"/>
    <w:rsid w:val="00C41DAD"/>
    <w:rsid w:val="00C4568F"/>
    <w:rsid w:val="00C50B05"/>
    <w:rsid w:val="00C57F26"/>
    <w:rsid w:val="00C664E8"/>
    <w:rsid w:val="00C82FBF"/>
    <w:rsid w:val="00C864BB"/>
    <w:rsid w:val="00CA0B03"/>
    <w:rsid w:val="00CB3532"/>
    <w:rsid w:val="00CE119B"/>
    <w:rsid w:val="00CF660D"/>
    <w:rsid w:val="00D17A41"/>
    <w:rsid w:val="00D40EF8"/>
    <w:rsid w:val="00D643E6"/>
    <w:rsid w:val="00D70275"/>
    <w:rsid w:val="00D74D2E"/>
    <w:rsid w:val="00D84650"/>
    <w:rsid w:val="00D87C28"/>
    <w:rsid w:val="00D94FC4"/>
    <w:rsid w:val="00DA081D"/>
    <w:rsid w:val="00DB4DA0"/>
    <w:rsid w:val="00DC48AA"/>
    <w:rsid w:val="00E26150"/>
    <w:rsid w:val="00E37A80"/>
    <w:rsid w:val="00E607BD"/>
    <w:rsid w:val="00E77A9F"/>
    <w:rsid w:val="00E81B4A"/>
    <w:rsid w:val="00E9374E"/>
    <w:rsid w:val="00ED61C9"/>
    <w:rsid w:val="00EF1D13"/>
    <w:rsid w:val="00F147ED"/>
    <w:rsid w:val="00F64924"/>
    <w:rsid w:val="00F75299"/>
    <w:rsid w:val="00F813E8"/>
    <w:rsid w:val="00F97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character" w:styleId="CommentReference">
    <w:name w:val="annotation reference"/>
    <w:basedOn w:val="DefaultParagraphFont"/>
    <w:uiPriority w:val="99"/>
    <w:semiHidden/>
    <w:unhideWhenUsed/>
    <w:rsid w:val="00081A7D"/>
    <w:rPr>
      <w:sz w:val="16"/>
      <w:szCs w:val="16"/>
    </w:rPr>
  </w:style>
  <w:style w:type="paragraph" w:styleId="CommentText">
    <w:name w:val="annotation text"/>
    <w:basedOn w:val="Normal"/>
    <w:link w:val="CommentTextChar"/>
    <w:uiPriority w:val="99"/>
    <w:unhideWhenUsed/>
    <w:rsid w:val="00081A7D"/>
    <w:pPr>
      <w:spacing w:line="240" w:lineRule="auto"/>
    </w:pPr>
    <w:rPr>
      <w:sz w:val="20"/>
      <w:szCs w:val="20"/>
      <w:lang w:val="en-GB"/>
    </w:rPr>
  </w:style>
  <w:style w:type="character" w:customStyle="1" w:styleId="CommentTextChar">
    <w:name w:val="Comment Text Char"/>
    <w:basedOn w:val="DefaultParagraphFont"/>
    <w:link w:val="CommentText"/>
    <w:uiPriority w:val="99"/>
    <w:rsid w:val="00081A7D"/>
    <w:rPr>
      <w:sz w:val="20"/>
      <w:szCs w:val="20"/>
      <w:lang w:val="en-GB"/>
    </w:rPr>
  </w:style>
  <w:style w:type="paragraph" w:styleId="FootnoteText">
    <w:name w:val="footnote text"/>
    <w:basedOn w:val="Normal"/>
    <w:link w:val="FootnoteTextChar"/>
    <w:uiPriority w:val="99"/>
    <w:semiHidden/>
    <w:unhideWhenUsed/>
    <w:rsid w:val="00081A7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081A7D"/>
    <w:rPr>
      <w:rFonts w:ascii="Times New Roman" w:eastAsia="Times New Roman" w:hAnsi="Times New Roman" w:cs="Times New Roman"/>
      <w:sz w:val="20"/>
      <w:szCs w:val="20"/>
    </w:rPr>
  </w:style>
  <w:style w:type="table" w:styleId="TableGrid">
    <w:name w:val="Table Grid"/>
    <w:basedOn w:val="TableNormal"/>
    <w:uiPriority w:val="39"/>
    <w:rsid w:val="00081A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E4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document/scientific-council-1" TargetMode="External"/><Relationship Id="rId18" Type="http://schemas.openxmlformats.org/officeDocument/2006/relationships/hyperlink" Target="https://www.cms.int/es/node/277"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cms.int/en/document/cop-appointed-councillor-subject-areas-analysis-review-and-recommendations-0" TargetMode="External"/><Relationship Id="rId17" Type="http://schemas.openxmlformats.org/officeDocument/2006/relationships/hyperlink" Target="https://www.cms.int/es/page/contribuciones-de-las-partes-asignadas-al-fondo-fiduciario-de-la-cm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ms.int/es/node/42133"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cms.int/es/news/202531-nominacion-de-candidatos-para-consejeros-designados-por-la-cop-para-areas-tematicas"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s/node/42312"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2.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C3B07CA5-B7AF-45DE-8349-80AC4B0AA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187</TotalTime>
  <Pages>8</Pages>
  <Words>2872</Words>
  <Characters>16375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46</cp:revision>
  <cp:lastPrinted>2025-12-15T06:50:00Z</cp:lastPrinted>
  <dcterms:created xsi:type="dcterms:W3CDTF">2026-01-09T11:30:00Z</dcterms:created>
  <dcterms:modified xsi:type="dcterms:W3CDTF">2026-03-02T15:24:00Z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