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D058" w14:textId="77777777" w:rsidR="00D618AB" w:rsidRPr="00D618AB" w:rsidRDefault="00D618AB" w:rsidP="00D618AB">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D618AB">
        <w:rPr>
          <w:rFonts w:ascii="Arial" w:hAnsi="Arial" w:cs="Arial"/>
          <w:b/>
          <w:bCs/>
          <w:sz w:val="22"/>
          <w:szCs w:val="22"/>
          <w:lang w:val="fr-FR"/>
        </w:rPr>
        <w:t>ÉVALUATIONS DES EFFETS CUMULATIFS</w:t>
      </w:r>
    </w:p>
    <w:p w14:paraId="60C50FAF" w14:textId="77777777" w:rsidR="00AB5285" w:rsidRPr="007A5544" w:rsidRDefault="00AB5285" w:rsidP="00E829C9">
      <w:pPr>
        <w:jc w:val="center"/>
        <w:rPr>
          <w:rFonts w:ascii="Arial" w:hAnsi="Arial" w:cs="Arial"/>
          <w:b/>
          <w:sz w:val="22"/>
          <w:szCs w:val="22"/>
          <w:lang w:val="fr-FR"/>
        </w:rPr>
      </w:pPr>
    </w:p>
    <w:p w14:paraId="77BA811D" w14:textId="0CDEE408" w:rsidR="00D82C56" w:rsidRPr="002A3F88" w:rsidRDefault="005D43E4" w:rsidP="00AB5285">
      <w:pPr>
        <w:spacing w:after="120"/>
        <w:jc w:val="center"/>
        <w:rPr>
          <w:rFonts w:ascii="Arial" w:hAnsi="Arial" w:cs="Arial"/>
          <w:sz w:val="22"/>
          <w:szCs w:val="22"/>
          <w:lang w:val="fr-FR"/>
        </w:rPr>
      </w:pPr>
      <w:r w:rsidRPr="002A3F88">
        <w:rPr>
          <w:rFonts w:ascii="Arial" w:hAnsi="Arial" w:cs="Arial"/>
          <w:sz w:val="22"/>
          <w:szCs w:val="22"/>
          <w:lang w:val="fr-FR"/>
        </w:rPr>
        <w:t>UNEP/CMS/COP1</w:t>
      </w:r>
      <w:r w:rsidR="00950DA4" w:rsidRPr="002A3F88">
        <w:rPr>
          <w:rFonts w:ascii="Arial" w:hAnsi="Arial" w:cs="Arial"/>
          <w:sz w:val="22"/>
          <w:szCs w:val="22"/>
          <w:lang w:val="fr-FR"/>
        </w:rPr>
        <w:t>5</w:t>
      </w:r>
      <w:r w:rsidRPr="002A3F88">
        <w:rPr>
          <w:rFonts w:ascii="Arial" w:hAnsi="Arial" w:cs="Arial"/>
          <w:sz w:val="22"/>
          <w:szCs w:val="22"/>
          <w:lang w:val="fr-FR"/>
        </w:rPr>
        <w:t>/Doc.</w:t>
      </w:r>
      <w:r w:rsidR="00D618AB" w:rsidRPr="002A3F88">
        <w:rPr>
          <w:rFonts w:ascii="Arial" w:hAnsi="Arial" w:cs="Arial"/>
          <w:sz w:val="22"/>
          <w:szCs w:val="22"/>
          <w:lang w:val="fr-FR"/>
        </w:rPr>
        <w:t>28.9/Rev.1</w:t>
      </w:r>
    </w:p>
    <w:p w14:paraId="73A89732" w14:textId="2A884908"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E23ADC">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E23ADC">
        <w:rPr>
          <w:rFonts w:ascii="Arial" w:hAnsi="Arial" w:cs="Arial"/>
          <w:i/>
          <w:sz w:val="22"/>
          <w:szCs w:val="22"/>
          <w:lang w:val="fr-FR"/>
        </w:rPr>
        <w:t>le G</w:t>
      </w:r>
      <w:r w:rsidR="00E23ADC" w:rsidRPr="00E23ADC">
        <w:rPr>
          <w:rFonts w:ascii="Arial" w:hAnsi="Arial" w:cs="Arial"/>
          <w:i/>
          <w:sz w:val="22"/>
          <w:szCs w:val="22"/>
          <w:lang w:val="fr-FR"/>
        </w:rPr>
        <w:t>roupe de travail sur les questions institutionnelles et transversales</w:t>
      </w:r>
      <w:r w:rsidRPr="007A5544">
        <w:rPr>
          <w:rFonts w:ascii="Arial" w:hAnsi="Arial" w:cs="Arial"/>
          <w:i/>
          <w:sz w:val="22"/>
          <w:szCs w:val="22"/>
          <w:lang w:val="fr-FR"/>
        </w:rPr>
        <w:t>)</w:t>
      </w:r>
    </w:p>
    <w:p w14:paraId="458D7774" w14:textId="77777777" w:rsidR="009F3558" w:rsidRDefault="009F3558" w:rsidP="007A5544">
      <w:pPr>
        <w:pStyle w:val="ListParagraph"/>
        <w:ind w:left="0"/>
        <w:contextualSpacing w:val="0"/>
        <w:rPr>
          <w:rFonts w:cs="Arial"/>
          <w:lang w:val="fr-FR"/>
        </w:rPr>
      </w:pPr>
    </w:p>
    <w:p w14:paraId="2E7F0CB1" w14:textId="77777777" w:rsidR="00511EA0" w:rsidRDefault="00511EA0" w:rsidP="007A5544">
      <w:pPr>
        <w:pStyle w:val="ListParagraph"/>
        <w:ind w:left="0"/>
        <w:contextualSpacing w:val="0"/>
        <w:rPr>
          <w:rFonts w:cs="Arial"/>
          <w:lang w:val="fr-FR"/>
        </w:rPr>
      </w:pPr>
    </w:p>
    <w:p w14:paraId="55670EAE" w14:textId="77777777" w:rsidR="00D618AB" w:rsidRPr="00D618AB" w:rsidRDefault="00D618AB" w:rsidP="00D618AB">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caps/>
          <w:sz w:val="22"/>
          <w:szCs w:val="22"/>
          <w:lang w:val="fr-FR"/>
        </w:rPr>
      </w:pPr>
      <w:r w:rsidRPr="00D618AB">
        <w:rPr>
          <w:rFonts w:ascii="Arial" w:eastAsiaTheme="minorHAnsi" w:hAnsi="Arial" w:cs="Arial"/>
          <w:bCs/>
          <w:caps/>
          <w:sz w:val="22"/>
          <w:szCs w:val="22"/>
          <w:lang w:val="fr-FR"/>
        </w:rPr>
        <w:t>PROJET DE DÉCISIONS</w:t>
      </w:r>
    </w:p>
    <w:p w14:paraId="15FECD68" w14:textId="77777777" w:rsidR="00D618AB" w:rsidRDefault="00D618AB" w:rsidP="00D618AB">
      <w:pPr>
        <w:widowControl/>
        <w:suppressAutoHyphens w:val="0"/>
        <w:autoSpaceDE/>
        <w:autoSpaceDN/>
        <w:jc w:val="both"/>
        <w:textAlignment w:val="auto"/>
        <w:rPr>
          <w:rFonts w:ascii="Arial" w:eastAsiaTheme="minorHAnsi" w:hAnsi="Arial" w:cs="Arial"/>
          <w:bCs/>
          <w:caps/>
          <w:sz w:val="22"/>
          <w:szCs w:val="22"/>
          <w:lang w:val="fr-FR"/>
        </w:rPr>
      </w:pPr>
    </w:p>
    <w:p w14:paraId="3C9F1CDF" w14:textId="77777777" w:rsidR="00D618AB" w:rsidRPr="00D618AB" w:rsidRDefault="00D618AB" w:rsidP="00D618AB">
      <w:pPr>
        <w:widowControl/>
        <w:suppressAutoHyphens w:val="0"/>
        <w:autoSpaceDE/>
        <w:autoSpaceDN/>
        <w:jc w:val="both"/>
        <w:textAlignment w:val="auto"/>
        <w:rPr>
          <w:rFonts w:ascii="Arial" w:eastAsiaTheme="minorHAnsi" w:hAnsi="Arial" w:cs="Arial"/>
          <w:i/>
          <w:sz w:val="22"/>
          <w:szCs w:val="22"/>
          <w:lang w:val="fr-FR"/>
        </w:rPr>
      </w:pPr>
    </w:p>
    <w:p w14:paraId="6B1AC507" w14:textId="77777777" w:rsidR="00D618AB" w:rsidRPr="00D618AB" w:rsidRDefault="00D618AB" w:rsidP="002A3F88">
      <w:pPr>
        <w:widowControl/>
        <w:autoSpaceDE/>
        <w:autoSpaceDN/>
        <w:jc w:val="both"/>
        <w:textAlignment w:val="auto"/>
        <w:rPr>
          <w:rFonts w:ascii="Arial" w:eastAsiaTheme="minorHAnsi" w:hAnsi="Arial" w:cs="Arial"/>
          <w:b/>
          <w:i/>
          <w:sz w:val="22"/>
          <w:szCs w:val="22"/>
          <w:lang w:val="fr-FR"/>
        </w:rPr>
      </w:pPr>
      <w:r w:rsidRPr="00D618AB">
        <w:rPr>
          <w:rFonts w:ascii="Arial" w:eastAsiaTheme="minorHAnsi" w:hAnsi="Arial" w:cs="Arial"/>
          <w:b/>
          <w:i/>
          <w:sz w:val="22"/>
          <w:szCs w:val="22"/>
          <w:lang w:val="fr-FR"/>
        </w:rPr>
        <w:t xml:space="preserve">À l’adresse des Parties </w:t>
      </w:r>
    </w:p>
    <w:p w14:paraId="7D058ADC" w14:textId="77777777" w:rsidR="00D618AB" w:rsidRPr="00D618AB" w:rsidRDefault="00D618AB" w:rsidP="002A3F88">
      <w:pPr>
        <w:adjustRightInd w:val="0"/>
        <w:jc w:val="both"/>
        <w:textAlignment w:val="auto"/>
        <w:rPr>
          <w:rFonts w:ascii="Arial" w:eastAsiaTheme="minorHAnsi" w:hAnsi="Arial" w:cs="Arial"/>
          <w:iCs/>
          <w:sz w:val="22"/>
          <w:szCs w:val="22"/>
          <w:lang w:val="fr-FR"/>
        </w:rPr>
      </w:pPr>
    </w:p>
    <w:p w14:paraId="58AD1AB9" w14:textId="496678B8" w:rsidR="00D618AB" w:rsidRPr="00D618AB" w:rsidRDefault="00D618AB" w:rsidP="002A3F88">
      <w:pPr>
        <w:adjustRightInd w:val="0"/>
        <w:ind w:left="851" w:hanging="851"/>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 xml:space="preserve">15.AA </w:t>
      </w:r>
      <w:r w:rsidRPr="00D618AB">
        <w:rPr>
          <w:rFonts w:ascii="Arial" w:eastAsiaTheme="minorHAnsi" w:hAnsi="Arial" w:cs="Arial"/>
          <w:iCs/>
          <w:sz w:val="22"/>
          <w:szCs w:val="22"/>
          <w:lang w:val="fr-FR"/>
        </w:rPr>
        <w:tab/>
        <w:t xml:space="preserve">Les Parties sont </w:t>
      </w:r>
      <w:r w:rsidR="00E23ADC">
        <w:rPr>
          <w:rFonts w:ascii="Arial" w:eastAsiaTheme="minorHAnsi" w:hAnsi="Arial" w:cs="Arial"/>
          <w:iCs/>
          <w:sz w:val="22"/>
          <w:szCs w:val="22"/>
          <w:lang w:val="fr-FR"/>
        </w:rPr>
        <w:t>encouragées</w:t>
      </w:r>
      <w:r w:rsidR="00E23ADC" w:rsidRPr="00D618AB">
        <w:rPr>
          <w:rFonts w:ascii="Arial" w:eastAsiaTheme="minorHAnsi" w:hAnsi="Arial" w:cs="Arial"/>
          <w:iCs/>
          <w:sz w:val="22"/>
          <w:szCs w:val="22"/>
          <w:lang w:val="fr-FR"/>
        </w:rPr>
        <w:t xml:space="preserve"> </w:t>
      </w:r>
      <w:r w:rsidRPr="00D618AB">
        <w:rPr>
          <w:rFonts w:ascii="Arial" w:eastAsiaTheme="minorHAnsi" w:hAnsi="Arial" w:cs="Arial"/>
          <w:iCs/>
          <w:sz w:val="22"/>
          <w:szCs w:val="22"/>
          <w:lang w:val="fr-FR"/>
        </w:rPr>
        <w:t>à :</w:t>
      </w:r>
    </w:p>
    <w:p w14:paraId="03E70E57" w14:textId="77777777" w:rsidR="00D618AB" w:rsidRPr="00D618AB" w:rsidRDefault="00D618AB" w:rsidP="002A3F88">
      <w:pPr>
        <w:adjustRightInd w:val="0"/>
        <w:jc w:val="both"/>
        <w:textAlignment w:val="auto"/>
        <w:rPr>
          <w:rFonts w:ascii="Arial" w:eastAsiaTheme="minorHAnsi" w:hAnsi="Arial" w:cs="Arial"/>
          <w:iCs/>
          <w:sz w:val="22"/>
          <w:szCs w:val="22"/>
          <w:lang w:val="fr-FR"/>
        </w:rPr>
      </w:pPr>
    </w:p>
    <w:p w14:paraId="521DDEFE" w14:textId="77777777" w:rsidR="00D618AB" w:rsidRPr="00D618AB" w:rsidRDefault="00D618AB" w:rsidP="002A3F88">
      <w:pPr>
        <w:widowControl/>
        <w:numPr>
          <w:ilvl w:val="0"/>
          <w:numId w:val="8"/>
        </w:numPr>
        <w:autoSpaceDE/>
        <w:autoSpaceDN/>
        <w:adjustRightInd w:val="0"/>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intégrer des dispositions relatives à l’évaluation des effets cumulatifs (EEC) dans la législation nationale pertinente en matière d’environnement, en accordant une attention particulière aux espèces migratrices, notamment celles inscrites aux Annexes I et II de la CMS ;</w:t>
      </w:r>
    </w:p>
    <w:p w14:paraId="5F00A9BD" w14:textId="77777777" w:rsidR="00D618AB" w:rsidRPr="00D618AB" w:rsidRDefault="00D618AB" w:rsidP="002A3F88">
      <w:pPr>
        <w:adjustRightInd w:val="0"/>
        <w:ind w:left="1418" w:hanging="567"/>
        <w:jc w:val="both"/>
        <w:textAlignment w:val="auto"/>
        <w:rPr>
          <w:rFonts w:ascii="Arial" w:eastAsiaTheme="minorHAnsi" w:hAnsi="Arial" w:cs="Arial"/>
          <w:iCs/>
          <w:sz w:val="22"/>
          <w:szCs w:val="22"/>
          <w:lang w:val="fr-FR"/>
        </w:rPr>
      </w:pPr>
    </w:p>
    <w:p w14:paraId="377C8DFA" w14:textId="77777777" w:rsidR="00D618AB" w:rsidRPr="00D618AB" w:rsidRDefault="00D618AB" w:rsidP="002A3F88">
      <w:pPr>
        <w:widowControl/>
        <w:numPr>
          <w:ilvl w:val="0"/>
          <w:numId w:val="8"/>
        </w:numPr>
        <w:autoSpaceDE/>
        <w:autoSpaceDN/>
        <w:adjustRightInd w:val="0"/>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élaborer et mettre en œuvre une politique et une orientation nationales concernant l’application des EEC, en veillant à ce que les impacts sur les espèces migratrices soient systématiquement évalués et pris en considération ;</w:t>
      </w:r>
    </w:p>
    <w:p w14:paraId="405F9340" w14:textId="77777777" w:rsidR="00D618AB" w:rsidRPr="00D618AB" w:rsidRDefault="00D618AB" w:rsidP="002A3F88">
      <w:pPr>
        <w:widowControl/>
        <w:autoSpaceDE/>
        <w:autoSpaceDN/>
        <w:ind w:left="1418" w:hanging="567"/>
        <w:jc w:val="both"/>
        <w:textAlignment w:val="auto"/>
        <w:rPr>
          <w:rFonts w:ascii="Arial" w:eastAsiaTheme="minorHAnsi" w:hAnsi="Arial" w:cs="Arial"/>
          <w:iCs/>
          <w:sz w:val="22"/>
          <w:szCs w:val="22"/>
          <w:lang w:val="fr-FR"/>
        </w:rPr>
      </w:pPr>
    </w:p>
    <w:p w14:paraId="440A0DDB" w14:textId="15014E21" w:rsidR="00D618AB" w:rsidRPr="00D618AB" w:rsidRDefault="00D618AB" w:rsidP="002A3F88">
      <w:pPr>
        <w:widowControl/>
        <w:numPr>
          <w:ilvl w:val="0"/>
          <w:numId w:val="8"/>
        </w:numPr>
        <w:autoSpaceDE/>
        <w:autoSpaceDN/>
        <w:adjustRightInd w:val="0"/>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soutenir l’élaboration d’évaluations d’impact environnemental solides, modernes et uniformes</w:t>
      </w:r>
      <w:r w:rsidR="00E23ADC">
        <w:rPr>
          <w:rFonts w:ascii="Arial" w:eastAsiaTheme="minorHAnsi" w:hAnsi="Arial" w:cs="Arial"/>
          <w:iCs/>
          <w:sz w:val="22"/>
          <w:szCs w:val="22"/>
          <w:lang w:val="fr-FR"/>
        </w:rPr>
        <w:t>, y compris d’EEC,</w:t>
      </w:r>
      <w:r w:rsidRPr="00D618AB">
        <w:rPr>
          <w:rFonts w:ascii="Arial" w:eastAsiaTheme="minorHAnsi" w:hAnsi="Arial" w:cs="Arial"/>
          <w:iCs/>
          <w:sz w:val="22"/>
          <w:szCs w:val="22"/>
          <w:lang w:val="fr-FR"/>
        </w:rPr>
        <w:t xml:space="preserve"> pour les activités susceptibles d’avoir une incidence sur les espèces migratrices dans les zones situées à l’intérieur et au-delà des juridictions nationales, dans le cadre de l’Accord se rapportant à la Convention des Nations Unies sur le droit de la mer et portant sur la conservation et l’utilisation durable de la diversité biologique marine des zones ne relevant pas de la juridiction nationale (Accord BBNJ)</w:t>
      </w:r>
      <w:r w:rsidR="00E72B3E">
        <w:rPr>
          <w:rFonts w:ascii="Arial" w:eastAsiaTheme="minorHAnsi" w:hAnsi="Arial" w:cs="Arial"/>
          <w:iCs/>
          <w:sz w:val="22"/>
          <w:szCs w:val="22"/>
          <w:lang w:val="fr-FR"/>
        </w:rPr>
        <w:t> ;</w:t>
      </w:r>
    </w:p>
    <w:p w14:paraId="50C25FE7" w14:textId="77777777" w:rsidR="00D618AB" w:rsidRPr="00D618AB" w:rsidRDefault="00D618AB" w:rsidP="002A3F88">
      <w:pPr>
        <w:adjustRightInd w:val="0"/>
        <w:ind w:left="1418" w:hanging="567"/>
        <w:jc w:val="both"/>
        <w:textAlignment w:val="auto"/>
        <w:rPr>
          <w:rFonts w:ascii="Arial" w:eastAsiaTheme="minorHAnsi" w:hAnsi="Arial" w:cs="Arial"/>
          <w:iCs/>
          <w:sz w:val="22"/>
          <w:szCs w:val="22"/>
          <w:lang w:val="fr-FR"/>
        </w:rPr>
      </w:pPr>
    </w:p>
    <w:p w14:paraId="4BE5F67C" w14:textId="77777777" w:rsidR="00D618AB" w:rsidRPr="00D618AB" w:rsidRDefault="00D618AB" w:rsidP="002A3F88">
      <w:pPr>
        <w:widowControl/>
        <w:numPr>
          <w:ilvl w:val="0"/>
          <w:numId w:val="8"/>
        </w:numPr>
        <w:autoSpaceDE/>
        <w:autoSpaceDN/>
        <w:adjustRightInd w:val="0"/>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c</w:t>
      </w:r>
      <w:r w:rsidRPr="00D618AB">
        <w:rPr>
          <w:rFonts w:ascii="Arial" w:eastAsiaTheme="minorHAnsi" w:hAnsi="Arial" w:cs="Arial"/>
          <w:sz w:val="22"/>
          <w:szCs w:val="22"/>
          <w:lang w:val="fr-FR"/>
        </w:rPr>
        <w:t>ollaborer et échanger des informations afin de concevoir et mettre en œuvre conjointement des cadres d’EEC destinés à une application locale, nationale, régionale ou internationale,</w:t>
      </w:r>
      <w:r w:rsidRPr="00D618AB">
        <w:rPr>
          <w:rFonts w:ascii="Segoe UI" w:eastAsiaTheme="minorHAnsi" w:hAnsi="Segoe UI" w:cs="Segoe UI"/>
          <w:sz w:val="18"/>
          <w:szCs w:val="18"/>
          <w:lang w:val="fr-FR"/>
        </w:rPr>
        <w:t xml:space="preserve"> </w:t>
      </w:r>
      <w:r w:rsidRPr="00D618AB">
        <w:rPr>
          <w:rFonts w:ascii="Arial" w:eastAsiaTheme="minorHAnsi" w:hAnsi="Arial" w:cs="Arial"/>
          <w:sz w:val="22"/>
          <w:szCs w:val="22"/>
          <w:lang w:val="fr-FR"/>
        </w:rPr>
        <w:t>ainsi que collaborer et partager des informations avec des organisations intergouvernementales et non gouvernementales afin de soutenir ces initiatives ;</w:t>
      </w:r>
    </w:p>
    <w:p w14:paraId="502DDD85" w14:textId="77777777" w:rsidR="00D618AB" w:rsidRPr="00D618AB" w:rsidRDefault="00D618AB" w:rsidP="002A3F88">
      <w:pPr>
        <w:adjustRightInd w:val="0"/>
        <w:ind w:left="1418" w:hanging="567"/>
        <w:jc w:val="both"/>
        <w:textAlignment w:val="auto"/>
        <w:rPr>
          <w:rFonts w:ascii="Arial" w:eastAsiaTheme="minorHAnsi" w:hAnsi="Arial" w:cs="Arial"/>
          <w:iCs/>
          <w:sz w:val="22"/>
          <w:szCs w:val="22"/>
          <w:lang w:val="fr-FR"/>
        </w:rPr>
      </w:pPr>
    </w:p>
    <w:p w14:paraId="0A98156E" w14:textId="77777777" w:rsidR="00D618AB" w:rsidRPr="00D618AB" w:rsidRDefault="00D618AB" w:rsidP="002A3F88">
      <w:pPr>
        <w:widowControl/>
        <w:numPr>
          <w:ilvl w:val="0"/>
          <w:numId w:val="8"/>
        </w:numPr>
        <w:autoSpaceDE/>
        <w:autoSpaceDN/>
        <w:adjustRightInd w:val="0"/>
        <w:jc w:val="both"/>
        <w:textAlignment w:val="auto"/>
        <w:rPr>
          <w:rFonts w:ascii="Arial" w:eastAsiaTheme="minorHAnsi" w:hAnsi="Arial" w:cs="Arial"/>
          <w:iCs/>
          <w:sz w:val="22"/>
          <w:szCs w:val="22"/>
          <w:lang w:val="fr-FR"/>
        </w:rPr>
      </w:pPr>
      <w:r w:rsidRPr="00D618AB">
        <w:rPr>
          <w:rFonts w:ascii="Arial" w:eastAsiaTheme="minorHAnsi" w:hAnsi="Arial" w:cs="Arial"/>
          <w:iCs/>
          <w:sz w:val="22"/>
          <w:szCs w:val="22"/>
          <w:lang w:val="fr-FR"/>
        </w:rPr>
        <w:t>renforcer les méthodologies et les critères d’identification, d’évaluation et d’atténuation des impacts cumulatifs sur les espèces migratrices inscrites aux Annexes de la CMS et leurs habitats, y compris les effets cumulatifs transfrontaliers et les effets dans les écosystèmes sous-représentés.</w:t>
      </w:r>
    </w:p>
    <w:p w14:paraId="077AD5D6" w14:textId="77777777" w:rsidR="00D618AB" w:rsidRPr="00D618AB" w:rsidRDefault="00D618AB" w:rsidP="002A3F88">
      <w:pPr>
        <w:widowControl/>
        <w:autoSpaceDE/>
        <w:autoSpaceDN/>
        <w:jc w:val="both"/>
        <w:textAlignment w:val="auto"/>
        <w:rPr>
          <w:rFonts w:ascii="Arial" w:eastAsiaTheme="minorHAnsi" w:hAnsi="Arial" w:cs="Arial"/>
          <w:sz w:val="22"/>
          <w:szCs w:val="22"/>
          <w:lang w:val="fr-FR"/>
        </w:rPr>
      </w:pPr>
    </w:p>
    <w:p w14:paraId="0E6A210D" w14:textId="77777777" w:rsidR="00D618AB" w:rsidRPr="00D618AB" w:rsidRDefault="00D618AB" w:rsidP="002A3F88">
      <w:pPr>
        <w:widowControl/>
        <w:autoSpaceDE/>
        <w:autoSpaceDN/>
        <w:jc w:val="both"/>
        <w:textAlignment w:val="auto"/>
        <w:rPr>
          <w:rFonts w:ascii="Arial" w:eastAsiaTheme="minorHAnsi" w:hAnsi="Arial" w:cs="Arial"/>
          <w:sz w:val="22"/>
          <w:szCs w:val="22"/>
          <w:lang w:val="fr-FR"/>
        </w:rPr>
      </w:pPr>
      <w:r w:rsidRPr="00D618AB">
        <w:rPr>
          <w:rFonts w:ascii="Arial" w:eastAsiaTheme="minorHAnsi" w:hAnsi="Arial" w:cs="Arial"/>
          <w:b/>
          <w:i/>
          <w:sz w:val="22"/>
          <w:szCs w:val="22"/>
          <w:lang w:val="fr-FR"/>
        </w:rPr>
        <w:t xml:space="preserve">À l’adresse du Conseil scientifique </w:t>
      </w:r>
    </w:p>
    <w:p w14:paraId="1882ACF1" w14:textId="77777777" w:rsidR="00D618AB" w:rsidRPr="00D618AB" w:rsidRDefault="00D618AB" w:rsidP="002A3F88">
      <w:pPr>
        <w:widowControl/>
        <w:autoSpaceDE/>
        <w:autoSpaceDN/>
        <w:jc w:val="both"/>
        <w:textAlignment w:val="auto"/>
        <w:rPr>
          <w:rFonts w:ascii="Arial" w:eastAsiaTheme="minorHAnsi" w:hAnsi="Arial" w:cs="Arial"/>
          <w:sz w:val="22"/>
          <w:szCs w:val="22"/>
          <w:lang w:val="fr-FR"/>
        </w:rPr>
      </w:pPr>
    </w:p>
    <w:p w14:paraId="68315C62" w14:textId="207D2A2B" w:rsidR="00D618AB" w:rsidRPr="00D618AB" w:rsidRDefault="00D618AB" w:rsidP="002A3F88">
      <w:pPr>
        <w:widowControl/>
        <w:autoSpaceDE/>
        <w:autoSpaceDN/>
        <w:ind w:left="851" w:hanging="851"/>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15.BB</w:t>
      </w:r>
      <w:r w:rsidRPr="00D618AB">
        <w:rPr>
          <w:rFonts w:ascii="Arial" w:eastAsiaTheme="minorHAnsi" w:hAnsi="Arial" w:cs="Arial"/>
          <w:sz w:val="22"/>
          <w:szCs w:val="22"/>
          <w:lang w:val="fr-FR"/>
        </w:rPr>
        <w:tab/>
        <w:t>Le Conseil scientifique est invité à :</w:t>
      </w:r>
    </w:p>
    <w:p w14:paraId="48B21CB4" w14:textId="77777777" w:rsidR="00D618AB" w:rsidRPr="00D618AB" w:rsidRDefault="00D618AB" w:rsidP="002A3F88">
      <w:pPr>
        <w:adjustRightInd w:val="0"/>
        <w:jc w:val="both"/>
        <w:textAlignment w:val="auto"/>
        <w:rPr>
          <w:rFonts w:ascii="Arial" w:eastAsiaTheme="minorHAnsi" w:hAnsi="Arial" w:cs="Arial"/>
          <w:sz w:val="22"/>
          <w:szCs w:val="22"/>
          <w:lang w:val="fr-FR"/>
        </w:rPr>
      </w:pPr>
    </w:p>
    <w:p w14:paraId="7403FDF4" w14:textId="77777777" w:rsidR="00D618AB" w:rsidRPr="00D618AB" w:rsidRDefault="00D618AB" w:rsidP="00511EA0">
      <w:pPr>
        <w:widowControl/>
        <w:numPr>
          <w:ilvl w:val="0"/>
          <w:numId w:val="7"/>
        </w:numPr>
        <w:autoSpaceDE/>
        <w:autoSpaceDN/>
        <w:adjustRightInd w:val="0"/>
        <w:spacing w:after="80"/>
        <w:jc w:val="both"/>
        <w:textAlignment w:val="auto"/>
        <w:rPr>
          <w:rFonts w:ascii="Arial" w:eastAsiaTheme="minorHAnsi" w:hAnsi="Arial" w:cs="Arial"/>
          <w:sz w:val="22"/>
          <w:szCs w:val="22"/>
          <w:lang w:val="fr-FR"/>
        </w:rPr>
      </w:pPr>
      <w:r w:rsidRPr="00D618AB">
        <w:rPr>
          <w:rFonts w:ascii="Arial" w:eastAsiaTheme="minorHAnsi" w:hAnsi="Arial" w:cs="Arial"/>
          <w:bCs/>
          <w:iCs/>
          <w:sz w:val="22"/>
          <w:szCs w:val="22"/>
          <w:lang w:val="fr-FR"/>
        </w:rPr>
        <w:t>élaborer, sous réserve de la disponibilité des ressources, des orientations pour l’évaluation des effets cumulatifs sur les espèces migratrices, notamment l’établissement de normes et de méthodologies communes pouvant être appliquées par les Parties à la CMS, ce qui devrait inclure :</w:t>
      </w:r>
    </w:p>
    <w:p w14:paraId="58326E4E" w14:textId="77777777" w:rsidR="00D618AB" w:rsidRPr="00D618AB" w:rsidRDefault="00D618AB" w:rsidP="002A3F88">
      <w:pPr>
        <w:widowControl/>
        <w:numPr>
          <w:ilvl w:val="1"/>
          <w:numId w:val="9"/>
        </w:numPr>
        <w:autoSpaceDE/>
        <w:autoSpaceDN/>
        <w:adjustRightInd w:val="0"/>
        <w:ind w:left="1985" w:hanging="425"/>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une évaluation de la terminologie actuelle utilisée dans le cadre des EEC et des recommandations pour un vocabulaire harmonisé, notamment des définitions précises de « effets cumulatifs », « évaluation des effets cumulatifs », « pressions » et d’autres termes clés, à utiliser dans les orientations de la CMS et d’autres cadres internationaux ;</w:t>
      </w:r>
    </w:p>
    <w:p w14:paraId="21BE7922" w14:textId="77777777" w:rsidR="00D618AB" w:rsidRPr="00D618AB" w:rsidRDefault="00D618AB" w:rsidP="00511EA0">
      <w:pPr>
        <w:widowControl/>
        <w:numPr>
          <w:ilvl w:val="1"/>
          <w:numId w:val="9"/>
        </w:numPr>
        <w:autoSpaceDE/>
        <w:autoSpaceDN/>
        <w:adjustRightInd w:val="0"/>
        <w:spacing w:after="80"/>
        <w:ind w:left="1984" w:hanging="425"/>
        <w:jc w:val="both"/>
        <w:textAlignment w:val="auto"/>
        <w:rPr>
          <w:rFonts w:ascii="Arial" w:eastAsiaTheme="minorHAnsi" w:hAnsi="Arial" w:cs="Arial"/>
          <w:sz w:val="22"/>
          <w:szCs w:val="22"/>
          <w:lang w:val="fr-FR"/>
        </w:rPr>
      </w:pPr>
      <w:r w:rsidRPr="00D618AB">
        <w:rPr>
          <w:rFonts w:ascii="Arial" w:eastAsiaTheme="minorHAnsi" w:hAnsi="Arial" w:cs="Arial"/>
          <w:bCs/>
          <w:iCs/>
          <w:sz w:val="22"/>
          <w:szCs w:val="22"/>
          <w:lang w:val="fr-FR"/>
        </w:rPr>
        <w:lastRenderedPageBreak/>
        <w:t>des conseils sur le moment et la manière dont les espèces migratrices devraient être évaluées dans le cadre des EEC, ainsi que les meilleures pratiques, y compris celles spécifiques à des contextes difficiles tels que les environnements marins, ou à des défis propres à certaines espèces ou secteurs ;</w:t>
      </w:r>
    </w:p>
    <w:p w14:paraId="2339DC2E" w14:textId="77777777" w:rsidR="00D618AB" w:rsidRPr="00D618AB" w:rsidRDefault="00D618AB" w:rsidP="00511EA0">
      <w:pPr>
        <w:widowControl/>
        <w:numPr>
          <w:ilvl w:val="1"/>
          <w:numId w:val="9"/>
        </w:numPr>
        <w:autoSpaceDE/>
        <w:autoSpaceDN/>
        <w:adjustRightInd w:val="0"/>
        <w:spacing w:after="80"/>
        <w:ind w:left="1984" w:hanging="425"/>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la prise en considération des avancées technologiques pertinentes pour les méthodologies d’EEC, notamment l’utilisation potentielle de l’intelligence artificielle, de l’apprentissage automatique et d’autres outils innovants pour soutenir l’évaluation et l’interprétation des effets cumulatifs, ainsi que des conseils sur l’applicabilité et les limites de ces technologies, en décrivant les cas d’utilisation potentiels et les exigences en matière de données ou de capacités associées ;</w:t>
      </w:r>
    </w:p>
    <w:p w14:paraId="7DC0877B" w14:textId="77777777" w:rsidR="00D618AB" w:rsidRPr="00D618AB" w:rsidRDefault="00D618AB" w:rsidP="002A3F88">
      <w:pPr>
        <w:widowControl/>
        <w:numPr>
          <w:ilvl w:val="1"/>
          <w:numId w:val="9"/>
        </w:numPr>
        <w:autoSpaceDE/>
        <w:autoSpaceDN/>
        <w:adjustRightInd w:val="0"/>
        <w:ind w:left="1985" w:hanging="425"/>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des recommandations visant à adapter les cadres d’EEC existants afin de mieux tenir compte des besoins des espèces migratrices ;</w:t>
      </w:r>
    </w:p>
    <w:p w14:paraId="5E1A716B" w14:textId="77777777" w:rsidR="00D618AB" w:rsidRPr="00D618AB" w:rsidRDefault="00D618AB" w:rsidP="002A3F88">
      <w:pPr>
        <w:widowControl/>
        <w:autoSpaceDE/>
        <w:autoSpaceDN/>
        <w:ind w:left="1843" w:hanging="425"/>
        <w:jc w:val="both"/>
        <w:textAlignment w:val="auto"/>
        <w:rPr>
          <w:rFonts w:ascii="Arial" w:eastAsiaTheme="minorHAnsi" w:hAnsi="Arial" w:cs="Arial"/>
          <w:sz w:val="22"/>
          <w:szCs w:val="22"/>
          <w:lang w:val="fr-FR"/>
        </w:rPr>
      </w:pPr>
    </w:p>
    <w:p w14:paraId="377DF9E7" w14:textId="77777777" w:rsidR="00D618AB" w:rsidRPr="00D618AB" w:rsidRDefault="00D618AB" w:rsidP="002A3F88">
      <w:pPr>
        <w:widowControl/>
        <w:numPr>
          <w:ilvl w:val="0"/>
          <w:numId w:val="7"/>
        </w:numPr>
        <w:autoSpaceDE/>
        <w:autoSpaceDN/>
        <w:adjustRightInd w:val="0"/>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en collaboration avec son Groupe de travail d’experts sur la culture animale et la complexité sociale, examiner le potentiel des méthodologies d’évaluation de l’impact social pour une meilleure compréhension des impacts des activités humaines sur la structure sociale et la culture des espèces migratrices.</w:t>
      </w:r>
    </w:p>
    <w:p w14:paraId="76E8D933" w14:textId="77777777" w:rsidR="00D618AB" w:rsidRPr="00D618AB" w:rsidRDefault="00D618AB" w:rsidP="002A3F88">
      <w:pPr>
        <w:widowControl/>
        <w:autoSpaceDE/>
        <w:autoSpaceDN/>
        <w:jc w:val="both"/>
        <w:textAlignment w:val="auto"/>
        <w:rPr>
          <w:rFonts w:ascii="Arial" w:eastAsiaTheme="minorHAnsi" w:hAnsi="Arial" w:cs="Arial"/>
          <w:b/>
          <w:iCs/>
          <w:sz w:val="22"/>
          <w:szCs w:val="22"/>
          <w:lang w:val="fr-FR"/>
        </w:rPr>
      </w:pPr>
    </w:p>
    <w:p w14:paraId="5DE161E7" w14:textId="77777777" w:rsidR="00D618AB" w:rsidRPr="00D618AB" w:rsidRDefault="00D618AB" w:rsidP="002A3F88">
      <w:pPr>
        <w:widowControl/>
        <w:autoSpaceDE/>
        <w:autoSpaceDN/>
        <w:jc w:val="both"/>
        <w:textAlignment w:val="auto"/>
        <w:rPr>
          <w:rFonts w:ascii="Arial" w:eastAsiaTheme="minorHAnsi" w:hAnsi="Arial" w:cs="Arial"/>
          <w:b/>
          <w:i/>
          <w:sz w:val="22"/>
          <w:szCs w:val="22"/>
          <w:lang w:val="fr-FR"/>
        </w:rPr>
      </w:pPr>
      <w:r w:rsidRPr="00D618AB">
        <w:rPr>
          <w:rFonts w:ascii="Arial" w:eastAsiaTheme="minorHAnsi" w:hAnsi="Arial" w:cs="Arial"/>
          <w:b/>
          <w:i/>
          <w:sz w:val="22"/>
          <w:szCs w:val="22"/>
          <w:lang w:val="fr-FR"/>
        </w:rPr>
        <w:t>À l’adresse du Secrétariat</w:t>
      </w:r>
    </w:p>
    <w:p w14:paraId="2A75B5CF" w14:textId="77777777" w:rsidR="00D618AB" w:rsidRPr="00D618AB" w:rsidRDefault="00D618AB" w:rsidP="002A3F88">
      <w:pPr>
        <w:widowControl/>
        <w:autoSpaceDE/>
        <w:autoSpaceDN/>
        <w:jc w:val="both"/>
        <w:textAlignment w:val="auto"/>
        <w:rPr>
          <w:rFonts w:ascii="Arial" w:eastAsiaTheme="minorHAnsi" w:hAnsi="Arial" w:cs="Arial"/>
          <w:sz w:val="22"/>
          <w:szCs w:val="22"/>
          <w:lang w:val="fr-FR"/>
        </w:rPr>
      </w:pPr>
    </w:p>
    <w:p w14:paraId="00CC8658" w14:textId="6E1F07F9" w:rsidR="00D618AB" w:rsidRPr="00D618AB" w:rsidRDefault="00D618AB" w:rsidP="002A3F88">
      <w:pPr>
        <w:widowControl/>
        <w:autoSpaceDE/>
        <w:autoSpaceDN/>
        <w:ind w:left="851" w:hanging="851"/>
        <w:jc w:val="both"/>
        <w:textAlignment w:val="auto"/>
        <w:rPr>
          <w:rFonts w:ascii="Arial" w:eastAsiaTheme="minorHAnsi" w:hAnsi="Arial" w:cs="Arial"/>
          <w:iCs/>
          <w:sz w:val="22"/>
          <w:szCs w:val="22"/>
          <w:lang w:val="fr-FR"/>
        </w:rPr>
      </w:pPr>
      <w:r w:rsidRPr="00D618AB">
        <w:rPr>
          <w:rFonts w:ascii="Arial" w:eastAsiaTheme="minorHAnsi" w:hAnsi="Arial" w:cs="Arial"/>
          <w:sz w:val="22"/>
          <w:szCs w:val="22"/>
          <w:lang w:val="fr-FR"/>
        </w:rPr>
        <w:t>15.CC</w:t>
      </w:r>
      <w:r w:rsidRPr="00D618AB">
        <w:rPr>
          <w:rFonts w:ascii="Arial" w:eastAsiaTheme="minorHAnsi" w:hAnsi="Arial" w:cs="Arial"/>
          <w:sz w:val="22"/>
          <w:szCs w:val="22"/>
          <w:lang w:val="fr-FR"/>
        </w:rPr>
        <w:tab/>
        <w:t>Le Secrétariat est chargé, sous réserve de la disponibilité de ressources, de :</w:t>
      </w:r>
    </w:p>
    <w:p w14:paraId="414A7DAA" w14:textId="77777777" w:rsidR="00D618AB" w:rsidRPr="00D618AB" w:rsidRDefault="00D618AB" w:rsidP="002A3F88">
      <w:pPr>
        <w:adjustRightInd w:val="0"/>
        <w:jc w:val="both"/>
        <w:textAlignment w:val="auto"/>
        <w:rPr>
          <w:rFonts w:ascii="Arial" w:eastAsiaTheme="minorHAnsi" w:hAnsi="Arial" w:cs="Arial"/>
          <w:sz w:val="22"/>
          <w:szCs w:val="22"/>
          <w:lang w:val="fr-FR"/>
        </w:rPr>
      </w:pPr>
    </w:p>
    <w:p w14:paraId="61C3B63A" w14:textId="77777777" w:rsidR="00D618AB" w:rsidRPr="00D618AB" w:rsidRDefault="00D618AB" w:rsidP="002A3F88">
      <w:pPr>
        <w:widowControl/>
        <w:numPr>
          <w:ilvl w:val="0"/>
          <w:numId w:val="10"/>
        </w:numPr>
        <w:autoSpaceDE/>
        <w:autoSpaceDN/>
        <w:adjustRightInd w:val="0"/>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soutenir l’élaboration de documents d’orientation concernant la mise en œuvre de l’EEC pour les espèces migratrices, en collaboration avec les parties prenantes et les organismes d’experts concernés ;</w:t>
      </w:r>
    </w:p>
    <w:p w14:paraId="2C32C1B6" w14:textId="77777777" w:rsidR="00D618AB" w:rsidRPr="00D618AB" w:rsidRDefault="00D618AB" w:rsidP="002A3F88">
      <w:pPr>
        <w:adjustRightInd w:val="0"/>
        <w:ind w:left="1418" w:hanging="567"/>
        <w:jc w:val="both"/>
        <w:textAlignment w:val="auto"/>
        <w:rPr>
          <w:rFonts w:ascii="Arial" w:eastAsiaTheme="minorHAnsi" w:hAnsi="Arial" w:cs="Arial"/>
          <w:sz w:val="22"/>
          <w:szCs w:val="22"/>
          <w:lang w:val="fr-FR"/>
        </w:rPr>
      </w:pPr>
    </w:p>
    <w:p w14:paraId="323E3983" w14:textId="77777777" w:rsidR="00D618AB" w:rsidRPr="00D618AB" w:rsidRDefault="00D618AB" w:rsidP="002A3F88">
      <w:pPr>
        <w:widowControl/>
        <w:numPr>
          <w:ilvl w:val="0"/>
          <w:numId w:val="10"/>
        </w:numPr>
        <w:autoSpaceDE/>
        <w:autoSpaceDN/>
        <w:adjustRightInd w:val="0"/>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promouvoir et faciliter la collaboration entre les Parties et les organisations compétentes telles que le Comité International pour l’Exploration de la Mer (CIEM), l’Union internationale pour la conservation de la nature (UICN) et d’autres organismes scientifiques ou techniques participant à l’élaboration ou à la mise en œuvre de cadres d’EEC ;</w:t>
      </w:r>
    </w:p>
    <w:p w14:paraId="18311AA1" w14:textId="77777777" w:rsidR="00D618AB" w:rsidRPr="00D618AB" w:rsidRDefault="00D618AB" w:rsidP="002A3F88">
      <w:pPr>
        <w:adjustRightInd w:val="0"/>
        <w:ind w:left="1418" w:hanging="567"/>
        <w:jc w:val="both"/>
        <w:textAlignment w:val="auto"/>
        <w:rPr>
          <w:rFonts w:ascii="Arial" w:eastAsiaTheme="minorHAnsi" w:hAnsi="Arial" w:cs="Arial"/>
          <w:sz w:val="22"/>
          <w:szCs w:val="22"/>
          <w:lang w:val="fr-FR"/>
        </w:rPr>
      </w:pPr>
    </w:p>
    <w:p w14:paraId="2ED74345" w14:textId="4999D75B" w:rsidR="00D618AB" w:rsidRPr="00D618AB" w:rsidRDefault="00D618AB" w:rsidP="002A3F88">
      <w:pPr>
        <w:widowControl/>
        <w:numPr>
          <w:ilvl w:val="0"/>
          <w:numId w:val="10"/>
        </w:numPr>
        <w:autoSpaceDE/>
        <w:autoSpaceDN/>
        <w:adjustRightInd w:val="0"/>
        <w:jc w:val="both"/>
        <w:textAlignment w:val="auto"/>
        <w:rPr>
          <w:rFonts w:ascii="Arial" w:eastAsiaTheme="minorHAnsi" w:hAnsi="Arial" w:cs="Arial"/>
          <w:sz w:val="22"/>
          <w:szCs w:val="22"/>
          <w:lang w:val="fr-FR"/>
        </w:rPr>
      </w:pPr>
      <w:r w:rsidRPr="00D618AB">
        <w:rPr>
          <w:rFonts w:ascii="Arial" w:eastAsiaTheme="minorHAnsi" w:hAnsi="Arial" w:cs="Arial"/>
          <w:sz w:val="22"/>
          <w:szCs w:val="22"/>
          <w:lang w:val="fr-FR"/>
        </w:rPr>
        <w:t xml:space="preserve">entreprendre des processus pour rendre opérationnel </w:t>
      </w:r>
      <w:r w:rsidRPr="00D618AB">
        <w:rPr>
          <w:rFonts w:ascii="Arial" w:eastAsiaTheme="minorHAnsi" w:hAnsi="Arial" w:cs="Arial"/>
          <w:bCs/>
          <w:iCs/>
          <w:sz w:val="22"/>
          <w:szCs w:val="22"/>
          <w:lang w:val="fr-FR"/>
        </w:rPr>
        <w:t xml:space="preserve">l’Accord BBNJ, afin de favoriser la cohérence et d’assurer la prise en considération des espèces migratrices, et explorer les moyens pour que le Conseil scientifique contribue à ces processus. </w:t>
      </w:r>
    </w:p>
    <w:p w14:paraId="1C36A2E8" w14:textId="77777777" w:rsidR="007F43DD" w:rsidRDefault="007F43DD" w:rsidP="002A3F88">
      <w:pPr>
        <w:pStyle w:val="ListParagraph"/>
        <w:suppressAutoHyphens/>
        <w:ind w:left="0"/>
        <w:contextualSpacing w:val="0"/>
        <w:rPr>
          <w:rFonts w:cs="Arial"/>
          <w:lang w:val="fr-FR"/>
        </w:rPr>
      </w:pPr>
    </w:p>
    <w:p w14:paraId="415783C6" w14:textId="77777777" w:rsidR="00D618AB" w:rsidRPr="007A5544" w:rsidRDefault="00D618AB" w:rsidP="002A3F88">
      <w:pPr>
        <w:pStyle w:val="ListParagraph"/>
        <w:suppressAutoHyphens/>
        <w:ind w:left="0"/>
        <w:contextualSpacing w:val="0"/>
        <w:rPr>
          <w:rFonts w:cs="Arial"/>
          <w:lang w:val="fr-FR"/>
        </w:rPr>
      </w:pPr>
    </w:p>
    <w:sectPr w:rsidR="00D618AB"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2A60" w14:textId="77777777" w:rsidR="0085377E" w:rsidRDefault="0085377E">
      <w:r>
        <w:separator/>
      </w:r>
    </w:p>
  </w:endnote>
  <w:endnote w:type="continuationSeparator" w:id="0">
    <w:p w14:paraId="4C5FCF46" w14:textId="77777777" w:rsidR="0085377E" w:rsidRDefault="0085377E">
      <w:r>
        <w:continuationSeparator/>
      </w:r>
    </w:p>
  </w:endnote>
  <w:endnote w:type="continuationNotice" w:id="1">
    <w:p w14:paraId="0ED5BBBD" w14:textId="77777777" w:rsidR="0085377E" w:rsidRDefault="0085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83B8" w14:textId="77777777" w:rsidR="0085377E" w:rsidRDefault="0085377E">
      <w:r>
        <w:rPr>
          <w:color w:val="000000"/>
        </w:rPr>
        <w:separator/>
      </w:r>
    </w:p>
  </w:footnote>
  <w:footnote w:type="continuationSeparator" w:id="0">
    <w:p w14:paraId="2536ED50" w14:textId="77777777" w:rsidR="0085377E" w:rsidRDefault="0085377E">
      <w:r>
        <w:continuationSeparator/>
      </w:r>
    </w:p>
  </w:footnote>
  <w:footnote w:type="continuationNotice" w:id="1">
    <w:p w14:paraId="39B3925E" w14:textId="77777777" w:rsidR="0085377E" w:rsidRDefault="00853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4ABBDD10"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D618AB">
      <w:rPr>
        <w:rFonts w:ascii="Arial" w:hAnsi="Arial" w:cs="Arial"/>
        <w:i/>
        <w:sz w:val="18"/>
        <w:szCs w:val="18"/>
        <w:lang w:val="pt-PT"/>
      </w:rPr>
      <w:t>28.9</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BE2A151"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D618AB">
      <w:rPr>
        <w:rFonts w:ascii="Arial" w:hAnsi="Arial" w:cs="Arial"/>
        <w:bCs/>
        <w:i/>
        <w:iCs/>
        <w:sz w:val="18"/>
        <w:szCs w:val="18"/>
        <w:lang w:val="pt-PT"/>
      </w:rPr>
      <w:t>28.9</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num w:numId="1" w16cid:durableId="1206528537">
    <w:abstractNumId w:val="6"/>
  </w:num>
  <w:num w:numId="2" w16cid:durableId="574051727">
    <w:abstractNumId w:val="8"/>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2"/>
  </w:num>
  <w:num w:numId="6" w16cid:durableId="1796025329">
    <w:abstractNumId w:val="3"/>
  </w:num>
  <w:num w:numId="7" w16cid:durableId="97415758">
    <w:abstractNumId w:val="7"/>
  </w:num>
  <w:num w:numId="8" w16cid:durableId="778186651">
    <w:abstractNumId w:val="1"/>
  </w:num>
  <w:num w:numId="9" w16cid:durableId="775054870">
    <w:abstractNumId w:val="0"/>
  </w:num>
  <w:num w:numId="10" w16cid:durableId="680012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352BB"/>
    <w:rsid w:val="00142859"/>
    <w:rsid w:val="00164D92"/>
    <w:rsid w:val="00167428"/>
    <w:rsid w:val="002243FE"/>
    <w:rsid w:val="00227282"/>
    <w:rsid w:val="0027066C"/>
    <w:rsid w:val="00276113"/>
    <w:rsid w:val="002A3F88"/>
    <w:rsid w:val="002B6DE7"/>
    <w:rsid w:val="002C5F42"/>
    <w:rsid w:val="0033796E"/>
    <w:rsid w:val="003F1AD8"/>
    <w:rsid w:val="0041439A"/>
    <w:rsid w:val="0043102F"/>
    <w:rsid w:val="00511EA0"/>
    <w:rsid w:val="0052458B"/>
    <w:rsid w:val="005645C4"/>
    <w:rsid w:val="0058757D"/>
    <w:rsid w:val="005D43E4"/>
    <w:rsid w:val="005D574F"/>
    <w:rsid w:val="005F0639"/>
    <w:rsid w:val="00620BD8"/>
    <w:rsid w:val="006821C9"/>
    <w:rsid w:val="00687331"/>
    <w:rsid w:val="006D020E"/>
    <w:rsid w:val="007103C8"/>
    <w:rsid w:val="00751AAD"/>
    <w:rsid w:val="007A1066"/>
    <w:rsid w:val="007A5544"/>
    <w:rsid w:val="007C04D3"/>
    <w:rsid w:val="007F43DD"/>
    <w:rsid w:val="00826906"/>
    <w:rsid w:val="0085377E"/>
    <w:rsid w:val="00857813"/>
    <w:rsid w:val="00950DA4"/>
    <w:rsid w:val="00960B8C"/>
    <w:rsid w:val="0096699F"/>
    <w:rsid w:val="009B03FC"/>
    <w:rsid w:val="009F3558"/>
    <w:rsid w:val="00A8579B"/>
    <w:rsid w:val="00AA138B"/>
    <w:rsid w:val="00AB5285"/>
    <w:rsid w:val="00AE39EA"/>
    <w:rsid w:val="00AE590E"/>
    <w:rsid w:val="00B4191F"/>
    <w:rsid w:val="00B91802"/>
    <w:rsid w:val="00C30C58"/>
    <w:rsid w:val="00C31E29"/>
    <w:rsid w:val="00C37614"/>
    <w:rsid w:val="00C66175"/>
    <w:rsid w:val="00D416B7"/>
    <w:rsid w:val="00D472A8"/>
    <w:rsid w:val="00D50F95"/>
    <w:rsid w:val="00D61140"/>
    <w:rsid w:val="00D618AB"/>
    <w:rsid w:val="00D82C56"/>
    <w:rsid w:val="00DB2EEB"/>
    <w:rsid w:val="00E1532C"/>
    <w:rsid w:val="00E23ADC"/>
    <w:rsid w:val="00E45B44"/>
    <w:rsid w:val="00E72B3E"/>
    <w:rsid w:val="00E829C9"/>
    <w:rsid w:val="00EE25A7"/>
    <w:rsid w:val="00EF2BC5"/>
    <w:rsid w:val="00EF34EF"/>
    <w:rsid w:val="00F21F79"/>
    <w:rsid w:val="00F52A55"/>
    <w:rsid w:val="00F56104"/>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E23ADC"/>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5A80D043-7004-4E84-B05B-7F8A33C59013}"/>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2026-03-26T01:17:00Z</dcterms:created>
  <dcterms:modified xsi:type="dcterms:W3CDTF">2026-03-26T01:33:00Z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