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CECFE" w14:textId="74D83C75" w:rsidR="69BB9141" w:rsidRPr="00FD59AB" w:rsidRDefault="69BB9141" w:rsidP="7F978826">
      <w:pPr>
        <w:pBdr>
          <w:top w:val="single" w:sz="8" w:space="0" w:color="FFFFFF"/>
          <w:left w:val="single" w:sz="8" w:space="0" w:color="FFFFFF"/>
          <w:bottom w:val="single" w:sz="8" w:space="0" w:color="FFFFFF"/>
          <w:right w:val="single" w:sz="8" w:space="0" w:color="FFFFFF"/>
        </w:pBdr>
        <w:jc w:val="center"/>
        <w:rPr>
          <w:rFonts w:ascii="Arial" w:hAnsi="Arial" w:cs="Arial"/>
          <w:sz w:val="22"/>
          <w:szCs w:val="22"/>
        </w:rPr>
      </w:pPr>
      <w:r w:rsidRPr="00FD59AB">
        <w:rPr>
          <w:rFonts w:ascii="Arial" w:eastAsia="Arial" w:hAnsi="Arial" w:cs="Arial"/>
          <w:b/>
          <w:bCs/>
          <w:caps/>
          <w:sz w:val="22"/>
          <w:szCs w:val="22"/>
        </w:rPr>
        <w:t>CUMULATIVE EFFECTS ASSESSMENTS</w:t>
      </w:r>
    </w:p>
    <w:p w14:paraId="03A28430" w14:textId="77777777" w:rsidR="00A669AC" w:rsidRPr="00FD59AB" w:rsidRDefault="00A669AC" w:rsidP="005E5DF3">
      <w:pPr>
        <w:jc w:val="center"/>
        <w:rPr>
          <w:rFonts w:ascii="Arial" w:hAnsi="Arial" w:cs="Arial"/>
          <w:b/>
          <w:sz w:val="22"/>
          <w:szCs w:val="22"/>
        </w:rPr>
      </w:pPr>
    </w:p>
    <w:p w14:paraId="61AC8458" w14:textId="132307E6" w:rsidR="00A669AC" w:rsidRPr="00FD59AB" w:rsidRDefault="00A669AC" w:rsidP="32D90867">
      <w:pPr>
        <w:spacing w:after="120"/>
        <w:jc w:val="center"/>
        <w:rPr>
          <w:rFonts w:ascii="Arial" w:hAnsi="Arial" w:cs="Arial"/>
          <w:sz w:val="22"/>
          <w:szCs w:val="22"/>
        </w:rPr>
      </w:pPr>
      <w:r w:rsidRPr="00FD59AB">
        <w:rPr>
          <w:rFonts w:ascii="Arial" w:hAnsi="Arial" w:cs="Arial"/>
          <w:sz w:val="22"/>
          <w:szCs w:val="22"/>
        </w:rPr>
        <w:t>UNEP/CMS/COP15/Doc.</w:t>
      </w:r>
      <w:r w:rsidR="00272207" w:rsidRPr="00FD59AB">
        <w:rPr>
          <w:rFonts w:ascii="Arial" w:hAnsi="Arial" w:cs="Arial"/>
          <w:sz w:val="22"/>
          <w:szCs w:val="22"/>
        </w:rPr>
        <w:t>2</w:t>
      </w:r>
      <w:r w:rsidR="275F169A" w:rsidRPr="00FD59AB">
        <w:rPr>
          <w:rFonts w:ascii="Arial" w:hAnsi="Arial" w:cs="Arial"/>
          <w:sz w:val="22"/>
          <w:szCs w:val="22"/>
        </w:rPr>
        <w:t>8.9</w:t>
      </w:r>
      <w:r w:rsidR="6FEDA872" w:rsidRPr="00FD59AB">
        <w:rPr>
          <w:rFonts w:ascii="Arial" w:hAnsi="Arial" w:cs="Arial"/>
          <w:sz w:val="22"/>
          <w:szCs w:val="22"/>
        </w:rPr>
        <w:t>/Rev</w:t>
      </w:r>
      <w:r w:rsidR="001A2A17">
        <w:rPr>
          <w:rFonts w:ascii="Arial" w:hAnsi="Arial" w:cs="Arial"/>
          <w:sz w:val="22"/>
          <w:szCs w:val="22"/>
        </w:rPr>
        <w:t>.</w:t>
      </w:r>
      <w:r w:rsidR="6FEDA872" w:rsidRPr="00FD59AB">
        <w:rPr>
          <w:rFonts w:ascii="Arial" w:hAnsi="Arial" w:cs="Arial"/>
          <w:sz w:val="22"/>
          <w:szCs w:val="22"/>
        </w:rPr>
        <w:t>1</w:t>
      </w:r>
    </w:p>
    <w:p w14:paraId="08B1BA6C" w14:textId="6E188D6A" w:rsidR="00C8220B" w:rsidRPr="00FD59AB" w:rsidRDefault="00C8220B" w:rsidP="005E5DF3">
      <w:pPr>
        <w:jc w:val="center"/>
        <w:rPr>
          <w:rFonts w:ascii="Arial" w:hAnsi="Arial" w:cs="Arial"/>
          <w:i/>
          <w:sz w:val="22"/>
          <w:szCs w:val="22"/>
        </w:rPr>
      </w:pPr>
      <w:r w:rsidRPr="00FD59AB">
        <w:rPr>
          <w:rFonts w:ascii="Arial" w:hAnsi="Arial" w:cs="Arial"/>
          <w:i/>
          <w:sz w:val="22"/>
          <w:szCs w:val="22"/>
        </w:rPr>
        <w:t xml:space="preserve">(Prepared by the </w:t>
      </w:r>
      <w:r w:rsidR="00901B13">
        <w:rPr>
          <w:rFonts w:ascii="Arial" w:hAnsi="Arial" w:cs="Arial"/>
          <w:i/>
          <w:sz w:val="22"/>
          <w:szCs w:val="22"/>
        </w:rPr>
        <w:t xml:space="preserve">Crosscutting </w:t>
      </w:r>
      <w:r w:rsidRPr="00FD59AB">
        <w:rPr>
          <w:rFonts w:ascii="Arial" w:hAnsi="Arial" w:cs="Arial"/>
          <w:i/>
          <w:sz w:val="22"/>
          <w:szCs w:val="22"/>
        </w:rPr>
        <w:t>WG)</w:t>
      </w:r>
    </w:p>
    <w:p w14:paraId="254978D5" w14:textId="77777777" w:rsidR="00C8220B" w:rsidRPr="00FD59AB" w:rsidRDefault="00C8220B" w:rsidP="005E5DF3">
      <w:pPr>
        <w:rPr>
          <w:rFonts w:ascii="Arial" w:hAnsi="Arial" w:cs="Arial"/>
          <w:sz w:val="22"/>
          <w:szCs w:val="22"/>
        </w:rPr>
      </w:pPr>
    </w:p>
    <w:p w14:paraId="0EAD54AE" w14:textId="77777777" w:rsidR="00C8220B" w:rsidRPr="00FD59AB" w:rsidRDefault="00C8220B" w:rsidP="005E5DF3">
      <w:pPr>
        <w:rPr>
          <w:rFonts w:ascii="Arial" w:hAnsi="Arial" w:cs="Arial"/>
          <w:sz w:val="22"/>
          <w:szCs w:val="22"/>
        </w:rPr>
      </w:pPr>
    </w:p>
    <w:p w14:paraId="4AB0A441" w14:textId="73A027D2" w:rsidR="54499BE3" w:rsidRPr="00FD59AB" w:rsidRDefault="54499BE3" w:rsidP="799269FD">
      <w:pPr>
        <w:jc w:val="center"/>
        <w:rPr>
          <w:rFonts w:ascii="Arial" w:hAnsi="Arial" w:cs="Arial"/>
          <w:sz w:val="22"/>
          <w:szCs w:val="22"/>
        </w:rPr>
      </w:pPr>
      <w:r w:rsidRPr="00FD59AB">
        <w:rPr>
          <w:rFonts w:ascii="Arial" w:hAnsi="Arial" w:cs="Arial"/>
          <w:sz w:val="22"/>
          <w:szCs w:val="22"/>
        </w:rPr>
        <w:t xml:space="preserve">DRAFT </w:t>
      </w:r>
      <w:r w:rsidR="261DA140" w:rsidRPr="00FD59AB">
        <w:rPr>
          <w:rFonts w:ascii="Arial" w:hAnsi="Arial" w:cs="Arial"/>
          <w:sz w:val="22"/>
          <w:szCs w:val="22"/>
        </w:rPr>
        <w:t>DECISIONS</w:t>
      </w:r>
    </w:p>
    <w:p w14:paraId="0CA148EC" w14:textId="587BCCB1" w:rsidR="67F7A73E" w:rsidRPr="00FD59AB" w:rsidRDefault="67F7A73E" w:rsidP="799269FD">
      <w:pPr>
        <w:jc w:val="both"/>
        <w:rPr>
          <w:rFonts w:ascii="Arial" w:hAnsi="Arial" w:cs="Arial"/>
          <w:sz w:val="22"/>
          <w:szCs w:val="22"/>
        </w:rPr>
      </w:pPr>
      <w:r w:rsidRPr="00FD59AB">
        <w:rPr>
          <w:rFonts w:ascii="Arial" w:eastAsia="Arial" w:hAnsi="Arial" w:cs="Arial"/>
          <w:sz w:val="22"/>
          <w:szCs w:val="22"/>
        </w:rPr>
        <w:t xml:space="preserve"> </w:t>
      </w:r>
    </w:p>
    <w:p w14:paraId="28D2E7B7" w14:textId="1031F43E" w:rsidR="67F7A73E" w:rsidRPr="00FD59AB" w:rsidRDefault="67F7A73E" w:rsidP="799269FD">
      <w:pPr>
        <w:jc w:val="both"/>
        <w:rPr>
          <w:rFonts w:ascii="Arial" w:hAnsi="Arial" w:cs="Arial"/>
          <w:sz w:val="22"/>
          <w:szCs w:val="22"/>
        </w:rPr>
      </w:pPr>
      <w:r w:rsidRPr="00FD59AB">
        <w:rPr>
          <w:rFonts w:ascii="Arial" w:eastAsia="Arial" w:hAnsi="Arial" w:cs="Arial"/>
          <w:sz w:val="22"/>
          <w:szCs w:val="22"/>
        </w:rPr>
        <w:t xml:space="preserve"> </w:t>
      </w:r>
    </w:p>
    <w:p w14:paraId="3CB62955" w14:textId="364A4248" w:rsidR="1F268689" w:rsidRPr="00CE490C" w:rsidRDefault="1F268689" w:rsidP="7F978826">
      <w:pPr>
        <w:jc w:val="both"/>
        <w:rPr>
          <w:rFonts w:ascii="Arial" w:hAnsi="Arial" w:cs="Arial"/>
          <w:sz w:val="22"/>
          <w:szCs w:val="22"/>
        </w:rPr>
      </w:pPr>
      <w:r w:rsidRPr="00FD59AB">
        <w:rPr>
          <w:rFonts w:ascii="Arial" w:eastAsia="Arial" w:hAnsi="Arial" w:cs="Arial"/>
          <w:b/>
          <w:bCs/>
          <w:i/>
          <w:iCs/>
          <w:sz w:val="22"/>
          <w:szCs w:val="22"/>
        </w:rPr>
        <w:t xml:space="preserve">Directed to Parties </w:t>
      </w:r>
    </w:p>
    <w:p w14:paraId="202D324C" w14:textId="77777777" w:rsidR="007F01C5" w:rsidRDefault="007F01C5" w:rsidP="00180AF7">
      <w:pPr>
        <w:ind w:left="851" w:hanging="851"/>
        <w:jc w:val="both"/>
        <w:rPr>
          <w:rFonts w:ascii="Arial" w:eastAsia="Arial" w:hAnsi="Arial" w:cs="Arial"/>
          <w:sz w:val="22"/>
          <w:szCs w:val="22"/>
        </w:rPr>
      </w:pPr>
    </w:p>
    <w:p w14:paraId="4EF89FDD" w14:textId="71568B5C" w:rsidR="1F268689" w:rsidRPr="00FD59AB" w:rsidRDefault="1F268689" w:rsidP="00180AF7">
      <w:pPr>
        <w:ind w:left="851" w:hanging="851"/>
        <w:jc w:val="both"/>
        <w:rPr>
          <w:rFonts w:ascii="Arial" w:hAnsi="Arial" w:cs="Arial"/>
          <w:sz w:val="22"/>
          <w:szCs w:val="22"/>
        </w:rPr>
      </w:pPr>
      <w:r w:rsidRPr="00FD59AB">
        <w:rPr>
          <w:rFonts w:ascii="Arial" w:eastAsia="Arial" w:hAnsi="Arial" w:cs="Arial"/>
          <w:sz w:val="22"/>
          <w:szCs w:val="22"/>
        </w:rPr>
        <w:t>15.AA</w:t>
      </w:r>
      <w:r w:rsidRPr="00FD59AB">
        <w:rPr>
          <w:rFonts w:ascii="Arial" w:hAnsi="Arial" w:cs="Arial"/>
          <w:sz w:val="22"/>
          <w:szCs w:val="22"/>
        </w:rPr>
        <w:tab/>
      </w:r>
      <w:r w:rsidRPr="00FD59AB">
        <w:rPr>
          <w:rFonts w:ascii="Arial" w:eastAsia="Arial" w:hAnsi="Arial" w:cs="Arial"/>
          <w:sz w:val="22"/>
          <w:szCs w:val="22"/>
        </w:rPr>
        <w:t xml:space="preserve">Parties are </w:t>
      </w:r>
      <w:r w:rsidR="008F12CD">
        <w:rPr>
          <w:rFonts w:ascii="Arial" w:eastAsia="Arial" w:hAnsi="Arial" w:cs="Arial"/>
          <w:sz w:val="22"/>
          <w:szCs w:val="22"/>
        </w:rPr>
        <w:t xml:space="preserve">encouraged </w:t>
      </w:r>
      <w:r w:rsidRPr="00FD59AB">
        <w:rPr>
          <w:rFonts w:ascii="Arial" w:eastAsia="Arial" w:hAnsi="Arial" w:cs="Arial"/>
          <w:sz w:val="22"/>
          <w:szCs w:val="22"/>
        </w:rPr>
        <w:t>to:</w:t>
      </w:r>
    </w:p>
    <w:p w14:paraId="58371F28" w14:textId="23BB81D6" w:rsidR="1F268689" w:rsidRPr="00FD59AB" w:rsidRDefault="1F268689" w:rsidP="7F978826">
      <w:pPr>
        <w:jc w:val="both"/>
        <w:rPr>
          <w:rFonts w:ascii="Arial" w:hAnsi="Arial" w:cs="Arial"/>
          <w:sz w:val="22"/>
          <w:szCs w:val="22"/>
        </w:rPr>
      </w:pPr>
      <w:r w:rsidRPr="00FD59AB">
        <w:rPr>
          <w:rFonts w:ascii="Arial" w:eastAsia="Arial" w:hAnsi="Arial" w:cs="Arial"/>
          <w:sz w:val="22"/>
          <w:szCs w:val="22"/>
        </w:rPr>
        <w:t xml:space="preserve"> </w:t>
      </w:r>
    </w:p>
    <w:p w14:paraId="7C695591" w14:textId="1E075C56" w:rsidR="1F268689" w:rsidRPr="00FD59AB" w:rsidRDefault="1F268689" w:rsidP="007F01C5">
      <w:pPr>
        <w:pStyle w:val="ListParagraph"/>
        <w:numPr>
          <w:ilvl w:val="0"/>
          <w:numId w:val="4"/>
        </w:numPr>
        <w:ind w:left="1412" w:hanging="562"/>
        <w:jc w:val="both"/>
        <w:rPr>
          <w:rFonts w:ascii="Arial" w:eastAsia="Arial" w:hAnsi="Arial" w:cs="Arial"/>
          <w:sz w:val="22"/>
          <w:szCs w:val="22"/>
        </w:rPr>
      </w:pPr>
      <w:r w:rsidRPr="00FD59AB">
        <w:rPr>
          <w:rFonts w:ascii="Arial" w:eastAsia="Arial" w:hAnsi="Arial" w:cs="Arial"/>
          <w:sz w:val="22"/>
          <w:szCs w:val="22"/>
        </w:rPr>
        <w:t>integrate provisions for cumulative effects assessments (CEA) into relevant national environmental legislation, with specific consideration for migratory species, particularly those listed in CMS Appendices I and II;</w:t>
      </w:r>
    </w:p>
    <w:p w14:paraId="36104F0A" w14:textId="26FD7503" w:rsidR="1F268689" w:rsidRPr="00FD59AB" w:rsidRDefault="1F268689" w:rsidP="007F01C5">
      <w:pPr>
        <w:pStyle w:val="ListParagraph"/>
        <w:ind w:left="1412" w:hanging="562"/>
        <w:jc w:val="both"/>
        <w:rPr>
          <w:rFonts w:ascii="Arial" w:eastAsia="Arial" w:hAnsi="Arial" w:cs="Arial"/>
          <w:sz w:val="22"/>
          <w:szCs w:val="22"/>
        </w:rPr>
      </w:pPr>
      <w:r w:rsidRPr="00FD59AB">
        <w:rPr>
          <w:rFonts w:ascii="Arial" w:eastAsia="Arial" w:hAnsi="Arial" w:cs="Arial"/>
          <w:sz w:val="22"/>
          <w:szCs w:val="22"/>
        </w:rPr>
        <w:t xml:space="preserve"> </w:t>
      </w:r>
    </w:p>
    <w:p w14:paraId="1DF64D89" w14:textId="645367E6" w:rsidR="1F268689" w:rsidRPr="00FD59AB" w:rsidRDefault="1F268689" w:rsidP="00510D4F">
      <w:pPr>
        <w:pStyle w:val="ListParagraph"/>
        <w:numPr>
          <w:ilvl w:val="0"/>
          <w:numId w:val="4"/>
        </w:numPr>
        <w:ind w:left="1418" w:hanging="567"/>
        <w:jc w:val="both"/>
        <w:rPr>
          <w:rFonts w:ascii="Arial" w:eastAsia="Arial" w:hAnsi="Arial" w:cs="Arial"/>
          <w:sz w:val="22"/>
          <w:szCs w:val="22"/>
        </w:rPr>
      </w:pPr>
      <w:r w:rsidRPr="00FD59AB">
        <w:rPr>
          <w:rFonts w:ascii="Arial" w:eastAsia="Arial" w:hAnsi="Arial" w:cs="Arial"/>
          <w:sz w:val="22"/>
          <w:szCs w:val="22"/>
        </w:rPr>
        <w:t>develop and implement national policy and guidance on the application of CEAs, ensuring that the impacts on migratory species are systematically assessed and addressed;</w:t>
      </w:r>
    </w:p>
    <w:p w14:paraId="225BC953" w14:textId="284FB48C" w:rsidR="1F268689" w:rsidRPr="007F01C5" w:rsidRDefault="1F268689" w:rsidP="007F01C5">
      <w:pPr>
        <w:pStyle w:val="ListParagraph"/>
        <w:rPr>
          <w:rFonts w:ascii="Arial" w:eastAsia="Arial" w:hAnsi="Arial" w:cs="Arial"/>
          <w:sz w:val="22"/>
          <w:szCs w:val="22"/>
        </w:rPr>
      </w:pPr>
      <w:r w:rsidRPr="00FD59AB">
        <w:rPr>
          <w:rFonts w:ascii="Arial" w:eastAsia="Arial" w:hAnsi="Arial" w:cs="Arial"/>
          <w:sz w:val="22"/>
          <w:szCs w:val="22"/>
        </w:rPr>
        <w:t xml:space="preserve"> </w:t>
      </w:r>
    </w:p>
    <w:p w14:paraId="3C3DF28F" w14:textId="05B20133" w:rsidR="1F268689" w:rsidRPr="00FD59AB" w:rsidRDefault="1F268689" w:rsidP="00510D4F">
      <w:pPr>
        <w:pStyle w:val="ListParagraph"/>
        <w:numPr>
          <w:ilvl w:val="0"/>
          <w:numId w:val="4"/>
        </w:numPr>
        <w:ind w:left="1418" w:hanging="567"/>
        <w:jc w:val="both"/>
        <w:rPr>
          <w:rFonts w:ascii="Arial" w:eastAsia="Arial" w:hAnsi="Arial" w:cs="Arial"/>
          <w:sz w:val="22"/>
          <w:szCs w:val="22"/>
        </w:rPr>
      </w:pPr>
      <w:r w:rsidRPr="00FD59AB">
        <w:rPr>
          <w:rFonts w:ascii="Arial" w:eastAsia="Arial" w:hAnsi="Arial" w:cs="Arial"/>
          <w:sz w:val="22"/>
          <w:szCs w:val="22"/>
        </w:rPr>
        <w:t>support the development of robust, modern and uniform environmental impact assessments</w:t>
      </w:r>
      <w:r w:rsidR="008A023D">
        <w:rPr>
          <w:rFonts w:ascii="Arial" w:eastAsia="Arial" w:hAnsi="Arial" w:cs="Arial"/>
          <w:sz w:val="22"/>
          <w:szCs w:val="22"/>
        </w:rPr>
        <w:t>, including</w:t>
      </w:r>
      <w:r w:rsidR="00ED0821">
        <w:rPr>
          <w:rFonts w:ascii="Arial" w:eastAsia="Arial" w:hAnsi="Arial" w:cs="Arial"/>
          <w:sz w:val="22"/>
          <w:szCs w:val="22"/>
        </w:rPr>
        <w:t xml:space="preserve"> </w:t>
      </w:r>
      <w:r w:rsidR="008A023D">
        <w:rPr>
          <w:rFonts w:ascii="Arial" w:eastAsia="Arial" w:hAnsi="Arial" w:cs="Arial"/>
          <w:sz w:val="22"/>
          <w:szCs w:val="22"/>
        </w:rPr>
        <w:t>CEAs,</w:t>
      </w:r>
      <w:r w:rsidRPr="00FD59AB">
        <w:rPr>
          <w:rFonts w:ascii="Arial" w:eastAsia="Arial" w:hAnsi="Arial" w:cs="Arial"/>
          <w:sz w:val="22"/>
          <w:szCs w:val="22"/>
        </w:rPr>
        <w:t xml:space="preserve"> for activities with potential impacts on migratory species in areas within and beyond national jurisdictions under the Agreement under the United Nations Convention on the Law of the Sea on the conservation and sustainable use of marine biological diversity of areas beyond national jurisdiction (BBNJ Agreement);</w:t>
      </w:r>
    </w:p>
    <w:p w14:paraId="2ACBEA04" w14:textId="56287449" w:rsidR="1F268689" w:rsidRPr="00FD59AB" w:rsidRDefault="1F268689" w:rsidP="00180AF7">
      <w:pPr>
        <w:pStyle w:val="ListParagraph"/>
        <w:spacing w:line="257" w:lineRule="auto"/>
        <w:ind w:left="1418" w:hanging="567"/>
        <w:jc w:val="both"/>
        <w:rPr>
          <w:rFonts w:ascii="Arial" w:eastAsia="Arial" w:hAnsi="Arial" w:cs="Arial"/>
          <w:sz w:val="22"/>
          <w:szCs w:val="22"/>
        </w:rPr>
      </w:pPr>
      <w:r w:rsidRPr="00FD59AB">
        <w:rPr>
          <w:rFonts w:ascii="Arial" w:eastAsia="Arial" w:hAnsi="Arial" w:cs="Arial"/>
          <w:sz w:val="22"/>
          <w:szCs w:val="22"/>
        </w:rPr>
        <w:t xml:space="preserve"> </w:t>
      </w:r>
    </w:p>
    <w:p w14:paraId="22B6A782" w14:textId="09F2603B" w:rsidR="00E055FF" w:rsidRDefault="1F268689" w:rsidP="00E055FF">
      <w:pPr>
        <w:pStyle w:val="ListParagraph"/>
        <w:numPr>
          <w:ilvl w:val="0"/>
          <w:numId w:val="4"/>
        </w:numPr>
        <w:ind w:left="1418" w:hanging="567"/>
        <w:jc w:val="both"/>
        <w:rPr>
          <w:rFonts w:ascii="Arial" w:eastAsia="Arial" w:hAnsi="Arial" w:cs="Arial"/>
          <w:sz w:val="22"/>
          <w:szCs w:val="22"/>
        </w:rPr>
      </w:pPr>
      <w:r w:rsidRPr="00E055FF">
        <w:rPr>
          <w:rFonts w:ascii="Arial" w:eastAsia="Arial" w:hAnsi="Arial" w:cs="Arial"/>
          <w:sz w:val="22"/>
          <w:szCs w:val="22"/>
        </w:rPr>
        <w:t>collaborate and share information to jointly develop and implement CEA frameworks for local, national, regional or international application,</w:t>
      </w:r>
      <w:r w:rsidRPr="00E055FF">
        <w:rPr>
          <w:rFonts w:ascii="Arial" w:eastAsia="Segoe UI" w:hAnsi="Arial" w:cs="Arial"/>
          <w:sz w:val="22"/>
          <w:szCs w:val="22"/>
        </w:rPr>
        <w:t xml:space="preserve"> </w:t>
      </w:r>
      <w:r w:rsidRPr="00E055FF">
        <w:rPr>
          <w:rFonts w:ascii="Arial" w:eastAsia="Arial" w:hAnsi="Arial" w:cs="Arial"/>
          <w:sz w:val="22"/>
          <w:szCs w:val="22"/>
        </w:rPr>
        <w:t>and to collaborate and share information with intergovernmental and non-governmental organizations in support of these efforts; and</w:t>
      </w:r>
    </w:p>
    <w:p w14:paraId="1CED6C0B" w14:textId="77777777" w:rsidR="00756F05" w:rsidRPr="00756F05" w:rsidRDefault="00756F05" w:rsidP="00756F05">
      <w:pPr>
        <w:pStyle w:val="ListParagraph"/>
        <w:rPr>
          <w:rFonts w:ascii="Arial" w:eastAsia="Arial" w:hAnsi="Arial" w:cs="Arial"/>
          <w:sz w:val="22"/>
          <w:szCs w:val="22"/>
        </w:rPr>
      </w:pPr>
    </w:p>
    <w:p w14:paraId="300DCFE6" w14:textId="140E9EF2" w:rsidR="00756F05" w:rsidRDefault="00756F05" w:rsidP="00756F05">
      <w:pPr>
        <w:pStyle w:val="ListParagraph"/>
        <w:numPr>
          <w:ilvl w:val="0"/>
          <w:numId w:val="4"/>
        </w:numPr>
        <w:ind w:left="1418" w:hanging="567"/>
        <w:jc w:val="both"/>
        <w:rPr>
          <w:rFonts w:ascii="Arial" w:eastAsia="Arial" w:hAnsi="Arial" w:cs="Arial"/>
          <w:sz w:val="22"/>
          <w:szCs w:val="22"/>
        </w:rPr>
      </w:pPr>
      <w:r w:rsidRPr="00756F05">
        <w:rPr>
          <w:rFonts w:ascii="Arial" w:eastAsia="Arial" w:hAnsi="Arial" w:cs="Arial"/>
          <w:sz w:val="22"/>
          <w:szCs w:val="22"/>
        </w:rPr>
        <w:t>strengthen methodologies and criteria for identifying, evaluating and mitigating cumulative impacts on CMS-listed migratory species and their habitats, including cross-border cumulative effects and effects in underrepresented ecosystems.</w:t>
      </w:r>
    </w:p>
    <w:p w14:paraId="5268CFCA" w14:textId="62290892" w:rsidR="1F268689" w:rsidRPr="00FD59AB" w:rsidRDefault="1F268689" w:rsidP="007F01C5">
      <w:pPr>
        <w:jc w:val="both"/>
        <w:rPr>
          <w:rFonts w:ascii="Arial" w:hAnsi="Arial" w:cs="Arial"/>
          <w:sz w:val="22"/>
          <w:szCs w:val="22"/>
        </w:rPr>
      </w:pPr>
    </w:p>
    <w:p w14:paraId="62F17FAC" w14:textId="339BCC78" w:rsidR="1F268689" w:rsidRPr="00FD59AB" w:rsidRDefault="1F268689" w:rsidP="7F978826">
      <w:pPr>
        <w:jc w:val="both"/>
        <w:rPr>
          <w:rFonts w:ascii="Arial" w:hAnsi="Arial" w:cs="Arial"/>
          <w:sz w:val="22"/>
          <w:szCs w:val="22"/>
        </w:rPr>
      </w:pPr>
      <w:r w:rsidRPr="00FD59AB">
        <w:rPr>
          <w:rFonts w:ascii="Arial" w:eastAsia="Arial" w:hAnsi="Arial" w:cs="Arial"/>
          <w:sz w:val="22"/>
          <w:szCs w:val="22"/>
        </w:rPr>
        <w:t xml:space="preserve"> </w:t>
      </w:r>
      <w:r w:rsidRPr="00FD59AB">
        <w:rPr>
          <w:rFonts w:ascii="Arial" w:eastAsia="Arial" w:hAnsi="Arial" w:cs="Arial"/>
          <w:b/>
          <w:bCs/>
          <w:i/>
          <w:iCs/>
          <w:sz w:val="22"/>
          <w:szCs w:val="22"/>
        </w:rPr>
        <w:t xml:space="preserve">Directed to the Scientific Council </w:t>
      </w:r>
    </w:p>
    <w:p w14:paraId="4F1CCE0A" w14:textId="4A7BF436" w:rsidR="1F268689" w:rsidRPr="00FD59AB" w:rsidRDefault="1F268689" w:rsidP="7F978826">
      <w:pPr>
        <w:jc w:val="both"/>
        <w:rPr>
          <w:rFonts w:ascii="Arial" w:hAnsi="Arial" w:cs="Arial"/>
          <w:sz w:val="22"/>
          <w:szCs w:val="22"/>
        </w:rPr>
      </w:pPr>
      <w:r w:rsidRPr="00FD59AB">
        <w:rPr>
          <w:rFonts w:ascii="Arial" w:eastAsia="Arial" w:hAnsi="Arial" w:cs="Arial"/>
          <w:sz w:val="22"/>
          <w:szCs w:val="22"/>
        </w:rPr>
        <w:t xml:space="preserve"> </w:t>
      </w:r>
    </w:p>
    <w:p w14:paraId="6AEC3EB0" w14:textId="511ADB98" w:rsidR="1F268689" w:rsidRPr="00FD59AB" w:rsidRDefault="1F268689" w:rsidP="00180AF7">
      <w:pPr>
        <w:ind w:left="851" w:hanging="851"/>
        <w:jc w:val="both"/>
        <w:rPr>
          <w:rFonts w:ascii="Arial" w:hAnsi="Arial" w:cs="Arial"/>
          <w:sz w:val="22"/>
          <w:szCs w:val="22"/>
        </w:rPr>
      </w:pPr>
      <w:r w:rsidRPr="00FD59AB">
        <w:rPr>
          <w:rFonts w:ascii="Arial" w:eastAsia="Arial" w:hAnsi="Arial" w:cs="Arial"/>
          <w:sz w:val="22"/>
          <w:szCs w:val="22"/>
        </w:rPr>
        <w:t>15.BB</w:t>
      </w:r>
      <w:r w:rsidRPr="00FD59AB">
        <w:rPr>
          <w:rFonts w:ascii="Arial" w:hAnsi="Arial" w:cs="Arial"/>
          <w:sz w:val="22"/>
          <w:szCs w:val="22"/>
        </w:rPr>
        <w:tab/>
      </w:r>
      <w:r w:rsidRPr="00FD59AB">
        <w:rPr>
          <w:rFonts w:ascii="Arial" w:eastAsia="Arial" w:hAnsi="Arial" w:cs="Arial"/>
          <w:sz w:val="22"/>
          <w:szCs w:val="22"/>
        </w:rPr>
        <w:t>The Scientific Council is requested to:</w:t>
      </w:r>
    </w:p>
    <w:p w14:paraId="23EDEABB" w14:textId="07B82F5E" w:rsidR="1F268689" w:rsidRPr="00FD59AB" w:rsidRDefault="1F268689" w:rsidP="7F978826">
      <w:pPr>
        <w:jc w:val="both"/>
        <w:rPr>
          <w:rFonts w:ascii="Arial" w:hAnsi="Arial" w:cs="Arial"/>
          <w:sz w:val="22"/>
          <w:szCs w:val="22"/>
        </w:rPr>
      </w:pPr>
      <w:r w:rsidRPr="00FD59AB">
        <w:rPr>
          <w:rFonts w:ascii="Arial" w:eastAsia="Arial" w:hAnsi="Arial" w:cs="Arial"/>
          <w:sz w:val="22"/>
          <w:szCs w:val="22"/>
        </w:rPr>
        <w:t xml:space="preserve"> </w:t>
      </w:r>
    </w:p>
    <w:p w14:paraId="528D5B32" w14:textId="4699532C" w:rsidR="1F268689" w:rsidRPr="00FD59AB" w:rsidRDefault="1F268689" w:rsidP="007F01C5">
      <w:pPr>
        <w:pStyle w:val="ListParagraph"/>
        <w:numPr>
          <w:ilvl w:val="0"/>
          <w:numId w:val="2"/>
        </w:numPr>
        <w:spacing w:after="80"/>
        <w:ind w:left="1418" w:hanging="567"/>
        <w:contextualSpacing w:val="0"/>
        <w:jc w:val="both"/>
        <w:rPr>
          <w:rFonts w:ascii="Arial" w:eastAsia="Arial" w:hAnsi="Arial" w:cs="Arial"/>
          <w:sz w:val="22"/>
          <w:szCs w:val="22"/>
        </w:rPr>
      </w:pPr>
      <w:r w:rsidRPr="00FD59AB">
        <w:rPr>
          <w:rFonts w:ascii="Arial" w:eastAsia="Arial" w:hAnsi="Arial" w:cs="Arial"/>
          <w:sz w:val="22"/>
          <w:szCs w:val="22"/>
        </w:rPr>
        <w:t>develop, subject to the availability of resources, guidance for the assessment of cumulative effects on migratory species, including the establishment of common standards and methodologies suitable for application across CMS Parties, which should include:</w:t>
      </w:r>
    </w:p>
    <w:p w14:paraId="1F7010B5" w14:textId="77B23901" w:rsidR="1F268689" w:rsidRPr="00FD59AB" w:rsidRDefault="1F268689" w:rsidP="007F01C5">
      <w:pPr>
        <w:pStyle w:val="ListParagraph"/>
        <w:numPr>
          <w:ilvl w:val="0"/>
          <w:numId w:val="1"/>
        </w:numPr>
        <w:spacing w:after="80"/>
        <w:ind w:left="1843" w:hanging="283"/>
        <w:contextualSpacing w:val="0"/>
        <w:jc w:val="both"/>
        <w:rPr>
          <w:rFonts w:ascii="Arial" w:eastAsia="Arial" w:hAnsi="Arial" w:cs="Arial"/>
          <w:sz w:val="22"/>
          <w:szCs w:val="22"/>
        </w:rPr>
      </w:pPr>
      <w:r w:rsidRPr="00FD59AB">
        <w:rPr>
          <w:rFonts w:ascii="Arial" w:eastAsia="Arial" w:hAnsi="Arial" w:cs="Arial"/>
          <w:sz w:val="22"/>
          <w:szCs w:val="22"/>
        </w:rPr>
        <w:t>an assessment of the current terminology used in the context of CEAs and recommendations for a harmonized vocabulary, including clear definitions of ‘cumulative effects’, ‘cumulative effects assessment’, ‘pressures’ and other key terms, for use across CMS guidance and other international frameworks;</w:t>
      </w:r>
    </w:p>
    <w:p w14:paraId="3E88130C" w14:textId="0E33D48F" w:rsidR="1F268689" w:rsidRPr="00FD59AB" w:rsidRDefault="1F268689" w:rsidP="007F01C5">
      <w:pPr>
        <w:pStyle w:val="ListParagraph"/>
        <w:numPr>
          <w:ilvl w:val="0"/>
          <w:numId w:val="1"/>
        </w:numPr>
        <w:spacing w:after="80"/>
        <w:ind w:left="1843" w:hanging="283"/>
        <w:contextualSpacing w:val="0"/>
        <w:jc w:val="both"/>
        <w:rPr>
          <w:rFonts w:ascii="Arial" w:eastAsia="Arial" w:hAnsi="Arial" w:cs="Arial"/>
          <w:sz w:val="22"/>
          <w:szCs w:val="22"/>
        </w:rPr>
      </w:pPr>
      <w:r w:rsidRPr="00FD59AB">
        <w:rPr>
          <w:rFonts w:ascii="Arial" w:eastAsia="Arial" w:hAnsi="Arial" w:cs="Arial"/>
          <w:sz w:val="22"/>
          <w:szCs w:val="22"/>
        </w:rPr>
        <w:t xml:space="preserve">advice on when and how migratory species should be assessed within CEAs, and best practices, including those specific to challenging contexts </w:t>
      </w:r>
      <w:r w:rsidRPr="00FD59AB">
        <w:rPr>
          <w:rFonts w:ascii="Arial" w:eastAsia="Arial" w:hAnsi="Arial" w:cs="Arial"/>
          <w:sz w:val="22"/>
          <w:szCs w:val="22"/>
        </w:rPr>
        <w:lastRenderedPageBreak/>
        <w:t>such as marine environments, or species- or sector-specific challenges;</w:t>
      </w:r>
    </w:p>
    <w:p w14:paraId="2CC11B4B" w14:textId="19AD55B3" w:rsidR="1F268689" w:rsidRPr="00FD59AB" w:rsidRDefault="1F268689" w:rsidP="007F01C5">
      <w:pPr>
        <w:pStyle w:val="ListParagraph"/>
        <w:numPr>
          <w:ilvl w:val="0"/>
          <w:numId w:val="1"/>
        </w:numPr>
        <w:spacing w:after="80"/>
        <w:ind w:left="1843" w:hanging="283"/>
        <w:contextualSpacing w:val="0"/>
        <w:jc w:val="both"/>
        <w:rPr>
          <w:rFonts w:ascii="Arial" w:eastAsia="Arial" w:hAnsi="Arial" w:cs="Arial"/>
          <w:sz w:val="22"/>
          <w:szCs w:val="22"/>
        </w:rPr>
      </w:pPr>
      <w:r w:rsidRPr="00FD59AB">
        <w:rPr>
          <w:rFonts w:ascii="Arial" w:eastAsia="Arial" w:hAnsi="Arial" w:cs="Arial"/>
          <w:sz w:val="22"/>
          <w:szCs w:val="22"/>
        </w:rPr>
        <w:t>consideration of technological advances relevant to CEA methodologies, including the potential use of artificial intelligence, machine learning and other innovative tools to support the assessment and interpretation of cumulative effects, as well as advice on the applicability and limitations of such technologies, outlining potential use cases and associated data or capacity requirements;</w:t>
      </w:r>
    </w:p>
    <w:p w14:paraId="44FCEC3C" w14:textId="1F06BCFB" w:rsidR="1F268689" w:rsidRPr="00FD59AB" w:rsidRDefault="1F268689" w:rsidP="00510D4F">
      <w:pPr>
        <w:pStyle w:val="ListParagraph"/>
        <w:numPr>
          <w:ilvl w:val="0"/>
          <w:numId w:val="1"/>
        </w:numPr>
        <w:ind w:left="1843" w:hanging="283"/>
        <w:jc w:val="both"/>
        <w:rPr>
          <w:rFonts w:ascii="Arial" w:eastAsia="Arial" w:hAnsi="Arial" w:cs="Arial"/>
          <w:sz w:val="22"/>
          <w:szCs w:val="22"/>
        </w:rPr>
      </w:pPr>
      <w:r w:rsidRPr="00FD59AB">
        <w:rPr>
          <w:rFonts w:ascii="Arial" w:eastAsia="Arial" w:hAnsi="Arial" w:cs="Arial"/>
          <w:sz w:val="22"/>
          <w:szCs w:val="22"/>
        </w:rPr>
        <w:t>recommendations for adapting existing CEA frameworks to better accommodate the needs of migratory species;</w:t>
      </w:r>
    </w:p>
    <w:p w14:paraId="245C8D61" w14:textId="609596A8" w:rsidR="1F268689" w:rsidRPr="00FD59AB" w:rsidRDefault="1F268689" w:rsidP="4C2035E4">
      <w:pPr>
        <w:pStyle w:val="ListParagraph"/>
        <w:spacing w:line="257" w:lineRule="auto"/>
        <w:ind w:left="1440"/>
        <w:jc w:val="both"/>
        <w:rPr>
          <w:rFonts w:ascii="Arial" w:eastAsia="Arial" w:hAnsi="Arial" w:cs="Arial"/>
          <w:sz w:val="22"/>
          <w:szCs w:val="22"/>
        </w:rPr>
      </w:pPr>
    </w:p>
    <w:p w14:paraId="77791302" w14:textId="646388B9" w:rsidR="1F268689" w:rsidRPr="00FD59AB" w:rsidRDefault="1F268689" w:rsidP="00510D4F">
      <w:pPr>
        <w:pStyle w:val="ListParagraph"/>
        <w:numPr>
          <w:ilvl w:val="0"/>
          <w:numId w:val="2"/>
        </w:numPr>
        <w:ind w:left="1418" w:hanging="567"/>
        <w:jc w:val="both"/>
        <w:rPr>
          <w:rFonts w:ascii="Arial" w:eastAsia="Arial" w:hAnsi="Arial" w:cs="Arial"/>
          <w:sz w:val="22"/>
          <w:szCs w:val="22"/>
        </w:rPr>
      </w:pPr>
      <w:r w:rsidRPr="00FD59AB">
        <w:rPr>
          <w:rFonts w:ascii="Arial" w:eastAsia="Arial" w:hAnsi="Arial" w:cs="Arial"/>
          <w:sz w:val="22"/>
          <w:szCs w:val="22"/>
        </w:rPr>
        <w:t>in collaboration with its Expert Working Group on Animal Culture and Social Complexity, investigate the potential of social impact assessment methodologies for understanding impacts of human activities on social structure and culture of migratory species.</w:t>
      </w:r>
    </w:p>
    <w:p w14:paraId="345F5DB5" w14:textId="4DC78CDF" w:rsidR="1F268689" w:rsidRPr="00FD59AB" w:rsidRDefault="1F268689" w:rsidP="7F978826">
      <w:pPr>
        <w:jc w:val="both"/>
        <w:rPr>
          <w:rFonts w:ascii="Arial" w:hAnsi="Arial" w:cs="Arial"/>
          <w:sz w:val="22"/>
          <w:szCs w:val="22"/>
        </w:rPr>
      </w:pPr>
      <w:r w:rsidRPr="00FD59AB">
        <w:rPr>
          <w:rFonts w:ascii="Arial" w:eastAsia="Arial" w:hAnsi="Arial" w:cs="Arial"/>
          <w:b/>
          <w:bCs/>
          <w:sz w:val="22"/>
          <w:szCs w:val="22"/>
        </w:rPr>
        <w:t xml:space="preserve"> </w:t>
      </w:r>
    </w:p>
    <w:p w14:paraId="452FCC09" w14:textId="73D9DC6C" w:rsidR="1F268689" w:rsidRPr="00FD59AB" w:rsidRDefault="1F268689" w:rsidP="7F978826">
      <w:pPr>
        <w:jc w:val="both"/>
        <w:rPr>
          <w:rFonts w:ascii="Arial" w:hAnsi="Arial" w:cs="Arial"/>
          <w:sz w:val="22"/>
          <w:szCs w:val="22"/>
        </w:rPr>
      </w:pPr>
      <w:r w:rsidRPr="00FD59AB">
        <w:rPr>
          <w:rFonts w:ascii="Arial" w:eastAsia="Arial" w:hAnsi="Arial" w:cs="Arial"/>
          <w:b/>
          <w:bCs/>
          <w:i/>
          <w:iCs/>
          <w:sz w:val="22"/>
          <w:szCs w:val="22"/>
        </w:rPr>
        <w:t>Directed to the Secretariat</w:t>
      </w:r>
    </w:p>
    <w:p w14:paraId="42758AAF" w14:textId="762C2B6A" w:rsidR="1F268689" w:rsidRPr="00FD59AB" w:rsidRDefault="1F268689" w:rsidP="7F978826">
      <w:pPr>
        <w:jc w:val="both"/>
        <w:rPr>
          <w:rFonts w:ascii="Arial" w:hAnsi="Arial" w:cs="Arial"/>
          <w:sz w:val="22"/>
          <w:szCs w:val="22"/>
        </w:rPr>
      </w:pPr>
      <w:r w:rsidRPr="00FD59AB">
        <w:rPr>
          <w:rFonts w:ascii="Arial" w:eastAsia="Arial" w:hAnsi="Arial" w:cs="Arial"/>
          <w:sz w:val="22"/>
          <w:szCs w:val="22"/>
        </w:rPr>
        <w:t xml:space="preserve"> </w:t>
      </w:r>
    </w:p>
    <w:p w14:paraId="449160E0" w14:textId="0B562BF3" w:rsidR="1F268689" w:rsidRPr="00FD59AB" w:rsidRDefault="1F268689" w:rsidP="00180AF7">
      <w:pPr>
        <w:ind w:left="851" w:hanging="851"/>
        <w:jc w:val="both"/>
        <w:rPr>
          <w:rFonts w:ascii="Arial" w:hAnsi="Arial" w:cs="Arial"/>
          <w:sz w:val="22"/>
          <w:szCs w:val="22"/>
        </w:rPr>
      </w:pPr>
      <w:r w:rsidRPr="00FD59AB">
        <w:rPr>
          <w:rFonts w:ascii="Arial" w:eastAsia="Arial" w:hAnsi="Arial" w:cs="Arial"/>
          <w:sz w:val="22"/>
          <w:szCs w:val="22"/>
        </w:rPr>
        <w:t>15.CC</w:t>
      </w:r>
      <w:r w:rsidRPr="00FD59AB">
        <w:rPr>
          <w:rFonts w:ascii="Arial" w:hAnsi="Arial" w:cs="Arial"/>
          <w:sz w:val="22"/>
          <w:szCs w:val="22"/>
        </w:rPr>
        <w:tab/>
      </w:r>
      <w:r w:rsidRPr="00FD59AB">
        <w:rPr>
          <w:rFonts w:ascii="Arial" w:eastAsia="Arial" w:hAnsi="Arial" w:cs="Arial"/>
          <w:sz w:val="22"/>
          <w:szCs w:val="22"/>
        </w:rPr>
        <w:t>The Secretariat shall, subject to the availability of resources:</w:t>
      </w:r>
    </w:p>
    <w:p w14:paraId="13512883" w14:textId="221A0E49" w:rsidR="1F268689" w:rsidRPr="00FD59AB" w:rsidRDefault="1F268689" w:rsidP="7F978826">
      <w:pPr>
        <w:jc w:val="both"/>
        <w:rPr>
          <w:rFonts w:ascii="Arial" w:hAnsi="Arial" w:cs="Arial"/>
          <w:sz w:val="22"/>
          <w:szCs w:val="22"/>
        </w:rPr>
      </w:pPr>
      <w:r w:rsidRPr="00FD59AB">
        <w:rPr>
          <w:rFonts w:ascii="Arial" w:eastAsia="Arial" w:hAnsi="Arial" w:cs="Arial"/>
          <w:sz w:val="22"/>
          <w:szCs w:val="22"/>
        </w:rPr>
        <w:t xml:space="preserve"> </w:t>
      </w:r>
    </w:p>
    <w:p w14:paraId="6E7BF3A6" w14:textId="36F561BF" w:rsidR="1F268689" w:rsidRPr="00FD59AB" w:rsidRDefault="1F268689" w:rsidP="00510D4F">
      <w:pPr>
        <w:pStyle w:val="ListParagraph"/>
        <w:numPr>
          <w:ilvl w:val="0"/>
          <w:numId w:val="3"/>
        </w:numPr>
        <w:ind w:left="1418" w:hanging="567"/>
        <w:jc w:val="both"/>
        <w:rPr>
          <w:rFonts w:ascii="Arial" w:eastAsia="Arial" w:hAnsi="Arial" w:cs="Arial"/>
          <w:sz w:val="22"/>
          <w:szCs w:val="22"/>
        </w:rPr>
      </w:pPr>
      <w:r w:rsidRPr="00FD59AB">
        <w:rPr>
          <w:rFonts w:ascii="Arial" w:eastAsia="Arial" w:hAnsi="Arial" w:cs="Arial"/>
          <w:sz w:val="22"/>
          <w:szCs w:val="22"/>
        </w:rPr>
        <w:t>support the development of guidance materials on the implementation of CEA for migratory species, in collaboration with relevant stakeholders and expert bodies;</w:t>
      </w:r>
    </w:p>
    <w:p w14:paraId="79FDB61A" w14:textId="50B052BF" w:rsidR="1F268689" w:rsidRPr="00FD59AB" w:rsidRDefault="1F268689" w:rsidP="00180AF7">
      <w:pPr>
        <w:pStyle w:val="ListParagraph"/>
        <w:ind w:left="1418" w:hanging="567"/>
        <w:jc w:val="both"/>
        <w:rPr>
          <w:rFonts w:ascii="Arial" w:eastAsia="Arial" w:hAnsi="Arial" w:cs="Arial"/>
          <w:sz w:val="22"/>
          <w:szCs w:val="22"/>
        </w:rPr>
      </w:pPr>
    </w:p>
    <w:p w14:paraId="310C9E38" w14:textId="3DCCBFA1" w:rsidR="1F268689" w:rsidRPr="00FD59AB" w:rsidRDefault="1F268689" w:rsidP="00510D4F">
      <w:pPr>
        <w:pStyle w:val="ListParagraph"/>
        <w:numPr>
          <w:ilvl w:val="0"/>
          <w:numId w:val="3"/>
        </w:numPr>
        <w:ind w:left="1418" w:hanging="567"/>
        <w:jc w:val="both"/>
        <w:rPr>
          <w:rFonts w:ascii="Arial" w:eastAsia="Arial" w:hAnsi="Arial" w:cs="Arial"/>
          <w:sz w:val="22"/>
          <w:szCs w:val="22"/>
        </w:rPr>
      </w:pPr>
      <w:r w:rsidRPr="00FD59AB">
        <w:rPr>
          <w:rFonts w:ascii="Arial" w:eastAsia="Arial" w:hAnsi="Arial" w:cs="Arial"/>
          <w:sz w:val="22"/>
          <w:szCs w:val="22"/>
        </w:rPr>
        <w:t>promote and facilitate collaboration between Parties and relevant organizations such as the International Council for the Exploration of the Sea (ICES), the International Union for Conservation of Nature (IUCN), and other scientific or technical bodies engaged in the development or implementation of CEA frameworks;</w:t>
      </w:r>
    </w:p>
    <w:p w14:paraId="6DF0CE47" w14:textId="1592C2C1" w:rsidR="1F268689" w:rsidRPr="00FD59AB" w:rsidRDefault="1F268689" w:rsidP="00180AF7">
      <w:pPr>
        <w:pStyle w:val="ListParagraph"/>
        <w:ind w:left="1418" w:hanging="567"/>
        <w:jc w:val="both"/>
        <w:rPr>
          <w:rFonts w:ascii="Arial" w:eastAsia="Arial" w:hAnsi="Arial" w:cs="Arial"/>
          <w:sz w:val="22"/>
          <w:szCs w:val="22"/>
        </w:rPr>
      </w:pPr>
      <w:r w:rsidRPr="00FD59AB">
        <w:rPr>
          <w:rFonts w:ascii="Arial" w:eastAsia="Arial" w:hAnsi="Arial" w:cs="Arial"/>
          <w:sz w:val="22"/>
          <w:szCs w:val="22"/>
        </w:rPr>
        <w:t xml:space="preserve"> </w:t>
      </w:r>
    </w:p>
    <w:p w14:paraId="18462A98" w14:textId="77B13ACF" w:rsidR="1F268689" w:rsidRPr="00FD59AB" w:rsidRDefault="1F268689" w:rsidP="00510D4F">
      <w:pPr>
        <w:pStyle w:val="ListParagraph"/>
        <w:numPr>
          <w:ilvl w:val="0"/>
          <w:numId w:val="3"/>
        </w:numPr>
        <w:ind w:left="1418" w:hanging="567"/>
        <w:jc w:val="both"/>
        <w:rPr>
          <w:rFonts w:ascii="Arial" w:eastAsia="Arial" w:hAnsi="Arial" w:cs="Arial"/>
          <w:sz w:val="22"/>
          <w:szCs w:val="22"/>
        </w:rPr>
      </w:pPr>
      <w:r w:rsidRPr="00FD59AB">
        <w:rPr>
          <w:rFonts w:ascii="Arial" w:eastAsia="Arial" w:hAnsi="Arial" w:cs="Arial"/>
          <w:sz w:val="22"/>
          <w:szCs w:val="22"/>
        </w:rPr>
        <w:t>engage in processes to operationalize the BBNJ Agreement, in order to promote coherence and ensure consideration of migratory species, and explore ways for the Scientific Council to contribute to such processes.</w:t>
      </w:r>
    </w:p>
    <w:p w14:paraId="179664A7" w14:textId="5FB55478" w:rsidR="7F978826" w:rsidRPr="00FD59AB" w:rsidRDefault="7F978826" w:rsidP="4C2035E4">
      <w:pPr>
        <w:spacing w:after="160" w:line="276" w:lineRule="auto"/>
        <w:ind w:left="1440"/>
        <w:jc w:val="both"/>
        <w:rPr>
          <w:rFonts w:ascii="Arial" w:eastAsia="Arial" w:hAnsi="Arial" w:cs="Arial"/>
          <w:sz w:val="22"/>
          <w:szCs w:val="22"/>
        </w:rPr>
      </w:pPr>
    </w:p>
    <w:sectPr w:rsidR="7F978826" w:rsidRPr="00FD59AB" w:rsidSect="00AA68B7">
      <w:headerReference w:type="even" r:id="rId10"/>
      <w:headerReference w:type="default" r:id="rId11"/>
      <w:footerReference w:type="even" r:id="rId12"/>
      <w:footerReference w:type="default" r:id="rId13"/>
      <w:headerReference w:type="first" r:id="rId14"/>
      <w:pgSz w:w="11906" w:h="16838" w:code="9"/>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36A49" w14:textId="77777777" w:rsidR="0058120C" w:rsidRDefault="0058120C">
      <w:r>
        <w:separator/>
      </w:r>
    </w:p>
  </w:endnote>
  <w:endnote w:type="continuationSeparator" w:id="0">
    <w:p w14:paraId="58553709" w14:textId="77777777" w:rsidR="0058120C" w:rsidRDefault="0058120C">
      <w:r>
        <w:continuationSeparator/>
      </w:r>
    </w:p>
  </w:endnote>
  <w:endnote w:type="continuationNotice" w:id="1">
    <w:p w14:paraId="5B4E3750" w14:textId="77777777" w:rsidR="0058120C" w:rsidRDefault="005812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0AA7C" w14:textId="77777777" w:rsidR="0058120C" w:rsidRDefault="0058120C">
      <w:r>
        <w:rPr>
          <w:color w:val="000000"/>
        </w:rPr>
        <w:separator/>
      </w:r>
    </w:p>
  </w:footnote>
  <w:footnote w:type="continuationSeparator" w:id="0">
    <w:p w14:paraId="3DD156E1" w14:textId="77777777" w:rsidR="0058120C" w:rsidRDefault="0058120C">
      <w:r>
        <w:continuationSeparator/>
      </w:r>
    </w:p>
  </w:footnote>
  <w:footnote w:type="continuationNotice" w:id="1">
    <w:p w14:paraId="23969C24" w14:textId="77777777" w:rsidR="0058120C" w:rsidRDefault="005812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AE63" w14:textId="4E0EF8B1" w:rsidR="4C2035E4" w:rsidRPr="007F01C5" w:rsidRDefault="4C2035E4" w:rsidP="007F01C5">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iCs/>
        <w:sz w:val="18"/>
        <w:szCs w:val="18"/>
        <w:lang w:val="pt-PT"/>
      </w:rPr>
    </w:pPr>
    <w:r w:rsidRPr="007F01C5">
      <w:rPr>
        <w:rFonts w:ascii="Arial" w:hAnsi="Arial" w:cs="Arial"/>
        <w:i/>
        <w:iCs/>
        <w:sz w:val="18"/>
        <w:szCs w:val="18"/>
        <w:lang w:val="en-GB"/>
      </w:rPr>
      <w:t>UNEP/CMS/COP15/CRP</w:t>
    </w:r>
    <w:r w:rsidRPr="007F01C5">
      <w:rPr>
        <w:rFonts w:ascii="Arial" w:hAnsi="Arial" w:cs="Arial"/>
        <w:i/>
        <w:iCs/>
        <w:sz w:val="18"/>
        <w:szCs w:val="18"/>
        <w:lang w:val="pt-PT"/>
      </w:rPr>
      <w:t>28.9</w:t>
    </w:r>
  </w:p>
  <w:p w14:paraId="50B9F4CC" w14:textId="77777777" w:rsidR="00B956A6" w:rsidRPr="00D903AB" w:rsidRDefault="00B956A6">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22A6679" w14:paraId="198A2E44" w14:textId="77777777" w:rsidTr="522A6679">
      <w:trPr>
        <w:trHeight w:val="300"/>
      </w:trPr>
      <w:tc>
        <w:tcPr>
          <w:tcW w:w="3005" w:type="dxa"/>
        </w:tcPr>
        <w:p w14:paraId="4909309C" w14:textId="0557BE34" w:rsidR="522A6679" w:rsidRDefault="522A6679" w:rsidP="522A6679">
          <w:pPr>
            <w:pStyle w:val="Header"/>
            <w:ind w:left="-115"/>
          </w:pPr>
        </w:p>
      </w:tc>
      <w:tc>
        <w:tcPr>
          <w:tcW w:w="3005" w:type="dxa"/>
        </w:tcPr>
        <w:p w14:paraId="4140FE25" w14:textId="36F7A6BC" w:rsidR="522A6679" w:rsidRDefault="522A6679" w:rsidP="522A6679">
          <w:pPr>
            <w:pStyle w:val="Header"/>
            <w:jc w:val="center"/>
          </w:pPr>
        </w:p>
      </w:tc>
      <w:tc>
        <w:tcPr>
          <w:tcW w:w="3005" w:type="dxa"/>
        </w:tcPr>
        <w:p w14:paraId="5D724E86" w14:textId="77E8F944" w:rsidR="522A6679" w:rsidRDefault="522A6679" w:rsidP="522A6679">
          <w:pPr>
            <w:pStyle w:val="Header"/>
            <w:ind w:right="-115"/>
            <w:jc w:val="right"/>
          </w:pPr>
        </w:p>
      </w:tc>
    </w:tr>
  </w:tbl>
  <w:p w14:paraId="7556DC07" w14:textId="76EBB687" w:rsidR="522A6679" w:rsidRDefault="522A6679" w:rsidP="522A66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BF27" w14:textId="3C449834" w:rsidR="00A669AC" w:rsidRPr="007F01C5" w:rsidRDefault="7F978826" w:rsidP="7F978826">
    <w:pPr>
      <w:pBdr>
        <w:bottom w:val="single" w:sz="4" w:space="1" w:color="000000"/>
      </w:pBdr>
      <w:tabs>
        <w:tab w:val="left" w:pos="5040"/>
        <w:tab w:val="left" w:pos="5760"/>
        <w:tab w:val="left" w:pos="6008"/>
        <w:tab w:val="left" w:pos="6480"/>
        <w:tab w:val="left" w:pos="7200"/>
        <w:tab w:val="left" w:pos="7920"/>
        <w:tab w:val="left" w:pos="8640"/>
      </w:tabs>
      <w:ind w:firstLine="536"/>
      <w:jc w:val="right"/>
      <w:rPr>
        <w:rFonts w:ascii="Arial" w:hAnsi="Arial" w:cs="Arial"/>
        <w:i/>
        <w:iCs/>
        <w:sz w:val="18"/>
        <w:szCs w:val="18"/>
        <w:lang w:val="pt-PT"/>
      </w:rPr>
    </w:pPr>
    <w:r w:rsidRPr="007F01C5">
      <w:rPr>
        <w:rFonts w:ascii="Arial" w:hAnsi="Arial" w:cs="Arial"/>
        <w:i/>
        <w:iCs/>
        <w:sz w:val="18"/>
        <w:szCs w:val="18"/>
        <w:lang w:val="pt-PT"/>
      </w:rPr>
      <w:t>UNEP/CMS/COP15/CRP28.9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E03B7"/>
    <w:multiLevelType w:val="hybridMultilevel"/>
    <w:tmpl w:val="C74E766E"/>
    <w:lvl w:ilvl="0" w:tplc="D896A622">
      <w:start w:val="1"/>
      <w:numFmt w:val="lowerRoman"/>
      <w:lvlText w:val="%1."/>
      <w:lvlJc w:val="right"/>
      <w:pPr>
        <w:ind w:left="2160" w:hanging="360"/>
      </w:pPr>
    </w:lvl>
    <w:lvl w:ilvl="1" w:tplc="FC48FA9E">
      <w:start w:val="1"/>
      <w:numFmt w:val="lowerLetter"/>
      <w:lvlText w:val="%2."/>
      <w:lvlJc w:val="left"/>
      <w:pPr>
        <w:ind w:left="2880" w:hanging="360"/>
      </w:pPr>
    </w:lvl>
    <w:lvl w:ilvl="2" w:tplc="2E12CDEA">
      <w:start w:val="1"/>
      <w:numFmt w:val="lowerRoman"/>
      <w:lvlText w:val="%3."/>
      <w:lvlJc w:val="right"/>
      <w:pPr>
        <w:ind w:left="3600" w:hanging="180"/>
      </w:pPr>
    </w:lvl>
    <w:lvl w:ilvl="3" w:tplc="21122D4A">
      <w:start w:val="1"/>
      <w:numFmt w:val="decimal"/>
      <w:lvlText w:val="%4."/>
      <w:lvlJc w:val="left"/>
      <w:pPr>
        <w:ind w:left="4320" w:hanging="360"/>
      </w:pPr>
    </w:lvl>
    <w:lvl w:ilvl="4" w:tplc="E3362EC6">
      <w:start w:val="1"/>
      <w:numFmt w:val="lowerLetter"/>
      <w:lvlText w:val="%5."/>
      <w:lvlJc w:val="left"/>
      <w:pPr>
        <w:ind w:left="5040" w:hanging="360"/>
      </w:pPr>
    </w:lvl>
    <w:lvl w:ilvl="5" w:tplc="BC9A01C2">
      <w:start w:val="1"/>
      <w:numFmt w:val="lowerRoman"/>
      <w:lvlText w:val="%6."/>
      <w:lvlJc w:val="right"/>
      <w:pPr>
        <w:ind w:left="5760" w:hanging="180"/>
      </w:pPr>
    </w:lvl>
    <w:lvl w:ilvl="6" w:tplc="BD085808">
      <w:start w:val="1"/>
      <w:numFmt w:val="decimal"/>
      <w:lvlText w:val="%7."/>
      <w:lvlJc w:val="left"/>
      <w:pPr>
        <w:ind w:left="6480" w:hanging="360"/>
      </w:pPr>
    </w:lvl>
    <w:lvl w:ilvl="7" w:tplc="A2308BFA">
      <w:start w:val="1"/>
      <w:numFmt w:val="lowerLetter"/>
      <w:lvlText w:val="%8."/>
      <w:lvlJc w:val="left"/>
      <w:pPr>
        <w:ind w:left="7200" w:hanging="360"/>
      </w:pPr>
    </w:lvl>
    <w:lvl w:ilvl="8" w:tplc="6BEE03CE">
      <w:start w:val="1"/>
      <w:numFmt w:val="lowerRoman"/>
      <w:lvlText w:val="%9."/>
      <w:lvlJc w:val="right"/>
      <w:pPr>
        <w:ind w:left="7920" w:hanging="180"/>
      </w:pPr>
    </w:lvl>
  </w:abstractNum>
  <w:abstractNum w:abstractNumId="1" w15:restartNumberingAfterBreak="0">
    <w:nsid w:val="315B564C"/>
    <w:multiLevelType w:val="hybridMultilevel"/>
    <w:tmpl w:val="5776BAF2"/>
    <w:lvl w:ilvl="0" w:tplc="7006151E">
      <w:start w:val="1"/>
      <w:numFmt w:val="lowerLetter"/>
      <w:lvlText w:val="%1)"/>
      <w:lvlJc w:val="left"/>
      <w:pPr>
        <w:ind w:left="1440" w:hanging="360"/>
      </w:pPr>
    </w:lvl>
    <w:lvl w:ilvl="1" w:tplc="902C55B2">
      <w:start w:val="1"/>
      <w:numFmt w:val="lowerLetter"/>
      <w:lvlText w:val="%2."/>
      <w:lvlJc w:val="left"/>
      <w:pPr>
        <w:ind w:left="2160" w:hanging="360"/>
      </w:pPr>
    </w:lvl>
    <w:lvl w:ilvl="2" w:tplc="F1D899C0">
      <w:start w:val="1"/>
      <w:numFmt w:val="lowerRoman"/>
      <w:lvlText w:val="%3."/>
      <w:lvlJc w:val="right"/>
      <w:pPr>
        <w:ind w:left="2880" w:hanging="180"/>
      </w:pPr>
    </w:lvl>
    <w:lvl w:ilvl="3" w:tplc="C98820FA">
      <w:start w:val="1"/>
      <w:numFmt w:val="decimal"/>
      <w:lvlText w:val="%4."/>
      <w:lvlJc w:val="left"/>
      <w:pPr>
        <w:ind w:left="3600" w:hanging="360"/>
      </w:pPr>
    </w:lvl>
    <w:lvl w:ilvl="4" w:tplc="9C76DB86">
      <w:start w:val="1"/>
      <w:numFmt w:val="lowerLetter"/>
      <w:lvlText w:val="%5."/>
      <w:lvlJc w:val="left"/>
      <w:pPr>
        <w:ind w:left="4320" w:hanging="360"/>
      </w:pPr>
    </w:lvl>
    <w:lvl w:ilvl="5" w:tplc="65F61D8A">
      <w:start w:val="1"/>
      <w:numFmt w:val="lowerRoman"/>
      <w:lvlText w:val="%6."/>
      <w:lvlJc w:val="right"/>
      <w:pPr>
        <w:ind w:left="5040" w:hanging="180"/>
      </w:pPr>
    </w:lvl>
    <w:lvl w:ilvl="6" w:tplc="BFBC2042">
      <w:start w:val="1"/>
      <w:numFmt w:val="decimal"/>
      <w:lvlText w:val="%7."/>
      <w:lvlJc w:val="left"/>
      <w:pPr>
        <w:ind w:left="5760" w:hanging="360"/>
      </w:pPr>
    </w:lvl>
    <w:lvl w:ilvl="7" w:tplc="C824A0D6">
      <w:start w:val="1"/>
      <w:numFmt w:val="lowerLetter"/>
      <w:lvlText w:val="%8."/>
      <w:lvlJc w:val="left"/>
      <w:pPr>
        <w:ind w:left="6480" w:hanging="360"/>
      </w:pPr>
    </w:lvl>
    <w:lvl w:ilvl="8" w:tplc="E1C4CFFA">
      <w:start w:val="1"/>
      <w:numFmt w:val="lowerRoman"/>
      <w:lvlText w:val="%9."/>
      <w:lvlJc w:val="right"/>
      <w:pPr>
        <w:ind w:left="7200" w:hanging="180"/>
      </w:pPr>
    </w:lvl>
  </w:abstractNum>
  <w:abstractNum w:abstractNumId="2" w15:restartNumberingAfterBreak="0">
    <w:nsid w:val="5120292C"/>
    <w:multiLevelType w:val="hybridMultilevel"/>
    <w:tmpl w:val="468E11F6"/>
    <w:lvl w:ilvl="0" w:tplc="88B29490">
      <w:start w:val="1"/>
      <w:numFmt w:val="lowerLetter"/>
      <w:lvlText w:val="%1)"/>
      <w:lvlJc w:val="left"/>
      <w:pPr>
        <w:ind w:left="1440" w:hanging="360"/>
      </w:pPr>
    </w:lvl>
    <w:lvl w:ilvl="1" w:tplc="D19C0810">
      <w:start w:val="1"/>
      <w:numFmt w:val="lowerLetter"/>
      <w:lvlText w:val="%2."/>
      <w:lvlJc w:val="left"/>
      <w:pPr>
        <w:ind w:left="2160" w:hanging="360"/>
      </w:pPr>
    </w:lvl>
    <w:lvl w:ilvl="2" w:tplc="C5362AB0">
      <w:start w:val="1"/>
      <w:numFmt w:val="lowerRoman"/>
      <w:lvlText w:val="%3."/>
      <w:lvlJc w:val="right"/>
      <w:pPr>
        <w:ind w:left="2880" w:hanging="180"/>
      </w:pPr>
    </w:lvl>
    <w:lvl w:ilvl="3" w:tplc="EDE63368">
      <w:start w:val="1"/>
      <w:numFmt w:val="decimal"/>
      <w:lvlText w:val="%4."/>
      <w:lvlJc w:val="left"/>
      <w:pPr>
        <w:ind w:left="3600" w:hanging="360"/>
      </w:pPr>
    </w:lvl>
    <w:lvl w:ilvl="4" w:tplc="92AC4F5C">
      <w:start w:val="1"/>
      <w:numFmt w:val="lowerLetter"/>
      <w:lvlText w:val="%5."/>
      <w:lvlJc w:val="left"/>
      <w:pPr>
        <w:ind w:left="4320" w:hanging="360"/>
      </w:pPr>
    </w:lvl>
    <w:lvl w:ilvl="5" w:tplc="EA0EDE82">
      <w:start w:val="1"/>
      <w:numFmt w:val="lowerRoman"/>
      <w:lvlText w:val="%6."/>
      <w:lvlJc w:val="right"/>
      <w:pPr>
        <w:ind w:left="5040" w:hanging="180"/>
      </w:pPr>
    </w:lvl>
    <w:lvl w:ilvl="6" w:tplc="BBBE2084">
      <w:start w:val="1"/>
      <w:numFmt w:val="decimal"/>
      <w:lvlText w:val="%7."/>
      <w:lvlJc w:val="left"/>
      <w:pPr>
        <w:ind w:left="5760" w:hanging="360"/>
      </w:pPr>
    </w:lvl>
    <w:lvl w:ilvl="7" w:tplc="C180F11C">
      <w:start w:val="1"/>
      <w:numFmt w:val="lowerLetter"/>
      <w:lvlText w:val="%8."/>
      <w:lvlJc w:val="left"/>
      <w:pPr>
        <w:ind w:left="6480" w:hanging="360"/>
      </w:pPr>
    </w:lvl>
    <w:lvl w:ilvl="8" w:tplc="5FCCB1A6">
      <w:start w:val="1"/>
      <w:numFmt w:val="lowerRoman"/>
      <w:lvlText w:val="%9."/>
      <w:lvlJc w:val="right"/>
      <w:pPr>
        <w:ind w:left="7200" w:hanging="180"/>
      </w:pPr>
    </w:lvl>
  </w:abstractNum>
  <w:abstractNum w:abstractNumId="3" w15:restartNumberingAfterBreak="0">
    <w:nsid w:val="7CC54F1C"/>
    <w:multiLevelType w:val="hybridMultilevel"/>
    <w:tmpl w:val="494402F6"/>
    <w:lvl w:ilvl="0" w:tplc="096843DA">
      <w:start w:val="1"/>
      <w:numFmt w:val="lowerLetter"/>
      <w:lvlText w:val="%1)"/>
      <w:lvlJc w:val="left"/>
      <w:pPr>
        <w:ind w:left="1440" w:hanging="360"/>
      </w:pPr>
    </w:lvl>
    <w:lvl w:ilvl="1" w:tplc="5F0EF04A">
      <w:start w:val="1"/>
      <w:numFmt w:val="lowerLetter"/>
      <w:lvlText w:val="%2."/>
      <w:lvlJc w:val="left"/>
      <w:pPr>
        <w:ind w:left="2160" w:hanging="360"/>
      </w:pPr>
    </w:lvl>
    <w:lvl w:ilvl="2" w:tplc="CC0C75AC">
      <w:start w:val="1"/>
      <w:numFmt w:val="lowerRoman"/>
      <w:lvlText w:val="%3."/>
      <w:lvlJc w:val="right"/>
      <w:pPr>
        <w:ind w:left="2880" w:hanging="180"/>
      </w:pPr>
    </w:lvl>
    <w:lvl w:ilvl="3" w:tplc="A52CF3C0">
      <w:start w:val="1"/>
      <w:numFmt w:val="decimal"/>
      <w:lvlText w:val="%4."/>
      <w:lvlJc w:val="left"/>
      <w:pPr>
        <w:ind w:left="3600" w:hanging="360"/>
      </w:pPr>
    </w:lvl>
    <w:lvl w:ilvl="4" w:tplc="C41A8AAE">
      <w:start w:val="1"/>
      <w:numFmt w:val="lowerLetter"/>
      <w:lvlText w:val="%5."/>
      <w:lvlJc w:val="left"/>
      <w:pPr>
        <w:ind w:left="4320" w:hanging="360"/>
      </w:pPr>
    </w:lvl>
    <w:lvl w:ilvl="5" w:tplc="BB38E9DA">
      <w:start w:val="1"/>
      <w:numFmt w:val="lowerRoman"/>
      <w:lvlText w:val="%6."/>
      <w:lvlJc w:val="right"/>
      <w:pPr>
        <w:ind w:left="5040" w:hanging="180"/>
      </w:pPr>
    </w:lvl>
    <w:lvl w:ilvl="6" w:tplc="D9D67900">
      <w:start w:val="1"/>
      <w:numFmt w:val="decimal"/>
      <w:lvlText w:val="%7."/>
      <w:lvlJc w:val="left"/>
      <w:pPr>
        <w:ind w:left="5760" w:hanging="360"/>
      </w:pPr>
    </w:lvl>
    <w:lvl w:ilvl="7" w:tplc="926A91B6">
      <w:start w:val="1"/>
      <w:numFmt w:val="lowerLetter"/>
      <w:lvlText w:val="%8."/>
      <w:lvlJc w:val="left"/>
      <w:pPr>
        <w:ind w:left="6480" w:hanging="360"/>
      </w:pPr>
    </w:lvl>
    <w:lvl w:ilvl="8" w:tplc="79E232EC">
      <w:start w:val="1"/>
      <w:numFmt w:val="lowerRoman"/>
      <w:lvlText w:val="%9."/>
      <w:lvlJc w:val="right"/>
      <w:pPr>
        <w:ind w:left="7200" w:hanging="180"/>
      </w:pPr>
    </w:lvl>
  </w:abstractNum>
  <w:num w:numId="1" w16cid:durableId="471405581">
    <w:abstractNumId w:val="0"/>
  </w:num>
  <w:num w:numId="2" w16cid:durableId="711269497">
    <w:abstractNumId w:val="3"/>
  </w:num>
  <w:num w:numId="3" w16cid:durableId="1106001657">
    <w:abstractNumId w:val="1"/>
  </w:num>
  <w:num w:numId="4" w16cid:durableId="144711600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31D18"/>
    <w:rsid w:val="00041538"/>
    <w:rsid w:val="00043A94"/>
    <w:rsid w:val="000A34AE"/>
    <w:rsid w:val="000B0D60"/>
    <w:rsid w:val="000B2080"/>
    <w:rsid w:val="00162027"/>
    <w:rsid w:val="001648A3"/>
    <w:rsid w:val="00171406"/>
    <w:rsid w:val="00180AF7"/>
    <w:rsid w:val="001A1DD5"/>
    <w:rsid w:val="001A2A17"/>
    <w:rsid w:val="001A42DA"/>
    <w:rsid w:val="001B4C56"/>
    <w:rsid w:val="001C670D"/>
    <w:rsid w:val="001C748A"/>
    <w:rsid w:val="001D4BDE"/>
    <w:rsid w:val="0020018A"/>
    <w:rsid w:val="0020137A"/>
    <w:rsid w:val="00217C79"/>
    <w:rsid w:val="002223BB"/>
    <w:rsid w:val="00246AE2"/>
    <w:rsid w:val="00260B0F"/>
    <w:rsid w:val="00260F74"/>
    <w:rsid w:val="002620DD"/>
    <w:rsid w:val="00266BCE"/>
    <w:rsid w:val="00272207"/>
    <w:rsid w:val="002745BD"/>
    <w:rsid w:val="002C4828"/>
    <w:rsid w:val="002D34B1"/>
    <w:rsid w:val="002E5C00"/>
    <w:rsid w:val="002F33CF"/>
    <w:rsid w:val="0030166B"/>
    <w:rsid w:val="003062DC"/>
    <w:rsid w:val="00322926"/>
    <w:rsid w:val="00331EA8"/>
    <w:rsid w:val="0033212F"/>
    <w:rsid w:val="00336A9B"/>
    <w:rsid w:val="0035144F"/>
    <w:rsid w:val="00361572"/>
    <w:rsid w:val="003639FF"/>
    <w:rsid w:val="0037701C"/>
    <w:rsid w:val="003877C2"/>
    <w:rsid w:val="003B1942"/>
    <w:rsid w:val="003E7C56"/>
    <w:rsid w:val="003F1897"/>
    <w:rsid w:val="003F1AD8"/>
    <w:rsid w:val="003F6AE5"/>
    <w:rsid w:val="004076B3"/>
    <w:rsid w:val="0043102F"/>
    <w:rsid w:val="0043424B"/>
    <w:rsid w:val="00446214"/>
    <w:rsid w:val="00480F02"/>
    <w:rsid w:val="00487D0A"/>
    <w:rsid w:val="004A6167"/>
    <w:rsid w:val="004B5F7D"/>
    <w:rsid w:val="004D4230"/>
    <w:rsid w:val="004E573A"/>
    <w:rsid w:val="005025F1"/>
    <w:rsid w:val="00510D4F"/>
    <w:rsid w:val="005208D6"/>
    <w:rsid w:val="00542BF2"/>
    <w:rsid w:val="00555061"/>
    <w:rsid w:val="005645C4"/>
    <w:rsid w:val="0058120C"/>
    <w:rsid w:val="00586874"/>
    <w:rsid w:val="00586C87"/>
    <w:rsid w:val="0059495D"/>
    <w:rsid w:val="005A5004"/>
    <w:rsid w:val="005B11E6"/>
    <w:rsid w:val="005D43E4"/>
    <w:rsid w:val="005E5DF3"/>
    <w:rsid w:val="005F0639"/>
    <w:rsid w:val="00614EF7"/>
    <w:rsid w:val="00625C16"/>
    <w:rsid w:val="00640841"/>
    <w:rsid w:val="00660B32"/>
    <w:rsid w:val="00665034"/>
    <w:rsid w:val="00665AE9"/>
    <w:rsid w:val="006A2F76"/>
    <w:rsid w:val="006E6B9D"/>
    <w:rsid w:val="007365C6"/>
    <w:rsid w:val="007507E6"/>
    <w:rsid w:val="00756F05"/>
    <w:rsid w:val="007922B2"/>
    <w:rsid w:val="00795B3A"/>
    <w:rsid w:val="007A0EA6"/>
    <w:rsid w:val="007A1066"/>
    <w:rsid w:val="007A671B"/>
    <w:rsid w:val="007D3B90"/>
    <w:rsid w:val="007D74FB"/>
    <w:rsid w:val="007F01C5"/>
    <w:rsid w:val="007F6952"/>
    <w:rsid w:val="0084673B"/>
    <w:rsid w:val="0086565D"/>
    <w:rsid w:val="00865736"/>
    <w:rsid w:val="008772B8"/>
    <w:rsid w:val="00890AE6"/>
    <w:rsid w:val="0089267F"/>
    <w:rsid w:val="008A023D"/>
    <w:rsid w:val="008B4E08"/>
    <w:rsid w:val="008E4700"/>
    <w:rsid w:val="008F12CD"/>
    <w:rsid w:val="00901B13"/>
    <w:rsid w:val="00904A9B"/>
    <w:rsid w:val="0093178A"/>
    <w:rsid w:val="00946296"/>
    <w:rsid w:val="00947E62"/>
    <w:rsid w:val="0096489E"/>
    <w:rsid w:val="00970D3D"/>
    <w:rsid w:val="0099168F"/>
    <w:rsid w:val="009B5BDE"/>
    <w:rsid w:val="009B6227"/>
    <w:rsid w:val="009C1C5F"/>
    <w:rsid w:val="009E72B2"/>
    <w:rsid w:val="00A05812"/>
    <w:rsid w:val="00A40E21"/>
    <w:rsid w:val="00A66196"/>
    <w:rsid w:val="00A669AC"/>
    <w:rsid w:val="00AA06A9"/>
    <w:rsid w:val="00AA68B7"/>
    <w:rsid w:val="00AC2D7D"/>
    <w:rsid w:val="00AC3F73"/>
    <w:rsid w:val="00AD7C99"/>
    <w:rsid w:val="00AF22FB"/>
    <w:rsid w:val="00B15A3D"/>
    <w:rsid w:val="00B378A6"/>
    <w:rsid w:val="00B61397"/>
    <w:rsid w:val="00B61F19"/>
    <w:rsid w:val="00B6760A"/>
    <w:rsid w:val="00B7071E"/>
    <w:rsid w:val="00B7224B"/>
    <w:rsid w:val="00B90A19"/>
    <w:rsid w:val="00B90D33"/>
    <w:rsid w:val="00B956A6"/>
    <w:rsid w:val="00BA1433"/>
    <w:rsid w:val="00BB64AC"/>
    <w:rsid w:val="00BC04C4"/>
    <w:rsid w:val="00BC0FC5"/>
    <w:rsid w:val="00BD4195"/>
    <w:rsid w:val="00BE1A45"/>
    <w:rsid w:val="00BF31AD"/>
    <w:rsid w:val="00C0761B"/>
    <w:rsid w:val="00C07CB1"/>
    <w:rsid w:val="00C16AFB"/>
    <w:rsid w:val="00C32FF1"/>
    <w:rsid w:val="00C46BBE"/>
    <w:rsid w:val="00C5391C"/>
    <w:rsid w:val="00C6507C"/>
    <w:rsid w:val="00C759EB"/>
    <w:rsid w:val="00C8003A"/>
    <w:rsid w:val="00C8172F"/>
    <w:rsid w:val="00C8220B"/>
    <w:rsid w:val="00CA6570"/>
    <w:rsid w:val="00CE490C"/>
    <w:rsid w:val="00D05BB6"/>
    <w:rsid w:val="00D23E44"/>
    <w:rsid w:val="00D32249"/>
    <w:rsid w:val="00D361F8"/>
    <w:rsid w:val="00D54D18"/>
    <w:rsid w:val="00D63B5C"/>
    <w:rsid w:val="00D82C56"/>
    <w:rsid w:val="00D845F5"/>
    <w:rsid w:val="00D903AB"/>
    <w:rsid w:val="00DA29A3"/>
    <w:rsid w:val="00DB1CBF"/>
    <w:rsid w:val="00DE3DBD"/>
    <w:rsid w:val="00E055FF"/>
    <w:rsid w:val="00E11FFB"/>
    <w:rsid w:val="00E13BC0"/>
    <w:rsid w:val="00E41993"/>
    <w:rsid w:val="00E47117"/>
    <w:rsid w:val="00E668A3"/>
    <w:rsid w:val="00E829C9"/>
    <w:rsid w:val="00EA6CF6"/>
    <w:rsid w:val="00ED0821"/>
    <w:rsid w:val="00ED669F"/>
    <w:rsid w:val="00EF10CD"/>
    <w:rsid w:val="00EF3215"/>
    <w:rsid w:val="00EF6331"/>
    <w:rsid w:val="00F01317"/>
    <w:rsid w:val="00F13DD1"/>
    <w:rsid w:val="00F208C3"/>
    <w:rsid w:val="00F23F8E"/>
    <w:rsid w:val="00F343D5"/>
    <w:rsid w:val="00F35230"/>
    <w:rsid w:val="00F36694"/>
    <w:rsid w:val="00F40C97"/>
    <w:rsid w:val="00F83B93"/>
    <w:rsid w:val="00F90418"/>
    <w:rsid w:val="00F96FCA"/>
    <w:rsid w:val="00FA15A3"/>
    <w:rsid w:val="00FD5616"/>
    <w:rsid w:val="00FD59AB"/>
    <w:rsid w:val="0370C10F"/>
    <w:rsid w:val="0385030F"/>
    <w:rsid w:val="03DD964B"/>
    <w:rsid w:val="0432C52E"/>
    <w:rsid w:val="04E6C69C"/>
    <w:rsid w:val="07A8144F"/>
    <w:rsid w:val="0967090E"/>
    <w:rsid w:val="0B6AB610"/>
    <w:rsid w:val="0B8FF508"/>
    <w:rsid w:val="172AE7AD"/>
    <w:rsid w:val="173D7BA7"/>
    <w:rsid w:val="177AE16B"/>
    <w:rsid w:val="18CE2B97"/>
    <w:rsid w:val="19F29763"/>
    <w:rsid w:val="1BB494C5"/>
    <w:rsid w:val="1F268689"/>
    <w:rsid w:val="261DA140"/>
    <w:rsid w:val="26CA4847"/>
    <w:rsid w:val="275F169A"/>
    <w:rsid w:val="2884572F"/>
    <w:rsid w:val="293914D4"/>
    <w:rsid w:val="2CA2F644"/>
    <w:rsid w:val="30F0BEE8"/>
    <w:rsid w:val="31F6119F"/>
    <w:rsid w:val="32D90867"/>
    <w:rsid w:val="34D797B8"/>
    <w:rsid w:val="3535CC07"/>
    <w:rsid w:val="35572258"/>
    <w:rsid w:val="35EA864A"/>
    <w:rsid w:val="3675CEBE"/>
    <w:rsid w:val="380500E5"/>
    <w:rsid w:val="383A0421"/>
    <w:rsid w:val="3945E0B4"/>
    <w:rsid w:val="3B614550"/>
    <w:rsid w:val="3BA94B32"/>
    <w:rsid w:val="41DCBFB2"/>
    <w:rsid w:val="42D3793B"/>
    <w:rsid w:val="44E6DF0B"/>
    <w:rsid w:val="45F45870"/>
    <w:rsid w:val="4799E26B"/>
    <w:rsid w:val="48ECE5A9"/>
    <w:rsid w:val="49CCA9E2"/>
    <w:rsid w:val="4A1CB0DD"/>
    <w:rsid w:val="4A2DC14D"/>
    <w:rsid w:val="4C2035E4"/>
    <w:rsid w:val="4C49A931"/>
    <w:rsid w:val="4C4D9D0E"/>
    <w:rsid w:val="4C5AF18D"/>
    <w:rsid w:val="4F61C8D0"/>
    <w:rsid w:val="4F98C299"/>
    <w:rsid w:val="51A87AF2"/>
    <w:rsid w:val="51F2CBC0"/>
    <w:rsid w:val="522A6679"/>
    <w:rsid w:val="53C4A89D"/>
    <w:rsid w:val="54499BE3"/>
    <w:rsid w:val="55519AE2"/>
    <w:rsid w:val="5585E9B3"/>
    <w:rsid w:val="571C6F04"/>
    <w:rsid w:val="5A244BF5"/>
    <w:rsid w:val="5B4DFDDB"/>
    <w:rsid w:val="5BF18DAE"/>
    <w:rsid w:val="5E49106F"/>
    <w:rsid w:val="5E5A312A"/>
    <w:rsid w:val="5F356CDE"/>
    <w:rsid w:val="60A0E9CA"/>
    <w:rsid w:val="631F71CA"/>
    <w:rsid w:val="67F7A73E"/>
    <w:rsid w:val="69BB9141"/>
    <w:rsid w:val="6BDF4142"/>
    <w:rsid w:val="6F9CD440"/>
    <w:rsid w:val="6FEB1986"/>
    <w:rsid w:val="6FEDA872"/>
    <w:rsid w:val="726B1B23"/>
    <w:rsid w:val="73CC3262"/>
    <w:rsid w:val="74519062"/>
    <w:rsid w:val="765E6C2D"/>
    <w:rsid w:val="79907A7C"/>
    <w:rsid w:val="799269FD"/>
    <w:rsid w:val="79E800DA"/>
    <w:rsid w:val="7A103A85"/>
    <w:rsid w:val="7D85A852"/>
    <w:rsid w:val="7E032F95"/>
    <w:rsid w:val="7F78371F"/>
    <w:rsid w:val="7F978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EA0F6A37-98C2-43AD-8275-EBC52BEC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character" w:styleId="FootnoteReference">
    <w:name w:val="footnote reference"/>
    <w:uiPriority w:val="99"/>
    <w:semiHidden/>
    <w:unhideWhenUsed/>
    <w:rsid w:val="007D3B90"/>
    <w:rPr>
      <w:rFonts w:ascii="Times New Roman" w:hAnsi="Times New Roman" w:cs="Times New Roman" w:hint="default"/>
    </w:rPr>
  </w:style>
  <w:style w:type="paragraph" w:styleId="Revision">
    <w:name w:val="Revision"/>
    <w:hidden/>
    <w:uiPriority w:val="99"/>
    <w:semiHidden/>
    <w:rsid w:val="00EF6331"/>
    <w:pPr>
      <w:autoSpaceDN/>
      <w:spacing w:after="0" w:line="240" w:lineRule="auto"/>
      <w:textAlignment w:val="auto"/>
    </w:pPr>
    <w:rPr>
      <w:rFonts w:ascii="Times New Roman" w:eastAsia="Times New Roman" w:hAnsi="Times New Roman"/>
      <w:sz w:val="20"/>
      <w:szCs w:val="24"/>
    </w:rPr>
  </w:style>
  <w:style w:type="paragraph" w:customStyle="1" w:styleId="paragraph">
    <w:name w:val="paragraph"/>
    <w:basedOn w:val="Normal"/>
    <w:rsid w:val="00970D3D"/>
    <w:pPr>
      <w:widowControl/>
      <w:suppressAutoHyphens w:val="0"/>
      <w:autoSpaceDE/>
      <w:autoSpaceDN/>
      <w:spacing w:before="100" w:beforeAutospacing="1" w:after="100" w:afterAutospacing="1"/>
      <w:textAlignment w:val="auto"/>
    </w:pPr>
    <w:rPr>
      <w:sz w:val="24"/>
    </w:rPr>
  </w:style>
  <w:style w:type="character" w:customStyle="1" w:styleId="normaltextrun">
    <w:name w:val="normaltextrun"/>
    <w:basedOn w:val="DefaultParagraphFont"/>
    <w:rsid w:val="00970D3D"/>
  </w:style>
  <w:style w:type="character" w:customStyle="1" w:styleId="eop">
    <w:name w:val="eop"/>
    <w:basedOn w:val="DefaultParagraphFont"/>
    <w:rsid w:val="00970D3D"/>
  </w:style>
  <w:style w:type="character" w:customStyle="1" w:styleId="tabchar">
    <w:name w:val="tabchar"/>
    <w:basedOn w:val="DefaultParagraphFont"/>
    <w:rsid w:val="00970D3D"/>
  </w:style>
  <w:style w:type="character" w:customStyle="1" w:styleId="scxw115788400">
    <w:name w:val="scxw115788400"/>
    <w:basedOn w:val="DefaultParagraphFont"/>
    <w:rsid w:val="00904A9B"/>
  </w:style>
  <w:style w:type="character" w:customStyle="1" w:styleId="superscript">
    <w:name w:val="superscript"/>
    <w:basedOn w:val="DefaultParagraphFont"/>
    <w:rsid w:val="00F90418"/>
  </w:style>
  <w:style w:type="paragraph" w:styleId="ListParagraph">
    <w:name w:val="List Paragraph"/>
    <w:basedOn w:val="Normal"/>
    <w:uiPriority w:val="34"/>
    <w:qFormat/>
    <w:rsid w:val="522A6679"/>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4C5AF18D"/>
    <w:rPr>
      <w:color w:val="0563C1"/>
      <w:u w:val="single"/>
    </w:rPr>
  </w:style>
  <w:style w:type="paragraph" w:styleId="NoSpacing">
    <w:name w:val="No Spacing"/>
    <w:uiPriority w:val="1"/>
    <w:qFormat/>
    <w:rsid w:val="799269F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2.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D930F720-F131-414C-85AC-9AAF31F2A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49</TotalTime>
  <Pages>2</Pages>
  <Words>583</Words>
  <Characters>3329</Characters>
  <Application>Microsoft Office Word</Application>
  <DocSecurity>0</DocSecurity>
  <Lines>27</Lines>
  <Paragraphs>7</Paragraphs>
  <ScaleCrop>false</ScaleCrop>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68</cp:revision>
  <cp:lastPrinted>2020-02-04T03:02:00Z</cp:lastPrinted>
  <dcterms:created xsi:type="dcterms:W3CDTF">2026-02-26T14:46:00Z</dcterms:created>
  <dcterms:modified xsi:type="dcterms:W3CDTF">2026-03-26T01:11:00Z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docLang">
    <vt:lpwstr>en</vt:lpwstr>
  </property>
</Properties>
</file>