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F861" w14:textId="64AA9017" w:rsidR="006821C9" w:rsidRPr="007A5544" w:rsidRDefault="00B44C12" w:rsidP="006821C9">
      <w:pPr>
        <w:jc w:val="center"/>
        <w:rPr>
          <w:rFonts w:ascii="Arial" w:hAnsi="Arial" w:cs="Arial"/>
          <w:b/>
          <w:bCs/>
          <w:sz w:val="22"/>
          <w:szCs w:val="22"/>
          <w:lang w:val="fr-FR"/>
        </w:rPr>
      </w:pPr>
      <w:r>
        <w:rPr>
          <w:rFonts w:ascii="Arial" w:hAnsi="Arial" w:cs="Arial"/>
          <w:b/>
          <w:bCs/>
          <w:sz w:val="22"/>
          <w:szCs w:val="22"/>
          <w:lang w:val="fr-FR"/>
        </w:rPr>
        <w:t>PASTORALISME</w:t>
      </w:r>
    </w:p>
    <w:p w14:paraId="60C50FAF" w14:textId="77777777" w:rsidR="00AB5285" w:rsidRPr="007A5544" w:rsidRDefault="00AB5285" w:rsidP="00E829C9">
      <w:pPr>
        <w:jc w:val="center"/>
        <w:rPr>
          <w:rFonts w:ascii="Arial" w:hAnsi="Arial" w:cs="Arial"/>
          <w:b/>
          <w:sz w:val="22"/>
          <w:szCs w:val="22"/>
          <w:lang w:val="fr-FR"/>
        </w:rPr>
      </w:pPr>
    </w:p>
    <w:p w14:paraId="77BA811D" w14:textId="4B705B4E" w:rsidR="00D82C56" w:rsidRPr="00FB1B2C" w:rsidRDefault="005D43E4" w:rsidP="00AB5285">
      <w:pPr>
        <w:spacing w:after="120"/>
        <w:jc w:val="center"/>
        <w:rPr>
          <w:rFonts w:ascii="Arial" w:hAnsi="Arial" w:cs="Arial"/>
          <w:sz w:val="22"/>
          <w:szCs w:val="22"/>
          <w:lang w:val="fr-FR"/>
        </w:rPr>
      </w:pPr>
      <w:r w:rsidRPr="00FB1B2C">
        <w:rPr>
          <w:rFonts w:ascii="Arial" w:hAnsi="Arial" w:cs="Arial"/>
          <w:sz w:val="22"/>
          <w:szCs w:val="22"/>
          <w:lang w:val="fr-FR"/>
        </w:rPr>
        <w:t>UNEP/CMS/COP1</w:t>
      </w:r>
      <w:r w:rsidR="00950DA4" w:rsidRPr="00FB1B2C">
        <w:rPr>
          <w:rFonts w:ascii="Arial" w:hAnsi="Arial" w:cs="Arial"/>
          <w:sz w:val="22"/>
          <w:szCs w:val="22"/>
          <w:lang w:val="fr-FR"/>
        </w:rPr>
        <w:t>5</w:t>
      </w:r>
      <w:r w:rsidRPr="00FB1B2C">
        <w:rPr>
          <w:rFonts w:ascii="Arial" w:hAnsi="Arial" w:cs="Arial"/>
          <w:sz w:val="22"/>
          <w:szCs w:val="22"/>
          <w:lang w:val="fr-FR"/>
        </w:rPr>
        <w:t>/Doc.</w:t>
      </w:r>
      <w:r w:rsidR="00B44C12" w:rsidRPr="00FB1B2C">
        <w:rPr>
          <w:rFonts w:ascii="Arial" w:hAnsi="Arial" w:cs="Arial"/>
          <w:sz w:val="22"/>
          <w:szCs w:val="22"/>
          <w:lang w:val="fr-FR"/>
        </w:rPr>
        <w:t>28.6/Rev.1</w:t>
      </w:r>
    </w:p>
    <w:p w14:paraId="73A89732" w14:textId="31A38E56" w:rsidR="00D82C56" w:rsidRPr="007A5544" w:rsidRDefault="005D43E4" w:rsidP="00E829C9">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D635FC">
        <w:rPr>
          <w:rFonts w:ascii="Arial" w:hAnsi="Arial" w:cs="Arial"/>
          <w:i/>
          <w:sz w:val="22"/>
          <w:szCs w:val="22"/>
          <w:lang w:val="fr-FR"/>
        </w:rPr>
        <w:t>le Comité plénier</w:t>
      </w:r>
      <w:r w:rsidRPr="007A5544">
        <w:rPr>
          <w:rFonts w:ascii="Arial" w:hAnsi="Arial" w:cs="Arial"/>
          <w:i/>
          <w:sz w:val="22"/>
          <w:szCs w:val="22"/>
          <w:lang w:val="fr-FR"/>
        </w:rPr>
        <w:t>)</w:t>
      </w:r>
    </w:p>
    <w:p w14:paraId="458D7774" w14:textId="77777777" w:rsidR="009F3558" w:rsidRDefault="009F3558" w:rsidP="007A5544">
      <w:pPr>
        <w:pStyle w:val="ListParagraph"/>
        <w:ind w:left="0"/>
        <w:contextualSpacing w:val="0"/>
        <w:rPr>
          <w:rFonts w:cs="Arial"/>
          <w:lang w:val="fr-FR"/>
        </w:rPr>
      </w:pPr>
    </w:p>
    <w:p w14:paraId="0DE8F51B" w14:textId="77777777" w:rsidR="00B44C12" w:rsidRPr="00B44C12" w:rsidRDefault="00B44C12" w:rsidP="00B44C12">
      <w:pPr>
        <w:widowControl/>
        <w:suppressAutoHyphens w:val="0"/>
        <w:autoSpaceDE/>
        <w:autoSpaceDN/>
        <w:textAlignment w:val="auto"/>
        <w:rPr>
          <w:rFonts w:ascii="Arial" w:eastAsia="Calibri" w:hAnsi="Arial" w:cs="Arial"/>
          <w:sz w:val="22"/>
          <w:szCs w:val="22"/>
          <w:lang w:val="fr-FR"/>
        </w:rPr>
      </w:pPr>
    </w:p>
    <w:p w14:paraId="3D0FBF50" w14:textId="71682EB2" w:rsidR="00B44C12" w:rsidRPr="00B44C12" w:rsidRDefault="00B44C12" w:rsidP="00B44C12">
      <w:pPr>
        <w:widowControl/>
        <w:suppressAutoHyphens w:val="0"/>
        <w:autoSpaceDE/>
        <w:autoSpaceDN/>
        <w:jc w:val="center"/>
        <w:textAlignment w:val="auto"/>
        <w:rPr>
          <w:rFonts w:ascii="Arial" w:eastAsia="Calibri" w:hAnsi="Arial" w:cs="Arial"/>
          <w:sz w:val="22"/>
          <w:szCs w:val="22"/>
          <w:lang w:val="fr-FR"/>
        </w:rPr>
      </w:pPr>
      <w:r w:rsidRPr="00B44C12">
        <w:rPr>
          <w:rFonts w:ascii="Arial" w:eastAsia="Calibri" w:hAnsi="Arial" w:cs="Arial"/>
          <w:sz w:val="22"/>
          <w:szCs w:val="22"/>
          <w:lang w:val="fr-FR"/>
        </w:rPr>
        <w:t>PROJET DE DÉCISIONS</w:t>
      </w:r>
    </w:p>
    <w:p w14:paraId="202B23E0" w14:textId="77777777" w:rsidR="00B44C12" w:rsidRPr="00B44C12" w:rsidRDefault="00B44C12" w:rsidP="00B44C12">
      <w:pPr>
        <w:widowControl/>
        <w:suppressAutoHyphens w:val="0"/>
        <w:autoSpaceDE/>
        <w:autoSpaceDN/>
        <w:jc w:val="center"/>
        <w:textAlignment w:val="auto"/>
        <w:rPr>
          <w:rFonts w:ascii="Arial" w:eastAsia="Calibri" w:hAnsi="Arial" w:cs="Arial"/>
          <w:sz w:val="22"/>
          <w:szCs w:val="22"/>
          <w:lang w:val="fr-FR"/>
        </w:rPr>
      </w:pPr>
    </w:p>
    <w:p w14:paraId="0002B981" w14:textId="77777777" w:rsidR="00B44C12" w:rsidRPr="00B44C12" w:rsidRDefault="00B44C12" w:rsidP="00B44C12">
      <w:pPr>
        <w:widowControl/>
        <w:suppressAutoHyphens w:val="0"/>
        <w:autoSpaceDE/>
        <w:autoSpaceDN/>
        <w:jc w:val="center"/>
        <w:textAlignment w:val="auto"/>
        <w:rPr>
          <w:rFonts w:ascii="Arial" w:hAnsi="Arial" w:cs="Arial"/>
          <w:b/>
          <w:sz w:val="22"/>
          <w:szCs w:val="22"/>
          <w:lang w:val="fr-FR"/>
        </w:rPr>
      </w:pPr>
    </w:p>
    <w:p w14:paraId="03932ECF" w14:textId="77777777" w:rsidR="00B44C12" w:rsidRPr="00B44C12" w:rsidRDefault="00B44C12" w:rsidP="00B44C12">
      <w:pPr>
        <w:widowControl/>
        <w:suppressAutoHyphens w:val="0"/>
        <w:autoSpaceDE/>
        <w:autoSpaceDN/>
        <w:jc w:val="both"/>
        <w:textAlignment w:val="auto"/>
        <w:rPr>
          <w:rFonts w:ascii="Arial" w:eastAsia="Calibri" w:hAnsi="Arial" w:cs="Arial"/>
          <w:b/>
          <w:i/>
          <w:sz w:val="22"/>
          <w:szCs w:val="22"/>
          <w:lang w:val="fr-FR"/>
        </w:rPr>
      </w:pPr>
      <w:r w:rsidRPr="00B44C12">
        <w:rPr>
          <w:rFonts w:ascii="Arial" w:eastAsia="Calibri" w:hAnsi="Arial" w:cs="Arial"/>
          <w:b/>
          <w:i/>
          <w:sz w:val="22"/>
          <w:szCs w:val="22"/>
          <w:lang w:val="fr-FR"/>
        </w:rPr>
        <w:t xml:space="preserve">À l'adresse des Parties </w:t>
      </w:r>
    </w:p>
    <w:p w14:paraId="40775D5E" w14:textId="77777777" w:rsidR="00B44C12" w:rsidRPr="00B44C12" w:rsidRDefault="00B44C12" w:rsidP="00B44C12">
      <w:pPr>
        <w:widowControl/>
        <w:suppressAutoHyphens w:val="0"/>
        <w:autoSpaceDE/>
        <w:autoSpaceDN/>
        <w:jc w:val="both"/>
        <w:textAlignment w:val="auto"/>
        <w:rPr>
          <w:rFonts w:ascii="Arial" w:eastAsia="Calibri" w:hAnsi="Arial" w:cs="Arial"/>
          <w:b/>
          <w:i/>
          <w:sz w:val="22"/>
          <w:szCs w:val="22"/>
          <w:lang w:val="fr-FR"/>
        </w:rPr>
      </w:pPr>
    </w:p>
    <w:p w14:paraId="3E45C03A" w14:textId="77777777" w:rsidR="00B44C12" w:rsidRPr="00B44C12" w:rsidRDefault="00B44C12" w:rsidP="00B44C12">
      <w:pPr>
        <w:widowControl/>
        <w:autoSpaceDE/>
        <w:autoSpaceDN/>
        <w:ind w:left="900" w:hanging="900"/>
        <w:jc w:val="both"/>
        <w:textAlignment w:val="auto"/>
        <w:rPr>
          <w:rFonts w:ascii="Arial" w:eastAsiaTheme="minorHAnsi" w:hAnsi="Arial" w:cs="Arial"/>
          <w:sz w:val="22"/>
          <w:szCs w:val="22"/>
          <w:lang w:val="fr-FR"/>
        </w:rPr>
      </w:pPr>
      <w:r w:rsidRPr="00B44C12">
        <w:rPr>
          <w:rFonts w:ascii="Arial" w:eastAsiaTheme="minorHAnsi" w:hAnsi="Arial" w:cs="Arial"/>
          <w:sz w:val="22"/>
          <w:szCs w:val="22"/>
          <w:lang w:val="fr-FR"/>
        </w:rPr>
        <w:t>15.AA</w:t>
      </w:r>
      <w:r w:rsidRPr="00B44C12">
        <w:rPr>
          <w:rFonts w:ascii="Arial" w:eastAsiaTheme="minorHAnsi" w:hAnsi="Arial" w:cs="Arial"/>
          <w:sz w:val="22"/>
          <w:szCs w:val="22"/>
          <w:lang w:val="fr-FR"/>
        </w:rPr>
        <w:tab/>
        <w:t>Les Parties sont encouragées à :</w:t>
      </w:r>
    </w:p>
    <w:p w14:paraId="14EC5314" w14:textId="77777777" w:rsidR="00B44C12" w:rsidRPr="00B44C12" w:rsidRDefault="00B44C12" w:rsidP="00B44C12">
      <w:pPr>
        <w:widowControl/>
        <w:autoSpaceDE/>
        <w:autoSpaceDN/>
        <w:ind w:left="851" w:hanging="851"/>
        <w:jc w:val="both"/>
        <w:textAlignment w:val="auto"/>
        <w:rPr>
          <w:rFonts w:ascii="Arial" w:eastAsia="Calibri" w:hAnsi="Arial" w:cs="Arial"/>
          <w:iCs/>
          <w:sz w:val="22"/>
          <w:szCs w:val="22"/>
          <w:lang w:val="fr-FR"/>
        </w:rPr>
      </w:pPr>
    </w:p>
    <w:p w14:paraId="493BF038" w14:textId="77777777" w:rsidR="00B44C12" w:rsidRPr="00B44C12" w:rsidRDefault="00B44C12" w:rsidP="00B44C12">
      <w:pPr>
        <w:widowControl/>
        <w:numPr>
          <w:ilvl w:val="0"/>
          <w:numId w:val="8"/>
        </w:numPr>
        <w:autoSpaceDE/>
        <w:autoSpaceDN/>
        <w:adjustRightInd w:val="0"/>
        <w:ind w:left="1440" w:hanging="54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Observer, en accord avec la Résolution 76/253 de l’assemblée générale des Nations Unies, l’Année Internationale des parcours et du pastoralisme en 2026, et sensibiliser à l’importance de la conservation et de l’utilisation durable des parcours pour la conservation des espèces inscrites à la CMS, à travers la communication, la sensibilisation, des événements et activités, la collaboration, ainsi que des supports et programmes éducatifs ;</w:t>
      </w:r>
    </w:p>
    <w:p w14:paraId="1B7B78E6" w14:textId="77777777" w:rsidR="00B44C12" w:rsidRPr="00B44C12" w:rsidRDefault="00B44C12" w:rsidP="00B44C12">
      <w:pPr>
        <w:adjustRightInd w:val="0"/>
        <w:ind w:left="1440"/>
        <w:jc w:val="both"/>
        <w:textAlignment w:val="auto"/>
        <w:rPr>
          <w:rFonts w:ascii="Arial" w:eastAsia="Calibri" w:hAnsi="Arial" w:cs="Arial"/>
          <w:sz w:val="22"/>
          <w:szCs w:val="22"/>
          <w:lang w:val="fr-FR"/>
        </w:rPr>
      </w:pPr>
    </w:p>
    <w:p w14:paraId="6AD9E040" w14:textId="77777777" w:rsidR="00B44C12" w:rsidRPr="00B44C12" w:rsidRDefault="00B44C12" w:rsidP="00B44C12">
      <w:pPr>
        <w:widowControl/>
        <w:numPr>
          <w:ilvl w:val="0"/>
          <w:numId w:val="8"/>
        </w:numPr>
        <w:autoSpaceDE/>
        <w:autoSpaceDN/>
        <w:adjustRightInd w:val="0"/>
        <w:ind w:left="1440" w:hanging="540"/>
        <w:jc w:val="both"/>
        <w:textAlignment w:val="auto"/>
        <w:rPr>
          <w:rFonts w:ascii="Arial" w:eastAsia="Calibri" w:hAnsi="Arial" w:cs="Arial"/>
          <w:sz w:val="22"/>
          <w:szCs w:val="22"/>
          <w:lang w:val="fr-FR"/>
        </w:rPr>
      </w:pPr>
      <w:r w:rsidRPr="00B44C12">
        <w:rPr>
          <w:rFonts w:ascii="Arial" w:eastAsiaTheme="minorHAnsi" w:hAnsi="Arial" w:cs="Arial"/>
          <w:sz w:val="22"/>
          <w:szCs w:val="22"/>
          <w:lang w:val="fr-FR"/>
        </w:rPr>
        <w:t>Soutenir la mise en œuvre des actions relatives à la conservation des espèces inscrites à la CMS dans le cadre du Plan d’action mondial de l’Année Internationale des parcours et du pastoralisme, approuvé par le Comité directeur de l’Année Internationale des parcours et du pastoralisme ; et</w:t>
      </w:r>
    </w:p>
    <w:p w14:paraId="437CE924" w14:textId="77777777" w:rsidR="00B44C12" w:rsidRPr="00B44C12" w:rsidRDefault="00B44C12" w:rsidP="00B44C12">
      <w:pPr>
        <w:widowControl/>
        <w:autoSpaceDE/>
        <w:autoSpaceDN/>
        <w:textAlignment w:val="auto"/>
        <w:rPr>
          <w:rFonts w:ascii="Arial" w:eastAsia="Calibri" w:hAnsi="Arial" w:cs="Arial"/>
          <w:sz w:val="22"/>
          <w:szCs w:val="22"/>
          <w:lang w:val="fr-FR"/>
        </w:rPr>
      </w:pPr>
    </w:p>
    <w:p w14:paraId="2A08E784" w14:textId="77777777" w:rsidR="00B44C12" w:rsidRPr="00B44C12" w:rsidRDefault="00B44C12" w:rsidP="00B44C12">
      <w:pPr>
        <w:widowControl/>
        <w:numPr>
          <w:ilvl w:val="0"/>
          <w:numId w:val="8"/>
        </w:numPr>
        <w:autoSpaceDE/>
        <w:autoSpaceDN/>
        <w:adjustRightInd w:val="0"/>
        <w:ind w:left="1440" w:hanging="54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 xml:space="preserve">Appuyer le Conseil scientifique dans la mise en œuvre de la décision 15.BB, en fournissant informations, données et ressources. </w:t>
      </w:r>
    </w:p>
    <w:p w14:paraId="32A679D6" w14:textId="77777777" w:rsidR="00B44C12" w:rsidRPr="00B44C12" w:rsidRDefault="00B44C12" w:rsidP="00B44C12">
      <w:pPr>
        <w:widowControl/>
        <w:autoSpaceDE/>
        <w:autoSpaceDN/>
        <w:textAlignment w:val="auto"/>
        <w:rPr>
          <w:rFonts w:ascii="Arial" w:eastAsia="Calibri" w:hAnsi="Arial" w:cs="Arial"/>
          <w:sz w:val="22"/>
          <w:szCs w:val="22"/>
          <w:lang w:val="fr-FR"/>
        </w:rPr>
      </w:pPr>
    </w:p>
    <w:p w14:paraId="379CDA23" w14:textId="77777777" w:rsidR="00B44C12" w:rsidRPr="00B44C12" w:rsidRDefault="00B44C12" w:rsidP="00B44C12">
      <w:pPr>
        <w:widowControl/>
        <w:autoSpaceDE/>
        <w:autoSpaceDN/>
        <w:jc w:val="both"/>
        <w:textAlignment w:val="auto"/>
        <w:rPr>
          <w:rFonts w:ascii="Arial" w:eastAsia="Calibri" w:hAnsi="Arial" w:cs="Arial"/>
          <w:sz w:val="22"/>
          <w:szCs w:val="22"/>
          <w:lang w:val="fr-FR"/>
        </w:rPr>
      </w:pPr>
      <w:r w:rsidRPr="00B44C12">
        <w:rPr>
          <w:rFonts w:ascii="Arial" w:eastAsia="Calibri" w:hAnsi="Arial" w:cs="Arial"/>
          <w:b/>
          <w:i/>
          <w:sz w:val="22"/>
          <w:szCs w:val="22"/>
          <w:lang w:val="fr-FR"/>
        </w:rPr>
        <w:t xml:space="preserve">À l'adresse du Conseil scientifique </w:t>
      </w:r>
    </w:p>
    <w:p w14:paraId="176950ED" w14:textId="77777777" w:rsidR="00B44C12" w:rsidRPr="00B44C12" w:rsidRDefault="00B44C12" w:rsidP="00B44C12">
      <w:pPr>
        <w:widowControl/>
        <w:autoSpaceDE/>
        <w:autoSpaceDN/>
        <w:jc w:val="both"/>
        <w:textAlignment w:val="auto"/>
        <w:rPr>
          <w:rFonts w:ascii="Arial" w:eastAsia="Calibri" w:hAnsi="Arial" w:cs="Arial"/>
          <w:sz w:val="22"/>
          <w:szCs w:val="22"/>
          <w:lang w:val="fr-FR"/>
        </w:rPr>
      </w:pPr>
    </w:p>
    <w:p w14:paraId="3E525044" w14:textId="33A33FF8" w:rsidR="00B44C12" w:rsidRPr="00B44C12" w:rsidRDefault="00B44C12" w:rsidP="00B44C12">
      <w:pPr>
        <w:widowControl/>
        <w:autoSpaceDE/>
        <w:autoSpaceDN/>
        <w:ind w:left="900" w:hanging="90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15.BB</w:t>
      </w:r>
      <w:r w:rsidRPr="00B44C12">
        <w:rPr>
          <w:rFonts w:ascii="Arial" w:eastAsia="Calibri" w:hAnsi="Arial" w:cs="Arial"/>
          <w:sz w:val="22"/>
          <w:szCs w:val="22"/>
          <w:lang w:val="fr-FR"/>
        </w:rPr>
        <w:tab/>
      </w:r>
      <w:r w:rsidRPr="00B44C12">
        <w:rPr>
          <w:rFonts w:ascii="Arial" w:eastAsiaTheme="minorHAnsi" w:hAnsi="Arial" w:cs="Arial"/>
          <w:sz w:val="22"/>
          <w:szCs w:val="22"/>
          <w:lang w:val="fr-FR"/>
        </w:rPr>
        <w:t>Le Conseil scientifique est prié de prolonger le mandat du Groupe de travail sur le pastoralisme et les espèces inscrites à la CMS jusqu'à ce que le Comité de session décide que ses travaux sont terminés ou qu'un autre arrangement soit trouvé. Le Groupe de travail est invité</w:t>
      </w:r>
      <w:r w:rsidR="00D635FC">
        <w:rPr>
          <w:rFonts w:ascii="Arial" w:eastAsiaTheme="minorHAnsi" w:hAnsi="Arial" w:cs="Arial"/>
          <w:sz w:val="22"/>
          <w:szCs w:val="22"/>
          <w:lang w:val="fr-FR"/>
        </w:rPr>
        <w:t>, en coopération avec la CNUL</w:t>
      </w:r>
      <w:r w:rsidR="005A2A89">
        <w:rPr>
          <w:rFonts w:ascii="Arial" w:eastAsiaTheme="minorHAnsi" w:hAnsi="Arial" w:cs="Arial"/>
          <w:sz w:val="22"/>
          <w:szCs w:val="22"/>
          <w:lang w:val="fr-FR"/>
        </w:rPr>
        <w:t>C</w:t>
      </w:r>
      <w:r w:rsidR="00D635FC">
        <w:rPr>
          <w:rFonts w:ascii="Arial" w:eastAsiaTheme="minorHAnsi" w:hAnsi="Arial" w:cs="Arial"/>
          <w:sz w:val="22"/>
          <w:szCs w:val="22"/>
          <w:lang w:val="fr-FR"/>
        </w:rPr>
        <w:t>D</w:t>
      </w:r>
      <w:r w:rsidR="00BE5A56">
        <w:rPr>
          <w:rFonts w:ascii="Arial" w:eastAsiaTheme="minorHAnsi" w:hAnsi="Arial" w:cs="Arial"/>
          <w:sz w:val="22"/>
          <w:szCs w:val="22"/>
          <w:lang w:val="fr-FR"/>
        </w:rPr>
        <w:t xml:space="preserve"> et lorsque nécessaire</w:t>
      </w:r>
      <w:r w:rsidR="00D635FC">
        <w:rPr>
          <w:rFonts w:ascii="Arial" w:eastAsiaTheme="minorHAnsi" w:hAnsi="Arial" w:cs="Arial"/>
          <w:sz w:val="22"/>
          <w:szCs w:val="22"/>
          <w:lang w:val="fr-FR"/>
        </w:rPr>
        <w:t>,</w:t>
      </w:r>
      <w:r w:rsidRPr="00B44C12">
        <w:rPr>
          <w:rFonts w:ascii="Arial" w:eastAsiaTheme="minorHAnsi" w:hAnsi="Arial" w:cs="Arial"/>
          <w:sz w:val="22"/>
          <w:szCs w:val="22"/>
          <w:lang w:val="fr-FR"/>
        </w:rPr>
        <w:t xml:space="preserve"> à :</w:t>
      </w:r>
    </w:p>
    <w:p w14:paraId="76DE1512" w14:textId="77777777" w:rsidR="00B44C12" w:rsidRPr="00B44C12" w:rsidRDefault="00B44C12" w:rsidP="00B44C12">
      <w:pPr>
        <w:widowControl/>
        <w:autoSpaceDE/>
        <w:autoSpaceDN/>
        <w:ind w:left="900" w:hanging="900"/>
        <w:jc w:val="both"/>
        <w:textAlignment w:val="auto"/>
        <w:rPr>
          <w:rFonts w:ascii="Arial" w:eastAsiaTheme="minorHAnsi" w:hAnsi="Arial" w:cs="Arial"/>
          <w:sz w:val="22"/>
          <w:szCs w:val="22"/>
          <w:lang w:val="fr-FR"/>
        </w:rPr>
      </w:pPr>
    </w:p>
    <w:p w14:paraId="40DB419C" w14:textId="77777777" w:rsidR="00B44C12" w:rsidRPr="00B44C12" w:rsidRDefault="00B44C12" w:rsidP="00B44C12">
      <w:pPr>
        <w:widowControl/>
        <w:numPr>
          <w:ilvl w:val="0"/>
          <w:numId w:val="10"/>
        </w:numPr>
        <w:autoSpaceDE/>
        <w:autoSpaceDN/>
        <w:adjustRightInd w:val="0"/>
        <w:ind w:left="1440" w:hanging="54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 xml:space="preserve">Sous la direction d’un expert dédié et lors d’au moins une réunion en présentiel, sous réserve de la disponibilité de ressources, </w:t>
      </w:r>
    </w:p>
    <w:p w14:paraId="3670D111" w14:textId="77777777" w:rsidR="00B44C12" w:rsidRPr="00B44C12" w:rsidRDefault="00B44C12" w:rsidP="00B44C12">
      <w:pPr>
        <w:adjustRightInd w:val="0"/>
        <w:ind w:left="360"/>
        <w:jc w:val="both"/>
        <w:textAlignment w:val="auto"/>
        <w:rPr>
          <w:rFonts w:ascii="Arial" w:eastAsia="Calibri" w:hAnsi="Arial" w:cs="Arial"/>
          <w:sz w:val="22"/>
          <w:szCs w:val="22"/>
          <w:lang w:val="fr-FR"/>
        </w:rPr>
      </w:pPr>
    </w:p>
    <w:p w14:paraId="21115963" w14:textId="77777777" w:rsidR="00B44C12" w:rsidRPr="00B44C12" w:rsidRDefault="00B44C12" w:rsidP="00B44C12">
      <w:pPr>
        <w:widowControl/>
        <w:numPr>
          <w:ilvl w:val="2"/>
          <w:numId w:val="7"/>
        </w:numPr>
        <w:autoSpaceDE/>
        <w:autoSpaceDN/>
        <w:adjustRightInd w:val="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Superposer, dans la mesure du possible, les cartes des parcours pastoraux et des habitats clés de certaines espèces inscrites à la CMS afin d’identifier les chevauchements, de mettre en évidence les interactions positives et négatives, ainsi que les actions nécessaires pour soutenir la coexistence des espèces sauvages et des animaux domestiques ;</w:t>
      </w:r>
    </w:p>
    <w:p w14:paraId="319EE722" w14:textId="77777777" w:rsidR="00B44C12" w:rsidRPr="00B44C12" w:rsidRDefault="00B44C12" w:rsidP="00B44C12">
      <w:pPr>
        <w:adjustRightInd w:val="0"/>
        <w:ind w:left="2160"/>
        <w:jc w:val="both"/>
        <w:textAlignment w:val="auto"/>
        <w:rPr>
          <w:rFonts w:ascii="Arial" w:eastAsia="Calibri" w:hAnsi="Arial" w:cs="Arial"/>
          <w:sz w:val="22"/>
          <w:szCs w:val="22"/>
          <w:lang w:val="fr-FR"/>
        </w:rPr>
      </w:pPr>
    </w:p>
    <w:p w14:paraId="3815D7B9" w14:textId="77777777" w:rsidR="00B44C12" w:rsidRPr="00B44C12" w:rsidRDefault="00B44C12" w:rsidP="00B44C12">
      <w:pPr>
        <w:widowControl/>
        <w:numPr>
          <w:ilvl w:val="2"/>
          <w:numId w:val="7"/>
        </w:numPr>
        <w:autoSpaceDE/>
        <w:autoSpaceDN/>
        <w:adjustRightInd w:val="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Définir les informations/données nécessaires aux décideurs des secteurs agricole et forestier pour garantir que les espèces migratrices sont prises en compte dans la planification et la gestion de l'utilisation des terres pastorales ;</w:t>
      </w:r>
    </w:p>
    <w:p w14:paraId="39019BEA" w14:textId="77777777" w:rsidR="00B44C12" w:rsidRPr="00B44C12" w:rsidRDefault="00B44C12" w:rsidP="00B44C12">
      <w:pPr>
        <w:adjustRightInd w:val="0"/>
        <w:ind w:left="2160"/>
        <w:jc w:val="both"/>
        <w:textAlignment w:val="auto"/>
        <w:rPr>
          <w:rFonts w:ascii="Arial" w:eastAsia="Calibri" w:hAnsi="Arial" w:cs="Arial"/>
          <w:sz w:val="22"/>
          <w:szCs w:val="22"/>
          <w:lang w:val="fr-FR"/>
        </w:rPr>
      </w:pPr>
    </w:p>
    <w:p w14:paraId="0DC73355" w14:textId="77777777" w:rsidR="00B44C12" w:rsidRPr="00B44C12" w:rsidRDefault="00B44C12" w:rsidP="00B44C12">
      <w:pPr>
        <w:widowControl/>
        <w:numPr>
          <w:ilvl w:val="2"/>
          <w:numId w:val="7"/>
        </w:numPr>
        <w:autoSpaceDE/>
        <w:autoSpaceDN/>
        <w:adjustRightInd w:val="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 xml:space="preserve">Élaborer des lignes directrices pour les décideurs sur le pastoralisme durable dans les habitats des espèces migratrices, sur la base des points (i) et (ii), en tenant compte des recommandations contenues </w:t>
      </w:r>
      <w:r w:rsidRPr="00B44C12">
        <w:rPr>
          <w:rFonts w:ascii="Arial" w:eastAsia="Calibri" w:hAnsi="Arial" w:cs="Arial"/>
          <w:sz w:val="22"/>
          <w:szCs w:val="22"/>
          <w:lang w:val="fr-FR"/>
        </w:rPr>
        <w:lastRenderedPageBreak/>
        <w:t>dans le document UNEP/CMS/COP15/Doc.28.6, des mandats existants de la Convention sur la conservation des espèces migratrices appartenant à la faune sauvage, des droits des pasteurs, des considérations culturelles, des impacts négatifs des pratiques non durables et des impacts positifs du pastoralisme durable sur les espèces migratrices, y compris la santé des espèces sauvages et les aspects de l'approche Une seule santé ; et</w:t>
      </w:r>
    </w:p>
    <w:p w14:paraId="2E08F6C2" w14:textId="77777777" w:rsidR="00B44C12" w:rsidRPr="00B44C12" w:rsidRDefault="00B44C12" w:rsidP="00B44C12">
      <w:pPr>
        <w:adjustRightInd w:val="0"/>
        <w:ind w:left="2160"/>
        <w:jc w:val="both"/>
        <w:textAlignment w:val="auto"/>
        <w:rPr>
          <w:rFonts w:ascii="Arial" w:eastAsia="Calibri" w:hAnsi="Arial" w:cs="Arial"/>
          <w:sz w:val="22"/>
          <w:szCs w:val="22"/>
          <w:lang w:val="fr-FR"/>
        </w:rPr>
      </w:pPr>
    </w:p>
    <w:p w14:paraId="28EF30C4" w14:textId="77777777" w:rsidR="00B44C12" w:rsidRPr="00B44C12" w:rsidRDefault="00B44C12" w:rsidP="00B44C12">
      <w:pPr>
        <w:widowControl/>
        <w:numPr>
          <w:ilvl w:val="2"/>
          <w:numId w:val="7"/>
        </w:numPr>
        <w:autoSpaceDE/>
        <w:autoSpaceDN/>
        <w:adjustRightInd w:val="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Élaborer des recommandations sur la manière d'intégrer les lignes directrices dans les politiques d'utilisation des terres et de conservation aux niveaux national et international afin d'obtenir des bénéfices à la fois pour la conservation des espèces migratrices et pour les pasteurs ;</w:t>
      </w:r>
    </w:p>
    <w:p w14:paraId="7B2EA332" w14:textId="77777777" w:rsidR="00B44C12" w:rsidRPr="00B44C12" w:rsidRDefault="00B44C12" w:rsidP="00B44C12">
      <w:pPr>
        <w:adjustRightInd w:val="0"/>
        <w:ind w:left="1418"/>
        <w:jc w:val="both"/>
        <w:textAlignment w:val="auto"/>
        <w:rPr>
          <w:rFonts w:ascii="Arial" w:eastAsia="Calibri" w:hAnsi="Arial" w:cs="Arial"/>
          <w:sz w:val="22"/>
          <w:szCs w:val="22"/>
          <w:lang w:val="fr-FR"/>
        </w:rPr>
      </w:pPr>
    </w:p>
    <w:p w14:paraId="4737A6C1" w14:textId="77777777" w:rsidR="00B44C12" w:rsidRPr="00B44C12" w:rsidRDefault="00B44C12" w:rsidP="00B44C12">
      <w:pPr>
        <w:widowControl/>
        <w:numPr>
          <w:ilvl w:val="0"/>
          <w:numId w:val="9"/>
        </w:numPr>
        <w:autoSpaceDE/>
        <w:autoSpaceDN/>
        <w:adjustRightInd w:val="0"/>
        <w:ind w:left="1440" w:hanging="54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S’appuyant sur ce qui précède, préparer un projet de Résolution sur le pastoralisme et les espèces migratrices pour examen par la Conférence des Parties lors de sa 16</w:t>
      </w:r>
      <w:r w:rsidRPr="00B44C12">
        <w:rPr>
          <w:rFonts w:ascii="Arial" w:eastAsia="Calibri" w:hAnsi="Arial" w:cs="Arial"/>
          <w:sz w:val="22"/>
          <w:szCs w:val="22"/>
          <w:vertAlign w:val="superscript"/>
          <w:lang w:val="fr-FR"/>
        </w:rPr>
        <w:t>e</w:t>
      </w:r>
      <w:r w:rsidRPr="00B44C12">
        <w:rPr>
          <w:rFonts w:ascii="Arial" w:eastAsia="Calibri" w:hAnsi="Arial" w:cs="Arial"/>
          <w:sz w:val="22"/>
          <w:szCs w:val="22"/>
          <w:lang w:val="fr-FR"/>
        </w:rPr>
        <w:t xml:space="preserve"> réunion.</w:t>
      </w:r>
    </w:p>
    <w:p w14:paraId="3D05220A" w14:textId="77777777" w:rsidR="00B44C12" w:rsidRPr="00B44C12" w:rsidRDefault="00B44C12" w:rsidP="00B44C12">
      <w:pPr>
        <w:adjustRightInd w:val="0"/>
        <w:ind w:left="1418"/>
        <w:jc w:val="both"/>
        <w:textAlignment w:val="auto"/>
        <w:rPr>
          <w:rFonts w:ascii="Arial" w:eastAsia="Calibri" w:hAnsi="Arial" w:cs="Arial"/>
          <w:b/>
          <w:i/>
          <w:sz w:val="22"/>
          <w:szCs w:val="22"/>
          <w:lang w:val="fr-FR"/>
        </w:rPr>
      </w:pPr>
    </w:p>
    <w:p w14:paraId="08F7B101" w14:textId="77777777" w:rsidR="00B44C12" w:rsidRPr="00B44C12" w:rsidRDefault="00B44C12" w:rsidP="00B44C12">
      <w:pPr>
        <w:adjustRightInd w:val="0"/>
        <w:ind w:left="1418"/>
        <w:jc w:val="both"/>
        <w:textAlignment w:val="auto"/>
        <w:rPr>
          <w:rFonts w:ascii="Arial" w:eastAsia="Calibri" w:hAnsi="Arial" w:cs="Arial"/>
          <w:b/>
          <w:i/>
          <w:sz w:val="22"/>
          <w:szCs w:val="22"/>
          <w:lang w:val="fr-FR"/>
        </w:rPr>
      </w:pPr>
    </w:p>
    <w:p w14:paraId="214E1EE6" w14:textId="77777777" w:rsidR="00B44C12" w:rsidRPr="00B44C12" w:rsidRDefault="00B44C12" w:rsidP="00B44C12">
      <w:pPr>
        <w:adjustRightInd w:val="0"/>
        <w:jc w:val="both"/>
        <w:textAlignment w:val="auto"/>
        <w:rPr>
          <w:rFonts w:ascii="Arial" w:eastAsia="Calibri" w:hAnsi="Arial" w:cs="Arial"/>
          <w:b/>
          <w:i/>
          <w:sz w:val="22"/>
          <w:szCs w:val="22"/>
          <w:lang w:val="fr-FR"/>
        </w:rPr>
      </w:pPr>
      <w:r w:rsidRPr="00B44C12">
        <w:rPr>
          <w:rFonts w:ascii="Arial" w:eastAsia="Calibri" w:hAnsi="Arial" w:cs="Arial"/>
          <w:b/>
          <w:i/>
          <w:sz w:val="22"/>
          <w:szCs w:val="22"/>
          <w:lang w:val="fr-FR"/>
        </w:rPr>
        <w:t>À l'adresse du Secrétariat</w:t>
      </w:r>
    </w:p>
    <w:p w14:paraId="4D04257C" w14:textId="77777777" w:rsidR="00B44C12" w:rsidRPr="00B44C12" w:rsidRDefault="00B44C12" w:rsidP="00B44C12">
      <w:pPr>
        <w:widowControl/>
        <w:autoSpaceDE/>
        <w:autoSpaceDN/>
        <w:jc w:val="both"/>
        <w:textAlignment w:val="auto"/>
        <w:rPr>
          <w:rFonts w:ascii="Arial" w:eastAsia="Calibri" w:hAnsi="Arial" w:cs="Arial"/>
          <w:sz w:val="22"/>
          <w:szCs w:val="22"/>
          <w:lang w:val="fr-FR"/>
        </w:rPr>
      </w:pPr>
    </w:p>
    <w:p w14:paraId="331EEE46" w14:textId="77777777" w:rsidR="00B44C12" w:rsidRPr="00B44C12" w:rsidRDefault="00B44C12" w:rsidP="00B44C12">
      <w:pPr>
        <w:widowControl/>
        <w:autoSpaceDE/>
        <w:autoSpaceDN/>
        <w:ind w:left="851" w:hanging="851"/>
        <w:jc w:val="both"/>
        <w:textAlignment w:val="auto"/>
        <w:rPr>
          <w:rFonts w:ascii="Arial" w:eastAsia="Calibri" w:hAnsi="Arial" w:cs="Arial"/>
          <w:iCs/>
          <w:sz w:val="22"/>
          <w:szCs w:val="22"/>
          <w:lang w:val="fr-FR"/>
        </w:rPr>
      </w:pPr>
      <w:r w:rsidRPr="00B44C12">
        <w:rPr>
          <w:rFonts w:ascii="Arial" w:eastAsia="Calibri" w:hAnsi="Arial" w:cs="Arial"/>
          <w:sz w:val="22"/>
          <w:szCs w:val="22"/>
          <w:lang w:val="fr-FR"/>
        </w:rPr>
        <w:t>15.CC</w:t>
      </w:r>
      <w:r w:rsidRPr="00B44C12">
        <w:rPr>
          <w:rFonts w:ascii="Arial" w:eastAsia="Calibri" w:hAnsi="Arial" w:cs="Arial"/>
          <w:sz w:val="22"/>
          <w:szCs w:val="22"/>
          <w:lang w:val="fr-FR"/>
        </w:rPr>
        <w:tab/>
        <w:t xml:space="preserve"> Le Secrétariat est chargé, sous réserve de la disponibilité des ressources :</w:t>
      </w:r>
    </w:p>
    <w:p w14:paraId="44A7C04E" w14:textId="77777777" w:rsidR="00B44C12" w:rsidRPr="00B44C12" w:rsidRDefault="00B44C12" w:rsidP="00B44C12">
      <w:pPr>
        <w:adjustRightInd w:val="0"/>
        <w:jc w:val="both"/>
        <w:textAlignment w:val="auto"/>
        <w:rPr>
          <w:rFonts w:ascii="Arial" w:eastAsia="Calibri" w:hAnsi="Arial" w:cs="Arial"/>
          <w:iCs/>
          <w:sz w:val="22"/>
          <w:szCs w:val="22"/>
          <w:lang w:val="fr-FR"/>
        </w:rPr>
      </w:pPr>
    </w:p>
    <w:p w14:paraId="7289581C" w14:textId="77777777" w:rsidR="00B44C12" w:rsidRPr="00B44C12" w:rsidRDefault="00B44C12" w:rsidP="00B44C12">
      <w:pPr>
        <w:widowControl/>
        <w:numPr>
          <w:ilvl w:val="0"/>
          <w:numId w:val="11"/>
        </w:numPr>
        <w:autoSpaceDE/>
        <w:autoSpaceDN/>
        <w:adjustRightInd w:val="0"/>
        <w:ind w:left="1440" w:hanging="54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 xml:space="preserve">De consolider les informations provenant des différents mandats de la Convention sur la conservation des espèces migratrices appartenant à la faune sauvage relatifs aux interactions entre le pastoralisme et les espèces inscrites à la CMS, et élaborer des outils de communication adaptés pour transmettre ces informations aux secteurs et organisations concernés, dans le but de promouvoir la mise en œuvre des mandats de la Convention sur la conservation des espèces migratrices appartenant à la faune sauvage ; </w:t>
      </w:r>
    </w:p>
    <w:p w14:paraId="1A0619F8" w14:textId="77777777" w:rsidR="00B44C12" w:rsidRPr="00B44C12" w:rsidRDefault="00B44C12" w:rsidP="00B44C12">
      <w:pPr>
        <w:adjustRightInd w:val="0"/>
        <w:ind w:left="1440"/>
        <w:jc w:val="both"/>
        <w:textAlignment w:val="auto"/>
        <w:rPr>
          <w:rFonts w:ascii="Arial" w:eastAsia="Calibri" w:hAnsi="Arial" w:cs="Arial"/>
          <w:sz w:val="22"/>
          <w:szCs w:val="22"/>
          <w:lang w:val="fr-FR"/>
        </w:rPr>
      </w:pPr>
    </w:p>
    <w:p w14:paraId="771EF2DE" w14:textId="18D9CFDC" w:rsidR="00B44C12" w:rsidRPr="00B44C12" w:rsidRDefault="00B44C12" w:rsidP="00B44C12">
      <w:pPr>
        <w:widowControl/>
        <w:numPr>
          <w:ilvl w:val="0"/>
          <w:numId w:val="11"/>
        </w:numPr>
        <w:autoSpaceDE/>
        <w:autoSpaceDN/>
        <w:adjustRightInd w:val="0"/>
        <w:ind w:left="1440" w:hanging="54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D'assurer la liaison avec les Secrétariats de la Convention sur la diversité biologique (CDB), de la Convention des Nations Unies sur la lutte contre la désertification (CNUL</w:t>
      </w:r>
      <w:r w:rsidR="00BE5A56">
        <w:rPr>
          <w:rFonts w:ascii="Arial" w:eastAsia="Calibri" w:hAnsi="Arial" w:cs="Arial"/>
          <w:sz w:val="22"/>
          <w:szCs w:val="22"/>
          <w:lang w:val="fr-FR"/>
        </w:rPr>
        <w:t>C</w:t>
      </w:r>
      <w:r w:rsidRPr="00B44C12">
        <w:rPr>
          <w:rFonts w:ascii="Arial" w:eastAsia="Calibri" w:hAnsi="Arial" w:cs="Arial"/>
          <w:sz w:val="22"/>
          <w:szCs w:val="22"/>
          <w:lang w:val="fr-FR"/>
        </w:rPr>
        <w:t>D) et de la Convention-cadre des Nations Unies sur les changements climatiques (CCNUCC), avec le Groupe de travail sur les parcours de la Global Rewilding Alliance, la Global Grasslands and Savannahs Dialogue Platform (plateforme mondiale de dialogue sur les prairies et savanes), l’Alliance mondiale de l’Année internationale des parcours et du pastoralisme et d’autres partenaires, afin d’explorer les possibilités de coopération, notamment à travers des activités conjointes soulignant le pastoralisme et sa pertinence pour la conservation des espèces inscrites à la CMS, avec le soutien du Groupe de travail établi par le Conseil scientifique en vertu de la décision 15.BB ; et</w:t>
      </w:r>
    </w:p>
    <w:p w14:paraId="79581C31" w14:textId="77777777" w:rsidR="00B44C12" w:rsidRPr="00B44C12" w:rsidRDefault="00B44C12" w:rsidP="00B44C12">
      <w:pPr>
        <w:adjustRightInd w:val="0"/>
        <w:ind w:left="1440"/>
        <w:jc w:val="both"/>
        <w:textAlignment w:val="auto"/>
        <w:rPr>
          <w:rFonts w:ascii="Arial" w:eastAsia="Calibri" w:hAnsi="Arial" w:cs="Arial"/>
          <w:sz w:val="22"/>
          <w:szCs w:val="22"/>
          <w:lang w:val="fr-FR"/>
        </w:rPr>
      </w:pPr>
    </w:p>
    <w:p w14:paraId="443E7338" w14:textId="77777777" w:rsidR="00B44C12" w:rsidRPr="00B44C12" w:rsidRDefault="00B44C12" w:rsidP="00B44C12">
      <w:pPr>
        <w:widowControl/>
        <w:numPr>
          <w:ilvl w:val="0"/>
          <w:numId w:val="11"/>
        </w:numPr>
        <w:autoSpaceDE/>
        <w:autoSpaceDN/>
        <w:adjustRightInd w:val="0"/>
        <w:ind w:left="1440" w:hanging="540"/>
        <w:jc w:val="both"/>
        <w:textAlignment w:val="auto"/>
        <w:rPr>
          <w:rFonts w:ascii="Arial" w:eastAsia="Calibri" w:hAnsi="Arial" w:cs="Arial"/>
          <w:sz w:val="22"/>
          <w:szCs w:val="22"/>
          <w:lang w:val="fr-FR"/>
        </w:rPr>
      </w:pPr>
      <w:r w:rsidRPr="00B44C12">
        <w:rPr>
          <w:rFonts w:ascii="Arial" w:eastAsia="Calibri" w:hAnsi="Arial" w:cs="Arial"/>
          <w:sz w:val="22"/>
          <w:szCs w:val="22"/>
          <w:lang w:val="fr-FR"/>
        </w:rPr>
        <w:t xml:space="preserve">De soutenir le Conseil scientifique dans la mise en œuvre de la décision 15.BB. </w:t>
      </w:r>
    </w:p>
    <w:p w14:paraId="2AD70915" w14:textId="77777777" w:rsidR="00B44C12" w:rsidRPr="00B44C12" w:rsidRDefault="00B44C12" w:rsidP="00B44C12">
      <w:pPr>
        <w:widowControl/>
        <w:autoSpaceDE/>
        <w:autoSpaceDN/>
        <w:ind w:left="720"/>
        <w:textAlignment w:val="auto"/>
        <w:rPr>
          <w:rFonts w:ascii="Arial" w:eastAsia="Calibri" w:hAnsi="Arial" w:cs="Arial"/>
          <w:sz w:val="22"/>
          <w:szCs w:val="22"/>
          <w:lang w:val="fr-FR"/>
        </w:rPr>
      </w:pPr>
    </w:p>
    <w:p w14:paraId="16842706" w14:textId="77777777" w:rsidR="00B44C12" w:rsidRPr="00B44C12" w:rsidRDefault="00B44C12" w:rsidP="00B44C12">
      <w:pPr>
        <w:widowControl/>
        <w:autoSpaceDE/>
        <w:autoSpaceDN/>
        <w:textAlignment w:val="auto"/>
        <w:rPr>
          <w:rFonts w:ascii="Arial" w:eastAsiaTheme="minorHAnsi" w:hAnsi="Arial" w:cstheme="minorBidi"/>
          <w:sz w:val="22"/>
          <w:szCs w:val="22"/>
          <w:lang w:val="fr-FR"/>
        </w:rPr>
      </w:pPr>
    </w:p>
    <w:p w14:paraId="41915B31" w14:textId="77777777" w:rsidR="00B44C12" w:rsidRPr="007A5544" w:rsidRDefault="00B44C12" w:rsidP="00B44C12">
      <w:pPr>
        <w:pStyle w:val="ListParagraph"/>
        <w:suppressAutoHyphens/>
        <w:ind w:left="0"/>
        <w:contextualSpacing w:val="0"/>
        <w:rPr>
          <w:rFonts w:cs="Arial"/>
          <w:lang w:val="fr-FR"/>
        </w:rPr>
      </w:pPr>
    </w:p>
    <w:sectPr w:rsidR="00B44C12"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8CF8" w14:textId="77777777" w:rsidR="00EC5AAB" w:rsidRDefault="00EC5AAB">
      <w:r>
        <w:separator/>
      </w:r>
    </w:p>
  </w:endnote>
  <w:endnote w:type="continuationSeparator" w:id="0">
    <w:p w14:paraId="1EAC5CDA" w14:textId="77777777" w:rsidR="00EC5AAB" w:rsidRDefault="00EC5AAB">
      <w:r>
        <w:continuationSeparator/>
      </w:r>
    </w:p>
  </w:endnote>
  <w:endnote w:type="continuationNotice" w:id="1">
    <w:p w14:paraId="2FA7FC3A" w14:textId="77777777" w:rsidR="00EC5AAB" w:rsidRDefault="00EC5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D1E7" w14:textId="77777777" w:rsidR="00EC5AAB" w:rsidRDefault="00EC5AAB">
      <w:r>
        <w:rPr>
          <w:color w:val="000000"/>
        </w:rPr>
        <w:separator/>
      </w:r>
    </w:p>
  </w:footnote>
  <w:footnote w:type="continuationSeparator" w:id="0">
    <w:p w14:paraId="27DAAD2C" w14:textId="77777777" w:rsidR="00EC5AAB" w:rsidRDefault="00EC5AAB">
      <w:r>
        <w:continuationSeparator/>
      </w:r>
    </w:p>
  </w:footnote>
  <w:footnote w:type="continuationNotice" w:id="1">
    <w:p w14:paraId="239B5042" w14:textId="77777777" w:rsidR="00EC5AAB" w:rsidRDefault="00EC5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016D39B3"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B44C12">
      <w:rPr>
        <w:rFonts w:ascii="Arial" w:hAnsi="Arial" w:cs="Arial"/>
        <w:i/>
        <w:sz w:val="18"/>
        <w:szCs w:val="18"/>
        <w:lang w:val="pt-PT"/>
      </w:rPr>
      <w:t>28.6</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5EC042D" w:rsidR="0041439A" w:rsidRPr="00F52A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w:t>
    </w:r>
    <w:r w:rsidR="00620BD8">
      <w:rPr>
        <w:rFonts w:ascii="Arial" w:hAnsi="Arial" w:cs="Arial"/>
        <w:i/>
        <w:szCs w:val="20"/>
        <w:lang w:val="pt-PT"/>
      </w:rPr>
      <w:t>25.1.1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0F2CF738"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B44C12">
      <w:rPr>
        <w:rFonts w:ascii="Arial" w:hAnsi="Arial" w:cs="Arial"/>
        <w:bCs/>
        <w:i/>
        <w:iCs/>
        <w:sz w:val="18"/>
        <w:szCs w:val="18"/>
        <w:lang w:val="pt-PT"/>
      </w:rPr>
      <w:t>28.6</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001"/>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07513F"/>
    <w:multiLevelType w:val="hybridMultilevel"/>
    <w:tmpl w:val="35F2CDB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321D3CCF"/>
    <w:multiLevelType w:val="hybridMultilevel"/>
    <w:tmpl w:val="CF823D9A"/>
    <w:lvl w:ilvl="0" w:tplc="DF14C024">
      <w:start w:val="1"/>
      <w:numFmt w:val="lowerLetter"/>
      <w:lvlText w:val="%1)"/>
      <w:lvlJc w:val="left"/>
      <w:pPr>
        <w:ind w:left="1080" w:hanging="360"/>
      </w:pPr>
      <w:rPr>
        <w:b w:val="0"/>
        <w:bCs/>
        <w:i w:val="0"/>
        <w:iCs/>
      </w:rPr>
    </w:lvl>
    <w:lvl w:ilvl="1" w:tplc="10000019">
      <w:start w:val="1"/>
      <w:numFmt w:val="lowerLetter"/>
      <w:lvlText w:val="%2."/>
      <w:lvlJc w:val="left"/>
      <w:pPr>
        <w:ind w:left="1440" w:hanging="360"/>
      </w:pPr>
    </w:lvl>
    <w:lvl w:ilvl="2" w:tplc="1000001B">
      <w:start w:val="1"/>
      <w:numFmt w:val="lowerRoman"/>
      <w:lvlText w:val="%3."/>
      <w:lvlJc w:val="right"/>
      <w:pPr>
        <w:ind w:left="2340" w:hanging="36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5" w15:restartNumberingAfterBreak="0">
    <w:nsid w:val="39CB6EE6"/>
    <w:multiLevelType w:val="hybridMultilevel"/>
    <w:tmpl w:val="8FECFD18"/>
    <w:lvl w:ilvl="0" w:tplc="E4AAE428">
      <w:start w:val="2"/>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1244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9"/>
  </w:num>
  <w:num w:numId="2" w16cid:durableId="574051727">
    <w:abstractNumId w:val="10"/>
  </w:num>
  <w:num w:numId="3" w16cid:durableId="607733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7"/>
  </w:num>
  <w:num w:numId="5" w16cid:durableId="599720149">
    <w:abstractNumId w:val="1"/>
  </w:num>
  <w:num w:numId="6" w16cid:durableId="1796025329">
    <w:abstractNumId w:val="3"/>
  </w:num>
  <w:num w:numId="7" w16cid:durableId="992566224">
    <w:abstractNumId w:val="4"/>
  </w:num>
  <w:num w:numId="8" w16cid:durableId="1337727394">
    <w:abstractNumId w:val="2"/>
  </w:num>
  <w:num w:numId="9" w16cid:durableId="763306801">
    <w:abstractNumId w:val="5"/>
  </w:num>
  <w:num w:numId="10" w16cid:durableId="1096637291">
    <w:abstractNumId w:val="6"/>
  </w:num>
  <w:num w:numId="11" w16cid:durableId="93401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1125D7"/>
    <w:rsid w:val="00122DBF"/>
    <w:rsid w:val="001352BB"/>
    <w:rsid w:val="00142859"/>
    <w:rsid w:val="00164D92"/>
    <w:rsid w:val="00167428"/>
    <w:rsid w:val="00206A63"/>
    <w:rsid w:val="002243FE"/>
    <w:rsid w:val="00227282"/>
    <w:rsid w:val="0027066C"/>
    <w:rsid w:val="00276113"/>
    <w:rsid w:val="0029168C"/>
    <w:rsid w:val="002B6DE7"/>
    <w:rsid w:val="002C5F42"/>
    <w:rsid w:val="0033796E"/>
    <w:rsid w:val="00361315"/>
    <w:rsid w:val="00384C77"/>
    <w:rsid w:val="003E64D0"/>
    <w:rsid w:val="003F1A22"/>
    <w:rsid w:val="003F1AD8"/>
    <w:rsid w:val="0041439A"/>
    <w:rsid w:val="0043102F"/>
    <w:rsid w:val="0052458B"/>
    <w:rsid w:val="00534B16"/>
    <w:rsid w:val="005645C4"/>
    <w:rsid w:val="0058757D"/>
    <w:rsid w:val="005A2A89"/>
    <w:rsid w:val="005D43E4"/>
    <w:rsid w:val="005D574F"/>
    <w:rsid w:val="005F0639"/>
    <w:rsid w:val="00620BD8"/>
    <w:rsid w:val="006821C9"/>
    <w:rsid w:val="00687331"/>
    <w:rsid w:val="006D020E"/>
    <w:rsid w:val="007103C8"/>
    <w:rsid w:val="00751AAD"/>
    <w:rsid w:val="007A1066"/>
    <w:rsid w:val="007A5544"/>
    <w:rsid w:val="007F43DD"/>
    <w:rsid w:val="00826906"/>
    <w:rsid w:val="00857813"/>
    <w:rsid w:val="00870CAA"/>
    <w:rsid w:val="00950DA4"/>
    <w:rsid w:val="00960B8C"/>
    <w:rsid w:val="0096699F"/>
    <w:rsid w:val="009B03FC"/>
    <w:rsid w:val="009F3558"/>
    <w:rsid w:val="009F7D1B"/>
    <w:rsid w:val="00A8579B"/>
    <w:rsid w:val="00AA138B"/>
    <w:rsid w:val="00AB5285"/>
    <w:rsid w:val="00AE39EA"/>
    <w:rsid w:val="00AE590E"/>
    <w:rsid w:val="00B4191F"/>
    <w:rsid w:val="00B44C12"/>
    <w:rsid w:val="00B91802"/>
    <w:rsid w:val="00BE5A56"/>
    <w:rsid w:val="00C30C58"/>
    <w:rsid w:val="00C31E29"/>
    <w:rsid w:val="00D416B7"/>
    <w:rsid w:val="00D50F95"/>
    <w:rsid w:val="00D61140"/>
    <w:rsid w:val="00D635FC"/>
    <w:rsid w:val="00D82C56"/>
    <w:rsid w:val="00DB2EEB"/>
    <w:rsid w:val="00E1532C"/>
    <w:rsid w:val="00E45B44"/>
    <w:rsid w:val="00E829C9"/>
    <w:rsid w:val="00EC5AAB"/>
    <w:rsid w:val="00EF2BC5"/>
    <w:rsid w:val="00EF34EF"/>
    <w:rsid w:val="00F52A55"/>
    <w:rsid w:val="00F56104"/>
    <w:rsid w:val="00FB1B2C"/>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D635FC"/>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B94A3E65-C89D-45E4-B292-9CD92C7865BE}"/>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7</cp:revision>
  <cp:lastPrinted>2020-02-03T15:02:00Z</cp:lastPrinted>
  <dcterms:created xsi:type="dcterms:W3CDTF">2026-03-13T12:43:00Z</dcterms:created>
  <dcterms:modified xsi:type="dcterms:W3CDTF">2026-03-25T04:22:00Z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fr</vt:lpwstr>
  </property>
</Properties>
</file>