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126E" w14:textId="77777777" w:rsidR="002F54E6" w:rsidRPr="002F54E6" w:rsidRDefault="002F54E6" w:rsidP="00A236B7">
      <w:pPr>
        <w:jc w:val="center"/>
        <w:rPr>
          <w:rFonts w:ascii="Arial" w:hAnsi="Arial" w:cs="Arial"/>
          <w:b/>
          <w:bCs/>
          <w:sz w:val="22"/>
          <w:szCs w:val="22"/>
          <w:lang w:val="es-ES"/>
        </w:rPr>
      </w:pPr>
      <w:r w:rsidRPr="002F54E6">
        <w:rPr>
          <w:rFonts w:ascii="Arial" w:hAnsi="Arial"/>
          <w:b/>
          <w:sz w:val="22"/>
          <w:lang w:val="es-ES"/>
        </w:rPr>
        <w:t>ÁREAS DE CONSERVACIÓN TRANSFRONTERIZAS PARA LAS ESPECIES MIGRATORIAS</w:t>
      </w:r>
    </w:p>
    <w:p w14:paraId="500CCDBE" w14:textId="77777777" w:rsidR="002F54E6" w:rsidRPr="00D03EE2" w:rsidRDefault="002F54E6" w:rsidP="00A236B7">
      <w:pPr>
        <w:jc w:val="center"/>
        <w:rPr>
          <w:rFonts w:ascii="Arial" w:hAnsi="Arial" w:cs="Arial"/>
          <w:b/>
          <w:sz w:val="22"/>
          <w:szCs w:val="22"/>
          <w:lang w:val="es-ES"/>
        </w:rPr>
      </w:pPr>
    </w:p>
    <w:p w14:paraId="163DCC51" w14:textId="77777777" w:rsidR="002F54E6" w:rsidRPr="002F54E6" w:rsidRDefault="002F54E6" w:rsidP="002F54E6">
      <w:pPr>
        <w:spacing w:after="120"/>
        <w:jc w:val="center"/>
        <w:rPr>
          <w:rFonts w:ascii="Arial" w:hAnsi="Arial" w:cs="Arial"/>
          <w:sz w:val="22"/>
          <w:szCs w:val="22"/>
          <w:lang w:val="es-ES"/>
        </w:rPr>
      </w:pPr>
      <w:r w:rsidRPr="002F54E6">
        <w:rPr>
          <w:rFonts w:ascii="Arial" w:hAnsi="Arial"/>
          <w:sz w:val="22"/>
          <w:lang w:val="es-ES"/>
        </w:rPr>
        <w:t>UNEP/CMS/COP15/Doc.28.3</w:t>
      </w:r>
    </w:p>
    <w:p w14:paraId="5BD3EE2E" w14:textId="77777777" w:rsidR="002F54E6" w:rsidRPr="002F54E6" w:rsidRDefault="002F54E6" w:rsidP="002F54E6">
      <w:pPr>
        <w:jc w:val="center"/>
        <w:rPr>
          <w:rFonts w:ascii="Arial" w:hAnsi="Arial" w:cs="Arial"/>
          <w:i/>
          <w:sz w:val="22"/>
          <w:szCs w:val="22"/>
          <w:lang w:val="es-ES"/>
        </w:rPr>
      </w:pPr>
      <w:r w:rsidRPr="002F54E6">
        <w:rPr>
          <w:rFonts w:ascii="Arial" w:hAnsi="Arial"/>
          <w:i/>
          <w:sz w:val="22"/>
          <w:lang w:val="es-ES"/>
        </w:rPr>
        <w:t>(Preparado por el COW)</w:t>
      </w:r>
    </w:p>
    <w:p w14:paraId="6C6541BC" w14:textId="77777777" w:rsidR="002F54E6" w:rsidRPr="002F54E6" w:rsidRDefault="002F54E6" w:rsidP="002F54E6">
      <w:pPr>
        <w:rPr>
          <w:rFonts w:ascii="Arial" w:hAnsi="Arial" w:cs="Arial"/>
          <w:sz w:val="22"/>
          <w:szCs w:val="22"/>
          <w:lang w:val="es-ES"/>
        </w:rPr>
      </w:pPr>
    </w:p>
    <w:p w14:paraId="0397C023" w14:textId="77777777" w:rsidR="002F54E6" w:rsidRPr="002F54E6" w:rsidRDefault="002F54E6" w:rsidP="002F54E6">
      <w:pPr>
        <w:rPr>
          <w:rFonts w:ascii="Arial" w:hAnsi="Arial" w:cs="Arial"/>
          <w:sz w:val="22"/>
          <w:szCs w:val="22"/>
          <w:lang w:val="es-ES"/>
        </w:rPr>
      </w:pPr>
    </w:p>
    <w:p w14:paraId="6FB2B57C" w14:textId="77777777" w:rsidR="002F54E6" w:rsidRPr="002F54E6" w:rsidRDefault="002F54E6" w:rsidP="002F54E6">
      <w:pPr>
        <w:jc w:val="center"/>
        <w:rPr>
          <w:rFonts w:ascii="Arial" w:hAnsi="Arial" w:cs="Arial"/>
          <w:sz w:val="22"/>
          <w:szCs w:val="22"/>
          <w:lang w:val="es-ES"/>
        </w:rPr>
      </w:pPr>
      <w:r w:rsidRPr="002F54E6">
        <w:rPr>
          <w:rFonts w:ascii="Arial" w:hAnsi="Arial"/>
          <w:sz w:val="22"/>
          <w:lang w:val="es-ES"/>
        </w:rPr>
        <w:t>PROYECTOS DE DECISIÓN</w:t>
      </w:r>
    </w:p>
    <w:p w14:paraId="35E94DC9" w14:textId="77777777" w:rsidR="002F54E6" w:rsidRPr="002F54E6" w:rsidRDefault="002F54E6" w:rsidP="002F54E6">
      <w:pPr>
        <w:rPr>
          <w:rFonts w:ascii="Arial" w:hAnsi="Arial" w:cs="Arial"/>
          <w:sz w:val="22"/>
          <w:szCs w:val="22"/>
          <w:lang w:val="es-ES"/>
        </w:rPr>
      </w:pPr>
    </w:p>
    <w:p w14:paraId="5259D5AF" w14:textId="77777777" w:rsidR="002F54E6" w:rsidRPr="002F54E6" w:rsidRDefault="002F54E6" w:rsidP="002F54E6">
      <w:pPr>
        <w:rPr>
          <w:rFonts w:ascii="Arial" w:hAnsi="Arial" w:cs="Arial"/>
          <w:sz w:val="22"/>
          <w:szCs w:val="22"/>
          <w:lang w:val="es-ES"/>
        </w:rPr>
      </w:pPr>
    </w:p>
    <w:p w14:paraId="5B678738" w14:textId="77777777" w:rsidR="002F54E6" w:rsidRPr="002F54E6" w:rsidRDefault="002F54E6" w:rsidP="002F54E6">
      <w:pPr>
        <w:widowControl/>
        <w:autoSpaceDE/>
        <w:autoSpaceDN/>
        <w:jc w:val="both"/>
        <w:textAlignment w:val="auto"/>
        <w:rPr>
          <w:rFonts w:ascii="Arial" w:eastAsiaTheme="minorHAnsi" w:hAnsi="Arial" w:cs="Arial"/>
          <w:b/>
          <w:iCs/>
          <w:sz w:val="22"/>
          <w:szCs w:val="22"/>
          <w:lang w:val="es-ES"/>
        </w:rPr>
      </w:pPr>
      <w:r w:rsidRPr="002F54E6">
        <w:rPr>
          <w:rFonts w:ascii="Arial" w:hAnsi="Arial"/>
          <w:b/>
          <w:sz w:val="22"/>
          <w:lang w:val="es-ES"/>
        </w:rPr>
        <w:t>Dirigido al Consejo Científico</w:t>
      </w:r>
    </w:p>
    <w:p w14:paraId="2DBB57B8" w14:textId="77777777" w:rsidR="002F54E6" w:rsidRPr="00D03EE2" w:rsidRDefault="002F54E6" w:rsidP="002F54E6">
      <w:pPr>
        <w:widowControl/>
        <w:autoSpaceDE/>
        <w:autoSpaceDN/>
        <w:jc w:val="both"/>
        <w:textAlignment w:val="auto"/>
        <w:rPr>
          <w:rFonts w:ascii="Arial" w:eastAsiaTheme="minorHAnsi" w:hAnsi="Arial" w:cs="Arial"/>
          <w:iCs/>
          <w:sz w:val="22"/>
          <w:szCs w:val="22"/>
          <w:lang w:val="es-ES"/>
        </w:rPr>
      </w:pPr>
    </w:p>
    <w:p w14:paraId="072108A9" w14:textId="77777777" w:rsidR="002F54E6" w:rsidRPr="002F54E6" w:rsidRDefault="002F54E6" w:rsidP="00A236B7">
      <w:pPr>
        <w:widowControl/>
        <w:autoSpaceDE/>
        <w:autoSpaceDN/>
        <w:ind w:left="850" w:hanging="850"/>
        <w:jc w:val="both"/>
        <w:textAlignment w:val="auto"/>
        <w:rPr>
          <w:rFonts w:ascii="Arial" w:eastAsiaTheme="minorHAnsi" w:hAnsi="Arial" w:cs="Arial"/>
          <w:iCs/>
          <w:sz w:val="22"/>
          <w:szCs w:val="22"/>
          <w:lang w:val="es-ES"/>
        </w:rPr>
      </w:pPr>
      <w:r w:rsidRPr="002F54E6">
        <w:rPr>
          <w:rFonts w:ascii="Arial" w:hAnsi="Arial"/>
          <w:sz w:val="22"/>
          <w:lang w:val="es-ES"/>
        </w:rPr>
        <w:t>15.AA</w:t>
      </w:r>
      <w:r w:rsidRPr="002F54E6">
        <w:rPr>
          <w:rFonts w:ascii="Arial" w:hAnsi="Arial"/>
          <w:sz w:val="22"/>
          <w:lang w:val="es-ES"/>
        </w:rPr>
        <w:tab/>
        <w:t xml:space="preserve">Teniendo en cuenta las recomendaciones formuladas por el Comité del Período de Sesiones en su 7ª reunión y reconociendo que la herramienta para identificar oportunidades de conservación transfronterizas, denominada </w:t>
      </w:r>
      <w:hyperlink r:id="rId10" w:history="1">
        <w:r w:rsidRPr="002F54E6">
          <w:rPr>
            <w:rStyle w:val="Hyperlink"/>
            <w:rFonts w:ascii="Arial" w:hAnsi="Arial"/>
            <w:i/>
            <w:sz w:val="22"/>
            <w:lang w:val="es-ES"/>
          </w:rPr>
          <w:t>Identifying opportunities for transboundary conservation</w:t>
        </w:r>
      </w:hyperlink>
      <w:r w:rsidRPr="002F54E6">
        <w:rPr>
          <w:rFonts w:ascii="Arial" w:hAnsi="Arial"/>
          <w:sz w:val="22"/>
          <w:lang w:val="es-ES"/>
        </w:rPr>
        <w:t xml:space="preserve"> (la “herramienta”) es una herramienta experimental, que las Partes pueden usar o no para la identificación de áreas transfronterizas para su conservación colaborativa, se solicita al Consejo Científico que establezca un grupo de trabajo, que debería incluir a representantes de la región de la Comunidad de África Meridional para el Desarrollo (la región líder en el establecimiento de áreas de conservación transfronterizas), con el fin de: </w:t>
      </w:r>
    </w:p>
    <w:p w14:paraId="1955F491" w14:textId="77777777" w:rsidR="002F54E6" w:rsidRPr="00D03EE2" w:rsidRDefault="002F54E6" w:rsidP="002F54E6">
      <w:pPr>
        <w:widowControl/>
        <w:autoSpaceDE/>
        <w:autoSpaceDN/>
        <w:ind w:left="851" w:hanging="851"/>
        <w:jc w:val="both"/>
        <w:textAlignment w:val="auto"/>
        <w:rPr>
          <w:rFonts w:ascii="Arial" w:eastAsiaTheme="minorHAnsi" w:hAnsi="Arial" w:cs="Arial"/>
          <w:iCs/>
          <w:sz w:val="22"/>
          <w:szCs w:val="22"/>
          <w:lang w:val="es-ES"/>
        </w:rPr>
      </w:pPr>
    </w:p>
    <w:p w14:paraId="119428DC" w14:textId="77777777" w:rsidR="002F54E6" w:rsidRPr="002F54E6" w:rsidRDefault="002F54E6" w:rsidP="002F54E6">
      <w:pPr>
        <w:widowControl/>
        <w:numPr>
          <w:ilvl w:val="0"/>
          <w:numId w:val="2"/>
        </w:numPr>
        <w:autoSpaceDE/>
        <w:autoSpaceDN/>
        <w:spacing w:after="160" w:line="259" w:lineRule="auto"/>
        <w:ind w:left="1418" w:hanging="567"/>
        <w:contextualSpacing/>
        <w:jc w:val="both"/>
        <w:textAlignment w:val="auto"/>
        <w:rPr>
          <w:rFonts w:ascii="Arial" w:eastAsiaTheme="minorHAnsi" w:hAnsi="Arial" w:cs="Arial"/>
          <w:iCs/>
          <w:sz w:val="22"/>
          <w:szCs w:val="22"/>
          <w:lang w:val="es-ES"/>
        </w:rPr>
      </w:pPr>
      <w:r w:rsidRPr="002F54E6">
        <w:rPr>
          <w:rFonts w:ascii="Arial" w:hAnsi="Arial"/>
          <w:sz w:val="22"/>
          <w:lang w:val="es-ES"/>
        </w:rPr>
        <w:t>determinar los posibles usuarios objetivo de la herramienta para identificar oportunidades de conservación transfronteriza, basándose en el modelo de cooperación de las áreas de conservación transfronterizas, en estrecha consulta con las Partes y otros interesados directos;</w:t>
      </w:r>
    </w:p>
    <w:p w14:paraId="7BF02CA7" w14:textId="77777777" w:rsidR="002F54E6" w:rsidRPr="00D03EE2" w:rsidRDefault="002F54E6" w:rsidP="002F54E6">
      <w:pPr>
        <w:widowControl/>
        <w:autoSpaceDE/>
        <w:autoSpaceDN/>
        <w:ind w:left="1418" w:hanging="567"/>
        <w:contextualSpacing/>
        <w:jc w:val="both"/>
        <w:textAlignment w:val="auto"/>
        <w:rPr>
          <w:rFonts w:ascii="Arial" w:eastAsiaTheme="minorHAnsi" w:hAnsi="Arial" w:cs="Arial"/>
          <w:iCs/>
          <w:sz w:val="22"/>
          <w:szCs w:val="22"/>
          <w:lang w:val="es-ES"/>
        </w:rPr>
      </w:pPr>
    </w:p>
    <w:p w14:paraId="47EDED5E" w14:textId="77777777" w:rsidR="002F54E6" w:rsidRPr="002F54E6" w:rsidRDefault="002F54E6" w:rsidP="002F54E6">
      <w:pPr>
        <w:widowControl/>
        <w:numPr>
          <w:ilvl w:val="0"/>
          <w:numId w:val="2"/>
        </w:numPr>
        <w:autoSpaceDE/>
        <w:autoSpaceDN/>
        <w:spacing w:after="160" w:line="259" w:lineRule="auto"/>
        <w:ind w:left="1418" w:hanging="567"/>
        <w:contextualSpacing/>
        <w:jc w:val="both"/>
        <w:textAlignment w:val="auto"/>
        <w:rPr>
          <w:rFonts w:ascii="Arial" w:eastAsiaTheme="minorHAnsi" w:hAnsi="Arial" w:cs="Arial"/>
          <w:iCs/>
          <w:sz w:val="22"/>
          <w:szCs w:val="22"/>
          <w:lang w:val="es-ES"/>
        </w:rPr>
      </w:pPr>
      <w:r w:rsidRPr="002F54E6">
        <w:rPr>
          <w:rFonts w:ascii="Arial" w:hAnsi="Arial"/>
          <w:sz w:val="22"/>
          <w:lang w:val="es-ES"/>
        </w:rPr>
        <w:t>teniendo en cuenta las recomendaciones formuladas por el Comité del Período de Sesiones en su 7ª reunión, celebre consultas con los posibles usuarios objetivo a fin de determinar sus necesidades, la aplicabilidad de la herramienta (teniendo en cuenta que el modelo de las áreas de conservación transfronterizas va más a allá de la conservación) y los posibles ajustes técnicos necesarios para mejorarla; y</w:t>
      </w:r>
    </w:p>
    <w:p w14:paraId="0DB7FBCE" w14:textId="77777777" w:rsidR="002F54E6" w:rsidRPr="00D03EE2" w:rsidRDefault="002F54E6" w:rsidP="002F54E6">
      <w:pPr>
        <w:widowControl/>
        <w:autoSpaceDE/>
        <w:autoSpaceDN/>
        <w:ind w:left="1418" w:hanging="567"/>
        <w:contextualSpacing/>
        <w:jc w:val="both"/>
        <w:textAlignment w:val="auto"/>
        <w:rPr>
          <w:rFonts w:ascii="Arial" w:eastAsiaTheme="minorHAnsi" w:hAnsi="Arial" w:cs="Arial"/>
          <w:iCs/>
          <w:sz w:val="22"/>
          <w:szCs w:val="22"/>
          <w:lang w:val="es-ES"/>
        </w:rPr>
      </w:pPr>
    </w:p>
    <w:p w14:paraId="6643BA57" w14:textId="77777777" w:rsidR="002F54E6" w:rsidRPr="002F54E6" w:rsidRDefault="002F54E6" w:rsidP="002F54E6">
      <w:pPr>
        <w:widowControl/>
        <w:numPr>
          <w:ilvl w:val="0"/>
          <w:numId w:val="2"/>
        </w:numPr>
        <w:autoSpaceDE/>
        <w:autoSpaceDN/>
        <w:spacing w:after="160" w:line="259" w:lineRule="auto"/>
        <w:ind w:left="1418" w:hanging="567"/>
        <w:contextualSpacing/>
        <w:jc w:val="both"/>
        <w:textAlignment w:val="auto"/>
        <w:rPr>
          <w:rFonts w:ascii="Arial" w:eastAsiaTheme="minorHAnsi" w:hAnsi="Arial" w:cs="Arial"/>
          <w:iCs/>
          <w:sz w:val="22"/>
          <w:szCs w:val="22"/>
          <w:lang w:val="es-ES"/>
        </w:rPr>
      </w:pPr>
      <w:r w:rsidRPr="002F54E6">
        <w:rPr>
          <w:rFonts w:ascii="Arial" w:hAnsi="Arial"/>
          <w:sz w:val="22"/>
          <w:lang w:val="es-ES"/>
        </w:rPr>
        <w:t>en función de los resultados obtenidos en relación con los apartados a) y b) anteriores, identificar, en estrecha consulta con los usuarios objetivo, los requisitos técnicos, parámetros y funciones que han de considerarse en el desarrollo de la herramienta.</w:t>
      </w:r>
    </w:p>
    <w:p w14:paraId="4F5097C3" w14:textId="77777777" w:rsidR="002F54E6" w:rsidRPr="00D03EE2" w:rsidRDefault="002F54E6" w:rsidP="002F54E6">
      <w:pPr>
        <w:widowControl/>
        <w:autoSpaceDE/>
        <w:autoSpaceDN/>
        <w:ind w:left="2356"/>
        <w:contextualSpacing/>
        <w:jc w:val="both"/>
        <w:textAlignment w:val="auto"/>
        <w:rPr>
          <w:rFonts w:ascii="Arial" w:eastAsiaTheme="minorHAnsi" w:hAnsi="Arial" w:cs="Arial"/>
          <w:iCs/>
          <w:sz w:val="22"/>
          <w:szCs w:val="22"/>
          <w:lang w:val="es-ES"/>
        </w:rPr>
      </w:pPr>
    </w:p>
    <w:p w14:paraId="61DAECDA" w14:textId="77777777" w:rsidR="002F54E6" w:rsidRPr="002F54E6" w:rsidRDefault="002F54E6" w:rsidP="002F54E6">
      <w:pPr>
        <w:widowControl/>
        <w:autoSpaceDE/>
        <w:autoSpaceDN/>
        <w:jc w:val="both"/>
        <w:textAlignment w:val="auto"/>
        <w:rPr>
          <w:rFonts w:ascii="Arial" w:eastAsiaTheme="minorHAnsi" w:hAnsi="Arial" w:cs="Arial"/>
          <w:b/>
          <w:iCs/>
          <w:sz w:val="22"/>
          <w:szCs w:val="22"/>
          <w:lang w:val="es-ES"/>
        </w:rPr>
      </w:pPr>
      <w:r w:rsidRPr="002F54E6">
        <w:rPr>
          <w:rFonts w:ascii="Arial" w:hAnsi="Arial"/>
          <w:b/>
          <w:sz w:val="22"/>
          <w:lang w:val="es-ES"/>
        </w:rPr>
        <w:t>Dirigido a la Secretaría</w:t>
      </w:r>
    </w:p>
    <w:p w14:paraId="26BD5F4F" w14:textId="77777777" w:rsidR="002F54E6" w:rsidRPr="00D03EE2" w:rsidRDefault="002F54E6" w:rsidP="002F54E6">
      <w:pPr>
        <w:widowControl/>
        <w:autoSpaceDE/>
        <w:autoSpaceDN/>
        <w:jc w:val="both"/>
        <w:textAlignment w:val="auto"/>
        <w:rPr>
          <w:rFonts w:ascii="Arial" w:eastAsiaTheme="minorHAnsi" w:hAnsi="Arial" w:cs="Arial"/>
          <w:iCs/>
          <w:sz w:val="22"/>
          <w:szCs w:val="22"/>
          <w:lang w:val="es-ES"/>
        </w:rPr>
      </w:pPr>
    </w:p>
    <w:p w14:paraId="49FE13B2" w14:textId="77777777" w:rsidR="002F54E6" w:rsidRPr="002F54E6" w:rsidRDefault="002F54E6" w:rsidP="002F54E6">
      <w:pPr>
        <w:widowControl/>
        <w:autoSpaceDE/>
        <w:autoSpaceDN/>
        <w:ind w:left="900" w:hanging="900"/>
        <w:jc w:val="both"/>
        <w:textAlignment w:val="auto"/>
        <w:rPr>
          <w:rFonts w:ascii="Arial" w:eastAsiaTheme="minorHAnsi" w:hAnsi="Arial" w:cs="Arial"/>
          <w:iCs/>
          <w:sz w:val="22"/>
          <w:szCs w:val="22"/>
          <w:lang w:val="es-ES"/>
        </w:rPr>
      </w:pPr>
      <w:r w:rsidRPr="002F54E6">
        <w:rPr>
          <w:rFonts w:ascii="Arial" w:hAnsi="Arial"/>
          <w:sz w:val="22"/>
          <w:lang w:val="es-ES"/>
        </w:rPr>
        <w:t>15.BB</w:t>
      </w:r>
      <w:r w:rsidRPr="002F54E6">
        <w:rPr>
          <w:rFonts w:ascii="Arial" w:hAnsi="Arial"/>
          <w:sz w:val="22"/>
          <w:lang w:val="es-ES"/>
        </w:rPr>
        <w:tab/>
        <w:t>La Secretaría, con sujeción a la disponibilidad de recursos y en cooperación con el CMVC-PNUMA, prestará apoyo al Grupo de Trabajo creado en virtud de la Decisión 15.AA y evaluará los costos y beneficios del desarrollo y mantenimiento ulteriores de la herramienta, basándose en las necesidades y requisitos que se hayan determinado.</w:t>
      </w:r>
    </w:p>
    <w:p w14:paraId="7A7D9EF6" w14:textId="77777777" w:rsidR="00D82C56" w:rsidRPr="002F54E6" w:rsidRDefault="00D82C56" w:rsidP="002F54E6">
      <w:pPr>
        <w:rPr>
          <w:lang w:val="es-ES"/>
        </w:rPr>
      </w:pPr>
    </w:p>
    <w:sectPr w:rsidR="00D82C56" w:rsidRPr="002F54E6"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5447" w14:textId="77777777" w:rsidR="00C46818" w:rsidRDefault="00C46818">
      <w:r>
        <w:separator/>
      </w:r>
    </w:p>
  </w:endnote>
  <w:endnote w:type="continuationSeparator" w:id="0">
    <w:p w14:paraId="7F578C65" w14:textId="77777777" w:rsidR="00C46818" w:rsidRDefault="00C46818">
      <w:r>
        <w:continuationSeparator/>
      </w:r>
    </w:p>
  </w:endnote>
  <w:endnote w:type="continuationNotice" w:id="1">
    <w:p w14:paraId="328F7452" w14:textId="77777777" w:rsidR="00C46818" w:rsidRDefault="00C46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F01D" w14:textId="77777777" w:rsidR="00C46818" w:rsidRDefault="00C46818">
      <w:r>
        <w:rPr>
          <w:color w:val="000000"/>
        </w:rPr>
        <w:separator/>
      </w:r>
    </w:p>
  </w:footnote>
  <w:footnote w:type="continuationSeparator" w:id="0">
    <w:p w14:paraId="276C1A22" w14:textId="77777777" w:rsidR="00C46818" w:rsidRDefault="00C46818">
      <w:r>
        <w:continuationSeparator/>
      </w:r>
    </w:p>
  </w:footnote>
  <w:footnote w:type="continuationNotice" w:id="1">
    <w:p w14:paraId="3EEE9325" w14:textId="77777777" w:rsidR="00C46818" w:rsidRDefault="00C46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5407BD" w:rsidR="0041439A" w:rsidRPr="00BA66FB"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BA66FB">
      <w:rPr>
        <w:rFonts w:ascii="Arial" w:hAnsi="Arial" w:cs="Arial"/>
        <w:i/>
        <w:szCs w:val="20"/>
        <w:lang w:val="pt-PT"/>
      </w:rPr>
      <w:t>UNEP/CMS/COP1</w:t>
    </w:r>
    <w:r w:rsidR="00AB5285" w:rsidRPr="00BA66FB">
      <w:rPr>
        <w:rFonts w:ascii="Arial" w:hAnsi="Arial" w:cs="Arial"/>
        <w:i/>
        <w:szCs w:val="20"/>
        <w:lang w:val="pt-PT"/>
      </w:rPr>
      <w:t>5</w:t>
    </w:r>
    <w:r w:rsidRPr="00BA66FB">
      <w:rPr>
        <w:rFonts w:ascii="Arial" w:hAnsi="Arial" w:cs="Arial"/>
        <w:i/>
        <w:szCs w:val="20"/>
        <w:lang w:val="pt-PT"/>
      </w:rPr>
      <w:t>/CRP(Nº)</w:t>
    </w:r>
  </w:p>
  <w:p w14:paraId="50B9F4CC" w14:textId="77777777" w:rsidR="0041439A" w:rsidRPr="00BA66FB"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Pr="00BA66FB"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BA66FB">
      <w:rPr>
        <w:rFonts w:ascii="Arial" w:hAnsi="Arial" w:cs="Arial"/>
        <w:i/>
        <w:szCs w:val="20"/>
        <w:lang w:val="pt-PT"/>
      </w:rPr>
      <w:t>UNEP/CMS/COP1</w:t>
    </w:r>
    <w:r w:rsidR="00AB5285" w:rsidRPr="00BA66FB">
      <w:rPr>
        <w:rFonts w:ascii="Arial" w:hAnsi="Arial" w:cs="Arial"/>
        <w:i/>
        <w:szCs w:val="20"/>
        <w:lang w:val="pt-PT"/>
      </w:rPr>
      <w:t>5</w:t>
    </w:r>
    <w:r w:rsidRPr="00BA66FB">
      <w:rPr>
        <w:rFonts w:ascii="Arial" w:hAnsi="Arial" w:cs="Arial"/>
        <w:i/>
        <w:szCs w:val="20"/>
        <w:lang w:val="pt-PT"/>
      </w:rPr>
      <w:t>/CRP(Nº)</w:t>
    </w:r>
  </w:p>
  <w:p w14:paraId="75025A37" w14:textId="77777777" w:rsidR="0041439A" w:rsidRPr="00BA66FB"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2E12316" w:rsidR="007A1066" w:rsidRPr="00BA66F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BA66FB">
      <w:rPr>
        <w:rFonts w:ascii="Arial" w:hAnsi="Arial" w:cs="Arial"/>
        <w:bCs/>
        <w:i/>
        <w:iCs/>
        <w:sz w:val="18"/>
        <w:szCs w:val="18"/>
        <w:lang w:val="pt-PT"/>
      </w:rPr>
      <w:t>UNEP/CMS/COP1</w:t>
    </w:r>
    <w:r w:rsidR="00AB5285" w:rsidRPr="00BA66FB">
      <w:rPr>
        <w:rFonts w:ascii="Arial" w:hAnsi="Arial" w:cs="Arial"/>
        <w:bCs/>
        <w:i/>
        <w:iCs/>
        <w:sz w:val="18"/>
        <w:szCs w:val="18"/>
        <w:lang w:val="pt-PT"/>
      </w:rPr>
      <w:t>5</w:t>
    </w:r>
    <w:r w:rsidRPr="00BA66FB">
      <w:rPr>
        <w:rFonts w:ascii="Arial" w:hAnsi="Arial" w:cs="Arial"/>
        <w:bCs/>
        <w:i/>
        <w:iCs/>
        <w:sz w:val="18"/>
        <w:szCs w:val="18"/>
        <w:lang w:val="pt-PT"/>
      </w:rPr>
      <w:t>/CRP</w:t>
    </w:r>
    <w:r w:rsidR="00BA66FB">
      <w:rPr>
        <w:rFonts w:ascii="Arial" w:hAnsi="Arial" w:cs="Arial"/>
        <w:bCs/>
        <w:i/>
        <w:iCs/>
        <w:sz w:val="18"/>
        <w:szCs w:val="18"/>
        <w:lang w:val="pt-PT"/>
      </w:rPr>
      <w:t>28.3</w:t>
    </w:r>
  </w:p>
  <w:p w14:paraId="117A266F" w14:textId="77777777" w:rsidR="007A1066" w:rsidRPr="00BA66FB" w:rsidRDefault="007A1066">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65EBF"/>
    <w:multiLevelType w:val="hybridMultilevel"/>
    <w:tmpl w:val="35BCCBD4"/>
    <w:lvl w:ilvl="0" w:tplc="20000017">
      <w:start w:val="1"/>
      <w:numFmt w:val="lowerLetter"/>
      <w:lvlText w:val="%1)"/>
      <w:lvlJc w:val="left"/>
      <w:pPr>
        <w:ind w:left="1211" w:hanging="360"/>
      </w:pPr>
    </w:lvl>
    <w:lvl w:ilvl="1" w:tplc="20000019">
      <w:start w:val="1"/>
      <w:numFmt w:val="lowerLetter"/>
      <w:lvlText w:val="%2."/>
      <w:lvlJc w:val="left"/>
      <w:pPr>
        <w:ind w:left="1931" w:hanging="360"/>
      </w:pPr>
    </w:lvl>
    <w:lvl w:ilvl="2" w:tplc="2000001B">
      <w:start w:val="1"/>
      <w:numFmt w:val="lowerRoman"/>
      <w:lvlText w:val="%3."/>
      <w:lvlJc w:val="right"/>
      <w:pPr>
        <w:ind w:left="2651" w:hanging="180"/>
      </w:pPr>
    </w:lvl>
    <w:lvl w:ilvl="3" w:tplc="2000000F">
      <w:start w:val="1"/>
      <w:numFmt w:val="decimal"/>
      <w:lvlText w:val="%4."/>
      <w:lvlJc w:val="left"/>
      <w:pPr>
        <w:ind w:left="3371" w:hanging="360"/>
      </w:pPr>
    </w:lvl>
    <w:lvl w:ilvl="4" w:tplc="20000019">
      <w:start w:val="1"/>
      <w:numFmt w:val="lowerLetter"/>
      <w:lvlText w:val="%5."/>
      <w:lvlJc w:val="left"/>
      <w:pPr>
        <w:ind w:left="4091" w:hanging="360"/>
      </w:pPr>
    </w:lvl>
    <w:lvl w:ilvl="5" w:tplc="2000001B">
      <w:start w:val="1"/>
      <w:numFmt w:val="lowerRoman"/>
      <w:lvlText w:val="%6."/>
      <w:lvlJc w:val="right"/>
      <w:pPr>
        <w:ind w:left="4811" w:hanging="180"/>
      </w:pPr>
    </w:lvl>
    <w:lvl w:ilvl="6" w:tplc="2000000F">
      <w:start w:val="1"/>
      <w:numFmt w:val="decimal"/>
      <w:lvlText w:val="%7."/>
      <w:lvlJc w:val="left"/>
      <w:pPr>
        <w:ind w:left="5531" w:hanging="360"/>
      </w:pPr>
    </w:lvl>
    <w:lvl w:ilvl="7" w:tplc="20000019">
      <w:start w:val="1"/>
      <w:numFmt w:val="lowerLetter"/>
      <w:lvlText w:val="%8."/>
      <w:lvlJc w:val="left"/>
      <w:pPr>
        <w:ind w:left="6251" w:hanging="360"/>
      </w:pPr>
    </w:lvl>
    <w:lvl w:ilvl="8" w:tplc="2000001B">
      <w:start w:val="1"/>
      <w:numFmt w:val="lowerRoman"/>
      <w:lvlText w:val="%9."/>
      <w:lvlJc w:val="right"/>
      <w:pPr>
        <w:ind w:left="6971" w:hanging="180"/>
      </w:pPr>
    </w:lvl>
  </w:abstractNum>
  <w:num w:numId="1" w16cid:durableId="1870534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20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64D92"/>
    <w:rsid w:val="002243FE"/>
    <w:rsid w:val="00227282"/>
    <w:rsid w:val="002D781B"/>
    <w:rsid w:val="002F54E6"/>
    <w:rsid w:val="003B0679"/>
    <w:rsid w:val="003F1AD8"/>
    <w:rsid w:val="0041439A"/>
    <w:rsid w:val="0043102F"/>
    <w:rsid w:val="00436A2E"/>
    <w:rsid w:val="00490DF0"/>
    <w:rsid w:val="005645C4"/>
    <w:rsid w:val="0058757D"/>
    <w:rsid w:val="005D43E4"/>
    <w:rsid w:val="005F0639"/>
    <w:rsid w:val="006A2CFC"/>
    <w:rsid w:val="007A1066"/>
    <w:rsid w:val="008264B1"/>
    <w:rsid w:val="00861ACB"/>
    <w:rsid w:val="009D2781"/>
    <w:rsid w:val="009D344A"/>
    <w:rsid w:val="00A236B7"/>
    <w:rsid w:val="00AA138B"/>
    <w:rsid w:val="00AB5285"/>
    <w:rsid w:val="00B14FB1"/>
    <w:rsid w:val="00B91802"/>
    <w:rsid w:val="00BA66FB"/>
    <w:rsid w:val="00C46818"/>
    <w:rsid w:val="00D30A8C"/>
    <w:rsid w:val="00D50F95"/>
    <w:rsid w:val="00D61140"/>
    <w:rsid w:val="00D64589"/>
    <w:rsid w:val="00D82C56"/>
    <w:rsid w:val="00D904D6"/>
    <w:rsid w:val="00DB2EEB"/>
    <w:rsid w:val="00E45B44"/>
    <w:rsid w:val="00E829C9"/>
    <w:rsid w:val="00FD2360"/>
    <w:rsid w:val="00FD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Hyperlink">
    <w:name w:val="Hyperlink"/>
    <w:basedOn w:val="DefaultParagraphFont"/>
    <w:uiPriority w:val="99"/>
    <w:unhideWhenUsed/>
    <w:rsid w:val="002F54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ransboundarycms.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4CB5F5AB-4CB0-419D-AB9C-A4CDF8D52DE5}"/>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cp:revision>
  <cp:lastPrinted>2020-02-03T15:02:00Z</cp:lastPrinted>
  <dcterms:created xsi:type="dcterms:W3CDTF">2026-03-27T18:05:00Z</dcterms:created>
  <dcterms:modified xsi:type="dcterms:W3CDTF">2026-03-27T18:41:00Z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