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EBCCE" w14:textId="77777777" w:rsidR="00653282" w:rsidRPr="006573E6" w:rsidRDefault="00653282" w:rsidP="0007405E">
      <w:pPr>
        <w:pStyle w:val="Title1"/>
        <w:widowControl/>
      </w:pPr>
      <w:r w:rsidRPr="006573E6">
        <w:t>Cambio climático y especies migratorias</w:t>
      </w:r>
    </w:p>
    <w:p w14:paraId="545E1BAD" w14:textId="77777777" w:rsidR="00653282" w:rsidRPr="006573E6" w:rsidRDefault="00653282" w:rsidP="0007405E">
      <w:pPr>
        <w:pStyle w:val="Title1"/>
        <w:widowControl/>
      </w:pPr>
    </w:p>
    <w:p w14:paraId="3958AAF8" w14:textId="77777777" w:rsidR="00653282" w:rsidRPr="006573E6" w:rsidRDefault="00653282" w:rsidP="0007405E">
      <w:pPr>
        <w:widowControl/>
        <w:spacing w:after="120"/>
        <w:jc w:val="center"/>
        <w:rPr>
          <w:rFonts w:ascii="Arial" w:hAnsi="Arial" w:cs="Arial"/>
          <w:sz w:val="22"/>
          <w:szCs w:val="22"/>
          <w:lang w:val="es-ES"/>
        </w:rPr>
      </w:pPr>
      <w:r w:rsidRPr="006573E6">
        <w:rPr>
          <w:rFonts w:ascii="Arial" w:hAnsi="Arial" w:cs="Arial"/>
          <w:sz w:val="22"/>
          <w:szCs w:val="22"/>
          <w:lang w:val="es-ES"/>
        </w:rPr>
        <w:t>UNEP/CMS/COP15/Doc.28.12/Rev.1</w:t>
      </w:r>
    </w:p>
    <w:p w14:paraId="19A3ADE2" w14:textId="77777777" w:rsidR="00653282" w:rsidRPr="006573E6" w:rsidRDefault="00653282" w:rsidP="0007405E">
      <w:pPr>
        <w:widowControl/>
        <w:jc w:val="center"/>
        <w:rPr>
          <w:rFonts w:ascii="Arial" w:hAnsi="Arial" w:cs="Arial"/>
          <w:b/>
          <w:sz w:val="22"/>
          <w:szCs w:val="22"/>
          <w:lang w:val="es-ES"/>
        </w:rPr>
      </w:pPr>
      <w:r w:rsidRPr="006573E6">
        <w:rPr>
          <w:rFonts w:ascii="Arial" w:hAnsi="Arial" w:cs="Arial"/>
          <w:sz w:val="22"/>
          <w:szCs w:val="22"/>
          <w:lang w:val="es-ES"/>
        </w:rPr>
        <w:t>(</w:t>
      </w:r>
      <w:r w:rsidRPr="006573E6">
        <w:rPr>
          <w:rFonts w:ascii="Arial" w:hAnsi="Arial" w:cs="Arial"/>
          <w:i/>
          <w:sz w:val="22"/>
          <w:szCs w:val="22"/>
          <w:lang w:val="es-ES"/>
        </w:rPr>
        <w:t>Preparado por el COW</w:t>
      </w:r>
      <w:r w:rsidRPr="006573E6">
        <w:rPr>
          <w:rFonts w:ascii="Arial" w:hAnsi="Arial" w:cs="Arial"/>
          <w:sz w:val="22"/>
          <w:szCs w:val="22"/>
          <w:lang w:val="es-ES"/>
        </w:rPr>
        <w:t>)</w:t>
      </w:r>
    </w:p>
    <w:p w14:paraId="37527D03" w14:textId="77777777" w:rsidR="00653282" w:rsidRPr="006573E6" w:rsidRDefault="00653282" w:rsidP="0007405E">
      <w:pPr>
        <w:widowControl/>
        <w:rPr>
          <w:rFonts w:ascii="Arial" w:hAnsi="Arial" w:cs="Arial"/>
          <w:i/>
          <w:sz w:val="22"/>
          <w:szCs w:val="22"/>
          <w:lang w:val="es-ES"/>
        </w:rPr>
      </w:pPr>
    </w:p>
    <w:p w14:paraId="7292A19F" w14:textId="77777777" w:rsidR="00653282" w:rsidRPr="006573E6" w:rsidRDefault="00653282" w:rsidP="0007405E">
      <w:pPr>
        <w:widowControl/>
        <w:adjustRightInd w:val="0"/>
        <w:jc w:val="center"/>
        <w:rPr>
          <w:rFonts w:ascii="Arial" w:eastAsia="MS Mincho" w:hAnsi="Arial" w:cs="Arial"/>
          <w:sz w:val="22"/>
          <w:szCs w:val="22"/>
          <w:lang w:val="es-ES"/>
        </w:rPr>
      </w:pPr>
      <w:r w:rsidRPr="006573E6">
        <w:rPr>
          <w:rFonts w:ascii="Arial" w:hAnsi="Arial" w:cs="Arial"/>
          <w:sz w:val="22"/>
          <w:szCs w:val="22"/>
          <w:lang w:val="es-ES"/>
        </w:rPr>
        <w:t>PROYECTO DE RESOLUCIÓN</w:t>
      </w:r>
    </w:p>
    <w:p w14:paraId="7E4F402D" w14:textId="77777777" w:rsidR="00653282" w:rsidRDefault="00653282" w:rsidP="0007405E">
      <w:pPr>
        <w:widowControl/>
        <w:adjustRightInd w:val="0"/>
        <w:jc w:val="right"/>
        <w:rPr>
          <w:rFonts w:ascii="Arial" w:eastAsia="MS Mincho" w:hAnsi="Arial" w:cs="Arial"/>
          <w:b/>
          <w:bCs/>
          <w:sz w:val="22"/>
          <w:szCs w:val="22"/>
          <w:lang w:val="es-ES"/>
        </w:rPr>
      </w:pPr>
    </w:p>
    <w:p w14:paraId="3A22B135" w14:textId="77777777" w:rsidR="0007405E" w:rsidRPr="006573E6" w:rsidRDefault="0007405E" w:rsidP="0007405E">
      <w:pPr>
        <w:widowControl/>
        <w:adjustRightInd w:val="0"/>
        <w:jc w:val="right"/>
        <w:rPr>
          <w:rFonts w:ascii="Arial" w:eastAsia="MS Mincho" w:hAnsi="Arial" w:cs="Arial"/>
          <w:b/>
          <w:bCs/>
          <w:sz w:val="22"/>
          <w:szCs w:val="22"/>
          <w:lang w:val="es-ES"/>
        </w:rPr>
      </w:pPr>
    </w:p>
    <w:p w14:paraId="415E0272" w14:textId="77777777" w:rsidR="00653282" w:rsidRPr="006573E6" w:rsidRDefault="00653282" w:rsidP="0007405E">
      <w:pPr>
        <w:widowControl/>
        <w:adjustRightInd w:val="0"/>
        <w:jc w:val="right"/>
        <w:rPr>
          <w:rFonts w:ascii="Arial" w:eastAsia="MS Mincho" w:hAnsi="Arial" w:cs="Arial"/>
          <w:b/>
          <w:bCs/>
          <w:sz w:val="22"/>
          <w:szCs w:val="22"/>
          <w:lang w:val="es-ES"/>
        </w:rPr>
      </w:pPr>
      <w:r w:rsidRPr="006573E6">
        <w:rPr>
          <w:rFonts w:ascii="Arial" w:hAnsi="Arial" w:cs="Arial"/>
          <w:b/>
          <w:sz w:val="22"/>
          <w:szCs w:val="22"/>
          <w:lang w:val="es-ES"/>
        </w:rPr>
        <w:t>Anexo 2 de la Resolución 12.21 (Rev.COP14)</w:t>
      </w:r>
    </w:p>
    <w:p w14:paraId="4E90B23E" w14:textId="77777777" w:rsidR="00653282" w:rsidRPr="006573E6" w:rsidRDefault="00653282" w:rsidP="0007405E">
      <w:pPr>
        <w:widowControl/>
        <w:adjustRightInd w:val="0"/>
        <w:jc w:val="center"/>
        <w:rPr>
          <w:rFonts w:ascii="Arial" w:eastAsia="MS Mincho" w:hAnsi="Arial" w:cs="Arial"/>
          <w:b/>
          <w:bCs/>
          <w:sz w:val="22"/>
          <w:szCs w:val="22"/>
          <w:lang w:val="es-ES"/>
        </w:rPr>
      </w:pPr>
    </w:p>
    <w:p w14:paraId="2012E4C5" w14:textId="77777777" w:rsidR="00653282" w:rsidRPr="006573E6" w:rsidRDefault="00653282" w:rsidP="0007405E">
      <w:pPr>
        <w:widowControl/>
        <w:adjustRightInd w:val="0"/>
        <w:jc w:val="center"/>
        <w:rPr>
          <w:rFonts w:ascii="Arial" w:eastAsia="MS Mincho" w:hAnsi="Arial" w:cs="Arial"/>
          <w:b/>
          <w:bCs/>
          <w:sz w:val="22"/>
          <w:szCs w:val="22"/>
          <w:lang w:val="es-ES"/>
        </w:rPr>
      </w:pPr>
      <w:r w:rsidRPr="006573E6">
        <w:rPr>
          <w:rFonts w:ascii="Arial" w:hAnsi="Arial" w:cs="Arial"/>
          <w:b/>
          <w:sz w:val="22"/>
          <w:szCs w:val="22"/>
          <w:lang w:val="es-ES"/>
        </w:rPr>
        <w:t>MARCO DE DECISIÓN PARA ORIENTAR A LAS PARTES EN RELACIÓN CON LA APLICACIÓN DEL PÁRRAFO 9 DE LA RESOLUCIÓN 12.21 (REV. COP14)</w:t>
      </w:r>
    </w:p>
    <w:p w14:paraId="0FDF10CB" w14:textId="77777777" w:rsidR="00653282" w:rsidRPr="006573E6" w:rsidRDefault="00653282" w:rsidP="0007405E">
      <w:pPr>
        <w:widowControl/>
        <w:adjustRightInd w:val="0"/>
        <w:rPr>
          <w:rFonts w:ascii="Arial" w:eastAsia="MS Mincho" w:hAnsi="Arial" w:cs="Arial"/>
          <w:b/>
          <w:bCs/>
          <w:sz w:val="22"/>
          <w:szCs w:val="22"/>
          <w:lang w:val="es-ES"/>
        </w:rPr>
      </w:pPr>
    </w:p>
    <w:p w14:paraId="7B93EA33"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El párrafo 10 de la Resolución 12.21 (Rev.COP14) establece lo siguiente:</w:t>
      </w:r>
    </w:p>
    <w:p w14:paraId="748C980A" w14:textId="77777777" w:rsidR="00653282" w:rsidRPr="006573E6" w:rsidRDefault="00653282" w:rsidP="0007405E">
      <w:pPr>
        <w:widowControl/>
        <w:adjustRightInd w:val="0"/>
        <w:jc w:val="both"/>
        <w:rPr>
          <w:rFonts w:ascii="Arial" w:eastAsia="MS Mincho" w:hAnsi="Arial" w:cs="Arial"/>
          <w:sz w:val="22"/>
          <w:szCs w:val="22"/>
          <w:lang w:val="es-ES"/>
        </w:rPr>
      </w:pPr>
    </w:p>
    <w:p w14:paraId="50B1BF07" w14:textId="77777777" w:rsidR="00653282" w:rsidRPr="006573E6" w:rsidRDefault="00653282" w:rsidP="0007405E">
      <w:pPr>
        <w:widowControl/>
        <w:adjustRightInd w:val="0"/>
        <w:jc w:val="both"/>
        <w:rPr>
          <w:rFonts w:ascii="Arial" w:eastAsia="MS Mincho" w:hAnsi="Arial" w:cs="Arial"/>
          <w:i/>
          <w:iCs/>
          <w:sz w:val="22"/>
          <w:szCs w:val="22"/>
          <w:lang w:val="es-ES"/>
        </w:rPr>
      </w:pPr>
      <w:r w:rsidRPr="006573E6">
        <w:rPr>
          <w:rFonts w:ascii="Arial" w:hAnsi="Arial" w:cs="Arial"/>
          <w:i/>
          <w:sz w:val="22"/>
          <w:szCs w:val="22"/>
          <w:lang w:val="es-ES"/>
        </w:rPr>
        <w:t>Conviene en que el Artículo I (1) (c) (4) de la Convención, sobre la definición de “estado de conservación favorable” podría interpretarse de la siguiente manera a la luz del cambio climático, e invita a los órganos rectores de los instrumentos pertinentes de la CMS a aprobar también esta interpretación:</w:t>
      </w:r>
    </w:p>
    <w:p w14:paraId="4DFA5213" w14:textId="77777777" w:rsidR="00653282" w:rsidRPr="006573E6" w:rsidRDefault="00653282" w:rsidP="0007405E">
      <w:pPr>
        <w:widowControl/>
        <w:adjustRightInd w:val="0"/>
        <w:jc w:val="both"/>
        <w:rPr>
          <w:rFonts w:ascii="Arial" w:eastAsia="MS Mincho" w:hAnsi="Arial" w:cs="Arial"/>
          <w:sz w:val="22"/>
          <w:szCs w:val="22"/>
          <w:lang w:val="es-ES"/>
        </w:rPr>
      </w:pPr>
    </w:p>
    <w:p w14:paraId="172B7746"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De acuerdo con el Artículo I (1) (c) (4) de la Convención, una de las condiciones que se deben cumplir para que el estado de conservación de una especie se considere “favorable” es que: “la distribución y los efectivos de la población de esta especie migratoria se acerquen por su extensión y su número a los niveles históricos en la medida en que existan ecosistemas potencialmente adecuados a dicha especie, y ello sea compatible con su prudente cuidado y aprovechamiento”. Mientras que existe una necesidad constante de adoptar medidas de conservación dentro del área de distribución histórica de las especies migratorias, será necesario cada vez más adoptar también tales medidas fuera del área de distribución histórica de las especies, con el fin de garantizar un estado de conservación favorable, sobre todo ante los cambios de áreas de distribución inducidos por el clima. Tales medidas fuera del área de distribución histórica de las especies son compatibles con los objetivos y las obligaciones de las Partes en virtud de la Convención y pueden ser necesarias para poder cumplirlos;</w:t>
      </w:r>
    </w:p>
    <w:p w14:paraId="798B8022" w14:textId="77777777" w:rsidR="00653282" w:rsidRPr="006573E6" w:rsidRDefault="00653282" w:rsidP="0007405E">
      <w:pPr>
        <w:widowControl/>
        <w:adjustRightInd w:val="0"/>
        <w:jc w:val="both"/>
        <w:rPr>
          <w:rFonts w:ascii="Arial" w:eastAsia="MS Mincho" w:hAnsi="Arial" w:cs="Arial"/>
          <w:sz w:val="22"/>
          <w:szCs w:val="22"/>
          <w:lang w:val="es-ES"/>
        </w:rPr>
      </w:pPr>
    </w:p>
    <w:p w14:paraId="77BF9208"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El Comité del Período de Sesiones del Consejo Científico examinó el texto anterior en sus reuniones quinta y sexta y proporcionó las siguientes orientaciones:</w:t>
      </w:r>
    </w:p>
    <w:p w14:paraId="0B523C83" w14:textId="77777777" w:rsidR="00653282" w:rsidRPr="006573E6" w:rsidRDefault="00653282" w:rsidP="0007405E">
      <w:pPr>
        <w:widowControl/>
        <w:adjustRightInd w:val="0"/>
        <w:jc w:val="both"/>
        <w:rPr>
          <w:rFonts w:ascii="Arial" w:eastAsia="MS Mincho" w:hAnsi="Arial" w:cs="Arial"/>
          <w:sz w:val="22"/>
          <w:szCs w:val="22"/>
          <w:lang w:val="es-ES"/>
        </w:rPr>
      </w:pPr>
    </w:p>
    <w:p w14:paraId="6CE82DF3" w14:textId="77777777" w:rsidR="00653282" w:rsidRPr="006573E6" w:rsidRDefault="00653282" w:rsidP="0007405E">
      <w:pPr>
        <w:widowControl/>
        <w:adjustRightInd w:val="0"/>
        <w:jc w:val="both"/>
        <w:rPr>
          <w:rFonts w:ascii="Arial" w:eastAsia="MS Mincho" w:hAnsi="Arial" w:cs="Arial"/>
          <w:b/>
          <w:bCs/>
          <w:sz w:val="22"/>
          <w:szCs w:val="22"/>
          <w:lang w:val="es-ES"/>
        </w:rPr>
      </w:pPr>
      <w:r w:rsidRPr="006573E6">
        <w:rPr>
          <w:rFonts w:ascii="Arial" w:hAnsi="Arial" w:cs="Arial"/>
          <w:b/>
          <w:sz w:val="22"/>
          <w:szCs w:val="22"/>
          <w:lang w:val="es-ES"/>
        </w:rPr>
        <w:t>1. Opciones y medidas</w:t>
      </w:r>
    </w:p>
    <w:p w14:paraId="2237C49B" w14:textId="77777777" w:rsidR="00653282" w:rsidRPr="006573E6" w:rsidRDefault="00653282" w:rsidP="0007405E">
      <w:pPr>
        <w:widowControl/>
        <w:adjustRightInd w:val="0"/>
        <w:jc w:val="both"/>
        <w:rPr>
          <w:rFonts w:ascii="Arial" w:eastAsia="MS Mincho" w:hAnsi="Arial" w:cs="Arial"/>
          <w:b/>
          <w:bCs/>
          <w:sz w:val="22"/>
          <w:szCs w:val="22"/>
          <w:lang w:val="es-ES"/>
        </w:rPr>
      </w:pPr>
    </w:p>
    <w:p w14:paraId="507E3591"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Se plantean cuatro opciones que abarcan los distintos estados de las especies migratorias, en relación con los cambios en las áreas de distribución geográfica provocados por el clima. A continuación, se utilizará el término “obstáculo” para referirse a cualquier factor que impida a las especies migratorias ampliar su área de distribución geográfica o que actúe como impedimento para la conectividad de su ruta migratoria.</w:t>
      </w:r>
    </w:p>
    <w:p w14:paraId="14D9CB8D" w14:textId="77777777" w:rsidR="00653282" w:rsidRPr="006573E6" w:rsidRDefault="00653282" w:rsidP="0007405E">
      <w:pPr>
        <w:widowControl/>
        <w:adjustRightInd w:val="0"/>
        <w:jc w:val="both"/>
        <w:rPr>
          <w:rFonts w:ascii="Arial" w:eastAsia="MS Mincho" w:hAnsi="Arial" w:cs="Arial"/>
          <w:sz w:val="22"/>
          <w:szCs w:val="22"/>
          <w:lang w:val="es-ES"/>
        </w:rPr>
      </w:pPr>
    </w:p>
    <w:p w14:paraId="0262ABD4" w14:textId="77777777" w:rsidR="00653282" w:rsidRPr="006573E6" w:rsidRDefault="00653282" w:rsidP="0007405E">
      <w:pPr>
        <w:widowControl/>
        <w:adjustRightInd w:val="0"/>
        <w:jc w:val="both"/>
        <w:rPr>
          <w:rFonts w:ascii="Arial" w:eastAsia="MS Mincho" w:hAnsi="Arial" w:cs="Arial"/>
          <w:b/>
          <w:bCs/>
          <w:sz w:val="22"/>
          <w:szCs w:val="22"/>
          <w:lang w:val="es-ES"/>
        </w:rPr>
      </w:pPr>
      <w:r w:rsidRPr="006573E6">
        <w:rPr>
          <w:rFonts w:ascii="Arial" w:hAnsi="Arial" w:cs="Arial"/>
          <w:b/>
          <w:sz w:val="22"/>
          <w:szCs w:val="22"/>
          <w:lang w:val="es-ES"/>
        </w:rPr>
        <w:t>2. Categorización de opciones</w:t>
      </w:r>
    </w:p>
    <w:p w14:paraId="1E66A20F" w14:textId="77777777" w:rsidR="00653282" w:rsidRPr="006573E6" w:rsidRDefault="00653282" w:rsidP="0007405E">
      <w:pPr>
        <w:widowControl/>
        <w:adjustRightInd w:val="0"/>
        <w:jc w:val="both"/>
        <w:rPr>
          <w:rFonts w:ascii="Arial" w:eastAsia="MS Mincho" w:hAnsi="Arial" w:cs="Arial"/>
          <w:sz w:val="22"/>
          <w:szCs w:val="22"/>
          <w:lang w:val="es-ES"/>
        </w:rPr>
      </w:pPr>
    </w:p>
    <w:p w14:paraId="6263DC36" w14:textId="77777777" w:rsidR="00653282" w:rsidRPr="006573E6" w:rsidRDefault="00653282" w:rsidP="0007405E">
      <w:pPr>
        <w:widowControl/>
        <w:adjustRightInd w:val="0"/>
        <w:jc w:val="both"/>
        <w:rPr>
          <w:rFonts w:ascii="Arial" w:eastAsia="MS Mincho" w:hAnsi="Arial" w:cs="Arial"/>
          <w:b/>
          <w:bCs/>
          <w:sz w:val="22"/>
          <w:szCs w:val="22"/>
          <w:lang w:val="es-ES"/>
        </w:rPr>
      </w:pPr>
      <w:r w:rsidRPr="006573E6">
        <w:rPr>
          <w:rFonts w:ascii="Arial" w:hAnsi="Arial" w:cs="Arial"/>
          <w:b/>
          <w:sz w:val="22"/>
          <w:szCs w:val="22"/>
          <w:lang w:val="es-ES"/>
        </w:rPr>
        <w:t>i. Las especies no están presentes en un área de distribución adecuada</w:t>
      </w:r>
    </w:p>
    <w:p w14:paraId="2C03EE64" w14:textId="77777777" w:rsidR="00653282" w:rsidRPr="006573E6" w:rsidRDefault="00653282" w:rsidP="0007405E">
      <w:pPr>
        <w:widowControl/>
        <w:adjustRightInd w:val="0"/>
        <w:jc w:val="both"/>
        <w:rPr>
          <w:rFonts w:ascii="Arial" w:eastAsia="MS Mincho" w:hAnsi="Arial" w:cs="Arial"/>
          <w:sz w:val="22"/>
          <w:szCs w:val="22"/>
          <w:lang w:val="es-ES"/>
        </w:rPr>
      </w:pPr>
    </w:p>
    <w:p w14:paraId="2DDD45F3"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Algunas especies que están incluidas en la CMS se han visto tan gravemente mermadas que solo ocupan una pequeña parte del área de distribución que, en términos climáticos, les resulta apropiada, como los adax (</w:t>
      </w:r>
      <w:r w:rsidRPr="006573E6">
        <w:rPr>
          <w:rFonts w:ascii="Arial" w:hAnsi="Arial" w:cs="Arial"/>
          <w:i/>
          <w:sz w:val="22"/>
          <w:szCs w:val="22"/>
          <w:lang w:val="es-ES"/>
        </w:rPr>
        <w:t>Addax nasomaculatus</w:t>
      </w:r>
      <w:r w:rsidRPr="006573E6">
        <w:rPr>
          <w:rFonts w:ascii="Arial" w:hAnsi="Arial" w:cs="Arial"/>
          <w:sz w:val="22"/>
          <w:szCs w:val="22"/>
          <w:lang w:val="es-ES"/>
        </w:rPr>
        <w:t>), o se han extinguido en la naturaleza, como el orix de cuernos de cimitarra (</w:t>
      </w:r>
      <w:r w:rsidRPr="006573E6">
        <w:rPr>
          <w:rFonts w:ascii="Arial" w:hAnsi="Arial" w:cs="Arial"/>
          <w:i/>
          <w:sz w:val="22"/>
          <w:szCs w:val="22"/>
          <w:lang w:val="es-ES"/>
        </w:rPr>
        <w:t>Oryx dammah</w:t>
      </w:r>
      <w:r w:rsidRPr="006573E6">
        <w:rPr>
          <w:rFonts w:ascii="Arial" w:hAnsi="Arial" w:cs="Arial"/>
          <w:sz w:val="22"/>
          <w:szCs w:val="22"/>
          <w:lang w:val="es-ES"/>
        </w:rPr>
        <w:t>).</w:t>
      </w:r>
    </w:p>
    <w:p w14:paraId="1CD14A08" w14:textId="77777777" w:rsidR="00653282" w:rsidRPr="006573E6" w:rsidRDefault="00653282" w:rsidP="0007405E">
      <w:pPr>
        <w:widowControl/>
        <w:adjustRightInd w:val="0"/>
        <w:jc w:val="both"/>
        <w:rPr>
          <w:rFonts w:ascii="Arial" w:eastAsia="MS Mincho" w:hAnsi="Arial" w:cs="Arial"/>
          <w:sz w:val="22"/>
          <w:szCs w:val="22"/>
          <w:lang w:val="es-ES"/>
        </w:rPr>
      </w:pPr>
    </w:p>
    <w:p w14:paraId="2411C4B6" w14:textId="77777777" w:rsidR="00653282" w:rsidRPr="006573E6" w:rsidRDefault="00653282" w:rsidP="0007405E">
      <w:pPr>
        <w:widowControl/>
        <w:adjustRightInd w:val="0"/>
        <w:jc w:val="both"/>
        <w:rPr>
          <w:rFonts w:ascii="Arial" w:eastAsia="MS Mincho" w:hAnsi="Arial" w:cs="Arial"/>
          <w:b/>
          <w:bCs/>
          <w:sz w:val="22"/>
          <w:szCs w:val="22"/>
          <w:lang w:val="es-ES"/>
        </w:rPr>
      </w:pPr>
      <w:r w:rsidRPr="006573E6">
        <w:rPr>
          <w:rFonts w:ascii="Arial" w:hAnsi="Arial" w:cs="Arial"/>
          <w:b/>
          <w:sz w:val="22"/>
          <w:szCs w:val="22"/>
          <w:lang w:val="es-ES"/>
        </w:rPr>
        <w:lastRenderedPageBreak/>
        <w:t>ii. El área de distribución de las especies se encuentra limitada por obstáculo(s) natural(es)</w:t>
      </w:r>
    </w:p>
    <w:p w14:paraId="58B44F9C" w14:textId="77777777" w:rsidR="00653282" w:rsidRPr="006573E6" w:rsidRDefault="00653282" w:rsidP="0007405E">
      <w:pPr>
        <w:widowControl/>
        <w:adjustRightInd w:val="0"/>
        <w:jc w:val="both"/>
        <w:rPr>
          <w:rFonts w:ascii="Arial" w:eastAsia="MS Mincho" w:hAnsi="Arial" w:cs="Arial"/>
          <w:b/>
          <w:bCs/>
          <w:sz w:val="22"/>
          <w:szCs w:val="22"/>
          <w:lang w:val="es-ES"/>
        </w:rPr>
      </w:pPr>
    </w:p>
    <w:p w14:paraId="185EF72E" w14:textId="77777777" w:rsidR="00653282" w:rsidRPr="006573E6" w:rsidRDefault="00653282" w:rsidP="0007405E">
      <w:pPr>
        <w:widowControl/>
        <w:adjustRightInd w:val="0"/>
        <w:jc w:val="both"/>
        <w:rPr>
          <w:rFonts w:ascii="Arial" w:eastAsia="MS Mincho" w:hAnsi="Arial" w:cs="Arial"/>
          <w:b/>
          <w:bCs/>
          <w:sz w:val="22"/>
          <w:szCs w:val="22"/>
          <w:lang w:val="es-ES"/>
        </w:rPr>
      </w:pPr>
      <w:r w:rsidRPr="006573E6">
        <w:rPr>
          <w:rFonts w:ascii="Arial" w:hAnsi="Arial" w:cs="Arial"/>
          <w:sz w:val="22"/>
          <w:szCs w:val="22"/>
          <w:lang w:val="es-ES"/>
        </w:rPr>
        <w:t>A medida que el cambio climático degrada el hábitat de una zona, es posible que dicho hábitat no pueda recuperarse en zonas adyacentes. Algunos ejemplos incluyen los sistemas de arrecifes de coral que utilizan las tortugas carey (</w:t>
      </w:r>
      <w:r w:rsidRPr="006573E6">
        <w:rPr>
          <w:rFonts w:ascii="Arial" w:hAnsi="Arial" w:cs="Arial"/>
          <w:i/>
          <w:sz w:val="22"/>
          <w:szCs w:val="22"/>
          <w:lang w:val="es-ES"/>
        </w:rPr>
        <w:t>Eretmochelys imbricata</w:t>
      </w:r>
      <w:r w:rsidRPr="006573E6">
        <w:rPr>
          <w:rFonts w:ascii="Arial" w:hAnsi="Arial" w:cs="Arial"/>
          <w:sz w:val="22"/>
          <w:szCs w:val="22"/>
          <w:lang w:val="es-ES"/>
        </w:rPr>
        <w:t>). Un problema similar se da en los casos en los que las especies necesitan que las zonas de anidación o reproducción se mantengan en un lugar geográfico concreto, mientras que las zonas de forrajeo se van desplazando como consecuencia del cambio climático. Tal es el caso de las tortugas bobas (</w:t>
      </w:r>
      <w:r w:rsidRPr="006573E6">
        <w:rPr>
          <w:rFonts w:ascii="Arial" w:hAnsi="Arial" w:cs="Arial"/>
          <w:i/>
          <w:sz w:val="22"/>
          <w:szCs w:val="22"/>
          <w:lang w:val="es-ES"/>
        </w:rPr>
        <w:t>Caretta caretta</w:t>
      </w:r>
      <w:r w:rsidRPr="006573E6">
        <w:rPr>
          <w:rFonts w:ascii="Arial" w:hAnsi="Arial" w:cs="Arial"/>
          <w:sz w:val="22"/>
          <w:szCs w:val="22"/>
          <w:lang w:val="es-ES"/>
        </w:rPr>
        <w:t>) y de los albatros de cabeza gris (</w:t>
      </w:r>
      <w:r w:rsidRPr="006573E6">
        <w:rPr>
          <w:rFonts w:ascii="Arial" w:hAnsi="Arial" w:cs="Arial"/>
          <w:i/>
          <w:sz w:val="22"/>
          <w:szCs w:val="22"/>
          <w:lang w:val="es-ES"/>
        </w:rPr>
        <w:t>Thalassarche chrysostoma</w:t>
      </w:r>
      <w:r w:rsidRPr="006573E6">
        <w:rPr>
          <w:rFonts w:ascii="Arial" w:hAnsi="Arial" w:cs="Arial"/>
          <w:sz w:val="22"/>
          <w:szCs w:val="22"/>
          <w:lang w:val="es-ES"/>
        </w:rPr>
        <w:t>).</w:t>
      </w:r>
    </w:p>
    <w:p w14:paraId="0E3D5B95" w14:textId="77777777" w:rsidR="00653282" w:rsidRPr="006573E6" w:rsidRDefault="00653282" w:rsidP="0007405E">
      <w:pPr>
        <w:widowControl/>
        <w:adjustRightInd w:val="0"/>
        <w:jc w:val="both"/>
        <w:rPr>
          <w:rFonts w:ascii="Arial" w:eastAsia="MS Mincho" w:hAnsi="Arial" w:cs="Arial"/>
          <w:sz w:val="22"/>
          <w:szCs w:val="22"/>
          <w:lang w:val="es-ES"/>
        </w:rPr>
      </w:pPr>
    </w:p>
    <w:p w14:paraId="62EF1B9F" w14:textId="77777777" w:rsidR="00653282" w:rsidRPr="006573E6" w:rsidRDefault="00653282" w:rsidP="0007405E">
      <w:pPr>
        <w:widowControl/>
        <w:adjustRightInd w:val="0"/>
        <w:jc w:val="both"/>
        <w:rPr>
          <w:rFonts w:ascii="Arial" w:eastAsia="MS Mincho" w:hAnsi="Arial" w:cs="Arial"/>
          <w:b/>
          <w:bCs/>
          <w:sz w:val="22"/>
          <w:szCs w:val="22"/>
          <w:lang w:val="es-ES"/>
        </w:rPr>
      </w:pPr>
      <w:r w:rsidRPr="006573E6">
        <w:rPr>
          <w:rFonts w:ascii="Arial" w:hAnsi="Arial" w:cs="Arial"/>
          <w:b/>
          <w:sz w:val="22"/>
          <w:szCs w:val="22"/>
          <w:lang w:val="es-ES"/>
        </w:rPr>
        <w:t>iii. El área de distribución de las especies se encuentra limitada por obstáculo(s) antropogénico(s)</w:t>
      </w:r>
    </w:p>
    <w:p w14:paraId="0A03A152" w14:textId="77777777" w:rsidR="00653282" w:rsidRPr="006573E6" w:rsidRDefault="00653282" w:rsidP="0007405E">
      <w:pPr>
        <w:widowControl/>
        <w:adjustRightInd w:val="0"/>
        <w:jc w:val="both"/>
        <w:rPr>
          <w:rFonts w:ascii="Arial" w:eastAsia="MS Mincho" w:hAnsi="Arial" w:cs="Arial"/>
          <w:sz w:val="22"/>
          <w:szCs w:val="22"/>
          <w:lang w:val="es-ES"/>
        </w:rPr>
      </w:pPr>
    </w:p>
    <w:p w14:paraId="4850723F"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Si bien puede que no exista ningún obstáculo natural a la expansión del área de distribución, es posible que existan otros tipos de obstáculos derivados de la actividad humana. Es lo que ocurre con las zonas de anidación de especies de aves marinas, como el albatros patinegro (</w:t>
      </w:r>
      <w:r w:rsidRPr="006573E6">
        <w:rPr>
          <w:rFonts w:ascii="Arial" w:hAnsi="Arial" w:cs="Arial"/>
          <w:i/>
          <w:sz w:val="22"/>
          <w:szCs w:val="22"/>
          <w:lang w:val="es-ES"/>
        </w:rPr>
        <w:t>Phoebastria nigripes</w:t>
      </w:r>
      <w:r w:rsidRPr="006573E6">
        <w:rPr>
          <w:rFonts w:ascii="Arial" w:hAnsi="Arial" w:cs="Arial"/>
          <w:sz w:val="22"/>
          <w:szCs w:val="22"/>
          <w:lang w:val="es-ES"/>
        </w:rPr>
        <w:t>), ya que el aumento del nivel del mar en las islas puede obligar a las aves a tener que anidar en latitudes y/o altitudes superiores que resultan inadecuadas debido a la presencia de depredadores invasivos o perturbaciones humanas. Los obstáculos antropogénicos también pueden estar presentes en las fronteras entre organizaciones regionales de ordenación pesquera en las que la ampliación del área de distribución puede llevar a las especies a mares donde existen distintas normas de mitigación de la captura incidental.</w:t>
      </w:r>
    </w:p>
    <w:p w14:paraId="513BC236" w14:textId="77777777" w:rsidR="00653282" w:rsidRPr="006573E6" w:rsidRDefault="00653282" w:rsidP="0007405E">
      <w:pPr>
        <w:widowControl/>
        <w:adjustRightInd w:val="0"/>
        <w:jc w:val="both"/>
        <w:rPr>
          <w:rFonts w:ascii="Arial" w:eastAsia="MS Mincho" w:hAnsi="Arial" w:cs="Arial"/>
          <w:sz w:val="22"/>
          <w:szCs w:val="22"/>
          <w:lang w:val="es-ES"/>
        </w:rPr>
      </w:pPr>
    </w:p>
    <w:p w14:paraId="7C967DF6" w14:textId="77777777" w:rsidR="00653282" w:rsidRPr="006573E6" w:rsidRDefault="00653282" w:rsidP="0007405E">
      <w:pPr>
        <w:widowControl/>
        <w:adjustRightInd w:val="0"/>
        <w:jc w:val="both"/>
        <w:rPr>
          <w:rFonts w:ascii="Arial" w:eastAsia="MS Mincho" w:hAnsi="Arial" w:cs="Arial"/>
          <w:b/>
          <w:bCs/>
          <w:sz w:val="22"/>
          <w:szCs w:val="22"/>
          <w:lang w:val="es-ES"/>
        </w:rPr>
      </w:pPr>
      <w:r w:rsidRPr="006573E6">
        <w:rPr>
          <w:rFonts w:ascii="Arial" w:hAnsi="Arial" w:cs="Arial"/>
          <w:b/>
          <w:sz w:val="22"/>
          <w:szCs w:val="22"/>
          <w:lang w:val="es-ES"/>
        </w:rPr>
        <w:t>iv. Es posible que el área de distribución de las especies se encuentre limitada en el futuro por obstáculo(s) antropogénico(s)</w:t>
      </w:r>
    </w:p>
    <w:p w14:paraId="346B393C" w14:textId="77777777" w:rsidR="00653282" w:rsidRPr="006573E6" w:rsidRDefault="00653282" w:rsidP="0007405E">
      <w:pPr>
        <w:widowControl/>
        <w:adjustRightInd w:val="0"/>
        <w:jc w:val="both"/>
        <w:rPr>
          <w:rFonts w:ascii="Arial" w:eastAsia="MS Mincho" w:hAnsi="Arial" w:cs="Arial"/>
          <w:sz w:val="22"/>
          <w:szCs w:val="22"/>
          <w:lang w:val="es-ES"/>
        </w:rPr>
      </w:pPr>
    </w:p>
    <w:p w14:paraId="107F77CF"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Aunque en la actualidad las especies puedan adaptar sus desplazamientos como respuesta al cambio climático, existe la posibilidad de que dichos hábitats sufran cambios en el futuro que los vuelvan inapropiados. Este problema se presenta especialmente en el Ártico, donde el retroceso del hielo marino está permitiendo que haya una mayor navegación y, por consiguiente, una mayor actividad industrial. Mientras que la mayor parte del Ártico puede adaptarse actualmente a los cambios hacia los polos de las especies, como la ballena de Groenlandia (</w:t>
      </w:r>
      <w:r w:rsidRPr="006573E6">
        <w:rPr>
          <w:rFonts w:ascii="Arial" w:hAnsi="Arial" w:cs="Arial"/>
          <w:i/>
          <w:sz w:val="22"/>
          <w:szCs w:val="22"/>
          <w:lang w:val="es-ES"/>
        </w:rPr>
        <w:t>Balaena mysticetus</w:t>
      </w:r>
      <w:r w:rsidRPr="006573E6">
        <w:rPr>
          <w:rFonts w:ascii="Arial" w:hAnsi="Arial" w:cs="Arial"/>
          <w:sz w:val="22"/>
          <w:szCs w:val="22"/>
          <w:lang w:val="es-ES"/>
        </w:rPr>
        <w:t>), es posible que el entorno marino del Ártico ya se haya desarrollado en mayor medida para cuando se produzcan dichos cambios en el área de distribución y, por lo tanto, no se pueda adaptar de la misma forma. De manera similar, los humedales que hoy en día no usan las aves acuáticas y en los que se está contemplando la posibilidad de llevar a cabo labores de desarrollo pueden convertirse cada vez más en zonas de escala debido al aumento del nivel del mar. Por último, el avance del aumento de la aridez de las tierras del Sáhara y las precipitaciones cambiantes en el Sahel podría obligar a las especies silvestres, como la gacela dorcas (</w:t>
      </w:r>
      <w:r w:rsidRPr="006573E6">
        <w:rPr>
          <w:rFonts w:ascii="Arial" w:hAnsi="Arial" w:cs="Arial"/>
          <w:i/>
          <w:sz w:val="22"/>
          <w:szCs w:val="22"/>
          <w:lang w:val="es-ES"/>
        </w:rPr>
        <w:t>Gazella dorcas</w:t>
      </w:r>
      <w:r w:rsidRPr="006573E6">
        <w:rPr>
          <w:rFonts w:ascii="Arial" w:hAnsi="Arial" w:cs="Arial"/>
          <w:sz w:val="22"/>
          <w:szCs w:val="22"/>
          <w:lang w:val="es-ES"/>
        </w:rPr>
        <w:t>) a competir por hábitats en tierras cada vez más necesarias para usos agrícolas.</w:t>
      </w:r>
    </w:p>
    <w:p w14:paraId="0523FED8" w14:textId="77777777" w:rsidR="00653282" w:rsidRPr="006573E6" w:rsidRDefault="00653282" w:rsidP="0007405E">
      <w:pPr>
        <w:widowControl/>
        <w:adjustRightInd w:val="0"/>
        <w:jc w:val="both"/>
        <w:rPr>
          <w:rFonts w:ascii="Arial" w:eastAsia="MS Mincho" w:hAnsi="Arial" w:cs="Arial"/>
          <w:sz w:val="22"/>
          <w:szCs w:val="22"/>
          <w:lang w:val="es-ES"/>
        </w:rPr>
      </w:pPr>
    </w:p>
    <w:p w14:paraId="50F45240" w14:textId="77777777" w:rsidR="00653282" w:rsidRPr="006573E6" w:rsidRDefault="00653282" w:rsidP="0007405E">
      <w:pPr>
        <w:widowControl/>
        <w:adjustRightInd w:val="0"/>
        <w:jc w:val="both"/>
        <w:rPr>
          <w:rFonts w:ascii="Arial" w:eastAsia="MS Mincho" w:hAnsi="Arial" w:cs="Arial"/>
          <w:b/>
          <w:bCs/>
          <w:sz w:val="22"/>
          <w:szCs w:val="22"/>
          <w:lang w:val="es-ES"/>
        </w:rPr>
      </w:pPr>
      <w:r w:rsidRPr="006573E6">
        <w:rPr>
          <w:rFonts w:ascii="Arial" w:hAnsi="Arial" w:cs="Arial"/>
          <w:b/>
          <w:sz w:val="22"/>
          <w:szCs w:val="22"/>
          <w:lang w:val="es-ES"/>
        </w:rPr>
        <w:t>3. Un marco de acción</w:t>
      </w:r>
    </w:p>
    <w:p w14:paraId="48043A6A" w14:textId="77777777" w:rsidR="00653282" w:rsidRPr="006573E6" w:rsidRDefault="00653282" w:rsidP="0007405E">
      <w:pPr>
        <w:widowControl/>
        <w:adjustRightInd w:val="0"/>
        <w:jc w:val="both"/>
        <w:rPr>
          <w:rFonts w:ascii="Arial" w:eastAsia="MS Mincho" w:hAnsi="Arial" w:cs="Arial"/>
          <w:sz w:val="22"/>
          <w:szCs w:val="22"/>
          <w:lang w:val="es-ES"/>
        </w:rPr>
      </w:pPr>
    </w:p>
    <w:p w14:paraId="6541D430"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El siguiente marco de decisión se ha visto afectado por los enfoques sobre la observación y gestión de los ecosistemas en las pesquerías, por la ciencia relativa a la toma de decisiones que se utiliza para priorizar la conservación y por la jerarquización de las prioridades de investigación para las aves migratorias. Está diseñado para fundamentar los compromisos entre Estados del área de distribución y la priorización de acciones para las especies migratorias que se encuentran en riesgo debido al cambio climático. Al combinar este marco con análisis minuciosos de la literatura científica de cada especie, las estrategias se pueden centrar en acciones que aprovechen mejor los recursos dedicados a proteger las especies y sus rutas migratorias.</w:t>
      </w:r>
    </w:p>
    <w:p w14:paraId="297633EB" w14:textId="77777777" w:rsidR="00653282" w:rsidRPr="006573E6" w:rsidRDefault="00653282" w:rsidP="0007405E">
      <w:pPr>
        <w:widowControl/>
        <w:adjustRightInd w:val="0"/>
        <w:jc w:val="both"/>
        <w:rPr>
          <w:rFonts w:ascii="Arial" w:eastAsia="MS Mincho" w:hAnsi="Arial" w:cs="Arial"/>
          <w:sz w:val="22"/>
          <w:szCs w:val="22"/>
          <w:lang w:val="es-ES"/>
        </w:rPr>
      </w:pPr>
    </w:p>
    <w:p w14:paraId="36B2893A"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 xml:space="preserve">El Marco de decisión considera cuatro estrategias: conservación, restauración, adaptación y translocación. </w:t>
      </w:r>
      <w:r w:rsidRPr="006573E6">
        <w:rPr>
          <w:rFonts w:ascii="Arial" w:hAnsi="Arial" w:cs="Arial"/>
          <w:color w:val="000000" w:themeColor="text1"/>
          <w:sz w:val="22"/>
          <w:szCs w:val="22"/>
          <w:lang w:val="es-ES"/>
        </w:rPr>
        <w:t>El objetivo del Marco es</w:t>
      </w:r>
      <w:r w:rsidRPr="006573E6">
        <w:rPr>
          <w:rFonts w:ascii="Arial" w:hAnsi="Arial" w:cs="Arial"/>
          <w:sz w:val="22"/>
          <w:szCs w:val="22"/>
          <w:lang w:val="es-ES"/>
        </w:rPr>
        <w:t>, en primer lugar, definir y categorizar las condiciones ecológicas, logísticas, sociales, financieras y políticas que deben cumplirse para que estas estrategias sean viables para las especies marinas migratorias que experimentan cambios en su área de distribución inducidos por el cambio climático.</w:t>
      </w:r>
    </w:p>
    <w:p w14:paraId="19B53324" w14:textId="77777777" w:rsidR="00653282" w:rsidRPr="006573E6" w:rsidRDefault="00653282" w:rsidP="0007405E">
      <w:pPr>
        <w:widowControl/>
        <w:adjustRightInd w:val="0"/>
        <w:jc w:val="both"/>
        <w:rPr>
          <w:rFonts w:ascii="Arial" w:eastAsia="MS Mincho" w:hAnsi="Arial" w:cs="Arial"/>
          <w:strike/>
          <w:sz w:val="22"/>
          <w:szCs w:val="22"/>
          <w:lang w:val="es-ES"/>
        </w:rPr>
      </w:pPr>
    </w:p>
    <w:p w14:paraId="5777BC2D" w14:textId="77777777" w:rsidR="00653282" w:rsidRPr="006573E6" w:rsidRDefault="00653282" w:rsidP="0007405E">
      <w:pPr>
        <w:widowControl/>
        <w:adjustRightInd w:val="0"/>
        <w:jc w:val="both"/>
        <w:rPr>
          <w:rFonts w:ascii="Arial" w:eastAsia="MS Mincho" w:hAnsi="Arial" w:cs="Arial"/>
          <w:b/>
          <w:bCs/>
          <w:sz w:val="22"/>
          <w:szCs w:val="22"/>
          <w:lang w:val="es-ES"/>
        </w:rPr>
      </w:pPr>
      <w:r w:rsidRPr="006573E6">
        <w:rPr>
          <w:rFonts w:ascii="Arial" w:hAnsi="Arial" w:cs="Arial"/>
          <w:b/>
          <w:sz w:val="22"/>
          <w:szCs w:val="22"/>
          <w:lang w:val="es-ES"/>
        </w:rPr>
        <w:t>4. Definiciones de estrategias, plazos y escalas de acción</w:t>
      </w:r>
    </w:p>
    <w:p w14:paraId="277AEADB" w14:textId="77777777" w:rsidR="00653282" w:rsidRPr="006573E6" w:rsidRDefault="00653282" w:rsidP="0007405E">
      <w:pPr>
        <w:widowControl/>
        <w:adjustRightInd w:val="0"/>
        <w:jc w:val="both"/>
        <w:rPr>
          <w:rFonts w:ascii="Arial" w:eastAsia="MS Mincho" w:hAnsi="Arial" w:cs="Arial"/>
          <w:b/>
          <w:bCs/>
          <w:sz w:val="22"/>
          <w:szCs w:val="22"/>
          <w:u w:val="single"/>
          <w:lang w:val="es-ES"/>
        </w:rPr>
      </w:pPr>
    </w:p>
    <w:p w14:paraId="3190AB9A" w14:textId="77777777" w:rsidR="00653282" w:rsidRPr="006573E6" w:rsidRDefault="00653282" w:rsidP="0007405E">
      <w:pPr>
        <w:widowControl/>
        <w:adjustRightInd w:val="0"/>
        <w:jc w:val="both"/>
        <w:rPr>
          <w:rFonts w:ascii="Arial" w:eastAsia="MS Mincho" w:hAnsi="Arial" w:cs="Arial"/>
          <w:b/>
          <w:bCs/>
          <w:sz w:val="22"/>
          <w:szCs w:val="22"/>
          <w:lang w:val="es-ES"/>
        </w:rPr>
      </w:pPr>
      <w:r w:rsidRPr="006573E6">
        <w:rPr>
          <w:rFonts w:ascii="Arial" w:hAnsi="Arial" w:cs="Arial"/>
          <w:sz w:val="22"/>
          <w:szCs w:val="22"/>
          <w:lang w:val="es-ES"/>
        </w:rPr>
        <w:t>Las definiciones de cada una de las estrategias que figuran a continuación se utilizan únicamente a efectos del Marco de Decisión.</w:t>
      </w:r>
    </w:p>
    <w:p w14:paraId="1613F6D5" w14:textId="77777777" w:rsidR="00653282" w:rsidRPr="006573E6" w:rsidRDefault="00653282" w:rsidP="0007405E">
      <w:pPr>
        <w:widowControl/>
        <w:adjustRightInd w:val="0"/>
        <w:jc w:val="both"/>
        <w:rPr>
          <w:rFonts w:ascii="Arial" w:eastAsia="MS Mincho" w:hAnsi="Arial" w:cs="Arial"/>
          <w:sz w:val="22"/>
          <w:szCs w:val="22"/>
          <w:lang w:val="es-ES"/>
        </w:rPr>
      </w:pPr>
    </w:p>
    <w:p w14:paraId="16F11296" w14:textId="77777777" w:rsidR="00653282" w:rsidRPr="006573E6" w:rsidRDefault="00653282" w:rsidP="0007405E">
      <w:pPr>
        <w:widowControl/>
        <w:adjustRightInd w:val="0"/>
        <w:jc w:val="both"/>
        <w:rPr>
          <w:rFonts w:ascii="Arial" w:eastAsia="MS Mincho" w:hAnsi="Arial" w:cs="Arial"/>
          <w:b/>
          <w:bCs/>
          <w:sz w:val="22"/>
          <w:szCs w:val="22"/>
          <w:lang w:val="es-ES"/>
        </w:rPr>
      </w:pPr>
      <w:r w:rsidRPr="006573E6">
        <w:rPr>
          <w:rFonts w:ascii="Arial" w:hAnsi="Arial" w:cs="Arial"/>
          <w:b/>
          <w:sz w:val="22"/>
          <w:szCs w:val="22"/>
          <w:lang w:val="es-ES"/>
        </w:rPr>
        <w:t>i. Conservación</w:t>
      </w:r>
    </w:p>
    <w:p w14:paraId="3962C9BA" w14:textId="77777777" w:rsidR="00653282" w:rsidRPr="006573E6" w:rsidRDefault="00653282" w:rsidP="0007405E">
      <w:pPr>
        <w:widowControl/>
        <w:adjustRightInd w:val="0"/>
        <w:jc w:val="both"/>
        <w:rPr>
          <w:rFonts w:ascii="Arial" w:eastAsia="MS Mincho" w:hAnsi="Arial" w:cs="Arial"/>
          <w:sz w:val="22"/>
          <w:szCs w:val="22"/>
          <w:u w:val="single"/>
          <w:lang w:val="es-ES"/>
        </w:rPr>
      </w:pPr>
    </w:p>
    <w:p w14:paraId="1DE1B81E"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La conservación se refiere a la protección y gestión del hábitat existente dentro del área de distribución futura prevista de una especie o población para evitar un mayor declive.</w:t>
      </w:r>
    </w:p>
    <w:p w14:paraId="77611EAD" w14:textId="77777777" w:rsidR="00653282" w:rsidRPr="006573E6" w:rsidRDefault="00653282" w:rsidP="0007405E">
      <w:pPr>
        <w:widowControl/>
        <w:adjustRightInd w:val="0"/>
        <w:jc w:val="both"/>
        <w:rPr>
          <w:rFonts w:ascii="Arial" w:eastAsia="MS Mincho" w:hAnsi="Arial" w:cs="Arial"/>
          <w:sz w:val="22"/>
          <w:szCs w:val="22"/>
          <w:lang w:val="es-ES"/>
        </w:rPr>
      </w:pPr>
    </w:p>
    <w:p w14:paraId="63E2D37F"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 xml:space="preserve">Entre los ejemplos de estrategias de conservación figuran el aislamiento de zonas de protección de interior de los humedales costeros actuales (Wikramanayake, </w:t>
      </w:r>
      <w:r w:rsidRPr="006573E6">
        <w:rPr>
          <w:rFonts w:ascii="Arial" w:hAnsi="Arial" w:cs="Arial"/>
          <w:i/>
          <w:iCs/>
          <w:sz w:val="22"/>
          <w:szCs w:val="22"/>
          <w:lang w:val="es-ES"/>
        </w:rPr>
        <w:t>et al</w:t>
      </w:r>
      <w:r w:rsidRPr="006573E6">
        <w:rPr>
          <w:rFonts w:ascii="Arial" w:hAnsi="Arial" w:cs="Arial"/>
          <w:sz w:val="22"/>
          <w:szCs w:val="22"/>
          <w:lang w:val="es-ES"/>
        </w:rPr>
        <w:t>., 2020) y la restricción de la expansión industrial hacia el Ártico (para esta última estrategia, quizá se puedan utilizar herramientas como la ArcNet, del Fondo Mundial para la Naturaleza 29.</w:t>
      </w:r>
    </w:p>
    <w:p w14:paraId="0FD8AAB2" w14:textId="77777777" w:rsidR="00653282" w:rsidRPr="006573E6" w:rsidRDefault="00653282" w:rsidP="0007405E">
      <w:pPr>
        <w:widowControl/>
        <w:adjustRightInd w:val="0"/>
        <w:jc w:val="both"/>
        <w:rPr>
          <w:rFonts w:ascii="Arial" w:eastAsia="MS Mincho" w:hAnsi="Arial" w:cs="Arial"/>
          <w:sz w:val="22"/>
          <w:szCs w:val="22"/>
          <w:lang w:val="es-ES"/>
        </w:rPr>
      </w:pPr>
    </w:p>
    <w:p w14:paraId="0619364D" w14:textId="77777777" w:rsidR="00653282" w:rsidRPr="006573E6" w:rsidRDefault="00653282" w:rsidP="0007405E">
      <w:pPr>
        <w:widowControl/>
        <w:adjustRightInd w:val="0"/>
        <w:jc w:val="both"/>
        <w:rPr>
          <w:rFonts w:ascii="Arial" w:eastAsia="MS Mincho" w:hAnsi="Arial" w:cs="Arial"/>
          <w:b/>
          <w:bCs/>
          <w:sz w:val="22"/>
          <w:szCs w:val="22"/>
          <w:lang w:val="es-ES"/>
        </w:rPr>
      </w:pPr>
      <w:r w:rsidRPr="006573E6">
        <w:rPr>
          <w:rFonts w:ascii="Arial" w:hAnsi="Arial" w:cs="Arial"/>
          <w:b/>
          <w:sz w:val="22"/>
          <w:szCs w:val="22"/>
          <w:lang w:val="es-ES"/>
        </w:rPr>
        <w:t>ii. Restauración</w:t>
      </w:r>
    </w:p>
    <w:p w14:paraId="1044CDF7" w14:textId="77777777" w:rsidR="00653282" w:rsidRPr="006573E6" w:rsidRDefault="00653282" w:rsidP="0007405E">
      <w:pPr>
        <w:widowControl/>
        <w:adjustRightInd w:val="0"/>
        <w:jc w:val="both"/>
        <w:rPr>
          <w:rFonts w:ascii="Arial" w:eastAsia="MS Mincho" w:hAnsi="Arial" w:cs="Arial"/>
          <w:sz w:val="22"/>
          <w:szCs w:val="22"/>
          <w:lang w:val="es-ES"/>
        </w:rPr>
      </w:pPr>
    </w:p>
    <w:p w14:paraId="3A9E33BA"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La restauración se refiere a la recuperación o rehabilitación activa de hábitats o poblaciones degradados, dañados o destruidos para que recuperen su estado anterior, funcional o resiliente.</w:t>
      </w:r>
    </w:p>
    <w:p w14:paraId="62334CD8" w14:textId="77777777" w:rsidR="00653282" w:rsidRPr="006573E6" w:rsidRDefault="00653282" w:rsidP="0007405E">
      <w:pPr>
        <w:widowControl/>
        <w:adjustRightInd w:val="0"/>
        <w:jc w:val="both"/>
        <w:rPr>
          <w:rFonts w:ascii="Arial" w:eastAsia="MS Mincho" w:hAnsi="Arial" w:cs="Arial"/>
          <w:sz w:val="22"/>
          <w:szCs w:val="22"/>
          <w:lang w:val="es-ES"/>
        </w:rPr>
      </w:pPr>
    </w:p>
    <w:p w14:paraId="6517F859"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 xml:space="preserve">Entre las estrategias de restauración se incluyen la extracción activa de los depredadores invasivos de posibles zonas de anidación de aves marinas (Reynolds, et al., 2015) y la mejora de las medidas de mitigación de la captura incidental en los límites de pesquerías para promover la restauración natural (Krüger, </w:t>
      </w:r>
      <w:r w:rsidRPr="006573E6">
        <w:rPr>
          <w:rFonts w:ascii="Arial" w:hAnsi="Arial" w:cs="Arial"/>
          <w:i/>
          <w:iCs/>
          <w:sz w:val="22"/>
          <w:szCs w:val="22"/>
          <w:lang w:val="es-ES"/>
        </w:rPr>
        <w:t>et al</w:t>
      </w:r>
      <w:r w:rsidRPr="006573E6">
        <w:rPr>
          <w:rFonts w:ascii="Arial" w:hAnsi="Arial" w:cs="Arial"/>
          <w:sz w:val="22"/>
          <w:szCs w:val="22"/>
          <w:lang w:val="es-ES"/>
        </w:rPr>
        <w:t>., 2018).</w:t>
      </w:r>
    </w:p>
    <w:p w14:paraId="639F4E2A" w14:textId="77777777" w:rsidR="00653282" w:rsidRPr="006573E6" w:rsidRDefault="00653282" w:rsidP="0007405E">
      <w:pPr>
        <w:widowControl/>
        <w:adjustRightInd w:val="0"/>
        <w:jc w:val="both"/>
        <w:rPr>
          <w:rFonts w:ascii="Arial" w:eastAsia="MS Mincho" w:hAnsi="Arial" w:cs="Arial"/>
          <w:sz w:val="22"/>
          <w:szCs w:val="22"/>
          <w:lang w:val="es-ES"/>
        </w:rPr>
      </w:pPr>
    </w:p>
    <w:p w14:paraId="7186874F" w14:textId="77777777" w:rsidR="00653282" w:rsidRPr="006573E6" w:rsidRDefault="00653282" w:rsidP="0007405E">
      <w:pPr>
        <w:widowControl/>
        <w:adjustRightInd w:val="0"/>
        <w:jc w:val="both"/>
        <w:rPr>
          <w:rFonts w:ascii="Arial" w:eastAsia="MS Mincho" w:hAnsi="Arial" w:cs="Arial"/>
          <w:b/>
          <w:bCs/>
          <w:sz w:val="22"/>
          <w:szCs w:val="22"/>
          <w:lang w:val="es-ES"/>
        </w:rPr>
      </w:pPr>
      <w:r w:rsidRPr="006573E6">
        <w:rPr>
          <w:rFonts w:ascii="Arial" w:hAnsi="Arial" w:cs="Arial"/>
          <w:b/>
          <w:sz w:val="22"/>
          <w:szCs w:val="22"/>
          <w:lang w:val="es-ES"/>
        </w:rPr>
        <w:t>iii. Adaptación</w:t>
      </w:r>
    </w:p>
    <w:p w14:paraId="5101CAAC" w14:textId="77777777" w:rsidR="00653282" w:rsidRPr="006573E6" w:rsidRDefault="00653282" w:rsidP="0007405E">
      <w:pPr>
        <w:widowControl/>
        <w:adjustRightInd w:val="0"/>
        <w:jc w:val="both"/>
        <w:rPr>
          <w:rFonts w:ascii="Arial" w:eastAsia="MS Mincho" w:hAnsi="Arial" w:cs="Arial"/>
          <w:sz w:val="22"/>
          <w:szCs w:val="22"/>
          <w:lang w:val="es-ES"/>
        </w:rPr>
      </w:pPr>
    </w:p>
    <w:p w14:paraId="4CC914C1"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La adaptación se refiere al proceso de ajuste de las prácticas de conservación y gestión para responder a los impactos actuales y previstos del cambio climático y otros cambios ambientales a gran escala para las especies migratorias y sus hábitats actuales.</w:t>
      </w:r>
    </w:p>
    <w:p w14:paraId="592E1C02" w14:textId="77777777" w:rsidR="00653282" w:rsidRPr="006573E6" w:rsidRDefault="00653282" w:rsidP="0007405E">
      <w:pPr>
        <w:widowControl/>
        <w:adjustRightInd w:val="0"/>
        <w:jc w:val="both"/>
        <w:rPr>
          <w:rFonts w:ascii="Arial" w:eastAsia="MS Mincho" w:hAnsi="Arial" w:cs="Arial"/>
          <w:sz w:val="22"/>
          <w:szCs w:val="22"/>
          <w:lang w:val="es-ES"/>
        </w:rPr>
      </w:pPr>
    </w:p>
    <w:p w14:paraId="58F56825" w14:textId="77777777" w:rsidR="00653282" w:rsidRPr="006573E6" w:rsidRDefault="00653282" w:rsidP="0007405E">
      <w:pPr>
        <w:widowControl/>
        <w:adjustRightInd w:val="0"/>
        <w:jc w:val="both"/>
        <w:rPr>
          <w:rFonts w:ascii="Arial" w:eastAsia="MS Mincho" w:hAnsi="Arial" w:cs="Arial"/>
          <w:sz w:val="22"/>
          <w:szCs w:val="22"/>
          <w:lang w:val="es-ES"/>
        </w:rPr>
      </w:pPr>
    </w:p>
    <w:p w14:paraId="59A9311A"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Por ejemplo, las tortugas caguamas son especies migratorias de larga distancia que regresan a playas específicas para anidar. El sexo de las crías viene determinado por la temperatura de la arena durante la incubación, ya que las arenas más cálidas se correlacionan con el nacimiento de más hembras. Un ejemplo de adaptación podría ser dar sombra a los nidos para enfriar la arena con el fin de restablecer la proporción de sexos.</w:t>
      </w:r>
    </w:p>
    <w:p w14:paraId="4ACD8E3B" w14:textId="77777777" w:rsidR="00653282" w:rsidRPr="006573E6" w:rsidRDefault="00653282" w:rsidP="0007405E">
      <w:pPr>
        <w:widowControl/>
        <w:adjustRightInd w:val="0"/>
        <w:jc w:val="both"/>
        <w:rPr>
          <w:rFonts w:ascii="Arial" w:eastAsia="MS Mincho" w:hAnsi="Arial" w:cs="Arial"/>
          <w:sz w:val="22"/>
          <w:szCs w:val="22"/>
          <w:lang w:val="es-ES"/>
        </w:rPr>
      </w:pPr>
    </w:p>
    <w:p w14:paraId="4AD65AD4" w14:textId="77777777" w:rsidR="00653282" w:rsidRPr="006573E6" w:rsidRDefault="00653282" w:rsidP="0007405E">
      <w:pPr>
        <w:widowControl/>
        <w:adjustRightInd w:val="0"/>
        <w:jc w:val="both"/>
        <w:rPr>
          <w:rFonts w:ascii="Arial" w:eastAsia="MS Mincho" w:hAnsi="Arial" w:cs="Arial"/>
          <w:b/>
          <w:bCs/>
          <w:sz w:val="22"/>
          <w:szCs w:val="22"/>
          <w:lang w:val="es-ES"/>
        </w:rPr>
      </w:pPr>
      <w:r w:rsidRPr="006573E6">
        <w:rPr>
          <w:rFonts w:ascii="Arial" w:hAnsi="Arial" w:cs="Arial"/>
          <w:b/>
          <w:sz w:val="22"/>
          <w:szCs w:val="22"/>
          <w:lang w:val="es-ES"/>
        </w:rPr>
        <w:t>iv. Translocación</w:t>
      </w:r>
    </w:p>
    <w:p w14:paraId="1C67585A" w14:textId="77777777" w:rsidR="00653282" w:rsidRPr="006573E6" w:rsidRDefault="00653282" w:rsidP="0007405E">
      <w:pPr>
        <w:widowControl/>
        <w:adjustRightInd w:val="0"/>
        <w:jc w:val="both"/>
        <w:rPr>
          <w:rFonts w:ascii="Arial" w:eastAsia="MS Mincho" w:hAnsi="Arial" w:cs="Arial"/>
          <w:b/>
          <w:bCs/>
          <w:sz w:val="22"/>
          <w:szCs w:val="22"/>
          <w:lang w:val="es-ES"/>
        </w:rPr>
      </w:pPr>
    </w:p>
    <w:p w14:paraId="43B5264C"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La translocación se refiere al traslado intencionado de individuos para establecer, restablecer o reforzar una población en un hábitat nuevo o antiguo adecuado.</w:t>
      </w:r>
    </w:p>
    <w:p w14:paraId="178B14E4" w14:textId="77777777" w:rsidR="00653282" w:rsidRPr="006573E6" w:rsidRDefault="00653282" w:rsidP="0007405E">
      <w:pPr>
        <w:widowControl/>
        <w:adjustRightInd w:val="0"/>
        <w:jc w:val="both"/>
        <w:rPr>
          <w:rFonts w:ascii="Arial" w:eastAsia="MS Mincho" w:hAnsi="Arial" w:cs="Arial"/>
          <w:sz w:val="22"/>
          <w:szCs w:val="22"/>
          <w:lang w:val="es-ES"/>
        </w:rPr>
      </w:pPr>
    </w:p>
    <w:p w14:paraId="4DAD3C27"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Algunos ejemplos de estrategias de translocación incluyen la reintroducción del adax cautivo (</w:t>
      </w:r>
      <w:r w:rsidRPr="006573E6">
        <w:rPr>
          <w:rFonts w:ascii="Arial" w:hAnsi="Arial" w:cs="Arial"/>
          <w:i/>
          <w:sz w:val="22"/>
          <w:szCs w:val="22"/>
          <w:lang w:val="es-ES"/>
        </w:rPr>
        <w:t>Addax Nasomaculatus</w:t>
      </w:r>
      <w:r w:rsidRPr="006573E6">
        <w:rPr>
          <w:rFonts w:ascii="Arial" w:hAnsi="Arial" w:cs="Arial"/>
          <w:sz w:val="22"/>
          <w:szCs w:val="22"/>
          <w:lang w:val="es-ES"/>
        </w:rPr>
        <w:t>) en áreas protegidas del norte de África y el uso de aeronaves ligeras para orientar la migración de la grulla siberiana (Leucogeranus leucogeranus; el proyecto “Flight of Hope”) en Rusia.</w:t>
      </w:r>
    </w:p>
    <w:p w14:paraId="09E98F65" w14:textId="77777777" w:rsidR="00653282" w:rsidRPr="006573E6" w:rsidRDefault="00653282" w:rsidP="0007405E">
      <w:pPr>
        <w:widowControl/>
        <w:adjustRightInd w:val="0"/>
        <w:jc w:val="both"/>
        <w:rPr>
          <w:rFonts w:ascii="Arial" w:eastAsia="MS Mincho" w:hAnsi="Arial" w:cs="Arial"/>
          <w:sz w:val="22"/>
          <w:szCs w:val="22"/>
          <w:lang w:val="es-ES"/>
        </w:rPr>
      </w:pPr>
    </w:p>
    <w:p w14:paraId="112ED7BC" w14:textId="77777777" w:rsidR="00653282" w:rsidRPr="006573E6" w:rsidRDefault="00653282" w:rsidP="0007405E">
      <w:pPr>
        <w:widowControl/>
        <w:adjustRightInd w:val="0"/>
        <w:jc w:val="both"/>
        <w:rPr>
          <w:rFonts w:ascii="Arial" w:eastAsia="MS Mincho" w:hAnsi="Arial" w:cs="Arial"/>
          <w:b/>
          <w:bCs/>
          <w:sz w:val="22"/>
          <w:szCs w:val="22"/>
          <w:lang w:val="es-ES"/>
        </w:rPr>
      </w:pPr>
      <w:r w:rsidRPr="006573E6">
        <w:rPr>
          <w:rFonts w:ascii="Arial" w:hAnsi="Arial" w:cs="Arial"/>
          <w:b/>
          <w:sz w:val="22"/>
          <w:szCs w:val="22"/>
          <w:lang w:val="es-ES"/>
        </w:rPr>
        <w:t>Plazo de planificación: 2100</w:t>
      </w:r>
    </w:p>
    <w:p w14:paraId="4D16F4C7" w14:textId="77777777" w:rsidR="00653282" w:rsidRPr="006573E6" w:rsidRDefault="00653282" w:rsidP="0007405E">
      <w:pPr>
        <w:widowControl/>
        <w:adjustRightInd w:val="0"/>
        <w:jc w:val="both"/>
        <w:rPr>
          <w:rFonts w:ascii="Arial" w:eastAsia="MS Mincho" w:hAnsi="Arial" w:cs="Arial"/>
          <w:sz w:val="22"/>
          <w:szCs w:val="22"/>
          <w:u w:val="single"/>
          <w:lang w:val="es-ES"/>
        </w:rPr>
      </w:pPr>
    </w:p>
    <w:p w14:paraId="04B959F4" w14:textId="70F9120F"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 xml:space="preserve">Para garantizar la persistencia, la recuperación y la funcionalidad ecológica a largo plazo de las especies en el contexto del cambio climático, es fundamental que las medidas de conservación, restauración, adaptación y translocación se diseñen con una perspectiva de futuro. El año 2100 está ampliamente aceptado como horizonte temporal estándar a largo plazo en la ciencia del clima y sirve como punto final para la mayoría de </w:t>
      </w:r>
      <w:r w:rsidR="006573E6">
        <w:rPr>
          <w:rFonts w:ascii="Arial" w:hAnsi="Arial" w:cs="Arial"/>
          <w:sz w:val="22"/>
          <w:szCs w:val="22"/>
          <w:lang w:val="es-ES"/>
        </w:rPr>
        <w:t xml:space="preserve">los </w:t>
      </w:r>
      <w:r w:rsidRPr="006573E6">
        <w:rPr>
          <w:rFonts w:ascii="Arial" w:hAnsi="Arial" w:cs="Arial"/>
          <w:sz w:val="22"/>
          <w:szCs w:val="22"/>
          <w:lang w:val="es-ES"/>
        </w:rPr>
        <w:t>modelos climáticos globales y regionales, incluidos los utilizados por el Grupo Intergubernamental de Expertos sobre el Cambio Climático (IPCC).</w:t>
      </w:r>
    </w:p>
    <w:p w14:paraId="55BC8915" w14:textId="77777777" w:rsidR="00653282" w:rsidRPr="006573E6" w:rsidRDefault="00653282" w:rsidP="0007405E">
      <w:pPr>
        <w:widowControl/>
        <w:adjustRightInd w:val="0"/>
        <w:jc w:val="both"/>
        <w:rPr>
          <w:rFonts w:ascii="Arial" w:eastAsia="MS Mincho" w:hAnsi="Arial" w:cs="Arial"/>
          <w:sz w:val="22"/>
          <w:szCs w:val="22"/>
          <w:u w:val="single"/>
          <w:lang w:val="es-ES"/>
        </w:rPr>
      </w:pPr>
    </w:p>
    <w:p w14:paraId="3CE3C13F"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Utilizar el año 2100 como horizonte de planificación proporciona un marco temporal con base científica y pertinente desde el punto de vista político para evaluar la viabilidad y la eficacia de las intervenciones de gestión. Las proyecciones climáticas hasta el año 2100 incorporan una serie de escenarios futuros plausibles (</w:t>
      </w:r>
      <w:r w:rsidRPr="006573E6">
        <w:rPr>
          <w:rFonts w:ascii="Arial" w:hAnsi="Arial" w:cs="Arial"/>
          <w:color w:val="000000" w:themeColor="text1"/>
          <w:sz w:val="22"/>
          <w:szCs w:val="22"/>
          <w:lang w:val="es-ES"/>
        </w:rPr>
        <w:t>por ejemplo, las trayectorias socioeconómicas compartidas</w:t>
      </w:r>
      <w:r w:rsidRPr="0007405E">
        <w:rPr>
          <w:rStyle w:val="FootnoteReference"/>
          <w:rFonts w:ascii="Arial" w:eastAsia="MS Mincho" w:hAnsi="Arial" w:cs="Arial"/>
          <w:color w:val="000000" w:themeColor="text1"/>
          <w:sz w:val="18"/>
          <w:szCs w:val="18"/>
          <w:vertAlign w:val="superscript"/>
          <w:lang w:val="es-ES"/>
        </w:rPr>
        <w:footnoteReference w:id="2"/>
      </w:r>
      <w:r w:rsidRPr="006573E6">
        <w:rPr>
          <w:rFonts w:ascii="Arial" w:hAnsi="Arial" w:cs="Arial"/>
          <w:color w:val="000000" w:themeColor="text1"/>
          <w:sz w:val="22"/>
          <w:szCs w:val="22"/>
          <w:lang w:val="es-ES"/>
        </w:rPr>
        <w:t xml:space="preserve">), </w:t>
      </w:r>
      <w:r w:rsidRPr="006573E6">
        <w:rPr>
          <w:rFonts w:ascii="Arial" w:hAnsi="Arial" w:cs="Arial"/>
          <w:sz w:val="22"/>
          <w:szCs w:val="22"/>
          <w:lang w:val="es-ES"/>
        </w:rPr>
        <w:t>lo que permite a los dirigentes tener en cuenta la incertidumbre y planificar una diversidad de resultados en cuanto a temperatura, precipitaciones, aumento del nivel del mar y fenómenos extremos.</w:t>
      </w:r>
    </w:p>
    <w:p w14:paraId="087966D5" w14:textId="77777777" w:rsidR="00653282" w:rsidRPr="006573E6" w:rsidRDefault="00653282" w:rsidP="0007405E">
      <w:pPr>
        <w:widowControl/>
        <w:adjustRightInd w:val="0"/>
        <w:jc w:val="both"/>
        <w:rPr>
          <w:rFonts w:ascii="Arial" w:eastAsia="MS Mincho" w:hAnsi="Arial" w:cs="Arial"/>
          <w:sz w:val="22"/>
          <w:szCs w:val="22"/>
          <w:lang w:val="es-ES"/>
        </w:rPr>
      </w:pPr>
    </w:p>
    <w:p w14:paraId="346A9DCC" w14:textId="77777777" w:rsidR="00653282" w:rsidRPr="006573E6" w:rsidRDefault="00653282" w:rsidP="0007405E">
      <w:pPr>
        <w:widowControl/>
        <w:adjustRightInd w:val="0"/>
        <w:jc w:val="both"/>
        <w:rPr>
          <w:rFonts w:ascii="Arial" w:hAnsi="Arial" w:cs="Arial"/>
          <w:sz w:val="22"/>
          <w:szCs w:val="22"/>
          <w:lang w:val="es-ES"/>
        </w:rPr>
      </w:pPr>
      <w:r w:rsidRPr="006573E6">
        <w:rPr>
          <w:rFonts w:ascii="Arial" w:hAnsi="Arial" w:cs="Arial"/>
          <w:sz w:val="22"/>
          <w:szCs w:val="22"/>
          <w:lang w:val="es-ES"/>
        </w:rPr>
        <w:t xml:space="preserve">Muchas especies tienen ciclos de vida largos, dependen de tener unas condiciones de hábitat constantes o ya se enfrentan a presiones acumuladas. Por lo tanto, es probable que la planificación a corto y medio plazo (por ejemplo, hasta 2050 o 2070) subestime la magnitud y la duración del cambio medioambiental experimentado. El punto de referencia de 2100 garantiza que las medidas tengan en cuenta no solo la idoneidad actual, sino también la estabilidad climática futura. Esto es especialmente importante para las especies con comportamiento migratorio, necesidades de hábitat específicas o una tolerancia ambiental limitada. </w:t>
      </w:r>
    </w:p>
    <w:p w14:paraId="79345939" w14:textId="77777777" w:rsidR="00653282" w:rsidRPr="006573E6" w:rsidRDefault="00653282" w:rsidP="0007405E">
      <w:pPr>
        <w:widowControl/>
        <w:adjustRightInd w:val="0"/>
        <w:jc w:val="both"/>
        <w:rPr>
          <w:rFonts w:ascii="Arial" w:eastAsia="MS Mincho" w:hAnsi="Arial" w:cs="Arial"/>
          <w:sz w:val="22"/>
          <w:szCs w:val="22"/>
          <w:lang w:val="es-ES"/>
        </w:rPr>
      </w:pPr>
    </w:p>
    <w:p w14:paraId="684FCFCC"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No obstante, algunas decisiones pueden requerir un horizonte temporal distinto, según la especie, el ecosistema o el contexto de gestión. En la tabla siguiente, se describen los plazos más utilizados, su cobertura modelo correspondiente y el uso previsto:</w:t>
      </w:r>
    </w:p>
    <w:p w14:paraId="58E3BB1F" w14:textId="77777777" w:rsidR="00653282" w:rsidRPr="006573E6" w:rsidRDefault="00653282" w:rsidP="0007405E">
      <w:pPr>
        <w:widowControl/>
        <w:adjustRightInd w:val="0"/>
        <w:jc w:val="both"/>
        <w:rPr>
          <w:rFonts w:ascii="Arial" w:eastAsia="MS Mincho" w:hAnsi="Arial" w:cs="Arial"/>
          <w:sz w:val="22"/>
          <w:szCs w:val="22"/>
          <w:u w:val="single"/>
          <w:lang w:val="es-ES"/>
        </w:rPr>
      </w:pPr>
    </w:p>
    <w:tbl>
      <w:tblPr>
        <w:tblStyle w:val="TableGrid"/>
        <w:tblW w:w="0" w:type="auto"/>
        <w:tblLook w:val="04A0" w:firstRow="1" w:lastRow="0" w:firstColumn="1" w:lastColumn="0" w:noHBand="0" w:noVBand="1"/>
      </w:tblPr>
      <w:tblGrid>
        <w:gridCol w:w="3058"/>
        <w:gridCol w:w="5958"/>
      </w:tblGrid>
      <w:tr w:rsidR="00653282" w:rsidRPr="006573E6" w14:paraId="252BFA97" w14:textId="77777777" w:rsidTr="00DB1457">
        <w:trPr>
          <w:trHeight w:val="506"/>
        </w:trPr>
        <w:tc>
          <w:tcPr>
            <w:tcW w:w="3114" w:type="dxa"/>
          </w:tcPr>
          <w:p w14:paraId="338E7153" w14:textId="77777777" w:rsidR="00653282" w:rsidRPr="006573E6" w:rsidRDefault="00653282" w:rsidP="0007405E">
            <w:pPr>
              <w:keepNext/>
              <w:widowControl/>
              <w:autoSpaceDN w:val="0"/>
              <w:adjustRightInd w:val="0"/>
              <w:spacing w:before="60" w:after="60"/>
              <w:jc w:val="both"/>
              <w:rPr>
                <w:rFonts w:ascii="Arial" w:eastAsia="MS Mincho" w:hAnsi="Arial" w:cs="Arial"/>
                <w:b/>
                <w:bCs/>
                <w:sz w:val="22"/>
                <w:szCs w:val="22"/>
                <w:lang w:val="es-ES"/>
              </w:rPr>
            </w:pPr>
            <w:r w:rsidRPr="006573E6">
              <w:rPr>
                <w:rFonts w:ascii="Arial" w:hAnsi="Arial" w:cs="Arial"/>
                <w:b/>
                <w:sz w:val="22"/>
                <w:szCs w:val="22"/>
                <w:lang w:val="es-ES"/>
              </w:rPr>
              <w:t xml:space="preserve">Horizonte temporal                       </w:t>
            </w:r>
          </w:p>
        </w:tc>
        <w:tc>
          <w:tcPr>
            <w:tcW w:w="6095" w:type="dxa"/>
          </w:tcPr>
          <w:p w14:paraId="7A9E478E" w14:textId="77777777" w:rsidR="00653282" w:rsidRPr="006573E6" w:rsidRDefault="00653282" w:rsidP="0007405E">
            <w:pPr>
              <w:keepNext/>
              <w:widowControl/>
              <w:autoSpaceDN w:val="0"/>
              <w:adjustRightInd w:val="0"/>
              <w:spacing w:before="60" w:after="60"/>
              <w:jc w:val="both"/>
              <w:rPr>
                <w:rFonts w:ascii="Arial" w:eastAsia="MS Mincho" w:hAnsi="Arial" w:cs="Arial"/>
                <w:b/>
                <w:bCs/>
                <w:sz w:val="22"/>
                <w:szCs w:val="22"/>
                <w:lang w:val="es-ES"/>
              </w:rPr>
            </w:pPr>
            <w:r w:rsidRPr="006573E6">
              <w:rPr>
                <w:rFonts w:ascii="Arial" w:hAnsi="Arial" w:cs="Arial"/>
                <w:b/>
                <w:sz w:val="22"/>
                <w:szCs w:val="22"/>
                <w:lang w:val="es-ES"/>
              </w:rPr>
              <w:t xml:space="preserve">Cobertura modelo          </w:t>
            </w:r>
          </w:p>
        </w:tc>
      </w:tr>
      <w:tr w:rsidR="00653282" w:rsidRPr="006573E6" w14:paraId="49EC380D" w14:textId="77777777" w:rsidTr="00DB1457">
        <w:trPr>
          <w:trHeight w:val="506"/>
        </w:trPr>
        <w:tc>
          <w:tcPr>
            <w:tcW w:w="3114" w:type="dxa"/>
          </w:tcPr>
          <w:p w14:paraId="23392AD4" w14:textId="77777777" w:rsidR="00653282" w:rsidRPr="006573E6" w:rsidRDefault="00653282" w:rsidP="0007405E">
            <w:pPr>
              <w:widowControl/>
              <w:autoSpaceDN w:val="0"/>
              <w:adjustRightInd w:val="0"/>
              <w:spacing w:before="60" w:after="60"/>
              <w:jc w:val="both"/>
              <w:rPr>
                <w:rFonts w:ascii="Arial" w:eastAsia="MS Mincho" w:hAnsi="Arial" w:cs="Arial"/>
                <w:sz w:val="22"/>
                <w:szCs w:val="22"/>
                <w:lang w:val="es-ES"/>
              </w:rPr>
            </w:pPr>
            <w:r w:rsidRPr="006573E6">
              <w:rPr>
                <w:rFonts w:ascii="Arial" w:hAnsi="Arial" w:cs="Arial"/>
                <w:sz w:val="22"/>
                <w:szCs w:val="22"/>
                <w:lang w:val="es-ES"/>
              </w:rPr>
              <w:t xml:space="preserve">2025-2040  </w:t>
            </w:r>
          </w:p>
        </w:tc>
        <w:tc>
          <w:tcPr>
            <w:tcW w:w="6095" w:type="dxa"/>
          </w:tcPr>
          <w:p w14:paraId="632CD4CA" w14:textId="77777777" w:rsidR="00653282" w:rsidRPr="006573E6" w:rsidRDefault="00653282" w:rsidP="0007405E">
            <w:pPr>
              <w:widowControl/>
              <w:autoSpaceDN w:val="0"/>
              <w:adjustRightInd w:val="0"/>
              <w:spacing w:before="60" w:after="60"/>
              <w:jc w:val="both"/>
              <w:rPr>
                <w:rFonts w:ascii="Arial" w:eastAsia="MS Mincho" w:hAnsi="Arial" w:cs="Arial"/>
                <w:sz w:val="22"/>
                <w:szCs w:val="22"/>
                <w:lang w:val="es-ES"/>
              </w:rPr>
            </w:pPr>
            <w:r w:rsidRPr="006573E6">
              <w:rPr>
                <w:rFonts w:ascii="Arial" w:hAnsi="Arial" w:cs="Arial"/>
                <w:sz w:val="22"/>
                <w:szCs w:val="22"/>
                <w:lang w:val="es-ES"/>
              </w:rPr>
              <w:t>Proyecciones a corto plazo</w:t>
            </w:r>
          </w:p>
        </w:tc>
      </w:tr>
      <w:tr w:rsidR="00653282" w:rsidRPr="006573E6" w14:paraId="0C288C16" w14:textId="77777777" w:rsidTr="00DB1457">
        <w:trPr>
          <w:trHeight w:val="506"/>
        </w:trPr>
        <w:tc>
          <w:tcPr>
            <w:tcW w:w="3114" w:type="dxa"/>
          </w:tcPr>
          <w:p w14:paraId="062F2F6E" w14:textId="77777777" w:rsidR="00653282" w:rsidRPr="006573E6" w:rsidRDefault="00653282" w:rsidP="0007405E">
            <w:pPr>
              <w:widowControl/>
              <w:autoSpaceDN w:val="0"/>
              <w:adjustRightInd w:val="0"/>
              <w:spacing w:before="60" w:after="60"/>
              <w:jc w:val="both"/>
              <w:rPr>
                <w:rFonts w:ascii="Arial" w:eastAsia="MS Mincho" w:hAnsi="Arial" w:cs="Arial"/>
                <w:sz w:val="22"/>
                <w:szCs w:val="22"/>
                <w:lang w:val="es-ES"/>
              </w:rPr>
            </w:pPr>
            <w:r w:rsidRPr="006573E6">
              <w:rPr>
                <w:rFonts w:ascii="Arial" w:hAnsi="Arial" w:cs="Arial"/>
                <w:sz w:val="22"/>
                <w:szCs w:val="22"/>
                <w:lang w:val="es-ES"/>
              </w:rPr>
              <w:t xml:space="preserve">2041-2060  </w:t>
            </w:r>
          </w:p>
        </w:tc>
        <w:tc>
          <w:tcPr>
            <w:tcW w:w="6095" w:type="dxa"/>
          </w:tcPr>
          <w:p w14:paraId="5B3B473B" w14:textId="77777777" w:rsidR="00653282" w:rsidRPr="006573E6" w:rsidRDefault="00653282" w:rsidP="0007405E">
            <w:pPr>
              <w:widowControl/>
              <w:autoSpaceDN w:val="0"/>
              <w:adjustRightInd w:val="0"/>
              <w:spacing w:before="60" w:after="60"/>
              <w:jc w:val="both"/>
              <w:rPr>
                <w:rFonts w:ascii="Arial" w:eastAsia="MS Mincho" w:hAnsi="Arial" w:cs="Arial"/>
                <w:sz w:val="22"/>
                <w:szCs w:val="22"/>
                <w:lang w:val="es-ES"/>
              </w:rPr>
            </w:pPr>
            <w:r w:rsidRPr="006573E6">
              <w:rPr>
                <w:rFonts w:ascii="Arial" w:hAnsi="Arial" w:cs="Arial"/>
                <w:sz w:val="22"/>
                <w:szCs w:val="22"/>
                <w:lang w:val="es-ES"/>
              </w:rPr>
              <w:t>Proyecciones a medio plazo</w:t>
            </w:r>
          </w:p>
        </w:tc>
      </w:tr>
      <w:tr w:rsidR="00653282" w:rsidRPr="006573E6" w14:paraId="21A673C1" w14:textId="77777777" w:rsidTr="00DB1457">
        <w:trPr>
          <w:trHeight w:val="506"/>
        </w:trPr>
        <w:tc>
          <w:tcPr>
            <w:tcW w:w="3114" w:type="dxa"/>
          </w:tcPr>
          <w:p w14:paraId="0A92DFD1" w14:textId="77777777" w:rsidR="00653282" w:rsidRPr="006573E6" w:rsidRDefault="00653282" w:rsidP="0007405E">
            <w:pPr>
              <w:widowControl/>
              <w:autoSpaceDN w:val="0"/>
              <w:adjustRightInd w:val="0"/>
              <w:spacing w:before="60" w:after="60"/>
              <w:jc w:val="both"/>
              <w:rPr>
                <w:rFonts w:ascii="Arial" w:eastAsia="MS Mincho" w:hAnsi="Arial" w:cs="Arial"/>
                <w:sz w:val="22"/>
                <w:szCs w:val="22"/>
                <w:lang w:val="es-ES"/>
              </w:rPr>
            </w:pPr>
            <w:r w:rsidRPr="006573E6">
              <w:rPr>
                <w:rFonts w:ascii="Arial" w:hAnsi="Arial" w:cs="Arial"/>
                <w:sz w:val="22"/>
                <w:szCs w:val="22"/>
                <w:lang w:val="es-ES"/>
              </w:rPr>
              <w:t xml:space="preserve">2061-2100  </w:t>
            </w:r>
          </w:p>
        </w:tc>
        <w:tc>
          <w:tcPr>
            <w:tcW w:w="6095" w:type="dxa"/>
          </w:tcPr>
          <w:p w14:paraId="3FA114C4" w14:textId="77777777" w:rsidR="00653282" w:rsidRPr="006573E6" w:rsidRDefault="00653282" w:rsidP="0007405E">
            <w:pPr>
              <w:widowControl/>
              <w:autoSpaceDN w:val="0"/>
              <w:adjustRightInd w:val="0"/>
              <w:spacing w:before="60" w:after="60"/>
              <w:jc w:val="both"/>
              <w:rPr>
                <w:rFonts w:ascii="Arial" w:eastAsia="MS Mincho" w:hAnsi="Arial" w:cs="Arial"/>
                <w:sz w:val="22"/>
                <w:szCs w:val="22"/>
                <w:lang w:val="es-ES"/>
              </w:rPr>
            </w:pPr>
            <w:r w:rsidRPr="006573E6">
              <w:rPr>
                <w:rFonts w:ascii="Arial" w:hAnsi="Arial" w:cs="Arial"/>
                <w:sz w:val="22"/>
                <w:szCs w:val="22"/>
                <w:lang w:val="es-ES"/>
              </w:rPr>
              <w:t>Proyecciones a largo plazo</w:t>
            </w:r>
          </w:p>
        </w:tc>
      </w:tr>
    </w:tbl>
    <w:p w14:paraId="09B370B5" w14:textId="77777777" w:rsidR="00653282" w:rsidRPr="006573E6" w:rsidRDefault="00653282" w:rsidP="0007405E">
      <w:pPr>
        <w:widowControl/>
        <w:adjustRightInd w:val="0"/>
        <w:jc w:val="both"/>
        <w:rPr>
          <w:rFonts w:ascii="Arial" w:eastAsia="MS Mincho" w:hAnsi="Arial" w:cs="Arial"/>
          <w:sz w:val="22"/>
          <w:szCs w:val="22"/>
          <w:u w:val="single"/>
          <w:lang w:val="es-ES"/>
        </w:rPr>
      </w:pPr>
    </w:p>
    <w:p w14:paraId="43F78F12" w14:textId="77777777" w:rsidR="00653282" w:rsidRPr="006573E6" w:rsidRDefault="00653282" w:rsidP="0007405E">
      <w:pPr>
        <w:widowControl/>
        <w:adjustRightInd w:val="0"/>
        <w:jc w:val="both"/>
        <w:rPr>
          <w:rFonts w:ascii="Arial" w:eastAsia="MS Mincho" w:hAnsi="Arial" w:cs="Arial"/>
          <w:b/>
          <w:bCs/>
          <w:sz w:val="22"/>
          <w:szCs w:val="22"/>
          <w:lang w:val="es-ES"/>
        </w:rPr>
      </w:pPr>
      <w:r w:rsidRPr="006573E6">
        <w:rPr>
          <w:rFonts w:ascii="Arial" w:hAnsi="Arial" w:cs="Arial"/>
          <w:b/>
          <w:sz w:val="22"/>
          <w:szCs w:val="22"/>
          <w:lang w:val="es-ES"/>
        </w:rPr>
        <w:t>Escalas de acción: planificación a nivel de población, subpoblación y especie</w:t>
      </w:r>
    </w:p>
    <w:p w14:paraId="0B386BAD" w14:textId="77777777" w:rsidR="00653282" w:rsidRPr="006573E6" w:rsidRDefault="00653282" w:rsidP="0007405E">
      <w:pPr>
        <w:widowControl/>
        <w:adjustRightInd w:val="0"/>
        <w:jc w:val="both"/>
        <w:rPr>
          <w:rFonts w:ascii="Arial" w:eastAsia="MS Mincho" w:hAnsi="Arial" w:cs="Arial"/>
          <w:sz w:val="22"/>
          <w:szCs w:val="22"/>
          <w:lang w:val="es-ES"/>
        </w:rPr>
      </w:pPr>
    </w:p>
    <w:p w14:paraId="0E877FED" w14:textId="77777777" w:rsidR="00653282" w:rsidRPr="006573E6" w:rsidRDefault="00653282" w:rsidP="0007405E">
      <w:pPr>
        <w:widowControl/>
        <w:adjustRightInd w:val="0"/>
        <w:spacing w:after="80"/>
        <w:jc w:val="both"/>
        <w:rPr>
          <w:rFonts w:ascii="Arial" w:eastAsia="MS Mincho" w:hAnsi="Arial" w:cs="Arial"/>
          <w:sz w:val="22"/>
          <w:szCs w:val="22"/>
          <w:lang w:val="es-ES"/>
        </w:rPr>
      </w:pPr>
      <w:r w:rsidRPr="006573E6">
        <w:rPr>
          <w:rFonts w:ascii="Arial" w:hAnsi="Arial" w:cs="Arial"/>
          <w:sz w:val="22"/>
          <w:szCs w:val="22"/>
          <w:lang w:val="es-ES"/>
        </w:rPr>
        <w:t>El cambio climático no afecta de manera uniforme a todas las poblaciones de una especie; las condiciones locales, la capacidad de adaptación y la exposición varían mucho a lo largo del área de distribución de una especie. Por lo tanto, las medidas de conservación y gestión deben considerarse a múltiples escalas biológicas:</w:t>
      </w:r>
    </w:p>
    <w:p w14:paraId="7F4363C9" w14:textId="77777777" w:rsidR="00653282" w:rsidRPr="006573E6" w:rsidRDefault="00653282" w:rsidP="0007405E">
      <w:pPr>
        <w:widowControl/>
        <w:adjustRightInd w:val="0"/>
        <w:spacing w:after="80"/>
        <w:ind w:left="397"/>
        <w:jc w:val="both"/>
        <w:rPr>
          <w:rFonts w:ascii="Arial" w:eastAsia="MS Mincho" w:hAnsi="Arial" w:cs="Arial"/>
          <w:sz w:val="22"/>
          <w:szCs w:val="22"/>
          <w:lang w:val="es-ES"/>
        </w:rPr>
      </w:pPr>
      <w:r w:rsidRPr="006573E6">
        <w:rPr>
          <w:rFonts w:ascii="Arial" w:hAnsi="Arial" w:cs="Arial"/>
          <w:i/>
          <w:iCs/>
          <w:sz w:val="22"/>
          <w:szCs w:val="22"/>
          <w:lang w:val="es-ES"/>
        </w:rPr>
        <w:t>Nivel de especie:</w:t>
      </w:r>
      <w:r w:rsidRPr="006573E6">
        <w:rPr>
          <w:rFonts w:ascii="Arial" w:hAnsi="Arial" w:cs="Arial"/>
          <w:sz w:val="22"/>
          <w:szCs w:val="22"/>
          <w:lang w:val="es-ES"/>
        </w:rPr>
        <w:t xml:space="preserve"> cuando las amenazas climáticas o los cambios en el área de distribución afectan a toda la distribución de la especie o cuando se requieren medidas (por ejemplo, traslados a gran escala o desarrollo de corredores de hábitats) para garantizar la persistencia general.</w:t>
      </w:r>
    </w:p>
    <w:p w14:paraId="57581B2A" w14:textId="77777777" w:rsidR="00653282" w:rsidRPr="006573E6" w:rsidRDefault="00653282" w:rsidP="0007405E">
      <w:pPr>
        <w:widowControl/>
        <w:adjustRightInd w:val="0"/>
        <w:spacing w:after="80"/>
        <w:ind w:left="397"/>
        <w:jc w:val="both"/>
        <w:rPr>
          <w:rFonts w:ascii="Arial" w:eastAsia="MS Mincho" w:hAnsi="Arial" w:cs="Arial"/>
          <w:sz w:val="22"/>
          <w:szCs w:val="22"/>
          <w:lang w:val="es-ES"/>
        </w:rPr>
      </w:pPr>
      <w:r w:rsidRPr="006573E6">
        <w:rPr>
          <w:rFonts w:ascii="Arial" w:hAnsi="Arial" w:cs="Arial"/>
          <w:i/>
          <w:sz w:val="22"/>
          <w:szCs w:val="22"/>
          <w:lang w:val="es-ES"/>
        </w:rPr>
        <w:lastRenderedPageBreak/>
        <w:t>Nivel de población:</w:t>
      </w:r>
      <w:r w:rsidRPr="006573E6">
        <w:rPr>
          <w:rFonts w:ascii="Arial" w:hAnsi="Arial" w:cs="Arial"/>
          <w:sz w:val="22"/>
          <w:szCs w:val="22"/>
          <w:lang w:val="es-ES"/>
        </w:rPr>
        <w:t xml:space="preserve"> cuando poblaciones distintas y geográficamente separadas se enfrentan a diferentes exposiciones climáticas, lo que las hace desigualmente vulnerables a los cambios en el área de distribución, la pérdida de hábitat o los cuellos de botella genéticos.</w:t>
      </w:r>
    </w:p>
    <w:p w14:paraId="6A1711EB" w14:textId="77777777" w:rsidR="00653282" w:rsidRPr="006573E6" w:rsidRDefault="00653282" w:rsidP="0007405E">
      <w:pPr>
        <w:widowControl/>
        <w:adjustRightInd w:val="0"/>
        <w:ind w:left="397"/>
        <w:jc w:val="both"/>
        <w:rPr>
          <w:rFonts w:ascii="Arial" w:eastAsia="MS Mincho" w:hAnsi="Arial" w:cs="Arial"/>
          <w:sz w:val="22"/>
          <w:szCs w:val="22"/>
          <w:lang w:val="es-ES"/>
        </w:rPr>
      </w:pPr>
      <w:r w:rsidRPr="006573E6">
        <w:rPr>
          <w:rFonts w:ascii="Arial" w:hAnsi="Arial" w:cs="Arial"/>
          <w:i/>
          <w:sz w:val="22"/>
          <w:szCs w:val="22"/>
          <w:lang w:val="es-ES"/>
        </w:rPr>
        <w:t>Nivel de subpoblación:</w:t>
      </w:r>
      <w:r w:rsidRPr="006573E6">
        <w:rPr>
          <w:rFonts w:ascii="Arial" w:hAnsi="Arial" w:cs="Arial"/>
          <w:sz w:val="22"/>
          <w:szCs w:val="22"/>
          <w:lang w:val="es-ES"/>
        </w:rPr>
        <w:t xml:space="preserve"> cuando por las adaptaciones locales, los comportamientos (por ejemplo, lugares de anidación, zonas de reproducción) o las condiciones ecológicas se necesitan estrategias específicas para cada lugar.</w:t>
      </w:r>
    </w:p>
    <w:p w14:paraId="12174149" w14:textId="77777777" w:rsidR="00653282" w:rsidRPr="006573E6" w:rsidRDefault="00653282" w:rsidP="0007405E">
      <w:pPr>
        <w:widowControl/>
        <w:adjustRightInd w:val="0"/>
        <w:jc w:val="both"/>
        <w:rPr>
          <w:rFonts w:ascii="Arial" w:eastAsia="MS Mincho" w:hAnsi="Arial" w:cs="Arial"/>
          <w:sz w:val="22"/>
          <w:szCs w:val="22"/>
          <w:lang w:val="es-ES"/>
        </w:rPr>
      </w:pPr>
    </w:p>
    <w:p w14:paraId="213049FD" w14:textId="77777777" w:rsidR="00653282" w:rsidRPr="006573E6" w:rsidRDefault="00653282" w:rsidP="0007405E">
      <w:pPr>
        <w:widowControl/>
        <w:adjustRightInd w:val="0"/>
        <w:jc w:val="both"/>
        <w:rPr>
          <w:rFonts w:ascii="Arial" w:eastAsia="MS Mincho" w:hAnsi="Arial" w:cs="Arial"/>
          <w:sz w:val="22"/>
          <w:szCs w:val="22"/>
          <w:lang w:val="es-ES"/>
        </w:rPr>
      </w:pPr>
      <w:r w:rsidRPr="006573E6">
        <w:rPr>
          <w:rFonts w:ascii="Arial" w:hAnsi="Arial" w:cs="Arial"/>
          <w:sz w:val="22"/>
          <w:szCs w:val="22"/>
          <w:lang w:val="es-ES"/>
        </w:rPr>
        <w:t>Los gestores deben evaluar la escala adecuada para la acción en función de la singularidad ecológica, la conectividad, las tendencias demográficas y el valor de conservación. Por ejemplo, una subpoblación que habite en un refugio climático puede requerir la protección del hábitat, mientras que una población más expuesta puede justificar la migración asistida o el apoyo genético. La planificación a múltiples escalas permite actuar de forma específica donde más se necesite, a la vez que se apoya la resiliencia general de la especie.</w:t>
      </w:r>
    </w:p>
    <w:p w14:paraId="549338CA" w14:textId="77777777" w:rsidR="00653282" w:rsidRPr="006573E6" w:rsidRDefault="00653282" w:rsidP="0007405E">
      <w:pPr>
        <w:widowControl/>
        <w:adjustRightInd w:val="0"/>
        <w:jc w:val="both"/>
        <w:rPr>
          <w:rFonts w:ascii="Arial" w:eastAsia="MS Mincho" w:hAnsi="Arial" w:cs="Arial"/>
          <w:sz w:val="22"/>
          <w:szCs w:val="22"/>
          <w:lang w:val="es-ES"/>
        </w:rPr>
      </w:pPr>
    </w:p>
    <w:p w14:paraId="2EF67AF8" w14:textId="77777777" w:rsidR="00653282" w:rsidRPr="006573E6" w:rsidRDefault="00653282" w:rsidP="0007405E">
      <w:pPr>
        <w:widowControl/>
        <w:adjustRightInd w:val="0"/>
        <w:spacing w:after="80"/>
        <w:jc w:val="both"/>
        <w:rPr>
          <w:rFonts w:ascii="Arial" w:eastAsia="MS Mincho" w:hAnsi="Arial" w:cs="Arial"/>
          <w:sz w:val="22"/>
          <w:szCs w:val="22"/>
          <w:lang w:val="es-ES"/>
        </w:rPr>
      </w:pPr>
      <w:r w:rsidRPr="006573E6">
        <w:rPr>
          <w:rFonts w:ascii="Arial" w:hAnsi="Arial" w:cs="Arial"/>
          <w:sz w:val="22"/>
          <w:szCs w:val="22"/>
          <w:lang w:val="es-ES"/>
        </w:rPr>
        <w:t>En la práctica, esto significa que los marcos de decisión deben incluir criterios para lo siguiente:</w:t>
      </w:r>
    </w:p>
    <w:p w14:paraId="40D850EA" w14:textId="77777777" w:rsidR="00653282" w:rsidRPr="006573E6" w:rsidRDefault="00653282" w:rsidP="0007405E">
      <w:pPr>
        <w:pStyle w:val="ListParagraph"/>
        <w:widowControl/>
        <w:numPr>
          <w:ilvl w:val="0"/>
          <w:numId w:val="1"/>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Evaluar si los cambios en el área de distribución afectan a toda la especie o solo a poblaciones específicas</w:t>
      </w:r>
    </w:p>
    <w:p w14:paraId="45A4EC29" w14:textId="77777777" w:rsidR="00653282" w:rsidRPr="006573E6" w:rsidRDefault="00653282" w:rsidP="0007405E">
      <w:pPr>
        <w:pStyle w:val="ListParagraph"/>
        <w:widowControl/>
        <w:numPr>
          <w:ilvl w:val="0"/>
          <w:numId w:val="1"/>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Determinar la viabilidad y la justificación ecológica de intervenir a menor escala</w:t>
      </w:r>
    </w:p>
    <w:p w14:paraId="6304C1DA" w14:textId="77777777" w:rsidR="00653282" w:rsidRPr="006573E6" w:rsidRDefault="00653282" w:rsidP="0007405E">
      <w:pPr>
        <w:pStyle w:val="ListParagraph"/>
        <w:widowControl/>
        <w:numPr>
          <w:ilvl w:val="0"/>
          <w:numId w:val="1"/>
        </w:numPr>
        <w:suppressAutoHyphens w:val="0"/>
        <w:adjustRightInd w:val="0"/>
        <w:jc w:val="both"/>
        <w:textAlignment w:val="auto"/>
        <w:rPr>
          <w:rFonts w:ascii="Arial" w:eastAsia="MS Mincho" w:hAnsi="Arial" w:cs="Arial"/>
          <w:sz w:val="22"/>
          <w:szCs w:val="22"/>
          <w:lang w:val="es-ES"/>
        </w:rPr>
      </w:pPr>
      <w:r w:rsidRPr="006573E6">
        <w:rPr>
          <w:rFonts w:ascii="Arial" w:hAnsi="Arial" w:cs="Arial"/>
          <w:sz w:val="22"/>
          <w:szCs w:val="22"/>
          <w:lang w:val="es-ES"/>
        </w:rPr>
        <w:t>Evaluar cómo las acciones locales contribuyen a alcanzar los objetivos generales de conservación de la especie o pueden entrar en conflicto con ellos</w:t>
      </w:r>
    </w:p>
    <w:p w14:paraId="488DA3AF" w14:textId="77777777" w:rsidR="00653282" w:rsidRPr="006573E6" w:rsidRDefault="00653282" w:rsidP="0007405E">
      <w:pPr>
        <w:pStyle w:val="ListParagraph"/>
        <w:widowControl/>
        <w:adjustRightInd w:val="0"/>
        <w:rPr>
          <w:rFonts w:ascii="Arial" w:eastAsia="MS Mincho" w:hAnsi="Arial" w:cs="Arial"/>
          <w:sz w:val="22"/>
          <w:szCs w:val="22"/>
          <w:lang w:val="es-ES"/>
        </w:rPr>
      </w:pPr>
    </w:p>
    <w:p w14:paraId="7CCD4218" w14:textId="77777777" w:rsidR="00653282" w:rsidRPr="006573E6" w:rsidRDefault="00653282" w:rsidP="0007405E">
      <w:pPr>
        <w:widowControl/>
        <w:adjustRightInd w:val="0"/>
        <w:rPr>
          <w:rFonts w:ascii="Arial" w:eastAsia="MS Mincho" w:hAnsi="Arial" w:cs="Arial"/>
          <w:b/>
          <w:bCs/>
          <w:sz w:val="22"/>
          <w:szCs w:val="22"/>
          <w:lang w:val="es-ES"/>
        </w:rPr>
      </w:pPr>
      <w:r w:rsidRPr="006573E6">
        <w:rPr>
          <w:rFonts w:ascii="Arial" w:hAnsi="Arial" w:cs="Arial"/>
          <w:b/>
          <w:sz w:val="22"/>
          <w:szCs w:val="22"/>
          <w:lang w:val="es-ES"/>
        </w:rPr>
        <w:t>5. Condiciones básicas</w:t>
      </w:r>
    </w:p>
    <w:p w14:paraId="696D8488" w14:textId="77777777" w:rsidR="00653282" w:rsidRPr="006573E6" w:rsidRDefault="00653282" w:rsidP="0007405E">
      <w:pPr>
        <w:widowControl/>
        <w:adjustRightInd w:val="0"/>
        <w:rPr>
          <w:rFonts w:ascii="Arial" w:eastAsia="MS Mincho" w:hAnsi="Arial" w:cs="Arial"/>
          <w:sz w:val="22"/>
          <w:szCs w:val="22"/>
          <w:lang w:val="es-ES"/>
        </w:rPr>
      </w:pPr>
    </w:p>
    <w:p w14:paraId="29825250" w14:textId="77777777" w:rsidR="00653282" w:rsidRPr="006573E6" w:rsidRDefault="00653282" w:rsidP="0007405E">
      <w:pPr>
        <w:widowControl/>
        <w:adjustRightInd w:val="0"/>
        <w:rPr>
          <w:rFonts w:ascii="Arial" w:eastAsia="MS Mincho" w:hAnsi="Arial" w:cs="Arial"/>
          <w:b/>
          <w:bCs/>
          <w:sz w:val="22"/>
          <w:szCs w:val="22"/>
          <w:lang w:val="es-ES"/>
        </w:rPr>
      </w:pPr>
      <w:r w:rsidRPr="006573E6">
        <w:rPr>
          <w:rFonts w:ascii="Arial" w:hAnsi="Arial" w:cs="Arial"/>
          <w:b/>
          <w:sz w:val="22"/>
          <w:szCs w:val="22"/>
          <w:lang w:val="es-ES"/>
        </w:rPr>
        <w:t>i. Conservación</w:t>
      </w:r>
    </w:p>
    <w:p w14:paraId="079C990A" w14:textId="77777777" w:rsidR="00653282" w:rsidRPr="006573E6" w:rsidRDefault="00653282" w:rsidP="0007405E">
      <w:pPr>
        <w:widowControl/>
        <w:adjustRightInd w:val="0"/>
        <w:rPr>
          <w:rFonts w:ascii="Arial" w:eastAsia="MS Mincho" w:hAnsi="Arial" w:cs="Arial"/>
          <w:b/>
          <w:bCs/>
          <w:sz w:val="22"/>
          <w:szCs w:val="22"/>
          <w:lang w:val="es-ES"/>
        </w:rPr>
      </w:pPr>
    </w:p>
    <w:p w14:paraId="1DA7BD2C" w14:textId="77777777" w:rsidR="00653282" w:rsidRPr="006573E6" w:rsidRDefault="00653282" w:rsidP="0007405E">
      <w:pPr>
        <w:pStyle w:val="ListParagraph"/>
        <w:widowControl/>
        <w:numPr>
          <w:ilvl w:val="0"/>
          <w:numId w:val="2"/>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El hábitat adecuado se encuentra dentro de una región que se prevé que seguirá siendo o se volverá climáticamente adecuada para la especie (o población), o que puede gestionarse para mantener su idoneidad en futuros escenarios climáticos</w:t>
      </w:r>
    </w:p>
    <w:p w14:paraId="4710FEBA" w14:textId="77777777" w:rsidR="00653282" w:rsidRPr="006573E6" w:rsidRDefault="00653282" w:rsidP="0007405E">
      <w:pPr>
        <w:pStyle w:val="ListParagraph"/>
        <w:widowControl/>
        <w:numPr>
          <w:ilvl w:val="0"/>
          <w:numId w:val="2"/>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Todavía existen poblaciones silvestres viables</w:t>
      </w:r>
    </w:p>
    <w:p w14:paraId="7208F2D2" w14:textId="77777777" w:rsidR="00653282" w:rsidRPr="006573E6" w:rsidRDefault="00653282" w:rsidP="0007405E">
      <w:pPr>
        <w:pStyle w:val="ListParagraph"/>
        <w:widowControl/>
        <w:numPr>
          <w:ilvl w:val="0"/>
          <w:numId w:val="2"/>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La especie sigue ocupando partes críticas de su área de distribución natural</w:t>
      </w:r>
    </w:p>
    <w:p w14:paraId="5C58468B" w14:textId="77777777" w:rsidR="00653282" w:rsidRPr="006573E6" w:rsidRDefault="00653282" w:rsidP="0007405E">
      <w:pPr>
        <w:pStyle w:val="ListParagraph"/>
        <w:widowControl/>
        <w:numPr>
          <w:ilvl w:val="0"/>
          <w:numId w:val="2"/>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El comportamiento reproductivo y migratorio sigue siendo funcional</w:t>
      </w:r>
    </w:p>
    <w:p w14:paraId="41971DD5" w14:textId="77777777" w:rsidR="00653282" w:rsidRPr="006573E6" w:rsidRDefault="00653282" w:rsidP="0007405E">
      <w:pPr>
        <w:pStyle w:val="ListParagraph"/>
        <w:widowControl/>
        <w:numPr>
          <w:ilvl w:val="0"/>
          <w:numId w:val="2"/>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Las amenazas (por ejemplo, la captura incidental, la contaminación o la pérdida de hábitat) son continuas, pero se pueden gestionar o mitigar</w:t>
      </w:r>
    </w:p>
    <w:p w14:paraId="5D605E53" w14:textId="77777777" w:rsidR="00653282" w:rsidRPr="006573E6" w:rsidRDefault="00653282" w:rsidP="0007405E">
      <w:pPr>
        <w:pStyle w:val="ListParagraph"/>
        <w:widowControl/>
        <w:numPr>
          <w:ilvl w:val="0"/>
          <w:numId w:val="2"/>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Los hábitats de importancia capital (lugares de reproducción, alimentación y parada) siguen intactos o están parcialmente degradados</w:t>
      </w:r>
    </w:p>
    <w:p w14:paraId="550F9036" w14:textId="77777777" w:rsidR="00653282" w:rsidRPr="006573E6" w:rsidRDefault="00653282" w:rsidP="0007405E">
      <w:pPr>
        <w:pStyle w:val="ListParagraph"/>
        <w:widowControl/>
        <w:numPr>
          <w:ilvl w:val="0"/>
          <w:numId w:val="2"/>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La diversidad genética es suficiente para permitir la reproducción natural</w:t>
      </w:r>
    </w:p>
    <w:p w14:paraId="511C3D56" w14:textId="77777777" w:rsidR="00653282" w:rsidRPr="006573E6" w:rsidRDefault="00653282" w:rsidP="0007405E">
      <w:pPr>
        <w:pStyle w:val="ListParagraph"/>
        <w:widowControl/>
        <w:numPr>
          <w:ilvl w:val="0"/>
          <w:numId w:val="2"/>
        </w:numPr>
        <w:suppressAutoHyphens w:val="0"/>
        <w:adjustRightInd w:val="0"/>
        <w:jc w:val="both"/>
        <w:textAlignment w:val="auto"/>
        <w:rPr>
          <w:rFonts w:ascii="Arial" w:eastAsia="MS Mincho" w:hAnsi="Arial" w:cs="Arial"/>
          <w:sz w:val="22"/>
          <w:szCs w:val="22"/>
          <w:lang w:val="es-ES"/>
        </w:rPr>
      </w:pPr>
      <w:r w:rsidRPr="006573E6">
        <w:rPr>
          <w:rFonts w:ascii="Arial" w:hAnsi="Arial" w:cs="Arial"/>
          <w:sz w:val="22"/>
          <w:szCs w:val="22"/>
          <w:lang w:val="es-ES"/>
        </w:rPr>
        <w:t>No existen barreras naturales o artificiales que impidan el acceso a un hábitat adecuado o, si existen, pueden eliminarse de manera logística y rentable</w:t>
      </w:r>
    </w:p>
    <w:p w14:paraId="4369DE4A" w14:textId="77777777" w:rsidR="00653282" w:rsidRPr="006573E6" w:rsidRDefault="00653282" w:rsidP="0007405E">
      <w:pPr>
        <w:widowControl/>
        <w:adjustRightInd w:val="0"/>
        <w:rPr>
          <w:rFonts w:ascii="Arial" w:eastAsia="MS Mincho" w:hAnsi="Arial" w:cs="Arial"/>
          <w:sz w:val="22"/>
          <w:szCs w:val="22"/>
          <w:lang w:val="es-ES"/>
        </w:rPr>
      </w:pPr>
    </w:p>
    <w:p w14:paraId="4F8192C0" w14:textId="77777777" w:rsidR="00653282" w:rsidRPr="006573E6" w:rsidRDefault="00653282" w:rsidP="0007405E">
      <w:pPr>
        <w:widowControl/>
        <w:adjustRightInd w:val="0"/>
        <w:rPr>
          <w:rFonts w:ascii="Arial" w:eastAsia="MS Mincho" w:hAnsi="Arial" w:cs="Arial"/>
          <w:b/>
          <w:bCs/>
          <w:sz w:val="22"/>
          <w:szCs w:val="22"/>
          <w:lang w:val="es-ES"/>
        </w:rPr>
      </w:pPr>
      <w:r w:rsidRPr="006573E6">
        <w:rPr>
          <w:rFonts w:ascii="Arial" w:hAnsi="Arial" w:cs="Arial"/>
          <w:b/>
          <w:sz w:val="22"/>
          <w:szCs w:val="22"/>
          <w:lang w:val="es-ES"/>
        </w:rPr>
        <w:t>ii. Restauración</w:t>
      </w:r>
    </w:p>
    <w:p w14:paraId="38E7AFBC" w14:textId="77777777" w:rsidR="00653282" w:rsidRPr="006573E6" w:rsidRDefault="00653282" w:rsidP="0007405E">
      <w:pPr>
        <w:widowControl/>
        <w:adjustRightInd w:val="0"/>
        <w:rPr>
          <w:rFonts w:ascii="Arial" w:eastAsia="MS Mincho" w:hAnsi="Arial" w:cs="Arial"/>
          <w:b/>
          <w:bCs/>
          <w:sz w:val="22"/>
          <w:szCs w:val="22"/>
          <w:lang w:val="es-ES"/>
        </w:rPr>
      </w:pPr>
    </w:p>
    <w:p w14:paraId="2B4D8CED" w14:textId="77777777" w:rsidR="00653282" w:rsidRPr="006573E6" w:rsidRDefault="00653282" w:rsidP="0007405E">
      <w:pPr>
        <w:pStyle w:val="ListParagraph"/>
        <w:widowControl/>
        <w:numPr>
          <w:ilvl w:val="0"/>
          <w:numId w:val="3"/>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El hábitat adecuado se encuentra dentro de una región que se prevé que seguirá siendo o se volverá climáticamente adecuada para la especie (o población), o que puede gestionarse/restaurarse para mantener su idoneidad frente a las condiciones climáticas futuras</w:t>
      </w:r>
    </w:p>
    <w:p w14:paraId="59241A77" w14:textId="77777777" w:rsidR="00653282" w:rsidRPr="006573E6" w:rsidRDefault="00653282" w:rsidP="0007405E">
      <w:pPr>
        <w:pStyle w:val="ListParagraph"/>
        <w:widowControl/>
        <w:numPr>
          <w:ilvl w:val="0"/>
          <w:numId w:val="3"/>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Las condiciones actuales o previstas del hábitat se han degradado o no son adecuadas para el mantenimiento de la especie o población objetivo</w:t>
      </w:r>
    </w:p>
    <w:p w14:paraId="5918342D" w14:textId="77777777" w:rsidR="00653282" w:rsidRPr="006573E6" w:rsidRDefault="00653282" w:rsidP="0007405E">
      <w:pPr>
        <w:pStyle w:val="ListParagraph"/>
        <w:widowControl/>
        <w:numPr>
          <w:ilvl w:val="0"/>
          <w:numId w:val="3"/>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lastRenderedPageBreak/>
        <w:t>La degradación del hábitat es reversible (por ejemplo, mediante la recuperación de los arrecifes o la rehumidificación de los humedales) y se puede gestionar a largo plazo</w:t>
      </w:r>
    </w:p>
    <w:p w14:paraId="1096803C" w14:textId="77777777" w:rsidR="00653282" w:rsidRPr="006573E6" w:rsidRDefault="00653282" w:rsidP="0007405E">
      <w:pPr>
        <w:pStyle w:val="ListParagraph"/>
        <w:widowControl/>
        <w:numPr>
          <w:ilvl w:val="0"/>
          <w:numId w:val="3"/>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Las condiciones ambientales (por ejemplo, la calidad del agua o la vegetación) y las interacciones ecológicas (por ejemplo, la disponibilidad de presas) pueden restaurarse a un estado funcional</w:t>
      </w:r>
    </w:p>
    <w:p w14:paraId="78C2481F" w14:textId="77777777" w:rsidR="00653282" w:rsidRPr="006573E6" w:rsidRDefault="00653282" w:rsidP="0007405E">
      <w:pPr>
        <w:pStyle w:val="ListParagraph"/>
        <w:widowControl/>
        <w:numPr>
          <w:ilvl w:val="0"/>
          <w:numId w:val="3"/>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Existen poblaciones fuente suficientes para la (re)colonización natural o asistida</w:t>
      </w:r>
    </w:p>
    <w:p w14:paraId="5055D4A8" w14:textId="77777777" w:rsidR="00653282" w:rsidRPr="006573E6" w:rsidRDefault="00653282" w:rsidP="0007405E">
      <w:pPr>
        <w:pStyle w:val="ListParagraph"/>
        <w:widowControl/>
        <w:numPr>
          <w:ilvl w:val="0"/>
          <w:numId w:val="3"/>
        </w:numPr>
        <w:suppressAutoHyphens w:val="0"/>
        <w:adjustRightInd w:val="0"/>
        <w:jc w:val="both"/>
        <w:textAlignment w:val="auto"/>
        <w:rPr>
          <w:rFonts w:ascii="Arial" w:eastAsia="MS Mincho" w:hAnsi="Arial" w:cs="Arial"/>
          <w:sz w:val="22"/>
          <w:szCs w:val="22"/>
          <w:lang w:val="es-ES"/>
        </w:rPr>
      </w:pPr>
      <w:r w:rsidRPr="006573E6">
        <w:rPr>
          <w:rFonts w:ascii="Arial" w:hAnsi="Arial" w:cs="Arial"/>
          <w:sz w:val="22"/>
          <w:szCs w:val="22"/>
          <w:lang w:val="es-ES"/>
        </w:rPr>
        <w:t>La restauración no dará lugar a desequilibrios ecológicos perjudiciales (por ejemplo, cascadas tróficas o transmisión de enfermedades)</w:t>
      </w:r>
    </w:p>
    <w:p w14:paraId="07CC1391" w14:textId="77777777" w:rsidR="00653282" w:rsidRPr="006573E6" w:rsidRDefault="00653282" w:rsidP="0007405E">
      <w:pPr>
        <w:widowControl/>
        <w:adjustRightInd w:val="0"/>
        <w:rPr>
          <w:rFonts w:ascii="Arial" w:eastAsia="MS Mincho" w:hAnsi="Arial" w:cs="Arial"/>
          <w:sz w:val="22"/>
          <w:szCs w:val="22"/>
          <w:lang w:val="es-ES"/>
        </w:rPr>
      </w:pPr>
    </w:p>
    <w:p w14:paraId="3B174FAF" w14:textId="77777777" w:rsidR="00653282" w:rsidRPr="006573E6" w:rsidRDefault="00653282" w:rsidP="0007405E">
      <w:pPr>
        <w:widowControl/>
        <w:adjustRightInd w:val="0"/>
        <w:rPr>
          <w:rFonts w:ascii="Arial" w:eastAsia="MS Mincho" w:hAnsi="Arial" w:cs="Arial"/>
          <w:b/>
          <w:bCs/>
          <w:sz w:val="22"/>
          <w:szCs w:val="22"/>
          <w:lang w:val="es-ES"/>
        </w:rPr>
      </w:pPr>
      <w:r w:rsidRPr="006573E6">
        <w:rPr>
          <w:rFonts w:ascii="Arial" w:hAnsi="Arial" w:cs="Arial"/>
          <w:b/>
          <w:sz w:val="22"/>
          <w:szCs w:val="22"/>
          <w:lang w:val="es-ES"/>
        </w:rPr>
        <w:t>iii. Adaptación</w:t>
      </w:r>
    </w:p>
    <w:p w14:paraId="0858B449" w14:textId="77777777" w:rsidR="00653282" w:rsidRPr="006573E6" w:rsidRDefault="00653282" w:rsidP="0007405E">
      <w:pPr>
        <w:widowControl/>
        <w:adjustRightInd w:val="0"/>
        <w:rPr>
          <w:rFonts w:ascii="Arial" w:eastAsia="MS Mincho" w:hAnsi="Arial" w:cs="Arial"/>
          <w:b/>
          <w:bCs/>
          <w:sz w:val="22"/>
          <w:szCs w:val="22"/>
          <w:lang w:val="es-ES"/>
        </w:rPr>
      </w:pPr>
    </w:p>
    <w:p w14:paraId="4E09017A" w14:textId="77777777" w:rsidR="00653282" w:rsidRPr="006573E6" w:rsidRDefault="00653282" w:rsidP="0007405E">
      <w:pPr>
        <w:pStyle w:val="ListParagraph"/>
        <w:widowControl/>
        <w:numPr>
          <w:ilvl w:val="0"/>
          <w:numId w:val="4"/>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Actualmente, no se dispone de un hábitat adecuado dentro del área de distribución natural de la especie, o este es demasiado limitado en extensión o calidad como para sustentar una población viable</w:t>
      </w:r>
    </w:p>
    <w:p w14:paraId="4A8A7E8F" w14:textId="77777777" w:rsidR="00653282" w:rsidRPr="006573E6" w:rsidRDefault="00653282" w:rsidP="0007405E">
      <w:pPr>
        <w:pStyle w:val="ListParagraph"/>
        <w:widowControl/>
        <w:numPr>
          <w:ilvl w:val="0"/>
          <w:numId w:val="4"/>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Se pueden crear o modificar de forma activa unas condiciones de hábitat adecuadas para favorecer la continuidad de la especie en las circunstancias climáticas actuales o previstas</w:t>
      </w:r>
    </w:p>
    <w:p w14:paraId="3E261A9A" w14:textId="77777777" w:rsidR="00653282" w:rsidRPr="006573E6" w:rsidRDefault="00653282" w:rsidP="0007405E">
      <w:pPr>
        <w:pStyle w:val="ListParagraph"/>
        <w:widowControl/>
        <w:numPr>
          <w:ilvl w:val="0"/>
          <w:numId w:val="4"/>
        </w:numPr>
        <w:suppressAutoHyphens w:val="0"/>
        <w:adjustRightInd w:val="0"/>
        <w:jc w:val="both"/>
        <w:textAlignment w:val="auto"/>
        <w:rPr>
          <w:rFonts w:ascii="Arial" w:eastAsia="MS Mincho" w:hAnsi="Arial" w:cs="Arial"/>
          <w:sz w:val="22"/>
          <w:szCs w:val="22"/>
          <w:lang w:val="es-ES"/>
        </w:rPr>
      </w:pPr>
      <w:r w:rsidRPr="006573E6">
        <w:rPr>
          <w:rFonts w:ascii="Arial" w:hAnsi="Arial" w:cs="Arial"/>
          <w:sz w:val="22"/>
          <w:szCs w:val="22"/>
          <w:lang w:val="es-ES"/>
        </w:rPr>
        <w:t>Las medidas necesarias (por ejemplo, gestión del agua, sombreado o prevención de la erosión) son viables a largo plazo desde el punto de vista logístico y financiero</w:t>
      </w:r>
    </w:p>
    <w:p w14:paraId="56D759F0" w14:textId="77777777" w:rsidR="00653282" w:rsidRPr="006573E6" w:rsidRDefault="00653282" w:rsidP="0007405E">
      <w:pPr>
        <w:widowControl/>
        <w:adjustRightInd w:val="0"/>
        <w:rPr>
          <w:rFonts w:ascii="Arial" w:eastAsia="MS Mincho" w:hAnsi="Arial" w:cs="Arial"/>
          <w:sz w:val="22"/>
          <w:szCs w:val="22"/>
          <w:lang w:val="es-ES"/>
        </w:rPr>
      </w:pPr>
    </w:p>
    <w:p w14:paraId="1EA23DC8" w14:textId="77777777" w:rsidR="00653282" w:rsidRPr="006573E6" w:rsidRDefault="00653282" w:rsidP="0007405E">
      <w:pPr>
        <w:widowControl/>
        <w:adjustRightInd w:val="0"/>
        <w:rPr>
          <w:rFonts w:ascii="Arial" w:eastAsia="MS Mincho" w:hAnsi="Arial" w:cs="Arial"/>
          <w:b/>
          <w:bCs/>
          <w:sz w:val="22"/>
          <w:szCs w:val="22"/>
          <w:lang w:val="es-ES"/>
        </w:rPr>
      </w:pPr>
      <w:r w:rsidRPr="006573E6">
        <w:rPr>
          <w:rFonts w:ascii="Arial" w:hAnsi="Arial" w:cs="Arial"/>
          <w:b/>
          <w:sz w:val="22"/>
          <w:szCs w:val="22"/>
          <w:lang w:val="es-ES"/>
        </w:rPr>
        <w:t>iv. Translocación</w:t>
      </w:r>
    </w:p>
    <w:p w14:paraId="5128E338" w14:textId="77777777" w:rsidR="00653282" w:rsidRPr="006573E6" w:rsidRDefault="00653282" w:rsidP="0007405E">
      <w:pPr>
        <w:widowControl/>
        <w:adjustRightInd w:val="0"/>
        <w:rPr>
          <w:rFonts w:ascii="Arial" w:eastAsia="MS Mincho" w:hAnsi="Arial" w:cs="Arial"/>
          <w:sz w:val="22"/>
          <w:szCs w:val="22"/>
          <w:lang w:val="es-ES"/>
        </w:rPr>
      </w:pPr>
    </w:p>
    <w:p w14:paraId="28A1B2B6" w14:textId="77777777" w:rsidR="00653282" w:rsidRPr="006573E6" w:rsidRDefault="00653282" w:rsidP="0007405E">
      <w:pPr>
        <w:pStyle w:val="ListParagraph"/>
        <w:widowControl/>
        <w:numPr>
          <w:ilvl w:val="0"/>
          <w:numId w:val="5"/>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El hábitat es climáticamente adecuado en el momento del traslado, y se prevé que siga siéndolo para satisfacer las necesidades conductuales y ambientales de la especie (o población) en todas las etapas de su vida</w:t>
      </w:r>
    </w:p>
    <w:p w14:paraId="5E51C203" w14:textId="77777777" w:rsidR="00653282" w:rsidRPr="006573E6" w:rsidRDefault="00653282" w:rsidP="0007405E">
      <w:pPr>
        <w:pStyle w:val="ListParagraph"/>
        <w:widowControl/>
        <w:numPr>
          <w:ilvl w:val="0"/>
          <w:numId w:val="5"/>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La [re]colonización natural no es posible o es demasiado lenta</w:t>
      </w:r>
    </w:p>
    <w:p w14:paraId="018CDB63" w14:textId="77777777" w:rsidR="00653282" w:rsidRPr="006573E6" w:rsidRDefault="00653282" w:rsidP="0007405E">
      <w:pPr>
        <w:pStyle w:val="ListParagraph"/>
        <w:widowControl/>
        <w:numPr>
          <w:ilvl w:val="0"/>
          <w:numId w:val="5"/>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Las amenazas (naturales o humanas) en el lugar de liberación son bajas o se pueden manejar</w:t>
      </w:r>
    </w:p>
    <w:p w14:paraId="13C926D4" w14:textId="77777777" w:rsidR="00653282" w:rsidRPr="006573E6" w:rsidRDefault="00653282" w:rsidP="0007405E">
      <w:pPr>
        <w:pStyle w:val="ListParagraph"/>
        <w:widowControl/>
        <w:numPr>
          <w:ilvl w:val="0"/>
          <w:numId w:val="5"/>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Los individuos pueden sobrevivir y reproducirse en el nuevo lugar sin intervención humana</w:t>
      </w:r>
    </w:p>
    <w:p w14:paraId="26E35FE5" w14:textId="77777777" w:rsidR="00653282" w:rsidRPr="006573E6" w:rsidRDefault="00653282" w:rsidP="0007405E">
      <w:pPr>
        <w:pStyle w:val="ListParagraph"/>
        <w:widowControl/>
        <w:numPr>
          <w:ilvl w:val="0"/>
          <w:numId w:val="5"/>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El movimiento o el uso del hábitat por parte de la especie es lo bastante flexible como para permitir su establecimiento</w:t>
      </w:r>
    </w:p>
    <w:p w14:paraId="7BE2A11A" w14:textId="77777777" w:rsidR="00653282" w:rsidRPr="006573E6" w:rsidRDefault="00653282" w:rsidP="0007405E">
      <w:pPr>
        <w:pStyle w:val="ListParagraph"/>
        <w:widowControl/>
        <w:numPr>
          <w:ilvl w:val="0"/>
          <w:numId w:val="5"/>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El riesgo de introducción de enfermedades en el lugar candidato es bajo</w:t>
      </w:r>
    </w:p>
    <w:p w14:paraId="404B60E3" w14:textId="77777777" w:rsidR="00653282" w:rsidRPr="006573E6" w:rsidRDefault="00653282" w:rsidP="0007405E">
      <w:pPr>
        <w:pStyle w:val="ListParagraph"/>
        <w:widowControl/>
        <w:numPr>
          <w:ilvl w:val="0"/>
          <w:numId w:val="5"/>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El riesgo de competencia o depredación sobre otras especies en peligro en el lugar candidato es bajo</w:t>
      </w:r>
    </w:p>
    <w:p w14:paraId="26D0BF0E" w14:textId="77777777" w:rsidR="00653282" w:rsidRPr="006573E6" w:rsidRDefault="00653282" w:rsidP="0007405E">
      <w:pPr>
        <w:pStyle w:val="ListParagraph"/>
        <w:widowControl/>
        <w:numPr>
          <w:ilvl w:val="0"/>
          <w:numId w:val="5"/>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El riesgo de hibridación con otra especie en el lugar candidato es bajo</w:t>
      </w:r>
    </w:p>
    <w:p w14:paraId="313E46B7" w14:textId="77777777" w:rsidR="00653282" w:rsidRPr="006573E6" w:rsidRDefault="00653282" w:rsidP="0007405E">
      <w:pPr>
        <w:pStyle w:val="ListParagraph"/>
        <w:widowControl/>
        <w:numPr>
          <w:ilvl w:val="0"/>
          <w:numId w:val="5"/>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Las poblaciones donantes son genéticamente diversas y pueden tolerar la retirada de algunos individuos</w:t>
      </w:r>
    </w:p>
    <w:p w14:paraId="3D2BB106" w14:textId="77777777" w:rsidR="00653282" w:rsidRPr="006573E6" w:rsidRDefault="00653282" w:rsidP="0007405E">
      <w:pPr>
        <w:pStyle w:val="ListParagraph"/>
        <w:widowControl/>
        <w:numPr>
          <w:ilvl w:val="0"/>
          <w:numId w:val="5"/>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La monitorización tanto de la población de origen como de la trasladada es viable a nivel financiero La monitorización necesaria incluye evaluaciones de la aptitud genética, el éxito reproductivo, las tasas de supervivencia, las interacciones entre depredadores y presas, el uso del hábitat y la salud general de la población</w:t>
      </w:r>
    </w:p>
    <w:p w14:paraId="50330527" w14:textId="77777777" w:rsidR="00653282" w:rsidRPr="006573E6" w:rsidRDefault="00653282" w:rsidP="0007405E">
      <w:pPr>
        <w:pStyle w:val="ListParagraph"/>
        <w:widowControl/>
        <w:numPr>
          <w:ilvl w:val="0"/>
          <w:numId w:val="5"/>
        </w:numPr>
        <w:suppressAutoHyphens w:val="0"/>
        <w:adjustRightInd w:val="0"/>
        <w:spacing w:after="80"/>
        <w:contextualSpacing w:val="0"/>
        <w:jc w:val="both"/>
        <w:textAlignment w:val="auto"/>
        <w:rPr>
          <w:rFonts w:ascii="Arial" w:eastAsia="MS Mincho" w:hAnsi="Arial" w:cs="Arial"/>
          <w:sz w:val="22"/>
          <w:szCs w:val="22"/>
          <w:lang w:val="es-ES"/>
        </w:rPr>
      </w:pPr>
      <w:r w:rsidRPr="006573E6">
        <w:rPr>
          <w:rFonts w:ascii="Arial" w:hAnsi="Arial" w:cs="Arial"/>
          <w:sz w:val="22"/>
          <w:szCs w:val="22"/>
          <w:lang w:val="es-ES"/>
        </w:rPr>
        <w:t xml:space="preserve">Es factible, tanto logística como económicamente, el traslado del número necesario de individuos para constituir una población viable y autosuficiente en el nuevo hábitat </w:t>
      </w:r>
    </w:p>
    <w:p w14:paraId="50597811" w14:textId="77777777" w:rsidR="00653282" w:rsidRPr="006573E6" w:rsidRDefault="00653282" w:rsidP="0007405E">
      <w:pPr>
        <w:pStyle w:val="ListParagraph"/>
        <w:widowControl/>
        <w:numPr>
          <w:ilvl w:val="0"/>
          <w:numId w:val="5"/>
        </w:numPr>
        <w:suppressAutoHyphens w:val="0"/>
        <w:adjustRightInd w:val="0"/>
        <w:jc w:val="both"/>
        <w:textAlignment w:val="auto"/>
        <w:rPr>
          <w:rFonts w:ascii="Arial" w:eastAsia="MS Mincho" w:hAnsi="Arial" w:cs="Arial"/>
          <w:sz w:val="22"/>
          <w:szCs w:val="22"/>
          <w:lang w:val="es-ES"/>
        </w:rPr>
      </w:pPr>
      <w:r w:rsidRPr="006573E6">
        <w:rPr>
          <w:rFonts w:ascii="Arial" w:hAnsi="Arial" w:cs="Arial"/>
          <w:sz w:val="22"/>
          <w:szCs w:val="22"/>
          <w:lang w:val="es-ES"/>
        </w:rPr>
        <w:t>No existen barreras sociales o culturales significativas que impidan o socaven el éxito de la translocación, y las comunidades y las partes interesadas locales están informadas, comprometidas y apoyan la acción</w:t>
      </w:r>
    </w:p>
    <w:p w14:paraId="13600848" w14:textId="77777777" w:rsidR="00653282" w:rsidRPr="006573E6" w:rsidRDefault="00653282" w:rsidP="0007405E">
      <w:pPr>
        <w:widowControl/>
        <w:adjustRightInd w:val="0"/>
        <w:jc w:val="both"/>
        <w:rPr>
          <w:rFonts w:ascii="Arial" w:eastAsia="MS Mincho" w:hAnsi="Arial" w:cs="Arial"/>
          <w:sz w:val="22"/>
          <w:szCs w:val="22"/>
          <w:lang w:val="es-ES"/>
        </w:rPr>
      </w:pPr>
    </w:p>
    <w:p w14:paraId="249C29C3" w14:textId="4211E2FB" w:rsidR="00653282" w:rsidRPr="006573E6" w:rsidRDefault="00653282" w:rsidP="00F8351C">
      <w:pPr>
        <w:pStyle w:val="ListParagraph"/>
        <w:widowControl/>
        <w:suppressAutoHyphens w:val="0"/>
        <w:adjustRightInd w:val="0"/>
        <w:jc w:val="both"/>
        <w:textAlignment w:val="auto"/>
        <w:rPr>
          <w:rFonts w:ascii="Arial" w:eastAsia="MS Mincho" w:hAnsi="Arial" w:cs="Arial"/>
          <w:sz w:val="22"/>
          <w:szCs w:val="22"/>
          <w:lang w:val="es-ES"/>
        </w:rPr>
      </w:pPr>
    </w:p>
    <w:p w14:paraId="7A7D9EF6" w14:textId="196263D8" w:rsidR="00D82C56" w:rsidRPr="006573E6" w:rsidRDefault="00653282" w:rsidP="0007405E">
      <w:pPr>
        <w:pStyle w:val="Secondnumbering"/>
        <w:numPr>
          <w:ilvl w:val="0"/>
          <w:numId w:val="0"/>
        </w:numPr>
        <w:jc w:val="both"/>
        <w:rPr>
          <w:rFonts w:eastAsia="MS Mincho" w:cs="Arial"/>
        </w:rPr>
      </w:pPr>
      <w:r w:rsidRPr="006573E6">
        <w:rPr>
          <w:rFonts w:cs="Arial"/>
        </w:rPr>
        <w:lastRenderedPageBreak/>
        <w:t>En cada etapa del proceso de decisión, será necesario tener en cuenta otros factores, como el costo y los posibles riesgos y beneficios para el resto de las especies que comparten los hábitats en cuestión. En concreto, cualquier intento de translocación, ya sea de colonización asistida o recolonización, debe seguir las Directrices para reintroducciones y otras translocaciones para fines de conservación de la Unión Internacional para la Conservación de la Naturaleza (UICN)</w:t>
      </w:r>
      <w:r w:rsidR="00400B84" w:rsidRPr="006573E6">
        <w:rPr>
          <w:rFonts w:cs="Arial"/>
        </w:rPr>
        <w:t>.</w:t>
      </w:r>
    </w:p>
    <w:p w14:paraId="27E205E6" w14:textId="77777777" w:rsidR="00400B84" w:rsidRPr="006573E6" w:rsidRDefault="00400B84" w:rsidP="0007405E">
      <w:pPr>
        <w:widowControl/>
        <w:jc w:val="both"/>
        <w:rPr>
          <w:rFonts w:ascii="Arial" w:hAnsi="Arial" w:cs="Arial"/>
          <w:sz w:val="22"/>
          <w:szCs w:val="22"/>
          <w:lang w:val="es-ES"/>
        </w:rPr>
        <w:sectPr w:rsidR="00400B84" w:rsidRPr="006573E6" w:rsidSect="00AB528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272"/>
        </w:sectPr>
      </w:pPr>
    </w:p>
    <w:p w14:paraId="672E719C" w14:textId="12C8D74D" w:rsidR="004F6438" w:rsidRPr="006573E6" w:rsidRDefault="004F6438" w:rsidP="0007405E">
      <w:pPr>
        <w:widowControl/>
        <w:jc w:val="both"/>
        <w:rPr>
          <w:rFonts w:ascii="Arial" w:eastAsia="MS Mincho" w:hAnsi="Arial" w:cs="Arial"/>
          <w:sz w:val="22"/>
          <w:szCs w:val="22"/>
          <w:u w:val="single"/>
          <w:lang w:val="es-ES"/>
        </w:rPr>
        <w:sectPr w:rsidR="004F6438" w:rsidRPr="006573E6" w:rsidSect="00400B84">
          <w:headerReference w:type="first" r:id="rId17"/>
          <w:footerReference w:type="first" r:id="rId18"/>
          <w:pgSz w:w="16838" w:h="11906" w:orient="landscape"/>
          <w:pgMar w:top="1440" w:right="1440" w:bottom="1440" w:left="1440" w:header="720" w:footer="720" w:gutter="0"/>
          <w:cols w:space="720"/>
          <w:titlePg/>
          <w:docGrid w:linePitch="272"/>
        </w:sectPr>
      </w:pPr>
      <w:r w:rsidRPr="006573E6">
        <w:rPr>
          <w:rFonts w:ascii="Arial" w:hAnsi="Arial" w:cs="Arial"/>
          <w:noProof/>
          <w:sz w:val="22"/>
          <w:szCs w:val="22"/>
          <w:lang w:val="es-ES"/>
        </w:rPr>
        <w:lastRenderedPageBreak/>
        <w:drawing>
          <wp:inline distT="0" distB="0" distL="0" distR="0" wp14:anchorId="25E85DBC" wp14:editId="35252FB7">
            <wp:extent cx="8862893" cy="4581525"/>
            <wp:effectExtent l="0" t="0" r="0" b="0"/>
            <wp:docPr id="1855920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2040"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8869266" cy="4584819"/>
                    </a:xfrm>
                    <a:prstGeom prst="rect">
                      <a:avLst/>
                    </a:prstGeom>
                  </pic:spPr>
                </pic:pic>
              </a:graphicData>
            </a:graphic>
          </wp:inline>
        </w:drawing>
      </w:r>
      <w:r w:rsidRPr="0007405E">
        <w:rPr>
          <w:rFonts w:ascii="Arial" w:eastAsia="MS Mincho" w:hAnsi="Arial" w:cs="Arial"/>
          <w:szCs w:val="20"/>
          <w:lang w:val="es-ES"/>
        </w:rPr>
        <w:t>Figura 1. Marco de apoyo a la toma de decisiones para orientar las medidas de apoyo a las especies migratorias que experimentan cambios en su área de distribución inducidos por el cambio climático. En todos los casos, la envolvente climática a medio plazo debería ser suficiente para mantener el hábitat. Cuatro criterios que deben cumplirse si se considera la reubicación para establecer una población viable:  a) La población de origen debe ser lo suficientemente grande y genéticamente diversa y resistente como para soportar la donación de individuos; b) Los riesgos de consecuencias ecológicas no deseadas son bajos; c) Las operaciones, incluido el seguimiento ecológico y genético a largo plazo de las</w:t>
      </w:r>
      <w:r w:rsidRPr="0007405E">
        <w:rPr>
          <w:rFonts w:ascii="Arial" w:eastAsia="MS Mincho" w:hAnsi="Arial" w:cs="Arial"/>
          <w:szCs w:val="20"/>
          <w:u w:val="single"/>
          <w:lang w:val="es-ES"/>
        </w:rPr>
        <w:t xml:space="preserve"> </w:t>
      </w:r>
      <w:r w:rsidRPr="0007405E">
        <w:rPr>
          <w:rFonts w:ascii="Arial" w:eastAsia="MS Mincho" w:hAnsi="Arial" w:cs="Arial"/>
          <w:szCs w:val="20"/>
          <w:lang w:val="es-ES"/>
        </w:rPr>
        <w:t>poblaciones reubicadas y de origen, son logística y financieramente viables y factibles; d) No existen barreras sociales y culturales, y hay pruebas del apoyo de la comunidad.</w:t>
      </w:r>
      <w:r w:rsidRPr="006573E6">
        <w:rPr>
          <w:rFonts w:ascii="Arial" w:eastAsia="MS Mincho" w:hAnsi="Arial" w:cs="Arial"/>
          <w:sz w:val="22"/>
          <w:szCs w:val="22"/>
          <w:u w:val="single"/>
          <w:lang w:val="es-ES"/>
        </w:rPr>
        <w:t xml:space="preserve"> </w:t>
      </w:r>
    </w:p>
    <w:p w14:paraId="371B7FD8" w14:textId="77777777" w:rsidR="004F6438" w:rsidRPr="006573E6" w:rsidRDefault="004F6438" w:rsidP="0007405E">
      <w:pPr>
        <w:widowControl/>
        <w:suppressAutoHyphens w:val="0"/>
        <w:adjustRightInd w:val="0"/>
        <w:textAlignment w:val="auto"/>
        <w:rPr>
          <w:rFonts w:ascii="Arial" w:eastAsia="MS Mincho" w:hAnsi="Arial" w:cs="Arial"/>
          <w:b/>
          <w:sz w:val="22"/>
          <w:szCs w:val="22"/>
          <w:lang w:val="es-ES"/>
        </w:rPr>
      </w:pPr>
      <w:r w:rsidRPr="006573E6">
        <w:rPr>
          <w:rFonts w:ascii="Arial" w:eastAsia="MS Mincho" w:hAnsi="Arial" w:cs="Arial"/>
          <w:b/>
          <w:sz w:val="22"/>
          <w:szCs w:val="22"/>
          <w:lang w:val="es-ES"/>
        </w:rPr>
        <w:lastRenderedPageBreak/>
        <w:t>Referencias</w:t>
      </w:r>
    </w:p>
    <w:p w14:paraId="35044D26" w14:textId="77777777" w:rsidR="004F6438" w:rsidRPr="006573E6" w:rsidRDefault="004F6438" w:rsidP="0007405E">
      <w:pPr>
        <w:widowControl/>
        <w:suppressAutoHyphens w:val="0"/>
        <w:adjustRightInd w:val="0"/>
        <w:textAlignment w:val="auto"/>
        <w:rPr>
          <w:rFonts w:ascii="Arial" w:eastAsia="MS Mincho" w:hAnsi="Arial" w:cs="Arial"/>
          <w:sz w:val="22"/>
          <w:szCs w:val="22"/>
          <w:lang w:val="es-ES"/>
        </w:rPr>
      </w:pPr>
    </w:p>
    <w:p w14:paraId="01106FD1" w14:textId="77777777" w:rsidR="004F6438" w:rsidRPr="00B86CC1" w:rsidRDefault="004F6438" w:rsidP="00B86CC1">
      <w:pPr>
        <w:widowControl/>
        <w:suppressAutoHyphens w:val="0"/>
        <w:adjustRightInd w:val="0"/>
        <w:spacing w:after="80"/>
        <w:ind w:left="547" w:hanging="547"/>
        <w:jc w:val="both"/>
        <w:textAlignment w:val="auto"/>
        <w:rPr>
          <w:rFonts w:ascii="Arial" w:eastAsia="MS Mincho" w:hAnsi="Arial" w:cs="Arial"/>
          <w:szCs w:val="20"/>
          <w:lang w:val="es-ES"/>
        </w:rPr>
      </w:pPr>
      <w:r w:rsidRPr="00397196">
        <w:rPr>
          <w:rFonts w:ascii="Arial" w:eastAsia="MS Mincho" w:hAnsi="Arial" w:cs="Arial"/>
          <w:szCs w:val="20"/>
        </w:rPr>
        <w:t xml:space="preserve">Krüger, L. et al., 2018. </w:t>
      </w:r>
      <w:r w:rsidRPr="00B86CC1">
        <w:rPr>
          <w:rFonts w:ascii="Arial" w:eastAsia="MS Mincho" w:hAnsi="Arial" w:cs="Arial"/>
          <w:szCs w:val="20"/>
        </w:rPr>
        <w:t xml:space="preserve">Projected distributions of Southern Ocean albatrosses, petrels and fisheries </w:t>
      </w:r>
      <w:proofErr w:type="gramStart"/>
      <w:r w:rsidRPr="00B86CC1">
        <w:rPr>
          <w:rFonts w:ascii="Arial" w:eastAsia="MS Mincho" w:hAnsi="Arial" w:cs="Arial"/>
          <w:szCs w:val="20"/>
        </w:rPr>
        <w:t>as a consequence of</w:t>
      </w:r>
      <w:proofErr w:type="gramEnd"/>
      <w:r w:rsidRPr="00B86CC1">
        <w:rPr>
          <w:rFonts w:ascii="Arial" w:eastAsia="MS Mincho" w:hAnsi="Arial" w:cs="Arial"/>
          <w:szCs w:val="20"/>
        </w:rPr>
        <w:t xml:space="preserve"> climatic change. </w:t>
      </w:r>
      <w:proofErr w:type="spellStart"/>
      <w:r w:rsidRPr="00B86CC1">
        <w:rPr>
          <w:rFonts w:ascii="Arial" w:eastAsia="MS Mincho" w:hAnsi="Arial" w:cs="Arial"/>
          <w:szCs w:val="20"/>
          <w:lang w:val="es-ES"/>
        </w:rPr>
        <w:t>Ecography</w:t>
      </w:r>
      <w:proofErr w:type="spellEnd"/>
      <w:r w:rsidRPr="00B86CC1">
        <w:rPr>
          <w:rFonts w:ascii="Arial" w:eastAsia="MS Mincho" w:hAnsi="Arial" w:cs="Arial"/>
          <w:szCs w:val="20"/>
          <w:lang w:val="es-ES"/>
        </w:rPr>
        <w:t>, 41(1), pp. 195-208.</w:t>
      </w:r>
    </w:p>
    <w:p w14:paraId="6E9E6390" w14:textId="77777777" w:rsidR="004F6438" w:rsidRPr="00B86CC1" w:rsidRDefault="004F6438" w:rsidP="00B86CC1">
      <w:pPr>
        <w:widowControl/>
        <w:suppressAutoHyphens w:val="0"/>
        <w:adjustRightInd w:val="0"/>
        <w:spacing w:after="80"/>
        <w:ind w:left="547" w:hanging="547"/>
        <w:jc w:val="both"/>
        <w:textAlignment w:val="auto"/>
        <w:rPr>
          <w:rFonts w:ascii="Arial" w:eastAsia="MS Mincho" w:hAnsi="Arial" w:cs="Arial"/>
          <w:szCs w:val="20"/>
        </w:rPr>
      </w:pPr>
      <w:r w:rsidRPr="00B86CC1">
        <w:rPr>
          <w:rFonts w:ascii="Arial" w:eastAsia="MS Mincho" w:hAnsi="Arial" w:cs="Arial"/>
          <w:szCs w:val="20"/>
        </w:rPr>
        <w:t xml:space="preserve">Link, J. S., Huse, G., </w:t>
      </w:r>
      <w:proofErr w:type="spellStart"/>
      <w:r w:rsidRPr="00B86CC1">
        <w:rPr>
          <w:rFonts w:ascii="Arial" w:eastAsia="MS Mincho" w:hAnsi="Arial" w:cs="Arial"/>
          <w:szCs w:val="20"/>
        </w:rPr>
        <w:t>Gaichas</w:t>
      </w:r>
      <w:proofErr w:type="spellEnd"/>
      <w:r w:rsidRPr="00B86CC1">
        <w:rPr>
          <w:rFonts w:ascii="Arial" w:eastAsia="MS Mincho" w:hAnsi="Arial" w:cs="Arial"/>
          <w:szCs w:val="20"/>
        </w:rPr>
        <w:t xml:space="preserve">, S. &amp; Marshak, A. R., 2020. Changing how we approach fisheries: A first attempt at an operational framework for ecosystem </w:t>
      </w:r>
      <w:proofErr w:type="gramStart"/>
      <w:r w:rsidRPr="00B86CC1">
        <w:rPr>
          <w:rFonts w:ascii="Arial" w:eastAsia="MS Mincho" w:hAnsi="Arial" w:cs="Arial"/>
          <w:szCs w:val="20"/>
        </w:rPr>
        <w:t>approaches to</w:t>
      </w:r>
      <w:proofErr w:type="gramEnd"/>
      <w:r w:rsidRPr="00B86CC1">
        <w:rPr>
          <w:rFonts w:ascii="Arial" w:eastAsia="MS Mincho" w:hAnsi="Arial" w:cs="Arial"/>
          <w:szCs w:val="20"/>
        </w:rPr>
        <w:t xml:space="preserve"> fisheries management. Fish and Fisheries, 21(2), pp. 393-434.</w:t>
      </w:r>
    </w:p>
    <w:p w14:paraId="4D5E85D2" w14:textId="77777777" w:rsidR="004F6438" w:rsidRPr="00B86CC1" w:rsidRDefault="004F6438" w:rsidP="00B86CC1">
      <w:pPr>
        <w:widowControl/>
        <w:suppressAutoHyphens w:val="0"/>
        <w:adjustRightInd w:val="0"/>
        <w:spacing w:after="80"/>
        <w:ind w:left="547" w:hanging="547"/>
        <w:jc w:val="both"/>
        <w:textAlignment w:val="auto"/>
        <w:rPr>
          <w:rFonts w:ascii="Arial" w:eastAsia="MS Mincho" w:hAnsi="Arial" w:cs="Arial"/>
          <w:szCs w:val="20"/>
        </w:rPr>
      </w:pPr>
      <w:r w:rsidRPr="00B86CC1">
        <w:rPr>
          <w:rFonts w:ascii="Arial" w:eastAsia="MS Mincho" w:hAnsi="Arial" w:cs="Arial"/>
          <w:szCs w:val="20"/>
        </w:rPr>
        <w:t xml:space="preserve">Newby, J. et al., 2016. Desert antelopes on the brink: how resilient is the Sahelo-Saharan </w:t>
      </w:r>
      <w:proofErr w:type="gramStart"/>
      <w:r w:rsidRPr="00B86CC1">
        <w:rPr>
          <w:rFonts w:ascii="Arial" w:eastAsia="MS Mincho" w:hAnsi="Arial" w:cs="Arial"/>
          <w:szCs w:val="20"/>
        </w:rPr>
        <w:t>ecosystem?.</w:t>
      </w:r>
      <w:proofErr w:type="gramEnd"/>
      <w:r w:rsidRPr="00B86CC1">
        <w:rPr>
          <w:rFonts w:ascii="Arial" w:eastAsia="MS Mincho" w:hAnsi="Arial" w:cs="Arial"/>
          <w:szCs w:val="20"/>
        </w:rPr>
        <w:t xml:space="preserve"> In: Antelope Conservation: From Diagnosis to Action. </w:t>
      </w:r>
      <w:proofErr w:type="spellStart"/>
      <w:r w:rsidRPr="00B86CC1">
        <w:rPr>
          <w:rFonts w:ascii="Arial" w:eastAsia="MS Mincho" w:hAnsi="Arial" w:cs="Arial"/>
          <w:szCs w:val="20"/>
        </w:rPr>
        <w:t>Capítulo</w:t>
      </w:r>
      <w:proofErr w:type="spellEnd"/>
      <w:r w:rsidRPr="00B86CC1">
        <w:rPr>
          <w:rFonts w:ascii="Arial" w:eastAsia="MS Mincho" w:hAnsi="Arial" w:cs="Arial"/>
          <w:szCs w:val="20"/>
        </w:rPr>
        <w:t xml:space="preserve"> 13</w:t>
      </w:r>
      <w:proofErr w:type="gramStart"/>
      <w:r w:rsidRPr="00B86CC1">
        <w:rPr>
          <w:rFonts w:ascii="Arial" w:eastAsia="MS Mincho" w:hAnsi="Arial" w:cs="Arial"/>
          <w:szCs w:val="20"/>
        </w:rPr>
        <w:t>.:John</w:t>
      </w:r>
      <w:proofErr w:type="gramEnd"/>
      <w:r w:rsidRPr="00B86CC1">
        <w:rPr>
          <w:rFonts w:ascii="Arial" w:eastAsia="MS Mincho" w:hAnsi="Arial" w:cs="Arial"/>
          <w:szCs w:val="20"/>
        </w:rPr>
        <w:t xml:space="preserve"> Wiley &amp; Sons, pp. 253-279.</w:t>
      </w:r>
    </w:p>
    <w:p w14:paraId="3E40AE11" w14:textId="77777777" w:rsidR="004F6438" w:rsidRPr="00B86CC1" w:rsidRDefault="004F6438" w:rsidP="00B86CC1">
      <w:pPr>
        <w:widowControl/>
        <w:suppressAutoHyphens w:val="0"/>
        <w:adjustRightInd w:val="0"/>
        <w:spacing w:after="80"/>
        <w:ind w:left="547" w:hanging="547"/>
        <w:jc w:val="both"/>
        <w:textAlignment w:val="auto"/>
        <w:rPr>
          <w:rFonts w:ascii="Arial" w:eastAsia="MS Mincho" w:hAnsi="Arial" w:cs="Arial"/>
          <w:szCs w:val="20"/>
        </w:rPr>
      </w:pPr>
      <w:r w:rsidRPr="00B86CC1">
        <w:rPr>
          <w:rFonts w:ascii="Arial" w:eastAsia="MS Mincho" w:hAnsi="Arial" w:cs="Arial"/>
          <w:szCs w:val="20"/>
        </w:rPr>
        <w:t xml:space="preserve">Reynolds, M. et al., 2015. Will the effects of sea-level rise create ecological traps for </w:t>
      </w:r>
      <w:proofErr w:type="gramStart"/>
      <w:r w:rsidRPr="00B86CC1">
        <w:rPr>
          <w:rFonts w:ascii="Arial" w:eastAsia="MS Mincho" w:hAnsi="Arial" w:cs="Arial"/>
          <w:szCs w:val="20"/>
        </w:rPr>
        <w:t>Pacific island</w:t>
      </w:r>
      <w:proofErr w:type="gramEnd"/>
      <w:r w:rsidRPr="00B86CC1">
        <w:rPr>
          <w:rFonts w:ascii="Arial" w:eastAsia="MS Mincho" w:hAnsi="Arial" w:cs="Arial"/>
          <w:szCs w:val="20"/>
        </w:rPr>
        <w:t xml:space="preserve"> </w:t>
      </w:r>
      <w:proofErr w:type="gramStart"/>
      <w:r w:rsidRPr="00B86CC1">
        <w:rPr>
          <w:rFonts w:ascii="Arial" w:eastAsia="MS Mincho" w:hAnsi="Arial" w:cs="Arial"/>
          <w:szCs w:val="20"/>
        </w:rPr>
        <w:t>seabirds?.</w:t>
      </w:r>
      <w:proofErr w:type="gramEnd"/>
      <w:r w:rsidRPr="00B86CC1">
        <w:rPr>
          <w:rFonts w:ascii="Arial" w:eastAsia="MS Mincho" w:hAnsi="Arial" w:cs="Arial"/>
          <w:szCs w:val="20"/>
        </w:rPr>
        <w:t xml:space="preserve"> </w:t>
      </w:r>
      <w:proofErr w:type="spellStart"/>
      <w:r w:rsidRPr="00B86CC1">
        <w:rPr>
          <w:rFonts w:ascii="Arial" w:eastAsia="MS Mincho" w:hAnsi="Arial" w:cs="Arial"/>
          <w:szCs w:val="20"/>
        </w:rPr>
        <w:t>PLoS</w:t>
      </w:r>
      <w:proofErr w:type="spellEnd"/>
      <w:r w:rsidRPr="00B86CC1">
        <w:rPr>
          <w:rFonts w:ascii="Arial" w:eastAsia="MS Mincho" w:hAnsi="Arial" w:cs="Arial"/>
          <w:szCs w:val="20"/>
        </w:rPr>
        <w:t xml:space="preserve"> One, 10(9). e0136773. </w:t>
      </w:r>
      <w:hyperlink r:id="rId21" w:history="1">
        <w:r w:rsidRPr="00B86CC1">
          <w:rPr>
            <w:rFonts w:ascii="Arial" w:eastAsia="MS Mincho" w:hAnsi="Arial" w:cs="Arial"/>
            <w:color w:val="0563C1"/>
            <w:szCs w:val="20"/>
            <w:u w:val="single"/>
          </w:rPr>
          <w:t>https://doi.org/10.1371/journal.pone.0136773</w:t>
        </w:r>
      </w:hyperlink>
      <w:r w:rsidRPr="00B86CC1">
        <w:rPr>
          <w:rFonts w:ascii="Arial" w:eastAsia="MS Mincho" w:hAnsi="Arial" w:cs="Arial"/>
          <w:szCs w:val="20"/>
        </w:rPr>
        <w:t xml:space="preserve"> </w:t>
      </w:r>
    </w:p>
    <w:p w14:paraId="5262A7C7" w14:textId="77777777" w:rsidR="004F6438" w:rsidRPr="00B86CC1" w:rsidRDefault="004F6438" w:rsidP="00B86CC1">
      <w:pPr>
        <w:widowControl/>
        <w:suppressAutoHyphens w:val="0"/>
        <w:adjustRightInd w:val="0"/>
        <w:spacing w:after="80"/>
        <w:ind w:left="547" w:hanging="547"/>
        <w:jc w:val="both"/>
        <w:textAlignment w:val="auto"/>
        <w:rPr>
          <w:rFonts w:ascii="Arial" w:eastAsia="MS Mincho" w:hAnsi="Arial" w:cs="Arial"/>
          <w:szCs w:val="20"/>
        </w:rPr>
      </w:pPr>
      <w:r w:rsidRPr="00B86CC1">
        <w:rPr>
          <w:rFonts w:ascii="Arial" w:eastAsia="MS Mincho" w:hAnsi="Arial" w:cs="Arial"/>
          <w:szCs w:val="20"/>
        </w:rPr>
        <w:t xml:space="preserve">Rinkevich, B., 2014. Rebuilding coral reefs: does active reef restoration lead to sustainable </w:t>
      </w:r>
      <w:proofErr w:type="gramStart"/>
      <w:r w:rsidRPr="00B86CC1">
        <w:rPr>
          <w:rFonts w:ascii="Arial" w:eastAsia="MS Mincho" w:hAnsi="Arial" w:cs="Arial"/>
          <w:szCs w:val="20"/>
        </w:rPr>
        <w:t>reefs?.</w:t>
      </w:r>
      <w:proofErr w:type="gramEnd"/>
      <w:r w:rsidRPr="00B86CC1">
        <w:rPr>
          <w:rFonts w:ascii="Arial" w:eastAsia="MS Mincho" w:hAnsi="Arial" w:cs="Arial"/>
          <w:szCs w:val="20"/>
        </w:rPr>
        <w:t xml:space="preserve"> Current Opinion in Environmental Sustainability, Volume 7, pp. 28-36.</w:t>
      </w:r>
    </w:p>
    <w:p w14:paraId="2DCB62D2" w14:textId="77777777" w:rsidR="004F6438" w:rsidRPr="00B86CC1" w:rsidRDefault="004F6438" w:rsidP="00B86CC1">
      <w:pPr>
        <w:widowControl/>
        <w:suppressAutoHyphens w:val="0"/>
        <w:adjustRightInd w:val="0"/>
        <w:spacing w:after="80"/>
        <w:ind w:left="547" w:hanging="547"/>
        <w:jc w:val="both"/>
        <w:textAlignment w:val="auto"/>
        <w:rPr>
          <w:rFonts w:ascii="Arial" w:eastAsia="MS Mincho" w:hAnsi="Arial" w:cs="Arial"/>
          <w:szCs w:val="20"/>
        </w:rPr>
      </w:pPr>
      <w:r w:rsidRPr="00B86CC1">
        <w:rPr>
          <w:rFonts w:ascii="Arial" w:eastAsia="MS Mincho" w:hAnsi="Arial" w:cs="Arial"/>
          <w:szCs w:val="20"/>
        </w:rPr>
        <w:t>Rushing, C. S., Rubenstein, M., Lyons, J. &amp; Runge, M. C., 2020. Using value of information to prioritize research needs for migratory bird management under climate change: a case study using federal land acquisition in the United States. Biological Reviews, 95(4), pp. 1109-1130.</w:t>
      </w:r>
    </w:p>
    <w:p w14:paraId="6E9AF0D9" w14:textId="77777777" w:rsidR="004F6438" w:rsidRPr="00B86CC1" w:rsidRDefault="004F6438" w:rsidP="00B86CC1">
      <w:pPr>
        <w:widowControl/>
        <w:suppressAutoHyphens w:val="0"/>
        <w:adjustRightInd w:val="0"/>
        <w:spacing w:after="80"/>
        <w:ind w:left="547" w:hanging="547"/>
        <w:jc w:val="both"/>
        <w:textAlignment w:val="auto"/>
        <w:rPr>
          <w:rFonts w:ascii="Arial" w:eastAsia="MS Mincho" w:hAnsi="Arial" w:cs="Arial"/>
          <w:szCs w:val="20"/>
        </w:rPr>
      </w:pPr>
      <w:r w:rsidRPr="00B86CC1">
        <w:rPr>
          <w:rFonts w:ascii="Arial" w:eastAsia="MS Mincho" w:hAnsi="Arial" w:cs="Arial"/>
          <w:szCs w:val="20"/>
        </w:rPr>
        <w:t>Shoo, L. P. et al., 2013. Making decisions to conserve species under climate change. Climatic Change, 119(2), pp. 239-246.</w:t>
      </w:r>
    </w:p>
    <w:p w14:paraId="49169783" w14:textId="77777777" w:rsidR="004F6438" w:rsidRPr="00B86CC1" w:rsidRDefault="004F6438" w:rsidP="00B86CC1">
      <w:pPr>
        <w:widowControl/>
        <w:suppressAutoHyphens w:val="0"/>
        <w:adjustRightInd w:val="0"/>
        <w:spacing w:after="80"/>
        <w:ind w:left="547" w:hanging="547"/>
        <w:jc w:val="both"/>
        <w:textAlignment w:val="auto"/>
        <w:rPr>
          <w:rFonts w:ascii="Arial" w:eastAsia="MS Mincho" w:hAnsi="Arial" w:cs="Arial"/>
          <w:szCs w:val="20"/>
        </w:rPr>
      </w:pPr>
      <w:r w:rsidRPr="00B86CC1">
        <w:rPr>
          <w:rFonts w:ascii="Arial" w:eastAsia="MS Mincho" w:hAnsi="Arial" w:cs="Arial"/>
          <w:szCs w:val="20"/>
        </w:rPr>
        <w:t xml:space="preserve">Wikramanayake, E. et al., 2020. A climate adaptation strategy for Mai Po Inner Deep Bay Ramsar site: Steppingstone to climate proofing the East-Asian-Australasian Flyway. </w:t>
      </w:r>
      <w:proofErr w:type="spellStart"/>
      <w:r w:rsidRPr="00B86CC1">
        <w:rPr>
          <w:rFonts w:ascii="Arial" w:eastAsia="MS Mincho" w:hAnsi="Arial" w:cs="Arial"/>
          <w:szCs w:val="20"/>
        </w:rPr>
        <w:t>Plos</w:t>
      </w:r>
      <w:proofErr w:type="spellEnd"/>
      <w:r w:rsidRPr="00B86CC1">
        <w:rPr>
          <w:rFonts w:ascii="Arial" w:eastAsia="MS Mincho" w:hAnsi="Arial" w:cs="Arial"/>
          <w:szCs w:val="20"/>
        </w:rPr>
        <w:t xml:space="preserve"> one, 15(10). e0239945. </w:t>
      </w:r>
      <w:hyperlink r:id="rId22" w:history="1">
        <w:r w:rsidRPr="00B86CC1">
          <w:rPr>
            <w:rFonts w:ascii="Arial" w:eastAsia="MS Mincho" w:hAnsi="Arial" w:cs="Arial"/>
            <w:color w:val="0563C1"/>
            <w:szCs w:val="20"/>
            <w:u w:val="single"/>
          </w:rPr>
          <w:t>https://doi.org/10.1371/journal.pone.0239945</w:t>
        </w:r>
      </w:hyperlink>
    </w:p>
    <w:p w14:paraId="66F3892A" w14:textId="738DE871" w:rsidR="004F6438" w:rsidRPr="00B86CC1" w:rsidRDefault="004F6438" w:rsidP="00B86CC1">
      <w:pPr>
        <w:widowControl/>
        <w:spacing w:after="80"/>
        <w:jc w:val="both"/>
        <w:rPr>
          <w:rFonts w:ascii="Arial" w:eastAsia="MS Mincho" w:hAnsi="Arial" w:cs="Arial"/>
          <w:szCs w:val="20"/>
          <w:lang w:val="es-ES"/>
        </w:rPr>
      </w:pPr>
      <w:r w:rsidRPr="00B86CC1">
        <w:rPr>
          <w:rFonts w:ascii="Arial" w:eastAsia="MS Mincho" w:hAnsi="Arial" w:cs="Arial"/>
          <w:szCs w:val="20"/>
        </w:rPr>
        <w:t xml:space="preserve">Xiao, H. et al., 2021. Conserving migratory species while safeguarding ecosystem services. </w:t>
      </w:r>
      <w:proofErr w:type="spellStart"/>
      <w:r w:rsidRPr="00B86CC1">
        <w:rPr>
          <w:rFonts w:ascii="Arial" w:eastAsia="MS Mincho" w:hAnsi="Arial" w:cs="Arial"/>
          <w:szCs w:val="20"/>
          <w:lang w:val="es-ES"/>
        </w:rPr>
        <w:t>Ecological</w:t>
      </w:r>
      <w:proofErr w:type="spellEnd"/>
      <w:r w:rsidRPr="00B86CC1">
        <w:rPr>
          <w:rFonts w:ascii="Arial" w:eastAsia="MS Mincho" w:hAnsi="Arial" w:cs="Arial"/>
          <w:szCs w:val="20"/>
          <w:lang w:val="es-ES"/>
        </w:rPr>
        <w:t xml:space="preserve"> </w:t>
      </w:r>
      <w:proofErr w:type="spellStart"/>
      <w:r w:rsidRPr="00B86CC1">
        <w:rPr>
          <w:rFonts w:ascii="Arial" w:eastAsia="MS Mincho" w:hAnsi="Arial" w:cs="Arial"/>
          <w:szCs w:val="20"/>
          <w:lang w:val="es-ES"/>
        </w:rPr>
        <w:t>Modelling</w:t>
      </w:r>
      <w:proofErr w:type="spellEnd"/>
      <w:r w:rsidRPr="00B86CC1">
        <w:rPr>
          <w:rFonts w:ascii="Arial" w:eastAsia="MS Mincho" w:hAnsi="Arial" w:cs="Arial"/>
          <w:szCs w:val="20"/>
          <w:lang w:val="es-ES"/>
        </w:rPr>
        <w:t xml:space="preserve">, </w:t>
      </w:r>
      <w:proofErr w:type="spellStart"/>
      <w:r w:rsidRPr="00B86CC1">
        <w:rPr>
          <w:rFonts w:ascii="Arial" w:eastAsia="MS Mincho" w:hAnsi="Arial" w:cs="Arial"/>
          <w:szCs w:val="20"/>
          <w:lang w:val="es-ES"/>
        </w:rPr>
        <w:t>Volume</w:t>
      </w:r>
      <w:proofErr w:type="spellEnd"/>
      <w:r w:rsidRPr="00B86CC1">
        <w:rPr>
          <w:rFonts w:ascii="Arial" w:eastAsia="MS Mincho" w:hAnsi="Arial" w:cs="Arial"/>
          <w:szCs w:val="20"/>
          <w:lang w:val="es-ES"/>
        </w:rPr>
        <w:t xml:space="preserve"> 442, p. 10944.</w:t>
      </w:r>
    </w:p>
    <w:p w14:paraId="261B1F94" w14:textId="77777777" w:rsidR="004F6438" w:rsidRPr="006573E6" w:rsidRDefault="004F6438" w:rsidP="0007405E">
      <w:pPr>
        <w:widowControl/>
        <w:suppressAutoHyphens w:val="0"/>
        <w:autoSpaceDE/>
        <w:spacing w:after="160"/>
        <w:rPr>
          <w:rFonts w:ascii="Arial" w:eastAsia="MS Mincho" w:hAnsi="Arial" w:cs="Arial"/>
          <w:sz w:val="22"/>
          <w:szCs w:val="22"/>
          <w:lang w:val="es-ES"/>
        </w:rPr>
      </w:pPr>
      <w:r w:rsidRPr="006573E6">
        <w:rPr>
          <w:rFonts w:ascii="Arial" w:eastAsia="MS Mincho" w:hAnsi="Arial" w:cs="Arial"/>
          <w:sz w:val="22"/>
          <w:szCs w:val="22"/>
          <w:lang w:val="es-ES"/>
        </w:rPr>
        <w:br w:type="page"/>
      </w:r>
    </w:p>
    <w:p w14:paraId="2BC9015E" w14:textId="77777777" w:rsidR="004E491F" w:rsidRPr="006573E6" w:rsidRDefault="004E491F" w:rsidP="004E491F">
      <w:pPr>
        <w:pStyle w:val="Title1"/>
        <w:widowControl/>
      </w:pPr>
      <w:r w:rsidRPr="006573E6">
        <w:lastRenderedPageBreak/>
        <w:t>Cambio climático y especies migratorias</w:t>
      </w:r>
    </w:p>
    <w:p w14:paraId="18614D78" w14:textId="77777777" w:rsidR="004E491F" w:rsidRDefault="004E491F" w:rsidP="0007405E">
      <w:pPr>
        <w:widowControl/>
        <w:jc w:val="center"/>
        <w:rPr>
          <w:rFonts w:ascii="Arial" w:hAnsi="Arial" w:cs="Arial"/>
          <w:sz w:val="22"/>
          <w:szCs w:val="22"/>
          <w:lang w:val="es-ES"/>
        </w:rPr>
      </w:pPr>
    </w:p>
    <w:p w14:paraId="7098AA45" w14:textId="77777777" w:rsidR="004E491F" w:rsidRDefault="004E491F" w:rsidP="0007405E">
      <w:pPr>
        <w:widowControl/>
        <w:jc w:val="center"/>
        <w:rPr>
          <w:rFonts w:ascii="Arial" w:hAnsi="Arial" w:cs="Arial"/>
          <w:sz w:val="22"/>
          <w:szCs w:val="22"/>
          <w:lang w:val="es-ES"/>
        </w:rPr>
      </w:pPr>
    </w:p>
    <w:p w14:paraId="444815F4" w14:textId="67E5A931" w:rsidR="00653282" w:rsidRPr="006573E6" w:rsidRDefault="00653282" w:rsidP="0007405E">
      <w:pPr>
        <w:widowControl/>
        <w:jc w:val="center"/>
        <w:rPr>
          <w:rFonts w:ascii="Arial" w:hAnsi="Arial" w:cs="Arial"/>
          <w:sz w:val="22"/>
          <w:szCs w:val="22"/>
          <w:lang w:val="es-ES"/>
        </w:rPr>
      </w:pPr>
      <w:r w:rsidRPr="006573E6">
        <w:rPr>
          <w:rFonts w:ascii="Arial" w:hAnsi="Arial" w:cs="Arial"/>
          <w:sz w:val="22"/>
          <w:szCs w:val="22"/>
          <w:lang w:val="es-ES"/>
        </w:rPr>
        <w:t>PROYECTOS DE DECISIÓN</w:t>
      </w:r>
    </w:p>
    <w:p w14:paraId="1C7F0124" w14:textId="77777777" w:rsidR="00653282" w:rsidRPr="006573E6" w:rsidRDefault="00653282" w:rsidP="0007405E">
      <w:pPr>
        <w:widowControl/>
        <w:jc w:val="center"/>
        <w:rPr>
          <w:rFonts w:ascii="Arial" w:hAnsi="Arial" w:cs="Arial"/>
          <w:sz w:val="22"/>
          <w:szCs w:val="22"/>
          <w:lang w:val="es-ES"/>
        </w:rPr>
      </w:pPr>
    </w:p>
    <w:p w14:paraId="4F5B9134" w14:textId="77777777" w:rsidR="00653282" w:rsidRPr="006573E6" w:rsidRDefault="00653282" w:rsidP="0007405E">
      <w:pPr>
        <w:widowControl/>
        <w:jc w:val="both"/>
        <w:rPr>
          <w:rFonts w:ascii="Arial" w:hAnsi="Arial" w:cs="Arial"/>
          <w:i/>
          <w:color w:val="000000" w:themeColor="text1"/>
          <w:sz w:val="22"/>
          <w:szCs w:val="22"/>
          <w:lang w:val="es-ES"/>
        </w:rPr>
      </w:pPr>
      <w:bookmarkStart w:id="0" w:name="_Hlk202866116"/>
    </w:p>
    <w:bookmarkEnd w:id="0"/>
    <w:p w14:paraId="06DE4A8A" w14:textId="77777777" w:rsidR="00653282" w:rsidRPr="006573E6" w:rsidRDefault="00653282" w:rsidP="0007405E">
      <w:pPr>
        <w:widowControl/>
        <w:jc w:val="both"/>
        <w:rPr>
          <w:rFonts w:ascii="Arial" w:hAnsi="Arial" w:cs="Arial"/>
          <w:b/>
          <w:i/>
          <w:sz w:val="22"/>
          <w:szCs w:val="22"/>
          <w:lang w:val="es-ES"/>
        </w:rPr>
      </w:pPr>
      <w:r w:rsidRPr="006573E6">
        <w:rPr>
          <w:rFonts w:ascii="Arial" w:hAnsi="Arial" w:cs="Arial"/>
          <w:b/>
          <w:i/>
          <w:sz w:val="22"/>
          <w:szCs w:val="22"/>
          <w:lang w:val="es-ES"/>
        </w:rPr>
        <w:t xml:space="preserve">Dirigido a las Partes </w:t>
      </w:r>
    </w:p>
    <w:p w14:paraId="18DE5106" w14:textId="77777777" w:rsidR="00653282" w:rsidRPr="006573E6" w:rsidRDefault="00653282" w:rsidP="0007405E">
      <w:pPr>
        <w:widowControl/>
        <w:jc w:val="both"/>
        <w:rPr>
          <w:rFonts w:ascii="Arial" w:hAnsi="Arial" w:cs="Arial"/>
          <w:b/>
          <w:i/>
          <w:sz w:val="22"/>
          <w:szCs w:val="22"/>
          <w:lang w:val="es-ES"/>
        </w:rPr>
      </w:pPr>
    </w:p>
    <w:p w14:paraId="23D71232" w14:textId="77777777" w:rsidR="00653282" w:rsidRPr="006573E6" w:rsidRDefault="00653282" w:rsidP="00B86CC1">
      <w:pPr>
        <w:widowControl/>
        <w:ind w:left="900" w:hanging="900"/>
        <w:jc w:val="both"/>
        <w:rPr>
          <w:rFonts w:ascii="Arial" w:hAnsi="Arial" w:cs="Arial"/>
          <w:iCs/>
          <w:sz w:val="22"/>
          <w:szCs w:val="22"/>
          <w:lang w:val="es-ES"/>
        </w:rPr>
      </w:pPr>
      <w:r w:rsidRPr="006573E6">
        <w:rPr>
          <w:rFonts w:ascii="Arial" w:hAnsi="Arial" w:cs="Arial"/>
          <w:sz w:val="22"/>
          <w:szCs w:val="22"/>
          <w:lang w:val="es-ES"/>
        </w:rPr>
        <w:t>15.AA</w:t>
      </w:r>
      <w:r w:rsidRPr="006573E6">
        <w:rPr>
          <w:rFonts w:ascii="Arial" w:hAnsi="Arial" w:cs="Arial"/>
          <w:sz w:val="22"/>
          <w:szCs w:val="22"/>
          <w:lang w:val="es-ES"/>
        </w:rPr>
        <w:tab/>
        <w:t>Se solicita a las Partes:</w:t>
      </w:r>
    </w:p>
    <w:p w14:paraId="0CE1D8CA" w14:textId="77777777" w:rsidR="00653282" w:rsidRPr="006573E6" w:rsidRDefault="00653282" w:rsidP="0007405E">
      <w:pPr>
        <w:widowControl/>
        <w:jc w:val="both"/>
        <w:rPr>
          <w:rFonts w:ascii="Arial" w:hAnsi="Arial" w:cs="Arial"/>
          <w:iCs/>
          <w:sz w:val="22"/>
          <w:szCs w:val="22"/>
          <w:lang w:val="es-ES"/>
        </w:rPr>
      </w:pPr>
    </w:p>
    <w:p w14:paraId="4F4681F1" w14:textId="77777777" w:rsidR="00653282" w:rsidRPr="006573E6" w:rsidRDefault="00653282" w:rsidP="00B86CC1">
      <w:pPr>
        <w:pStyle w:val="ListParagraph"/>
        <w:widowControl/>
        <w:ind w:left="1440" w:hanging="540"/>
        <w:jc w:val="both"/>
        <w:rPr>
          <w:rFonts w:ascii="Arial" w:hAnsi="Arial" w:cs="Arial"/>
          <w:iCs/>
          <w:sz w:val="22"/>
          <w:szCs w:val="22"/>
          <w:lang w:val="es-ES"/>
        </w:rPr>
      </w:pPr>
      <w:r w:rsidRPr="006573E6">
        <w:rPr>
          <w:rFonts w:ascii="Arial" w:hAnsi="Arial" w:cs="Arial"/>
          <w:sz w:val="22"/>
          <w:szCs w:val="22"/>
          <w:lang w:val="es-ES"/>
        </w:rPr>
        <w:t>a)</w:t>
      </w:r>
      <w:r w:rsidRPr="006573E6">
        <w:rPr>
          <w:rFonts w:ascii="Arial" w:hAnsi="Arial" w:cs="Arial"/>
          <w:sz w:val="22"/>
          <w:szCs w:val="22"/>
          <w:lang w:val="es-ES"/>
        </w:rPr>
        <w:tab/>
        <w:t xml:space="preserve">identificar estudios de casos que demuestren acciones eficaces que hayan apoyado la adaptación de las especies migratorias al cambio climático; </w:t>
      </w:r>
    </w:p>
    <w:p w14:paraId="5EF3DC1B" w14:textId="77777777" w:rsidR="00653282" w:rsidRPr="006573E6" w:rsidRDefault="00653282" w:rsidP="00B86CC1">
      <w:pPr>
        <w:pStyle w:val="ListParagraph"/>
        <w:widowControl/>
        <w:ind w:left="1440" w:hanging="540"/>
        <w:jc w:val="both"/>
        <w:rPr>
          <w:rFonts w:ascii="Arial" w:hAnsi="Arial" w:cs="Arial"/>
          <w:iCs/>
          <w:sz w:val="22"/>
          <w:szCs w:val="22"/>
          <w:lang w:val="es-ES"/>
        </w:rPr>
      </w:pPr>
    </w:p>
    <w:p w14:paraId="4C4FE4AE" w14:textId="77777777" w:rsidR="00653282" w:rsidRPr="006573E6" w:rsidRDefault="00653282" w:rsidP="00B86CC1">
      <w:pPr>
        <w:pStyle w:val="ListParagraph"/>
        <w:widowControl/>
        <w:ind w:left="1440" w:hanging="540"/>
        <w:jc w:val="both"/>
        <w:rPr>
          <w:rFonts w:ascii="Arial" w:hAnsi="Arial" w:cs="Arial"/>
          <w:iCs/>
          <w:sz w:val="22"/>
          <w:szCs w:val="22"/>
          <w:lang w:val="es-ES"/>
        </w:rPr>
      </w:pPr>
      <w:r w:rsidRPr="006573E6">
        <w:rPr>
          <w:rFonts w:ascii="Arial" w:hAnsi="Arial" w:cs="Arial"/>
          <w:sz w:val="22"/>
          <w:szCs w:val="22"/>
          <w:lang w:val="es-ES"/>
        </w:rPr>
        <w:t>b)</w:t>
      </w:r>
      <w:r w:rsidRPr="006573E6">
        <w:rPr>
          <w:rFonts w:ascii="Arial" w:hAnsi="Arial" w:cs="Arial"/>
          <w:sz w:val="22"/>
          <w:szCs w:val="22"/>
          <w:lang w:val="es-ES"/>
        </w:rPr>
        <w:tab/>
        <w:t>identificar estudios de casos que demuestren los servicios ecosistémicos que prestan las especies migratorias y que contribuyen a hacer frente al cambio climático; y</w:t>
      </w:r>
    </w:p>
    <w:p w14:paraId="3004BE21" w14:textId="77777777" w:rsidR="00653282" w:rsidRPr="006573E6" w:rsidRDefault="00653282" w:rsidP="00B86CC1">
      <w:pPr>
        <w:pStyle w:val="ListParagraph"/>
        <w:widowControl/>
        <w:ind w:left="1440" w:hanging="540"/>
        <w:jc w:val="both"/>
        <w:rPr>
          <w:rFonts w:ascii="Arial" w:hAnsi="Arial" w:cs="Arial"/>
          <w:iCs/>
          <w:sz w:val="22"/>
          <w:szCs w:val="22"/>
          <w:lang w:val="es-ES"/>
        </w:rPr>
      </w:pPr>
    </w:p>
    <w:p w14:paraId="40FEC670" w14:textId="77777777" w:rsidR="00653282" w:rsidRPr="006573E6" w:rsidRDefault="00653282" w:rsidP="00B86CC1">
      <w:pPr>
        <w:pStyle w:val="ListParagraph"/>
        <w:widowControl/>
        <w:ind w:left="1440" w:hanging="540"/>
        <w:jc w:val="both"/>
        <w:rPr>
          <w:rFonts w:ascii="Arial" w:hAnsi="Arial" w:cs="Arial"/>
          <w:iCs/>
          <w:sz w:val="22"/>
          <w:szCs w:val="22"/>
          <w:lang w:val="es-ES"/>
        </w:rPr>
      </w:pPr>
      <w:r w:rsidRPr="006573E6">
        <w:rPr>
          <w:rFonts w:ascii="Arial" w:hAnsi="Arial" w:cs="Arial"/>
          <w:sz w:val="22"/>
          <w:szCs w:val="22"/>
          <w:lang w:val="es-ES"/>
        </w:rPr>
        <w:t>c)</w:t>
      </w:r>
      <w:r w:rsidRPr="006573E6">
        <w:rPr>
          <w:rFonts w:ascii="Arial" w:hAnsi="Arial" w:cs="Arial"/>
          <w:sz w:val="22"/>
          <w:szCs w:val="22"/>
          <w:lang w:val="es-ES"/>
        </w:rPr>
        <w:tab/>
        <w:t>compartan esos estudios con la Secretaría.</w:t>
      </w:r>
    </w:p>
    <w:p w14:paraId="362DF0F2" w14:textId="77777777" w:rsidR="00653282" w:rsidRPr="006573E6" w:rsidRDefault="00653282" w:rsidP="0007405E">
      <w:pPr>
        <w:widowControl/>
        <w:jc w:val="both"/>
        <w:rPr>
          <w:rFonts w:ascii="Arial" w:hAnsi="Arial" w:cs="Arial"/>
          <w:b/>
          <w:i/>
          <w:sz w:val="22"/>
          <w:szCs w:val="22"/>
          <w:lang w:val="es-ES"/>
        </w:rPr>
      </w:pPr>
    </w:p>
    <w:p w14:paraId="1B8155EC" w14:textId="77777777" w:rsidR="00653282" w:rsidRPr="006573E6" w:rsidRDefault="00653282" w:rsidP="0007405E">
      <w:pPr>
        <w:widowControl/>
        <w:jc w:val="both"/>
        <w:rPr>
          <w:rFonts w:ascii="Arial" w:hAnsi="Arial" w:cs="Arial"/>
          <w:b/>
          <w:i/>
          <w:sz w:val="22"/>
          <w:szCs w:val="22"/>
          <w:lang w:val="es-ES"/>
        </w:rPr>
      </w:pPr>
      <w:r w:rsidRPr="006573E6">
        <w:rPr>
          <w:rFonts w:ascii="Arial" w:hAnsi="Arial" w:cs="Arial"/>
          <w:b/>
          <w:i/>
          <w:sz w:val="22"/>
          <w:szCs w:val="22"/>
          <w:lang w:val="es-ES"/>
        </w:rPr>
        <w:t>Dirigido a las Partes, organizaciones intergubernamentales y no gubernamentales</w:t>
      </w:r>
    </w:p>
    <w:p w14:paraId="4BCA08B0" w14:textId="77777777" w:rsidR="00653282" w:rsidRPr="006573E6" w:rsidRDefault="00653282" w:rsidP="0007405E">
      <w:pPr>
        <w:widowControl/>
        <w:jc w:val="both"/>
        <w:rPr>
          <w:rFonts w:ascii="Arial" w:hAnsi="Arial" w:cs="Arial"/>
          <w:sz w:val="22"/>
          <w:szCs w:val="22"/>
          <w:lang w:val="es-ES"/>
        </w:rPr>
      </w:pPr>
    </w:p>
    <w:p w14:paraId="20BC2C7E" w14:textId="77777777" w:rsidR="00653282" w:rsidRPr="006573E6" w:rsidRDefault="00653282" w:rsidP="0007405E">
      <w:pPr>
        <w:widowControl/>
        <w:ind w:left="900" w:hanging="900"/>
        <w:jc w:val="both"/>
        <w:rPr>
          <w:rFonts w:ascii="Arial" w:hAnsi="Arial" w:cs="Arial"/>
          <w:sz w:val="22"/>
          <w:szCs w:val="22"/>
          <w:lang w:val="es-ES"/>
        </w:rPr>
      </w:pPr>
      <w:r w:rsidRPr="006573E6">
        <w:rPr>
          <w:rFonts w:ascii="Arial" w:hAnsi="Arial" w:cs="Arial"/>
          <w:sz w:val="22"/>
          <w:szCs w:val="22"/>
          <w:lang w:val="es-ES"/>
        </w:rPr>
        <w:t>15.BB</w:t>
      </w:r>
      <w:r w:rsidRPr="006573E6">
        <w:rPr>
          <w:rFonts w:ascii="Arial" w:hAnsi="Arial" w:cs="Arial"/>
          <w:sz w:val="22"/>
          <w:szCs w:val="22"/>
          <w:lang w:val="es-ES"/>
        </w:rPr>
        <w:tab/>
        <w:t>Se insta a las Partes y a las organizaciones intergubernamentales y no gubernamentales a que:</w:t>
      </w:r>
    </w:p>
    <w:p w14:paraId="6E03AE78" w14:textId="77777777" w:rsidR="00653282" w:rsidRPr="006573E6" w:rsidDel="0078537C" w:rsidRDefault="00653282" w:rsidP="0007405E">
      <w:pPr>
        <w:widowControl/>
        <w:ind w:left="900" w:hanging="900"/>
        <w:jc w:val="both"/>
        <w:rPr>
          <w:rFonts w:ascii="Arial" w:hAnsi="Arial" w:cs="Arial"/>
          <w:sz w:val="22"/>
          <w:szCs w:val="22"/>
          <w:lang w:val="es-ES"/>
        </w:rPr>
      </w:pPr>
    </w:p>
    <w:p w14:paraId="1E49237D" w14:textId="77777777" w:rsidR="00653282" w:rsidRPr="006573E6" w:rsidRDefault="00653282" w:rsidP="0007405E">
      <w:pPr>
        <w:widowControl/>
        <w:numPr>
          <w:ilvl w:val="0"/>
          <w:numId w:val="11"/>
        </w:numPr>
        <w:suppressAutoHyphens w:val="0"/>
        <w:adjustRightInd w:val="0"/>
        <w:ind w:left="1440" w:hanging="540"/>
        <w:jc w:val="both"/>
        <w:textAlignment w:val="auto"/>
        <w:rPr>
          <w:rFonts w:ascii="Arial" w:hAnsi="Arial" w:cs="Arial"/>
          <w:iCs/>
          <w:sz w:val="22"/>
          <w:szCs w:val="22"/>
          <w:lang w:val="es-ES"/>
        </w:rPr>
      </w:pPr>
      <w:r w:rsidRPr="006573E6">
        <w:rPr>
          <w:rFonts w:ascii="Arial" w:hAnsi="Arial" w:cs="Arial"/>
          <w:sz w:val="22"/>
          <w:szCs w:val="22"/>
          <w:lang w:val="es-ES"/>
        </w:rPr>
        <w:t>utilicen la orientación sobre las barreras que se resume en el Anexo 5 del documento UNEP/CMS/COP15/Doc.28.12 para identificar y mitigar las barreras que puedan impedir los movimientos de las especies migratorias, incluidos los posibles cambios en el área de distribución en respuesta al cambio climático, y compartan sus observaciones, si las hay, con la Secretaría; y</w:t>
      </w:r>
    </w:p>
    <w:p w14:paraId="76E3297B" w14:textId="77777777" w:rsidR="00653282" w:rsidRPr="006573E6" w:rsidDel="0078537C" w:rsidRDefault="00653282" w:rsidP="0007405E">
      <w:pPr>
        <w:widowControl/>
        <w:adjustRightInd w:val="0"/>
        <w:ind w:left="1440" w:hanging="540"/>
        <w:jc w:val="both"/>
        <w:rPr>
          <w:rFonts w:ascii="Arial" w:hAnsi="Arial" w:cs="Arial"/>
          <w:iCs/>
          <w:sz w:val="22"/>
          <w:szCs w:val="22"/>
          <w:lang w:val="es-ES"/>
        </w:rPr>
      </w:pPr>
    </w:p>
    <w:p w14:paraId="03BB40EF" w14:textId="77777777" w:rsidR="00653282" w:rsidRPr="006573E6" w:rsidRDefault="00653282" w:rsidP="0007405E">
      <w:pPr>
        <w:widowControl/>
        <w:numPr>
          <w:ilvl w:val="0"/>
          <w:numId w:val="11"/>
        </w:numPr>
        <w:suppressAutoHyphens w:val="0"/>
        <w:adjustRightInd w:val="0"/>
        <w:ind w:left="1440" w:hanging="540"/>
        <w:jc w:val="both"/>
        <w:textAlignment w:val="auto"/>
        <w:rPr>
          <w:rFonts w:ascii="Arial" w:hAnsi="Arial" w:cs="Arial"/>
          <w:iCs/>
          <w:sz w:val="22"/>
          <w:szCs w:val="22"/>
          <w:lang w:val="es-ES"/>
        </w:rPr>
      </w:pPr>
      <w:r w:rsidRPr="006573E6">
        <w:rPr>
          <w:rFonts w:ascii="Arial" w:hAnsi="Arial" w:cs="Arial"/>
          <w:sz w:val="22"/>
          <w:szCs w:val="22"/>
          <w:lang w:val="es-ES"/>
        </w:rPr>
        <w:t xml:space="preserve">utilicen las recomendaciones contenidas en el </w:t>
      </w:r>
      <w:r w:rsidRPr="006573E6">
        <w:rPr>
          <w:rFonts w:ascii="Arial" w:hAnsi="Arial" w:cs="Arial"/>
          <w:i/>
          <w:sz w:val="22"/>
          <w:szCs w:val="22"/>
          <w:lang w:val="es-ES"/>
        </w:rPr>
        <w:t>Informe sobre los efectos del cambio climático en el bienestar y la conservación de los cetáceos</w:t>
      </w:r>
      <w:r w:rsidRPr="006573E6">
        <w:rPr>
          <w:rFonts w:ascii="Arial" w:hAnsi="Arial" w:cs="Arial"/>
          <w:sz w:val="22"/>
          <w:szCs w:val="22"/>
          <w:lang w:val="es-ES"/>
        </w:rPr>
        <w:t>, resumidas en el Anexo 2 del documento CMS/COP15/Doc.25.4.1, para mejorar la comprensión de los efectos del cambio climático en las especies de cetáceos y favorecer su conservación frente al cambio climático, y compartan con la Secretaría sus experiencias y conclusiones prácticas en la aplicación de las recomendaciones.</w:t>
      </w:r>
    </w:p>
    <w:p w14:paraId="41B6BE02" w14:textId="77777777" w:rsidR="00653282" w:rsidRPr="006573E6" w:rsidRDefault="00653282" w:rsidP="0007405E">
      <w:pPr>
        <w:widowControl/>
        <w:jc w:val="both"/>
        <w:rPr>
          <w:rFonts w:ascii="Arial" w:hAnsi="Arial" w:cs="Arial"/>
          <w:b/>
          <w:i/>
          <w:sz w:val="22"/>
          <w:szCs w:val="22"/>
          <w:lang w:val="es-ES"/>
        </w:rPr>
      </w:pPr>
    </w:p>
    <w:p w14:paraId="1AA41A83" w14:textId="77777777" w:rsidR="00653282" w:rsidRPr="006573E6" w:rsidRDefault="00653282" w:rsidP="0007405E">
      <w:pPr>
        <w:widowControl/>
        <w:jc w:val="both"/>
        <w:rPr>
          <w:rFonts w:ascii="Arial" w:hAnsi="Arial" w:cs="Arial"/>
          <w:sz w:val="22"/>
          <w:szCs w:val="22"/>
          <w:lang w:val="es-ES"/>
        </w:rPr>
      </w:pPr>
      <w:r w:rsidRPr="006573E6">
        <w:rPr>
          <w:rFonts w:ascii="Arial" w:hAnsi="Arial" w:cs="Arial"/>
          <w:b/>
          <w:i/>
          <w:sz w:val="22"/>
          <w:szCs w:val="22"/>
          <w:lang w:val="es-ES"/>
        </w:rPr>
        <w:t xml:space="preserve">Dirigido al Consejo Científico </w:t>
      </w:r>
    </w:p>
    <w:p w14:paraId="2499C784" w14:textId="77777777" w:rsidR="00653282" w:rsidRPr="006573E6" w:rsidRDefault="00653282" w:rsidP="0007405E">
      <w:pPr>
        <w:widowControl/>
        <w:jc w:val="both"/>
        <w:rPr>
          <w:rFonts w:ascii="Arial" w:hAnsi="Arial" w:cs="Arial"/>
          <w:sz w:val="22"/>
          <w:szCs w:val="22"/>
          <w:lang w:val="es-ES"/>
        </w:rPr>
      </w:pPr>
    </w:p>
    <w:p w14:paraId="3A87E813" w14:textId="4F1E6884" w:rsidR="00653282" w:rsidRPr="006573E6" w:rsidRDefault="00653282" w:rsidP="0007405E">
      <w:pPr>
        <w:widowControl/>
        <w:ind w:left="900" w:hanging="900"/>
        <w:jc w:val="both"/>
        <w:rPr>
          <w:rFonts w:ascii="Arial" w:hAnsi="Arial" w:cs="Arial"/>
          <w:sz w:val="22"/>
          <w:szCs w:val="22"/>
          <w:lang w:val="es-ES"/>
        </w:rPr>
      </w:pPr>
      <w:r w:rsidRPr="006573E6">
        <w:rPr>
          <w:rFonts w:ascii="Arial" w:hAnsi="Arial" w:cs="Arial"/>
          <w:sz w:val="22"/>
          <w:szCs w:val="22"/>
          <w:lang w:val="es-ES"/>
        </w:rPr>
        <w:t>15.CC</w:t>
      </w:r>
      <w:r w:rsidRPr="006573E6">
        <w:rPr>
          <w:rFonts w:ascii="Arial" w:hAnsi="Arial" w:cs="Arial"/>
          <w:sz w:val="22"/>
          <w:szCs w:val="22"/>
          <w:lang w:val="es-ES"/>
        </w:rPr>
        <w:tab/>
        <w:t xml:space="preserve">Se solicita al Consejo </w:t>
      </w:r>
      <w:r w:rsidR="006573E6" w:rsidRPr="006573E6">
        <w:rPr>
          <w:rFonts w:ascii="Arial" w:hAnsi="Arial" w:cs="Arial"/>
          <w:sz w:val="22"/>
          <w:szCs w:val="22"/>
          <w:lang w:val="es-ES"/>
        </w:rPr>
        <w:t>Científico</w:t>
      </w:r>
      <w:r w:rsidRPr="006573E6">
        <w:rPr>
          <w:rFonts w:ascii="Arial" w:hAnsi="Arial" w:cs="Arial"/>
          <w:sz w:val="22"/>
          <w:szCs w:val="22"/>
          <w:lang w:val="es-ES"/>
        </w:rPr>
        <w:t>, con sujeción a la disponibilidad de recursos, que:</w:t>
      </w:r>
    </w:p>
    <w:p w14:paraId="0ADEE192" w14:textId="77777777" w:rsidR="00653282" w:rsidRPr="006573E6" w:rsidRDefault="00653282" w:rsidP="0007405E">
      <w:pPr>
        <w:widowControl/>
        <w:ind w:left="900" w:hanging="900"/>
        <w:jc w:val="both"/>
        <w:rPr>
          <w:rFonts w:ascii="Arial" w:hAnsi="Arial" w:cs="Arial"/>
          <w:sz w:val="22"/>
          <w:szCs w:val="22"/>
          <w:lang w:val="es-ES"/>
        </w:rPr>
      </w:pPr>
    </w:p>
    <w:p w14:paraId="23804827" w14:textId="77777777" w:rsidR="00653282" w:rsidRPr="006573E6" w:rsidRDefault="00653282" w:rsidP="0007405E">
      <w:pPr>
        <w:pStyle w:val="ListParagraph"/>
        <w:widowControl/>
        <w:numPr>
          <w:ilvl w:val="0"/>
          <w:numId w:val="12"/>
        </w:numPr>
        <w:suppressAutoHyphens w:val="0"/>
        <w:autoSpaceDE/>
        <w:autoSpaceDN/>
        <w:ind w:left="1440" w:hanging="540"/>
        <w:jc w:val="both"/>
        <w:textAlignment w:val="auto"/>
        <w:rPr>
          <w:rFonts w:ascii="Arial" w:hAnsi="Arial" w:cs="Arial"/>
          <w:sz w:val="22"/>
          <w:szCs w:val="22"/>
          <w:lang w:val="es-ES"/>
        </w:rPr>
      </w:pPr>
      <w:r w:rsidRPr="006573E6">
        <w:rPr>
          <w:rFonts w:ascii="Arial" w:hAnsi="Arial" w:cs="Arial"/>
          <w:sz w:val="22"/>
          <w:szCs w:val="22"/>
          <w:lang w:val="es-ES"/>
        </w:rPr>
        <w:t>restablezca su Grupo de Trabajo sobre el Cambio Climático y actualice sus Términos de Referencia según sea necesario;</w:t>
      </w:r>
    </w:p>
    <w:p w14:paraId="0B5CB6CB" w14:textId="77777777" w:rsidR="00653282" w:rsidRPr="006573E6" w:rsidRDefault="00653282" w:rsidP="0007405E">
      <w:pPr>
        <w:pStyle w:val="ListParagraph"/>
        <w:widowControl/>
        <w:ind w:left="1440" w:hanging="540"/>
        <w:jc w:val="both"/>
        <w:rPr>
          <w:rFonts w:ascii="Arial" w:hAnsi="Arial" w:cs="Arial"/>
          <w:sz w:val="22"/>
          <w:szCs w:val="22"/>
          <w:lang w:val="es-ES"/>
        </w:rPr>
      </w:pPr>
    </w:p>
    <w:p w14:paraId="7EDD4D2E" w14:textId="77777777" w:rsidR="00653282" w:rsidRPr="006573E6" w:rsidRDefault="00653282" w:rsidP="0007405E">
      <w:pPr>
        <w:pStyle w:val="ListParagraph"/>
        <w:widowControl/>
        <w:numPr>
          <w:ilvl w:val="0"/>
          <w:numId w:val="12"/>
        </w:numPr>
        <w:suppressAutoHyphens w:val="0"/>
        <w:autoSpaceDE/>
        <w:autoSpaceDN/>
        <w:ind w:left="1440" w:hanging="540"/>
        <w:jc w:val="both"/>
        <w:textAlignment w:val="auto"/>
        <w:rPr>
          <w:rFonts w:ascii="Arial" w:hAnsi="Arial" w:cs="Arial"/>
          <w:sz w:val="22"/>
          <w:szCs w:val="22"/>
          <w:lang w:val="es-ES"/>
        </w:rPr>
      </w:pPr>
      <w:r w:rsidRPr="006573E6">
        <w:rPr>
          <w:rFonts w:ascii="Arial" w:hAnsi="Arial" w:cs="Arial"/>
          <w:sz w:val="22"/>
          <w:szCs w:val="22"/>
          <w:lang w:val="es-ES"/>
        </w:rPr>
        <w:t>realice un análisis prospectivo de los posibles impactos del cambio climático en las especies migratorias, incluyendo la identificación de amenazas, oportunidades y factores perturbadores, así como posibles medidas de conservación y la forma en que pueden aplicarse con un enfoque pragmático;</w:t>
      </w:r>
    </w:p>
    <w:p w14:paraId="0AE6C9D6" w14:textId="77777777" w:rsidR="00653282" w:rsidRPr="006573E6" w:rsidRDefault="00653282" w:rsidP="0007405E">
      <w:pPr>
        <w:pStyle w:val="ListParagraph"/>
        <w:widowControl/>
        <w:rPr>
          <w:rFonts w:ascii="Arial" w:hAnsi="Arial" w:cs="Arial"/>
          <w:sz w:val="22"/>
          <w:szCs w:val="22"/>
          <w:lang w:val="es-ES"/>
        </w:rPr>
      </w:pPr>
    </w:p>
    <w:p w14:paraId="52D9CE6A" w14:textId="77777777" w:rsidR="00653282" w:rsidRPr="006573E6" w:rsidRDefault="00653282" w:rsidP="0007405E">
      <w:pPr>
        <w:pStyle w:val="ListParagraph"/>
        <w:widowControl/>
        <w:numPr>
          <w:ilvl w:val="0"/>
          <w:numId w:val="12"/>
        </w:numPr>
        <w:suppressAutoHyphens w:val="0"/>
        <w:adjustRightInd w:val="0"/>
        <w:ind w:left="1440" w:hanging="540"/>
        <w:contextualSpacing w:val="0"/>
        <w:jc w:val="both"/>
        <w:textAlignment w:val="auto"/>
        <w:rPr>
          <w:rFonts w:ascii="Arial" w:hAnsi="Arial" w:cs="Arial"/>
          <w:sz w:val="22"/>
          <w:szCs w:val="22"/>
          <w:lang w:val="es-ES"/>
        </w:rPr>
      </w:pPr>
      <w:r w:rsidRPr="006573E6">
        <w:rPr>
          <w:rFonts w:ascii="Arial" w:hAnsi="Arial" w:cs="Arial"/>
          <w:sz w:val="22"/>
          <w:szCs w:val="22"/>
          <w:lang w:val="es-ES"/>
        </w:rPr>
        <w:t>convoque un taller para:</w:t>
      </w:r>
    </w:p>
    <w:p w14:paraId="08D090C7" w14:textId="77777777" w:rsidR="00653282" w:rsidRPr="006573E6" w:rsidRDefault="00653282" w:rsidP="0007405E">
      <w:pPr>
        <w:widowControl/>
        <w:adjustRightInd w:val="0"/>
        <w:jc w:val="both"/>
        <w:rPr>
          <w:rFonts w:ascii="Arial" w:hAnsi="Arial" w:cs="Arial"/>
          <w:sz w:val="22"/>
          <w:szCs w:val="22"/>
          <w:lang w:val="es-ES"/>
        </w:rPr>
      </w:pPr>
    </w:p>
    <w:p w14:paraId="444ED4B8" w14:textId="77777777" w:rsidR="00653282" w:rsidRPr="006573E6" w:rsidRDefault="00653282" w:rsidP="00E9502C">
      <w:pPr>
        <w:pStyle w:val="ListParagraph"/>
        <w:widowControl/>
        <w:numPr>
          <w:ilvl w:val="0"/>
          <w:numId w:val="13"/>
        </w:numPr>
        <w:suppressAutoHyphens w:val="0"/>
        <w:autoSpaceDE/>
        <w:autoSpaceDN/>
        <w:ind w:left="1800"/>
        <w:contextualSpacing w:val="0"/>
        <w:jc w:val="both"/>
        <w:textAlignment w:val="auto"/>
        <w:rPr>
          <w:rFonts w:ascii="Arial" w:hAnsi="Arial" w:cs="Arial"/>
          <w:sz w:val="22"/>
          <w:szCs w:val="22"/>
          <w:lang w:val="es-ES"/>
        </w:rPr>
      </w:pPr>
      <w:r w:rsidRPr="006573E6">
        <w:rPr>
          <w:rFonts w:ascii="Arial" w:hAnsi="Arial" w:cs="Arial"/>
          <w:sz w:val="22"/>
          <w:szCs w:val="22"/>
          <w:lang w:val="es-ES"/>
        </w:rPr>
        <w:t xml:space="preserve">identificar las especies migratorias más susceptibles de verse afectadas por el cambio climático, incluidos los </w:t>
      </w:r>
      <w:r w:rsidRPr="006573E6">
        <w:rPr>
          <w:rFonts w:ascii="Arial" w:hAnsi="Arial" w:cs="Arial"/>
          <w:color w:val="000000" w:themeColor="text1"/>
          <w:sz w:val="22"/>
          <w:szCs w:val="22"/>
          <w:lang w:val="es-ES"/>
        </w:rPr>
        <w:t>cambios en sus rutas migratorias</w:t>
      </w:r>
      <w:r w:rsidRPr="006573E6">
        <w:rPr>
          <w:rFonts w:ascii="Arial" w:hAnsi="Arial" w:cs="Arial"/>
          <w:sz w:val="22"/>
          <w:szCs w:val="22"/>
          <w:lang w:val="es-ES"/>
        </w:rPr>
        <w:t xml:space="preserve">, y </w:t>
      </w:r>
      <w:r w:rsidRPr="006573E6">
        <w:rPr>
          <w:rFonts w:ascii="Arial" w:hAnsi="Arial" w:cs="Arial"/>
          <w:sz w:val="22"/>
          <w:szCs w:val="22"/>
          <w:lang w:val="es-ES"/>
        </w:rPr>
        <w:lastRenderedPageBreak/>
        <w:t>que, por lo tanto, más necesitan intervenciones de conservación, centrándose en las que figuran en el Apéndice I, así como en las especies para las que las intervenciones podrían tener beneficios más amplios;</w:t>
      </w:r>
    </w:p>
    <w:p w14:paraId="1F437A0D" w14:textId="77777777" w:rsidR="00653282" w:rsidRPr="006573E6" w:rsidRDefault="00653282" w:rsidP="00E9502C">
      <w:pPr>
        <w:widowControl/>
        <w:jc w:val="both"/>
        <w:rPr>
          <w:rFonts w:ascii="Arial" w:hAnsi="Arial" w:cs="Arial"/>
          <w:sz w:val="22"/>
          <w:szCs w:val="22"/>
          <w:lang w:val="es-ES"/>
        </w:rPr>
      </w:pPr>
    </w:p>
    <w:p w14:paraId="7AAE0B14" w14:textId="77777777" w:rsidR="00653282" w:rsidRPr="006573E6" w:rsidRDefault="00653282" w:rsidP="00E9502C">
      <w:pPr>
        <w:pStyle w:val="ListParagraph"/>
        <w:widowControl/>
        <w:numPr>
          <w:ilvl w:val="0"/>
          <w:numId w:val="13"/>
        </w:numPr>
        <w:suppressAutoHyphens w:val="0"/>
        <w:autoSpaceDE/>
        <w:autoSpaceDN/>
        <w:ind w:left="1800"/>
        <w:jc w:val="both"/>
        <w:textAlignment w:val="auto"/>
        <w:rPr>
          <w:rFonts w:ascii="Arial" w:hAnsi="Arial" w:cs="Arial"/>
          <w:sz w:val="22"/>
          <w:szCs w:val="22"/>
          <w:lang w:val="es-ES"/>
        </w:rPr>
      </w:pPr>
      <w:r w:rsidRPr="006573E6">
        <w:rPr>
          <w:rFonts w:ascii="Arial" w:hAnsi="Arial" w:cs="Arial"/>
          <w:sz w:val="22"/>
          <w:szCs w:val="22"/>
          <w:lang w:val="es-ES"/>
        </w:rPr>
        <w:t>llevar a cabo un examen de los efectos de los cambios en el área de distribución de las especies migratorias sobre el funcionamiento de los ecosistemas, entre otras cosas por la pérdida e introducción de especies migratorias y sus servicios ecosistémicos asociados, así como las posibles repercusiones políticas;</w:t>
      </w:r>
    </w:p>
    <w:p w14:paraId="01EBED9D" w14:textId="77777777" w:rsidR="00653282" w:rsidRPr="006573E6" w:rsidRDefault="00653282" w:rsidP="0007405E">
      <w:pPr>
        <w:pStyle w:val="ListParagraph"/>
        <w:widowControl/>
        <w:rPr>
          <w:rFonts w:ascii="Arial" w:hAnsi="Arial" w:cs="Arial"/>
          <w:sz w:val="22"/>
          <w:szCs w:val="22"/>
          <w:lang w:val="es-ES"/>
        </w:rPr>
      </w:pPr>
    </w:p>
    <w:p w14:paraId="53075083" w14:textId="77777777" w:rsidR="00653282" w:rsidRPr="006573E6" w:rsidRDefault="00653282" w:rsidP="0007405E">
      <w:pPr>
        <w:pStyle w:val="ListParagraph"/>
        <w:widowControl/>
        <w:numPr>
          <w:ilvl w:val="0"/>
          <w:numId w:val="12"/>
        </w:numPr>
        <w:suppressAutoHyphens w:val="0"/>
        <w:autoSpaceDE/>
        <w:autoSpaceDN/>
        <w:ind w:left="1440" w:hanging="540"/>
        <w:jc w:val="both"/>
        <w:textAlignment w:val="auto"/>
        <w:rPr>
          <w:rFonts w:ascii="Arial" w:hAnsi="Arial" w:cs="Arial"/>
          <w:sz w:val="22"/>
          <w:szCs w:val="22"/>
          <w:lang w:val="es-ES"/>
        </w:rPr>
      </w:pPr>
      <w:bookmarkStart w:id="1" w:name="_Hlk205807362"/>
      <w:r w:rsidRPr="006573E6">
        <w:rPr>
          <w:rFonts w:ascii="Arial" w:hAnsi="Arial" w:cs="Arial"/>
          <w:sz w:val="22"/>
          <w:szCs w:val="22"/>
          <w:lang w:val="es-ES"/>
        </w:rPr>
        <w:t xml:space="preserve">elaborar estudios de casos con el fin de: </w:t>
      </w:r>
    </w:p>
    <w:p w14:paraId="5AA89F70" w14:textId="77777777" w:rsidR="00653282" w:rsidRPr="006573E6" w:rsidRDefault="00653282" w:rsidP="0007405E">
      <w:pPr>
        <w:pStyle w:val="ListParagraph"/>
        <w:widowControl/>
        <w:rPr>
          <w:rFonts w:ascii="Arial" w:hAnsi="Arial" w:cs="Arial"/>
          <w:sz w:val="22"/>
          <w:szCs w:val="22"/>
          <w:lang w:val="es-ES"/>
        </w:rPr>
      </w:pPr>
    </w:p>
    <w:p w14:paraId="11F9611C" w14:textId="77777777" w:rsidR="00653282" w:rsidRPr="006573E6" w:rsidRDefault="00653282" w:rsidP="0007405E">
      <w:pPr>
        <w:pStyle w:val="ListParagraph"/>
        <w:widowControl/>
        <w:numPr>
          <w:ilvl w:val="0"/>
          <w:numId w:val="14"/>
        </w:numPr>
        <w:suppressAutoHyphens w:val="0"/>
        <w:autoSpaceDE/>
        <w:autoSpaceDN/>
        <w:ind w:left="1800"/>
        <w:jc w:val="both"/>
        <w:textAlignment w:val="auto"/>
        <w:rPr>
          <w:rFonts w:ascii="Arial" w:hAnsi="Arial" w:cs="Arial"/>
          <w:sz w:val="22"/>
          <w:szCs w:val="22"/>
          <w:lang w:val="es-ES"/>
        </w:rPr>
      </w:pPr>
      <w:r w:rsidRPr="006573E6">
        <w:rPr>
          <w:rFonts w:ascii="Arial" w:hAnsi="Arial" w:cs="Arial"/>
          <w:sz w:val="22"/>
          <w:szCs w:val="22"/>
          <w:lang w:val="es-ES"/>
        </w:rPr>
        <w:t xml:space="preserve">mostrar cómo las especies migratorias se han adaptado a las barreras a la migración en el contexto de su adaptación al cambio climático, y cómo las intervenciones de gestión han ayudado a las especies migratorias a superar dichas </w:t>
      </w:r>
      <w:bookmarkEnd w:id="1"/>
      <w:r w:rsidRPr="006573E6">
        <w:rPr>
          <w:rFonts w:ascii="Arial" w:hAnsi="Arial" w:cs="Arial"/>
          <w:sz w:val="22"/>
          <w:szCs w:val="22"/>
          <w:lang w:val="es-ES"/>
        </w:rPr>
        <w:t>barreras;</w:t>
      </w:r>
    </w:p>
    <w:p w14:paraId="270F2559" w14:textId="77777777" w:rsidR="00653282" w:rsidRPr="006573E6" w:rsidRDefault="00653282" w:rsidP="0007405E">
      <w:pPr>
        <w:pStyle w:val="ListParagraph"/>
        <w:widowControl/>
        <w:ind w:left="1701" w:hanging="283"/>
        <w:jc w:val="both"/>
        <w:rPr>
          <w:rFonts w:ascii="Arial" w:hAnsi="Arial" w:cs="Arial"/>
          <w:sz w:val="22"/>
          <w:szCs w:val="22"/>
          <w:lang w:val="es-ES"/>
        </w:rPr>
      </w:pPr>
    </w:p>
    <w:p w14:paraId="0B188753" w14:textId="77777777" w:rsidR="00653282" w:rsidRPr="006573E6" w:rsidRDefault="00653282" w:rsidP="0007405E">
      <w:pPr>
        <w:pStyle w:val="ListParagraph"/>
        <w:widowControl/>
        <w:numPr>
          <w:ilvl w:val="0"/>
          <w:numId w:val="14"/>
        </w:numPr>
        <w:suppressAutoHyphens w:val="0"/>
        <w:autoSpaceDE/>
        <w:autoSpaceDN/>
        <w:ind w:left="1800"/>
        <w:jc w:val="both"/>
        <w:textAlignment w:val="auto"/>
        <w:rPr>
          <w:rFonts w:ascii="Arial" w:hAnsi="Arial" w:cs="Arial"/>
          <w:sz w:val="22"/>
          <w:szCs w:val="22"/>
          <w:lang w:val="es-ES"/>
        </w:rPr>
      </w:pPr>
      <w:r w:rsidRPr="006573E6">
        <w:rPr>
          <w:rFonts w:ascii="Arial" w:hAnsi="Arial" w:cs="Arial"/>
          <w:sz w:val="22"/>
          <w:szCs w:val="22"/>
          <w:lang w:val="es-ES"/>
        </w:rPr>
        <w:t>demostrar medidas eficaces para prepararse y responder a fenómenos climáticos extremos que probablemente puedan afectar a especies migratorias vulnerables, incluidos sistemas de alerta temprana y protocolos de respuesta;</w:t>
      </w:r>
    </w:p>
    <w:p w14:paraId="470C3346" w14:textId="77777777" w:rsidR="00653282" w:rsidRPr="006573E6" w:rsidRDefault="00653282" w:rsidP="0007405E">
      <w:pPr>
        <w:pStyle w:val="ListParagraph"/>
        <w:widowControl/>
        <w:ind w:left="0"/>
        <w:rPr>
          <w:rFonts w:ascii="Arial" w:hAnsi="Arial" w:cs="Arial"/>
          <w:sz w:val="22"/>
          <w:szCs w:val="22"/>
          <w:lang w:val="es-ES"/>
        </w:rPr>
      </w:pPr>
    </w:p>
    <w:p w14:paraId="3A17E025" w14:textId="77777777" w:rsidR="00653282" w:rsidRPr="006573E6" w:rsidRDefault="00653282" w:rsidP="0007405E">
      <w:pPr>
        <w:pStyle w:val="ListParagraph"/>
        <w:widowControl/>
        <w:numPr>
          <w:ilvl w:val="0"/>
          <w:numId w:val="12"/>
        </w:numPr>
        <w:suppressAutoHyphens w:val="0"/>
        <w:adjustRightInd w:val="0"/>
        <w:ind w:left="1440" w:hanging="540"/>
        <w:jc w:val="both"/>
        <w:textAlignment w:val="auto"/>
        <w:rPr>
          <w:rFonts w:ascii="Arial" w:hAnsi="Arial" w:cs="Arial"/>
          <w:color w:val="000000" w:themeColor="text1"/>
          <w:sz w:val="22"/>
          <w:szCs w:val="22"/>
          <w:lang w:val="es-ES"/>
        </w:rPr>
      </w:pPr>
      <w:r w:rsidRPr="006573E6">
        <w:rPr>
          <w:rFonts w:ascii="Arial" w:hAnsi="Arial" w:cs="Arial"/>
          <w:sz w:val="22"/>
          <w:szCs w:val="22"/>
          <w:lang w:val="es-ES"/>
        </w:rPr>
        <w:t xml:space="preserve">organizar seminarios web en los que se describan las sinergias entre la conservación de las especies migratorias y la consecución de objetivos y metas internacionales más amplios, incluidas las opciones de respuesta de la </w:t>
      </w:r>
      <w:r w:rsidRPr="006573E6">
        <w:rPr>
          <w:rFonts w:ascii="Arial" w:hAnsi="Arial" w:cs="Arial"/>
          <w:color w:val="000000" w:themeColor="text1"/>
          <w:sz w:val="22"/>
          <w:szCs w:val="22"/>
          <w:lang w:val="es-ES"/>
        </w:rPr>
        <w:t>Evaluación del Nexo de la IPBES;</w:t>
      </w:r>
    </w:p>
    <w:p w14:paraId="40FEAB81" w14:textId="77777777" w:rsidR="00653282" w:rsidRPr="006573E6" w:rsidRDefault="00653282" w:rsidP="0007405E">
      <w:pPr>
        <w:pStyle w:val="ListParagraph"/>
        <w:widowControl/>
        <w:adjustRightInd w:val="0"/>
        <w:ind w:left="1440" w:hanging="540"/>
        <w:jc w:val="both"/>
        <w:rPr>
          <w:rFonts w:ascii="Arial" w:hAnsi="Arial" w:cs="Arial"/>
          <w:sz w:val="22"/>
          <w:szCs w:val="22"/>
          <w:lang w:val="es-ES"/>
        </w:rPr>
      </w:pPr>
    </w:p>
    <w:p w14:paraId="05065952" w14:textId="77777777" w:rsidR="00653282" w:rsidRPr="006573E6" w:rsidRDefault="00653282" w:rsidP="0007405E">
      <w:pPr>
        <w:pStyle w:val="ListParagraph"/>
        <w:widowControl/>
        <w:numPr>
          <w:ilvl w:val="0"/>
          <w:numId w:val="12"/>
        </w:numPr>
        <w:suppressAutoHyphens w:val="0"/>
        <w:adjustRightInd w:val="0"/>
        <w:ind w:left="1440" w:hanging="540"/>
        <w:jc w:val="both"/>
        <w:textAlignment w:val="auto"/>
        <w:rPr>
          <w:rFonts w:ascii="Arial" w:hAnsi="Arial" w:cs="Arial"/>
          <w:sz w:val="22"/>
          <w:szCs w:val="22"/>
          <w:lang w:val="es-ES"/>
        </w:rPr>
      </w:pPr>
      <w:r w:rsidRPr="006573E6">
        <w:rPr>
          <w:rFonts w:ascii="Arial" w:hAnsi="Arial" w:cs="Arial"/>
          <w:sz w:val="22"/>
          <w:szCs w:val="22"/>
          <w:lang w:val="es-ES"/>
        </w:rPr>
        <w:t>impulsar el intercambio de conocimientos y la colaboración entre los Grupos de Trabajo del Consejo Científico de la CMS sobre el Cambio Climático y sobre la Conectividad Ecológica en áreas de trabajo comunes;</w:t>
      </w:r>
    </w:p>
    <w:p w14:paraId="5F9D5004" w14:textId="77777777" w:rsidR="00653282" w:rsidRPr="006573E6" w:rsidRDefault="00653282" w:rsidP="0007405E">
      <w:pPr>
        <w:pStyle w:val="ListParagraph"/>
        <w:widowControl/>
        <w:ind w:left="1440" w:hanging="540"/>
        <w:rPr>
          <w:rFonts w:ascii="Arial" w:hAnsi="Arial" w:cs="Arial"/>
          <w:sz w:val="22"/>
          <w:szCs w:val="22"/>
          <w:lang w:val="es-ES"/>
        </w:rPr>
      </w:pPr>
    </w:p>
    <w:p w14:paraId="31139042" w14:textId="77777777" w:rsidR="00653282" w:rsidRPr="006573E6" w:rsidRDefault="00653282" w:rsidP="0007405E">
      <w:pPr>
        <w:pStyle w:val="ListParagraph"/>
        <w:widowControl/>
        <w:numPr>
          <w:ilvl w:val="0"/>
          <w:numId w:val="12"/>
        </w:numPr>
        <w:suppressAutoHyphens w:val="0"/>
        <w:adjustRightInd w:val="0"/>
        <w:ind w:left="1440" w:hanging="540"/>
        <w:jc w:val="both"/>
        <w:textAlignment w:val="auto"/>
        <w:rPr>
          <w:rFonts w:ascii="Arial" w:hAnsi="Arial" w:cs="Arial"/>
          <w:sz w:val="22"/>
          <w:szCs w:val="22"/>
          <w:lang w:val="es-ES"/>
        </w:rPr>
      </w:pPr>
      <w:r w:rsidRPr="006573E6">
        <w:rPr>
          <w:rFonts w:ascii="Arial" w:hAnsi="Arial" w:cs="Arial"/>
          <w:sz w:val="22"/>
          <w:szCs w:val="22"/>
          <w:lang w:val="es-ES"/>
        </w:rPr>
        <w:t>identificar las superposiciones entre las actividades de la CMS relacionadas con las especies migratorias y el cambio climático y las de los acuerdos multilaterales sobre el medio ambiente (</w:t>
      </w:r>
      <w:r w:rsidRPr="006573E6">
        <w:rPr>
          <w:rFonts w:ascii="Arial" w:hAnsi="Arial" w:cs="Arial"/>
          <w:color w:val="000000" w:themeColor="text1"/>
          <w:sz w:val="22"/>
          <w:szCs w:val="22"/>
          <w:lang w:val="es-ES"/>
        </w:rPr>
        <w:t>AMUMA)</w:t>
      </w:r>
      <w:r w:rsidRPr="006573E6">
        <w:rPr>
          <w:rFonts w:ascii="Arial" w:hAnsi="Arial" w:cs="Arial"/>
          <w:sz w:val="22"/>
          <w:szCs w:val="22"/>
          <w:lang w:val="es-ES"/>
        </w:rPr>
        <w:t xml:space="preserve"> relacionados, incluyendo tanto las sinergias como las compensaciones; </w:t>
      </w:r>
    </w:p>
    <w:p w14:paraId="5691EF8B" w14:textId="77777777" w:rsidR="00653282" w:rsidRPr="006573E6" w:rsidRDefault="00653282" w:rsidP="0007405E">
      <w:pPr>
        <w:pStyle w:val="ListParagraph"/>
        <w:widowControl/>
        <w:ind w:left="1440" w:hanging="540"/>
        <w:rPr>
          <w:rFonts w:ascii="Arial" w:hAnsi="Arial" w:cs="Arial"/>
          <w:sz w:val="22"/>
          <w:szCs w:val="22"/>
          <w:lang w:val="es-ES"/>
        </w:rPr>
      </w:pPr>
    </w:p>
    <w:p w14:paraId="379F90D9" w14:textId="77777777" w:rsidR="00653282" w:rsidRPr="006573E6" w:rsidRDefault="00653282" w:rsidP="0007405E">
      <w:pPr>
        <w:pStyle w:val="ListParagraph"/>
        <w:widowControl/>
        <w:numPr>
          <w:ilvl w:val="0"/>
          <w:numId w:val="12"/>
        </w:numPr>
        <w:suppressAutoHyphens w:val="0"/>
        <w:autoSpaceDE/>
        <w:autoSpaceDN/>
        <w:ind w:left="1440" w:hanging="540"/>
        <w:jc w:val="both"/>
        <w:textAlignment w:val="auto"/>
        <w:rPr>
          <w:rFonts w:ascii="Arial" w:hAnsi="Arial" w:cs="Arial"/>
          <w:sz w:val="22"/>
          <w:szCs w:val="22"/>
          <w:lang w:val="es-ES"/>
        </w:rPr>
      </w:pPr>
      <w:r w:rsidRPr="006573E6">
        <w:rPr>
          <w:rFonts w:ascii="Arial" w:hAnsi="Arial" w:cs="Arial"/>
          <w:sz w:val="22"/>
          <w:szCs w:val="22"/>
          <w:lang w:val="es-ES"/>
        </w:rPr>
        <w:t xml:space="preserve">elaborar hojas informativas sobre los beneficios de la conservación de las especies migratorias para la aplicación de los objetivos y metas de otros AMUMA, adaptadas a diferentes públicos; </w:t>
      </w:r>
    </w:p>
    <w:p w14:paraId="7F849724" w14:textId="77777777" w:rsidR="00653282" w:rsidRPr="006573E6" w:rsidRDefault="00653282" w:rsidP="0007405E">
      <w:pPr>
        <w:pStyle w:val="ListParagraph"/>
        <w:widowControl/>
        <w:ind w:left="1440" w:hanging="540"/>
        <w:jc w:val="both"/>
        <w:rPr>
          <w:rFonts w:ascii="Arial" w:hAnsi="Arial" w:cs="Arial"/>
          <w:sz w:val="22"/>
          <w:szCs w:val="22"/>
          <w:lang w:val="es-ES"/>
        </w:rPr>
      </w:pPr>
    </w:p>
    <w:p w14:paraId="1CA736C4" w14:textId="77777777" w:rsidR="00653282" w:rsidRPr="006573E6" w:rsidRDefault="00653282" w:rsidP="0007405E">
      <w:pPr>
        <w:pStyle w:val="ListParagraph"/>
        <w:widowControl/>
        <w:numPr>
          <w:ilvl w:val="0"/>
          <w:numId w:val="12"/>
        </w:numPr>
        <w:suppressAutoHyphens w:val="0"/>
        <w:autoSpaceDE/>
        <w:autoSpaceDN/>
        <w:ind w:left="1440" w:hanging="540"/>
        <w:textAlignment w:val="auto"/>
        <w:rPr>
          <w:rFonts w:ascii="Arial" w:hAnsi="Arial" w:cs="Arial"/>
          <w:sz w:val="22"/>
          <w:szCs w:val="22"/>
          <w:lang w:val="es-ES"/>
        </w:rPr>
      </w:pPr>
      <w:r w:rsidRPr="006573E6">
        <w:rPr>
          <w:rFonts w:ascii="Arial" w:hAnsi="Arial" w:cs="Arial"/>
          <w:sz w:val="22"/>
          <w:szCs w:val="22"/>
          <w:lang w:val="es-ES"/>
        </w:rPr>
        <w:t>abordar las preocupaciones de los jóvenes en los debates relacionados con las especies migratorias y el cambio climático;</w:t>
      </w:r>
    </w:p>
    <w:p w14:paraId="55ECCC40" w14:textId="77777777" w:rsidR="00653282" w:rsidRPr="006573E6" w:rsidRDefault="00653282" w:rsidP="0007405E">
      <w:pPr>
        <w:pStyle w:val="ListParagraph"/>
        <w:widowControl/>
        <w:ind w:left="1440"/>
        <w:rPr>
          <w:rFonts w:ascii="Arial" w:hAnsi="Arial" w:cs="Arial"/>
          <w:sz w:val="22"/>
          <w:szCs w:val="22"/>
          <w:lang w:val="es-ES"/>
        </w:rPr>
      </w:pPr>
    </w:p>
    <w:p w14:paraId="7864A54A" w14:textId="77777777" w:rsidR="00653282" w:rsidRPr="006573E6" w:rsidRDefault="00653282" w:rsidP="0007405E">
      <w:pPr>
        <w:pStyle w:val="ListParagraph"/>
        <w:widowControl/>
        <w:numPr>
          <w:ilvl w:val="0"/>
          <w:numId w:val="12"/>
        </w:numPr>
        <w:suppressAutoHyphens w:val="0"/>
        <w:autoSpaceDE/>
        <w:autoSpaceDN/>
        <w:ind w:left="1440" w:hanging="540"/>
        <w:jc w:val="both"/>
        <w:textAlignment w:val="auto"/>
        <w:rPr>
          <w:rFonts w:ascii="Arial" w:hAnsi="Arial" w:cs="Arial"/>
          <w:sz w:val="22"/>
          <w:szCs w:val="22"/>
          <w:lang w:val="es-ES"/>
        </w:rPr>
      </w:pPr>
      <w:r w:rsidRPr="006573E6">
        <w:rPr>
          <w:rFonts w:ascii="Arial" w:hAnsi="Arial" w:cs="Arial"/>
          <w:sz w:val="22"/>
          <w:szCs w:val="22"/>
          <w:lang w:val="es-ES"/>
        </w:rPr>
        <w:t>a través del «Grupo de Trabajo sobre Especies Migratorias y Salud» y del «Grupo de Trabajo sobre el Cambio Climático», así como de otras líneas de trabajo pertinentes de los acuerdos de la familia de la CMS, recopilar y debatir conjuntamente medidas para supervisar, prevenir y mitigar los episodios de mortalidad masiva de poblaciones de especies migratorias, e identificar las acciones que pueden adoptarse al respecto.</w:t>
      </w:r>
    </w:p>
    <w:p w14:paraId="4825F341" w14:textId="77777777" w:rsidR="00653282" w:rsidRPr="006573E6" w:rsidRDefault="00653282" w:rsidP="0007405E">
      <w:pPr>
        <w:pStyle w:val="ListParagraph"/>
        <w:widowControl/>
        <w:ind w:left="0"/>
        <w:rPr>
          <w:rFonts w:ascii="Arial" w:hAnsi="Arial" w:cs="Arial"/>
          <w:sz w:val="22"/>
          <w:szCs w:val="22"/>
          <w:lang w:val="es-ES"/>
        </w:rPr>
      </w:pPr>
    </w:p>
    <w:p w14:paraId="72F1E9B0" w14:textId="77777777" w:rsidR="00653282" w:rsidRPr="006573E6" w:rsidRDefault="00653282" w:rsidP="0007405E">
      <w:pPr>
        <w:widowControl/>
        <w:jc w:val="both"/>
        <w:rPr>
          <w:rFonts w:ascii="Arial" w:hAnsi="Arial" w:cs="Arial"/>
          <w:b/>
          <w:i/>
          <w:sz w:val="22"/>
          <w:szCs w:val="22"/>
          <w:lang w:val="es-ES"/>
        </w:rPr>
      </w:pPr>
      <w:r w:rsidRPr="006573E6">
        <w:rPr>
          <w:rFonts w:ascii="Arial" w:hAnsi="Arial" w:cs="Arial"/>
          <w:b/>
          <w:i/>
          <w:sz w:val="22"/>
          <w:szCs w:val="22"/>
          <w:lang w:val="es-ES"/>
        </w:rPr>
        <w:t xml:space="preserve">Dirigido a la Secretaría </w:t>
      </w:r>
    </w:p>
    <w:p w14:paraId="459F066A" w14:textId="77777777" w:rsidR="00653282" w:rsidRPr="006573E6" w:rsidRDefault="00653282" w:rsidP="0007405E">
      <w:pPr>
        <w:widowControl/>
        <w:jc w:val="both"/>
        <w:rPr>
          <w:rFonts w:ascii="Arial" w:hAnsi="Arial" w:cs="Arial"/>
          <w:b/>
          <w:i/>
          <w:sz w:val="22"/>
          <w:szCs w:val="22"/>
          <w:lang w:val="es-ES"/>
        </w:rPr>
      </w:pPr>
    </w:p>
    <w:p w14:paraId="00C5E58E" w14:textId="77777777" w:rsidR="00653282" w:rsidRPr="006573E6" w:rsidRDefault="00653282" w:rsidP="0007405E">
      <w:pPr>
        <w:widowControl/>
        <w:ind w:left="900" w:hanging="900"/>
        <w:jc w:val="both"/>
        <w:rPr>
          <w:rFonts w:ascii="Arial" w:hAnsi="Arial" w:cs="Arial"/>
          <w:sz w:val="22"/>
          <w:szCs w:val="22"/>
          <w:lang w:val="es-ES"/>
        </w:rPr>
      </w:pPr>
      <w:r w:rsidRPr="006573E6">
        <w:rPr>
          <w:rFonts w:ascii="Arial" w:hAnsi="Arial" w:cs="Arial"/>
          <w:sz w:val="22"/>
          <w:szCs w:val="22"/>
          <w:lang w:val="es-ES"/>
        </w:rPr>
        <w:t>15. DD</w:t>
      </w:r>
      <w:r w:rsidRPr="006573E6">
        <w:rPr>
          <w:rFonts w:ascii="Arial" w:hAnsi="Arial" w:cs="Arial"/>
          <w:sz w:val="22"/>
          <w:szCs w:val="22"/>
          <w:lang w:val="es-ES"/>
        </w:rPr>
        <w:tab/>
        <w:t>La Secretaría, con sujeción a la disponibilidad de recursos, deberá:</w:t>
      </w:r>
    </w:p>
    <w:p w14:paraId="43043248" w14:textId="77777777" w:rsidR="00653282" w:rsidRPr="006573E6" w:rsidRDefault="00653282" w:rsidP="0007405E">
      <w:pPr>
        <w:widowControl/>
        <w:ind w:left="900" w:hanging="900"/>
        <w:jc w:val="both"/>
        <w:rPr>
          <w:rFonts w:ascii="Arial" w:hAnsi="Arial" w:cs="Arial"/>
          <w:sz w:val="22"/>
          <w:szCs w:val="22"/>
          <w:lang w:val="es-ES"/>
        </w:rPr>
      </w:pPr>
    </w:p>
    <w:p w14:paraId="1309C8C1" w14:textId="77777777" w:rsidR="00653282" w:rsidRPr="006573E6" w:rsidRDefault="00653282" w:rsidP="0007405E">
      <w:pPr>
        <w:pStyle w:val="ListParagraph"/>
        <w:widowControl/>
        <w:numPr>
          <w:ilvl w:val="0"/>
          <w:numId w:val="15"/>
        </w:numPr>
        <w:suppressAutoHyphens w:val="0"/>
        <w:autoSpaceDE/>
        <w:autoSpaceDN/>
        <w:ind w:left="1440" w:hanging="540"/>
        <w:jc w:val="both"/>
        <w:textAlignment w:val="auto"/>
        <w:rPr>
          <w:rFonts w:ascii="Arial" w:hAnsi="Arial" w:cs="Arial"/>
          <w:sz w:val="22"/>
          <w:szCs w:val="22"/>
          <w:lang w:val="es-ES"/>
        </w:rPr>
      </w:pPr>
      <w:r w:rsidRPr="006573E6">
        <w:rPr>
          <w:rFonts w:ascii="Arial" w:hAnsi="Arial" w:cs="Arial"/>
          <w:sz w:val="22"/>
          <w:szCs w:val="22"/>
          <w:lang w:val="es-ES"/>
        </w:rPr>
        <w:t>prestar apoyo al Consejo Científico en la aplicación de la Decisión 15.CC;</w:t>
      </w:r>
    </w:p>
    <w:p w14:paraId="796755D2" w14:textId="77777777" w:rsidR="00653282" w:rsidRPr="006573E6" w:rsidRDefault="00653282" w:rsidP="0007405E">
      <w:pPr>
        <w:pStyle w:val="ListParagraph"/>
        <w:widowControl/>
        <w:ind w:left="1440" w:hanging="540"/>
        <w:jc w:val="both"/>
        <w:rPr>
          <w:rFonts w:ascii="Arial" w:hAnsi="Arial" w:cs="Arial"/>
          <w:sz w:val="22"/>
          <w:szCs w:val="22"/>
          <w:lang w:val="es-ES"/>
        </w:rPr>
      </w:pPr>
    </w:p>
    <w:p w14:paraId="0C5464F5" w14:textId="77777777" w:rsidR="00653282" w:rsidRPr="006573E6" w:rsidRDefault="00653282" w:rsidP="0007405E">
      <w:pPr>
        <w:pStyle w:val="ListParagraph"/>
        <w:widowControl/>
        <w:numPr>
          <w:ilvl w:val="0"/>
          <w:numId w:val="15"/>
        </w:numPr>
        <w:suppressAutoHyphens w:val="0"/>
        <w:adjustRightInd w:val="0"/>
        <w:ind w:left="1440" w:hanging="540"/>
        <w:jc w:val="both"/>
        <w:textAlignment w:val="auto"/>
        <w:rPr>
          <w:rFonts w:ascii="Arial" w:hAnsi="Arial" w:cs="Arial"/>
          <w:sz w:val="22"/>
          <w:szCs w:val="22"/>
          <w:lang w:val="es-ES"/>
        </w:rPr>
      </w:pPr>
      <w:r w:rsidRPr="006573E6">
        <w:rPr>
          <w:rFonts w:ascii="Arial" w:hAnsi="Arial" w:cs="Arial"/>
          <w:sz w:val="22"/>
          <w:szCs w:val="22"/>
          <w:lang w:val="es-ES"/>
        </w:rPr>
        <w:t xml:space="preserve">señalar a la atención del Consejo Científico todo estudio de caso que compartan las Partes en virtud de la Decisión 15.AA; </w:t>
      </w:r>
    </w:p>
    <w:p w14:paraId="1CB1D4A9" w14:textId="77777777" w:rsidR="00653282" w:rsidRPr="006573E6" w:rsidRDefault="00653282" w:rsidP="0007405E">
      <w:pPr>
        <w:pStyle w:val="ListParagraph"/>
        <w:widowControl/>
        <w:ind w:left="1440" w:hanging="540"/>
        <w:jc w:val="both"/>
        <w:rPr>
          <w:rFonts w:ascii="Arial" w:hAnsi="Arial" w:cs="Arial"/>
          <w:sz w:val="22"/>
          <w:szCs w:val="22"/>
          <w:lang w:val="es-ES"/>
        </w:rPr>
      </w:pPr>
    </w:p>
    <w:p w14:paraId="6D382013" w14:textId="77777777" w:rsidR="00653282" w:rsidRPr="006573E6" w:rsidRDefault="00653282" w:rsidP="0007405E">
      <w:pPr>
        <w:pStyle w:val="ListParagraph"/>
        <w:widowControl/>
        <w:numPr>
          <w:ilvl w:val="0"/>
          <w:numId w:val="15"/>
        </w:numPr>
        <w:suppressAutoHyphens w:val="0"/>
        <w:adjustRightInd w:val="0"/>
        <w:ind w:left="1440" w:hanging="540"/>
        <w:contextualSpacing w:val="0"/>
        <w:jc w:val="both"/>
        <w:textAlignment w:val="auto"/>
        <w:rPr>
          <w:rFonts w:ascii="Arial" w:hAnsi="Arial" w:cs="Arial"/>
          <w:sz w:val="22"/>
          <w:szCs w:val="22"/>
          <w:lang w:val="es-ES"/>
        </w:rPr>
      </w:pPr>
      <w:r w:rsidRPr="006573E6">
        <w:rPr>
          <w:rFonts w:ascii="Arial" w:hAnsi="Arial" w:cs="Arial"/>
          <w:sz w:val="22"/>
          <w:szCs w:val="22"/>
          <w:lang w:val="es-ES"/>
        </w:rPr>
        <w:t>recopilar y señalar a la atención del Consejo Científico todo comentario que hagan las Partes, las organizaciones intergubernamentales y no gubernamentales sobre su experiencia en el uso de los materiales de orientación y las recomendaciones a que se refiere la Decisión 15.BB;</w:t>
      </w:r>
    </w:p>
    <w:p w14:paraId="1D335A16" w14:textId="77777777" w:rsidR="00653282" w:rsidRPr="006573E6" w:rsidRDefault="00653282" w:rsidP="0007405E">
      <w:pPr>
        <w:pStyle w:val="ListParagraph"/>
        <w:widowControl/>
        <w:adjustRightInd w:val="0"/>
        <w:ind w:left="1440"/>
        <w:contextualSpacing w:val="0"/>
        <w:jc w:val="both"/>
        <w:rPr>
          <w:rFonts w:ascii="Arial" w:hAnsi="Arial" w:cs="Arial"/>
          <w:sz w:val="22"/>
          <w:szCs w:val="22"/>
          <w:lang w:val="es-ES"/>
        </w:rPr>
      </w:pPr>
    </w:p>
    <w:p w14:paraId="5613C818" w14:textId="77777777" w:rsidR="00653282" w:rsidRPr="006573E6" w:rsidRDefault="00653282" w:rsidP="00B86CC1">
      <w:pPr>
        <w:pStyle w:val="ListParagraph"/>
        <w:widowControl/>
        <w:numPr>
          <w:ilvl w:val="0"/>
          <w:numId w:val="15"/>
        </w:numPr>
        <w:suppressAutoHyphens w:val="0"/>
        <w:autoSpaceDE/>
        <w:autoSpaceDN/>
        <w:ind w:left="1412" w:hanging="562"/>
        <w:contextualSpacing w:val="0"/>
        <w:jc w:val="both"/>
        <w:textAlignment w:val="auto"/>
        <w:rPr>
          <w:rFonts w:ascii="Arial" w:hAnsi="Arial" w:cs="Arial"/>
          <w:sz w:val="22"/>
          <w:szCs w:val="22"/>
          <w:lang w:val="es-ES"/>
        </w:rPr>
      </w:pPr>
      <w:r w:rsidRPr="006573E6">
        <w:rPr>
          <w:rFonts w:ascii="Arial" w:hAnsi="Arial" w:cs="Arial"/>
          <w:sz w:val="22"/>
          <w:szCs w:val="22"/>
          <w:lang w:val="es-ES"/>
        </w:rPr>
        <w:t>colaborar y cooperar con otros AMUMA y organizaciones, entre ellos en particular la Convención Marco de las Naciones Unidas sobre el Cambio Climático, el Convenio sobre la Diversidad Biológica, la Comisión Ballenera Internacional (CBI), la Convención de Ramsar, la Convención de las Naciones Unidas de Lucha contra la Desertificación, la Plataforma Intergubernamental Científico-Normativa sobre Diversidad Biológica y Servicios de los Ecosistemas, el Grupo Intergubernamental de Expertos sobre el Cambio Climático y la UICN, en las reuniones pertinentes, para proporcionar información sobre el cambio climático y las especies migratorias, e invitar a las Partes a reforzar la coordinación entre los coordinadores de los AMUMA.</w:t>
      </w:r>
    </w:p>
    <w:p w14:paraId="4FF03335" w14:textId="77777777" w:rsidR="00653282" w:rsidRPr="006573E6" w:rsidRDefault="00653282" w:rsidP="0007405E">
      <w:pPr>
        <w:widowControl/>
        <w:adjustRightInd w:val="0"/>
        <w:jc w:val="both"/>
        <w:rPr>
          <w:rFonts w:ascii="Arial" w:hAnsi="Arial" w:cs="Arial"/>
          <w:color w:val="000000" w:themeColor="text1"/>
          <w:sz w:val="22"/>
          <w:szCs w:val="22"/>
          <w:lang w:val="es-ES"/>
        </w:rPr>
      </w:pPr>
    </w:p>
    <w:p w14:paraId="456FF81A" w14:textId="595245AE" w:rsidR="00400B84" w:rsidRPr="006573E6" w:rsidRDefault="00400B84" w:rsidP="0007405E">
      <w:pPr>
        <w:widowControl/>
        <w:suppressAutoHyphens w:val="0"/>
        <w:autoSpaceDE/>
        <w:autoSpaceDN/>
        <w:jc w:val="center"/>
        <w:textAlignment w:val="auto"/>
        <w:rPr>
          <w:rFonts w:ascii="Arial" w:eastAsiaTheme="minorHAnsi" w:hAnsi="Arial" w:cs="Arial"/>
          <w:sz w:val="22"/>
          <w:szCs w:val="22"/>
          <w:lang w:val="es-ES"/>
        </w:rPr>
      </w:pPr>
    </w:p>
    <w:sectPr w:rsidR="00400B84" w:rsidRPr="006573E6" w:rsidSect="004F6438">
      <w:headerReference w:type="first" r:id="rId23"/>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0BE99" w14:textId="77777777" w:rsidR="00F85E26" w:rsidRDefault="00F85E26">
      <w:r>
        <w:separator/>
      </w:r>
    </w:p>
  </w:endnote>
  <w:endnote w:type="continuationSeparator" w:id="0">
    <w:p w14:paraId="4DA38C87" w14:textId="77777777" w:rsidR="00F85E26" w:rsidRDefault="00F85E26">
      <w:r>
        <w:continuationSeparator/>
      </w:r>
    </w:p>
  </w:endnote>
  <w:endnote w:type="continuationNotice" w:id="1">
    <w:p w14:paraId="09908184" w14:textId="77777777" w:rsidR="00F85E26" w:rsidRDefault="00F85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FFAD" w14:textId="5CD07628" w:rsidR="004F6438" w:rsidRPr="004F6438" w:rsidRDefault="004F6438">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375005"/>
      <w:docPartObj>
        <w:docPartGallery w:val="Page Numbers (Bottom of Page)"/>
        <w:docPartUnique/>
      </w:docPartObj>
    </w:sdtPr>
    <w:sdtEndPr>
      <w:rPr>
        <w:rFonts w:ascii="Arial" w:hAnsi="Arial" w:cs="Arial"/>
        <w:noProof/>
        <w:sz w:val="18"/>
        <w:szCs w:val="18"/>
      </w:rPr>
    </w:sdtEndPr>
    <w:sdtContent>
      <w:p w14:paraId="13EF26AF" w14:textId="1D6EF61D" w:rsidR="00B86CC1" w:rsidRPr="00B86CC1" w:rsidRDefault="00B86CC1">
        <w:pPr>
          <w:pStyle w:val="Footer"/>
          <w:jc w:val="center"/>
          <w:rPr>
            <w:rFonts w:ascii="Arial" w:hAnsi="Arial" w:cs="Arial"/>
            <w:sz w:val="18"/>
            <w:szCs w:val="18"/>
          </w:rPr>
        </w:pPr>
        <w:r w:rsidRPr="00B86CC1">
          <w:rPr>
            <w:rFonts w:ascii="Arial" w:hAnsi="Arial" w:cs="Arial"/>
            <w:sz w:val="18"/>
            <w:szCs w:val="18"/>
          </w:rPr>
          <w:fldChar w:fldCharType="begin"/>
        </w:r>
        <w:r w:rsidRPr="00B86CC1">
          <w:rPr>
            <w:rFonts w:ascii="Arial" w:hAnsi="Arial" w:cs="Arial"/>
            <w:sz w:val="18"/>
            <w:szCs w:val="18"/>
          </w:rPr>
          <w:instrText xml:space="preserve"> PAGE   \* MERGEFORMAT </w:instrText>
        </w:r>
        <w:r w:rsidRPr="00B86CC1">
          <w:rPr>
            <w:rFonts w:ascii="Arial" w:hAnsi="Arial" w:cs="Arial"/>
            <w:sz w:val="18"/>
            <w:szCs w:val="18"/>
          </w:rPr>
          <w:fldChar w:fldCharType="separate"/>
        </w:r>
        <w:r w:rsidRPr="00B86CC1">
          <w:rPr>
            <w:rFonts w:ascii="Arial" w:hAnsi="Arial" w:cs="Arial"/>
            <w:noProof/>
            <w:sz w:val="18"/>
            <w:szCs w:val="18"/>
          </w:rPr>
          <w:t>2</w:t>
        </w:r>
        <w:r w:rsidRPr="00B86CC1">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966F" w14:textId="77777777" w:rsidR="00F85E26" w:rsidRDefault="00F85E26">
      <w:r>
        <w:rPr>
          <w:color w:val="000000"/>
        </w:rPr>
        <w:separator/>
      </w:r>
    </w:p>
  </w:footnote>
  <w:footnote w:type="continuationSeparator" w:id="0">
    <w:p w14:paraId="356FF506" w14:textId="77777777" w:rsidR="00F85E26" w:rsidRDefault="00F85E26">
      <w:r>
        <w:continuationSeparator/>
      </w:r>
    </w:p>
  </w:footnote>
  <w:footnote w:type="continuationNotice" w:id="1">
    <w:p w14:paraId="628B2085" w14:textId="77777777" w:rsidR="00F85E26" w:rsidRDefault="00F85E26"/>
  </w:footnote>
  <w:footnote w:id="2">
    <w:p w14:paraId="012E18A3" w14:textId="77777777" w:rsidR="00653282" w:rsidRPr="00653282" w:rsidRDefault="00653282" w:rsidP="00653282">
      <w:pPr>
        <w:pStyle w:val="FootnoteText"/>
        <w:jc w:val="both"/>
        <w:rPr>
          <w:rFonts w:ascii="Arial" w:hAnsi="Arial" w:cs="Arial"/>
          <w:sz w:val="16"/>
          <w:szCs w:val="16"/>
          <w:lang w:val="es-ES"/>
        </w:rPr>
      </w:pPr>
      <w:r>
        <w:rPr>
          <w:rStyle w:val="FootnoteReference"/>
          <w:rFonts w:ascii="Arial" w:hAnsi="Arial" w:cs="Arial"/>
          <w:sz w:val="16"/>
          <w:szCs w:val="16"/>
        </w:rPr>
        <w:footnoteRef/>
      </w:r>
      <w:r w:rsidRPr="00653282">
        <w:rPr>
          <w:rFonts w:ascii="Arial" w:hAnsi="Arial"/>
          <w:sz w:val="16"/>
          <w:lang w:val="es-ES"/>
        </w:rPr>
        <w:t xml:space="preserve"> Las trayectorias socioeconómicas compartidas (SSP, por sus siglas en inglés) representan escenarios de cambio climático que modelizan la evolución socioeconómica mundial hasta el año 2100, de acuerdo con el Sexto Informe de Evaluación del IPCC publicado en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C4D8" w14:textId="7BEB7ED3" w:rsidR="004F6438" w:rsidRPr="005D574F" w:rsidRDefault="004F6438" w:rsidP="004F6438">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28.12</w:t>
    </w:r>
    <w:r w:rsidR="00397196">
      <w:rPr>
        <w:rFonts w:ascii="Arial" w:hAnsi="Arial" w:cs="Arial"/>
        <w:bCs/>
        <w:i/>
        <w:iCs/>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5FDD" w14:textId="5EE62A26" w:rsidR="004F6438" w:rsidRPr="005D574F" w:rsidRDefault="004F6438" w:rsidP="004F6438">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28.12</w:t>
    </w:r>
    <w:r w:rsidR="00397196">
      <w:rPr>
        <w:rFonts w:ascii="Arial" w:hAnsi="Arial" w:cs="Arial"/>
        <w:bCs/>
        <w:i/>
        <w:iCs/>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7EAAD943" w:rsidR="007A1066" w:rsidRPr="005D574F"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D574F">
      <w:rPr>
        <w:rFonts w:ascii="Arial" w:hAnsi="Arial" w:cs="Arial"/>
        <w:bCs/>
        <w:i/>
        <w:iCs/>
        <w:sz w:val="18"/>
        <w:szCs w:val="18"/>
        <w:lang w:val="en-GB"/>
      </w:rPr>
      <w:t>UNEP/CMS/COP1</w:t>
    </w:r>
    <w:r w:rsidR="00AB5285" w:rsidRPr="005D574F">
      <w:rPr>
        <w:rFonts w:ascii="Arial" w:hAnsi="Arial" w:cs="Arial"/>
        <w:bCs/>
        <w:i/>
        <w:iCs/>
        <w:sz w:val="18"/>
        <w:szCs w:val="18"/>
        <w:lang w:val="en-GB"/>
      </w:rPr>
      <w:t>5</w:t>
    </w:r>
    <w:r w:rsidRPr="005D574F">
      <w:rPr>
        <w:rFonts w:ascii="Arial" w:hAnsi="Arial" w:cs="Arial"/>
        <w:bCs/>
        <w:i/>
        <w:iCs/>
        <w:sz w:val="18"/>
        <w:szCs w:val="18"/>
        <w:lang w:val="en-GB"/>
      </w:rPr>
      <w:t>/CRP</w:t>
    </w:r>
    <w:r w:rsidR="00400B84">
      <w:rPr>
        <w:rFonts w:ascii="Arial" w:hAnsi="Arial" w:cs="Arial"/>
        <w:bCs/>
        <w:i/>
        <w:iCs/>
        <w:sz w:val="18"/>
        <w:szCs w:val="18"/>
        <w:lang w:val="en-GB"/>
      </w:rPr>
      <w:t>28.12</w:t>
    </w:r>
    <w:r w:rsidR="00397196">
      <w:rPr>
        <w:rFonts w:ascii="Arial" w:hAnsi="Arial" w:cs="Arial"/>
        <w:bCs/>
        <w:i/>
        <w:iCs/>
        <w:sz w:val="18"/>
        <w:szCs w:val="18"/>
        <w:lang w:val="en-GB"/>
      </w:rPr>
      <w:t>/Rev.1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B20F" w14:textId="77777777" w:rsidR="00397196" w:rsidRPr="005D574F" w:rsidRDefault="00397196" w:rsidP="00397196">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28.12/Rev.1</w:t>
    </w:r>
  </w:p>
  <w:p w14:paraId="3E9A95A8" w14:textId="77777777" w:rsidR="00397196" w:rsidRPr="005D574F" w:rsidRDefault="00397196">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F9E7" w14:textId="77777777" w:rsidR="00397196" w:rsidRPr="005D574F" w:rsidRDefault="00397196" w:rsidP="00397196">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28.12/Rev.1</w:t>
    </w:r>
  </w:p>
  <w:p w14:paraId="2D64F287" w14:textId="77777777" w:rsidR="00397196" w:rsidRPr="005D574F" w:rsidRDefault="0039719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2A3"/>
    <w:multiLevelType w:val="hybridMultilevel"/>
    <w:tmpl w:val="117C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9B21EA2"/>
    <w:multiLevelType w:val="hybridMultilevel"/>
    <w:tmpl w:val="712C0B1C"/>
    <w:lvl w:ilvl="0" w:tplc="2000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662CCF"/>
    <w:multiLevelType w:val="hybridMultilevel"/>
    <w:tmpl w:val="1B8E9EB6"/>
    <w:lvl w:ilvl="0" w:tplc="90242CDC">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B3F1D66"/>
    <w:multiLevelType w:val="hybridMultilevel"/>
    <w:tmpl w:val="205A6486"/>
    <w:lvl w:ilvl="0" w:tplc="073CFF84">
      <w:start w:val="3"/>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E3F2683"/>
    <w:multiLevelType w:val="hybridMultilevel"/>
    <w:tmpl w:val="59CC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027CA"/>
    <w:multiLevelType w:val="hybridMultilevel"/>
    <w:tmpl w:val="6E9028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FE963EF"/>
    <w:multiLevelType w:val="hybridMultilevel"/>
    <w:tmpl w:val="0A82687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0" w15:restartNumberingAfterBreak="0">
    <w:nsid w:val="2DA25837"/>
    <w:multiLevelType w:val="hybridMultilevel"/>
    <w:tmpl w:val="1B8E9EB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9A78C3"/>
    <w:multiLevelType w:val="hybridMultilevel"/>
    <w:tmpl w:val="20F82BA0"/>
    <w:lvl w:ilvl="0" w:tplc="ECB6B4A2">
      <w:start w:val="1"/>
      <w:numFmt w:val="decimal"/>
      <w:lvlText w:val="%1."/>
      <w:lvlJc w:val="left"/>
      <w:pPr>
        <w:ind w:left="567" w:hanging="283"/>
      </w:pPr>
      <w:rPr>
        <w:rFonts w:hint="default"/>
      </w:rPr>
    </w:lvl>
    <w:lvl w:ilvl="1" w:tplc="3B4AD0FA">
      <w:start w:val="1"/>
      <w:numFmt w:val="lowerLetter"/>
      <w:lvlText w:val="%2."/>
      <w:lvlJc w:val="left"/>
      <w:pPr>
        <w:ind w:left="851" w:hanging="284"/>
      </w:pPr>
      <w:rPr>
        <w:rFonts w:hint="default"/>
      </w:rPr>
    </w:lvl>
    <w:lvl w:ilvl="2" w:tplc="FF90CA00">
      <w:start w:val="1"/>
      <w:numFmt w:val="lowerRoman"/>
      <w:lvlText w:val="%3."/>
      <w:lvlJc w:val="right"/>
      <w:pPr>
        <w:ind w:left="1134" w:hanging="283"/>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2C23F3"/>
    <w:multiLevelType w:val="hybridMultilevel"/>
    <w:tmpl w:val="490CE5F8"/>
    <w:lvl w:ilvl="0" w:tplc="602ABD64">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CB48DD"/>
    <w:multiLevelType w:val="hybridMultilevel"/>
    <w:tmpl w:val="07E06740"/>
    <w:lvl w:ilvl="0" w:tplc="0798A14C">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F775856"/>
    <w:multiLevelType w:val="hybridMultilevel"/>
    <w:tmpl w:val="515C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6F7A5E"/>
    <w:multiLevelType w:val="hybridMultilevel"/>
    <w:tmpl w:val="8EE6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6374E3"/>
    <w:multiLevelType w:val="hybridMultilevel"/>
    <w:tmpl w:val="0A52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147855">
    <w:abstractNumId w:val="14"/>
  </w:num>
  <w:num w:numId="2" w16cid:durableId="147945606">
    <w:abstractNumId w:val="0"/>
  </w:num>
  <w:num w:numId="3" w16cid:durableId="433020436">
    <w:abstractNumId w:val="16"/>
  </w:num>
  <w:num w:numId="4" w16cid:durableId="116335905">
    <w:abstractNumId w:val="5"/>
  </w:num>
  <w:num w:numId="5" w16cid:durableId="1626231282">
    <w:abstractNumId w:val="15"/>
  </w:num>
  <w:num w:numId="6" w16cid:durableId="975329285">
    <w:abstractNumId w:val="11"/>
  </w:num>
  <w:num w:numId="7" w16cid:durableId="1719624090">
    <w:abstractNumId w:val="3"/>
  </w:num>
  <w:num w:numId="8" w16cid:durableId="2023124949">
    <w:abstractNumId w:val="4"/>
  </w:num>
  <w:num w:numId="9" w16cid:durableId="1902859237">
    <w:abstractNumId w:val="10"/>
  </w:num>
  <w:num w:numId="10" w16cid:durableId="1205143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5232695">
    <w:abstractNumId w:val="2"/>
  </w:num>
  <w:num w:numId="13" w16cid:durableId="1296565195">
    <w:abstractNumId w:val="13"/>
  </w:num>
  <w:num w:numId="14" w16cid:durableId="645476736">
    <w:abstractNumId w:val="12"/>
  </w:num>
  <w:num w:numId="15" w16cid:durableId="163252420">
    <w:abstractNumId w:val="7"/>
  </w:num>
  <w:num w:numId="16" w16cid:durableId="23095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1909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7405E"/>
    <w:rsid w:val="000B0D60"/>
    <w:rsid w:val="001125D7"/>
    <w:rsid w:val="00133EA4"/>
    <w:rsid w:val="001352BB"/>
    <w:rsid w:val="00164D92"/>
    <w:rsid w:val="001A64AE"/>
    <w:rsid w:val="001B2E6D"/>
    <w:rsid w:val="002243FE"/>
    <w:rsid w:val="00227282"/>
    <w:rsid w:val="0027066C"/>
    <w:rsid w:val="002B6DE7"/>
    <w:rsid w:val="00397196"/>
    <w:rsid w:val="003E4AEC"/>
    <w:rsid w:val="003F1AD8"/>
    <w:rsid w:val="00400B84"/>
    <w:rsid w:val="0041439A"/>
    <w:rsid w:val="00420028"/>
    <w:rsid w:val="0043102F"/>
    <w:rsid w:val="004E491F"/>
    <w:rsid w:val="004F6438"/>
    <w:rsid w:val="005645C4"/>
    <w:rsid w:val="00584CDF"/>
    <w:rsid w:val="0058757D"/>
    <w:rsid w:val="005D43E4"/>
    <w:rsid w:val="005D574F"/>
    <w:rsid w:val="005F0639"/>
    <w:rsid w:val="00653282"/>
    <w:rsid w:val="006573E6"/>
    <w:rsid w:val="007A1066"/>
    <w:rsid w:val="00843492"/>
    <w:rsid w:val="00950DA4"/>
    <w:rsid w:val="0096123D"/>
    <w:rsid w:val="00AA138B"/>
    <w:rsid w:val="00AB5285"/>
    <w:rsid w:val="00AE590E"/>
    <w:rsid w:val="00B86CC1"/>
    <w:rsid w:val="00B91802"/>
    <w:rsid w:val="00BA05D7"/>
    <w:rsid w:val="00D50F95"/>
    <w:rsid w:val="00D61140"/>
    <w:rsid w:val="00D82C56"/>
    <w:rsid w:val="00DA4C81"/>
    <w:rsid w:val="00DB2EEB"/>
    <w:rsid w:val="00E45B44"/>
    <w:rsid w:val="00E829C9"/>
    <w:rsid w:val="00E9502C"/>
    <w:rsid w:val="00EE2444"/>
    <w:rsid w:val="00F217A5"/>
    <w:rsid w:val="00F553B8"/>
    <w:rsid w:val="00F8351C"/>
    <w:rsid w:val="00F85E26"/>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400B84"/>
    <w:rPr>
      <w:szCs w:val="20"/>
    </w:rPr>
  </w:style>
  <w:style w:type="character" w:customStyle="1" w:styleId="FootnoteTextChar">
    <w:name w:val="Footnote Text Char"/>
    <w:basedOn w:val="DefaultParagraphFont"/>
    <w:link w:val="FootnoteText"/>
    <w:uiPriority w:val="99"/>
    <w:semiHidden/>
    <w:rsid w:val="00400B84"/>
    <w:rPr>
      <w:rFonts w:ascii="Times New Roman" w:eastAsia="Times New Roman" w:hAnsi="Times New Roman"/>
      <w:sz w:val="20"/>
      <w:szCs w:val="20"/>
    </w:rPr>
  </w:style>
  <w:style w:type="character" w:styleId="FootnoteReference">
    <w:name w:val="footnote reference"/>
    <w:uiPriority w:val="99"/>
    <w:semiHidden/>
    <w:rsid w:val="00400B84"/>
    <w:rPr>
      <w:rFonts w:cs="Times New Roman"/>
    </w:rPr>
  </w:style>
  <w:style w:type="table" w:styleId="TableGrid">
    <w:name w:val="Table Grid"/>
    <w:basedOn w:val="TableNormal"/>
    <w:uiPriority w:val="39"/>
    <w:rsid w:val="00400B84"/>
    <w:pPr>
      <w:autoSpaceDN/>
      <w:spacing w:after="0" w:line="240" w:lineRule="auto"/>
      <w:textAlignment w:val="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F6438"/>
    <w:pPr>
      <w:ind w:left="720"/>
      <w:contextualSpacing/>
    </w:pPr>
  </w:style>
  <w:style w:type="paragraph" w:customStyle="1" w:styleId="Secondnumbering">
    <w:name w:val="Second numbering"/>
    <w:basedOn w:val="Normal"/>
    <w:link w:val="SecondnumberingChar"/>
    <w:qFormat/>
    <w:rsid w:val="00653282"/>
    <w:pPr>
      <w:widowControl/>
      <w:numPr>
        <w:numId w:val="16"/>
      </w:numPr>
      <w:suppressAutoHyphens w:val="0"/>
      <w:autoSpaceDE/>
      <w:autoSpaceDN/>
      <w:textAlignment w:val="auto"/>
    </w:pPr>
    <w:rPr>
      <w:rFonts w:ascii="Arial" w:eastAsiaTheme="minorHAnsi" w:hAnsi="Arial" w:cstheme="minorBidi"/>
      <w:sz w:val="22"/>
      <w:szCs w:val="22"/>
      <w:lang w:val="es-ES"/>
    </w:rPr>
  </w:style>
  <w:style w:type="character" w:customStyle="1" w:styleId="ListParagraphChar">
    <w:name w:val="List Paragraph Char"/>
    <w:basedOn w:val="DefaultParagraphFont"/>
    <w:link w:val="ListParagraph"/>
    <w:uiPriority w:val="34"/>
    <w:rsid w:val="00653282"/>
    <w:rPr>
      <w:rFonts w:ascii="Times New Roman" w:eastAsia="Times New Roman" w:hAnsi="Times New Roman"/>
      <w:sz w:val="20"/>
      <w:szCs w:val="24"/>
    </w:rPr>
  </w:style>
  <w:style w:type="character" w:customStyle="1" w:styleId="SecondnumberingChar">
    <w:name w:val="Second numbering Char"/>
    <w:basedOn w:val="DefaultParagraphFont"/>
    <w:link w:val="Secondnumbering"/>
    <w:rsid w:val="00653282"/>
    <w:rPr>
      <w:rFonts w:eastAsiaTheme="minorHAnsi" w:cstheme="minorBidi"/>
      <w:lang w:val="es-ES"/>
    </w:rPr>
  </w:style>
  <w:style w:type="paragraph" w:customStyle="1" w:styleId="Title1">
    <w:name w:val="Title1"/>
    <w:basedOn w:val="Normal"/>
    <w:link w:val="TITLEChar"/>
    <w:qFormat/>
    <w:rsid w:val="00653282"/>
    <w:pPr>
      <w:pBdr>
        <w:top w:val="single" w:sz="6" w:space="0" w:color="FFFFFF"/>
        <w:left w:val="single" w:sz="6" w:space="0" w:color="FFFFFF"/>
        <w:bottom w:val="single" w:sz="6" w:space="0" w:color="FFFFFF"/>
        <w:right w:val="single" w:sz="6" w:space="0" w:color="FFFFFF"/>
      </w:pBdr>
      <w:jc w:val="center"/>
      <w:outlineLvl w:val="1"/>
    </w:pPr>
    <w:rPr>
      <w:rFonts w:ascii="Arial" w:hAnsi="Arial" w:cs="Arial"/>
      <w:b/>
      <w:caps/>
      <w:sz w:val="22"/>
      <w:szCs w:val="22"/>
      <w:lang w:val="es-ES"/>
    </w:rPr>
  </w:style>
  <w:style w:type="character" w:customStyle="1" w:styleId="TITLEChar">
    <w:name w:val="TITLE Char"/>
    <w:basedOn w:val="DefaultParagraphFont"/>
    <w:link w:val="Title1"/>
    <w:rsid w:val="00653282"/>
    <w:rPr>
      <w:rFonts w:eastAsia="Times New Roman" w:cs="Arial"/>
      <w:b/>
      <w:cap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doi.org/10.1371/journal.pone.0136773"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371/journal.pone.0239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Lin20</b:Tag>
    <b:SourceType>JournalArticle</b:SourceType>
    <b:Guid>{5FF8AF2F-B235-4748-A6EA-C61605CBE2CC}</b:Guid>
    <b:Author>
      <b:Author>
        <b:NameList>
          <b:Person>
            <b:Last>Link</b:Last>
            <b:First>J</b:First>
            <b:Middle>S</b:Middle>
          </b:Person>
          <b:Person>
            <b:Last>Huse</b:Last>
            <b:First>G</b:First>
          </b:Person>
          <b:Person>
            <b:Last>Gaichas</b:Last>
            <b:First>S</b:First>
          </b:Person>
          <b:Person>
            <b:Last>Marshak</b:Last>
            <b:First>A</b:First>
            <b:Middle>R</b:Middle>
          </b:Person>
        </b:NameList>
      </b:Author>
    </b:Author>
    <b:Title>Changing how we approach fisheries: A first attempt at an operational framework for ecosystem approaches to fisheries management</b:Title>
    <b:Year>2020</b:Year>
    <b:JournalName>Fish and Fisheries</b:JournalName>
    <b:Pages>393-434</b:Pages>
    <b:Volume>21</b:Volume>
    <b:Issue>2</b:Issue>
    <b:RefOrder>23</b:RefOrder>
  </b:Source>
  <b:Source>
    <b:Tag>Xia211</b:Tag>
    <b:SourceType>JournalArticle</b:SourceType>
    <b:Guid>{4F5FD3CD-3BBF-4402-9EF3-6B2635F551D9}</b:Guid>
    <b:Author>
      <b:Author>
        <b:NameList>
          <b:Person>
            <b:Last>Xiao</b:Last>
            <b:First>H</b:First>
          </b:Person>
          <b:Person>
            <b:Last>Chadès</b:Last>
            <b:First>I</b:First>
          </b:Person>
          <b:Person>
            <b:Last>Hill</b:Last>
            <b:First>N</b:First>
          </b:Person>
          <b:Person>
            <b:Last>Murray</b:Last>
            <b:First>N</b:First>
          </b:Person>
          <b:Person>
            <b:Last>Fuller</b:Last>
            <b:First>R</b:First>
            <b:Middle>A</b:Middle>
          </b:Person>
          <b:Person>
            <b:Last>McDonald-Madden</b:Last>
            <b:First>E</b:First>
          </b:Person>
        </b:NameList>
      </b:Author>
    </b:Author>
    <b:Title>Conserving migratory species while safeguarding ecosystem services</b:Title>
    <b:JournalName>Ecological Modelling</b:JournalName>
    <b:Year>2021</b:Year>
    <b:Pages>109442</b:Pages>
    <b:Volume>442</b:Volume>
    <b:RefOrder>24</b:RefOrder>
  </b:Source>
  <b:Source>
    <b:Tag>Rus20</b:Tag>
    <b:SourceType>JournalArticle</b:SourceType>
    <b:Guid>{109C0E7D-4AB8-47B0-A318-13604B23E604}</b:Guid>
    <b:Author>
      <b:Author>
        <b:NameList>
          <b:Person>
            <b:Last>Rushing</b:Last>
            <b:First>C</b:First>
            <b:Middle>S</b:Middle>
          </b:Person>
          <b:Person>
            <b:Last>Rubenstein</b:Last>
            <b:First>M</b:First>
          </b:Person>
          <b:Person>
            <b:Last>Lyons</b:Last>
            <b:First>J.E</b:First>
          </b:Person>
          <b:Person>
            <b:Last>Runge</b:Last>
            <b:First>M</b:First>
            <b:Middle>C</b:Middle>
          </b:Person>
        </b:NameList>
      </b:Author>
    </b:Author>
    <b:Title>Using value of information to prioritize research needs for migratory bird management under climate change: a case study using federal land acquisition in the United States</b:Title>
    <b:JournalName>Biological Reviews</b:JournalName>
    <b:Year>2020</b:Year>
    <b:Pages>1109-1130</b:Pages>
    <b:Volume>95</b:Volume>
    <b:Issue>4</b:Issue>
    <b:RefOrder>25</b:RefOrder>
  </b:Source>
  <b:Source>
    <b:Tag>New16</b:Tag>
    <b:SourceType>BookSection</b:SourceType>
    <b:Guid>{593438B9-0493-472B-8B0F-E7BCD159BD0E}</b:Guid>
    <b:Title>Desert antelopes on the brink: how resilient is the Sahelo-Saharan ecosystem?</b:Title>
    <b:Year>2016</b:Year>
    <b:Publisher>John Wiley &amp; Sons</b:Publisher>
    <b:Author>
      <b:Author>
        <b:NameList>
          <b:Person>
            <b:Last>Newby</b:Last>
            <b:First>John</b:First>
          </b:Person>
          <b:Person>
            <b:Last>Wacher</b:Last>
            <b:First>Tim</b:First>
          </b:Person>
          <b:Person>
            <b:Last>Durant</b:Last>
            <b:First>Sarah</b:First>
            <b:Middle>M</b:Middle>
          </b:Person>
          <b:Person>
            <b:Last>Pettorelli</b:Last>
            <b:First>Nathalie</b:First>
          </b:Person>
          <b:Person>
            <b:Last>Gilbert</b:Last>
            <b:First>Tania</b:First>
          </b:Person>
        </b:NameList>
      </b:Author>
      <b:BookAuthor>
        <b:NameList>
          <b:Person>
            <b:Last>Bro-Jørgensen</b:Last>
            <b:First>Jakob</b:First>
          </b:Person>
          <b:Person>
            <b:Last>Mallon</b:Last>
            <b:First>David</b:First>
          </b:Person>
        </b:NameList>
      </b:BookAuthor>
    </b:Author>
    <b:BookTitle>Antelope Conservation: From Diagnosis to Action</b:BookTitle>
    <b:Pages>253-279</b:Pages>
    <b:RefOrder>2</b:RefOrder>
  </b:Source>
  <b:Source>
    <b:Tag>Sho13</b:Tag>
    <b:SourceType>JournalArticle</b:SourceType>
    <b:Guid>{8B2FD9DC-77CF-42F7-90E7-A3D7675244CB}</b:Guid>
    <b:Author>
      <b:Author>
        <b:NameList>
          <b:Person>
            <b:Last>Shoo</b:Last>
            <b:First>L</b:First>
            <b:Middle>P</b:Middle>
          </b:Person>
          <b:Person>
            <b:Last>Hoffmann</b:Last>
            <b:First>A</b:First>
            <b:Middle>A</b:Middle>
          </b:Person>
          <b:Person>
            <b:Last>Garnett</b:Last>
            <b:First>S</b:First>
          </b:Person>
          <b:Person>
            <b:Last>Pressey</b:Last>
            <b:First>R</b:First>
            <b:Middle>L</b:Middle>
          </b:Person>
          <b:Person>
            <b:Last>Williams</b:Last>
            <b:First>Y</b:First>
            <b:Middle>M</b:Middle>
          </b:Person>
          <b:Person>
            <b:Last>Taylor</b:Last>
            <b:First>M</b:First>
          </b:Person>
          <b:Person>
            <b:Last>Falconi</b:Last>
            <b:First>L</b:First>
          </b:Person>
          <b:Person>
            <b:Last>Yates</b:Last>
            <b:First>C</b:First>
            <b:Middle>J</b:Middle>
          </b:Person>
          <b:Person>
            <b:Last>Scott</b:Last>
            <b:First>J</b:First>
            <b:Middle>K</b:Middle>
          </b:Person>
          <b:Person>
            <b:Last>Alagador</b:Last>
            <b:First>D</b:First>
          </b:Person>
          <b:Person>
            <b:Last>Williams</b:Last>
            <b:First>S</b:First>
            <b:Middle>E</b:Middle>
          </b:Person>
        </b:NameList>
      </b:Author>
    </b:Author>
    <b:Title>Making decisions to conserve species under climate change</b:Title>
    <b:JournalName>Climatic Change</b:JournalName>
    <b:Year>2013</b:Year>
    <b:Pages>239-246</b:Pages>
    <b:Volume>119</b:Volume>
    <b:Issue>2</b:Issue>
    <b:RefOrder>27</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ED56E-2CF0-46BF-9A85-F781AC394A90}">
  <ds:schemaRefs>
    <ds:schemaRef ds:uri="http://schemas.openxmlformats.org/officeDocument/2006/bibliography"/>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A17D41B7-6175-4F1F-ADAD-960F1733F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48</TotalTime>
  <Pages>12</Pages>
  <Words>4102</Words>
  <Characters>23383</Characters>
  <Application>Microsoft Office Word</Application>
  <DocSecurity>0</DocSecurity>
  <Lines>194</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11</cp:revision>
  <cp:lastPrinted>2020-02-03T15:02:00Z</cp:lastPrinted>
  <dcterms:created xsi:type="dcterms:W3CDTF">2026-03-26T16:29:00Z</dcterms:created>
  <dcterms:modified xsi:type="dcterms:W3CDTF">2026-03-27T20:52:00Z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