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53D7" w14:textId="77777777" w:rsidR="00D631F7" w:rsidRPr="00505A17" w:rsidRDefault="00D631F7" w:rsidP="00D70C47">
      <w:pPr>
        <w:widowControl/>
        <w:autoSpaceDE/>
        <w:autoSpaceDN/>
        <w:jc w:val="center"/>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CHANGEMENTS CLIMATIQUES ET ESPÈCES MIGRATRICES</w:t>
      </w:r>
    </w:p>
    <w:p w14:paraId="60C50FAF" w14:textId="77777777" w:rsidR="00AB5285" w:rsidRPr="009162DB" w:rsidRDefault="00AB5285" w:rsidP="00D70C47">
      <w:pPr>
        <w:jc w:val="center"/>
        <w:rPr>
          <w:rFonts w:ascii="Arial" w:hAnsi="Arial" w:cs="Arial"/>
          <w:b/>
          <w:sz w:val="22"/>
          <w:szCs w:val="22"/>
          <w:lang w:val="fr-FR"/>
        </w:rPr>
      </w:pPr>
    </w:p>
    <w:p w14:paraId="77BA811D" w14:textId="2B680956" w:rsidR="00D82C56" w:rsidRPr="00505A17" w:rsidRDefault="005D43E4" w:rsidP="00D70C47">
      <w:pPr>
        <w:spacing w:after="120"/>
        <w:jc w:val="center"/>
        <w:rPr>
          <w:rFonts w:ascii="Arial" w:hAnsi="Arial" w:cs="Arial"/>
          <w:sz w:val="22"/>
          <w:szCs w:val="22"/>
          <w:lang w:val="fr-FR"/>
        </w:rPr>
      </w:pPr>
      <w:r w:rsidRPr="00505A17">
        <w:rPr>
          <w:rFonts w:ascii="Arial" w:hAnsi="Arial" w:cs="Arial"/>
          <w:sz w:val="22"/>
          <w:szCs w:val="22"/>
          <w:lang w:val="fr-FR"/>
        </w:rPr>
        <w:t>UNEP/CMS/COP1</w:t>
      </w:r>
      <w:r w:rsidR="00950DA4" w:rsidRPr="00505A17">
        <w:rPr>
          <w:rFonts w:ascii="Arial" w:hAnsi="Arial" w:cs="Arial"/>
          <w:sz w:val="22"/>
          <w:szCs w:val="22"/>
          <w:lang w:val="fr-FR"/>
        </w:rPr>
        <w:t>5</w:t>
      </w:r>
      <w:r w:rsidRPr="00505A17">
        <w:rPr>
          <w:rFonts w:ascii="Arial" w:hAnsi="Arial" w:cs="Arial"/>
          <w:sz w:val="22"/>
          <w:szCs w:val="22"/>
          <w:lang w:val="fr-FR"/>
        </w:rPr>
        <w:t>/Doc.</w:t>
      </w:r>
      <w:r w:rsidR="00D631F7" w:rsidRPr="00505A17">
        <w:rPr>
          <w:rFonts w:ascii="Arial" w:hAnsi="Arial" w:cs="Arial"/>
          <w:sz w:val="22"/>
          <w:szCs w:val="22"/>
          <w:lang w:val="fr-FR"/>
        </w:rPr>
        <w:t>28.12/Rev.1</w:t>
      </w:r>
    </w:p>
    <w:p w14:paraId="73A89732" w14:textId="0FD5F253" w:rsidR="00D82C56" w:rsidRPr="009162DB" w:rsidRDefault="005D43E4" w:rsidP="00D70C47">
      <w:pPr>
        <w:jc w:val="center"/>
        <w:rPr>
          <w:rFonts w:ascii="Arial" w:hAnsi="Arial" w:cs="Arial"/>
          <w:i/>
          <w:sz w:val="22"/>
          <w:szCs w:val="22"/>
          <w:lang w:val="fr-FR"/>
        </w:rPr>
      </w:pPr>
      <w:r w:rsidRPr="009162DB">
        <w:rPr>
          <w:rFonts w:ascii="Arial" w:hAnsi="Arial" w:cs="Arial"/>
          <w:i/>
          <w:sz w:val="22"/>
          <w:szCs w:val="22"/>
          <w:lang w:val="fr-FR"/>
        </w:rPr>
        <w:t>(Pr</w:t>
      </w:r>
      <w:r w:rsidR="00122DBF" w:rsidRPr="009162DB">
        <w:rPr>
          <w:rFonts w:ascii="Arial" w:hAnsi="Arial" w:cs="Arial"/>
          <w:i/>
          <w:sz w:val="22"/>
          <w:szCs w:val="22"/>
          <w:lang w:val="fr-FR"/>
        </w:rPr>
        <w:t>é</w:t>
      </w:r>
      <w:r w:rsidRPr="009162DB">
        <w:rPr>
          <w:rFonts w:ascii="Arial" w:hAnsi="Arial" w:cs="Arial"/>
          <w:i/>
          <w:sz w:val="22"/>
          <w:szCs w:val="22"/>
          <w:lang w:val="fr-FR"/>
        </w:rPr>
        <w:t>pa</w:t>
      </w:r>
      <w:r w:rsidR="00EF2BC5" w:rsidRPr="009162DB">
        <w:rPr>
          <w:rFonts w:ascii="Arial" w:hAnsi="Arial" w:cs="Arial"/>
          <w:i/>
          <w:sz w:val="22"/>
          <w:szCs w:val="22"/>
          <w:lang w:val="fr-FR"/>
        </w:rPr>
        <w:t>ré par</w:t>
      </w:r>
      <w:r w:rsidR="00966229" w:rsidRPr="00206D0F">
        <w:rPr>
          <w:rFonts w:ascii="Arial" w:hAnsi="Arial" w:cs="Arial"/>
          <w:i/>
          <w:sz w:val="22"/>
          <w:szCs w:val="22"/>
          <w:lang w:val="fr-FR"/>
        </w:rPr>
        <w:t xml:space="preserve"> le</w:t>
      </w:r>
      <w:r w:rsidR="00966229" w:rsidRPr="009162DB">
        <w:rPr>
          <w:rFonts w:ascii="Arial" w:hAnsi="Arial" w:cs="Arial"/>
          <w:i/>
          <w:sz w:val="22"/>
          <w:szCs w:val="22"/>
          <w:lang w:val="fr-FR"/>
        </w:rPr>
        <w:t xml:space="preserve"> Comité plénier</w:t>
      </w:r>
    </w:p>
    <w:p w14:paraId="458D7774" w14:textId="77777777" w:rsidR="009F3558" w:rsidRPr="009162DB" w:rsidRDefault="009F3558" w:rsidP="00D70C47">
      <w:pPr>
        <w:pStyle w:val="ListParagraph"/>
        <w:suppressAutoHyphens/>
        <w:ind w:left="0"/>
        <w:contextualSpacing w:val="0"/>
        <w:rPr>
          <w:rFonts w:cs="Arial"/>
          <w:lang w:val="fr-FR"/>
        </w:rPr>
      </w:pPr>
    </w:p>
    <w:p w14:paraId="5757EEF5" w14:textId="1FDB62A0" w:rsidR="00D631F7" w:rsidRPr="009162DB" w:rsidRDefault="00966229" w:rsidP="00D70C47">
      <w:pPr>
        <w:widowControl/>
        <w:autoSpaceDE/>
        <w:autoSpaceDN/>
        <w:jc w:val="center"/>
        <w:textAlignment w:val="auto"/>
        <w:rPr>
          <w:rFonts w:ascii="Arial" w:eastAsiaTheme="minorHAnsi" w:hAnsi="Arial" w:cstheme="minorBidi"/>
          <w:sz w:val="22"/>
          <w:szCs w:val="22"/>
          <w:lang w:val="fr-FR"/>
        </w:rPr>
      </w:pPr>
      <w:r w:rsidRPr="00505A17">
        <w:rPr>
          <w:rFonts w:ascii="Arial" w:eastAsiaTheme="minorHAnsi" w:hAnsi="Arial" w:cs="Arial"/>
          <w:sz w:val="22"/>
          <w:szCs w:val="22"/>
          <w:lang w:val="fr-FR"/>
        </w:rPr>
        <w:t>PROJET DE RÉSOLUTION</w:t>
      </w:r>
    </w:p>
    <w:p w14:paraId="6376FFF3" w14:textId="77777777" w:rsidR="00D631F7" w:rsidRDefault="00D631F7" w:rsidP="00D70C47">
      <w:pPr>
        <w:widowControl/>
        <w:autoSpaceDE/>
        <w:autoSpaceDN/>
        <w:jc w:val="both"/>
        <w:textAlignment w:val="auto"/>
        <w:rPr>
          <w:rFonts w:ascii="Arial" w:eastAsiaTheme="minorHAnsi" w:hAnsi="Arial" w:cstheme="minorBidi"/>
          <w:sz w:val="22"/>
          <w:szCs w:val="22"/>
          <w:lang w:val="fr-FR"/>
        </w:rPr>
      </w:pPr>
    </w:p>
    <w:p w14:paraId="318B0991" w14:textId="77777777" w:rsidR="00E323A8" w:rsidRPr="009162DB" w:rsidRDefault="00E323A8" w:rsidP="00D70C47">
      <w:pPr>
        <w:widowControl/>
        <w:autoSpaceDE/>
        <w:autoSpaceDN/>
        <w:jc w:val="both"/>
        <w:textAlignment w:val="auto"/>
        <w:rPr>
          <w:rFonts w:ascii="Arial" w:eastAsiaTheme="minorHAnsi" w:hAnsi="Arial" w:cstheme="minorBidi"/>
          <w:sz w:val="22"/>
          <w:szCs w:val="22"/>
          <w:lang w:val="fr-FR"/>
        </w:rPr>
      </w:pPr>
    </w:p>
    <w:p w14:paraId="6745EA09" w14:textId="0A2DCA6A" w:rsidR="00D631F7" w:rsidRPr="00505A17" w:rsidRDefault="00D631F7" w:rsidP="00D70C47">
      <w:pPr>
        <w:widowControl/>
        <w:autoSpaceDE/>
        <w:autoSpaceDN/>
        <w:ind w:left="993" w:hanging="993"/>
        <w:jc w:val="right"/>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Annexe 2 à la résolution 12.21 (Rev.COP14)</w:t>
      </w:r>
    </w:p>
    <w:p w14:paraId="00305688" w14:textId="77777777" w:rsidR="00D631F7" w:rsidRPr="00505A17" w:rsidRDefault="00D631F7" w:rsidP="00D70C47">
      <w:pPr>
        <w:widowControl/>
        <w:autoSpaceDE/>
        <w:autoSpaceDN/>
        <w:ind w:left="993" w:hanging="993"/>
        <w:jc w:val="both"/>
        <w:textAlignment w:val="auto"/>
        <w:rPr>
          <w:rFonts w:ascii="Arial" w:eastAsiaTheme="minorHAnsi" w:hAnsi="Arial" w:cs="Arial"/>
          <w:b/>
          <w:bCs/>
          <w:sz w:val="22"/>
          <w:szCs w:val="22"/>
          <w:lang w:val="fr-FR"/>
        </w:rPr>
      </w:pPr>
    </w:p>
    <w:p w14:paraId="59744B2A" w14:textId="77777777" w:rsidR="00D631F7" w:rsidRPr="00505A17" w:rsidRDefault="00D631F7" w:rsidP="00D70C47">
      <w:pPr>
        <w:widowControl/>
        <w:autoSpaceDE/>
        <w:autoSpaceDN/>
        <w:ind w:left="993" w:hanging="993"/>
        <w:jc w:val="center"/>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CADRE DÉCISIONNEL VISANT À FOURNIR DES ORIENTATIONS AUX PARTIES</w:t>
      </w:r>
    </w:p>
    <w:p w14:paraId="5D746718" w14:textId="77777777" w:rsidR="00D631F7" w:rsidRPr="00505A17" w:rsidRDefault="00D631F7" w:rsidP="00D70C47">
      <w:pPr>
        <w:widowControl/>
        <w:autoSpaceDE/>
        <w:autoSpaceDN/>
        <w:ind w:left="993" w:hanging="993"/>
        <w:jc w:val="center"/>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QUANT À LA MISE EN ŒUVRE DU PARAGRAPHE 9 DE LA</w:t>
      </w:r>
    </w:p>
    <w:p w14:paraId="55A3EDF7" w14:textId="77777777" w:rsidR="00D631F7" w:rsidRPr="00505A17" w:rsidRDefault="00D631F7" w:rsidP="00D70C47">
      <w:pPr>
        <w:widowControl/>
        <w:autoSpaceDE/>
        <w:autoSpaceDN/>
        <w:ind w:left="993" w:hanging="993"/>
        <w:jc w:val="center"/>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RÉSOLUTION 12.21 (REV. COP14) ;</w:t>
      </w:r>
    </w:p>
    <w:p w14:paraId="0CED0C4D" w14:textId="77777777" w:rsidR="00D631F7" w:rsidRDefault="00D631F7" w:rsidP="00D70C47">
      <w:pPr>
        <w:widowControl/>
        <w:autoSpaceDE/>
        <w:autoSpaceDN/>
        <w:adjustRightInd w:val="0"/>
        <w:ind w:left="567"/>
        <w:jc w:val="both"/>
        <w:textAlignment w:val="auto"/>
        <w:rPr>
          <w:rFonts w:ascii="Arial" w:eastAsiaTheme="minorHAnsi" w:hAnsi="Arial" w:cs="Arial"/>
          <w:sz w:val="22"/>
          <w:szCs w:val="22"/>
          <w:lang w:val="fr-FR"/>
        </w:rPr>
      </w:pPr>
    </w:p>
    <w:p w14:paraId="2056E71E" w14:textId="77777777" w:rsidR="00393E44" w:rsidRPr="00505A17" w:rsidRDefault="00393E44" w:rsidP="00D70C47">
      <w:pPr>
        <w:widowControl/>
        <w:autoSpaceDE/>
        <w:autoSpaceDN/>
        <w:adjustRightInd w:val="0"/>
        <w:ind w:left="567"/>
        <w:jc w:val="both"/>
        <w:textAlignment w:val="auto"/>
        <w:rPr>
          <w:rFonts w:ascii="Arial" w:eastAsiaTheme="minorHAnsi" w:hAnsi="Arial" w:cs="Arial"/>
          <w:sz w:val="22"/>
          <w:szCs w:val="22"/>
          <w:lang w:val="fr-FR"/>
        </w:rPr>
      </w:pPr>
    </w:p>
    <w:p w14:paraId="7CFDAB34" w14:textId="77777777" w:rsidR="00D631F7" w:rsidRPr="00505A17" w:rsidRDefault="00D631F7" w:rsidP="00D70C47">
      <w:pPr>
        <w:widowControl/>
        <w:autoSpaceDE/>
        <w:autoSpaceDN/>
        <w:adjustRightInd w:val="0"/>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Le paragraphe 10 de la résolution 12.21 (Rev.COP14) énonce ce qui suit :</w:t>
      </w:r>
    </w:p>
    <w:p w14:paraId="2A9DE3CD" w14:textId="77777777" w:rsidR="00D631F7" w:rsidRPr="00505A17" w:rsidRDefault="00D631F7" w:rsidP="00D70C47">
      <w:pPr>
        <w:widowControl/>
        <w:autoSpaceDE/>
        <w:autoSpaceDN/>
        <w:adjustRightInd w:val="0"/>
        <w:ind w:left="567"/>
        <w:jc w:val="both"/>
        <w:textAlignment w:val="auto"/>
        <w:rPr>
          <w:rFonts w:ascii="Arial" w:eastAsiaTheme="minorHAnsi" w:hAnsi="Arial" w:cs="Arial"/>
          <w:sz w:val="22"/>
          <w:szCs w:val="22"/>
          <w:lang w:val="fr-FR"/>
        </w:rPr>
      </w:pPr>
    </w:p>
    <w:p w14:paraId="0638F755" w14:textId="77777777" w:rsidR="00D631F7" w:rsidRPr="00505A17" w:rsidRDefault="00D631F7" w:rsidP="00D70C47">
      <w:pPr>
        <w:widowControl/>
        <w:autoSpaceDE/>
        <w:autoSpaceDN/>
        <w:adjustRightInd w:val="0"/>
        <w:jc w:val="both"/>
        <w:textAlignment w:val="auto"/>
        <w:rPr>
          <w:rFonts w:ascii="Arial" w:eastAsiaTheme="minorHAnsi" w:hAnsi="Arial" w:cs="Arial"/>
          <w:i/>
          <w:iCs/>
          <w:sz w:val="22"/>
          <w:szCs w:val="22"/>
          <w:lang w:val="fr-FR"/>
        </w:rPr>
      </w:pPr>
      <w:r w:rsidRPr="00505A17">
        <w:rPr>
          <w:rFonts w:ascii="Arial" w:eastAsiaTheme="minorHAnsi" w:hAnsi="Arial" w:cs="Arial"/>
          <w:i/>
          <w:iCs/>
          <w:sz w:val="22"/>
          <w:szCs w:val="22"/>
          <w:lang w:val="fr-FR"/>
        </w:rPr>
        <w:t xml:space="preserve">Décide que l’Article I 1) c) 4) de la Convention portant sur la définition de l’expression « état de conservation favorable » pourrait être interprété comme suit à la lumière des changements climatiques, et invite les organes directeurs des instruments pertinents de la CMS </w:t>
      </w:r>
      <w:proofErr w:type="spellStart"/>
      <w:r w:rsidRPr="00505A17">
        <w:rPr>
          <w:rFonts w:ascii="Arial" w:eastAsiaTheme="minorHAnsi" w:hAnsi="Arial" w:cs="Arial"/>
          <w:i/>
          <w:iCs/>
          <w:sz w:val="22"/>
          <w:szCs w:val="22"/>
          <w:lang w:val="fr-FR"/>
        </w:rPr>
        <w:t>à</w:t>
      </w:r>
      <w:proofErr w:type="spellEnd"/>
      <w:r w:rsidRPr="00505A17">
        <w:rPr>
          <w:rFonts w:ascii="Arial" w:eastAsiaTheme="minorHAnsi" w:hAnsi="Arial" w:cs="Arial"/>
          <w:i/>
          <w:iCs/>
          <w:sz w:val="22"/>
          <w:szCs w:val="22"/>
          <w:lang w:val="fr-FR"/>
        </w:rPr>
        <w:t xml:space="preserve"> également approuver cette interprétation :</w:t>
      </w:r>
    </w:p>
    <w:p w14:paraId="527532C6" w14:textId="77777777" w:rsidR="00D631F7" w:rsidRPr="00505A17" w:rsidRDefault="00D631F7" w:rsidP="00D70C47">
      <w:pPr>
        <w:widowControl/>
        <w:autoSpaceDE/>
        <w:autoSpaceDN/>
        <w:adjustRightInd w:val="0"/>
        <w:jc w:val="both"/>
        <w:textAlignment w:val="auto"/>
        <w:rPr>
          <w:rFonts w:ascii="Arial" w:eastAsiaTheme="minorHAnsi" w:hAnsi="Arial" w:cs="Arial"/>
          <w:sz w:val="22"/>
          <w:szCs w:val="22"/>
          <w:lang w:val="fr-FR"/>
        </w:rPr>
      </w:pPr>
    </w:p>
    <w:p w14:paraId="7529A6ED" w14:textId="77777777" w:rsidR="00D631F7" w:rsidRPr="00505A17" w:rsidRDefault="00D631F7" w:rsidP="00D70C47">
      <w:pPr>
        <w:widowControl/>
        <w:autoSpaceDE/>
        <w:autoSpaceDN/>
        <w:adjustRightInd w:val="0"/>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Conformément aux dispositions de l’Article I 1) c) 4) de la Convention, l’une des conditions à remplir pour que l’état de conservation d’une espèce soit considéré comme « favorable » est la suivante : « la répartition et les effectifs de la population de cette espèce migratrice [doivent être] proches de leur étendue et de leurs niveaux historiques dans la mesure où il existe des écosystèmes susceptibles de convenir à ladite espèce et dans la mesure où cela est compatible avec une gestion sage de la faune sauvage »</w:t>
      </w:r>
      <w:r w:rsidRPr="00505A17">
        <w:rPr>
          <w:rFonts w:ascii="Arial" w:eastAsiaTheme="minorHAnsi" w:hAnsi="Arial" w:cs="Arial"/>
          <w:i/>
          <w:iCs/>
          <w:sz w:val="22"/>
          <w:szCs w:val="22"/>
          <w:lang w:val="fr-FR"/>
        </w:rPr>
        <w:t xml:space="preserve">. </w:t>
      </w:r>
      <w:r w:rsidRPr="00505A17">
        <w:rPr>
          <w:rFonts w:ascii="Arial" w:eastAsiaTheme="minorHAnsi" w:hAnsi="Arial" w:cs="Arial"/>
          <w:sz w:val="22"/>
          <w:szCs w:val="22"/>
          <w:lang w:val="fr-FR"/>
        </w:rPr>
        <w:t>Il est encore nécessaire de prendre des mesures de conservation pour les aires de répartition historiques des espèces migratrices, mais également de plus en plus hors de ces aires, en vue de garantir un état de conservation favorable, compte tenu notamment des déplacements des aires de répartition dus au climat. Ces mesures applicables hors des aires de répartition historiques des espèces sont compatibles avec les objectifs et obligations des Parties à la Convention et peuvent être nécessaires à la réalisation de ces objectifs et obligations ;</w:t>
      </w:r>
    </w:p>
    <w:p w14:paraId="59F5B97F"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p>
    <w:p w14:paraId="42DA3074"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Les 5</w:t>
      </w:r>
      <w:r w:rsidRPr="00505A17">
        <w:rPr>
          <w:rFonts w:ascii="Arial" w:eastAsiaTheme="minorHAnsi" w:hAnsi="Arial" w:cs="Arial"/>
          <w:sz w:val="22"/>
          <w:szCs w:val="22"/>
          <w:vertAlign w:val="superscript"/>
          <w:lang w:val="fr-FR"/>
        </w:rPr>
        <w:t>e</w:t>
      </w:r>
      <w:r w:rsidRPr="00505A17">
        <w:rPr>
          <w:rFonts w:ascii="Arial" w:eastAsiaTheme="minorHAnsi" w:hAnsi="Arial" w:cs="Arial"/>
          <w:sz w:val="22"/>
          <w:szCs w:val="22"/>
          <w:lang w:val="fr-FR"/>
        </w:rPr>
        <w:t xml:space="preserve"> et 6</w:t>
      </w:r>
      <w:r w:rsidRPr="00505A17">
        <w:rPr>
          <w:rFonts w:ascii="Arial" w:eastAsiaTheme="minorHAnsi" w:hAnsi="Arial" w:cs="Arial"/>
          <w:sz w:val="22"/>
          <w:szCs w:val="22"/>
          <w:vertAlign w:val="superscript"/>
          <w:lang w:val="fr-FR"/>
        </w:rPr>
        <w:t>e</w:t>
      </w:r>
      <w:r w:rsidRPr="00505A17">
        <w:rPr>
          <w:rFonts w:ascii="Arial" w:eastAsiaTheme="minorHAnsi" w:hAnsi="Arial" w:cs="Arial"/>
          <w:sz w:val="22"/>
          <w:szCs w:val="22"/>
          <w:lang w:val="fr-FR"/>
        </w:rPr>
        <w:t xml:space="preserve"> réunions du Comité de session du Conseil scientifique ont examiné le texte ci-dessus et fourni les orientations suivantes.</w:t>
      </w:r>
    </w:p>
    <w:p w14:paraId="47819A85"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p>
    <w:p w14:paraId="5211CBFD"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1. Scénarios et actions</w:t>
      </w:r>
    </w:p>
    <w:p w14:paraId="0FCB836D"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p>
    <w:p w14:paraId="0D7DB043"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Quatre scénarios couvrant les différents états des espèces migratrices en matière de déplacements d’aires de répartition dus au climat sont envisagés. Ci-après, le terme « barrière » est utilisé pour désigner tout facteur qui empêche les espèces migratrices d’étendre leur aire de répartition ou qui agit comme un obstacle à la connectivité de leur itinéraire migratoire.</w:t>
      </w:r>
    </w:p>
    <w:p w14:paraId="5DF0336F"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p>
    <w:p w14:paraId="053B9B2E"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2. Catégorisation des scénarios</w:t>
      </w:r>
    </w:p>
    <w:p w14:paraId="5ABCDFC4" w14:textId="77777777" w:rsidR="00D631F7" w:rsidRPr="00505A17" w:rsidRDefault="00D631F7" w:rsidP="00D70C47">
      <w:pPr>
        <w:widowControl/>
        <w:autoSpaceDE/>
        <w:autoSpaceDN/>
        <w:jc w:val="both"/>
        <w:textAlignment w:val="auto"/>
        <w:rPr>
          <w:rFonts w:ascii="Arial" w:eastAsiaTheme="minorHAnsi" w:hAnsi="Arial" w:cs="Arial"/>
          <w:b/>
          <w:bCs/>
          <w:sz w:val="22"/>
          <w:szCs w:val="22"/>
          <w:highlight w:val="yellow"/>
          <w:lang w:val="fr-FR"/>
        </w:rPr>
      </w:pPr>
    </w:p>
    <w:p w14:paraId="1AE15AEA"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i. L’espèce n’est pas présente dans l’ensemble de l’aire de répartition appropriée</w:t>
      </w:r>
    </w:p>
    <w:p w14:paraId="52698E63" w14:textId="77777777" w:rsidR="00D631F7" w:rsidRPr="00505A17" w:rsidRDefault="00D631F7" w:rsidP="00D70C47">
      <w:pPr>
        <w:widowControl/>
        <w:autoSpaceDE/>
        <w:autoSpaceDN/>
        <w:ind w:left="851"/>
        <w:jc w:val="both"/>
        <w:textAlignment w:val="auto"/>
        <w:rPr>
          <w:rFonts w:ascii="Arial" w:eastAsiaTheme="minorHAnsi" w:hAnsi="Arial" w:cs="Arial"/>
          <w:sz w:val="22"/>
          <w:szCs w:val="22"/>
          <w:lang w:val="fr-FR"/>
        </w:rPr>
      </w:pPr>
    </w:p>
    <w:p w14:paraId="36883B77"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Certaines espèces inscrites aux Annexes de la Convention sur la conservation des espèces migratrices ont été si gravement décimées qu’elles n’occupent plus qu’une petite partie de l’aire de répartition qui leur convient sur le plan climatique, comme l’addax (</w:t>
      </w:r>
      <w:r w:rsidRPr="00505A17">
        <w:rPr>
          <w:rFonts w:ascii="Arial" w:eastAsiaTheme="minorHAnsi" w:hAnsi="Arial" w:cs="Arial"/>
          <w:i/>
          <w:iCs/>
          <w:sz w:val="22"/>
          <w:szCs w:val="22"/>
          <w:lang w:val="fr-FR"/>
        </w:rPr>
        <w:t xml:space="preserve">Addax </w:t>
      </w:r>
      <w:proofErr w:type="spellStart"/>
      <w:r w:rsidRPr="00505A17">
        <w:rPr>
          <w:rFonts w:ascii="Arial" w:eastAsiaTheme="minorHAnsi" w:hAnsi="Arial" w:cs="Arial"/>
          <w:i/>
          <w:iCs/>
          <w:sz w:val="22"/>
          <w:szCs w:val="22"/>
          <w:lang w:val="fr-FR"/>
        </w:rPr>
        <w:t>nasomaculatus</w:t>
      </w:r>
      <w:proofErr w:type="spellEnd"/>
      <w:r w:rsidRPr="00505A17">
        <w:rPr>
          <w:rFonts w:ascii="Arial" w:eastAsiaTheme="minorHAnsi" w:hAnsi="Arial" w:cs="Arial"/>
          <w:sz w:val="22"/>
          <w:szCs w:val="22"/>
          <w:lang w:val="fr-FR"/>
        </w:rPr>
        <w:t>), ou sont éteintes à l’état sauvage, comme l’oryx algazelle (</w:t>
      </w:r>
      <w:r w:rsidRPr="00505A17">
        <w:rPr>
          <w:rFonts w:ascii="Arial" w:eastAsiaTheme="minorHAnsi" w:hAnsi="Arial" w:cs="Arial"/>
          <w:i/>
          <w:iCs/>
          <w:sz w:val="22"/>
          <w:szCs w:val="22"/>
          <w:lang w:val="fr-FR"/>
        </w:rPr>
        <w:t xml:space="preserve">Oryx </w:t>
      </w:r>
      <w:proofErr w:type="spellStart"/>
      <w:r w:rsidRPr="00505A17">
        <w:rPr>
          <w:rFonts w:ascii="Arial" w:eastAsiaTheme="minorHAnsi" w:hAnsi="Arial" w:cs="Arial"/>
          <w:i/>
          <w:iCs/>
          <w:sz w:val="22"/>
          <w:szCs w:val="22"/>
          <w:lang w:val="fr-FR"/>
        </w:rPr>
        <w:t>dammah</w:t>
      </w:r>
      <w:proofErr w:type="spellEnd"/>
      <w:r w:rsidRPr="00505A17">
        <w:rPr>
          <w:rFonts w:ascii="Arial" w:eastAsiaTheme="minorHAnsi" w:hAnsi="Arial" w:cs="Arial"/>
          <w:sz w:val="22"/>
          <w:szCs w:val="22"/>
          <w:lang w:val="fr-FR"/>
        </w:rPr>
        <w:t>).</w:t>
      </w:r>
    </w:p>
    <w:p w14:paraId="6B195CB4"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lastRenderedPageBreak/>
        <w:t>ii. L’aire de répartition de l’espèce est limitée par une ou plusieurs barrière(s) naturelle(s)</w:t>
      </w:r>
    </w:p>
    <w:p w14:paraId="47064CA4" w14:textId="77777777" w:rsidR="00D631F7" w:rsidRPr="00505A17" w:rsidRDefault="00D631F7" w:rsidP="00D70C47">
      <w:pPr>
        <w:widowControl/>
        <w:autoSpaceDE/>
        <w:autoSpaceDN/>
        <w:ind w:left="851"/>
        <w:jc w:val="both"/>
        <w:textAlignment w:val="auto"/>
        <w:rPr>
          <w:rFonts w:ascii="Arial" w:eastAsiaTheme="minorHAnsi" w:hAnsi="Arial" w:cs="Arial"/>
          <w:b/>
          <w:bCs/>
          <w:sz w:val="22"/>
          <w:szCs w:val="22"/>
          <w:lang w:val="fr-FR"/>
        </w:rPr>
      </w:pPr>
    </w:p>
    <w:p w14:paraId="57B7151B" w14:textId="77777777" w:rsidR="00D631F7" w:rsidRPr="00505A17" w:rsidRDefault="00D631F7" w:rsidP="00D70C47">
      <w:pPr>
        <w:widowControl/>
        <w:autoSpaceDE/>
        <w:autoSpaceDN/>
        <w:jc w:val="both"/>
        <w:textAlignment w:val="auto"/>
        <w:rPr>
          <w:rFonts w:ascii="Arial" w:eastAsiaTheme="minorHAnsi" w:hAnsi="Arial" w:cs="Arial"/>
          <w:sz w:val="22"/>
          <w:szCs w:val="22"/>
          <w:highlight w:val="yellow"/>
          <w:lang w:val="fr-FR"/>
        </w:rPr>
      </w:pPr>
      <w:r w:rsidRPr="00505A17">
        <w:rPr>
          <w:rFonts w:ascii="Arial" w:eastAsiaTheme="minorHAnsi" w:hAnsi="Arial" w:cs="Arial"/>
          <w:sz w:val="22"/>
          <w:szCs w:val="22"/>
          <w:lang w:val="fr-FR"/>
        </w:rPr>
        <w:t>Lorsque les changements climatiques dégradent l’habitat à un endroit, il se peut que cet habitat ne puisse pas se reconstituer naturellement dans les zones adjacentes.  Les systèmes de récifs coralliens utilisés par les tortues imbriquées (</w:t>
      </w:r>
      <w:proofErr w:type="spellStart"/>
      <w:r w:rsidRPr="00505A17">
        <w:rPr>
          <w:rFonts w:ascii="Arial" w:eastAsiaTheme="minorHAnsi" w:hAnsi="Arial" w:cs="Arial"/>
          <w:i/>
          <w:iCs/>
          <w:sz w:val="22"/>
          <w:szCs w:val="22"/>
          <w:lang w:val="fr-FR"/>
        </w:rPr>
        <w:t>Eretmochelys</w:t>
      </w:r>
      <w:proofErr w:type="spellEnd"/>
      <w:r w:rsidRPr="00505A17">
        <w:rPr>
          <w:rFonts w:ascii="Arial" w:eastAsiaTheme="minorHAnsi" w:hAnsi="Arial" w:cs="Arial"/>
          <w:i/>
          <w:iCs/>
          <w:sz w:val="22"/>
          <w:szCs w:val="22"/>
          <w:lang w:val="fr-FR"/>
        </w:rPr>
        <w:t xml:space="preserve"> </w:t>
      </w:r>
      <w:proofErr w:type="spellStart"/>
      <w:r w:rsidRPr="00505A17">
        <w:rPr>
          <w:rFonts w:ascii="Arial" w:eastAsiaTheme="minorHAnsi" w:hAnsi="Arial" w:cs="Arial"/>
          <w:i/>
          <w:iCs/>
          <w:sz w:val="22"/>
          <w:szCs w:val="22"/>
          <w:lang w:val="fr-FR"/>
        </w:rPr>
        <w:t>imbricata</w:t>
      </w:r>
      <w:proofErr w:type="spellEnd"/>
      <w:r w:rsidRPr="00505A17">
        <w:rPr>
          <w:rFonts w:ascii="Arial" w:eastAsiaTheme="minorHAnsi" w:hAnsi="Arial" w:cs="Arial"/>
          <w:sz w:val="22"/>
          <w:szCs w:val="22"/>
          <w:lang w:val="fr-FR"/>
        </w:rPr>
        <w:t>) en sont un exemple. Un problème connexe se pose lorsque les sites de reproduction ou de nidification doivent rester géographiquement fixes, tandis que les sites d’alimentation sont éloignés par les changements climatiques, comme cela peut être le cas pour les tortues caouannes (</w:t>
      </w:r>
      <w:r w:rsidRPr="00505A17">
        <w:rPr>
          <w:rFonts w:ascii="Arial" w:eastAsiaTheme="minorHAnsi" w:hAnsi="Arial" w:cs="Arial"/>
          <w:i/>
          <w:iCs/>
          <w:sz w:val="22"/>
          <w:szCs w:val="22"/>
          <w:lang w:val="fr-FR"/>
        </w:rPr>
        <w:t xml:space="preserve">Caretta </w:t>
      </w:r>
      <w:proofErr w:type="spellStart"/>
      <w:r w:rsidRPr="00505A17">
        <w:rPr>
          <w:rFonts w:ascii="Arial" w:eastAsiaTheme="minorHAnsi" w:hAnsi="Arial" w:cs="Arial"/>
          <w:i/>
          <w:iCs/>
          <w:sz w:val="22"/>
          <w:szCs w:val="22"/>
          <w:lang w:val="fr-FR"/>
        </w:rPr>
        <w:t>caretta</w:t>
      </w:r>
      <w:proofErr w:type="spellEnd"/>
      <w:r w:rsidRPr="00505A17">
        <w:rPr>
          <w:rFonts w:ascii="Arial" w:eastAsiaTheme="minorHAnsi" w:hAnsi="Arial" w:cs="Arial"/>
          <w:sz w:val="22"/>
          <w:szCs w:val="22"/>
          <w:lang w:val="fr-FR"/>
        </w:rPr>
        <w:t>) et les albatros à tête grise (</w:t>
      </w:r>
      <w:proofErr w:type="spellStart"/>
      <w:r w:rsidRPr="00505A17">
        <w:rPr>
          <w:rFonts w:ascii="Arial" w:eastAsiaTheme="minorHAnsi" w:hAnsi="Arial" w:cs="Arial"/>
          <w:i/>
          <w:iCs/>
          <w:sz w:val="22"/>
          <w:szCs w:val="22"/>
          <w:lang w:val="fr-FR"/>
        </w:rPr>
        <w:t>Thalassarche</w:t>
      </w:r>
      <w:proofErr w:type="spellEnd"/>
      <w:r w:rsidRPr="00505A17">
        <w:rPr>
          <w:rFonts w:ascii="Arial" w:eastAsiaTheme="minorHAnsi" w:hAnsi="Arial" w:cs="Arial"/>
          <w:i/>
          <w:iCs/>
          <w:sz w:val="22"/>
          <w:szCs w:val="22"/>
          <w:lang w:val="fr-FR"/>
        </w:rPr>
        <w:t xml:space="preserve"> </w:t>
      </w:r>
      <w:proofErr w:type="spellStart"/>
      <w:r w:rsidRPr="00505A17">
        <w:rPr>
          <w:rFonts w:ascii="Arial" w:eastAsiaTheme="minorHAnsi" w:hAnsi="Arial" w:cs="Arial"/>
          <w:i/>
          <w:iCs/>
          <w:sz w:val="22"/>
          <w:szCs w:val="22"/>
          <w:lang w:val="fr-FR"/>
        </w:rPr>
        <w:t>chrysostoma</w:t>
      </w:r>
      <w:proofErr w:type="spellEnd"/>
      <w:r w:rsidRPr="00505A17">
        <w:rPr>
          <w:rFonts w:ascii="Arial" w:eastAsiaTheme="minorHAnsi" w:hAnsi="Arial" w:cs="Arial"/>
          <w:sz w:val="22"/>
          <w:szCs w:val="22"/>
          <w:lang w:val="fr-FR"/>
        </w:rPr>
        <w:t>).</w:t>
      </w:r>
    </w:p>
    <w:p w14:paraId="25B18B5F" w14:textId="77777777" w:rsidR="00D631F7" w:rsidRPr="00505A17" w:rsidRDefault="00D631F7" w:rsidP="00D70C47">
      <w:pPr>
        <w:widowControl/>
        <w:autoSpaceDE/>
        <w:autoSpaceDN/>
        <w:ind w:left="2880"/>
        <w:jc w:val="both"/>
        <w:textAlignment w:val="auto"/>
        <w:rPr>
          <w:rFonts w:ascii="Arial" w:eastAsiaTheme="minorHAnsi" w:hAnsi="Arial" w:cs="Arial"/>
          <w:sz w:val="22"/>
          <w:szCs w:val="22"/>
          <w:highlight w:val="yellow"/>
          <w:lang w:val="fr-FR"/>
        </w:rPr>
      </w:pPr>
    </w:p>
    <w:p w14:paraId="273C77D5"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iii. L’aire de répartition de l’espèce est limitée par une ou plusieurs barrière(s) anthropique(s)</w:t>
      </w:r>
    </w:p>
    <w:p w14:paraId="55CDE252" w14:textId="77777777" w:rsidR="00D631F7" w:rsidRPr="00505A17" w:rsidRDefault="00D631F7" w:rsidP="00D70C47">
      <w:pPr>
        <w:widowControl/>
        <w:autoSpaceDE/>
        <w:autoSpaceDN/>
        <w:ind w:left="851"/>
        <w:jc w:val="both"/>
        <w:textAlignment w:val="auto"/>
        <w:rPr>
          <w:rFonts w:ascii="Arial" w:eastAsiaTheme="minorHAnsi" w:hAnsi="Arial" w:cs="Arial"/>
          <w:b/>
          <w:bCs/>
          <w:sz w:val="22"/>
          <w:szCs w:val="22"/>
          <w:lang w:val="fr-FR"/>
        </w:rPr>
      </w:pPr>
    </w:p>
    <w:p w14:paraId="5670499E"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Lorsqu’il n’y a pas de barrière naturelle à l’expansion de l’aire de répartition, il peut y avoir à la place une barrière résultant de l’activité humaine. C’est le cas pour les sites de nidification d’espèces d’oiseaux marins comme l’albatros à pieds noirs (</w:t>
      </w:r>
      <w:proofErr w:type="spellStart"/>
      <w:r w:rsidRPr="00505A17">
        <w:rPr>
          <w:rFonts w:ascii="Arial" w:eastAsiaTheme="minorHAnsi" w:hAnsi="Arial" w:cs="Arial"/>
          <w:i/>
          <w:iCs/>
          <w:sz w:val="22"/>
          <w:szCs w:val="22"/>
          <w:lang w:val="fr-FR"/>
        </w:rPr>
        <w:t>Phoebastria</w:t>
      </w:r>
      <w:proofErr w:type="spellEnd"/>
      <w:r w:rsidRPr="00505A17">
        <w:rPr>
          <w:rFonts w:ascii="Arial" w:eastAsiaTheme="minorHAnsi" w:hAnsi="Arial" w:cs="Arial"/>
          <w:i/>
          <w:iCs/>
          <w:sz w:val="22"/>
          <w:szCs w:val="22"/>
          <w:lang w:val="fr-FR"/>
        </w:rPr>
        <w:t xml:space="preserve"> </w:t>
      </w:r>
      <w:proofErr w:type="spellStart"/>
      <w:r w:rsidRPr="00505A17">
        <w:rPr>
          <w:rFonts w:ascii="Arial" w:eastAsiaTheme="minorHAnsi" w:hAnsi="Arial" w:cs="Arial"/>
          <w:i/>
          <w:iCs/>
          <w:sz w:val="22"/>
          <w:szCs w:val="22"/>
          <w:lang w:val="fr-FR"/>
        </w:rPr>
        <w:t>nigripes</w:t>
      </w:r>
      <w:proofErr w:type="spellEnd"/>
      <w:r w:rsidRPr="00505A17">
        <w:rPr>
          <w:rFonts w:ascii="Arial" w:eastAsiaTheme="minorHAnsi" w:hAnsi="Arial" w:cs="Arial"/>
          <w:sz w:val="22"/>
          <w:szCs w:val="22"/>
          <w:lang w:val="fr-FR"/>
        </w:rPr>
        <w:t>), où l’élévation du niveau de la mer sur les îles est susceptible de pousser les oiseaux à nicher à plus haute latitude et/ou altitude, ce qui ne convient pas en raison de la présence de prédateurs envahissants ou d’activités humaines. Il se peut aussi qu’il y ait des barrières anthropiques aux frontières entre les Organisations régionales de gestion des pêches (ORGP), lorsqu’une expansion de l’aire de répartition a pour conséquence d’amener des espèces dans des mers dont les normes d’atténuation des prises accessoires sont différentes.</w:t>
      </w:r>
    </w:p>
    <w:p w14:paraId="2CC50678" w14:textId="77777777" w:rsidR="00D631F7" w:rsidRPr="00505A17" w:rsidRDefault="00D631F7" w:rsidP="00D70C47">
      <w:pPr>
        <w:widowControl/>
        <w:autoSpaceDE/>
        <w:autoSpaceDN/>
        <w:jc w:val="both"/>
        <w:textAlignment w:val="auto"/>
        <w:rPr>
          <w:rFonts w:ascii="Arial" w:eastAsiaTheme="minorHAnsi" w:hAnsi="Arial" w:cs="Arial"/>
          <w:sz w:val="22"/>
          <w:szCs w:val="22"/>
          <w:highlight w:val="yellow"/>
          <w:lang w:val="fr-FR"/>
        </w:rPr>
      </w:pPr>
    </w:p>
    <w:p w14:paraId="1D95FBCB"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iv. L’aire de répartition de l’espèce est susceptible d’être limitée par une ou plusieurs barrière(s) anthropique(s) à l’avenir</w:t>
      </w:r>
    </w:p>
    <w:p w14:paraId="1DE95831" w14:textId="77777777" w:rsidR="00D631F7" w:rsidRPr="00505A17" w:rsidRDefault="00D631F7" w:rsidP="00D70C47">
      <w:pPr>
        <w:widowControl/>
        <w:autoSpaceDE/>
        <w:autoSpaceDN/>
        <w:ind w:left="1134"/>
        <w:jc w:val="both"/>
        <w:textAlignment w:val="auto"/>
        <w:rPr>
          <w:rFonts w:ascii="Arial" w:eastAsiaTheme="minorHAnsi" w:hAnsi="Arial" w:cs="Arial"/>
          <w:b/>
          <w:bCs/>
          <w:sz w:val="22"/>
          <w:szCs w:val="22"/>
          <w:lang w:val="fr-FR"/>
        </w:rPr>
      </w:pPr>
    </w:p>
    <w:p w14:paraId="1BE9012E"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Même si certaines espèces sont à l’heure actuelle capables d’adapter leurs déplacements pour faire face aux changements climatiques, il est probable que ces futurs habitats subissent des changements qui les rendront inadaptés. Cette situation problématique se pose particulièrement dans l’Arctique, où la fonte de la glace de mer permet une plus grande navigation et donc une activité industrielle accrue. Si une grande partie de l’Arctique est actuellement en mesure d’accueillir les déplacements vers les pôles d’espèces, telles que la baleine boréale (</w:t>
      </w:r>
      <w:proofErr w:type="spellStart"/>
      <w:r w:rsidRPr="00505A17">
        <w:rPr>
          <w:rFonts w:ascii="Arial" w:eastAsiaTheme="minorHAnsi" w:hAnsi="Arial" w:cs="Arial"/>
          <w:i/>
          <w:iCs/>
          <w:sz w:val="22"/>
          <w:szCs w:val="22"/>
          <w:lang w:val="fr-FR"/>
        </w:rPr>
        <w:t>Balaena</w:t>
      </w:r>
      <w:proofErr w:type="spellEnd"/>
      <w:r w:rsidRPr="00505A17">
        <w:rPr>
          <w:rFonts w:ascii="Arial" w:eastAsiaTheme="minorHAnsi" w:hAnsi="Arial" w:cs="Arial"/>
          <w:i/>
          <w:iCs/>
          <w:sz w:val="22"/>
          <w:szCs w:val="22"/>
          <w:lang w:val="fr-FR"/>
        </w:rPr>
        <w:t xml:space="preserve"> </w:t>
      </w:r>
      <w:proofErr w:type="spellStart"/>
      <w:r w:rsidRPr="00505A17">
        <w:rPr>
          <w:rFonts w:ascii="Arial" w:eastAsiaTheme="minorHAnsi" w:hAnsi="Arial" w:cs="Arial"/>
          <w:i/>
          <w:iCs/>
          <w:sz w:val="22"/>
          <w:szCs w:val="22"/>
          <w:lang w:val="fr-FR"/>
        </w:rPr>
        <w:t>mysticetus</w:t>
      </w:r>
      <w:proofErr w:type="spellEnd"/>
      <w:r w:rsidRPr="00505A17">
        <w:rPr>
          <w:rFonts w:ascii="Arial" w:eastAsiaTheme="minorHAnsi" w:hAnsi="Arial" w:cs="Arial"/>
          <w:sz w:val="22"/>
          <w:szCs w:val="22"/>
          <w:lang w:val="fr-FR"/>
        </w:rPr>
        <w:t>), il n’en demeure pas moins qu’au moment où ces déplacements d’aires de répartition se produiront, l’environnement marin de l’Arctique sera susceptible d’être plus développé et donc moins adapté qu’aujourd’hui. De même, il est possible que les zones humides actuellement inutilisées par les oiseaux d’eau et dont le développement est envisagé deviennent plus convoitées en tant que sites de halte en raison de l’élévation du niveau de la mer. Enfin, la progression de l’aridification dans le Sahara et la modification des précipitations dans le Sahel pourraient pousser des espèces sauvages telles que la gazelle dorcas (</w:t>
      </w:r>
      <w:r w:rsidRPr="00505A17">
        <w:rPr>
          <w:rFonts w:ascii="Arial" w:eastAsiaTheme="minorHAnsi" w:hAnsi="Arial" w:cs="Arial"/>
          <w:i/>
          <w:iCs/>
          <w:sz w:val="22"/>
          <w:szCs w:val="22"/>
          <w:lang w:val="fr-FR"/>
        </w:rPr>
        <w:t>Gazella dorcas</w:t>
      </w:r>
      <w:r w:rsidRPr="00505A17">
        <w:rPr>
          <w:rFonts w:ascii="Arial" w:eastAsiaTheme="minorHAnsi" w:hAnsi="Arial" w:cs="Arial"/>
          <w:sz w:val="22"/>
          <w:szCs w:val="22"/>
          <w:lang w:val="fr-FR"/>
        </w:rPr>
        <w:t>) à entrer en concurrence pour leur habitat, sachant que les terres sont de plus en plus prisées à des fins agricoles.</w:t>
      </w:r>
    </w:p>
    <w:p w14:paraId="553A8CE8" w14:textId="77777777" w:rsidR="00D631F7" w:rsidRPr="00505A17" w:rsidRDefault="00D631F7" w:rsidP="00D70C47">
      <w:pPr>
        <w:widowControl/>
        <w:autoSpaceDE/>
        <w:autoSpaceDN/>
        <w:jc w:val="both"/>
        <w:textAlignment w:val="auto"/>
        <w:rPr>
          <w:rFonts w:ascii="Arial" w:eastAsiaTheme="minorHAnsi" w:hAnsi="Arial" w:cs="Arial"/>
          <w:b/>
          <w:sz w:val="22"/>
          <w:szCs w:val="22"/>
          <w:lang w:val="fr-FR"/>
        </w:rPr>
      </w:pPr>
    </w:p>
    <w:p w14:paraId="0C78F5AF" w14:textId="66E40902"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sz w:val="22"/>
          <w:szCs w:val="22"/>
          <w:lang w:val="fr-FR"/>
        </w:rPr>
        <w:t>3. Un cadre d’action</w:t>
      </w:r>
    </w:p>
    <w:p w14:paraId="1775FE50" w14:textId="77777777" w:rsidR="00D631F7" w:rsidRPr="00505A17" w:rsidRDefault="00D631F7" w:rsidP="00D70C47">
      <w:pPr>
        <w:widowControl/>
        <w:autoSpaceDE/>
        <w:autoSpaceDN/>
        <w:jc w:val="both"/>
        <w:textAlignment w:val="auto"/>
        <w:rPr>
          <w:rFonts w:ascii="Arial" w:eastAsiaTheme="minorHAnsi" w:hAnsi="Arial" w:cs="Arial"/>
          <w:b/>
          <w:bCs/>
          <w:sz w:val="22"/>
          <w:szCs w:val="22"/>
          <w:highlight w:val="yellow"/>
          <w:lang w:val="fr-FR"/>
        </w:rPr>
      </w:pPr>
    </w:p>
    <w:p w14:paraId="24A9FE55"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Le cadre décisionnel présenté ci-après est influencé par les approches de l’observation et de la gestion des écosystèmes dans les pêcheries</w:t>
      </w:r>
      <w:sdt>
        <w:sdtPr>
          <w:rPr>
            <w:rFonts w:ascii="Arial" w:eastAsiaTheme="minorHAnsi" w:hAnsi="Arial" w:cs="Arial"/>
            <w:sz w:val="22"/>
            <w:szCs w:val="22"/>
            <w:lang w:val="fr-FR"/>
          </w:rPr>
          <w:id w:val="-2050981522"/>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Lin20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(Link, Huse, Gaichas, &amp; Marshak, 2020)</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 par la « science de la décision » utilisée pour donner la priorité à la conservation</w:t>
      </w:r>
      <w:sdt>
        <w:sdtPr>
          <w:rPr>
            <w:rFonts w:ascii="Arial" w:eastAsiaTheme="minorHAnsi" w:hAnsi="Arial" w:cs="Arial"/>
            <w:sz w:val="22"/>
            <w:szCs w:val="22"/>
            <w:lang w:val="fr-FR"/>
          </w:rPr>
          <w:id w:val="429397740"/>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Xia211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(Xiao, et al., 2021)</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xml:space="preserve"> et par la hiérarchisation des priorités de recherche</w:t>
      </w:r>
      <w:sdt>
        <w:sdtPr>
          <w:rPr>
            <w:rFonts w:ascii="Arial" w:eastAsiaTheme="minorHAnsi" w:hAnsi="Arial" w:cs="Arial"/>
            <w:sz w:val="22"/>
            <w:szCs w:val="22"/>
            <w:lang w:val="fr-FR"/>
          </w:rPr>
          <w:id w:val="1598211943"/>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Rus20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(Rushing, Rubenstein, Lyons, &amp; Runge, 2020)</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xml:space="preserve"> pour les oiseaux migrateurs. Il est conçu pour servir de base à la coopération entre les États de l’aire de répartition et à la définition des priorités d’action pour les espèces migratrices menacées par les changements climatiques. En combinant ce cadre avec une analyse minutieuse des données scientifiques pour chaque espèce, il est possible d’axer les stratégies sur des mesures qui tirent le meilleur parti des ressources pour protéger les espèces et leurs itinéraires de migration. </w:t>
      </w:r>
    </w:p>
    <w:p w14:paraId="09DC05DC"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lastRenderedPageBreak/>
        <w:t xml:space="preserve">Le Cadre décisionnel envisage quatre stratégies : la conservation, la restauration, l’adaptation et le transfert. </w:t>
      </w:r>
      <w:r w:rsidRPr="00505A17">
        <w:rPr>
          <w:rFonts w:ascii="Arial" w:eastAsia="MS Mincho" w:hAnsi="Arial" w:cs="Arial"/>
          <w:color w:val="000000" w:themeColor="text1"/>
          <w:sz w:val="22"/>
          <w:szCs w:val="22"/>
          <w:lang w:val="fr-FR"/>
        </w:rPr>
        <w:t>Le cadre vise</w:t>
      </w:r>
      <w:r w:rsidRPr="00505A17">
        <w:rPr>
          <w:rFonts w:ascii="Arial" w:eastAsia="MS Mincho" w:hAnsi="Arial" w:cs="Arial"/>
          <w:sz w:val="22"/>
          <w:szCs w:val="22"/>
          <w:lang w:val="fr-FR"/>
        </w:rPr>
        <w:t>, tout d’abord, à définir et à classer les conditions écologiques, logistiques, sociétales, financières et politiques nécessaires pour que ces stratégies soient viables pour les espèces marines migratrices dont l’aire de répartition est modifiée par le changement climatique.</w:t>
      </w:r>
    </w:p>
    <w:p w14:paraId="2519B909" w14:textId="77777777" w:rsidR="00D631F7" w:rsidRPr="00505A17" w:rsidRDefault="00D631F7" w:rsidP="00D70C47">
      <w:pPr>
        <w:widowControl/>
        <w:autoSpaceDE/>
        <w:autoSpaceDN/>
        <w:jc w:val="both"/>
        <w:textAlignment w:val="auto"/>
        <w:rPr>
          <w:rFonts w:ascii="Arial" w:eastAsiaTheme="minorHAnsi" w:hAnsi="Arial" w:cs="Arial"/>
          <w:sz w:val="22"/>
          <w:szCs w:val="22"/>
          <w:highlight w:val="yellow"/>
          <w:lang w:val="fr-FR"/>
        </w:rPr>
      </w:pPr>
    </w:p>
    <w:p w14:paraId="66DC4BC9" w14:textId="77777777" w:rsidR="00D631F7" w:rsidRPr="00505A17" w:rsidRDefault="00D631F7" w:rsidP="00D70C47">
      <w:pPr>
        <w:adjustRightInd w:val="0"/>
        <w:jc w:val="both"/>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4. Définitions des stratégies, calendriers et échelles d’action</w:t>
      </w:r>
    </w:p>
    <w:p w14:paraId="2C543CBB" w14:textId="77777777" w:rsidR="00D631F7" w:rsidRPr="00505A17" w:rsidRDefault="00D631F7" w:rsidP="00D70C47">
      <w:pPr>
        <w:adjustRightInd w:val="0"/>
        <w:jc w:val="both"/>
        <w:textAlignment w:val="auto"/>
        <w:rPr>
          <w:rFonts w:ascii="Arial" w:eastAsia="MS Mincho" w:hAnsi="Arial" w:cs="Arial"/>
          <w:b/>
          <w:bCs/>
          <w:sz w:val="22"/>
          <w:szCs w:val="22"/>
          <w:highlight w:val="yellow"/>
          <w:lang w:val="fr-FR"/>
        </w:rPr>
      </w:pPr>
    </w:p>
    <w:p w14:paraId="36AA9C30" w14:textId="77777777" w:rsidR="00D631F7" w:rsidRPr="00505A17" w:rsidRDefault="00D631F7" w:rsidP="00D70C47">
      <w:pPr>
        <w:adjustRightInd w:val="0"/>
        <w:jc w:val="both"/>
        <w:textAlignment w:val="auto"/>
        <w:rPr>
          <w:rFonts w:ascii="Arial" w:eastAsia="MS Mincho" w:hAnsi="Arial" w:cs="Arial"/>
          <w:b/>
          <w:bCs/>
          <w:sz w:val="22"/>
          <w:szCs w:val="22"/>
          <w:lang w:val="fr-FR"/>
        </w:rPr>
      </w:pPr>
      <w:r w:rsidRPr="00505A17">
        <w:rPr>
          <w:rFonts w:ascii="Arial" w:eastAsiaTheme="minorHAnsi" w:hAnsi="Arial" w:cstheme="minorBidi"/>
          <w:sz w:val="22"/>
          <w:szCs w:val="22"/>
          <w:lang w:val="fr-FR"/>
        </w:rPr>
        <w:t>Les définitions de chacune des stratégies ci-dessous ne s’appliquent qu’au cadre décisionnel.</w:t>
      </w:r>
    </w:p>
    <w:p w14:paraId="4A36B780" w14:textId="77777777" w:rsidR="00D631F7" w:rsidRPr="00505A17" w:rsidRDefault="00D631F7" w:rsidP="00D70C47">
      <w:pPr>
        <w:widowControl/>
        <w:autoSpaceDE/>
        <w:autoSpaceDN/>
        <w:jc w:val="both"/>
        <w:textAlignment w:val="auto"/>
        <w:rPr>
          <w:rFonts w:ascii="Arial" w:eastAsiaTheme="minorHAnsi" w:hAnsi="Arial" w:cs="Arial"/>
          <w:sz w:val="22"/>
          <w:szCs w:val="22"/>
          <w:highlight w:val="yellow"/>
          <w:lang w:val="fr-FR"/>
        </w:rPr>
      </w:pPr>
    </w:p>
    <w:p w14:paraId="302A9014"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i. Conservation</w:t>
      </w:r>
    </w:p>
    <w:p w14:paraId="6BE61C4A"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p>
    <w:p w14:paraId="75D83898"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conservation fait référence à la protection et à la gestion de l’habitat existant dans l’aire de répartition future prévue d’une espèce ou d’une population, afin de prévenir tout déclin ultérieur.</w:t>
      </w:r>
    </w:p>
    <w:p w14:paraId="030006D9"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p>
    <w:p w14:paraId="33136E67"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Parmi les exemples de stratégies de conservation,  on peut citer la mise en place de zones tampons à l’intérieur des terres à partir des zones humides côtières actuelles</w:t>
      </w:r>
      <w:sdt>
        <w:sdtPr>
          <w:rPr>
            <w:rFonts w:ascii="Arial" w:eastAsiaTheme="minorHAnsi" w:hAnsi="Arial" w:cs="Arial"/>
            <w:sz w:val="22"/>
            <w:szCs w:val="22"/>
            <w:lang w:val="fr-FR"/>
          </w:rPr>
          <w:id w:val="1155348039"/>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Acl20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(Wikramanayake, et al., 2020)</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xml:space="preserve"> et la limitation de l’expansion industrielle dans l’Arctique, éventuellement à l’aide d’outils tels qu’</w:t>
      </w:r>
      <w:proofErr w:type="spellStart"/>
      <w:r w:rsidRPr="00505A17">
        <w:rPr>
          <w:rFonts w:ascii="Arial" w:eastAsiaTheme="minorHAnsi" w:hAnsi="Arial" w:cs="Arial"/>
          <w:sz w:val="22"/>
          <w:szCs w:val="22"/>
          <w:lang w:val="fr-FR"/>
        </w:rPr>
        <w:t>ArcNet</w:t>
      </w:r>
      <w:proofErr w:type="spellEnd"/>
      <w:r w:rsidRPr="00505A17">
        <w:rPr>
          <w:rFonts w:ascii="Arial" w:eastAsiaTheme="minorHAnsi" w:hAnsi="Arial" w:cs="Arial"/>
          <w:sz w:val="22"/>
          <w:szCs w:val="22"/>
          <w:lang w:val="fr-FR"/>
        </w:rPr>
        <w:t xml:space="preserve"> 29 du Fonds mondial pour la nature (WWF).</w:t>
      </w:r>
    </w:p>
    <w:p w14:paraId="0B7F2869"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p>
    <w:p w14:paraId="283DF719" w14:textId="77777777" w:rsidR="00D631F7" w:rsidRPr="00505A17" w:rsidRDefault="00D631F7" w:rsidP="00D70C47">
      <w:pPr>
        <w:keepNext/>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ii. Restauration</w:t>
      </w:r>
    </w:p>
    <w:p w14:paraId="6C3D4156" w14:textId="77777777" w:rsidR="00D631F7" w:rsidRPr="00505A17" w:rsidRDefault="00D631F7" w:rsidP="00D70C47">
      <w:pPr>
        <w:keepNext/>
        <w:widowControl/>
        <w:autoSpaceDE/>
        <w:autoSpaceDN/>
        <w:ind w:left="1134"/>
        <w:jc w:val="both"/>
        <w:textAlignment w:val="auto"/>
        <w:rPr>
          <w:rFonts w:ascii="Arial" w:eastAsiaTheme="minorHAnsi" w:hAnsi="Arial" w:cs="Arial"/>
          <w:b/>
          <w:bCs/>
          <w:sz w:val="22"/>
          <w:szCs w:val="22"/>
          <w:lang w:val="fr-FR"/>
        </w:rPr>
      </w:pPr>
    </w:p>
    <w:p w14:paraId="0500767C"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restauration désigne le rétablissement actif ou la réhabilitation d’habitats ou de populations dégradés, endommagés ou détruits, afin de leur rendre leur état antérieur, fonctionnel ou résilient.</w:t>
      </w:r>
    </w:p>
    <w:p w14:paraId="7DCE186F"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p>
    <w:p w14:paraId="668C4CAA"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Parmi les exemples de stratégies de restauration figurent l’élimination active des prédateurs envahissants des sites potentiels de nidification des oiseaux marins</w:t>
      </w:r>
      <w:sdt>
        <w:sdtPr>
          <w:rPr>
            <w:rFonts w:ascii="Arial" w:eastAsiaTheme="minorHAnsi" w:hAnsi="Arial" w:cs="Arial"/>
            <w:sz w:val="22"/>
            <w:szCs w:val="22"/>
            <w:lang w:val="fr-FR"/>
          </w:rPr>
          <w:id w:val="1420603326"/>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Rey15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(Reynolds, et al., 2015)</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xml:space="preserve"> et le renforcement des mesures de réduction des prises accessoires au-delà des frontières de pêche pour promouvoir la restauration naturelle </w:t>
      </w:r>
      <w:sdt>
        <w:sdtPr>
          <w:rPr>
            <w:rFonts w:ascii="Arial" w:eastAsiaTheme="minorHAnsi" w:hAnsi="Arial" w:cs="Arial"/>
            <w:sz w:val="22"/>
            <w:szCs w:val="22"/>
            <w:lang w:val="fr-FR"/>
          </w:rPr>
          <w:id w:val="1873035673"/>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Krü17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(Krüger, et al., 2018)</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w:t>
      </w:r>
    </w:p>
    <w:p w14:paraId="2F65F6CB" w14:textId="77777777" w:rsidR="00D631F7" w:rsidRPr="00505A17" w:rsidRDefault="00D631F7" w:rsidP="00D70C47">
      <w:pPr>
        <w:widowControl/>
        <w:autoSpaceDE/>
        <w:autoSpaceDN/>
        <w:ind w:left="720"/>
        <w:jc w:val="both"/>
        <w:textAlignment w:val="auto"/>
        <w:rPr>
          <w:rFonts w:ascii="Arial" w:eastAsiaTheme="minorHAnsi" w:hAnsi="Arial" w:cs="Arial"/>
          <w:sz w:val="22"/>
          <w:szCs w:val="22"/>
          <w:lang w:val="fr-FR"/>
        </w:rPr>
      </w:pPr>
    </w:p>
    <w:p w14:paraId="75B985D6"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iii. Adaptation</w:t>
      </w:r>
    </w:p>
    <w:p w14:paraId="69505681"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p>
    <w:p w14:paraId="4A138521"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L’adaptation fait référence au processus d’ajustement des pratiques de conservation et de gestion afin de répondre aux impacts actuels et anticipés du changement climatique et d’autres changements environnementaux à grande échelle concernant les espèces migratrices et leurs habitats actuels.</w:t>
      </w:r>
    </w:p>
    <w:p w14:paraId="624CA28E" w14:textId="77777777" w:rsidR="00D631F7" w:rsidRPr="00505A17" w:rsidRDefault="00D631F7" w:rsidP="00D70C47">
      <w:pPr>
        <w:widowControl/>
        <w:autoSpaceDE/>
        <w:autoSpaceDN/>
        <w:jc w:val="both"/>
        <w:textAlignment w:val="auto"/>
        <w:rPr>
          <w:rFonts w:ascii="Arial" w:eastAsiaTheme="minorHAnsi" w:hAnsi="Arial" w:cs="Arial"/>
          <w:strike/>
          <w:sz w:val="22"/>
          <w:szCs w:val="22"/>
          <w:lang w:val="fr-FR"/>
        </w:rPr>
      </w:pPr>
    </w:p>
    <w:p w14:paraId="31051D38"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Par exemple, les tortues caouannes sont des espèces migratrices de longue distance qui reviennent sur des plages spécifiques pour pondre. Le sexe des nouveau-nés est déterminé par la température du sable pendant l’incubation, les sables plus chauds étant associés à la production d’un plus grand nombre de femelles. Un exemple d’adaptation pourrait être de créer de l’ombre au-dessus des nids afin de refroidir le sable et ainsi rétablir le rapport de masculinité.</w:t>
      </w:r>
    </w:p>
    <w:p w14:paraId="2C3EBBF2" w14:textId="77777777" w:rsidR="00D631F7" w:rsidRPr="00505A17" w:rsidRDefault="00D631F7" w:rsidP="00D70C47">
      <w:pPr>
        <w:widowControl/>
        <w:autoSpaceDE/>
        <w:autoSpaceDN/>
        <w:jc w:val="both"/>
        <w:textAlignment w:val="auto"/>
        <w:rPr>
          <w:rFonts w:ascii="Arial" w:eastAsiaTheme="minorHAnsi" w:hAnsi="Arial" w:cs="Arial"/>
          <w:strike/>
          <w:sz w:val="22"/>
          <w:szCs w:val="22"/>
          <w:lang w:val="fr-FR"/>
        </w:rPr>
      </w:pPr>
    </w:p>
    <w:p w14:paraId="7DBCFB24" w14:textId="77777777" w:rsidR="00D631F7" w:rsidRPr="00505A17" w:rsidRDefault="00D631F7" w:rsidP="00D70C47">
      <w:pPr>
        <w:widowControl/>
        <w:autoSpaceDE/>
        <w:autoSpaceDN/>
        <w:jc w:val="both"/>
        <w:textAlignment w:val="auto"/>
        <w:rPr>
          <w:rFonts w:ascii="Arial" w:eastAsiaTheme="minorHAnsi" w:hAnsi="Arial" w:cs="Arial"/>
          <w:b/>
          <w:bCs/>
          <w:sz w:val="22"/>
          <w:szCs w:val="22"/>
          <w:lang w:val="fr-FR"/>
        </w:rPr>
      </w:pPr>
      <w:r w:rsidRPr="00505A17">
        <w:rPr>
          <w:rFonts w:ascii="Arial" w:eastAsiaTheme="minorHAnsi" w:hAnsi="Arial" w:cs="Arial"/>
          <w:b/>
          <w:bCs/>
          <w:sz w:val="22"/>
          <w:szCs w:val="22"/>
          <w:lang w:val="fr-FR"/>
        </w:rPr>
        <w:t>iv. Transfert</w:t>
      </w:r>
    </w:p>
    <w:p w14:paraId="55FB982D" w14:textId="77777777" w:rsidR="00D631F7" w:rsidRPr="00505A17" w:rsidRDefault="00D631F7" w:rsidP="00D70C47">
      <w:pPr>
        <w:widowControl/>
        <w:autoSpaceDE/>
        <w:autoSpaceDN/>
        <w:ind w:left="1134"/>
        <w:jc w:val="both"/>
        <w:textAlignment w:val="auto"/>
        <w:rPr>
          <w:rFonts w:ascii="Arial" w:eastAsiaTheme="minorHAnsi" w:hAnsi="Arial" w:cs="Arial"/>
          <w:b/>
          <w:bCs/>
          <w:sz w:val="22"/>
          <w:szCs w:val="22"/>
          <w:lang w:val="fr-FR"/>
        </w:rPr>
      </w:pPr>
    </w:p>
    <w:p w14:paraId="3009D92E" w14:textId="77777777" w:rsidR="00D631F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 transfert désigne le déplacement intentionnel d’individus en vue d’établir, de rétablir ou de renforcer une population dans un nouvel habitat ou un ancien habitat approprié.</w:t>
      </w:r>
    </w:p>
    <w:p w14:paraId="287277E1" w14:textId="77777777" w:rsidR="00D70C47" w:rsidRPr="00505A17" w:rsidRDefault="00D70C47" w:rsidP="00D70C47">
      <w:pPr>
        <w:adjustRightInd w:val="0"/>
        <w:jc w:val="both"/>
        <w:textAlignment w:val="auto"/>
        <w:rPr>
          <w:rFonts w:ascii="Arial" w:eastAsia="MS Mincho" w:hAnsi="Arial" w:cs="Arial"/>
          <w:sz w:val="22"/>
          <w:szCs w:val="22"/>
          <w:lang w:val="fr-FR"/>
        </w:rPr>
      </w:pPr>
    </w:p>
    <w:p w14:paraId="410E1571" w14:textId="77777777"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t>Au nombre des exemples de stratégies de transfert figurent la réintroduction de l’addax (</w:t>
      </w:r>
      <w:r w:rsidRPr="00505A17">
        <w:rPr>
          <w:rFonts w:ascii="Arial" w:eastAsiaTheme="minorHAnsi" w:hAnsi="Arial" w:cs="Arial"/>
          <w:i/>
          <w:iCs/>
          <w:sz w:val="22"/>
          <w:szCs w:val="22"/>
          <w:lang w:val="fr-FR"/>
        </w:rPr>
        <w:t xml:space="preserve">Addax </w:t>
      </w:r>
      <w:proofErr w:type="spellStart"/>
      <w:r w:rsidRPr="00505A17">
        <w:rPr>
          <w:rFonts w:ascii="Arial" w:eastAsiaTheme="minorHAnsi" w:hAnsi="Arial" w:cs="Arial"/>
          <w:i/>
          <w:iCs/>
          <w:sz w:val="22"/>
          <w:szCs w:val="22"/>
          <w:lang w:val="fr-FR"/>
        </w:rPr>
        <w:t>Nasomaculatus</w:t>
      </w:r>
      <w:proofErr w:type="spellEnd"/>
      <w:r w:rsidRPr="00505A17">
        <w:rPr>
          <w:rFonts w:ascii="Arial" w:eastAsiaTheme="minorHAnsi" w:hAnsi="Arial" w:cs="Arial"/>
          <w:sz w:val="22"/>
          <w:szCs w:val="22"/>
          <w:lang w:val="fr-FR"/>
        </w:rPr>
        <w:t>) captif dans des zones protégées d’Afrique du Nord</w:t>
      </w:r>
      <w:sdt>
        <w:sdtPr>
          <w:rPr>
            <w:rFonts w:ascii="Arial" w:eastAsiaTheme="minorHAnsi" w:hAnsi="Arial" w:cs="Arial"/>
            <w:sz w:val="22"/>
            <w:szCs w:val="22"/>
            <w:lang w:val="fr-FR"/>
          </w:rPr>
          <w:id w:val="1588258967"/>
          <w:citation/>
        </w:sdtPr>
        <w:sdtEndPr/>
        <w:sdtContent>
          <w:r w:rsidRPr="00505A17">
            <w:rPr>
              <w:rFonts w:ascii="Arial" w:eastAsiaTheme="minorHAnsi" w:hAnsi="Arial" w:cs="Arial"/>
              <w:sz w:val="22"/>
              <w:szCs w:val="22"/>
              <w:lang w:val="fr-FR"/>
            </w:rPr>
            <w:fldChar w:fldCharType="begin"/>
          </w:r>
          <w:r w:rsidRPr="00505A17">
            <w:rPr>
              <w:rFonts w:ascii="Arial" w:eastAsiaTheme="minorHAnsi" w:hAnsi="Arial" w:cs="Arial"/>
              <w:sz w:val="22"/>
              <w:szCs w:val="22"/>
              <w:lang w:val="fr-FR"/>
            </w:rPr>
            <w:instrText xml:space="preserve"> CITATION New16 \l 2057 </w:instrText>
          </w:r>
          <w:r w:rsidRPr="00505A17">
            <w:rPr>
              <w:rFonts w:ascii="Arial" w:eastAsiaTheme="minorHAnsi" w:hAnsi="Arial" w:cs="Arial"/>
              <w:sz w:val="22"/>
              <w:szCs w:val="22"/>
              <w:lang w:val="fr-FR"/>
            </w:rPr>
            <w:fldChar w:fldCharType="separate"/>
          </w:r>
          <w:r w:rsidRPr="00505A17">
            <w:rPr>
              <w:rFonts w:ascii="Arial" w:eastAsiaTheme="minorHAnsi" w:hAnsi="Arial" w:cs="Arial"/>
              <w:sz w:val="22"/>
              <w:szCs w:val="22"/>
              <w:lang w:val="fr-FR"/>
            </w:rPr>
            <w:t xml:space="preserve"> (Newby, Wacher, Durant, Pettorelli, &amp; Gilbert, 2016)</w:t>
          </w:r>
          <w:r w:rsidRPr="00505A17">
            <w:rPr>
              <w:rFonts w:ascii="Arial" w:eastAsiaTheme="minorHAnsi" w:hAnsi="Arial" w:cs="Arial"/>
              <w:sz w:val="22"/>
              <w:szCs w:val="22"/>
              <w:lang w:val="fr-FR"/>
            </w:rPr>
            <w:fldChar w:fldCharType="end"/>
          </w:r>
        </w:sdtContent>
      </w:sdt>
      <w:r w:rsidRPr="00505A17">
        <w:rPr>
          <w:rFonts w:ascii="Arial" w:eastAsiaTheme="minorHAnsi" w:hAnsi="Arial" w:cs="Arial"/>
          <w:sz w:val="22"/>
          <w:szCs w:val="22"/>
          <w:lang w:val="fr-FR"/>
        </w:rPr>
        <w:t xml:space="preserve"> et l’utilisation d’avions légers permettant de guider la </w:t>
      </w:r>
      <w:r w:rsidRPr="00505A17">
        <w:rPr>
          <w:rFonts w:ascii="Arial" w:eastAsiaTheme="minorHAnsi" w:hAnsi="Arial" w:cs="Arial"/>
          <w:sz w:val="22"/>
          <w:szCs w:val="22"/>
          <w:lang w:val="fr-FR"/>
        </w:rPr>
        <w:lastRenderedPageBreak/>
        <w:t>migration des grues de Sibérie (</w:t>
      </w:r>
      <w:proofErr w:type="spellStart"/>
      <w:r w:rsidRPr="00505A17">
        <w:rPr>
          <w:rFonts w:ascii="Arial" w:eastAsiaTheme="minorHAnsi" w:hAnsi="Arial" w:cs="Arial"/>
          <w:i/>
          <w:iCs/>
          <w:sz w:val="22"/>
          <w:szCs w:val="22"/>
          <w:lang w:val="fr-FR"/>
        </w:rPr>
        <w:t>Leucogeranus</w:t>
      </w:r>
      <w:proofErr w:type="spellEnd"/>
      <w:r w:rsidRPr="00505A17">
        <w:rPr>
          <w:rFonts w:ascii="Arial" w:eastAsiaTheme="minorHAnsi" w:hAnsi="Arial" w:cs="Arial"/>
          <w:i/>
          <w:iCs/>
          <w:sz w:val="22"/>
          <w:szCs w:val="22"/>
          <w:lang w:val="fr-FR"/>
        </w:rPr>
        <w:t xml:space="preserve"> </w:t>
      </w:r>
      <w:proofErr w:type="spellStart"/>
      <w:r w:rsidRPr="00505A17">
        <w:rPr>
          <w:rFonts w:ascii="Arial" w:eastAsiaTheme="minorHAnsi" w:hAnsi="Arial" w:cs="Arial"/>
          <w:i/>
          <w:iCs/>
          <w:sz w:val="22"/>
          <w:szCs w:val="22"/>
          <w:lang w:val="fr-FR"/>
        </w:rPr>
        <w:t>leucogeranus</w:t>
      </w:r>
      <w:proofErr w:type="spellEnd"/>
      <w:r w:rsidRPr="00505A17">
        <w:rPr>
          <w:rFonts w:ascii="Arial" w:eastAsiaTheme="minorHAnsi" w:hAnsi="Arial" w:cs="Arial"/>
          <w:sz w:val="22"/>
          <w:szCs w:val="22"/>
          <w:lang w:val="fr-FR"/>
        </w:rPr>
        <w:t xml:space="preserve">) (projet </w:t>
      </w:r>
      <w:r w:rsidRPr="00505A17">
        <w:rPr>
          <w:rFonts w:ascii="Arial" w:eastAsiaTheme="minorHAnsi" w:hAnsi="Arial" w:cs="Arial"/>
          <w:i/>
          <w:iCs/>
          <w:sz w:val="22"/>
          <w:szCs w:val="22"/>
          <w:lang w:val="fr-FR"/>
        </w:rPr>
        <w:t>Flight of Hope</w:t>
      </w:r>
      <w:r w:rsidRPr="00505A17">
        <w:rPr>
          <w:rFonts w:ascii="Arial" w:eastAsiaTheme="minorHAnsi" w:hAnsi="Arial" w:cs="Arial"/>
          <w:sz w:val="22"/>
          <w:szCs w:val="22"/>
          <w:lang w:val="fr-FR"/>
        </w:rPr>
        <w:t>) en Russie.</w:t>
      </w:r>
    </w:p>
    <w:p w14:paraId="1BFE8D8A" w14:textId="77777777" w:rsidR="009162DB" w:rsidRPr="009162DB" w:rsidRDefault="009162DB" w:rsidP="00D70C47">
      <w:pPr>
        <w:adjustRightInd w:val="0"/>
        <w:jc w:val="both"/>
        <w:textAlignment w:val="auto"/>
        <w:rPr>
          <w:rFonts w:ascii="Arial" w:eastAsia="MS Mincho" w:hAnsi="Arial" w:cs="Arial"/>
          <w:b/>
          <w:bCs/>
          <w:sz w:val="22"/>
          <w:szCs w:val="22"/>
          <w:u w:val="single"/>
          <w:lang w:val="fr-FR"/>
        </w:rPr>
      </w:pPr>
    </w:p>
    <w:p w14:paraId="047F8A2B" w14:textId="0485CC62" w:rsidR="00D631F7" w:rsidRPr="00505A17" w:rsidRDefault="00D631F7" w:rsidP="00D70C47">
      <w:pPr>
        <w:adjustRightInd w:val="0"/>
        <w:jc w:val="both"/>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Période de planification : 2100</w:t>
      </w:r>
    </w:p>
    <w:p w14:paraId="2BE44E37" w14:textId="77777777" w:rsidR="00D631F7" w:rsidRPr="00505A17" w:rsidRDefault="00D631F7" w:rsidP="00D70C47">
      <w:pPr>
        <w:adjustRightInd w:val="0"/>
        <w:jc w:val="both"/>
        <w:textAlignment w:val="auto"/>
        <w:rPr>
          <w:rFonts w:ascii="Arial" w:eastAsia="MS Mincho" w:hAnsi="Arial" w:cs="Arial"/>
          <w:sz w:val="22"/>
          <w:szCs w:val="22"/>
          <w:lang w:val="fr-FR"/>
        </w:rPr>
      </w:pPr>
    </w:p>
    <w:p w14:paraId="70996F77"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Pour garantir la persistance, la reconstitution et la fonctionnalité écologique à long terme des espèces face au changement climatique, il est essentiel que les actions de conservation, de restauration, d’adaptation et de transfert soient conçues selon une approche prospective. L’année 2100 est largement reconnue comme l’horizon temporel standard à long terme dans la science du climat, servant de point final à la plupart des modèles climatiques mondiaux et régionaux, notamment ceux utilisés par le Groupe d’experts intergouvernemental sur l’évolution du climat (GIEC).</w:t>
      </w:r>
    </w:p>
    <w:p w14:paraId="4956201E" w14:textId="77777777" w:rsidR="00D631F7" w:rsidRPr="009162DB" w:rsidRDefault="00D631F7" w:rsidP="00D70C47">
      <w:pPr>
        <w:adjustRightInd w:val="0"/>
        <w:jc w:val="both"/>
        <w:textAlignment w:val="auto"/>
        <w:rPr>
          <w:rFonts w:ascii="Arial" w:eastAsia="MS Mincho" w:hAnsi="Arial" w:cs="Arial"/>
          <w:sz w:val="22"/>
          <w:szCs w:val="22"/>
          <w:u w:val="single"/>
          <w:lang w:val="fr-FR"/>
        </w:rPr>
      </w:pPr>
    </w:p>
    <w:p w14:paraId="081AEA5B" w14:textId="77777777" w:rsidR="00D631F7" w:rsidRPr="009162DB" w:rsidRDefault="00D631F7" w:rsidP="00D70C47">
      <w:pPr>
        <w:adjustRightInd w:val="0"/>
        <w:jc w:val="both"/>
        <w:textAlignment w:val="auto"/>
        <w:rPr>
          <w:rFonts w:ascii="Arial" w:eastAsia="MS Mincho" w:hAnsi="Arial" w:cs="Arial"/>
          <w:sz w:val="22"/>
          <w:szCs w:val="22"/>
          <w:u w:val="single"/>
          <w:lang w:val="fr-FR"/>
        </w:rPr>
      </w:pPr>
      <w:r w:rsidRPr="00505A17">
        <w:rPr>
          <w:rFonts w:ascii="Arial" w:eastAsia="MS Mincho" w:hAnsi="Arial" w:cs="Arial"/>
          <w:sz w:val="22"/>
          <w:szCs w:val="22"/>
          <w:lang w:val="fr-FR"/>
        </w:rPr>
        <w:t>Le choix de l’année 2100 comme horizon de planification offre un cadre temporel scientifiquement solide et pertinent sur le plan politique pour évaluer la viabilité et l’efficacité des interventions de gestion. Les projections climatiques jusqu’en 2100 intègrent une série de scénarios futurs plausibles (</w:t>
      </w:r>
      <w:r w:rsidRPr="00505A17">
        <w:rPr>
          <w:rFonts w:ascii="Arial" w:eastAsia="MS Mincho" w:hAnsi="Arial" w:cs="Arial"/>
          <w:color w:val="000000" w:themeColor="text1"/>
          <w:sz w:val="22"/>
          <w:szCs w:val="22"/>
          <w:lang w:val="fr-FR"/>
        </w:rPr>
        <w:t>par exemple, Trajectoires socioéconomiques partagées</w:t>
      </w:r>
      <w:r w:rsidRPr="00505A17">
        <w:rPr>
          <w:rFonts w:ascii="Arial" w:eastAsia="MS Mincho" w:hAnsi="Arial" w:cs="Arial"/>
          <w:color w:val="000000" w:themeColor="text1"/>
          <w:sz w:val="22"/>
          <w:szCs w:val="22"/>
          <w:lang w:val="fr-FR"/>
        </w:rPr>
        <w:footnoteReference w:id="2"/>
      </w:r>
      <w:r w:rsidRPr="00505A17">
        <w:rPr>
          <w:rFonts w:ascii="Arial" w:eastAsia="MS Mincho" w:hAnsi="Arial" w:cs="Arial"/>
          <w:color w:val="000000" w:themeColor="text1"/>
          <w:sz w:val="22"/>
          <w:szCs w:val="22"/>
          <w:lang w:val="fr-FR"/>
        </w:rPr>
        <w:t xml:space="preserve">), </w:t>
      </w:r>
      <w:r w:rsidRPr="00505A17">
        <w:rPr>
          <w:rFonts w:ascii="Arial" w:eastAsia="MS Mincho" w:hAnsi="Arial" w:cs="Arial"/>
          <w:sz w:val="22"/>
          <w:szCs w:val="22"/>
          <w:lang w:val="fr-FR"/>
        </w:rPr>
        <w:t>permettant aux décideurs de prendre en considération l’incertitude et de planifier une diversité de résultats en matière de température, de précipitations, d’élévation du niveau de la mer et d’événements extrêmes.</w:t>
      </w:r>
    </w:p>
    <w:p w14:paraId="0B9D552B" w14:textId="77777777" w:rsidR="00D631F7" w:rsidRPr="009162DB" w:rsidRDefault="00D631F7" w:rsidP="00D70C47">
      <w:pPr>
        <w:adjustRightInd w:val="0"/>
        <w:jc w:val="both"/>
        <w:textAlignment w:val="auto"/>
        <w:rPr>
          <w:rFonts w:ascii="Arial" w:eastAsia="MS Mincho" w:hAnsi="Arial" w:cs="Arial"/>
          <w:sz w:val="22"/>
          <w:szCs w:val="22"/>
          <w:u w:val="single"/>
          <w:lang w:val="fr-FR"/>
        </w:rPr>
      </w:pPr>
    </w:p>
    <w:p w14:paraId="2DD8F743"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 xml:space="preserve">Nombre d’espèces ont un long cycle de vie, dépendent de conditions d’habitat durables ou sont déjà confrontées à des pressions cumulées. Par conséquent, la planification à court ou moyen terme (par exemple, jusqu’en 2050 ou 2070) risque probablement de sous-estimer l’ampleur et la durée des changements environnementaux constatés. Le repère de 2100 garantit que les mesures tiennent compte non seulement de l’adéquation actuelle, mais aussi de la stabilité climatique future. Ceci est particulièrement important pour les espèces ayant un comportement migratoire, des besoins spécifiques en matière d’habitat ou des tolérances environnementales limitées. </w:t>
      </w:r>
    </w:p>
    <w:p w14:paraId="168CB2EA" w14:textId="77777777" w:rsidR="008B3619" w:rsidRDefault="008B3619" w:rsidP="00D70C47">
      <w:pPr>
        <w:adjustRightInd w:val="0"/>
        <w:jc w:val="both"/>
        <w:textAlignment w:val="auto"/>
        <w:rPr>
          <w:rFonts w:ascii="Arial" w:eastAsia="MS Mincho" w:hAnsi="Arial" w:cs="Arial"/>
          <w:sz w:val="22"/>
          <w:szCs w:val="22"/>
          <w:lang w:val="fr-FR"/>
        </w:rPr>
      </w:pPr>
    </w:p>
    <w:p w14:paraId="4DEBE527" w14:textId="52D0279E"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Toutefois, certaines décisions peuvent justifier un horizon temporel différent selon l’espèce, l’écosystème ou le contexte de gestion. Le tableau ci-dessous présente les périodes temporelles couramment utilisées, leur couverture de modèle correspondante et leur utilisation prévue :</w:t>
      </w:r>
    </w:p>
    <w:p w14:paraId="6DC2DA03" w14:textId="77777777" w:rsidR="00D631F7" w:rsidRPr="00505A17" w:rsidRDefault="00D631F7" w:rsidP="00D70C47">
      <w:pPr>
        <w:adjustRightInd w:val="0"/>
        <w:jc w:val="both"/>
        <w:textAlignment w:val="auto"/>
        <w:rPr>
          <w:rFonts w:ascii="Arial" w:eastAsia="MS Mincho" w:hAnsi="Arial" w:cs="Arial"/>
          <w:sz w:val="22"/>
          <w:szCs w:val="22"/>
          <w:lang w:val="fr-FR"/>
        </w:rPr>
      </w:pPr>
    </w:p>
    <w:tbl>
      <w:tblPr>
        <w:tblStyle w:val="TableGrid"/>
        <w:tblW w:w="0" w:type="auto"/>
        <w:tblLook w:val="04A0" w:firstRow="1" w:lastRow="0" w:firstColumn="1" w:lastColumn="0" w:noHBand="0" w:noVBand="1"/>
      </w:tblPr>
      <w:tblGrid>
        <w:gridCol w:w="3057"/>
        <w:gridCol w:w="5959"/>
      </w:tblGrid>
      <w:tr w:rsidR="00D631F7" w:rsidRPr="00505A17" w14:paraId="633B620C" w14:textId="77777777" w:rsidTr="003A5EAB">
        <w:trPr>
          <w:trHeight w:val="506"/>
        </w:trPr>
        <w:tc>
          <w:tcPr>
            <w:tcW w:w="3114" w:type="dxa"/>
          </w:tcPr>
          <w:p w14:paraId="6732A4EA" w14:textId="77777777" w:rsidR="00D631F7" w:rsidRPr="00505A17" w:rsidRDefault="00D631F7" w:rsidP="00D70C47">
            <w:pPr>
              <w:adjustRightInd w:val="0"/>
              <w:spacing w:before="60" w:after="60"/>
              <w:jc w:val="both"/>
              <w:rPr>
                <w:rFonts w:ascii="Arial" w:eastAsia="MS Mincho" w:hAnsi="Arial" w:cs="Arial"/>
                <w:b/>
                <w:bCs/>
                <w:sz w:val="22"/>
                <w:szCs w:val="22"/>
                <w:lang w:val="fr-FR"/>
              </w:rPr>
            </w:pPr>
            <w:r w:rsidRPr="00505A17">
              <w:rPr>
                <w:rFonts w:ascii="Arial" w:eastAsia="MS Mincho" w:hAnsi="Arial" w:cs="Arial"/>
                <w:b/>
                <w:bCs/>
                <w:sz w:val="22"/>
                <w:szCs w:val="22"/>
                <w:lang w:val="fr-FR"/>
              </w:rPr>
              <w:t xml:space="preserve">Horizon temporel                       </w:t>
            </w:r>
          </w:p>
        </w:tc>
        <w:tc>
          <w:tcPr>
            <w:tcW w:w="6095" w:type="dxa"/>
          </w:tcPr>
          <w:p w14:paraId="1CEDA0B8" w14:textId="77777777" w:rsidR="00D631F7" w:rsidRPr="00505A17" w:rsidRDefault="00D631F7" w:rsidP="00D70C47">
            <w:pPr>
              <w:adjustRightInd w:val="0"/>
              <w:spacing w:before="60" w:after="60"/>
              <w:jc w:val="both"/>
              <w:rPr>
                <w:rFonts w:ascii="Arial" w:eastAsia="MS Mincho" w:hAnsi="Arial" w:cs="Arial"/>
                <w:b/>
                <w:bCs/>
                <w:sz w:val="22"/>
                <w:szCs w:val="22"/>
                <w:lang w:val="fr-FR"/>
              </w:rPr>
            </w:pPr>
            <w:r w:rsidRPr="00505A17">
              <w:rPr>
                <w:rFonts w:ascii="Arial" w:eastAsia="MS Mincho" w:hAnsi="Arial" w:cs="Arial"/>
                <w:b/>
                <w:bCs/>
                <w:sz w:val="22"/>
                <w:szCs w:val="22"/>
                <w:lang w:val="fr-FR"/>
              </w:rPr>
              <w:t xml:space="preserve">Couverture du modèle          </w:t>
            </w:r>
          </w:p>
        </w:tc>
      </w:tr>
      <w:tr w:rsidR="00D631F7" w:rsidRPr="00505A17" w14:paraId="1FDE6FA5" w14:textId="77777777" w:rsidTr="003A5EAB">
        <w:trPr>
          <w:trHeight w:val="506"/>
        </w:trPr>
        <w:tc>
          <w:tcPr>
            <w:tcW w:w="3114" w:type="dxa"/>
          </w:tcPr>
          <w:p w14:paraId="782D50D4"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 xml:space="preserve">2025-2040  </w:t>
            </w:r>
          </w:p>
        </w:tc>
        <w:tc>
          <w:tcPr>
            <w:tcW w:w="6095" w:type="dxa"/>
          </w:tcPr>
          <w:p w14:paraId="7D82D97C"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Projections à court terme</w:t>
            </w:r>
          </w:p>
        </w:tc>
      </w:tr>
      <w:tr w:rsidR="00D631F7" w:rsidRPr="00A50C5F" w14:paraId="27044758" w14:textId="77777777" w:rsidTr="003A5EAB">
        <w:trPr>
          <w:trHeight w:val="506"/>
        </w:trPr>
        <w:tc>
          <w:tcPr>
            <w:tcW w:w="3114" w:type="dxa"/>
          </w:tcPr>
          <w:p w14:paraId="336DE1B0"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 xml:space="preserve">2041-2060  </w:t>
            </w:r>
          </w:p>
        </w:tc>
        <w:tc>
          <w:tcPr>
            <w:tcW w:w="6095" w:type="dxa"/>
          </w:tcPr>
          <w:p w14:paraId="1977E120"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Projections pour le milieu du siècle</w:t>
            </w:r>
          </w:p>
        </w:tc>
      </w:tr>
      <w:tr w:rsidR="00D631F7" w:rsidRPr="00505A17" w14:paraId="185BB687" w14:textId="77777777" w:rsidTr="003A5EAB">
        <w:trPr>
          <w:trHeight w:val="506"/>
        </w:trPr>
        <w:tc>
          <w:tcPr>
            <w:tcW w:w="3114" w:type="dxa"/>
          </w:tcPr>
          <w:p w14:paraId="6A31AFB7"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 xml:space="preserve">2061-2100  </w:t>
            </w:r>
          </w:p>
        </w:tc>
        <w:tc>
          <w:tcPr>
            <w:tcW w:w="6095" w:type="dxa"/>
          </w:tcPr>
          <w:p w14:paraId="0F2EFAE4" w14:textId="77777777" w:rsidR="00D631F7" w:rsidRPr="00505A17" w:rsidRDefault="00D631F7" w:rsidP="00D70C47">
            <w:pPr>
              <w:adjustRightInd w:val="0"/>
              <w:spacing w:before="60" w:after="60"/>
              <w:jc w:val="both"/>
              <w:rPr>
                <w:rFonts w:ascii="Arial" w:eastAsia="MS Mincho" w:hAnsi="Arial" w:cs="Arial"/>
                <w:sz w:val="22"/>
                <w:szCs w:val="22"/>
                <w:lang w:val="fr-FR"/>
              </w:rPr>
            </w:pPr>
            <w:r w:rsidRPr="00505A17">
              <w:rPr>
                <w:rFonts w:ascii="Arial" w:eastAsia="MS Mincho" w:hAnsi="Arial" w:cs="Arial"/>
                <w:sz w:val="22"/>
                <w:szCs w:val="22"/>
                <w:lang w:val="fr-FR"/>
              </w:rPr>
              <w:t>Projections à long terme</w:t>
            </w:r>
          </w:p>
        </w:tc>
      </w:tr>
    </w:tbl>
    <w:p w14:paraId="11760747" w14:textId="77777777" w:rsidR="00D631F7" w:rsidRPr="00505A17" w:rsidRDefault="00D631F7" w:rsidP="00D70C47">
      <w:pPr>
        <w:adjustRightInd w:val="0"/>
        <w:jc w:val="both"/>
        <w:textAlignment w:val="auto"/>
        <w:rPr>
          <w:rFonts w:ascii="Arial" w:eastAsia="MS Mincho" w:hAnsi="Arial" w:cs="Arial"/>
          <w:sz w:val="22"/>
          <w:szCs w:val="22"/>
          <w:lang w:val="fr-FR"/>
        </w:rPr>
      </w:pPr>
    </w:p>
    <w:p w14:paraId="7801E50A" w14:textId="77777777" w:rsidR="00D631F7" w:rsidRPr="00505A17" w:rsidRDefault="00D631F7" w:rsidP="00D70C47">
      <w:pPr>
        <w:adjustRightInd w:val="0"/>
        <w:jc w:val="both"/>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Échelles d’action : planification au niveau de la population, de la sous-population et de l’espèce</w:t>
      </w:r>
    </w:p>
    <w:p w14:paraId="7BBC9DF3" w14:textId="77777777" w:rsidR="00D631F7" w:rsidRPr="00505A17" w:rsidRDefault="00D631F7" w:rsidP="00D70C47">
      <w:pPr>
        <w:adjustRightInd w:val="0"/>
        <w:jc w:val="both"/>
        <w:textAlignment w:val="auto"/>
        <w:rPr>
          <w:rFonts w:ascii="Arial" w:eastAsia="MS Mincho" w:hAnsi="Arial" w:cs="Arial"/>
          <w:sz w:val="22"/>
          <w:szCs w:val="22"/>
          <w:lang w:val="fr-FR"/>
        </w:rPr>
      </w:pPr>
    </w:p>
    <w:p w14:paraId="0E047415" w14:textId="77777777" w:rsidR="00D631F7" w:rsidRPr="00505A17" w:rsidRDefault="00D631F7" w:rsidP="00D70C47">
      <w:pPr>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 changement climatique n’affecte pas de manière uniforme l’ensemble des populations au sein d’une même espèce ; les conditions locales, la capacité d’adaptation et l’exposition varient largement dans l’aire de répartition de l’espèce. Ainsi, les actions de conservation et de gestion doivent être envisagées à plusieurs échelles biologiques :</w:t>
      </w:r>
    </w:p>
    <w:p w14:paraId="5BE60665" w14:textId="77777777" w:rsidR="00D631F7" w:rsidRPr="00505A17" w:rsidRDefault="00D631F7" w:rsidP="00D70C47">
      <w:pPr>
        <w:adjustRightInd w:val="0"/>
        <w:spacing w:after="80"/>
        <w:ind w:left="397"/>
        <w:jc w:val="both"/>
        <w:textAlignment w:val="auto"/>
        <w:rPr>
          <w:rFonts w:ascii="Arial" w:eastAsia="MS Mincho" w:hAnsi="Arial" w:cs="Arial"/>
          <w:sz w:val="22"/>
          <w:szCs w:val="22"/>
          <w:lang w:val="fr-FR"/>
        </w:rPr>
      </w:pPr>
      <w:r w:rsidRPr="00505A17">
        <w:rPr>
          <w:rFonts w:ascii="Arial" w:eastAsia="MS Mincho" w:hAnsi="Arial" w:cs="Arial"/>
          <w:i/>
          <w:iCs/>
          <w:sz w:val="22"/>
          <w:szCs w:val="22"/>
          <w:lang w:val="fr-FR"/>
        </w:rPr>
        <w:lastRenderedPageBreak/>
        <w:t>Niveau de l’espèce :</w:t>
      </w:r>
      <w:r w:rsidRPr="00505A17">
        <w:rPr>
          <w:rFonts w:ascii="Arial" w:eastAsia="MS Mincho" w:hAnsi="Arial" w:cs="Arial"/>
          <w:sz w:val="22"/>
          <w:szCs w:val="22"/>
          <w:lang w:val="fr-FR"/>
        </w:rPr>
        <w:t xml:space="preserve"> lorsque les menaces climatiques ou les modifications de l’aire de répartition affectent l’ensemble de la distribution de l’espèce ou lorsque des actions (par exemple, le transfert à grande échelle ou l’aménagement de corridors d’habitat) sont nécessaires pour garantir la persistance globale.</w:t>
      </w:r>
    </w:p>
    <w:p w14:paraId="22903672" w14:textId="77777777" w:rsidR="00D631F7" w:rsidRPr="00505A17" w:rsidRDefault="00D631F7" w:rsidP="00D70C47">
      <w:pPr>
        <w:adjustRightInd w:val="0"/>
        <w:spacing w:after="80"/>
        <w:ind w:left="397"/>
        <w:jc w:val="both"/>
        <w:textAlignment w:val="auto"/>
        <w:rPr>
          <w:rFonts w:ascii="Arial" w:eastAsia="MS Mincho" w:hAnsi="Arial" w:cs="Arial"/>
          <w:sz w:val="22"/>
          <w:szCs w:val="22"/>
          <w:lang w:val="fr-FR"/>
        </w:rPr>
      </w:pPr>
      <w:r w:rsidRPr="00505A17">
        <w:rPr>
          <w:rFonts w:ascii="Arial" w:eastAsia="MS Mincho" w:hAnsi="Arial" w:cs="Arial"/>
          <w:i/>
          <w:iCs/>
          <w:sz w:val="22"/>
          <w:szCs w:val="22"/>
          <w:lang w:val="fr-FR"/>
        </w:rPr>
        <w:t>Niveau de la population :</w:t>
      </w:r>
      <w:r w:rsidRPr="00505A17">
        <w:rPr>
          <w:rFonts w:ascii="Arial" w:eastAsia="MS Mincho" w:hAnsi="Arial" w:cs="Arial"/>
          <w:sz w:val="22"/>
          <w:szCs w:val="22"/>
          <w:lang w:val="fr-FR"/>
        </w:rPr>
        <w:t xml:space="preserve"> lorsque des populations distinctes, séparées géographiquement, sont exposées de manière différenciée aux conditions climatiques, elles présentent des niveaux de vulnérabilité variables face aux déplacements de leur aire de répartition, à la perte d’habitat et aux risques de goulets d’étranglement génétiques.</w:t>
      </w:r>
    </w:p>
    <w:p w14:paraId="11858085" w14:textId="77777777" w:rsidR="00D631F7" w:rsidRPr="00505A17" w:rsidRDefault="00D631F7" w:rsidP="00D70C47">
      <w:pPr>
        <w:adjustRightInd w:val="0"/>
        <w:ind w:left="397"/>
        <w:jc w:val="both"/>
        <w:textAlignment w:val="auto"/>
        <w:rPr>
          <w:rFonts w:ascii="Arial" w:eastAsia="MS Mincho" w:hAnsi="Arial" w:cs="Arial"/>
          <w:sz w:val="22"/>
          <w:szCs w:val="22"/>
          <w:lang w:val="fr-FR"/>
        </w:rPr>
      </w:pPr>
      <w:r w:rsidRPr="00505A17">
        <w:rPr>
          <w:rFonts w:ascii="Arial" w:eastAsia="MS Mincho" w:hAnsi="Arial" w:cs="Arial"/>
          <w:i/>
          <w:iCs/>
          <w:sz w:val="22"/>
          <w:szCs w:val="22"/>
          <w:lang w:val="fr-FR"/>
        </w:rPr>
        <w:t>Niveau de la sous-population :</w:t>
      </w:r>
      <w:r w:rsidRPr="00505A17">
        <w:rPr>
          <w:rFonts w:ascii="Arial" w:eastAsia="MS Mincho" w:hAnsi="Arial" w:cs="Arial"/>
          <w:sz w:val="22"/>
          <w:szCs w:val="22"/>
          <w:lang w:val="fr-FR"/>
        </w:rPr>
        <w:t xml:space="preserve"> lorsque des adaptations locales, des comportements (par exemple, sites de nidification, lieux de reproduction) ou des conditions écologiques nécessitent des stratégies spécifiques à chaque site.</w:t>
      </w:r>
    </w:p>
    <w:p w14:paraId="49A01E45" w14:textId="77777777" w:rsidR="00D631F7" w:rsidRPr="00505A17" w:rsidRDefault="00D631F7" w:rsidP="00D70C47">
      <w:pPr>
        <w:adjustRightInd w:val="0"/>
        <w:jc w:val="both"/>
        <w:textAlignment w:val="auto"/>
        <w:rPr>
          <w:rFonts w:ascii="Arial" w:eastAsia="MS Mincho" w:hAnsi="Arial" w:cs="Arial"/>
          <w:sz w:val="22"/>
          <w:szCs w:val="22"/>
          <w:lang w:val="fr-FR"/>
        </w:rPr>
      </w:pPr>
    </w:p>
    <w:p w14:paraId="1EB62080" w14:textId="77777777" w:rsidR="00D631F7" w:rsidRPr="00505A17" w:rsidRDefault="00D631F7" w:rsidP="00D70C47">
      <w:pPr>
        <w:adjustRightInd w:val="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gestionnaires doivent évaluer l’échelle d’action appropriée en fonction de la spécificité écologique, de la connectivité, des tendances démographiques et de la valeur de conservation. À titre d’exemple, une sous-population dans un refuge climatique peut nécessiter une protection de l’habitat, tandis qu’un degré d’exposition élevé d’une population peut justifier une aide à la migration ou un soutien génétique. La planification à plusieurs échelles permet de cibler les actions là où elles sont le plus nécessaires, tout en favorisant la résilience globale des espèces.</w:t>
      </w:r>
    </w:p>
    <w:p w14:paraId="4C098366" w14:textId="77777777" w:rsidR="00D631F7" w:rsidRPr="00505A17" w:rsidRDefault="00D631F7" w:rsidP="00D70C47">
      <w:pPr>
        <w:adjustRightInd w:val="0"/>
        <w:jc w:val="both"/>
        <w:textAlignment w:val="auto"/>
        <w:rPr>
          <w:rFonts w:ascii="Arial" w:eastAsia="MS Mincho" w:hAnsi="Arial" w:cs="Arial"/>
          <w:sz w:val="22"/>
          <w:szCs w:val="22"/>
          <w:lang w:val="fr-FR"/>
        </w:rPr>
      </w:pPr>
    </w:p>
    <w:p w14:paraId="2402C309" w14:textId="77777777" w:rsidR="00D631F7" w:rsidRPr="00505A17" w:rsidRDefault="00D631F7" w:rsidP="00D70C47">
      <w:pPr>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En pratique, cela signifie que les cadres décisionnels doivent inclure des critères pour :</w:t>
      </w:r>
    </w:p>
    <w:p w14:paraId="19010817" w14:textId="77777777" w:rsidR="00D631F7" w:rsidRPr="00505A17" w:rsidRDefault="00D631F7" w:rsidP="00D70C47">
      <w:pPr>
        <w:widowControl/>
        <w:numPr>
          <w:ilvl w:val="0"/>
          <w:numId w:val="7"/>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évaluer si les changements d’aire de répartition touchent l’ensemble de l’espèce ou seulement certaines populations spécifiques ;</w:t>
      </w:r>
    </w:p>
    <w:p w14:paraId="57A00956" w14:textId="77777777" w:rsidR="00D631F7" w:rsidRPr="00505A17" w:rsidRDefault="00D631F7" w:rsidP="00D70C47">
      <w:pPr>
        <w:widowControl/>
        <w:numPr>
          <w:ilvl w:val="0"/>
          <w:numId w:val="7"/>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déterminer la faisabilité et la justification écologique d’une intervention à une échelle plus petite ;</w:t>
      </w:r>
    </w:p>
    <w:p w14:paraId="3192FDD0" w14:textId="77777777" w:rsidR="00D631F7" w:rsidRPr="00505A17" w:rsidRDefault="00D631F7" w:rsidP="00D70C47">
      <w:pPr>
        <w:widowControl/>
        <w:numPr>
          <w:ilvl w:val="0"/>
          <w:numId w:val="7"/>
        </w:numPr>
        <w:autoSpaceDE/>
        <w:autoSpaceDN/>
        <w:adjustRightInd w:val="0"/>
        <w:spacing w:after="160"/>
        <w:contextualSpacing/>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évaluer la manière dont les actions locales contribuent ou entrent potentiellement en conflit avec les objectifs plus larges de conservation des espèces.</w:t>
      </w:r>
    </w:p>
    <w:p w14:paraId="6B5B17AC" w14:textId="77777777" w:rsidR="00861998" w:rsidRDefault="00861998" w:rsidP="00D70C47">
      <w:pPr>
        <w:adjustRightInd w:val="0"/>
        <w:textAlignment w:val="auto"/>
        <w:rPr>
          <w:rFonts w:ascii="Arial" w:eastAsia="MS Mincho" w:hAnsi="Arial" w:cs="Arial"/>
          <w:b/>
          <w:bCs/>
          <w:sz w:val="22"/>
          <w:szCs w:val="22"/>
          <w:lang w:val="fr-FR"/>
        </w:rPr>
      </w:pPr>
    </w:p>
    <w:p w14:paraId="33C81C98" w14:textId="0EFF187C" w:rsidR="00D631F7" w:rsidRPr="00505A17" w:rsidRDefault="00D631F7" w:rsidP="00D70C47">
      <w:pPr>
        <w:adjustRightInd w:val="0"/>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5. Conditions fondamentales</w:t>
      </w:r>
    </w:p>
    <w:p w14:paraId="1EFDD274" w14:textId="77777777" w:rsidR="00D631F7" w:rsidRPr="00505A17" w:rsidRDefault="00D631F7" w:rsidP="00D70C47">
      <w:pPr>
        <w:adjustRightInd w:val="0"/>
        <w:textAlignment w:val="auto"/>
        <w:rPr>
          <w:rFonts w:ascii="Arial" w:eastAsia="MS Mincho" w:hAnsi="Arial" w:cs="Arial"/>
          <w:sz w:val="22"/>
          <w:szCs w:val="22"/>
          <w:lang w:val="fr-FR"/>
        </w:rPr>
      </w:pPr>
    </w:p>
    <w:p w14:paraId="0A7F80D0" w14:textId="77777777" w:rsidR="00D631F7" w:rsidRPr="00505A17" w:rsidRDefault="00D631F7" w:rsidP="00D70C47">
      <w:pPr>
        <w:adjustRightInd w:val="0"/>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i. Conservation</w:t>
      </w:r>
    </w:p>
    <w:p w14:paraId="587D68C7" w14:textId="77777777" w:rsidR="00D631F7" w:rsidRPr="00505A17" w:rsidRDefault="00D631F7" w:rsidP="00D70C47">
      <w:pPr>
        <w:adjustRightInd w:val="0"/>
        <w:textAlignment w:val="auto"/>
        <w:rPr>
          <w:rFonts w:ascii="Arial" w:eastAsia="MS Mincho" w:hAnsi="Arial" w:cs="Arial"/>
          <w:b/>
          <w:bCs/>
          <w:sz w:val="22"/>
          <w:szCs w:val="22"/>
          <w:lang w:val="fr-FR"/>
        </w:rPr>
      </w:pPr>
    </w:p>
    <w:p w14:paraId="5E29837E"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Un habitat approprié se situe dans une région prévue pour rester climatiquement adaptée à l’espèce (ou à la population) ou le devenir, ou encore qui peut être gérée afin de conserver cette adéquation dans le cadre de scénarios climatiques futurs.</w:t>
      </w:r>
    </w:p>
    <w:p w14:paraId="79A65382"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Il existe encore des populations sauvages viables.</w:t>
      </w:r>
    </w:p>
    <w:p w14:paraId="7CDEA127"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L’espèce occupe toujours des zones cruciales de son aire de répartition naturelle.</w:t>
      </w:r>
    </w:p>
    <w:p w14:paraId="03D949FC"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reproduction et le comportement migratoire demeurent fonctionnels.</w:t>
      </w:r>
    </w:p>
    <w:p w14:paraId="41F802EB"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menaces (par exemple les prises accessoires, la pollution, la perte d’habitat) sont permanentes, mais peuvent être gérées ou atténuées.</w:t>
      </w:r>
    </w:p>
    <w:p w14:paraId="6294B7F4"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habitats critiques (sites de reproduction, d’alimentation et de repos) sont encore intacts ou partiellement dégradés.</w:t>
      </w:r>
    </w:p>
    <w:p w14:paraId="7E61E986" w14:textId="77777777" w:rsidR="00D631F7" w:rsidRPr="00505A17" w:rsidRDefault="00D631F7" w:rsidP="00D70C47">
      <w:pPr>
        <w:widowControl/>
        <w:numPr>
          <w:ilvl w:val="0"/>
          <w:numId w:val="8"/>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diversité génétique est suffisante pour favoriser la reproduction naturelle.</w:t>
      </w:r>
    </w:p>
    <w:p w14:paraId="0D48AA60" w14:textId="77777777" w:rsidR="00D631F7" w:rsidRPr="00505A17" w:rsidRDefault="00D631F7" w:rsidP="00D70C47">
      <w:pPr>
        <w:widowControl/>
        <w:numPr>
          <w:ilvl w:val="0"/>
          <w:numId w:val="8"/>
        </w:numPr>
        <w:autoSpaceDE/>
        <w:autoSpaceDN/>
        <w:adjustRightInd w:val="0"/>
        <w:spacing w:after="160"/>
        <w:contextualSpacing/>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Il n’existe aucune barrière naturelle ou artificielle empêchant l’accès à un habitat approprié, ou, si de telles barrières existent, elles peuvent être éliminées de manière logistique et économique.</w:t>
      </w:r>
    </w:p>
    <w:p w14:paraId="37BCDF8B" w14:textId="6CA2B45F" w:rsidR="00861998" w:rsidRDefault="00861998" w:rsidP="00D70C47">
      <w:pPr>
        <w:adjustRightInd w:val="0"/>
        <w:jc w:val="both"/>
        <w:textAlignment w:val="auto"/>
        <w:rPr>
          <w:rFonts w:ascii="Arial" w:eastAsia="MS Mincho" w:hAnsi="Arial" w:cs="Arial"/>
          <w:sz w:val="22"/>
          <w:szCs w:val="22"/>
          <w:lang w:val="fr-FR"/>
        </w:rPr>
      </w:pPr>
      <w:r>
        <w:rPr>
          <w:rFonts w:ascii="Arial" w:eastAsia="MS Mincho" w:hAnsi="Arial" w:cs="Arial"/>
          <w:sz w:val="22"/>
          <w:szCs w:val="22"/>
          <w:lang w:val="fr-FR"/>
        </w:rPr>
        <w:br w:type="page"/>
      </w:r>
    </w:p>
    <w:p w14:paraId="63D8B9F3" w14:textId="77777777" w:rsidR="00D631F7" w:rsidRPr="00505A17" w:rsidRDefault="00D631F7" w:rsidP="00D70C47">
      <w:pPr>
        <w:adjustRightInd w:val="0"/>
        <w:jc w:val="both"/>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lastRenderedPageBreak/>
        <w:t>ii. Restauration</w:t>
      </w:r>
    </w:p>
    <w:p w14:paraId="0C62930C" w14:textId="77777777" w:rsidR="00D631F7" w:rsidRPr="00505A17" w:rsidRDefault="00D631F7" w:rsidP="00D70C47">
      <w:pPr>
        <w:adjustRightInd w:val="0"/>
        <w:jc w:val="both"/>
        <w:textAlignment w:val="auto"/>
        <w:rPr>
          <w:rFonts w:ascii="Arial" w:eastAsia="MS Mincho" w:hAnsi="Arial" w:cs="Arial"/>
          <w:b/>
          <w:bCs/>
          <w:sz w:val="22"/>
          <w:szCs w:val="22"/>
          <w:lang w:val="fr-FR"/>
        </w:rPr>
      </w:pPr>
    </w:p>
    <w:p w14:paraId="3CAFD8D3" w14:textId="77777777" w:rsidR="00D631F7" w:rsidRPr="00505A17" w:rsidRDefault="00D631F7" w:rsidP="00D70C47">
      <w:pPr>
        <w:widowControl/>
        <w:numPr>
          <w:ilvl w:val="0"/>
          <w:numId w:val="9"/>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Un habitat approprié se situe dans une région prévue pour rester climatiquement adaptée à l’espèce (ou à la population) ou le devenir, ou encore qui peut être gérée ou restaurée afin de conserver cette adéquation dans le cadre de scénarios climatiques futurs.</w:t>
      </w:r>
    </w:p>
    <w:p w14:paraId="411DE999" w14:textId="77777777" w:rsidR="00D631F7" w:rsidRPr="00505A17" w:rsidRDefault="00D631F7" w:rsidP="00D70C47">
      <w:pPr>
        <w:widowControl/>
        <w:numPr>
          <w:ilvl w:val="0"/>
          <w:numId w:val="9"/>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conditions actuelles ou prévues de l’habitat sont dégradées ou inadaptées à la survie de l’espèce ou de la population cible.</w:t>
      </w:r>
    </w:p>
    <w:p w14:paraId="33976F58" w14:textId="77777777" w:rsidR="00D631F7" w:rsidRPr="00505A17" w:rsidRDefault="00D631F7" w:rsidP="00D70C47">
      <w:pPr>
        <w:widowControl/>
        <w:numPr>
          <w:ilvl w:val="0"/>
          <w:numId w:val="9"/>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dégradation de l’habitat est réversible (par exemple, par la reconstitution des récifs, la réhumidification des zones humides) et gérable à long terme.</w:t>
      </w:r>
    </w:p>
    <w:p w14:paraId="539757DD" w14:textId="77777777" w:rsidR="00D631F7" w:rsidRPr="00505A17" w:rsidRDefault="00D631F7" w:rsidP="00D70C47">
      <w:pPr>
        <w:widowControl/>
        <w:numPr>
          <w:ilvl w:val="0"/>
          <w:numId w:val="9"/>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conditions environnementales (par exemple, la qualité de l’eau, la végétation) et les interactions écologiques (comme la disponibilité des proies) peuvent être restaurées à un état fonctionnel.</w:t>
      </w:r>
    </w:p>
    <w:p w14:paraId="70128B67" w14:textId="77777777" w:rsidR="00D631F7" w:rsidRPr="00505A17" w:rsidRDefault="00D631F7" w:rsidP="00D70C47">
      <w:pPr>
        <w:widowControl/>
        <w:numPr>
          <w:ilvl w:val="0"/>
          <w:numId w:val="9"/>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Il existe des populations sources suffisantes pour une [re]colonisation naturelle ou assistée.</w:t>
      </w:r>
    </w:p>
    <w:p w14:paraId="127AF19F" w14:textId="77777777" w:rsidR="00D631F7" w:rsidRPr="00505A17" w:rsidRDefault="00D631F7" w:rsidP="00D70C47">
      <w:pPr>
        <w:widowControl/>
        <w:numPr>
          <w:ilvl w:val="0"/>
          <w:numId w:val="9"/>
        </w:numPr>
        <w:autoSpaceDE/>
        <w:autoSpaceDN/>
        <w:adjustRightInd w:val="0"/>
        <w:spacing w:after="160"/>
        <w:contextualSpacing/>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restauration n’entraînera pas de déséquilibres écologiques préjudiciables (par exemple, cascades trophiques, transmission de maladies).</w:t>
      </w:r>
    </w:p>
    <w:p w14:paraId="11941657" w14:textId="77777777" w:rsidR="00D631F7" w:rsidRPr="00505A17" w:rsidRDefault="00D631F7" w:rsidP="00D70C47">
      <w:pPr>
        <w:adjustRightInd w:val="0"/>
        <w:textAlignment w:val="auto"/>
        <w:rPr>
          <w:rFonts w:ascii="Arial" w:eastAsia="MS Mincho" w:hAnsi="Arial" w:cs="Arial"/>
          <w:sz w:val="22"/>
          <w:szCs w:val="22"/>
          <w:lang w:val="fr-FR"/>
        </w:rPr>
      </w:pPr>
    </w:p>
    <w:p w14:paraId="7929B635" w14:textId="77777777" w:rsidR="00D631F7" w:rsidRPr="00505A17" w:rsidRDefault="00D631F7" w:rsidP="00D70C47">
      <w:pPr>
        <w:adjustRightInd w:val="0"/>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iii. Adaptation</w:t>
      </w:r>
    </w:p>
    <w:p w14:paraId="50400EB5" w14:textId="77777777" w:rsidR="00D631F7" w:rsidRPr="00505A17" w:rsidRDefault="00D631F7" w:rsidP="00D70C47">
      <w:pPr>
        <w:adjustRightInd w:val="0"/>
        <w:textAlignment w:val="auto"/>
        <w:rPr>
          <w:rFonts w:ascii="Arial" w:eastAsia="MS Mincho" w:hAnsi="Arial" w:cs="Arial"/>
          <w:b/>
          <w:bCs/>
          <w:sz w:val="22"/>
          <w:szCs w:val="22"/>
          <w:lang w:val="fr-FR"/>
        </w:rPr>
      </w:pPr>
    </w:p>
    <w:p w14:paraId="44810E8B" w14:textId="77777777" w:rsidR="00D631F7" w:rsidRPr="00505A17" w:rsidRDefault="00D631F7" w:rsidP="00D70C47">
      <w:pPr>
        <w:widowControl/>
        <w:numPr>
          <w:ilvl w:val="0"/>
          <w:numId w:val="10"/>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Un habitat approprié dans l’aire de répartition naturelle de l’espèce n’est actuellement pas disponible ou est trop limité en matière d’étendue ou de qualité pour favoriser une population viable.</w:t>
      </w:r>
    </w:p>
    <w:p w14:paraId="2617CDB4" w14:textId="77777777" w:rsidR="00D631F7" w:rsidRPr="00505A17" w:rsidRDefault="00D631F7" w:rsidP="00D70C47">
      <w:pPr>
        <w:widowControl/>
        <w:numPr>
          <w:ilvl w:val="0"/>
          <w:numId w:val="10"/>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Des conditions d’habitat adéquates peuvent être activement créées ou modifiées pour favoriser la persistance des espèces dans le cadre des scénarios climatiques actuels et envisagés.</w:t>
      </w:r>
    </w:p>
    <w:p w14:paraId="7A3B38BF" w14:textId="77777777" w:rsidR="00D631F7" w:rsidRPr="00505A17" w:rsidRDefault="00D631F7" w:rsidP="00D70C47">
      <w:pPr>
        <w:widowControl/>
        <w:numPr>
          <w:ilvl w:val="0"/>
          <w:numId w:val="10"/>
        </w:numPr>
        <w:autoSpaceDE/>
        <w:autoSpaceDN/>
        <w:adjustRightInd w:val="0"/>
        <w:spacing w:after="160"/>
        <w:contextualSpacing/>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actions requises (par exemple, gestion de l’eau, ombrage, prévention de l’érosion) sont réalisables à long terme d’un point de vue logistique et financier.</w:t>
      </w:r>
    </w:p>
    <w:p w14:paraId="064927BF" w14:textId="77777777" w:rsidR="00861998" w:rsidRDefault="00861998" w:rsidP="00D70C47">
      <w:pPr>
        <w:adjustRightInd w:val="0"/>
        <w:textAlignment w:val="auto"/>
        <w:rPr>
          <w:rFonts w:ascii="Arial" w:eastAsia="MS Mincho" w:hAnsi="Arial" w:cs="Arial"/>
          <w:b/>
          <w:bCs/>
          <w:sz w:val="22"/>
          <w:szCs w:val="22"/>
          <w:lang w:val="fr-FR"/>
        </w:rPr>
      </w:pPr>
    </w:p>
    <w:p w14:paraId="1D2C6AC7" w14:textId="13C4F71F" w:rsidR="00D631F7" w:rsidRPr="00505A17" w:rsidRDefault="00D631F7" w:rsidP="00D70C47">
      <w:pPr>
        <w:adjustRightInd w:val="0"/>
        <w:textAlignment w:val="auto"/>
        <w:rPr>
          <w:rFonts w:ascii="Arial" w:eastAsia="MS Mincho" w:hAnsi="Arial" w:cs="Arial"/>
          <w:b/>
          <w:bCs/>
          <w:sz w:val="22"/>
          <w:szCs w:val="22"/>
          <w:lang w:val="fr-FR"/>
        </w:rPr>
      </w:pPr>
      <w:r w:rsidRPr="00505A17">
        <w:rPr>
          <w:rFonts w:ascii="Arial" w:eastAsia="MS Mincho" w:hAnsi="Arial" w:cs="Arial"/>
          <w:b/>
          <w:bCs/>
          <w:sz w:val="22"/>
          <w:szCs w:val="22"/>
          <w:lang w:val="fr-FR"/>
        </w:rPr>
        <w:t>iv. Transfert</w:t>
      </w:r>
    </w:p>
    <w:p w14:paraId="4C091BC6" w14:textId="77777777" w:rsidR="00D631F7" w:rsidRPr="00505A17" w:rsidRDefault="00D631F7" w:rsidP="00D70C47">
      <w:pPr>
        <w:adjustRightInd w:val="0"/>
        <w:textAlignment w:val="auto"/>
        <w:rPr>
          <w:rFonts w:ascii="Arial" w:eastAsia="MS Mincho" w:hAnsi="Arial" w:cs="Arial"/>
          <w:sz w:val="22"/>
          <w:szCs w:val="22"/>
          <w:lang w:val="fr-FR"/>
        </w:rPr>
      </w:pPr>
    </w:p>
    <w:p w14:paraId="147B5FB6"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L’habitat est adéquat sur le plan climatique au moment du transfert et devrait le rester afin de satisfaire aux besoins comportementaux et environnementaux de l’espèce (ou de la population) à tous les stades de la vie.</w:t>
      </w:r>
    </w:p>
    <w:p w14:paraId="5C13885B"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La [re]colonisation naturelle n’est pas envisageable ou est trop lente.</w:t>
      </w:r>
    </w:p>
    <w:p w14:paraId="7462F095"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menaces (qu’elles soient naturelles ou d’origine humaine) sur le site de dissémination sont faibles ou maîtrisables.</w:t>
      </w:r>
    </w:p>
    <w:p w14:paraId="12B4890E"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individus sont en mesure de survivre et de se reproduire sur le nouveau site sans intervention humaine.</w:t>
      </w:r>
    </w:p>
    <w:p w14:paraId="32FA9A8E"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déplacements de l’espèce ou l’exploitation de son habitat sont suffisamment souples pour permettre son établissement.</w:t>
      </w:r>
    </w:p>
    <w:p w14:paraId="53080377"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 risque d’introduction de maladies sur le site candidat est faible.</w:t>
      </w:r>
    </w:p>
    <w:p w14:paraId="7579C9D0"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 risque de concurrence ou de prédation sur d’autres espèces en danger dans le site candidat est faible.</w:t>
      </w:r>
    </w:p>
    <w:p w14:paraId="5C402BBE"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 risque d’hybridation avec une autre espèce dans le site candidat est faible.</w:t>
      </w:r>
    </w:p>
    <w:p w14:paraId="24DB098B"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Les populations de donneurs sont génétiquement diverses et peuvent tolérer le retrait d’individus.</w:t>
      </w:r>
    </w:p>
    <w:p w14:paraId="0209D418"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 xml:space="preserve">Le suivi des populations sources et des populations transférées est financièrement réalisable. La surveillance requise inclut des évaluations de l’aptitude génétique, du </w:t>
      </w:r>
      <w:r w:rsidRPr="00505A17">
        <w:rPr>
          <w:rFonts w:ascii="Arial" w:eastAsia="MS Mincho" w:hAnsi="Arial" w:cs="Arial"/>
          <w:sz w:val="22"/>
          <w:szCs w:val="22"/>
          <w:lang w:val="fr-FR"/>
        </w:rPr>
        <w:lastRenderedPageBreak/>
        <w:t>succès reproductif, des taux de survie, des interactions prédateur-proie, de l’utilisation de l’habitat et de la santé globale de la population.</w:t>
      </w:r>
    </w:p>
    <w:p w14:paraId="4E1A51D8" w14:textId="77777777" w:rsidR="00D631F7" w:rsidRPr="00505A17" w:rsidRDefault="00D631F7" w:rsidP="00D70C47">
      <w:pPr>
        <w:widowControl/>
        <w:numPr>
          <w:ilvl w:val="0"/>
          <w:numId w:val="11"/>
        </w:numPr>
        <w:autoSpaceDE/>
        <w:autoSpaceDN/>
        <w:adjustRightInd w:val="0"/>
        <w:spacing w:after="80"/>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 xml:space="preserve">Il est possible, d’un point de vue logistique et financier, de déplacer un nombre suffisant d’individus pour établir une population viable et autonome dans le nouvel habitat. </w:t>
      </w:r>
    </w:p>
    <w:p w14:paraId="62C29CFE" w14:textId="77777777" w:rsidR="00D631F7" w:rsidRPr="00505A17" w:rsidRDefault="00D631F7" w:rsidP="00D70C47">
      <w:pPr>
        <w:widowControl/>
        <w:numPr>
          <w:ilvl w:val="0"/>
          <w:numId w:val="11"/>
        </w:numPr>
        <w:autoSpaceDE/>
        <w:autoSpaceDN/>
        <w:adjustRightInd w:val="0"/>
        <w:spacing w:after="160"/>
        <w:contextualSpacing/>
        <w:jc w:val="both"/>
        <w:textAlignment w:val="auto"/>
        <w:rPr>
          <w:rFonts w:ascii="Arial" w:eastAsia="MS Mincho" w:hAnsi="Arial" w:cs="Arial"/>
          <w:sz w:val="22"/>
          <w:szCs w:val="22"/>
          <w:lang w:val="fr-FR"/>
        </w:rPr>
      </w:pPr>
      <w:r w:rsidRPr="00505A17">
        <w:rPr>
          <w:rFonts w:ascii="Arial" w:eastAsia="MS Mincho" w:hAnsi="Arial" w:cs="Arial"/>
          <w:sz w:val="22"/>
          <w:szCs w:val="22"/>
          <w:lang w:val="fr-FR"/>
        </w:rPr>
        <w:t>Il n’existe pas de barrières sociales ou culturelles significatives qui pourraient empêcher ou compromettre le succès de l’effort de transfert, et les communautés locales ainsi que les parties prenantes sont informées, engagées et favorables à l’action.</w:t>
      </w:r>
    </w:p>
    <w:p w14:paraId="7B7895C2" w14:textId="77777777" w:rsidR="00753586" w:rsidRDefault="00753586" w:rsidP="00D70C47">
      <w:pPr>
        <w:widowControl/>
        <w:autoSpaceDE/>
        <w:autoSpaceDN/>
        <w:jc w:val="both"/>
        <w:textAlignment w:val="auto"/>
        <w:rPr>
          <w:rFonts w:ascii="Arial" w:eastAsiaTheme="minorHAnsi" w:hAnsi="Arial" w:cs="Arial"/>
          <w:sz w:val="22"/>
          <w:szCs w:val="22"/>
          <w:lang w:val="fr-FR"/>
        </w:rPr>
      </w:pPr>
    </w:p>
    <w:p w14:paraId="288F3956" w14:textId="77777777" w:rsidR="00D631F7" w:rsidRPr="001C17AE" w:rsidRDefault="00D631F7" w:rsidP="00D70C47">
      <w:pPr>
        <w:widowControl/>
        <w:autoSpaceDE/>
        <w:autoSpaceDN/>
        <w:spacing w:after="160"/>
        <w:jc w:val="both"/>
        <w:textAlignment w:val="auto"/>
        <w:rPr>
          <w:rFonts w:ascii="Arial" w:eastAsia="MS Mincho" w:hAnsi="Arial" w:cs="Arial"/>
          <w:sz w:val="22"/>
          <w:szCs w:val="22"/>
          <w:lang w:val="fr-FR"/>
        </w:rPr>
      </w:pPr>
      <w:r w:rsidRPr="001C17AE">
        <w:rPr>
          <w:rFonts w:ascii="Arial" w:eastAsiaTheme="minorHAnsi" w:hAnsi="Arial" w:cs="Arial"/>
          <w:sz w:val="22"/>
          <w:szCs w:val="22"/>
          <w:lang w:val="fr-FR"/>
        </w:rPr>
        <w:t>À chaque étape du processus de décision, d’autres facteurs devront être pris en considération, tels que le coût (</w:t>
      </w:r>
      <w:proofErr w:type="spellStart"/>
      <w:r w:rsidRPr="001C17AE">
        <w:rPr>
          <w:rFonts w:ascii="Arial" w:eastAsiaTheme="minorHAnsi" w:hAnsi="Arial" w:cs="Arial"/>
          <w:sz w:val="22"/>
          <w:szCs w:val="22"/>
          <w:lang w:val="fr-FR"/>
        </w:rPr>
        <w:t>Shoo</w:t>
      </w:r>
      <w:proofErr w:type="spellEnd"/>
      <w:r w:rsidRPr="001C17AE">
        <w:rPr>
          <w:rFonts w:ascii="Arial" w:eastAsiaTheme="minorHAnsi" w:hAnsi="Arial" w:cs="Arial"/>
          <w:sz w:val="22"/>
          <w:szCs w:val="22"/>
          <w:lang w:val="fr-FR"/>
        </w:rPr>
        <w:t>, et al., 2013) et les risques et avantages potentiels encourus par les autres espèces qui partagent les habitats en question. En particulier, toute tentative de transfert (que ce soit pour une colonisation assistée ou une recolonisation) doit suivre les Lignes directrices de l’Union internationale pour la conservation de la nature (UICN) sur les réintroductions et les autres transferts aux fins de la conservation.</w:t>
      </w:r>
    </w:p>
    <w:p w14:paraId="1D2B3BD8" w14:textId="77777777" w:rsidR="00D631F7" w:rsidRDefault="00D631F7" w:rsidP="00D70C47">
      <w:pPr>
        <w:widowControl/>
        <w:autoSpaceDE/>
        <w:autoSpaceDN/>
        <w:jc w:val="both"/>
        <w:textAlignment w:val="auto"/>
        <w:rPr>
          <w:rFonts w:ascii="Arial" w:eastAsiaTheme="minorHAnsi" w:hAnsi="Arial" w:cs="Arial"/>
          <w:sz w:val="22"/>
          <w:szCs w:val="22"/>
          <w:lang w:val="fr-FR"/>
        </w:rPr>
      </w:pPr>
    </w:p>
    <w:p w14:paraId="46D62C9F" w14:textId="77777777" w:rsidR="00861998" w:rsidRPr="00505A17" w:rsidRDefault="00861998" w:rsidP="00D70C47">
      <w:pPr>
        <w:widowControl/>
        <w:autoSpaceDE/>
        <w:autoSpaceDN/>
        <w:jc w:val="both"/>
        <w:textAlignment w:val="auto"/>
        <w:rPr>
          <w:rFonts w:ascii="Arial" w:eastAsiaTheme="minorHAnsi" w:hAnsi="Arial" w:cs="Arial"/>
          <w:sz w:val="22"/>
          <w:szCs w:val="22"/>
          <w:lang w:val="fr-FR"/>
        </w:rPr>
        <w:sectPr w:rsidR="00861998" w:rsidRPr="00505A17"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pPr>
    </w:p>
    <w:p w14:paraId="2CDB391E" w14:textId="77777777" w:rsidR="00D631F7" w:rsidRPr="00505A17" w:rsidRDefault="00D631F7" w:rsidP="00D70C47">
      <w:pPr>
        <w:jc w:val="both"/>
        <w:rPr>
          <w:rFonts w:cs="Arial"/>
          <w:strike/>
          <w:lang w:val="fr-FR"/>
        </w:rPr>
      </w:pPr>
      <w:r w:rsidRPr="00505A17">
        <w:rPr>
          <w:noProof/>
          <w:lang w:val="fr-FR"/>
        </w:rPr>
        <w:lastRenderedPageBreak/>
        <w:drawing>
          <wp:anchor distT="0" distB="0" distL="114300" distR="114300" simplePos="0" relativeHeight="251659264" behindDoc="0" locked="0" layoutInCell="1" allowOverlap="1" wp14:anchorId="712B062B" wp14:editId="1A988A66">
            <wp:simplePos x="0" y="0"/>
            <wp:positionH relativeFrom="column">
              <wp:posOffset>-257175</wp:posOffset>
            </wp:positionH>
            <wp:positionV relativeFrom="paragraph">
              <wp:posOffset>328</wp:posOffset>
            </wp:positionV>
            <wp:extent cx="6468693" cy="3638550"/>
            <wp:effectExtent l="0" t="0" r="8890" b="0"/>
            <wp:wrapSquare wrapText="bothSides"/>
            <wp:docPr id="8904426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4262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468693" cy="3638550"/>
                    </a:xfrm>
                    <a:prstGeom prst="rect">
                      <a:avLst/>
                    </a:prstGeom>
                  </pic:spPr>
                </pic:pic>
              </a:graphicData>
            </a:graphic>
          </wp:anchor>
        </w:drawing>
      </w:r>
    </w:p>
    <w:p w14:paraId="2F3EA132" w14:textId="77777777" w:rsidR="00D631F7" w:rsidRPr="00505A17" w:rsidRDefault="00D631F7" w:rsidP="00D70C47">
      <w:pPr>
        <w:jc w:val="both"/>
        <w:rPr>
          <w:rFonts w:ascii="Arial" w:hAnsi="Arial" w:cs="Arial"/>
          <w:strike/>
          <w:sz w:val="18"/>
          <w:szCs w:val="18"/>
          <w:lang w:val="fr-FR"/>
        </w:rPr>
      </w:pPr>
      <w:r w:rsidRPr="00505A17">
        <w:rPr>
          <w:rFonts w:ascii="Arial" w:eastAsia="MS Mincho" w:hAnsi="Arial" w:cs="Arial"/>
          <w:sz w:val="18"/>
          <w:szCs w:val="18"/>
          <w:lang w:val="fr-FR"/>
        </w:rPr>
        <w:t>Figure 1 : Cadre d’aide à la décision pour orienter les actions en faveur des espèces migratrices dont l’aire de répartition se modifie sous l’effet du changement climatique.  Dans tous les cas, l’enveloppe climatique à moyen terme devrait être suffisante pour maintenir l’habitat. Quatre critères doivent être remplis si l’on envisage un transfert pour établir une population viable : a) la population source doit être suffisamment grande, génétiquement diversifiée et résiliente pour supporter le prélèvement d’individus ; b) les risques de conséquences écologiques imprévues doivent être faibles ; c) les opérations, notamment le suivi écologique et génétique à long terme des populations transférées et de la population source, doivent être réalisables et viables d’un point de vue logistique et financier ; d) il ne doit pas exister de barrières sociales et culturelles, et le soutien de la communauté doit être avéré</w:t>
      </w:r>
      <w:r w:rsidRPr="00505A17">
        <w:rPr>
          <w:rFonts w:ascii="Arial" w:hAnsi="Arial" w:cs="Arial"/>
          <w:strike/>
          <w:sz w:val="18"/>
          <w:szCs w:val="18"/>
          <w:lang w:val="fr-FR"/>
        </w:rPr>
        <w:br w:type="page"/>
      </w:r>
    </w:p>
    <w:p w14:paraId="7772E782" w14:textId="77777777" w:rsidR="00D631F7" w:rsidRPr="00505A17" w:rsidRDefault="00D631F7" w:rsidP="00D70C47">
      <w:pPr>
        <w:jc w:val="both"/>
        <w:rPr>
          <w:rFonts w:ascii="Arial" w:hAnsi="Arial" w:cs="Arial"/>
          <w:b/>
          <w:bCs/>
          <w:lang w:val="fr-FR"/>
        </w:rPr>
      </w:pPr>
      <w:r w:rsidRPr="00505A17">
        <w:rPr>
          <w:rFonts w:ascii="Arial" w:hAnsi="Arial" w:cs="Arial"/>
          <w:b/>
          <w:bCs/>
          <w:lang w:val="fr-FR"/>
        </w:rPr>
        <w:lastRenderedPageBreak/>
        <w:t>Références</w:t>
      </w:r>
    </w:p>
    <w:p w14:paraId="0E28568C" w14:textId="77777777" w:rsidR="00D631F7" w:rsidRPr="00505A17" w:rsidRDefault="00D631F7" w:rsidP="00D70C47">
      <w:pPr>
        <w:jc w:val="both"/>
        <w:rPr>
          <w:rFonts w:ascii="Arial" w:hAnsi="Arial" w:cs="Arial"/>
          <w:lang w:val="fr-FR"/>
        </w:rPr>
      </w:pPr>
      <w:r w:rsidRPr="00505A17">
        <w:rPr>
          <w:rFonts w:ascii="Arial" w:hAnsi="Arial" w:cs="Arial"/>
          <w:lang w:val="fr-FR"/>
        </w:rPr>
        <w:fldChar w:fldCharType="begin"/>
      </w:r>
      <w:r w:rsidRPr="00505A17">
        <w:rPr>
          <w:rFonts w:ascii="Arial" w:hAnsi="Arial" w:cs="Arial"/>
          <w:lang w:val="fr-FR"/>
        </w:rPr>
        <w:instrText xml:space="preserve"> BIBLIOGRAPHY </w:instrText>
      </w:r>
      <w:r w:rsidRPr="00505A17">
        <w:rPr>
          <w:rFonts w:ascii="Arial" w:hAnsi="Arial" w:cs="Arial"/>
          <w:lang w:val="fr-FR"/>
        </w:rPr>
        <w:fldChar w:fldCharType="separate"/>
      </w:r>
    </w:p>
    <w:p w14:paraId="3C8CF720" w14:textId="77777777" w:rsidR="00D631F7" w:rsidRPr="00E323A8" w:rsidRDefault="00D631F7" w:rsidP="00D70C47">
      <w:pPr>
        <w:ind w:left="567" w:hanging="567"/>
        <w:jc w:val="both"/>
        <w:rPr>
          <w:rFonts w:ascii="Arial" w:hAnsi="Arial" w:cs="Arial"/>
          <w:lang w:val="en-GB"/>
        </w:rPr>
      </w:pPr>
      <w:r w:rsidRPr="00505A17">
        <w:rPr>
          <w:rFonts w:ascii="Arial" w:hAnsi="Arial" w:cs="Arial"/>
          <w:lang w:val="fr-FR"/>
        </w:rPr>
        <w:t xml:space="preserve">Krüger, L. </w:t>
      </w:r>
      <w:r w:rsidRPr="00505A17">
        <w:rPr>
          <w:rFonts w:ascii="Arial" w:hAnsi="Arial" w:cs="Arial"/>
          <w:i/>
          <w:lang w:val="fr-FR"/>
        </w:rPr>
        <w:t>et al</w:t>
      </w:r>
      <w:r w:rsidRPr="00505A17">
        <w:rPr>
          <w:rFonts w:ascii="Arial" w:hAnsi="Arial" w:cs="Arial"/>
          <w:lang w:val="fr-FR"/>
        </w:rPr>
        <w:t xml:space="preserve">., 2018. </w:t>
      </w:r>
      <w:r w:rsidRPr="00E323A8">
        <w:rPr>
          <w:rFonts w:ascii="Arial" w:hAnsi="Arial" w:cs="Arial"/>
          <w:lang w:val="en-GB"/>
        </w:rPr>
        <w:t xml:space="preserve">Projected distributions of Southern Ocean albatrosses, petrels and fisheries as a consequence of climatic change. </w:t>
      </w:r>
      <w:r w:rsidRPr="00E323A8">
        <w:rPr>
          <w:rFonts w:ascii="Arial" w:hAnsi="Arial" w:cs="Arial"/>
          <w:i/>
          <w:iCs/>
          <w:lang w:val="en-GB"/>
        </w:rPr>
        <w:t xml:space="preserve">Ecography, </w:t>
      </w:r>
      <w:r w:rsidRPr="00E323A8">
        <w:rPr>
          <w:rFonts w:ascii="Arial" w:hAnsi="Arial" w:cs="Arial"/>
          <w:lang w:val="en-GB"/>
        </w:rPr>
        <w:t>41(1), pp. 195-208.</w:t>
      </w:r>
    </w:p>
    <w:p w14:paraId="06F15E4B"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Link, J. S., Huse, G., Gaichas, S. &amp; Marshak, A. R., 2020. Changing how we approach fisheries: A first attempt at an operational framework for ecosystem approaches to fisheries management. </w:t>
      </w:r>
      <w:r w:rsidRPr="00E323A8">
        <w:rPr>
          <w:rFonts w:ascii="Arial" w:hAnsi="Arial" w:cs="Arial"/>
          <w:i/>
          <w:iCs/>
          <w:lang w:val="en-GB"/>
        </w:rPr>
        <w:t xml:space="preserve">Fish and Fisheries, </w:t>
      </w:r>
      <w:r w:rsidRPr="00E323A8">
        <w:rPr>
          <w:rFonts w:ascii="Arial" w:hAnsi="Arial" w:cs="Arial"/>
          <w:lang w:val="en-GB"/>
        </w:rPr>
        <w:t>21(2), pp. 393-434.</w:t>
      </w:r>
    </w:p>
    <w:p w14:paraId="74BB2AA6"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Newby, J. </w:t>
      </w:r>
      <w:r w:rsidRPr="00E323A8">
        <w:rPr>
          <w:rFonts w:ascii="Arial" w:hAnsi="Arial" w:cs="Arial"/>
          <w:i/>
          <w:iCs/>
          <w:lang w:val="en-GB"/>
        </w:rPr>
        <w:t>et al</w:t>
      </w:r>
      <w:r w:rsidRPr="00E323A8">
        <w:rPr>
          <w:rFonts w:ascii="Arial" w:hAnsi="Arial" w:cs="Arial"/>
          <w:lang w:val="en-GB"/>
        </w:rPr>
        <w:t xml:space="preserve">., 2016. Desert antelopes on the brink: how resilient is the Sahelo-Saharan ecosystem?. In: </w:t>
      </w:r>
      <w:r w:rsidRPr="00E323A8">
        <w:rPr>
          <w:rFonts w:ascii="Arial" w:hAnsi="Arial" w:cs="Arial"/>
          <w:i/>
          <w:iCs/>
          <w:lang w:val="en-GB"/>
        </w:rPr>
        <w:t>Antelope Conservation: From Diagnosis to Action.Chapter 13</w:t>
      </w:r>
      <w:r w:rsidRPr="00E323A8">
        <w:rPr>
          <w:rFonts w:ascii="Arial" w:hAnsi="Arial" w:cs="Arial"/>
          <w:lang w:val="en-GB"/>
        </w:rPr>
        <w:t>:John Wiley &amp; Sons, pp. 253-279.</w:t>
      </w:r>
    </w:p>
    <w:p w14:paraId="4B60267A"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Reynolds, M. </w:t>
      </w:r>
      <w:r w:rsidRPr="00E323A8">
        <w:rPr>
          <w:rFonts w:ascii="Arial" w:hAnsi="Arial" w:cs="Arial"/>
          <w:i/>
          <w:iCs/>
          <w:lang w:val="en-GB"/>
        </w:rPr>
        <w:t>et al</w:t>
      </w:r>
      <w:r w:rsidRPr="00E323A8">
        <w:rPr>
          <w:rFonts w:ascii="Arial" w:hAnsi="Arial" w:cs="Arial"/>
          <w:lang w:val="en-GB"/>
        </w:rPr>
        <w:t xml:space="preserve">., 2015. Will the effects of sea-level rise create ecological traps for Pacific island seabirds?. </w:t>
      </w:r>
      <w:r w:rsidRPr="00E323A8">
        <w:rPr>
          <w:rFonts w:ascii="Arial" w:hAnsi="Arial" w:cs="Arial"/>
          <w:i/>
          <w:iCs/>
          <w:lang w:val="en-GB"/>
        </w:rPr>
        <w:t xml:space="preserve">PLoS One, </w:t>
      </w:r>
      <w:r w:rsidRPr="00E323A8">
        <w:rPr>
          <w:rFonts w:ascii="Arial" w:hAnsi="Arial" w:cs="Arial"/>
          <w:lang w:val="en-GB"/>
        </w:rPr>
        <w:t xml:space="preserve">10(9) </w:t>
      </w:r>
      <w:r w:rsidRPr="00E323A8">
        <w:rPr>
          <w:rFonts w:ascii="Arial" w:eastAsia="MS Mincho" w:hAnsi="Arial" w:cs="Arial"/>
          <w:szCs w:val="20"/>
          <w:lang w:val="en-GB"/>
        </w:rPr>
        <w:t xml:space="preserve">e0136773. </w:t>
      </w:r>
      <w:hyperlink r:id="rId19" w:history="1">
        <w:r w:rsidRPr="00E323A8">
          <w:rPr>
            <w:rStyle w:val="Hyperlink"/>
            <w:rFonts w:ascii="Arial" w:eastAsia="MS Mincho" w:hAnsi="Arial" w:cs="Arial"/>
            <w:szCs w:val="20"/>
            <w:lang w:val="en-GB"/>
          </w:rPr>
          <w:t>https://doi.org/10.1371/journal.pone.0136773</w:t>
        </w:r>
      </w:hyperlink>
      <w:r w:rsidRPr="00E323A8">
        <w:rPr>
          <w:rFonts w:ascii="Arial" w:hAnsi="Arial" w:cs="Arial"/>
          <w:lang w:val="en-GB"/>
        </w:rPr>
        <w:t>.</w:t>
      </w:r>
    </w:p>
    <w:p w14:paraId="42B1000B"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Rinkevich, B., 2014. Rebuilding coral reefs: does active reef restoration lead to sustainable reefs?.</w:t>
      </w:r>
      <w:r w:rsidRPr="00E323A8">
        <w:rPr>
          <w:rFonts w:ascii="Arial" w:hAnsi="Arial" w:cs="Arial"/>
          <w:i/>
          <w:lang w:val="en-GB"/>
        </w:rPr>
        <w:t xml:space="preserve">Current Opinion in Environmental Sustainability, </w:t>
      </w:r>
      <w:r w:rsidRPr="00E323A8">
        <w:rPr>
          <w:rFonts w:ascii="Arial" w:hAnsi="Arial" w:cs="Arial"/>
          <w:lang w:val="en-GB"/>
        </w:rPr>
        <w:t>Volume 7, pp. 28-36.</w:t>
      </w:r>
    </w:p>
    <w:p w14:paraId="1B5B8B27"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Rushing, C. S., Rubenstein, M., Lyons, J. &amp; Runge, M. C., 2020. Using value of information to prioritize research needs for migratory bird management under climate change: a case study using federal land acquisition in the United States. </w:t>
      </w:r>
      <w:r w:rsidRPr="00E323A8">
        <w:rPr>
          <w:rFonts w:ascii="Arial" w:hAnsi="Arial" w:cs="Arial"/>
          <w:i/>
          <w:iCs/>
          <w:lang w:val="en-GB"/>
        </w:rPr>
        <w:t xml:space="preserve">Biological Reviews, </w:t>
      </w:r>
      <w:r w:rsidRPr="00E323A8">
        <w:rPr>
          <w:rFonts w:ascii="Arial" w:hAnsi="Arial" w:cs="Arial"/>
          <w:lang w:val="en-GB"/>
        </w:rPr>
        <w:t>95(4), pp. 1109-1130.</w:t>
      </w:r>
    </w:p>
    <w:p w14:paraId="21F612E3"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Shoo, L. P. </w:t>
      </w:r>
      <w:r w:rsidRPr="00E323A8">
        <w:rPr>
          <w:rFonts w:ascii="Arial" w:hAnsi="Arial" w:cs="Arial"/>
          <w:i/>
          <w:iCs/>
          <w:lang w:val="en-GB"/>
        </w:rPr>
        <w:t>et al</w:t>
      </w:r>
      <w:r w:rsidRPr="00E323A8">
        <w:rPr>
          <w:rFonts w:ascii="Arial" w:hAnsi="Arial" w:cs="Arial"/>
          <w:lang w:val="en-GB"/>
        </w:rPr>
        <w:t xml:space="preserve">., 2013. Making decisions to conserve species under climate change. </w:t>
      </w:r>
      <w:r w:rsidRPr="00E323A8">
        <w:rPr>
          <w:rFonts w:ascii="Arial" w:hAnsi="Arial" w:cs="Arial"/>
          <w:i/>
          <w:iCs/>
          <w:lang w:val="en-GB"/>
        </w:rPr>
        <w:t xml:space="preserve">Climatic Change, </w:t>
      </w:r>
      <w:r w:rsidRPr="00E323A8">
        <w:rPr>
          <w:rFonts w:ascii="Arial" w:hAnsi="Arial" w:cs="Arial"/>
          <w:lang w:val="en-GB"/>
        </w:rPr>
        <w:t>119(2), pp. 239-246.</w:t>
      </w:r>
    </w:p>
    <w:p w14:paraId="783F5F62" w14:textId="77777777" w:rsidR="00D631F7" w:rsidRPr="00E323A8" w:rsidRDefault="00D631F7" w:rsidP="00D70C47">
      <w:pPr>
        <w:ind w:left="567" w:hanging="567"/>
        <w:jc w:val="both"/>
        <w:rPr>
          <w:rFonts w:ascii="Arial" w:hAnsi="Arial" w:cs="Arial"/>
          <w:lang w:val="en-GB"/>
        </w:rPr>
      </w:pPr>
      <w:r w:rsidRPr="00E323A8">
        <w:rPr>
          <w:rFonts w:ascii="Arial" w:hAnsi="Arial" w:cs="Arial"/>
          <w:lang w:val="en-GB"/>
        </w:rPr>
        <w:t xml:space="preserve">Wikramanayake, E. </w:t>
      </w:r>
      <w:r w:rsidRPr="00E323A8">
        <w:rPr>
          <w:rFonts w:ascii="Arial" w:hAnsi="Arial" w:cs="Arial"/>
          <w:i/>
          <w:iCs/>
          <w:lang w:val="en-GB"/>
        </w:rPr>
        <w:t>et al</w:t>
      </w:r>
      <w:r w:rsidRPr="00E323A8">
        <w:rPr>
          <w:rFonts w:ascii="Arial" w:hAnsi="Arial" w:cs="Arial"/>
          <w:lang w:val="en-GB"/>
        </w:rPr>
        <w:t xml:space="preserve">., 2020. A climate adaptation strategy for Mai Po Inner Deep Bay Ramsar site: Steppingstone to climate proofing the East-Asian-Australasian Flyway. </w:t>
      </w:r>
      <w:r w:rsidRPr="00E323A8">
        <w:rPr>
          <w:rFonts w:ascii="Arial" w:hAnsi="Arial" w:cs="Arial"/>
          <w:i/>
          <w:iCs/>
          <w:lang w:val="en-GB"/>
        </w:rPr>
        <w:t xml:space="preserve">Plos one, </w:t>
      </w:r>
      <w:r w:rsidRPr="00E323A8">
        <w:rPr>
          <w:rFonts w:ascii="Arial" w:hAnsi="Arial" w:cs="Arial"/>
          <w:lang w:val="en-GB"/>
        </w:rPr>
        <w:t xml:space="preserve">15(10) </w:t>
      </w:r>
      <w:r w:rsidRPr="00E323A8">
        <w:rPr>
          <w:rFonts w:ascii="Arial" w:eastAsia="MS Mincho" w:hAnsi="Arial" w:cs="Arial"/>
          <w:szCs w:val="20"/>
          <w:lang w:val="en-GB"/>
        </w:rPr>
        <w:t xml:space="preserve">e0239945. </w:t>
      </w:r>
      <w:hyperlink r:id="rId20" w:history="1">
        <w:r w:rsidRPr="00E323A8">
          <w:rPr>
            <w:rStyle w:val="Hyperlink"/>
            <w:rFonts w:ascii="Arial" w:eastAsia="MS Mincho" w:hAnsi="Arial" w:cs="Arial"/>
            <w:szCs w:val="20"/>
            <w:lang w:val="en-GB"/>
          </w:rPr>
          <w:t>https://doi.org/10.1371/journal.pone.0239945</w:t>
        </w:r>
      </w:hyperlink>
      <w:r w:rsidRPr="00E323A8">
        <w:rPr>
          <w:rFonts w:ascii="Arial" w:hAnsi="Arial" w:cs="Arial"/>
          <w:lang w:val="en-GB"/>
        </w:rPr>
        <w:t>.</w:t>
      </w:r>
    </w:p>
    <w:p w14:paraId="323B3966" w14:textId="77777777" w:rsidR="00D631F7" w:rsidRPr="00505A17" w:rsidRDefault="00D631F7" w:rsidP="00D70C47">
      <w:pPr>
        <w:ind w:left="567" w:hanging="567"/>
        <w:jc w:val="both"/>
        <w:rPr>
          <w:rFonts w:ascii="Arial" w:hAnsi="Arial" w:cs="Arial"/>
          <w:lang w:val="fr-FR"/>
        </w:rPr>
      </w:pPr>
      <w:r w:rsidRPr="00E323A8">
        <w:rPr>
          <w:rFonts w:ascii="Arial" w:hAnsi="Arial" w:cs="Arial"/>
          <w:lang w:val="en-GB"/>
        </w:rPr>
        <w:t xml:space="preserve">Xiao, H. </w:t>
      </w:r>
      <w:r w:rsidRPr="00E323A8">
        <w:rPr>
          <w:rFonts w:ascii="Arial" w:hAnsi="Arial" w:cs="Arial"/>
          <w:i/>
          <w:iCs/>
          <w:lang w:val="en-GB"/>
        </w:rPr>
        <w:t>et al</w:t>
      </w:r>
      <w:r w:rsidRPr="00E323A8">
        <w:rPr>
          <w:rFonts w:ascii="Arial" w:hAnsi="Arial" w:cs="Arial"/>
          <w:lang w:val="en-GB"/>
        </w:rPr>
        <w:t xml:space="preserve">., 2021. Conserving migratory species while safeguarding ecosystem services. </w:t>
      </w:r>
      <w:r w:rsidRPr="00505A17">
        <w:rPr>
          <w:rFonts w:ascii="Arial" w:hAnsi="Arial" w:cs="Arial"/>
          <w:i/>
          <w:iCs/>
          <w:lang w:val="fr-FR"/>
        </w:rPr>
        <w:t xml:space="preserve">Ecological Modelling, </w:t>
      </w:r>
      <w:r w:rsidRPr="00505A17">
        <w:rPr>
          <w:rFonts w:ascii="Arial" w:hAnsi="Arial" w:cs="Arial"/>
          <w:lang w:val="fr-FR"/>
        </w:rPr>
        <w:t>Volume 442, p. 109442.</w:t>
      </w:r>
    </w:p>
    <w:p w14:paraId="19976413" w14:textId="2515CF34"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hAnsi="Arial" w:cs="Arial"/>
          <w:b/>
          <w:bCs/>
          <w:lang w:val="fr-FR"/>
        </w:rPr>
        <w:fldChar w:fldCharType="end"/>
      </w:r>
    </w:p>
    <w:p w14:paraId="5FE6D97C" w14:textId="3CE37E7F" w:rsidR="00D631F7" w:rsidRPr="00505A17" w:rsidRDefault="00D631F7" w:rsidP="00D70C47">
      <w:pPr>
        <w:widowControl/>
        <w:autoSpaceDE/>
        <w:autoSpaceDN/>
        <w:jc w:val="both"/>
        <w:textAlignment w:val="auto"/>
        <w:rPr>
          <w:rFonts w:ascii="Arial" w:eastAsiaTheme="minorHAnsi" w:hAnsi="Arial" w:cs="Arial"/>
          <w:sz w:val="22"/>
          <w:szCs w:val="22"/>
          <w:lang w:val="fr-FR"/>
        </w:rPr>
      </w:pPr>
      <w:r w:rsidRPr="00505A17">
        <w:rPr>
          <w:rFonts w:ascii="Arial" w:eastAsiaTheme="minorHAnsi" w:hAnsi="Arial" w:cs="Arial"/>
          <w:sz w:val="22"/>
          <w:szCs w:val="22"/>
          <w:lang w:val="fr-FR"/>
        </w:rPr>
        <w:br w:type="page"/>
      </w:r>
    </w:p>
    <w:p w14:paraId="12DAFA1A" w14:textId="77777777" w:rsidR="00D631F7" w:rsidRPr="009162DB" w:rsidRDefault="00D631F7" w:rsidP="00D70C47">
      <w:pPr>
        <w:widowControl/>
        <w:autoSpaceDE/>
        <w:autoSpaceDN/>
        <w:jc w:val="center"/>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lastRenderedPageBreak/>
        <w:t>PROJET DE DÉCISIONS</w:t>
      </w:r>
    </w:p>
    <w:p w14:paraId="75B96B25" w14:textId="77777777" w:rsidR="00D631F7" w:rsidRPr="009162DB" w:rsidRDefault="00D631F7" w:rsidP="00D70C47">
      <w:pPr>
        <w:widowControl/>
        <w:autoSpaceDE/>
        <w:autoSpaceDN/>
        <w:jc w:val="center"/>
        <w:textAlignment w:val="auto"/>
        <w:rPr>
          <w:rFonts w:ascii="Arial" w:eastAsiaTheme="minorHAnsi" w:hAnsi="Arial" w:cs="Arial"/>
          <w:sz w:val="22"/>
          <w:szCs w:val="22"/>
          <w:lang w:val="fr-FR"/>
        </w:rPr>
      </w:pPr>
    </w:p>
    <w:p w14:paraId="38C082B0" w14:textId="77777777" w:rsidR="00D631F7" w:rsidRPr="009162DB" w:rsidRDefault="00D631F7" w:rsidP="00D70C47">
      <w:pPr>
        <w:widowControl/>
        <w:autoSpaceDE/>
        <w:autoSpaceDN/>
        <w:jc w:val="both"/>
        <w:textAlignment w:val="auto"/>
        <w:rPr>
          <w:rFonts w:ascii="Arial" w:eastAsiaTheme="minorHAnsi" w:hAnsi="Arial" w:cs="Arial"/>
          <w:i/>
          <w:color w:val="000000" w:themeColor="text1"/>
          <w:sz w:val="22"/>
          <w:szCs w:val="22"/>
          <w:lang w:val="fr-FR"/>
        </w:rPr>
      </w:pPr>
      <w:bookmarkStart w:id="0" w:name="_Hlk202866116"/>
    </w:p>
    <w:bookmarkEnd w:id="0"/>
    <w:p w14:paraId="4C627D5E"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r w:rsidRPr="009162DB">
        <w:rPr>
          <w:rFonts w:ascii="Arial" w:eastAsiaTheme="minorHAnsi" w:hAnsi="Arial" w:cs="Arial"/>
          <w:b/>
          <w:i/>
          <w:sz w:val="22"/>
          <w:szCs w:val="22"/>
          <w:lang w:val="fr-FR"/>
        </w:rPr>
        <w:t xml:space="preserve">À l’adresse des Parties </w:t>
      </w:r>
    </w:p>
    <w:p w14:paraId="79705A68"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p>
    <w:p w14:paraId="6649511F" w14:textId="77777777" w:rsidR="00D631F7" w:rsidRPr="009162DB" w:rsidRDefault="00D631F7" w:rsidP="00D70C47">
      <w:pPr>
        <w:widowControl/>
        <w:autoSpaceDE/>
        <w:autoSpaceDN/>
        <w:ind w:left="900" w:hanging="900"/>
        <w:jc w:val="both"/>
        <w:textAlignment w:val="auto"/>
        <w:rPr>
          <w:rFonts w:ascii="Arial" w:eastAsiaTheme="minorHAnsi" w:hAnsi="Arial" w:cs="Arial"/>
          <w:iCs/>
          <w:sz w:val="22"/>
          <w:szCs w:val="22"/>
          <w:lang w:val="fr-FR"/>
        </w:rPr>
      </w:pPr>
      <w:r w:rsidRPr="009162DB">
        <w:rPr>
          <w:rFonts w:ascii="Arial" w:eastAsiaTheme="minorHAnsi" w:hAnsi="Arial" w:cs="Arial"/>
          <w:sz w:val="22"/>
          <w:szCs w:val="22"/>
          <w:lang w:val="fr-FR"/>
        </w:rPr>
        <w:t xml:space="preserve">15.AA </w:t>
      </w:r>
      <w:r w:rsidRPr="009162DB">
        <w:rPr>
          <w:rFonts w:ascii="Arial" w:eastAsiaTheme="minorHAnsi" w:hAnsi="Arial" w:cs="Arial"/>
          <w:sz w:val="22"/>
          <w:szCs w:val="22"/>
          <w:lang w:val="fr-FR"/>
        </w:rPr>
        <w:tab/>
      </w:r>
      <w:r w:rsidRPr="009162DB">
        <w:rPr>
          <w:rFonts w:ascii="Arial" w:eastAsiaTheme="minorHAnsi" w:hAnsi="Arial" w:cs="Arial"/>
          <w:iCs/>
          <w:sz w:val="22"/>
          <w:szCs w:val="22"/>
          <w:lang w:val="fr-FR"/>
        </w:rPr>
        <w:t>Les Parties sont invitées à :</w:t>
      </w:r>
    </w:p>
    <w:p w14:paraId="25BA1085" w14:textId="77777777" w:rsidR="00D631F7" w:rsidRPr="009162DB" w:rsidRDefault="00D631F7" w:rsidP="00D70C47">
      <w:pPr>
        <w:widowControl/>
        <w:autoSpaceDE/>
        <w:autoSpaceDN/>
        <w:ind w:left="900" w:hanging="900"/>
        <w:jc w:val="both"/>
        <w:textAlignment w:val="auto"/>
        <w:rPr>
          <w:rFonts w:ascii="Arial" w:eastAsiaTheme="minorHAnsi" w:hAnsi="Arial" w:cs="Arial"/>
          <w:iCs/>
          <w:sz w:val="22"/>
          <w:szCs w:val="22"/>
          <w:lang w:val="fr-FR"/>
        </w:rPr>
      </w:pPr>
    </w:p>
    <w:p w14:paraId="6E187443" w14:textId="77777777" w:rsidR="00D631F7" w:rsidRPr="009162DB" w:rsidRDefault="00D631F7" w:rsidP="00C552BB">
      <w:pPr>
        <w:widowControl/>
        <w:numPr>
          <w:ilvl w:val="0"/>
          <w:numId w:val="12"/>
        </w:numPr>
        <w:autoSpaceDE/>
        <w:autoSpaceDN/>
        <w:ind w:left="1441" w:hanging="539"/>
        <w:jc w:val="both"/>
        <w:textAlignment w:val="auto"/>
        <w:rPr>
          <w:rFonts w:ascii="Arial" w:eastAsiaTheme="minorHAnsi" w:hAnsi="Arial" w:cs="Arial"/>
          <w:iCs/>
          <w:sz w:val="22"/>
          <w:szCs w:val="22"/>
          <w:lang w:val="fr-FR"/>
        </w:rPr>
      </w:pPr>
      <w:r w:rsidRPr="009162DB">
        <w:rPr>
          <w:rFonts w:ascii="Arial" w:eastAsiaTheme="minorHAnsi" w:hAnsi="Arial" w:cs="Arial"/>
          <w:iCs/>
          <w:sz w:val="22"/>
          <w:szCs w:val="22"/>
          <w:lang w:val="fr-FR"/>
        </w:rPr>
        <w:t>identifier des projets d’études démontrant des actions réussies ayant soutenu l’adaptation des espèces migratrices au changement climatique ;</w:t>
      </w:r>
    </w:p>
    <w:p w14:paraId="3B312627" w14:textId="77777777" w:rsidR="00D631F7" w:rsidRPr="009162DB" w:rsidRDefault="00D631F7" w:rsidP="00D70C47">
      <w:pPr>
        <w:widowControl/>
        <w:autoSpaceDE/>
        <w:autoSpaceDN/>
        <w:ind w:left="1440"/>
        <w:jc w:val="both"/>
        <w:textAlignment w:val="auto"/>
        <w:rPr>
          <w:rFonts w:ascii="Arial" w:eastAsiaTheme="minorHAnsi" w:hAnsi="Arial" w:cs="Arial"/>
          <w:iCs/>
          <w:sz w:val="22"/>
          <w:szCs w:val="22"/>
          <w:lang w:val="fr-FR"/>
        </w:rPr>
      </w:pPr>
    </w:p>
    <w:p w14:paraId="67916ABA" w14:textId="77777777" w:rsidR="00D631F7" w:rsidRPr="009162DB" w:rsidRDefault="00D631F7" w:rsidP="00D70C47">
      <w:pPr>
        <w:widowControl/>
        <w:numPr>
          <w:ilvl w:val="0"/>
          <w:numId w:val="12"/>
        </w:numPr>
        <w:autoSpaceDE/>
        <w:autoSpaceDN/>
        <w:ind w:left="1440" w:hanging="540"/>
        <w:jc w:val="both"/>
        <w:textAlignment w:val="auto"/>
        <w:rPr>
          <w:rFonts w:ascii="Arial" w:eastAsiaTheme="minorHAnsi" w:hAnsi="Arial" w:cs="Arial"/>
          <w:iCs/>
          <w:sz w:val="22"/>
          <w:szCs w:val="22"/>
          <w:lang w:val="fr-FR"/>
        </w:rPr>
      </w:pPr>
      <w:r w:rsidRPr="009162DB">
        <w:rPr>
          <w:rFonts w:ascii="Arial" w:eastAsiaTheme="minorHAnsi" w:hAnsi="Arial" w:cs="Arial"/>
          <w:iCs/>
          <w:sz w:val="22"/>
          <w:szCs w:val="22"/>
          <w:lang w:val="fr-FR"/>
        </w:rPr>
        <w:t>identifier des études de cas illustrant les services écosystémiques fournis par les espèces migratrices qui contribuent à lutter contre le changement climatique ; et</w:t>
      </w:r>
    </w:p>
    <w:p w14:paraId="50B84320" w14:textId="77777777" w:rsidR="00D631F7" w:rsidRPr="009162DB" w:rsidRDefault="00D631F7" w:rsidP="00D70C47">
      <w:pPr>
        <w:widowControl/>
        <w:autoSpaceDE/>
        <w:autoSpaceDN/>
        <w:ind w:left="1440"/>
        <w:jc w:val="both"/>
        <w:textAlignment w:val="auto"/>
        <w:rPr>
          <w:rFonts w:ascii="Arial" w:eastAsiaTheme="minorHAnsi" w:hAnsi="Arial" w:cs="Arial"/>
          <w:iCs/>
          <w:sz w:val="22"/>
          <w:szCs w:val="22"/>
          <w:lang w:val="fr-FR"/>
        </w:rPr>
      </w:pPr>
    </w:p>
    <w:p w14:paraId="47F40F7F" w14:textId="77777777" w:rsidR="00D631F7" w:rsidRPr="009162DB" w:rsidRDefault="00D631F7" w:rsidP="00D70C47">
      <w:pPr>
        <w:widowControl/>
        <w:numPr>
          <w:ilvl w:val="0"/>
          <w:numId w:val="12"/>
        </w:numPr>
        <w:autoSpaceDE/>
        <w:autoSpaceDN/>
        <w:ind w:left="1440" w:hanging="540"/>
        <w:jc w:val="both"/>
        <w:textAlignment w:val="auto"/>
        <w:rPr>
          <w:rFonts w:ascii="Arial" w:eastAsiaTheme="minorHAnsi" w:hAnsi="Arial" w:cs="Arial"/>
          <w:iCs/>
          <w:sz w:val="22"/>
          <w:szCs w:val="22"/>
          <w:lang w:val="fr-FR"/>
        </w:rPr>
      </w:pPr>
      <w:r w:rsidRPr="009162DB">
        <w:rPr>
          <w:rFonts w:ascii="Arial" w:eastAsiaTheme="minorHAnsi" w:hAnsi="Arial" w:cs="Arial"/>
          <w:iCs/>
          <w:sz w:val="22"/>
          <w:szCs w:val="22"/>
          <w:lang w:val="fr-FR"/>
        </w:rPr>
        <w:t>les partager avec le Secrétariat.</w:t>
      </w:r>
    </w:p>
    <w:p w14:paraId="088E95DA"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p>
    <w:p w14:paraId="0F6FB18A"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r w:rsidRPr="009162DB">
        <w:rPr>
          <w:rFonts w:ascii="Arial" w:eastAsiaTheme="minorHAnsi" w:hAnsi="Arial" w:cs="Arial"/>
          <w:b/>
          <w:i/>
          <w:sz w:val="22"/>
          <w:szCs w:val="22"/>
          <w:lang w:val="fr-FR"/>
        </w:rPr>
        <w:t>À l’adresse des Parties et des organisations intergouvernementales et non gouvernementales</w:t>
      </w:r>
    </w:p>
    <w:p w14:paraId="4AFAB580" w14:textId="77777777" w:rsidR="00D631F7" w:rsidRPr="009162DB" w:rsidRDefault="00D631F7" w:rsidP="00D70C47">
      <w:pPr>
        <w:widowControl/>
        <w:autoSpaceDE/>
        <w:autoSpaceDN/>
        <w:jc w:val="both"/>
        <w:textAlignment w:val="auto"/>
        <w:rPr>
          <w:rFonts w:ascii="Arial" w:eastAsiaTheme="minorHAnsi" w:hAnsi="Arial" w:cs="Arial"/>
          <w:sz w:val="22"/>
          <w:szCs w:val="22"/>
          <w:lang w:val="fr-FR"/>
        </w:rPr>
      </w:pPr>
    </w:p>
    <w:p w14:paraId="0F11DC73"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 xml:space="preserve">15.BB </w:t>
      </w:r>
      <w:r w:rsidRPr="009162DB">
        <w:rPr>
          <w:rFonts w:ascii="Arial" w:eastAsiaTheme="minorHAnsi" w:hAnsi="Arial" w:cs="Arial"/>
          <w:sz w:val="22"/>
          <w:szCs w:val="22"/>
          <w:lang w:val="fr-FR"/>
        </w:rPr>
        <w:tab/>
        <w:t>Les Parties ainsi que les organisations intergouvernementales et non gouvernementales sont encouragées à :</w:t>
      </w:r>
    </w:p>
    <w:p w14:paraId="3B42DF4D"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p>
    <w:p w14:paraId="0F7D574E" w14:textId="77777777" w:rsidR="00D631F7" w:rsidRPr="009162DB" w:rsidRDefault="00D631F7" w:rsidP="00D70C47">
      <w:pPr>
        <w:widowControl/>
        <w:numPr>
          <w:ilvl w:val="0"/>
          <w:numId w:val="13"/>
        </w:numPr>
        <w:autoSpaceDE/>
        <w:autoSpaceDN/>
        <w:adjustRightInd w:val="0"/>
        <w:ind w:left="1440" w:hanging="540"/>
        <w:jc w:val="both"/>
        <w:textAlignment w:val="auto"/>
        <w:rPr>
          <w:rFonts w:ascii="Arial" w:eastAsiaTheme="minorHAnsi" w:hAnsi="Arial" w:cs="Arial"/>
          <w:iCs/>
          <w:sz w:val="22"/>
          <w:szCs w:val="22"/>
          <w:lang w:val="fr-FR"/>
        </w:rPr>
      </w:pPr>
      <w:r w:rsidRPr="009162DB">
        <w:rPr>
          <w:rFonts w:ascii="Arial" w:eastAsiaTheme="minorHAnsi" w:hAnsi="Arial" w:cs="Arial"/>
          <w:iCs/>
          <w:sz w:val="22"/>
          <w:szCs w:val="22"/>
          <w:lang w:val="fr-FR"/>
        </w:rPr>
        <w:t>utiliser les orientations sur les barrières telles que résumées dans l’Annexe 5 du document UNEP/CMS/COP15/Doc.28.12 afin d’identifier et d’atténuer les barrières susceptibles d’entraver les mouvements des espèces migratrices, notamment les déplacements potentiels de leur aire de répartition en réponse au changement climatique, et partager toutes les observations avec le Secrétariat ;</w:t>
      </w:r>
    </w:p>
    <w:p w14:paraId="568B0601" w14:textId="77777777" w:rsidR="00D631F7" w:rsidRPr="009162DB" w:rsidRDefault="00D631F7" w:rsidP="00D70C47">
      <w:pPr>
        <w:adjustRightInd w:val="0"/>
        <w:ind w:left="1440" w:hanging="540"/>
        <w:jc w:val="both"/>
        <w:textAlignment w:val="auto"/>
        <w:rPr>
          <w:rFonts w:ascii="Arial" w:eastAsiaTheme="minorHAnsi" w:hAnsi="Arial" w:cs="Arial"/>
          <w:iCs/>
          <w:sz w:val="22"/>
          <w:szCs w:val="22"/>
          <w:lang w:val="fr-FR"/>
        </w:rPr>
      </w:pPr>
    </w:p>
    <w:p w14:paraId="2E7236D2" w14:textId="77777777" w:rsidR="00D631F7" w:rsidRPr="009162DB" w:rsidRDefault="00D631F7" w:rsidP="00D70C47">
      <w:pPr>
        <w:widowControl/>
        <w:numPr>
          <w:ilvl w:val="0"/>
          <w:numId w:val="13"/>
        </w:numPr>
        <w:autoSpaceDE/>
        <w:autoSpaceDN/>
        <w:adjustRightInd w:val="0"/>
        <w:ind w:left="1440" w:hanging="540"/>
        <w:jc w:val="both"/>
        <w:textAlignment w:val="auto"/>
        <w:rPr>
          <w:rFonts w:ascii="Arial" w:eastAsiaTheme="minorHAnsi" w:hAnsi="Arial" w:cs="Arial"/>
          <w:iCs/>
          <w:sz w:val="22"/>
          <w:szCs w:val="22"/>
          <w:lang w:val="fr-FR"/>
        </w:rPr>
      </w:pPr>
      <w:r w:rsidRPr="009162DB">
        <w:rPr>
          <w:rFonts w:ascii="Arial" w:eastAsiaTheme="minorHAnsi" w:hAnsi="Arial" w:cs="Arial"/>
          <w:iCs/>
          <w:sz w:val="22"/>
          <w:szCs w:val="22"/>
          <w:lang w:val="fr-FR"/>
        </w:rPr>
        <w:t xml:space="preserve">suivre les recommandations contenues dans le </w:t>
      </w:r>
      <w:r w:rsidRPr="009162DB">
        <w:rPr>
          <w:rFonts w:ascii="Arial" w:eastAsiaTheme="minorHAnsi" w:hAnsi="Arial" w:cs="Arial"/>
          <w:i/>
          <w:sz w:val="22"/>
          <w:szCs w:val="22"/>
          <w:lang w:val="fr-FR"/>
        </w:rPr>
        <w:t>Rapport sur les impacts du changement climatique sur le bien-être et la conservation des cétacés</w:t>
      </w:r>
      <w:r w:rsidRPr="009162DB">
        <w:rPr>
          <w:rFonts w:ascii="Arial" w:eastAsiaTheme="minorHAnsi" w:hAnsi="Arial" w:cs="Arial"/>
          <w:iCs/>
          <w:sz w:val="22"/>
          <w:szCs w:val="22"/>
          <w:lang w:val="fr-FR"/>
        </w:rPr>
        <w:t>, résumées dans l’Annexe 2 du document CMS/COP15/Doc.25.4.1, afin d’améliorer la compréhension des impacts du changement climatique sur les espèces de cétacés et favoriser leur conservation face au changement climatique, et partager avec le Secrétariat toute expérience et tout enseignement tirés de l’application de ces recommandations.</w:t>
      </w:r>
    </w:p>
    <w:p w14:paraId="6063DA4E"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p>
    <w:p w14:paraId="2004C921" w14:textId="77777777" w:rsidR="00D631F7" w:rsidRPr="009162DB" w:rsidRDefault="00D631F7" w:rsidP="00D70C47">
      <w:pPr>
        <w:widowControl/>
        <w:autoSpaceDE/>
        <w:autoSpaceDN/>
        <w:jc w:val="both"/>
        <w:textAlignment w:val="auto"/>
        <w:rPr>
          <w:rFonts w:ascii="Arial" w:eastAsiaTheme="minorHAnsi" w:hAnsi="Arial" w:cs="Arial"/>
          <w:sz w:val="22"/>
          <w:szCs w:val="22"/>
          <w:lang w:val="fr-FR"/>
        </w:rPr>
      </w:pPr>
      <w:r w:rsidRPr="009162DB">
        <w:rPr>
          <w:rFonts w:ascii="Arial" w:eastAsiaTheme="minorHAnsi" w:hAnsi="Arial" w:cs="Arial"/>
          <w:b/>
          <w:i/>
          <w:sz w:val="22"/>
          <w:szCs w:val="22"/>
          <w:lang w:val="fr-FR"/>
        </w:rPr>
        <w:t xml:space="preserve">À l’adresse du Conseil scientifique </w:t>
      </w:r>
    </w:p>
    <w:p w14:paraId="72A4C9EE" w14:textId="77777777" w:rsidR="00D631F7" w:rsidRPr="009162DB" w:rsidRDefault="00D631F7" w:rsidP="00D70C47">
      <w:pPr>
        <w:widowControl/>
        <w:autoSpaceDE/>
        <w:autoSpaceDN/>
        <w:jc w:val="both"/>
        <w:textAlignment w:val="auto"/>
        <w:rPr>
          <w:rFonts w:ascii="Arial" w:eastAsiaTheme="minorHAnsi" w:hAnsi="Arial" w:cs="Arial"/>
          <w:sz w:val="22"/>
          <w:szCs w:val="22"/>
          <w:lang w:val="fr-FR"/>
        </w:rPr>
      </w:pPr>
    </w:p>
    <w:p w14:paraId="36E3B296"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15.CC</w:t>
      </w:r>
      <w:r w:rsidRPr="009162DB">
        <w:rPr>
          <w:rFonts w:ascii="Arial" w:eastAsiaTheme="minorHAnsi" w:hAnsi="Arial" w:cs="Arial"/>
          <w:sz w:val="22"/>
          <w:szCs w:val="22"/>
          <w:lang w:val="fr-FR"/>
        </w:rPr>
        <w:tab/>
        <w:t>Le Conseil scientifique est prié, sous réserve de la disponibilité des ressources, de :</w:t>
      </w:r>
    </w:p>
    <w:p w14:paraId="5846F989"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p>
    <w:p w14:paraId="35DFDCD4" w14:textId="77777777" w:rsidR="00D631F7" w:rsidRPr="009162DB" w:rsidRDefault="00D631F7" w:rsidP="00D70C47">
      <w:pPr>
        <w:widowControl/>
        <w:numPr>
          <w:ilvl w:val="0"/>
          <w:numId w:val="14"/>
        </w:numPr>
        <w:autoSpaceDE/>
        <w:autoSpaceDN/>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rétablir son Groupe de travail sur le changement climatique et actualiser son mandat en fonction des besoins ;</w:t>
      </w:r>
    </w:p>
    <w:p w14:paraId="6827859C" w14:textId="77777777" w:rsidR="00D631F7" w:rsidRPr="009162DB" w:rsidRDefault="00D631F7" w:rsidP="00D70C47">
      <w:pPr>
        <w:widowControl/>
        <w:autoSpaceDE/>
        <w:autoSpaceDN/>
        <w:ind w:left="1440" w:hanging="540"/>
        <w:jc w:val="both"/>
        <w:textAlignment w:val="auto"/>
        <w:rPr>
          <w:rFonts w:ascii="Arial" w:eastAsiaTheme="minorHAnsi" w:hAnsi="Arial" w:cs="Arial"/>
          <w:sz w:val="22"/>
          <w:szCs w:val="22"/>
          <w:lang w:val="fr-FR"/>
        </w:rPr>
      </w:pPr>
    </w:p>
    <w:p w14:paraId="4F3D8E48" w14:textId="77777777" w:rsidR="00D631F7" w:rsidRPr="009162DB" w:rsidRDefault="00D631F7" w:rsidP="00D70C47">
      <w:pPr>
        <w:widowControl/>
        <w:numPr>
          <w:ilvl w:val="0"/>
          <w:numId w:val="14"/>
        </w:numPr>
        <w:autoSpaceDE/>
        <w:autoSpaceDN/>
        <w:ind w:left="1440" w:hanging="540"/>
        <w:jc w:val="both"/>
        <w:textAlignment w:val="auto"/>
        <w:rPr>
          <w:rFonts w:ascii="Arial" w:eastAsiaTheme="minorHAnsi" w:hAnsi="Arial" w:cs="Arial"/>
          <w:sz w:val="22"/>
          <w:szCs w:val="22"/>
          <w:lang w:val="fr-FR"/>
        </w:rPr>
      </w:pPr>
      <w:r w:rsidRPr="009162DB">
        <w:rPr>
          <w:rFonts w:ascii="Arial" w:eastAsiaTheme="minorHAnsi" w:hAnsi="Arial" w:cstheme="minorBidi"/>
          <w:sz w:val="22"/>
          <w:szCs w:val="22"/>
          <w:lang w:val="fr-FR"/>
        </w:rPr>
        <w:t>entreprendre une analyse prospective des impacts potentiels du changement climatique sur les espèces migratrices, notamment l’identification des menaces, des opportunités et des perturbateurs, ainsi que des actions de conservation envisageables et la manière dont elles peuvent être mises en œuvre de façon pragmatique ;</w:t>
      </w:r>
    </w:p>
    <w:p w14:paraId="07884D7B" w14:textId="77777777" w:rsidR="00D631F7" w:rsidRPr="009162DB" w:rsidRDefault="00D631F7" w:rsidP="00D70C47">
      <w:pPr>
        <w:widowControl/>
        <w:autoSpaceDE/>
        <w:autoSpaceDN/>
        <w:ind w:left="720"/>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br w:type="page"/>
      </w:r>
    </w:p>
    <w:p w14:paraId="13111BB0" w14:textId="77777777" w:rsidR="00D631F7" w:rsidRPr="009162DB" w:rsidRDefault="00D631F7" w:rsidP="00D70C47">
      <w:pPr>
        <w:widowControl/>
        <w:numPr>
          <w:ilvl w:val="0"/>
          <w:numId w:val="14"/>
        </w:numPr>
        <w:autoSpaceDE/>
        <w:autoSpaceDN/>
        <w:adjustRightInd w:val="0"/>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lastRenderedPageBreak/>
        <w:t>organiser un atelier pour :</w:t>
      </w:r>
    </w:p>
    <w:p w14:paraId="125FE4AA" w14:textId="77777777" w:rsidR="00D631F7" w:rsidRPr="009162DB" w:rsidRDefault="00D631F7" w:rsidP="00D70C47">
      <w:pPr>
        <w:adjustRightInd w:val="0"/>
        <w:jc w:val="both"/>
        <w:textAlignment w:val="auto"/>
        <w:rPr>
          <w:rFonts w:ascii="Arial" w:eastAsiaTheme="minorHAnsi" w:hAnsi="Arial" w:cs="Arial"/>
          <w:sz w:val="22"/>
          <w:szCs w:val="22"/>
          <w:lang w:val="fr-FR"/>
        </w:rPr>
      </w:pPr>
    </w:p>
    <w:p w14:paraId="03D40A4E" w14:textId="77777777" w:rsidR="00D631F7" w:rsidRPr="009162DB" w:rsidRDefault="00D631F7" w:rsidP="00D70C47">
      <w:pPr>
        <w:widowControl/>
        <w:numPr>
          <w:ilvl w:val="0"/>
          <w:numId w:val="15"/>
        </w:numPr>
        <w:autoSpaceDE/>
        <w:autoSpaceDN/>
        <w:ind w:left="18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 xml:space="preserve">identifier les espèces migratrices les plus susceptibles d’être affectées par le changement climatique, notamment </w:t>
      </w:r>
      <w:r w:rsidRPr="009162DB">
        <w:rPr>
          <w:rFonts w:ascii="Arial" w:eastAsiaTheme="minorHAnsi" w:hAnsi="Arial" w:cs="Arial"/>
          <w:color w:val="000000" w:themeColor="text1"/>
          <w:sz w:val="22"/>
          <w:szCs w:val="22"/>
          <w:lang w:val="fr-FR"/>
        </w:rPr>
        <w:t>par des modifications de leurs itinéraires de migration</w:t>
      </w:r>
      <w:r w:rsidRPr="009162DB">
        <w:rPr>
          <w:rFonts w:ascii="Arial" w:eastAsiaTheme="minorHAnsi" w:hAnsi="Arial" w:cs="Arial"/>
          <w:sz w:val="22"/>
          <w:szCs w:val="22"/>
          <w:lang w:val="fr-FR"/>
        </w:rPr>
        <w:t>, et qui ont donc le plus besoin d’interventions de conservation, en mettant l’accent sur les espèces inscrites à l’Annexe I, ainsi que sur les espèces pour lesquelles les interventions pourraient avoir des effets bénéfiques plus larges ;</w:t>
      </w:r>
    </w:p>
    <w:p w14:paraId="789BFCD1" w14:textId="77777777" w:rsidR="00D631F7" w:rsidRPr="009162DB" w:rsidRDefault="00D631F7" w:rsidP="00D70C47">
      <w:pPr>
        <w:widowControl/>
        <w:autoSpaceDE/>
        <w:autoSpaceDN/>
        <w:ind w:left="1800"/>
        <w:jc w:val="both"/>
        <w:textAlignment w:val="auto"/>
        <w:rPr>
          <w:rFonts w:ascii="Arial" w:eastAsiaTheme="minorHAnsi" w:hAnsi="Arial" w:cs="Arial"/>
          <w:sz w:val="22"/>
          <w:szCs w:val="22"/>
          <w:lang w:val="fr-FR"/>
        </w:rPr>
      </w:pPr>
    </w:p>
    <w:p w14:paraId="133EDDC2" w14:textId="77777777" w:rsidR="00D631F7" w:rsidRPr="009162DB" w:rsidRDefault="00D631F7" w:rsidP="00D70C47">
      <w:pPr>
        <w:widowControl/>
        <w:numPr>
          <w:ilvl w:val="0"/>
          <w:numId w:val="15"/>
        </w:numPr>
        <w:autoSpaceDE/>
        <w:autoSpaceDN/>
        <w:ind w:left="18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réaliser un examen des incidences des déplacements de l’aire de répartition des espèces migratrices sur le fonctionnement des écosystèmes, notamment par la perte et l’introduction d’espèces migratrices et des services écosystémiques qui leur sont associés, ainsi que des implications politiques potentielles ;</w:t>
      </w:r>
    </w:p>
    <w:p w14:paraId="6DCE0A74" w14:textId="77777777" w:rsidR="00D631F7" w:rsidRPr="009162DB" w:rsidRDefault="00D631F7" w:rsidP="00D70C47">
      <w:pPr>
        <w:widowControl/>
        <w:autoSpaceDE/>
        <w:autoSpaceDN/>
        <w:ind w:left="720"/>
        <w:textAlignment w:val="auto"/>
        <w:rPr>
          <w:rFonts w:ascii="Arial" w:eastAsiaTheme="minorHAnsi" w:hAnsi="Arial" w:cs="Arial"/>
          <w:sz w:val="22"/>
          <w:szCs w:val="22"/>
          <w:lang w:val="fr-FR"/>
        </w:rPr>
      </w:pPr>
    </w:p>
    <w:p w14:paraId="14740013" w14:textId="77777777" w:rsidR="00D631F7" w:rsidRPr="009162DB" w:rsidRDefault="00D631F7" w:rsidP="00D70C47">
      <w:pPr>
        <w:widowControl/>
        <w:numPr>
          <w:ilvl w:val="0"/>
          <w:numId w:val="14"/>
        </w:numPr>
        <w:autoSpaceDE/>
        <w:autoSpaceDN/>
        <w:ind w:left="1440" w:hanging="540"/>
        <w:jc w:val="both"/>
        <w:textAlignment w:val="auto"/>
        <w:rPr>
          <w:rFonts w:ascii="Arial" w:eastAsiaTheme="minorHAnsi" w:hAnsi="Arial" w:cs="Arial"/>
          <w:sz w:val="22"/>
          <w:szCs w:val="22"/>
          <w:lang w:val="fr-FR"/>
        </w:rPr>
      </w:pPr>
      <w:bookmarkStart w:id="1" w:name="_Hlk205807362"/>
      <w:r w:rsidRPr="009162DB">
        <w:rPr>
          <w:rFonts w:ascii="Arial" w:eastAsiaTheme="minorHAnsi" w:hAnsi="Arial" w:cs="Arial"/>
          <w:sz w:val="22"/>
          <w:szCs w:val="22"/>
          <w:lang w:val="fr-FR"/>
        </w:rPr>
        <w:t xml:space="preserve">élaborer des projets d’études pour : </w:t>
      </w:r>
    </w:p>
    <w:p w14:paraId="41339D2A" w14:textId="77777777" w:rsidR="00D631F7" w:rsidRPr="009162DB" w:rsidRDefault="00D631F7" w:rsidP="00D70C47">
      <w:pPr>
        <w:widowControl/>
        <w:autoSpaceDE/>
        <w:autoSpaceDN/>
        <w:ind w:left="720"/>
        <w:textAlignment w:val="auto"/>
        <w:rPr>
          <w:rFonts w:ascii="Arial" w:eastAsiaTheme="minorHAnsi" w:hAnsi="Arial" w:cs="Arial"/>
          <w:sz w:val="22"/>
          <w:szCs w:val="22"/>
          <w:lang w:val="fr-FR"/>
        </w:rPr>
      </w:pPr>
    </w:p>
    <w:p w14:paraId="742119F0" w14:textId="77777777" w:rsidR="00D631F7" w:rsidRPr="009162DB" w:rsidRDefault="00D631F7" w:rsidP="00D70C47">
      <w:pPr>
        <w:widowControl/>
        <w:numPr>
          <w:ilvl w:val="0"/>
          <w:numId w:val="16"/>
        </w:numPr>
        <w:autoSpaceDE/>
        <w:autoSpaceDN/>
        <w:ind w:left="18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illustrer la mesure dans laquelle les espèces migratrices se sont adaptées aux barrières à la migration dans le cadre de leur adaptation au changement climatique, et comment les interventions de gestion ont permis aux espèces migratrices de surmonter ces barrières</w:t>
      </w:r>
      <w:bookmarkEnd w:id="1"/>
      <w:r w:rsidRPr="009162DB">
        <w:rPr>
          <w:rFonts w:ascii="Arial" w:eastAsiaTheme="minorHAnsi" w:hAnsi="Arial" w:cs="Arial"/>
          <w:sz w:val="22"/>
          <w:szCs w:val="22"/>
          <w:lang w:val="fr-FR"/>
        </w:rPr>
        <w:t> ;</w:t>
      </w:r>
    </w:p>
    <w:p w14:paraId="34ED098B" w14:textId="77777777" w:rsidR="00D631F7" w:rsidRPr="009162DB" w:rsidRDefault="00D631F7" w:rsidP="00D70C47">
      <w:pPr>
        <w:widowControl/>
        <w:autoSpaceDE/>
        <w:autoSpaceDN/>
        <w:ind w:left="1701" w:hanging="283"/>
        <w:jc w:val="both"/>
        <w:textAlignment w:val="auto"/>
        <w:rPr>
          <w:rFonts w:ascii="Arial" w:eastAsiaTheme="minorHAnsi" w:hAnsi="Arial" w:cs="Arial"/>
          <w:sz w:val="22"/>
          <w:szCs w:val="22"/>
          <w:lang w:val="fr-FR"/>
        </w:rPr>
      </w:pPr>
    </w:p>
    <w:p w14:paraId="0493EEFE" w14:textId="77777777" w:rsidR="00D631F7" w:rsidRPr="009162DB" w:rsidRDefault="00D631F7" w:rsidP="00D70C47">
      <w:pPr>
        <w:widowControl/>
        <w:numPr>
          <w:ilvl w:val="0"/>
          <w:numId w:val="16"/>
        </w:numPr>
        <w:autoSpaceDE/>
        <w:autoSpaceDN/>
        <w:ind w:left="18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démontrer des actions efficaces pour se préparer et répondre aux événements climatiques extrêmes susceptibles d’avoir un impact sur les espèces migratrices vulnérables, notamment les systèmes d’alerte précoce et les protocoles de réponse ;</w:t>
      </w:r>
    </w:p>
    <w:p w14:paraId="3A44436A" w14:textId="77777777" w:rsidR="00D631F7" w:rsidRPr="009162DB" w:rsidRDefault="00D631F7" w:rsidP="00D70C47">
      <w:pPr>
        <w:widowControl/>
        <w:autoSpaceDE/>
        <w:autoSpaceDN/>
        <w:textAlignment w:val="auto"/>
        <w:rPr>
          <w:rFonts w:ascii="Arial" w:eastAsiaTheme="minorHAnsi" w:hAnsi="Arial" w:cs="Arial"/>
          <w:sz w:val="22"/>
          <w:szCs w:val="22"/>
          <w:lang w:val="fr-FR"/>
        </w:rPr>
      </w:pPr>
    </w:p>
    <w:p w14:paraId="67DB1BBD" w14:textId="77777777" w:rsidR="00D631F7" w:rsidRPr="009162DB" w:rsidRDefault="00D631F7" w:rsidP="00D70C47">
      <w:pPr>
        <w:widowControl/>
        <w:numPr>
          <w:ilvl w:val="0"/>
          <w:numId w:val="14"/>
        </w:numPr>
        <w:autoSpaceDE/>
        <w:autoSpaceDN/>
        <w:adjustRightInd w:val="0"/>
        <w:ind w:left="1440" w:hanging="540"/>
        <w:jc w:val="both"/>
        <w:textAlignment w:val="auto"/>
        <w:rPr>
          <w:rFonts w:ascii="Arial" w:eastAsiaTheme="minorHAnsi" w:hAnsi="Arial" w:cs="Arial"/>
          <w:color w:val="000000" w:themeColor="text1"/>
          <w:sz w:val="22"/>
          <w:szCs w:val="22"/>
          <w:lang w:val="fr-FR"/>
        </w:rPr>
      </w:pPr>
      <w:r w:rsidRPr="009162DB">
        <w:rPr>
          <w:rFonts w:ascii="Arial" w:eastAsiaTheme="minorHAnsi" w:hAnsi="Arial" w:cs="Arial"/>
          <w:sz w:val="22"/>
          <w:szCs w:val="22"/>
          <w:lang w:val="fr-FR"/>
        </w:rPr>
        <w:t>organiser des webinaires mettant en avant les synergies entre la conservation des espèces migratrices et la réalisation d’objectifs internationaux plus larges, y compris les options de réponse à l’évaluation Nexus de l’IPBES</w:t>
      </w:r>
      <w:r w:rsidRPr="009162DB">
        <w:rPr>
          <w:rFonts w:ascii="Arial" w:eastAsiaTheme="minorHAnsi" w:hAnsi="Arial" w:cs="Arial"/>
          <w:color w:val="000000" w:themeColor="text1"/>
          <w:sz w:val="22"/>
          <w:szCs w:val="22"/>
          <w:lang w:val="fr-FR"/>
        </w:rPr>
        <w:t> ;</w:t>
      </w:r>
    </w:p>
    <w:p w14:paraId="5BC40085" w14:textId="77777777" w:rsidR="00D631F7" w:rsidRPr="009162DB" w:rsidRDefault="00D631F7" w:rsidP="00D70C47">
      <w:pPr>
        <w:adjustRightInd w:val="0"/>
        <w:ind w:left="1440" w:hanging="540"/>
        <w:jc w:val="both"/>
        <w:textAlignment w:val="auto"/>
        <w:rPr>
          <w:rFonts w:ascii="Arial" w:eastAsiaTheme="minorHAnsi" w:hAnsi="Arial" w:cs="Arial"/>
          <w:sz w:val="22"/>
          <w:szCs w:val="22"/>
          <w:lang w:val="fr-FR"/>
        </w:rPr>
      </w:pPr>
    </w:p>
    <w:p w14:paraId="0954C683" w14:textId="77777777" w:rsidR="00D631F7" w:rsidRPr="009162DB" w:rsidRDefault="00D631F7" w:rsidP="00D70C47">
      <w:pPr>
        <w:widowControl/>
        <w:numPr>
          <w:ilvl w:val="0"/>
          <w:numId w:val="14"/>
        </w:numPr>
        <w:autoSpaceDE/>
        <w:autoSpaceDN/>
        <w:adjustRightInd w:val="0"/>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favoriser l’échange de connaissances et la collaboration entre les Groupes de travail du Conseil scientifique de la CMS sur le changement climatique et sur la connectivité écologique dans les domaines de travail qui se chevauchent ;</w:t>
      </w:r>
    </w:p>
    <w:p w14:paraId="14503B0D" w14:textId="77777777" w:rsidR="00D631F7" w:rsidRPr="009162DB" w:rsidRDefault="00D631F7" w:rsidP="00D70C47">
      <w:pPr>
        <w:widowControl/>
        <w:autoSpaceDE/>
        <w:autoSpaceDN/>
        <w:ind w:left="1440" w:hanging="540"/>
        <w:textAlignment w:val="auto"/>
        <w:rPr>
          <w:rFonts w:ascii="Arial" w:eastAsiaTheme="minorHAnsi" w:hAnsi="Arial" w:cs="Arial"/>
          <w:sz w:val="22"/>
          <w:szCs w:val="22"/>
          <w:lang w:val="fr-FR"/>
        </w:rPr>
      </w:pPr>
    </w:p>
    <w:p w14:paraId="64F622AF" w14:textId="77777777" w:rsidR="00D631F7" w:rsidRPr="009162DB" w:rsidRDefault="00D631F7" w:rsidP="00D70C47">
      <w:pPr>
        <w:widowControl/>
        <w:numPr>
          <w:ilvl w:val="0"/>
          <w:numId w:val="14"/>
        </w:numPr>
        <w:autoSpaceDE/>
        <w:autoSpaceDN/>
        <w:adjustRightInd w:val="0"/>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identifier les chevauchements entre les activités de la CMS liées aux espèces migratrices et au changement climatique et celles des accords multilatéraux sur l’environnement (</w:t>
      </w:r>
      <w:r w:rsidRPr="009162DB">
        <w:rPr>
          <w:rFonts w:ascii="Arial" w:eastAsiaTheme="minorHAnsi" w:hAnsi="Arial" w:cs="Arial"/>
          <w:color w:val="000000" w:themeColor="text1"/>
          <w:sz w:val="22"/>
          <w:szCs w:val="22"/>
          <w:lang w:val="fr-FR"/>
        </w:rPr>
        <w:t xml:space="preserve">AME), </w:t>
      </w:r>
      <w:r w:rsidRPr="009162DB">
        <w:rPr>
          <w:rFonts w:ascii="Arial" w:eastAsiaTheme="minorHAnsi" w:hAnsi="Arial" w:cs="Arial"/>
          <w:sz w:val="22"/>
          <w:szCs w:val="22"/>
          <w:lang w:val="fr-FR"/>
        </w:rPr>
        <w:t xml:space="preserve">notamment les synergies et les compromis ; </w:t>
      </w:r>
    </w:p>
    <w:p w14:paraId="519D7FEB" w14:textId="77777777" w:rsidR="00D631F7" w:rsidRPr="009162DB" w:rsidRDefault="00D631F7" w:rsidP="00D70C47">
      <w:pPr>
        <w:widowControl/>
        <w:autoSpaceDE/>
        <w:autoSpaceDN/>
        <w:ind w:left="1440" w:hanging="540"/>
        <w:textAlignment w:val="auto"/>
        <w:rPr>
          <w:rFonts w:ascii="Arial" w:eastAsiaTheme="minorHAnsi" w:hAnsi="Arial" w:cs="Arial"/>
          <w:sz w:val="22"/>
          <w:szCs w:val="22"/>
          <w:lang w:val="fr-FR"/>
        </w:rPr>
      </w:pPr>
    </w:p>
    <w:p w14:paraId="22414D3D" w14:textId="77777777" w:rsidR="00D631F7" w:rsidRPr="009162DB" w:rsidRDefault="00D631F7" w:rsidP="00D70C47">
      <w:pPr>
        <w:widowControl/>
        <w:numPr>
          <w:ilvl w:val="0"/>
          <w:numId w:val="14"/>
        </w:numPr>
        <w:autoSpaceDE/>
        <w:autoSpaceDN/>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élaborer des fiches d’information sur les avantages liés à la conservation des espèces migratrices pour la mise en œuvre des objectifs et des cibles dans le cadre d’autres AME, adaptées à différents publics ;</w:t>
      </w:r>
    </w:p>
    <w:p w14:paraId="3E3CE218" w14:textId="77777777" w:rsidR="00D631F7" w:rsidRPr="009162DB" w:rsidRDefault="00D631F7" w:rsidP="00D70C47">
      <w:pPr>
        <w:widowControl/>
        <w:autoSpaceDE/>
        <w:autoSpaceDN/>
        <w:ind w:left="1440" w:hanging="540"/>
        <w:jc w:val="both"/>
        <w:textAlignment w:val="auto"/>
        <w:rPr>
          <w:rFonts w:ascii="Arial" w:eastAsiaTheme="minorHAnsi" w:hAnsi="Arial" w:cs="Arial"/>
          <w:sz w:val="22"/>
          <w:szCs w:val="22"/>
          <w:lang w:val="fr-FR"/>
        </w:rPr>
      </w:pPr>
    </w:p>
    <w:p w14:paraId="1BFB0597" w14:textId="77777777" w:rsidR="001C7F4A" w:rsidRPr="006E3708" w:rsidRDefault="00D631F7" w:rsidP="00D70C47">
      <w:pPr>
        <w:widowControl/>
        <w:numPr>
          <w:ilvl w:val="0"/>
          <w:numId w:val="14"/>
        </w:numPr>
        <w:autoSpaceDE/>
        <w:autoSpaceDN/>
        <w:ind w:left="1440" w:hanging="540"/>
        <w:textAlignment w:val="auto"/>
        <w:rPr>
          <w:rFonts w:ascii="Arial" w:eastAsiaTheme="minorHAnsi" w:hAnsi="Arial" w:cstheme="minorBidi"/>
          <w:sz w:val="22"/>
          <w:szCs w:val="22"/>
          <w:lang w:val="fr-FR"/>
        </w:rPr>
      </w:pPr>
      <w:r w:rsidRPr="009162DB">
        <w:rPr>
          <w:rFonts w:ascii="Arial" w:eastAsiaTheme="minorHAnsi" w:hAnsi="Arial" w:cs="Arial"/>
          <w:sz w:val="22"/>
          <w:szCs w:val="22"/>
          <w:lang w:val="fr-FR"/>
        </w:rPr>
        <w:t>prendre en considération les préoccupations des jeunes dans les discussions relatives aux espèces migratrices et au changement climatique</w:t>
      </w:r>
      <w:r w:rsidR="001C7F4A">
        <w:rPr>
          <w:rFonts w:ascii="Arial" w:eastAsiaTheme="minorHAnsi" w:hAnsi="Arial" w:cs="Arial"/>
          <w:sz w:val="22"/>
          <w:szCs w:val="22"/>
          <w:lang w:val="fr-FR"/>
        </w:rPr>
        <w:t> ;</w:t>
      </w:r>
    </w:p>
    <w:p w14:paraId="008A05B4" w14:textId="77777777" w:rsidR="006E3708" w:rsidRPr="006E3708" w:rsidRDefault="006E3708" w:rsidP="00D70C47">
      <w:pPr>
        <w:widowControl/>
        <w:autoSpaceDE/>
        <w:autoSpaceDN/>
        <w:ind w:left="1440"/>
        <w:textAlignment w:val="auto"/>
        <w:rPr>
          <w:rFonts w:ascii="Arial" w:eastAsiaTheme="minorHAnsi" w:hAnsi="Arial" w:cstheme="minorBidi"/>
          <w:sz w:val="22"/>
          <w:szCs w:val="22"/>
          <w:lang w:val="fr-FR"/>
        </w:rPr>
      </w:pPr>
    </w:p>
    <w:p w14:paraId="50501461" w14:textId="68F97CDF" w:rsidR="00D631F7" w:rsidRPr="006E3708" w:rsidRDefault="001C7F4A" w:rsidP="00D70C47">
      <w:pPr>
        <w:widowControl/>
        <w:numPr>
          <w:ilvl w:val="0"/>
          <w:numId w:val="14"/>
        </w:numPr>
        <w:autoSpaceDE/>
        <w:autoSpaceDN/>
        <w:ind w:left="1440" w:hanging="540"/>
        <w:jc w:val="both"/>
        <w:textAlignment w:val="auto"/>
        <w:rPr>
          <w:rFonts w:ascii="Arial" w:eastAsiaTheme="minorHAnsi" w:hAnsi="Arial" w:cstheme="minorBidi"/>
          <w:sz w:val="22"/>
          <w:szCs w:val="22"/>
          <w:lang w:val="fr-FR"/>
        </w:rPr>
      </w:pPr>
      <w:r w:rsidRPr="006E3708">
        <w:rPr>
          <w:rFonts w:ascii="Arial" w:eastAsiaTheme="minorHAnsi" w:hAnsi="Arial" w:cs="Arial"/>
          <w:sz w:val="22"/>
          <w:szCs w:val="22"/>
          <w:lang w:val="fr-FR"/>
        </w:rPr>
        <w:t>par l'intermédiaire du «</w:t>
      </w:r>
      <w:r w:rsidR="006E3708">
        <w:rPr>
          <w:rFonts w:ascii="Arial" w:eastAsiaTheme="minorHAnsi" w:hAnsi="Arial" w:cs="Arial"/>
          <w:sz w:val="22"/>
          <w:szCs w:val="22"/>
          <w:lang w:val="fr-FR"/>
        </w:rPr>
        <w:t> </w:t>
      </w:r>
      <w:r w:rsidRPr="006E3708">
        <w:rPr>
          <w:rFonts w:ascii="Arial" w:eastAsiaTheme="minorHAnsi" w:hAnsi="Arial" w:cs="Arial"/>
          <w:sz w:val="22"/>
          <w:szCs w:val="22"/>
          <w:lang w:val="fr-FR"/>
        </w:rPr>
        <w:t>Groupe de travail sur les espèces migratrices et la santé</w:t>
      </w:r>
      <w:r w:rsidR="006E3708">
        <w:rPr>
          <w:rFonts w:ascii="Arial" w:eastAsiaTheme="minorHAnsi" w:hAnsi="Arial" w:cs="Arial"/>
          <w:sz w:val="22"/>
          <w:szCs w:val="22"/>
          <w:lang w:val="fr-FR"/>
        </w:rPr>
        <w:t> </w:t>
      </w:r>
      <w:r w:rsidRPr="006E3708">
        <w:rPr>
          <w:rFonts w:ascii="Arial" w:eastAsiaTheme="minorHAnsi" w:hAnsi="Arial" w:cs="Arial"/>
          <w:sz w:val="22"/>
          <w:szCs w:val="22"/>
          <w:lang w:val="fr-FR"/>
        </w:rPr>
        <w:t>» et du «</w:t>
      </w:r>
      <w:r w:rsidR="006E3708">
        <w:rPr>
          <w:rFonts w:ascii="Arial" w:eastAsiaTheme="minorHAnsi" w:hAnsi="Arial" w:cs="Arial"/>
          <w:sz w:val="22"/>
          <w:szCs w:val="22"/>
          <w:lang w:val="fr-FR"/>
        </w:rPr>
        <w:t> </w:t>
      </w:r>
      <w:r w:rsidRPr="006E3708">
        <w:rPr>
          <w:rFonts w:ascii="Arial" w:eastAsiaTheme="minorHAnsi" w:hAnsi="Arial" w:cs="Arial"/>
          <w:sz w:val="22"/>
          <w:szCs w:val="22"/>
          <w:lang w:val="fr-FR"/>
        </w:rPr>
        <w:t>Groupe de travail sur le changement climatique</w:t>
      </w:r>
      <w:r w:rsidR="006E3708">
        <w:rPr>
          <w:rFonts w:ascii="Arial" w:eastAsiaTheme="minorHAnsi" w:hAnsi="Arial" w:cs="Arial"/>
          <w:sz w:val="22"/>
          <w:szCs w:val="22"/>
          <w:lang w:val="fr-FR"/>
        </w:rPr>
        <w:t xml:space="preserve"> </w:t>
      </w:r>
      <w:r w:rsidRPr="006E3708">
        <w:rPr>
          <w:rFonts w:ascii="Arial" w:eastAsiaTheme="minorHAnsi" w:hAnsi="Arial" w:cs="Arial"/>
          <w:sz w:val="22"/>
          <w:szCs w:val="22"/>
          <w:lang w:val="fr-FR"/>
        </w:rPr>
        <w:t>», ainsi que dans le cadre d’autres axes de travail pertinents relevant d’accords de la famille CMS, recenser et examiner conjointement des mesures visant à surveiller, prévenir et atténuer les épisodes de mortalité massive touchant les populations d'espèces migratrices, et définir des mesures susceptibles d’être mises en place en la matière</w:t>
      </w:r>
      <w:r w:rsidR="000213E9" w:rsidRPr="006E3708">
        <w:rPr>
          <w:rFonts w:ascii="Arial" w:eastAsiaTheme="minorHAnsi" w:hAnsi="Arial" w:cs="Arial"/>
          <w:sz w:val="22"/>
          <w:szCs w:val="22"/>
          <w:lang w:val="fr-FR"/>
        </w:rPr>
        <w:t>.</w:t>
      </w:r>
      <w:r w:rsidR="000213E9" w:rsidRPr="006E3708">
        <w:rPr>
          <w:rFonts w:ascii="Arial" w:eastAsiaTheme="minorHAnsi" w:hAnsi="Arial" w:cs="Arial"/>
          <w:strike/>
          <w:sz w:val="22"/>
          <w:szCs w:val="22"/>
          <w:lang w:val="fr-FR"/>
        </w:rPr>
        <w:t xml:space="preserve"> </w:t>
      </w:r>
      <w:r w:rsidR="00D631F7" w:rsidRPr="006E3708">
        <w:rPr>
          <w:rFonts w:ascii="Arial" w:eastAsiaTheme="minorHAnsi" w:hAnsi="Arial" w:cs="Arial"/>
          <w:sz w:val="22"/>
          <w:szCs w:val="22"/>
          <w:lang w:val="fr-FR"/>
        </w:rPr>
        <w:br w:type="page"/>
      </w:r>
    </w:p>
    <w:p w14:paraId="2B2AA608"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r w:rsidRPr="009162DB">
        <w:rPr>
          <w:rFonts w:ascii="Arial" w:eastAsiaTheme="minorHAnsi" w:hAnsi="Arial" w:cs="Arial"/>
          <w:b/>
          <w:i/>
          <w:sz w:val="22"/>
          <w:szCs w:val="22"/>
          <w:lang w:val="fr-FR"/>
        </w:rPr>
        <w:lastRenderedPageBreak/>
        <w:t xml:space="preserve">À l’adresse du Secrétariat </w:t>
      </w:r>
    </w:p>
    <w:p w14:paraId="1E303DC0" w14:textId="77777777" w:rsidR="00D631F7" w:rsidRPr="009162DB" w:rsidRDefault="00D631F7" w:rsidP="00D70C47">
      <w:pPr>
        <w:widowControl/>
        <w:autoSpaceDE/>
        <w:autoSpaceDN/>
        <w:jc w:val="both"/>
        <w:textAlignment w:val="auto"/>
        <w:rPr>
          <w:rFonts w:ascii="Arial" w:eastAsiaTheme="minorHAnsi" w:hAnsi="Arial" w:cs="Arial"/>
          <w:b/>
          <w:i/>
          <w:sz w:val="22"/>
          <w:szCs w:val="22"/>
          <w:lang w:val="fr-FR"/>
        </w:rPr>
      </w:pPr>
    </w:p>
    <w:p w14:paraId="3BBDB51C"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15.DD</w:t>
      </w:r>
      <w:r w:rsidRPr="009162DB">
        <w:rPr>
          <w:rFonts w:ascii="Arial" w:eastAsiaTheme="minorHAnsi" w:hAnsi="Arial" w:cs="Arial"/>
          <w:sz w:val="22"/>
          <w:szCs w:val="22"/>
          <w:lang w:val="fr-FR"/>
        </w:rPr>
        <w:tab/>
        <w:t>Le Secrétariat est chargé, sous réserve de la disponibilité des ressources, de :</w:t>
      </w:r>
    </w:p>
    <w:p w14:paraId="77D9BC26" w14:textId="77777777" w:rsidR="00D631F7" w:rsidRPr="009162DB" w:rsidRDefault="00D631F7" w:rsidP="00D70C47">
      <w:pPr>
        <w:widowControl/>
        <w:autoSpaceDE/>
        <w:autoSpaceDN/>
        <w:ind w:left="900" w:hanging="900"/>
        <w:jc w:val="both"/>
        <w:textAlignment w:val="auto"/>
        <w:rPr>
          <w:rFonts w:ascii="Arial" w:eastAsiaTheme="minorHAnsi" w:hAnsi="Arial" w:cs="Arial"/>
          <w:sz w:val="22"/>
          <w:szCs w:val="22"/>
          <w:lang w:val="fr-FR"/>
        </w:rPr>
      </w:pPr>
    </w:p>
    <w:p w14:paraId="7713FADB" w14:textId="77777777" w:rsidR="00D631F7" w:rsidRPr="009162DB" w:rsidRDefault="00D631F7" w:rsidP="00D70C47">
      <w:pPr>
        <w:widowControl/>
        <w:numPr>
          <w:ilvl w:val="0"/>
          <w:numId w:val="17"/>
        </w:numPr>
        <w:autoSpaceDE/>
        <w:autoSpaceDN/>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soutenir le Conseil scientifique dans la mise en œuvre de la Décision 15.CC ;</w:t>
      </w:r>
    </w:p>
    <w:p w14:paraId="548BA9E7" w14:textId="77777777" w:rsidR="00D631F7" w:rsidRPr="009162DB" w:rsidRDefault="00D631F7" w:rsidP="00D70C47">
      <w:pPr>
        <w:widowControl/>
        <w:autoSpaceDE/>
        <w:autoSpaceDN/>
        <w:ind w:left="1440" w:hanging="540"/>
        <w:jc w:val="both"/>
        <w:textAlignment w:val="auto"/>
        <w:rPr>
          <w:rFonts w:ascii="Arial" w:eastAsiaTheme="minorHAnsi" w:hAnsi="Arial" w:cs="Arial"/>
          <w:sz w:val="22"/>
          <w:szCs w:val="22"/>
          <w:lang w:val="fr-FR"/>
        </w:rPr>
      </w:pPr>
    </w:p>
    <w:p w14:paraId="0D01F6FC" w14:textId="499C4812" w:rsidR="00D631F7" w:rsidRPr="009162DB" w:rsidRDefault="00D631F7" w:rsidP="00D70C47">
      <w:pPr>
        <w:widowControl/>
        <w:numPr>
          <w:ilvl w:val="0"/>
          <w:numId w:val="17"/>
        </w:numPr>
        <w:autoSpaceDE/>
        <w:autoSpaceDN/>
        <w:adjustRightInd w:val="0"/>
        <w:ind w:left="1440" w:hanging="540"/>
        <w:jc w:val="both"/>
        <w:textAlignment w:val="auto"/>
        <w:rPr>
          <w:rFonts w:ascii="Arial" w:eastAsiaTheme="minorHAnsi" w:hAnsi="Arial" w:cs="Arial"/>
          <w:sz w:val="22"/>
          <w:szCs w:val="22"/>
          <w:lang w:val="fr-FR"/>
        </w:rPr>
      </w:pPr>
      <w:r w:rsidRPr="009162DB">
        <w:rPr>
          <w:rFonts w:ascii="Arial" w:eastAsiaTheme="minorHAnsi" w:hAnsi="Arial" w:cs="Arial"/>
          <w:iCs/>
          <w:sz w:val="22"/>
          <w:szCs w:val="22"/>
          <w:lang w:val="fr-FR"/>
        </w:rPr>
        <w:t>porter à l’attention du Conseil scientifique tous les projets d’études communiqués par les Parties en vertu de la Décision 15.AA</w:t>
      </w:r>
      <w:r w:rsidR="000213E9">
        <w:rPr>
          <w:rFonts w:ascii="Arial" w:eastAsiaTheme="minorHAnsi" w:hAnsi="Arial" w:cs="Arial"/>
          <w:iCs/>
          <w:sz w:val="22"/>
          <w:szCs w:val="22"/>
          <w:lang w:val="fr-FR"/>
        </w:rPr>
        <w:t xml:space="preserve"> </w:t>
      </w:r>
      <w:r w:rsidRPr="009162DB">
        <w:rPr>
          <w:rFonts w:ascii="Arial" w:eastAsiaTheme="minorHAnsi" w:hAnsi="Arial" w:cs="Arial"/>
          <w:iCs/>
          <w:sz w:val="22"/>
          <w:szCs w:val="22"/>
          <w:lang w:val="fr-FR"/>
        </w:rPr>
        <w:t>;</w:t>
      </w:r>
    </w:p>
    <w:p w14:paraId="1F6CE2E3" w14:textId="77777777" w:rsidR="00D631F7" w:rsidRPr="009162DB" w:rsidRDefault="00D631F7" w:rsidP="00D70C47">
      <w:pPr>
        <w:widowControl/>
        <w:autoSpaceDE/>
        <w:autoSpaceDN/>
        <w:ind w:left="1440" w:hanging="540"/>
        <w:jc w:val="both"/>
        <w:textAlignment w:val="auto"/>
        <w:rPr>
          <w:rFonts w:ascii="Arial" w:eastAsiaTheme="minorHAnsi" w:hAnsi="Arial" w:cs="Arial"/>
          <w:sz w:val="22"/>
          <w:szCs w:val="22"/>
          <w:lang w:val="fr-FR"/>
        </w:rPr>
      </w:pPr>
    </w:p>
    <w:p w14:paraId="080052DE" w14:textId="77777777" w:rsidR="0025757B" w:rsidRDefault="00D631F7" w:rsidP="0025757B">
      <w:pPr>
        <w:widowControl/>
        <w:numPr>
          <w:ilvl w:val="0"/>
          <w:numId w:val="17"/>
        </w:numPr>
        <w:autoSpaceDE/>
        <w:autoSpaceDN/>
        <w:adjustRightInd w:val="0"/>
        <w:ind w:left="1440" w:hanging="540"/>
        <w:jc w:val="both"/>
        <w:textAlignment w:val="auto"/>
        <w:rPr>
          <w:rFonts w:ascii="Arial" w:eastAsiaTheme="minorHAnsi" w:hAnsi="Arial" w:cs="Arial"/>
          <w:sz w:val="22"/>
          <w:szCs w:val="22"/>
          <w:lang w:val="fr-FR"/>
        </w:rPr>
      </w:pPr>
      <w:r w:rsidRPr="009162DB">
        <w:rPr>
          <w:rFonts w:ascii="Arial" w:eastAsiaTheme="minorHAnsi" w:hAnsi="Arial" w:cs="Arial"/>
          <w:sz w:val="22"/>
          <w:szCs w:val="22"/>
          <w:lang w:val="fr-FR"/>
        </w:rPr>
        <w:t>recueillir et porter à l’attention du Conseil scientifique tout retour d’information des Parties, des organisations intergouvernementales et non gouvernementales concernant leur expérience de l’utilisation des documents d’orientation et des recommandations mentionnés dans la Décision 15.BB</w:t>
      </w:r>
      <w:r w:rsidR="000213E9">
        <w:rPr>
          <w:rFonts w:ascii="Arial" w:eastAsiaTheme="minorHAnsi" w:hAnsi="Arial" w:cs="Arial"/>
          <w:sz w:val="22"/>
          <w:szCs w:val="22"/>
          <w:lang w:val="fr-FR"/>
        </w:rPr>
        <w:t> ;</w:t>
      </w:r>
    </w:p>
    <w:p w14:paraId="3EC0E269" w14:textId="77777777" w:rsidR="0025757B" w:rsidRDefault="0025757B" w:rsidP="0025757B">
      <w:pPr>
        <w:widowControl/>
        <w:autoSpaceDE/>
        <w:autoSpaceDN/>
        <w:adjustRightInd w:val="0"/>
        <w:ind w:left="1440"/>
        <w:jc w:val="both"/>
        <w:textAlignment w:val="auto"/>
        <w:rPr>
          <w:rFonts w:ascii="Arial" w:eastAsiaTheme="minorHAnsi" w:hAnsi="Arial" w:cs="Arial"/>
          <w:sz w:val="22"/>
          <w:szCs w:val="22"/>
          <w:lang w:val="fr-FR"/>
        </w:rPr>
      </w:pPr>
    </w:p>
    <w:p w14:paraId="7E916C51" w14:textId="59EA2E55" w:rsidR="000213E9" w:rsidRPr="0025757B" w:rsidRDefault="000213E9" w:rsidP="0025757B">
      <w:pPr>
        <w:widowControl/>
        <w:numPr>
          <w:ilvl w:val="0"/>
          <w:numId w:val="17"/>
        </w:numPr>
        <w:autoSpaceDE/>
        <w:autoSpaceDN/>
        <w:adjustRightInd w:val="0"/>
        <w:ind w:left="1440" w:hanging="540"/>
        <w:jc w:val="both"/>
        <w:textAlignment w:val="auto"/>
        <w:rPr>
          <w:rFonts w:ascii="Arial" w:eastAsiaTheme="minorHAnsi" w:hAnsi="Arial" w:cs="Arial"/>
          <w:sz w:val="22"/>
          <w:szCs w:val="22"/>
          <w:lang w:val="fr-FR"/>
        </w:rPr>
      </w:pPr>
      <w:r w:rsidRPr="0025757B">
        <w:rPr>
          <w:rFonts w:ascii="Arial" w:hAnsi="Arial" w:cs="Arial"/>
          <w:sz w:val="22"/>
          <w:szCs w:val="22"/>
          <w:lang w:val="fr-FR"/>
        </w:rPr>
        <w:t>s’associer et collaborer avec d’autres accords multilatéraux sur l’environnement (AME) et organisations, notamment la Convention-cadre des Nations Unies sur les changements climatiques, la Convention sur la diversité biologique, la Commission baleinière internationale (CBI), la Convention de Ramsar, la Convention des Nations Unies sur la lutte contre la désertification, la Plateforme intergouvernementale scientifique et politique sur la biodiversité et les services écosystémiques, le Groupe d’experts intergouvernemental sur l’évolution du climat et l’UICN, lors des réunions pertinentes, afin de fournir des informations sur le changement climatique et les espèces migratrices, et invite</w:t>
      </w:r>
      <w:r w:rsidR="00B10911" w:rsidRPr="0025757B">
        <w:rPr>
          <w:rFonts w:ascii="Arial" w:hAnsi="Arial" w:cs="Arial"/>
          <w:sz w:val="22"/>
          <w:szCs w:val="22"/>
          <w:lang w:val="fr-FR"/>
        </w:rPr>
        <w:t>r</w:t>
      </w:r>
      <w:r w:rsidRPr="0025757B">
        <w:rPr>
          <w:rFonts w:ascii="Arial" w:hAnsi="Arial" w:cs="Arial"/>
          <w:sz w:val="22"/>
          <w:szCs w:val="22"/>
          <w:lang w:val="fr-FR"/>
        </w:rPr>
        <w:t xml:space="preserve"> les Parties à renforcer la coordination entre les points focaux des AME.</w:t>
      </w:r>
    </w:p>
    <w:p w14:paraId="2F48E0ED" w14:textId="5BC6D9A9" w:rsidR="00D631F7" w:rsidRPr="009162DB" w:rsidRDefault="00D631F7" w:rsidP="0025757B">
      <w:pPr>
        <w:widowControl/>
        <w:autoSpaceDE/>
        <w:autoSpaceDN/>
        <w:adjustRightInd w:val="0"/>
        <w:jc w:val="both"/>
        <w:textAlignment w:val="auto"/>
        <w:rPr>
          <w:rFonts w:ascii="Arial" w:eastAsiaTheme="minorHAnsi" w:hAnsi="Arial" w:cs="Arial"/>
          <w:sz w:val="22"/>
          <w:szCs w:val="22"/>
          <w:lang w:val="fr-FR"/>
        </w:rPr>
      </w:pPr>
    </w:p>
    <w:p w14:paraId="46E3CBA2" w14:textId="77777777" w:rsidR="00D631F7" w:rsidRPr="009162DB" w:rsidRDefault="00D631F7" w:rsidP="00D70C47">
      <w:pPr>
        <w:pStyle w:val="ListParagraph"/>
        <w:suppressAutoHyphens/>
        <w:ind w:left="0"/>
        <w:contextualSpacing w:val="0"/>
        <w:rPr>
          <w:rFonts w:cs="Arial"/>
          <w:lang w:val="fr-FR"/>
        </w:rPr>
      </w:pPr>
    </w:p>
    <w:sectPr w:rsidR="00D631F7" w:rsidRPr="009162DB" w:rsidSect="00AB5285">
      <w:footerReference w:type="first" r:id="rId21"/>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D4A2" w14:textId="77777777" w:rsidR="00A259AD" w:rsidRDefault="00A259AD">
      <w:r>
        <w:separator/>
      </w:r>
    </w:p>
  </w:endnote>
  <w:endnote w:type="continuationSeparator" w:id="0">
    <w:p w14:paraId="0EF0246B" w14:textId="77777777" w:rsidR="00A259AD" w:rsidRDefault="00A259AD">
      <w:r>
        <w:continuationSeparator/>
      </w:r>
    </w:p>
  </w:endnote>
  <w:endnote w:type="continuationNotice" w:id="1">
    <w:p w14:paraId="1B3F04BD" w14:textId="77777777" w:rsidR="00A259AD" w:rsidRDefault="00A25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91237102"/>
      <w:docPartObj>
        <w:docPartGallery w:val="Page Numbers (Bottom of Page)"/>
        <w:docPartUnique/>
      </w:docPartObj>
    </w:sdtPr>
    <w:sdtEndPr>
      <w:rPr>
        <w:noProof/>
      </w:rPr>
    </w:sdtEndPr>
    <w:sdtContent>
      <w:p w14:paraId="48A66C4F" w14:textId="5394782C" w:rsidR="00041A30" w:rsidRPr="00041A30" w:rsidRDefault="00041A30" w:rsidP="00041A30">
        <w:pPr>
          <w:pStyle w:val="Footer"/>
          <w:jc w:val="center"/>
          <w:rPr>
            <w:rFonts w:ascii="Arial" w:hAnsi="Arial" w:cs="Arial"/>
            <w:sz w:val="18"/>
            <w:szCs w:val="18"/>
          </w:rPr>
        </w:pPr>
        <w:r w:rsidRPr="00041A30">
          <w:rPr>
            <w:rFonts w:ascii="Arial" w:hAnsi="Arial" w:cs="Arial"/>
            <w:sz w:val="18"/>
            <w:szCs w:val="18"/>
          </w:rPr>
          <w:fldChar w:fldCharType="begin"/>
        </w:r>
        <w:r w:rsidRPr="00041A30">
          <w:rPr>
            <w:rFonts w:ascii="Arial" w:hAnsi="Arial" w:cs="Arial"/>
            <w:sz w:val="18"/>
            <w:szCs w:val="18"/>
          </w:rPr>
          <w:instrText xml:space="preserve"> PAGE   \* MERGEFORMAT </w:instrText>
        </w:r>
        <w:r w:rsidRPr="00041A30">
          <w:rPr>
            <w:rFonts w:ascii="Arial" w:hAnsi="Arial" w:cs="Arial"/>
            <w:sz w:val="18"/>
            <w:szCs w:val="18"/>
          </w:rPr>
          <w:fldChar w:fldCharType="separate"/>
        </w:r>
        <w:r w:rsidRPr="00041A30">
          <w:rPr>
            <w:rFonts w:ascii="Arial" w:hAnsi="Arial" w:cs="Arial"/>
            <w:noProof/>
            <w:sz w:val="18"/>
            <w:szCs w:val="18"/>
          </w:rPr>
          <w:t>2</w:t>
        </w:r>
        <w:r w:rsidRPr="00041A3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CE97" w14:textId="77777777" w:rsidR="00A259AD" w:rsidRDefault="00A259AD">
      <w:r>
        <w:rPr>
          <w:color w:val="000000"/>
        </w:rPr>
        <w:separator/>
      </w:r>
    </w:p>
  </w:footnote>
  <w:footnote w:type="continuationSeparator" w:id="0">
    <w:p w14:paraId="0CBEBDEE" w14:textId="77777777" w:rsidR="00A259AD" w:rsidRDefault="00A259AD">
      <w:r>
        <w:continuationSeparator/>
      </w:r>
    </w:p>
  </w:footnote>
  <w:footnote w:type="continuationNotice" w:id="1">
    <w:p w14:paraId="02DE5434" w14:textId="77777777" w:rsidR="00A259AD" w:rsidRDefault="00A259AD"/>
  </w:footnote>
  <w:footnote w:id="2">
    <w:p w14:paraId="363246CF" w14:textId="77777777" w:rsidR="00D631F7" w:rsidRDefault="00D631F7" w:rsidP="00D631F7">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Trajectoires socioéconomiques partagées (SSP) sont des scénarios de changements climatiques basés sur des projections des changements socioéconomiques mondiaux à l’horizon 2100, tels que définis dans le sixième Rapport d’évaluation du Groupe d’experts intergouvernemental sur l’évolution du climat (GIEC)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08F6BA2" w:rsidR="0041439A" w:rsidRPr="00E701FB"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701FB">
      <w:rPr>
        <w:rFonts w:ascii="Arial" w:hAnsi="Arial" w:cs="Arial"/>
        <w:i/>
        <w:sz w:val="18"/>
        <w:szCs w:val="18"/>
        <w:lang w:val="en-GB"/>
      </w:rPr>
      <w:t>UNEP/CMS/COP1</w:t>
    </w:r>
    <w:r w:rsidR="00AB5285" w:rsidRPr="00E701FB">
      <w:rPr>
        <w:rFonts w:ascii="Arial" w:hAnsi="Arial" w:cs="Arial"/>
        <w:i/>
        <w:sz w:val="18"/>
        <w:szCs w:val="18"/>
        <w:lang w:val="en-GB"/>
      </w:rPr>
      <w:t>5</w:t>
    </w:r>
    <w:r w:rsidRPr="00E701FB">
      <w:rPr>
        <w:rFonts w:ascii="Arial" w:hAnsi="Arial" w:cs="Arial"/>
        <w:i/>
        <w:sz w:val="18"/>
        <w:szCs w:val="18"/>
        <w:lang w:val="en-GB"/>
      </w:rPr>
      <w:t>/CRP</w:t>
    </w:r>
    <w:r w:rsidR="00D631F7" w:rsidRPr="00E701FB">
      <w:rPr>
        <w:rFonts w:ascii="Arial" w:hAnsi="Arial" w:cs="Arial"/>
        <w:i/>
        <w:sz w:val="18"/>
        <w:szCs w:val="18"/>
        <w:lang w:val="en-GB"/>
      </w:rPr>
      <w:t>28.12</w:t>
    </w:r>
    <w:r w:rsidR="00E701FB" w:rsidRPr="00E701FB">
      <w:rPr>
        <w:rFonts w:ascii="Arial" w:hAnsi="Arial" w:cs="Arial"/>
        <w:i/>
        <w:sz w:val="18"/>
        <w:szCs w:val="18"/>
        <w:lang w:val="en-GB"/>
      </w:rPr>
      <w:t>/Rev</w:t>
    </w:r>
    <w:r w:rsidR="00E701FB">
      <w:rPr>
        <w:rFonts w:ascii="Arial" w:hAnsi="Arial" w:cs="Arial"/>
        <w:i/>
        <w:sz w:val="18"/>
        <w:szCs w:val="18"/>
        <w:lang w:val="en-GB"/>
      </w:rPr>
      <w:t>.1</w:t>
    </w:r>
  </w:p>
  <w:p w14:paraId="50B9F4CC" w14:textId="77777777" w:rsidR="0041439A" w:rsidRPr="00E701FB"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A1D56DA" w:rsidR="0041439A" w:rsidRPr="00E701FB"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E701FB">
      <w:rPr>
        <w:rFonts w:ascii="Arial" w:hAnsi="Arial" w:cs="Arial"/>
        <w:i/>
        <w:sz w:val="18"/>
        <w:szCs w:val="18"/>
        <w:lang w:val="en-GB"/>
      </w:rPr>
      <w:t>UNEP/CMS/COP1</w:t>
    </w:r>
    <w:r w:rsidR="00AB5285" w:rsidRPr="00E701FB">
      <w:rPr>
        <w:rFonts w:ascii="Arial" w:hAnsi="Arial" w:cs="Arial"/>
        <w:i/>
        <w:sz w:val="18"/>
        <w:szCs w:val="18"/>
        <w:lang w:val="en-GB"/>
      </w:rPr>
      <w:t>5</w:t>
    </w:r>
    <w:r w:rsidRPr="00E701FB">
      <w:rPr>
        <w:rFonts w:ascii="Arial" w:hAnsi="Arial" w:cs="Arial"/>
        <w:i/>
        <w:sz w:val="18"/>
        <w:szCs w:val="18"/>
        <w:lang w:val="en-GB"/>
      </w:rPr>
      <w:t>/CRP</w:t>
    </w:r>
    <w:r w:rsidR="00620BD8" w:rsidRPr="00E701FB">
      <w:rPr>
        <w:rFonts w:ascii="Arial" w:hAnsi="Arial" w:cs="Arial"/>
        <w:i/>
        <w:sz w:val="18"/>
        <w:szCs w:val="18"/>
        <w:lang w:val="en-GB"/>
      </w:rPr>
      <w:t>2</w:t>
    </w:r>
    <w:r w:rsidR="00D631F7" w:rsidRPr="00E701FB">
      <w:rPr>
        <w:rFonts w:ascii="Arial" w:hAnsi="Arial" w:cs="Arial"/>
        <w:i/>
        <w:sz w:val="18"/>
        <w:szCs w:val="18"/>
        <w:lang w:val="en-GB"/>
      </w:rPr>
      <w:t>8.12</w:t>
    </w:r>
    <w:r w:rsidR="00E701FB" w:rsidRPr="00E701FB">
      <w:rPr>
        <w:rFonts w:ascii="Arial" w:hAnsi="Arial" w:cs="Arial"/>
        <w:i/>
        <w:sz w:val="18"/>
        <w:szCs w:val="18"/>
        <w:lang w:val="en-GB"/>
      </w:rPr>
      <w:t>/Rev</w:t>
    </w:r>
    <w:r w:rsidR="00E701FB">
      <w:rPr>
        <w:rFonts w:ascii="Arial" w:hAnsi="Arial" w:cs="Arial"/>
        <w:i/>
        <w:sz w:val="18"/>
        <w:szCs w:val="18"/>
        <w:lang w:val="en-GB"/>
      </w:rPr>
      <w:t>.1</w:t>
    </w:r>
  </w:p>
  <w:p w14:paraId="75025A37" w14:textId="77777777" w:rsidR="0041439A" w:rsidRPr="00E701FB"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70E39E6" w:rsidR="007A1066" w:rsidRPr="00B90B73" w:rsidRDefault="007A1066" w:rsidP="002F6F21">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B90B73">
      <w:rPr>
        <w:rFonts w:ascii="Arial" w:hAnsi="Arial" w:cs="Arial"/>
        <w:bCs/>
        <w:i/>
        <w:iCs/>
        <w:sz w:val="18"/>
        <w:szCs w:val="18"/>
        <w:lang w:val="en-GB"/>
      </w:rPr>
      <w:t>UNEP/CMS/COP1</w:t>
    </w:r>
    <w:r w:rsidR="00AB5285" w:rsidRPr="00B90B73">
      <w:rPr>
        <w:rFonts w:ascii="Arial" w:hAnsi="Arial" w:cs="Arial"/>
        <w:bCs/>
        <w:i/>
        <w:iCs/>
        <w:sz w:val="18"/>
        <w:szCs w:val="18"/>
        <w:lang w:val="en-GB"/>
      </w:rPr>
      <w:t>5</w:t>
    </w:r>
    <w:r w:rsidRPr="00B90B73">
      <w:rPr>
        <w:rFonts w:ascii="Arial" w:hAnsi="Arial" w:cs="Arial"/>
        <w:bCs/>
        <w:i/>
        <w:iCs/>
        <w:sz w:val="18"/>
        <w:szCs w:val="18"/>
        <w:lang w:val="en-GB"/>
      </w:rPr>
      <w:t>/CRP</w:t>
    </w:r>
    <w:r w:rsidR="00D631F7" w:rsidRPr="00B90B73">
      <w:rPr>
        <w:rFonts w:ascii="Arial" w:hAnsi="Arial" w:cs="Arial"/>
        <w:bCs/>
        <w:i/>
        <w:iCs/>
        <w:sz w:val="18"/>
        <w:szCs w:val="18"/>
        <w:lang w:val="en-GB"/>
      </w:rPr>
      <w:t>28.12</w:t>
    </w:r>
    <w:r w:rsidR="00B90B73" w:rsidRPr="00B90B73">
      <w:rPr>
        <w:rFonts w:ascii="Arial" w:hAnsi="Arial" w:cs="Arial"/>
        <w:bCs/>
        <w:i/>
        <w:iCs/>
        <w:sz w:val="18"/>
        <w:szCs w:val="18"/>
        <w:lang w:val="en-GB"/>
      </w:rPr>
      <w:t>/Rev</w:t>
    </w:r>
    <w:r w:rsidR="00B90B73">
      <w:rPr>
        <w:rFonts w:ascii="Arial" w:hAnsi="Arial" w:cs="Arial"/>
        <w:bCs/>
        <w:i/>
        <w:iCs/>
        <w:sz w:val="18"/>
        <w:szCs w:val="18"/>
        <w:lang w:val="en-GB"/>
      </w:rPr>
      <w:t>.1</w:t>
    </w:r>
  </w:p>
  <w:p w14:paraId="117A266F" w14:textId="77777777" w:rsidR="007A1066" w:rsidRPr="00B90B73"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27CA"/>
    <w:multiLevelType w:val="hybridMultilevel"/>
    <w:tmpl w:val="6E902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12"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28537">
    <w:abstractNumId w:val="14"/>
  </w:num>
  <w:num w:numId="2" w16cid:durableId="574051727">
    <w:abstractNumId w:val="16"/>
  </w:num>
  <w:num w:numId="3" w16cid:durableId="607733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11"/>
  </w:num>
  <w:num w:numId="5" w16cid:durableId="599720149">
    <w:abstractNumId w:val="5"/>
  </w:num>
  <w:num w:numId="6" w16cid:durableId="1796025329">
    <w:abstractNumId w:val="8"/>
  </w:num>
  <w:num w:numId="7" w16cid:durableId="297147855">
    <w:abstractNumId w:val="12"/>
  </w:num>
  <w:num w:numId="8" w16cid:durableId="147945606">
    <w:abstractNumId w:val="0"/>
  </w:num>
  <w:num w:numId="9" w16cid:durableId="433020436">
    <w:abstractNumId w:val="17"/>
  </w:num>
  <w:num w:numId="10" w16cid:durableId="116335905">
    <w:abstractNumId w:val="3"/>
  </w:num>
  <w:num w:numId="11" w16cid:durableId="1626231282">
    <w:abstractNumId w:val="15"/>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232695">
    <w:abstractNumId w:val="2"/>
  </w:num>
  <w:num w:numId="15" w16cid:durableId="1296565195">
    <w:abstractNumId w:val="10"/>
  </w:num>
  <w:num w:numId="16" w16cid:durableId="645476736">
    <w:abstractNumId w:val="9"/>
  </w:num>
  <w:num w:numId="17" w16cid:durableId="163252420">
    <w:abstractNumId w:val="6"/>
  </w:num>
  <w:num w:numId="18" w16cid:durableId="291909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213E9"/>
    <w:rsid w:val="00041A30"/>
    <w:rsid w:val="000556D9"/>
    <w:rsid w:val="000B0D60"/>
    <w:rsid w:val="000B668B"/>
    <w:rsid w:val="001125D7"/>
    <w:rsid w:val="00122DBF"/>
    <w:rsid w:val="001352BB"/>
    <w:rsid w:val="00142859"/>
    <w:rsid w:val="001510F0"/>
    <w:rsid w:val="00164D92"/>
    <w:rsid w:val="00167428"/>
    <w:rsid w:val="001B5418"/>
    <w:rsid w:val="001C17AE"/>
    <w:rsid w:val="001C7F4A"/>
    <w:rsid w:val="001F27D3"/>
    <w:rsid w:val="001F449B"/>
    <w:rsid w:val="002243FE"/>
    <w:rsid w:val="00227282"/>
    <w:rsid w:val="0025757B"/>
    <w:rsid w:val="0027066C"/>
    <w:rsid w:val="00276113"/>
    <w:rsid w:val="0029168C"/>
    <w:rsid w:val="002A43BE"/>
    <w:rsid w:val="002B6DE7"/>
    <w:rsid w:val="002C5F42"/>
    <w:rsid w:val="002E5597"/>
    <w:rsid w:val="002F6F21"/>
    <w:rsid w:val="0033796E"/>
    <w:rsid w:val="00361315"/>
    <w:rsid w:val="00393E44"/>
    <w:rsid w:val="003F1AD8"/>
    <w:rsid w:val="0041439A"/>
    <w:rsid w:val="00415B3B"/>
    <w:rsid w:val="0043102F"/>
    <w:rsid w:val="00454DDC"/>
    <w:rsid w:val="004B5EF9"/>
    <w:rsid w:val="004C28C4"/>
    <w:rsid w:val="004E6B2C"/>
    <w:rsid w:val="00505A17"/>
    <w:rsid w:val="0052458B"/>
    <w:rsid w:val="005645C4"/>
    <w:rsid w:val="00564C99"/>
    <w:rsid w:val="0058474A"/>
    <w:rsid w:val="0058757D"/>
    <w:rsid w:val="005D43E4"/>
    <w:rsid w:val="005D574F"/>
    <w:rsid w:val="005F0639"/>
    <w:rsid w:val="00620BD8"/>
    <w:rsid w:val="006821C9"/>
    <w:rsid w:val="00687331"/>
    <w:rsid w:val="006A1C09"/>
    <w:rsid w:val="006C2E24"/>
    <w:rsid w:val="006D020E"/>
    <w:rsid w:val="006E3708"/>
    <w:rsid w:val="007103C8"/>
    <w:rsid w:val="00751AAD"/>
    <w:rsid w:val="00753586"/>
    <w:rsid w:val="007A1066"/>
    <w:rsid w:val="007A5544"/>
    <w:rsid w:val="007A7ACB"/>
    <w:rsid w:val="007F43DD"/>
    <w:rsid w:val="00826906"/>
    <w:rsid w:val="00851D02"/>
    <w:rsid w:val="00857813"/>
    <w:rsid w:val="00861998"/>
    <w:rsid w:val="008B3619"/>
    <w:rsid w:val="009162DB"/>
    <w:rsid w:val="00950DA4"/>
    <w:rsid w:val="00960B8C"/>
    <w:rsid w:val="00966229"/>
    <w:rsid w:val="0096699F"/>
    <w:rsid w:val="009B03FC"/>
    <w:rsid w:val="009E7305"/>
    <w:rsid w:val="009F278D"/>
    <w:rsid w:val="009F3558"/>
    <w:rsid w:val="00A259AD"/>
    <w:rsid w:val="00A50C5F"/>
    <w:rsid w:val="00A8579B"/>
    <w:rsid w:val="00AA138B"/>
    <w:rsid w:val="00AB5285"/>
    <w:rsid w:val="00AE39EA"/>
    <w:rsid w:val="00AE590E"/>
    <w:rsid w:val="00B10911"/>
    <w:rsid w:val="00B4191F"/>
    <w:rsid w:val="00B90B73"/>
    <w:rsid w:val="00B91802"/>
    <w:rsid w:val="00C1643F"/>
    <w:rsid w:val="00C30C58"/>
    <w:rsid w:val="00C31E29"/>
    <w:rsid w:val="00C552BB"/>
    <w:rsid w:val="00CE55AD"/>
    <w:rsid w:val="00D416B7"/>
    <w:rsid w:val="00D50F95"/>
    <w:rsid w:val="00D61140"/>
    <w:rsid w:val="00D631F7"/>
    <w:rsid w:val="00D70C47"/>
    <w:rsid w:val="00D82C56"/>
    <w:rsid w:val="00DB2EEB"/>
    <w:rsid w:val="00E1532C"/>
    <w:rsid w:val="00E323A8"/>
    <w:rsid w:val="00E45B44"/>
    <w:rsid w:val="00E701FB"/>
    <w:rsid w:val="00E829C9"/>
    <w:rsid w:val="00EF2BC5"/>
    <w:rsid w:val="00EF34EF"/>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table" w:styleId="TableGrid">
    <w:name w:val="Table Grid"/>
    <w:basedOn w:val="TableNormal"/>
    <w:uiPriority w:val="39"/>
    <w:rsid w:val="00D631F7"/>
    <w:pPr>
      <w:autoSpaceDN/>
      <w:spacing w:after="0" w:line="240" w:lineRule="auto"/>
      <w:textAlignment w:val="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6229"/>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371/journal.pone.02399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371/journal.pone.01367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CD0761AE-9B3C-4203-BBB3-71F0605A8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4F4C9-DACD-4E8F-97B0-4D66545506C8}">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4288</Words>
  <Characters>24444</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cp:lastPrinted>2020-02-03T15:02:00Z</cp:lastPrinted>
  <dcterms:created xsi:type="dcterms:W3CDTF">2026-03-27T20:54:00Z</dcterms:created>
  <dcterms:modified xsi:type="dcterms:W3CDTF">2026-03-27T20:59:00Z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