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5979" w14:textId="77777777" w:rsidR="00FB5C7A" w:rsidRDefault="00FB5C7A" w:rsidP="00A44AE9">
      <w:pPr>
        <w:pStyle w:val="Title1"/>
      </w:pPr>
      <w:r w:rsidRPr="003A7CFE">
        <w:t>climate change and migratory species</w:t>
      </w:r>
    </w:p>
    <w:p w14:paraId="64287765" w14:textId="77777777" w:rsidR="00CE5E7C" w:rsidRDefault="00CE5E7C" w:rsidP="00A44AE9">
      <w:pPr>
        <w:pStyle w:val="Title1"/>
      </w:pPr>
    </w:p>
    <w:p w14:paraId="406A9A2E" w14:textId="5C66F2C1" w:rsidR="00CE5E7C" w:rsidRPr="006504A2" w:rsidRDefault="00CE5E7C" w:rsidP="00A44AE9">
      <w:pPr>
        <w:spacing w:line="240" w:lineRule="auto"/>
        <w:jc w:val="center"/>
        <w:rPr>
          <w:rFonts w:cs="Arial"/>
          <w:lang w:val="en-GB"/>
        </w:rPr>
      </w:pPr>
      <w:r w:rsidRPr="006504A2">
        <w:rPr>
          <w:lang w:val="en-GB"/>
        </w:rPr>
        <w:t>UNEP/CMS/COP15/Doc.28.12</w:t>
      </w:r>
      <w:r w:rsidR="009E1BF3">
        <w:rPr>
          <w:lang w:val="en-GB"/>
        </w:rPr>
        <w:t>/Rev.1</w:t>
      </w:r>
    </w:p>
    <w:p w14:paraId="1FF4E5D9" w14:textId="38899C4F" w:rsidR="00D731FA" w:rsidRPr="00D731FA" w:rsidRDefault="00D731FA" w:rsidP="00A44AE9">
      <w:pPr>
        <w:spacing w:after="0" w:line="240" w:lineRule="auto"/>
        <w:jc w:val="center"/>
        <w:rPr>
          <w:b/>
        </w:rPr>
      </w:pPr>
      <w:r>
        <w:t>(</w:t>
      </w:r>
      <w:r w:rsidR="006504A2" w:rsidRPr="005E6EF1">
        <w:rPr>
          <w:i/>
        </w:rPr>
        <w:t>P</w:t>
      </w:r>
      <w:r w:rsidRPr="005E6EF1">
        <w:rPr>
          <w:i/>
        </w:rPr>
        <w:t>repared by the</w:t>
      </w:r>
      <w:r>
        <w:rPr>
          <w:b/>
          <w:caps/>
        </w:rPr>
        <w:t xml:space="preserve"> </w:t>
      </w:r>
      <w:r w:rsidRPr="005E6EF1">
        <w:rPr>
          <w:i/>
          <w:caps/>
        </w:rPr>
        <w:t>COW</w:t>
      </w:r>
      <w:r w:rsidRPr="005E6EF1">
        <w:rPr>
          <w:caps/>
        </w:rPr>
        <w:t>)</w:t>
      </w:r>
    </w:p>
    <w:p w14:paraId="798B3059" w14:textId="77777777" w:rsidR="00FB5C7A" w:rsidRPr="0085519F" w:rsidRDefault="00FB5C7A" w:rsidP="00A44AE9">
      <w:pPr>
        <w:spacing w:after="0" w:line="240" w:lineRule="auto"/>
        <w:rPr>
          <w:rFonts w:cs="Arial"/>
          <w:i/>
        </w:rPr>
      </w:pPr>
    </w:p>
    <w:p w14:paraId="5E590284" w14:textId="71CD06CB" w:rsidR="00E860A5" w:rsidRPr="00004E51" w:rsidRDefault="003223E9" w:rsidP="00A44AE9">
      <w:pPr>
        <w:widowControl w:val="0"/>
        <w:autoSpaceDE w:val="0"/>
        <w:autoSpaceDN w:val="0"/>
        <w:adjustRightInd w:val="0"/>
        <w:spacing w:after="0" w:line="240" w:lineRule="auto"/>
        <w:jc w:val="center"/>
        <w:rPr>
          <w:rFonts w:eastAsia="MS Mincho" w:cs="Arial"/>
        </w:rPr>
      </w:pPr>
      <w:r>
        <w:rPr>
          <w:rFonts w:cs="Arial"/>
        </w:rPr>
        <w:t>DRAFT RESOLUTION</w:t>
      </w:r>
    </w:p>
    <w:p w14:paraId="1F18A2FF" w14:textId="77777777" w:rsidR="00FB13A1" w:rsidRDefault="00FB13A1" w:rsidP="00A44AE9">
      <w:pPr>
        <w:widowControl w:val="0"/>
        <w:autoSpaceDE w:val="0"/>
        <w:autoSpaceDN w:val="0"/>
        <w:adjustRightInd w:val="0"/>
        <w:spacing w:after="0" w:line="240" w:lineRule="auto"/>
        <w:jc w:val="right"/>
        <w:rPr>
          <w:rFonts w:eastAsia="MS Mincho" w:cs="Arial"/>
          <w:b/>
          <w:bCs/>
        </w:rPr>
      </w:pPr>
    </w:p>
    <w:p w14:paraId="5F1589F3" w14:textId="77777777" w:rsidR="00842BE3" w:rsidRDefault="00842BE3" w:rsidP="00A44AE9">
      <w:pPr>
        <w:widowControl w:val="0"/>
        <w:autoSpaceDE w:val="0"/>
        <w:autoSpaceDN w:val="0"/>
        <w:adjustRightInd w:val="0"/>
        <w:spacing w:after="0" w:line="240" w:lineRule="auto"/>
        <w:jc w:val="right"/>
        <w:rPr>
          <w:rFonts w:eastAsia="MS Mincho" w:cs="Arial"/>
          <w:b/>
          <w:bCs/>
        </w:rPr>
      </w:pPr>
    </w:p>
    <w:p w14:paraId="17C25AD2" w14:textId="696745D6" w:rsidR="00E860A5" w:rsidRPr="00004E51" w:rsidRDefault="00E860A5" w:rsidP="00A44AE9">
      <w:pPr>
        <w:widowControl w:val="0"/>
        <w:autoSpaceDE w:val="0"/>
        <w:autoSpaceDN w:val="0"/>
        <w:adjustRightInd w:val="0"/>
        <w:spacing w:after="0" w:line="240" w:lineRule="auto"/>
        <w:jc w:val="right"/>
        <w:rPr>
          <w:rFonts w:eastAsia="MS Mincho" w:cs="Arial"/>
          <w:b/>
          <w:bCs/>
        </w:rPr>
      </w:pPr>
      <w:r w:rsidRPr="00004E51">
        <w:rPr>
          <w:rFonts w:eastAsia="MS Mincho" w:cs="Arial"/>
          <w:b/>
          <w:bCs/>
        </w:rPr>
        <w:t>Annex 2 to Resolution 12.21 (Rev.COP14)</w:t>
      </w:r>
    </w:p>
    <w:p w14:paraId="1622EE1A" w14:textId="77777777" w:rsidR="00E860A5" w:rsidRPr="00004E51" w:rsidRDefault="00E860A5" w:rsidP="00A44AE9">
      <w:pPr>
        <w:widowControl w:val="0"/>
        <w:autoSpaceDE w:val="0"/>
        <w:autoSpaceDN w:val="0"/>
        <w:adjustRightInd w:val="0"/>
        <w:spacing w:after="0" w:line="240" w:lineRule="auto"/>
        <w:jc w:val="center"/>
        <w:rPr>
          <w:rFonts w:eastAsia="MS Mincho" w:cs="Arial"/>
          <w:b/>
          <w:bCs/>
        </w:rPr>
      </w:pPr>
    </w:p>
    <w:p w14:paraId="55151DAE" w14:textId="77777777" w:rsidR="00E860A5" w:rsidRPr="00004E51" w:rsidRDefault="00E860A5" w:rsidP="00A44AE9">
      <w:pPr>
        <w:widowControl w:val="0"/>
        <w:autoSpaceDE w:val="0"/>
        <w:autoSpaceDN w:val="0"/>
        <w:adjustRightInd w:val="0"/>
        <w:spacing w:after="0" w:line="240" w:lineRule="auto"/>
        <w:jc w:val="center"/>
        <w:rPr>
          <w:rFonts w:eastAsia="MS Mincho" w:cs="Arial"/>
          <w:b/>
          <w:bCs/>
        </w:rPr>
      </w:pPr>
      <w:r w:rsidRPr="5093AF61">
        <w:rPr>
          <w:rFonts w:eastAsia="MS Mincho" w:cs="Arial"/>
          <w:b/>
          <w:bCs/>
        </w:rPr>
        <w:t>DECISION FRAMEWORK TO PROVIDE GUIDANCE TO PARTIES ON IMPLEMENTATION OF PARAGRAPH 9 OF RESOLUTION 12.21 (REV. COP14)</w:t>
      </w:r>
    </w:p>
    <w:p w14:paraId="26208BEE" w14:textId="77777777" w:rsidR="00E860A5" w:rsidRDefault="00E860A5" w:rsidP="00A44AE9">
      <w:pPr>
        <w:widowControl w:val="0"/>
        <w:autoSpaceDE w:val="0"/>
        <w:autoSpaceDN w:val="0"/>
        <w:adjustRightInd w:val="0"/>
        <w:spacing w:after="0" w:line="240" w:lineRule="auto"/>
        <w:rPr>
          <w:rFonts w:eastAsia="MS Mincho" w:cs="Arial"/>
          <w:b/>
          <w:bCs/>
        </w:rPr>
      </w:pPr>
    </w:p>
    <w:p w14:paraId="6B9BED6D" w14:textId="77777777" w:rsidR="00A44AE9" w:rsidRPr="00004E51" w:rsidRDefault="00A44AE9" w:rsidP="00A44AE9">
      <w:pPr>
        <w:widowControl w:val="0"/>
        <w:autoSpaceDE w:val="0"/>
        <w:autoSpaceDN w:val="0"/>
        <w:adjustRightInd w:val="0"/>
        <w:spacing w:after="0" w:line="240" w:lineRule="auto"/>
        <w:rPr>
          <w:rFonts w:eastAsia="MS Mincho" w:cs="Arial"/>
          <w:b/>
          <w:bCs/>
        </w:rPr>
      </w:pPr>
    </w:p>
    <w:p w14:paraId="49A4FCA2" w14:textId="4F775AC0"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Resolution 12.21</w:t>
      </w:r>
      <w:r w:rsidR="000167D0">
        <w:rPr>
          <w:rFonts w:eastAsia="MS Mincho" w:cs="Arial"/>
        </w:rPr>
        <w:t>(Rev.COP14)</w:t>
      </w:r>
      <w:r w:rsidRPr="00004E51">
        <w:rPr>
          <w:rFonts w:eastAsia="MS Mincho" w:cs="Arial"/>
        </w:rPr>
        <w:t xml:space="preserve"> Paragraph </w:t>
      </w:r>
      <w:r w:rsidR="000167D0">
        <w:rPr>
          <w:rFonts w:eastAsia="MS Mincho" w:cs="Arial"/>
        </w:rPr>
        <w:t>10</w:t>
      </w:r>
      <w:r w:rsidRPr="00004E51">
        <w:rPr>
          <w:rFonts w:eastAsia="MS Mincho" w:cs="Arial"/>
        </w:rPr>
        <w:t xml:space="preserve"> states:</w:t>
      </w:r>
    </w:p>
    <w:p w14:paraId="597C9E27"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1CCC2D10" w14:textId="77777777" w:rsidR="00E860A5" w:rsidRPr="00004E51" w:rsidRDefault="00E860A5" w:rsidP="00A44AE9">
      <w:pPr>
        <w:widowControl w:val="0"/>
        <w:autoSpaceDE w:val="0"/>
        <w:autoSpaceDN w:val="0"/>
        <w:adjustRightInd w:val="0"/>
        <w:spacing w:after="0" w:line="240" w:lineRule="auto"/>
        <w:jc w:val="both"/>
        <w:rPr>
          <w:rFonts w:eastAsia="MS Mincho" w:cs="Arial"/>
          <w:i/>
          <w:iCs/>
        </w:rPr>
      </w:pPr>
      <w:r w:rsidRPr="00004E51">
        <w:rPr>
          <w:rFonts w:eastAsia="MS Mincho" w:cs="Arial"/>
          <w:i/>
          <w:iCs/>
        </w:rPr>
        <w:t>Agrees that Article I (1) (c) (4) of the Convention, on the definition of “</w:t>
      </w:r>
      <w:proofErr w:type="spellStart"/>
      <w:r w:rsidRPr="00004E51">
        <w:rPr>
          <w:rFonts w:eastAsia="MS Mincho" w:cs="Arial"/>
          <w:i/>
          <w:iCs/>
        </w:rPr>
        <w:t>favourable</w:t>
      </w:r>
      <w:proofErr w:type="spellEnd"/>
      <w:r w:rsidRPr="00004E51">
        <w:rPr>
          <w:rFonts w:eastAsia="MS Mincho" w:cs="Arial"/>
          <w:i/>
          <w:iCs/>
        </w:rPr>
        <w:t xml:space="preserve"> conservation status” could be interpreted as follows </w:t>
      </w:r>
      <w:proofErr w:type="gramStart"/>
      <w:r w:rsidRPr="00004E51">
        <w:rPr>
          <w:rFonts w:eastAsia="MS Mincho" w:cs="Arial"/>
          <w:i/>
          <w:iCs/>
        </w:rPr>
        <w:t>in light of</w:t>
      </w:r>
      <w:proofErr w:type="gramEnd"/>
      <w:r w:rsidRPr="00004E51">
        <w:rPr>
          <w:rFonts w:eastAsia="MS Mincho" w:cs="Arial"/>
          <w:i/>
          <w:iCs/>
        </w:rPr>
        <w:t xml:space="preserve"> climate change, and invites the governing bodies of relevant CMS instruments to also approve this interpretation:</w:t>
      </w:r>
    </w:p>
    <w:p w14:paraId="5FE9920E"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1E951BB9" w14:textId="77777777"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According to Article I (1) (c) (4) of the Convention, one of the conditions to be met for the conservation status of a species to be taken as “</w:t>
      </w:r>
      <w:proofErr w:type="spellStart"/>
      <w:r w:rsidRPr="00004E51">
        <w:rPr>
          <w:rFonts w:eastAsia="MS Mincho" w:cs="Arial"/>
        </w:rPr>
        <w:t>favourable</w:t>
      </w:r>
      <w:proofErr w:type="spellEnd"/>
      <w:r w:rsidRPr="00004E51">
        <w:rPr>
          <w:rFonts w:eastAsia="MS Mincho" w:cs="Arial"/>
        </w:rPr>
        <w:t xml:space="preserve">” is that: “the distribution and abundance of the migratory species approach historic coverage and levels to the extent that potentially suitable ecosystems exist and to the extent consistent with wise wildlife management”. While there is a continued need to undertake conservation action within the historic range of migratory species, such action will increasingly also need to be taken beyond the historic range of species </w:t>
      </w:r>
      <w:proofErr w:type="gramStart"/>
      <w:r w:rsidRPr="00004E51">
        <w:rPr>
          <w:rFonts w:eastAsia="MS Mincho" w:cs="Arial"/>
        </w:rPr>
        <w:t>in order to</w:t>
      </w:r>
      <w:proofErr w:type="gramEnd"/>
      <w:r w:rsidRPr="00004E51">
        <w:rPr>
          <w:rFonts w:eastAsia="MS Mincho" w:cs="Arial"/>
        </w:rPr>
        <w:t xml:space="preserve"> ensure </w:t>
      </w:r>
      <w:proofErr w:type="gramStart"/>
      <w:r w:rsidRPr="00004E51">
        <w:rPr>
          <w:rFonts w:eastAsia="MS Mincho" w:cs="Arial"/>
        </w:rPr>
        <w:t xml:space="preserve">a </w:t>
      </w:r>
      <w:proofErr w:type="spellStart"/>
      <w:r w:rsidRPr="00004E51">
        <w:rPr>
          <w:rFonts w:eastAsia="MS Mincho" w:cs="Arial"/>
        </w:rPr>
        <w:t>favourable</w:t>
      </w:r>
      <w:proofErr w:type="spellEnd"/>
      <w:proofErr w:type="gramEnd"/>
      <w:r w:rsidRPr="00004E51">
        <w:rPr>
          <w:rFonts w:eastAsia="MS Mincho" w:cs="Arial"/>
        </w:rPr>
        <w:t xml:space="preserve"> conservation status, particularly with a view to climate-induced range shifts. Such action beyond the historic range of species is compatible with, and may be required </w:t>
      </w:r>
      <w:proofErr w:type="gramStart"/>
      <w:r w:rsidRPr="00004E51">
        <w:rPr>
          <w:rFonts w:eastAsia="MS Mincho" w:cs="Arial"/>
        </w:rPr>
        <w:t>in order to</w:t>
      </w:r>
      <w:proofErr w:type="gramEnd"/>
      <w:r w:rsidRPr="00004E51">
        <w:rPr>
          <w:rFonts w:eastAsia="MS Mincho" w:cs="Arial"/>
        </w:rPr>
        <w:t xml:space="preserve"> meet, the objectives and the obligations of Parties under the Convention;</w:t>
      </w:r>
    </w:p>
    <w:p w14:paraId="59554C9E"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38691D05" w14:textId="77777777"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The 5th and 6th meetings of the Sessional Committee of the Scientific Council considered the text above and provided the following guidance:</w:t>
      </w:r>
    </w:p>
    <w:p w14:paraId="338B1791"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7A13EBD7"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1. Scenarios and actions</w:t>
      </w:r>
    </w:p>
    <w:p w14:paraId="694B92F6"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p>
    <w:p w14:paraId="1351CAF3" w14:textId="77777777"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Four scenarios are considered, which cover the different statuses of migratory species with respect to climate-induced range shifts. In the following, the term “barrier” is used to refer to any factor that inhibits migratory species from expanding their range or acts as an impediment to connectivity of their migratory route.</w:t>
      </w:r>
    </w:p>
    <w:p w14:paraId="43E38F1D"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0BF62647"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2. Categorizing scenarios</w:t>
      </w:r>
    </w:p>
    <w:p w14:paraId="7D2723FE"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619CBBEF"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i. Species not present throughout suitable range</w:t>
      </w:r>
    </w:p>
    <w:p w14:paraId="54E2B8FB"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18DF6A60" w14:textId="77777777"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Some CMS-listed species have been so severely depleted that they only occupy a small part of the range that is climatically suitable for them, such as Addax (</w:t>
      </w:r>
      <w:r w:rsidRPr="00C805F7">
        <w:rPr>
          <w:rFonts w:eastAsia="MS Mincho" w:cs="Arial"/>
          <w:i/>
          <w:iCs/>
        </w:rPr>
        <w:t>Addax nasomaculatus</w:t>
      </w:r>
      <w:r w:rsidRPr="00004E51">
        <w:rPr>
          <w:rFonts w:eastAsia="MS Mincho" w:cs="Arial"/>
        </w:rPr>
        <w:t>), or are extinct-in-the-wild, such as Scimitar-horned Oryx (</w:t>
      </w:r>
      <w:r w:rsidRPr="00C805F7">
        <w:rPr>
          <w:rFonts w:eastAsia="MS Mincho" w:cs="Arial"/>
          <w:i/>
          <w:iCs/>
        </w:rPr>
        <w:t xml:space="preserve">Oryx </w:t>
      </w:r>
      <w:proofErr w:type="spellStart"/>
      <w:r w:rsidRPr="00C805F7">
        <w:rPr>
          <w:rFonts w:eastAsia="MS Mincho" w:cs="Arial"/>
          <w:i/>
          <w:iCs/>
        </w:rPr>
        <w:t>dammah</w:t>
      </w:r>
      <w:proofErr w:type="spellEnd"/>
      <w:r w:rsidRPr="00004E51">
        <w:rPr>
          <w:rFonts w:eastAsia="MS Mincho" w:cs="Arial"/>
        </w:rPr>
        <w:t>).</w:t>
      </w:r>
    </w:p>
    <w:p w14:paraId="4E009BA6"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086000AE"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ii. Species range limited by natural barrier(s)</w:t>
      </w:r>
    </w:p>
    <w:p w14:paraId="6606D0BA"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p>
    <w:p w14:paraId="2E824E48"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rPr>
        <w:t>As climate change degrades habitat in one location, it may not be possible for that habitat to naturally recover in adjacent areas. Examples include the coral reef systems used by Hawksbill Turtles (</w:t>
      </w:r>
      <w:r w:rsidRPr="00C805F7">
        <w:rPr>
          <w:rFonts w:eastAsia="MS Mincho" w:cs="Arial"/>
          <w:i/>
          <w:iCs/>
        </w:rPr>
        <w:t>Eretmochelys imbricata</w:t>
      </w:r>
      <w:r w:rsidRPr="00004E51">
        <w:rPr>
          <w:rFonts w:eastAsia="MS Mincho" w:cs="Arial"/>
        </w:rPr>
        <w:t xml:space="preserve">). A related issue is where breeding or nesting </w:t>
      </w:r>
      <w:r w:rsidRPr="00004E51">
        <w:rPr>
          <w:rFonts w:eastAsia="MS Mincho" w:cs="Arial"/>
        </w:rPr>
        <w:lastRenderedPageBreak/>
        <w:t>grounds are required to stay geographically fixed, whilst foraging grounds are pushed</w:t>
      </w:r>
      <w:r w:rsidRPr="00004E51">
        <w:rPr>
          <w:rFonts w:eastAsia="MS Mincho" w:cs="Arial"/>
          <w:b/>
          <w:bCs/>
        </w:rPr>
        <w:t xml:space="preserve"> </w:t>
      </w:r>
      <w:r w:rsidRPr="00004E51">
        <w:rPr>
          <w:rFonts w:eastAsia="MS Mincho" w:cs="Arial"/>
        </w:rPr>
        <w:t>away by climatic change, as may be the case for Loggerhead Turtles (</w:t>
      </w:r>
      <w:r w:rsidRPr="00C805F7">
        <w:rPr>
          <w:rFonts w:eastAsia="MS Mincho" w:cs="Arial"/>
          <w:i/>
          <w:iCs/>
        </w:rPr>
        <w:t>Caretta caretta</w:t>
      </w:r>
      <w:r w:rsidRPr="00004E51">
        <w:rPr>
          <w:rFonts w:eastAsia="MS Mincho" w:cs="Arial"/>
        </w:rPr>
        <w:t>) and Grey-headed Albatross (</w:t>
      </w:r>
      <w:proofErr w:type="spellStart"/>
      <w:r w:rsidRPr="00C805F7">
        <w:rPr>
          <w:rFonts w:eastAsia="MS Mincho" w:cs="Arial"/>
          <w:i/>
          <w:iCs/>
        </w:rPr>
        <w:t>Thalassarche</w:t>
      </w:r>
      <w:proofErr w:type="spellEnd"/>
      <w:r w:rsidRPr="00C805F7">
        <w:rPr>
          <w:rFonts w:eastAsia="MS Mincho" w:cs="Arial"/>
          <w:i/>
          <w:iCs/>
        </w:rPr>
        <w:t xml:space="preserve"> </w:t>
      </w:r>
      <w:proofErr w:type="spellStart"/>
      <w:r w:rsidRPr="00C805F7">
        <w:rPr>
          <w:rFonts w:eastAsia="MS Mincho" w:cs="Arial"/>
          <w:i/>
          <w:iCs/>
        </w:rPr>
        <w:t>chrysostoma</w:t>
      </w:r>
      <w:proofErr w:type="spellEnd"/>
      <w:r w:rsidRPr="00004E51">
        <w:rPr>
          <w:rFonts w:eastAsia="MS Mincho" w:cs="Arial"/>
        </w:rPr>
        <w:t>).</w:t>
      </w:r>
    </w:p>
    <w:p w14:paraId="5801EA69"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5C8A9835"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iii. Species range limited by anthropogenic barrier(s)</w:t>
      </w:r>
    </w:p>
    <w:p w14:paraId="4BFE0FD5"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6CB22B67" w14:textId="19F78B18"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Where there is no natural barrier to range expansion, there may instead be a barrier resulting from human activity. This is the case at nesting sites for seabird species such as the Black-footed Albatross (</w:t>
      </w:r>
      <w:proofErr w:type="spellStart"/>
      <w:r w:rsidRPr="00C805F7">
        <w:rPr>
          <w:rFonts w:eastAsia="MS Mincho" w:cs="Arial"/>
          <w:i/>
          <w:iCs/>
        </w:rPr>
        <w:t>Phoebastria</w:t>
      </w:r>
      <w:proofErr w:type="spellEnd"/>
      <w:r w:rsidRPr="00C805F7">
        <w:rPr>
          <w:rFonts w:eastAsia="MS Mincho" w:cs="Arial"/>
          <w:i/>
          <w:iCs/>
        </w:rPr>
        <w:t xml:space="preserve"> nigripes</w:t>
      </w:r>
      <w:r w:rsidRPr="00004E51">
        <w:rPr>
          <w:rFonts w:eastAsia="MS Mincho" w:cs="Arial"/>
        </w:rPr>
        <w:t>), where sea-level rise on islands may push birds to nest at higher</w:t>
      </w:r>
      <w:r w:rsidR="00031E7C">
        <w:rPr>
          <w:rFonts w:eastAsia="MS Mincho" w:cs="Arial"/>
        </w:rPr>
        <w:t xml:space="preserve"> </w:t>
      </w:r>
      <w:r w:rsidR="00031E7C" w:rsidRPr="0039472D">
        <w:rPr>
          <w:rFonts w:eastAsia="MS Mincho" w:cs="Arial"/>
        </w:rPr>
        <w:t>latitudes and/or</w:t>
      </w:r>
      <w:r w:rsidRPr="00004E51">
        <w:rPr>
          <w:rFonts w:eastAsia="MS Mincho" w:cs="Arial"/>
        </w:rPr>
        <w:t xml:space="preserve"> altitudes which are unsuitable due to the presence of invasive predators and human disturbance. Anthropogenic barriers may also be present at boundaries between Regional Fisheries Management </w:t>
      </w:r>
      <w:proofErr w:type="spellStart"/>
      <w:r w:rsidRPr="00004E51">
        <w:rPr>
          <w:rFonts w:eastAsia="MS Mincho" w:cs="Arial"/>
        </w:rPr>
        <w:t>Organisations</w:t>
      </w:r>
      <w:proofErr w:type="spellEnd"/>
      <w:r w:rsidRPr="00004E51">
        <w:rPr>
          <w:rFonts w:eastAsia="MS Mincho" w:cs="Arial"/>
        </w:rPr>
        <w:t xml:space="preserve"> (RFMOs) where a range expansion may take species into seas with different bycatch mitigation standards.</w:t>
      </w:r>
    </w:p>
    <w:p w14:paraId="0A380422"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22034D9E"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 xml:space="preserve">iv. Species range likely to be limited by anthropogenic </w:t>
      </w:r>
      <w:proofErr w:type="gramStart"/>
      <w:r w:rsidRPr="00004E51">
        <w:rPr>
          <w:rFonts w:eastAsia="MS Mincho" w:cs="Arial"/>
          <w:b/>
          <w:bCs/>
        </w:rPr>
        <w:t>barrier</w:t>
      </w:r>
      <w:proofErr w:type="gramEnd"/>
      <w:r w:rsidRPr="00004E51">
        <w:rPr>
          <w:rFonts w:eastAsia="MS Mincho" w:cs="Arial"/>
          <w:b/>
          <w:bCs/>
        </w:rPr>
        <w:t>(s) in future</w:t>
      </w:r>
    </w:p>
    <w:p w14:paraId="73C561E3"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76494A35" w14:textId="77777777"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Even where there is currently capacity for species to adapt their movements in response to climate change, there may be a probability that these future habitats will undergo changes that will make them unsuitable. This is particularly an issue in the Arctic, where retreating sea ice is permitting greater navigation and therefore more industrial activity. While much of the Arctic could currently accommodate poleward shifts of species such as Bowhead Whale (</w:t>
      </w:r>
      <w:r w:rsidRPr="00C805F7">
        <w:rPr>
          <w:rFonts w:eastAsia="MS Mincho" w:cs="Arial"/>
          <w:i/>
          <w:iCs/>
        </w:rPr>
        <w:t>Balaena mysticetus</w:t>
      </w:r>
      <w:r w:rsidRPr="00004E51">
        <w:rPr>
          <w:rFonts w:eastAsia="MS Mincho" w:cs="Arial"/>
        </w:rPr>
        <w:t>), by the time these range shifts occur the Arctic marine environment may be further developed and thus less accommodating than it is today. Similarly, wetlands that are currently unused by waterbirds and under consideration for development may become more in demand as stopover sites due to sea-level rise. Finally, the advance of aridification in the Sahara and changing rainfall in the Sahel could push species such as Dorcas Gazelle (</w:t>
      </w:r>
      <w:r w:rsidRPr="00C805F7">
        <w:rPr>
          <w:rFonts w:eastAsia="MS Mincho" w:cs="Arial"/>
          <w:i/>
          <w:iCs/>
        </w:rPr>
        <w:t xml:space="preserve">Gazella </w:t>
      </w:r>
      <w:proofErr w:type="spellStart"/>
      <w:r w:rsidRPr="00C805F7">
        <w:rPr>
          <w:rFonts w:eastAsia="MS Mincho" w:cs="Arial"/>
          <w:i/>
          <w:iCs/>
        </w:rPr>
        <w:t>dorcas</w:t>
      </w:r>
      <w:proofErr w:type="spellEnd"/>
      <w:r w:rsidRPr="00004E51">
        <w:rPr>
          <w:rFonts w:eastAsia="MS Mincho" w:cs="Arial"/>
        </w:rPr>
        <w:t>) to compete for habitat with land increasingly needed for agriculture.</w:t>
      </w:r>
    </w:p>
    <w:p w14:paraId="74B0C01F"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3BC7629E"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3. A framework for action</w:t>
      </w:r>
    </w:p>
    <w:p w14:paraId="6B1F1CE4"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23A43A56" w14:textId="77777777"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The following decision framework is influenced by approaches to ecosystem observation and management in fisheries (Link, et al., 2020); by decision science used to prioritize conservation (Xiao, et al., 2021) and by ranking of research priorities (Rushing, et al., 2020) for migrating birds. It is intended as a basis for engagement between Range States and for prioritization of actions for migratory species at risk from climate change. By combining this framework with careful analysis of scientific evidence for each species, strategies can be focused on actions that make best use of resources to protect species and their migration routes.</w:t>
      </w:r>
    </w:p>
    <w:p w14:paraId="6E5EB11B"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41BD5E08"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 xml:space="preserve">The Decision Framework considers four strategies: conservation, restoration, adaptation and translocation. </w:t>
      </w:r>
      <w:r w:rsidRPr="0039472D">
        <w:rPr>
          <w:rFonts w:eastAsia="MS Mincho" w:cs="Arial"/>
          <w:color w:val="000000" w:themeColor="text1"/>
        </w:rPr>
        <w:t>The framework aims</w:t>
      </w:r>
      <w:r w:rsidRPr="0039472D">
        <w:rPr>
          <w:rFonts w:eastAsia="MS Mincho" w:cs="Arial"/>
        </w:rPr>
        <w:t>, first, to define and categorize the ecological, logistical, societal, financial and policy conditions that must be met for these strategies to be viable for migratory marine species experiencing climate change–induced range shifts.</w:t>
      </w:r>
    </w:p>
    <w:p w14:paraId="5B6B138D" w14:textId="77777777" w:rsidR="00E860A5" w:rsidRPr="00004E51" w:rsidRDefault="00E860A5" w:rsidP="00A44AE9">
      <w:pPr>
        <w:widowControl w:val="0"/>
        <w:autoSpaceDE w:val="0"/>
        <w:autoSpaceDN w:val="0"/>
        <w:adjustRightInd w:val="0"/>
        <w:spacing w:after="0" w:line="240" w:lineRule="auto"/>
        <w:jc w:val="both"/>
        <w:rPr>
          <w:rFonts w:eastAsia="MS Mincho" w:cs="Arial"/>
          <w:strike/>
        </w:rPr>
      </w:pPr>
    </w:p>
    <w:p w14:paraId="274B2D47" w14:textId="77777777" w:rsidR="00E860A5" w:rsidRPr="0039472D" w:rsidRDefault="00E860A5" w:rsidP="00A44AE9">
      <w:pPr>
        <w:widowControl w:val="0"/>
        <w:autoSpaceDE w:val="0"/>
        <w:autoSpaceDN w:val="0"/>
        <w:adjustRightInd w:val="0"/>
        <w:spacing w:after="0" w:line="240" w:lineRule="auto"/>
        <w:jc w:val="both"/>
        <w:rPr>
          <w:rFonts w:eastAsia="MS Mincho" w:cs="Arial"/>
          <w:b/>
          <w:bCs/>
        </w:rPr>
      </w:pPr>
      <w:r w:rsidRPr="0039472D">
        <w:rPr>
          <w:rFonts w:eastAsia="MS Mincho" w:cs="Arial"/>
          <w:b/>
          <w:bCs/>
        </w:rPr>
        <w:t>4. Strategy definitions, timescales and scales of action</w:t>
      </w:r>
    </w:p>
    <w:p w14:paraId="0A14C241" w14:textId="77777777" w:rsidR="00E860A5" w:rsidRDefault="00E860A5" w:rsidP="00A44AE9">
      <w:pPr>
        <w:widowControl w:val="0"/>
        <w:autoSpaceDE w:val="0"/>
        <w:autoSpaceDN w:val="0"/>
        <w:adjustRightInd w:val="0"/>
        <w:spacing w:after="0" w:line="240" w:lineRule="auto"/>
        <w:jc w:val="both"/>
        <w:rPr>
          <w:rFonts w:eastAsia="MS Mincho" w:cs="Arial"/>
          <w:b/>
          <w:bCs/>
          <w:u w:val="single"/>
        </w:rPr>
      </w:pPr>
    </w:p>
    <w:p w14:paraId="596CF9B3" w14:textId="77777777" w:rsidR="00E860A5" w:rsidRPr="0039472D" w:rsidRDefault="00E860A5" w:rsidP="00A44AE9">
      <w:pPr>
        <w:widowControl w:val="0"/>
        <w:autoSpaceDE w:val="0"/>
        <w:autoSpaceDN w:val="0"/>
        <w:adjustRightInd w:val="0"/>
        <w:spacing w:after="0" w:line="240" w:lineRule="auto"/>
        <w:jc w:val="both"/>
        <w:rPr>
          <w:rFonts w:eastAsia="MS Mincho" w:cs="Arial"/>
          <w:b/>
          <w:bCs/>
        </w:rPr>
      </w:pPr>
      <w:r w:rsidRPr="0039472D">
        <w:t>The definitions of each of the strategies below are for the purposes of the Decision Framework only.</w:t>
      </w:r>
    </w:p>
    <w:p w14:paraId="44B429CF"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4EB4C59C"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i. Conservation</w:t>
      </w:r>
    </w:p>
    <w:p w14:paraId="080DE298" w14:textId="77777777" w:rsidR="00E860A5" w:rsidRDefault="00E860A5" w:rsidP="00A44AE9">
      <w:pPr>
        <w:widowControl w:val="0"/>
        <w:autoSpaceDE w:val="0"/>
        <w:autoSpaceDN w:val="0"/>
        <w:adjustRightInd w:val="0"/>
        <w:spacing w:after="0" w:line="240" w:lineRule="auto"/>
        <w:jc w:val="both"/>
        <w:rPr>
          <w:rFonts w:eastAsia="MS Mincho" w:cs="Arial"/>
          <w:u w:val="single"/>
        </w:rPr>
      </w:pPr>
    </w:p>
    <w:p w14:paraId="17BA8A6F"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Conservation refers to the protection and management of existing habitat within the projected future range of a species or population to prevent further decline.</w:t>
      </w:r>
    </w:p>
    <w:p w14:paraId="6A5D740D" w14:textId="3A9573EE" w:rsidR="004745B1" w:rsidRDefault="004745B1">
      <w:pPr>
        <w:rPr>
          <w:rFonts w:eastAsia="MS Mincho" w:cs="Arial"/>
        </w:rPr>
      </w:pPr>
      <w:r>
        <w:rPr>
          <w:rFonts w:eastAsia="MS Mincho" w:cs="Arial"/>
        </w:rPr>
        <w:br w:type="page"/>
      </w:r>
    </w:p>
    <w:p w14:paraId="1E3A0B9D" w14:textId="4FA31CD8"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lastRenderedPageBreak/>
        <w:t xml:space="preserve">Examples of conservation strategies include setting aside buffer zones inland from current coastal wetlands (Wikramanayake, et al., 2020), and the limiting of industrial expansion into the Arctic, the latter perhaps utilizing tools such as the World Wildlife Fund (WWF) </w:t>
      </w:r>
      <w:proofErr w:type="spellStart"/>
      <w:r w:rsidRPr="00004E51">
        <w:rPr>
          <w:rFonts w:eastAsia="MS Mincho" w:cs="Arial"/>
        </w:rPr>
        <w:t>ArcNet</w:t>
      </w:r>
      <w:proofErr w:type="spellEnd"/>
      <w:r w:rsidRPr="00004E51">
        <w:rPr>
          <w:rFonts w:eastAsia="MS Mincho" w:cs="Arial"/>
        </w:rPr>
        <w:t xml:space="preserve"> </w:t>
      </w:r>
      <w:r w:rsidRPr="0039472D">
        <w:rPr>
          <w:rFonts w:eastAsia="MS Mincho" w:cs="Arial"/>
        </w:rPr>
        <w:t>29</w:t>
      </w:r>
      <w:r w:rsidRPr="00004E51">
        <w:rPr>
          <w:rFonts w:eastAsia="MS Mincho" w:cs="Arial"/>
        </w:rPr>
        <w:t>.</w:t>
      </w:r>
    </w:p>
    <w:p w14:paraId="33DC474C"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24A81078"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ii. Restoration</w:t>
      </w:r>
    </w:p>
    <w:p w14:paraId="5E8C879C"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503B5878"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Restoration refers to the active recovery or rehabilitation of degraded, damaged or destroyed habitats or populations to their former, functional or resilient states.</w:t>
      </w:r>
    </w:p>
    <w:p w14:paraId="0FBDC38C"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7E037E10" w14:textId="77777777" w:rsidR="00E860A5" w:rsidRPr="00004E51"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Examples of restoration strategies include</w:t>
      </w:r>
      <w:r>
        <w:rPr>
          <w:rFonts w:eastAsia="MS Mincho" w:cs="Arial"/>
        </w:rPr>
        <w:t xml:space="preserve"> </w:t>
      </w:r>
      <w:r w:rsidRPr="0039472D">
        <w:rPr>
          <w:rFonts w:eastAsia="MS Mincho" w:cs="Arial"/>
        </w:rPr>
        <w:t>the active</w:t>
      </w:r>
      <w:r>
        <w:rPr>
          <w:rFonts w:eastAsia="MS Mincho" w:cs="Arial"/>
        </w:rPr>
        <w:t xml:space="preserve"> </w:t>
      </w:r>
      <w:r w:rsidRPr="00004E51">
        <w:rPr>
          <w:rFonts w:eastAsia="MS Mincho" w:cs="Arial"/>
        </w:rPr>
        <w:t>removal of invasive predators from potential seabird nesting sites (Reynolds, et al., 2015) and enhanced bycatch mitigation measures across fishery boundaries</w:t>
      </w:r>
      <w:r>
        <w:rPr>
          <w:rFonts w:eastAsia="MS Mincho" w:cs="Arial"/>
        </w:rPr>
        <w:t xml:space="preserve"> </w:t>
      </w:r>
      <w:r w:rsidRPr="0039472D">
        <w:rPr>
          <w:rFonts w:eastAsia="MS Mincho" w:cs="Arial"/>
        </w:rPr>
        <w:t>to promote natural restoration</w:t>
      </w:r>
      <w:r w:rsidRPr="00004E51">
        <w:rPr>
          <w:rFonts w:eastAsia="MS Mincho" w:cs="Arial"/>
        </w:rPr>
        <w:t xml:space="preserve"> (Krüger, et al., 2018).</w:t>
      </w:r>
    </w:p>
    <w:p w14:paraId="67083275"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40849C14"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iii. Adapt</w:t>
      </w:r>
      <w:r w:rsidRPr="0039472D">
        <w:rPr>
          <w:rFonts w:eastAsia="MS Mincho" w:cs="Arial"/>
          <w:b/>
          <w:bCs/>
        </w:rPr>
        <w:t>at</w:t>
      </w:r>
      <w:r w:rsidRPr="00004E51">
        <w:rPr>
          <w:rFonts w:eastAsia="MS Mincho" w:cs="Arial"/>
          <w:b/>
          <w:bCs/>
        </w:rPr>
        <w:t>ion</w:t>
      </w:r>
    </w:p>
    <w:p w14:paraId="3A64827C"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3CEE9302"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Adaptation refers to the process of adjusting conservation and management practices to respond to the current and anticipated impacts of climate change and other large-scale environmental changes for migratory species and their current habitats.</w:t>
      </w:r>
    </w:p>
    <w:p w14:paraId="278A83E7"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0ED564D4"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50FA6198"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 xml:space="preserve">For example, loggerhead turtles are long-distance migratory species that return to specific beaches to nest. The sex of hatchlings is determined by sand temperature during incubation, with warmer sands associated with the production of more females. An adaptation example could be shading nests to cool sand </w:t>
      </w:r>
      <w:proofErr w:type="gramStart"/>
      <w:r w:rsidRPr="0039472D">
        <w:rPr>
          <w:rFonts w:eastAsia="MS Mincho" w:cs="Arial"/>
        </w:rPr>
        <w:t>in order to</w:t>
      </w:r>
      <w:proofErr w:type="gramEnd"/>
      <w:r w:rsidRPr="0039472D">
        <w:rPr>
          <w:rFonts w:eastAsia="MS Mincho" w:cs="Arial"/>
        </w:rPr>
        <w:t xml:space="preserve"> restore sex ratios.</w:t>
      </w:r>
    </w:p>
    <w:p w14:paraId="62FAB279" w14:textId="77777777" w:rsidR="00E860A5" w:rsidRPr="00415B8F" w:rsidRDefault="00E860A5" w:rsidP="00A44AE9">
      <w:pPr>
        <w:widowControl w:val="0"/>
        <w:autoSpaceDE w:val="0"/>
        <w:autoSpaceDN w:val="0"/>
        <w:adjustRightInd w:val="0"/>
        <w:spacing w:after="0" w:line="240" w:lineRule="auto"/>
        <w:jc w:val="both"/>
        <w:rPr>
          <w:rFonts w:eastAsia="MS Mincho" w:cs="Arial"/>
        </w:rPr>
      </w:pPr>
    </w:p>
    <w:p w14:paraId="469DC950"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r w:rsidRPr="00004E51">
        <w:rPr>
          <w:rFonts w:eastAsia="MS Mincho" w:cs="Arial"/>
          <w:b/>
          <w:bCs/>
        </w:rPr>
        <w:t>iv. Translocation</w:t>
      </w:r>
    </w:p>
    <w:p w14:paraId="2E40D77B" w14:textId="77777777" w:rsidR="00E860A5" w:rsidRPr="00004E51" w:rsidRDefault="00E860A5" w:rsidP="00A44AE9">
      <w:pPr>
        <w:widowControl w:val="0"/>
        <w:autoSpaceDE w:val="0"/>
        <w:autoSpaceDN w:val="0"/>
        <w:adjustRightInd w:val="0"/>
        <w:spacing w:after="0" w:line="240" w:lineRule="auto"/>
        <w:jc w:val="both"/>
        <w:rPr>
          <w:rFonts w:eastAsia="MS Mincho" w:cs="Arial"/>
          <w:b/>
          <w:bCs/>
        </w:rPr>
      </w:pPr>
    </w:p>
    <w:p w14:paraId="08976639"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Translocation refers to the intentional movement of individuals to establish, re-establish or reinforce a population in a suitably new or former habitat.</w:t>
      </w:r>
    </w:p>
    <w:p w14:paraId="333958B2"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3A0C8326" w14:textId="77777777" w:rsidR="00E860A5" w:rsidRDefault="00E860A5" w:rsidP="00A44AE9">
      <w:pPr>
        <w:widowControl w:val="0"/>
        <w:autoSpaceDE w:val="0"/>
        <w:autoSpaceDN w:val="0"/>
        <w:adjustRightInd w:val="0"/>
        <w:spacing w:after="0" w:line="240" w:lineRule="auto"/>
        <w:jc w:val="both"/>
        <w:rPr>
          <w:rFonts w:eastAsia="MS Mincho" w:cs="Arial"/>
        </w:rPr>
      </w:pPr>
      <w:r w:rsidRPr="00004E51">
        <w:rPr>
          <w:rFonts w:eastAsia="MS Mincho" w:cs="Arial"/>
        </w:rPr>
        <w:t>Examples of translocation strategies include the reintroduction of captive addax (Addax Nasomaculatus) into protected areas of north Africa (Newby, et al., 2016), and the use of light aircraft to guide Siberian crane (</w:t>
      </w:r>
      <w:proofErr w:type="spellStart"/>
      <w:r w:rsidRPr="00004E51">
        <w:rPr>
          <w:rFonts w:eastAsia="MS Mincho" w:cs="Arial"/>
          <w:i/>
          <w:iCs/>
        </w:rPr>
        <w:t>Leucogeranus</w:t>
      </w:r>
      <w:proofErr w:type="spellEnd"/>
      <w:r w:rsidRPr="00004E51">
        <w:rPr>
          <w:rFonts w:eastAsia="MS Mincho" w:cs="Arial"/>
          <w:i/>
          <w:iCs/>
        </w:rPr>
        <w:t xml:space="preserve"> </w:t>
      </w:r>
      <w:proofErr w:type="spellStart"/>
      <w:r w:rsidRPr="00004E51">
        <w:rPr>
          <w:rFonts w:eastAsia="MS Mincho" w:cs="Arial"/>
          <w:i/>
          <w:iCs/>
        </w:rPr>
        <w:t>leucogeranus</w:t>
      </w:r>
      <w:proofErr w:type="spellEnd"/>
      <w:r w:rsidRPr="00004E51">
        <w:rPr>
          <w:rFonts w:eastAsia="MS Mincho" w:cs="Arial"/>
        </w:rPr>
        <w:t>) migration (the “Flight of Hope” project) in Russia.</w:t>
      </w:r>
    </w:p>
    <w:p w14:paraId="69471DD2" w14:textId="77777777" w:rsidR="00E860A5" w:rsidRPr="00004E51" w:rsidRDefault="00E860A5" w:rsidP="00A44AE9">
      <w:pPr>
        <w:widowControl w:val="0"/>
        <w:autoSpaceDE w:val="0"/>
        <w:autoSpaceDN w:val="0"/>
        <w:adjustRightInd w:val="0"/>
        <w:spacing w:after="0" w:line="240" w:lineRule="auto"/>
        <w:jc w:val="both"/>
        <w:rPr>
          <w:rFonts w:eastAsia="MS Mincho" w:cs="Arial"/>
        </w:rPr>
      </w:pPr>
    </w:p>
    <w:p w14:paraId="3F55C261" w14:textId="51693C53" w:rsidR="00E860A5" w:rsidRPr="0039472D" w:rsidRDefault="00E860A5" w:rsidP="00A44AE9">
      <w:pPr>
        <w:widowControl w:val="0"/>
        <w:autoSpaceDE w:val="0"/>
        <w:autoSpaceDN w:val="0"/>
        <w:adjustRightInd w:val="0"/>
        <w:spacing w:after="0" w:line="240" w:lineRule="auto"/>
        <w:jc w:val="both"/>
        <w:rPr>
          <w:rFonts w:eastAsia="MS Mincho" w:cs="Arial"/>
          <w:b/>
          <w:bCs/>
        </w:rPr>
      </w:pPr>
      <w:r w:rsidRPr="0039472D">
        <w:rPr>
          <w:rFonts w:eastAsia="MS Mincho" w:cs="Arial"/>
          <w:b/>
          <w:bCs/>
        </w:rPr>
        <w:t>Planning time frame: 2100</w:t>
      </w:r>
    </w:p>
    <w:p w14:paraId="580EE8B1" w14:textId="77777777" w:rsidR="00E860A5" w:rsidRPr="00004E51" w:rsidRDefault="00E860A5" w:rsidP="00A44AE9">
      <w:pPr>
        <w:widowControl w:val="0"/>
        <w:autoSpaceDE w:val="0"/>
        <w:autoSpaceDN w:val="0"/>
        <w:adjustRightInd w:val="0"/>
        <w:spacing w:after="0" w:line="240" w:lineRule="auto"/>
        <w:jc w:val="both"/>
        <w:rPr>
          <w:rFonts w:eastAsia="MS Mincho" w:cs="Arial"/>
          <w:u w:val="single"/>
        </w:rPr>
      </w:pPr>
    </w:p>
    <w:p w14:paraId="4F01A5E4"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To ensure the long-term persistence, recovery and ecological functionality of species under climate change, it is critical that conservation, restoration, adaptation and translocation actions are designed with a forward-looking perspective. The year 2100 is widely accepted as the standard long-term time horizon in climate science, serving as the endpoint for most global and regional climate models, including those used by the Intergovernmental Panel on Climate Change (IPCC).</w:t>
      </w:r>
    </w:p>
    <w:p w14:paraId="0D4602A2" w14:textId="77777777" w:rsidR="00E860A5" w:rsidRPr="00004E51" w:rsidRDefault="00E860A5" w:rsidP="00A44AE9">
      <w:pPr>
        <w:widowControl w:val="0"/>
        <w:autoSpaceDE w:val="0"/>
        <w:autoSpaceDN w:val="0"/>
        <w:adjustRightInd w:val="0"/>
        <w:spacing w:after="0" w:line="240" w:lineRule="auto"/>
        <w:jc w:val="both"/>
        <w:rPr>
          <w:rFonts w:eastAsia="MS Mincho" w:cs="Arial"/>
          <w:u w:val="single"/>
        </w:rPr>
      </w:pPr>
    </w:p>
    <w:p w14:paraId="51DFBC6B"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Using 2100 as the planning horizon provides a scientifically grounded and policy-relevant time frame for evaluating the viability and effectiveness of management interventions. Climate</w:t>
      </w:r>
      <w:r w:rsidRPr="00004E51">
        <w:rPr>
          <w:rFonts w:eastAsia="MS Mincho" w:cs="Arial"/>
          <w:u w:val="single"/>
        </w:rPr>
        <w:t xml:space="preserve"> </w:t>
      </w:r>
      <w:r w:rsidRPr="0039472D">
        <w:rPr>
          <w:rFonts w:eastAsia="MS Mincho" w:cs="Arial"/>
        </w:rPr>
        <w:t>projections through 2100 incorporate a range of plausible future scenarios (</w:t>
      </w:r>
      <w:r w:rsidRPr="0039472D">
        <w:rPr>
          <w:rFonts w:eastAsia="MS Mincho" w:cs="Arial"/>
          <w:color w:val="000000" w:themeColor="text1"/>
        </w:rPr>
        <w:t>e.g., Shared Socioeconomic Pathways</w:t>
      </w:r>
      <w:r w:rsidRPr="0039472D">
        <w:rPr>
          <w:rStyle w:val="FootnoteReference"/>
          <w:rFonts w:eastAsia="MS Mincho" w:cs="Arial"/>
          <w:color w:val="000000" w:themeColor="text1"/>
        </w:rPr>
        <w:footnoteReference w:id="2"/>
      </w:r>
      <w:r w:rsidRPr="0039472D">
        <w:rPr>
          <w:rFonts w:eastAsia="MS Mincho" w:cs="Arial"/>
          <w:color w:val="000000" w:themeColor="text1"/>
        </w:rPr>
        <w:t xml:space="preserve">), </w:t>
      </w:r>
      <w:r w:rsidRPr="0039472D">
        <w:rPr>
          <w:rFonts w:eastAsia="MS Mincho" w:cs="Arial"/>
        </w:rPr>
        <w:t>allowing decision makers to consider uncertainty and plan for a diversity of outcomes across temperature, precipitation, sea-level rise and extreme events.</w:t>
      </w:r>
    </w:p>
    <w:p w14:paraId="0F4C3E39" w14:textId="36920BDF" w:rsidR="002D6062" w:rsidRDefault="002D6062" w:rsidP="00A44AE9">
      <w:pPr>
        <w:widowControl w:val="0"/>
        <w:autoSpaceDE w:val="0"/>
        <w:autoSpaceDN w:val="0"/>
        <w:adjustRightInd w:val="0"/>
        <w:spacing w:after="0" w:line="240" w:lineRule="auto"/>
        <w:jc w:val="both"/>
        <w:rPr>
          <w:rFonts w:eastAsia="MS Mincho" w:cs="Arial"/>
        </w:rPr>
      </w:pPr>
      <w:r>
        <w:rPr>
          <w:rFonts w:eastAsia="MS Mincho" w:cs="Arial"/>
        </w:rPr>
        <w:br w:type="page"/>
      </w:r>
    </w:p>
    <w:p w14:paraId="347D72C0" w14:textId="77777777" w:rsidR="00E860A5" w:rsidRPr="00415B8F" w:rsidRDefault="00E860A5" w:rsidP="00A44AE9">
      <w:pPr>
        <w:widowControl w:val="0"/>
        <w:autoSpaceDE w:val="0"/>
        <w:autoSpaceDN w:val="0"/>
        <w:adjustRightInd w:val="0"/>
        <w:spacing w:after="0" w:line="240" w:lineRule="auto"/>
        <w:jc w:val="both"/>
      </w:pPr>
      <w:r w:rsidRPr="0039472D">
        <w:rPr>
          <w:rFonts w:eastAsia="MS Mincho" w:cs="Arial"/>
        </w:rPr>
        <w:lastRenderedPageBreak/>
        <w:t xml:space="preserve">Many species have long life cycles, rely on persistent habitat conditions, or are already facing cumulative pressures. Therefore, short- to mid-term planning (e.g., through 2050 or 2070) will probably underestimate the scale and duration of environmental change experienced. The 2100 benchmark ensures that actions account not only for current suitability but also future climatic stability. This is particularly important for species with migratory </w:t>
      </w:r>
      <w:proofErr w:type="spellStart"/>
      <w:r w:rsidRPr="0039472D">
        <w:rPr>
          <w:rFonts w:eastAsia="MS Mincho" w:cs="Arial"/>
        </w:rPr>
        <w:t>behaviour</w:t>
      </w:r>
      <w:proofErr w:type="spellEnd"/>
      <w:r w:rsidRPr="0039472D">
        <w:rPr>
          <w:rFonts w:eastAsia="MS Mincho" w:cs="Arial"/>
        </w:rPr>
        <w:t xml:space="preserve">, specialized habitat needs or narrow environmental </w:t>
      </w:r>
      <w:r w:rsidRPr="00415B8F">
        <w:t>t</w:t>
      </w:r>
      <w:r w:rsidRPr="0039472D">
        <w:rPr>
          <w:rFonts w:eastAsia="MS Mincho" w:cs="Arial"/>
        </w:rPr>
        <w:t xml:space="preserve">olerances. </w:t>
      </w:r>
    </w:p>
    <w:p w14:paraId="29DB3724" w14:textId="77777777" w:rsidR="00E860A5" w:rsidRPr="0039472D" w:rsidRDefault="00E860A5" w:rsidP="00A44AE9">
      <w:pPr>
        <w:widowControl w:val="0"/>
        <w:autoSpaceDE w:val="0"/>
        <w:autoSpaceDN w:val="0"/>
        <w:adjustRightInd w:val="0"/>
        <w:spacing w:after="0" w:line="240" w:lineRule="auto"/>
        <w:jc w:val="both"/>
        <w:rPr>
          <w:rFonts w:eastAsia="MS Mincho" w:cs="Arial"/>
        </w:rPr>
      </w:pPr>
    </w:p>
    <w:p w14:paraId="59DF2F20"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However, some decisions may warrant a different time horizon depending on the species, ecosystem or management context. The table below outlines commonly used time frames, their corresponding model coverage and intended use:</w:t>
      </w:r>
    </w:p>
    <w:p w14:paraId="621FD0AA" w14:textId="77777777" w:rsidR="00E860A5" w:rsidRPr="00004E51" w:rsidRDefault="00E860A5" w:rsidP="00A44AE9">
      <w:pPr>
        <w:widowControl w:val="0"/>
        <w:autoSpaceDE w:val="0"/>
        <w:autoSpaceDN w:val="0"/>
        <w:adjustRightInd w:val="0"/>
        <w:spacing w:after="0" w:line="240" w:lineRule="auto"/>
        <w:jc w:val="both"/>
        <w:rPr>
          <w:rFonts w:eastAsia="MS Mincho" w:cs="Arial"/>
          <w:u w:val="single"/>
        </w:rPr>
      </w:pPr>
    </w:p>
    <w:tbl>
      <w:tblPr>
        <w:tblStyle w:val="TableGrid"/>
        <w:tblW w:w="0" w:type="auto"/>
        <w:tblLook w:val="04A0" w:firstRow="1" w:lastRow="0" w:firstColumn="1" w:lastColumn="0" w:noHBand="0" w:noVBand="1"/>
      </w:tblPr>
      <w:tblGrid>
        <w:gridCol w:w="3056"/>
        <w:gridCol w:w="5960"/>
      </w:tblGrid>
      <w:tr w:rsidR="00E860A5" w:rsidRPr="00004E51" w14:paraId="5046FF6B" w14:textId="77777777" w:rsidTr="00A17FEE">
        <w:trPr>
          <w:trHeight w:val="506"/>
        </w:trPr>
        <w:tc>
          <w:tcPr>
            <w:tcW w:w="3114" w:type="dxa"/>
          </w:tcPr>
          <w:p w14:paraId="7994F520" w14:textId="77777777" w:rsidR="00E860A5" w:rsidRPr="0039472D" w:rsidRDefault="00E860A5" w:rsidP="00A44AE9">
            <w:pPr>
              <w:widowControl w:val="0"/>
              <w:autoSpaceDE w:val="0"/>
              <w:autoSpaceDN w:val="0"/>
              <w:adjustRightInd w:val="0"/>
              <w:spacing w:before="60" w:after="60"/>
              <w:jc w:val="both"/>
              <w:rPr>
                <w:rFonts w:eastAsia="MS Mincho" w:cs="Arial"/>
                <w:b/>
                <w:bCs/>
              </w:rPr>
            </w:pPr>
            <w:r w:rsidRPr="0039472D">
              <w:rPr>
                <w:rFonts w:eastAsia="MS Mincho" w:cs="Arial"/>
                <w:b/>
                <w:bCs/>
              </w:rPr>
              <w:t xml:space="preserve">Time Horizon                       </w:t>
            </w:r>
          </w:p>
        </w:tc>
        <w:tc>
          <w:tcPr>
            <w:tcW w:w="6095" w:type="dxa"/>
          </w:tcPr>
          <w:p w14:paraId="628CD7FD" w14:textId="77777777" w:rsidR="00E860A5" w:rsidRPr="0039472D" w:rsidRDefault="00E860A5" w:rsidP="00A44AE9">
            <w:pPr>
              <w:widowControl w:val="0"/>
              <w:autoSpaceDE w:val="0"/>
              <w:autoSpaceDN w:val="0"/>
              <w:adjustRightInd w:val="0"/>
              <w:spacing w:before="60" w:after="60"/>
              <w:jc w:val="both"/>
              <w:rPr>
                <w:rFonts w:eastAsia="MS Mincho" w:cs="Arial"/>
                <w:b/>
                <w:bCs/>
              </w:rPr>
            </w:pPr>
            <w:r w:rsidRPr="0039472D">
              <w:rPr>
                <w:rFonts w:eastAsia="MS Mincho" w:cs="Arial"/>
                <w:b/>
                <w:bCs/>
              </w:rPr>
              <w:t xml:space="preserve">Model Coverage          </w:t>
            </w:r>
          </w:p>
        </w:tc>
      </w:tr>
      <w:tr w:rsidR="00E860A5" w:rsidRPr="00004E51" w14:paraId="7BCE2DC1" w14:textId="77777777" w:rsidTr="00A17FEE">
        <w:trPr>
          <w:trHeight w:val="506"/>
        </w:trPr>
        <w:tc>
          <w:tcPr>
            <w:tcW w:w="3114" w:type="dxa"/>
          </w:tcPr>
          <w:p w14:paraId="4EC18509" w14:textId="77777777" w:rsidR="00E860A5" w:rsidRPr="0039472D" w:rsidRDefault="00E860A5" w:rsidP="00A44AE9">
            <w:pPr>
              <w:widowControl w:val="0"/>
              <w:autoSpaceDE w:val="0"/>
              <w:autoSpaceDN w:val="0"/>
              <w:adjustRightInd w:val="0"/>
              <w:spacing w:before="60" w:after="60"/>
              <w:jc w:val="both"/>
              <w:rPr>
                <w:rFonts w:eastAsia="MS Mincho" w:cs="Arial"/>
              </w:rPr>
            </w:pPr>
            <w:r w:rsidRPr="0039472D">
              <w:rPr>
                <w:rFonts w:eastAsia="MS Mincho" w:cs="Arial"/>
              </w:rPr>
              <w:t xml:space="preserve">2025–2040  </w:t>
            </w:r>
          </w:p>
        </w:tc>
        <w:tc>
          <w:tcPr>
            <w:tcW w:w="6095" w:type="dxa"/>
          </w:tcPr>
          <w:p w14:paraId="711989F3" w14:textId="77777777" w:rsidR="00E860A5" w:rsidRPr="0039472D" w:rsidRDefault="00E860A5" w:rsidP="00A44AE9">
            <w:pPr>
              <w:widowControl w:val="0"/>
              <w:autoSpaceDE w:val="0"/>
              <w:autoSpaceDN w:val="0"/>
              <w:adjustRightInd w:val="0"/>
              <w:spacing w:before="60" w:after="60"/>
              <w:jc w:val="both"/>
              <w:rPr>
                <w:rFonts w:eastAsia="MS Mincho" w:cs="Arial"/>
              </w:rPr>
            </w:pPr>
            <w:r w:rsidRPr="0039472D">
              <w:rPr>
                <w:rFonts w:eastAsia="MS Mincho" w:cs="Arial"/>
              </w:rPr>
              <w:t>Near-term projections</w:t>
            </w:r>
          </w:p>
        </w:tc>
      </w:tr>
      <w:tr w:rsidR="00E860A5" w:rsidRPr="00004E51" w14:paraId="70D4EC35" w14:textId="77777777" w:rsidTr="00A17FEE">
        <w:trPr>
          <w:trHeight w:val="506"/>
        </w:trPr>
        <w:tc>
          <w:tcPr>
            <w:tcW w:w="3114" w:type="dxa"/>
          </w:tcPr>
          <w:p w14:paraId="2FBE3655" w14:textId="77777777" w:rsidR="00E860A5" w:rsidRPr="0039472D" w:rsidRDefault="00E860A5" w:rsidP="00A44AE9">
            <w:pPr>
              <w:widowControl w:val="0"/>
              <w:autoSpaceDE w:val="0"/>
              <w:autoSpaceDN w:val="0"/>
              <w:adjustRightInd w:val="0"/>
              <w:spacing w:before="60" w:after="60"/>
              <w:jc w:val="both"/>
              <w:rPr>
                <w:rFonts w:eastAsia="MS Mincho" w:cs="Arial"/>
              </w:rPr>
            </w:pPr>
            <w:r w:rsidRPr="0039472D">
              <w:rPr>
                <w:rFonts w:eastAsia="MS Mincho" w:cs="Arial"/>
              </w:rPr>
              <w:t xml:space="preserve">2041–2060  </w:t>
            </w:r>
          </w:p>
        </w:tc>
        <w:tc>
          <w:tcPr>
            <w:tcW w:w="6095" w:type="dxa"/>
          </w:tcPr>
          <w:p w14:paraId="2F37200A" w14:textId="77777777" w:rsidR="00E860A5" w:rsidRPr="0039472D" w:rsidRDefault="00E860A5" w:rsidP="00A44AE9">
            <w:pPr>
              <w:widowControl w:val="0"/>
              <w:autoSpaceDE w:val="0"/>
              <w:autoSpaceDN w:val="0"/>
              <w:adjustRightInd w:val="0"/>
              <w:spacing w:before="60" w:after="60"/>
              <w:jc w:val="both"/>
              <w:rPr>
                <w:rFonts w:eastAsia="MS Mincho" w:cs="Arial"/>
              </w:rPr>
            </w:pPr>
            <w:r w:rsidRPr="0039472D">
              <w:rPr>
                <w:rFonts w:eastAsia="MS Mincho" w:cs="Arial"/>
              </w:rPr>
              <w:t>Mid-century projections</w:t>
            </w:r>
          </w:p>
        </w:tc>
      </w:tr>
      <w:tr w:rsidR="00E860A5" w:rsidRPr="00004E51" w14:paraId="70370EF1" w14:textId="77777777" w:rsidTr="00A17FEE">
        <w:trPr>
          <w:trHeight w:val="506"/>
        </w:trPr>
        <w:tc>
          <w:tcPr>
            <w:tcW w:w="3114" w:type="dxa"/>
          </w:tcPr>
          <w:p w14:paraId="33769F85" w14:textId="77777777" w:rsidR="00E860A5" w:rsidRPr="0039472D" w:rsidRDefault="00E860A5" w:rsidP="00A44AE9">
            <w:pPr>
              <w:widowControl w:val="0"/>
              <w:autoSpaceDE w:val="0"/>
              <w:autoSpaceDN w:val="0"/>
              <w:adjustRightInd w:val="0"/>
              <w:spacing w:before="60" w:after="60"/>
              <w:jc w:val="both"/>
              <w:rPr>
                <w:rFonts w:eastAsia="MS Mincho" w:cs="Arial"/>
              </w:rPr>
            </w:pPr>
            <w:r w:rsidRPr="0039472D">
              <w:rPr>
                <w:rFonts w:eastAsia="MS Mincho" w:cs="Arial"/>
              </w:rPr>
              <w:t xml:space="preserve">2061–2100  </w:t>
            </w:r>
          </w:p>
        </w:tc>
        <w:tc>
          <w:tcPr>
            <w:tcW w:w="6095" w:type="dxa"/>
          </w:tcPr>
          <w:p w14:paraId="68D28B4E" w14:textId="77777777" w:rsidR="00E860A5" w:rsidRPr="0039472D" w:rsidRDefault="00E860A5" w:rsidP="00A44AE9">
            <w:pPr>
              <w:widowControl w:val="0"/>
              <w:autoSpaceDE w:val="0"/>
              <w:autoSpaceDN w:val="0"/>
              <w:adjustRightInd w:val="0"/>
              <w:spacing w:before="60" w:after="60"/>
              <w:jc w:val="both"/>
              <w:rPr>
                <w:rFonts w:eastAsia="MS Mincho" w:cs="Arial"/>
              </w:rPr>
            </w:pPr>
            <w:r w:rsidRPr="0039472D">
              <w:rPr>
                <w:rFonts w:eastAsia="MS Mincho" w:cs="Arial"/>
              </w:rPr>
              <w:t>Long-term projections</w:t>
            </w:r>
          </w:p>
        </w:tc>
      </w:tr>
    </w:tbl>
    <w:p w14:paraId="0B452B11" w14:textId="77777777" w:rsidR="00E860A5" w:rsidRPr="00004E51" w:rsidRDefault="00E860A5" w:rsidP="00A44AE9">
      <w:pPr>
        <w:widowControl w:val="0"/>
        <w:autoSpaceDE w:val="0"/>
        <w:autoSpaceDN w:val="0"/>
        <w:adjustRightInd w:val="0"/>
        <w:spacing w:after="0" w:line="240" w:lineRule="auto"/>
        <w:jc w:val="both"/>
        <w:rPr>
          <w:rFonts w:eastAsia="MS Mincho" w:cs="Arial"/>
          <w:u w:val="single"/>
        </w:rPr>
      </w:pPr>
    </w:p>
    <w:p w14:paraId="7791D3DC" w14:textId="77777777" w:rsidR="00E860A5" w:rsidRPr="0039472D" w:rsidRDefault="00E860A5" w:rsidP="00A44AE9">
      <w:pPr>
        <w:widowControl w:val="0"/>
        <w:autoSpaceDE w:val="0"/>
        <w:autoSpaceDN w:val="0"/>
        <w:adjustRightInd w:val="0"/>
        <w:spacing w:after="0" w:line="240" w:lineRule="auto"/>
        <w:jc w:val="both"/>
        <w:rPr>
          <w:rFonts w:eastAsia="MS Mincho" w:cs="Arial"/>
          <w:b/>
          <w:bCs/>
        </w:rPr>
      </w:pPr>
      <w:r w:rsidRPr="0039472D">
        <w:rPr>
          <w:rFonts w:eastAsia="MS Mincho" w:cs="Arial"/>
          <w:b/>
          <w:bCs/>
        </w:rPr>
        <w:t>Scales of action: population, sub-population and species-level planning</w:t>
      </w:r>
    </w:p>
    <w:p w14:paraId="307990F7" w14:textId="77777777" w:rsidR="00E860A5" w:rsidRPr="0039472D" w:rsidRDefault="00E860A5" w:rsidP="00A44AE9">
      <w:pPr>
        <w:widowControl w:val="0"/>
        <w:autoSpaceDE w:val="0"/>
        <w:autoSpaceDN w:val="0"/>
        <w:adjustRightInd w:val="0"/>
        <w:spacing w:after="0" w:line="240" w:lineRule="auto"/>
        <w:jc w:val="both"/>
        <w:rPr>
          <w:rFonts w:eastAsia="MS Mincho" w:cs="Arial"/>
        </w:rPr>
      </w:pPr>
    </w:p>
    <w:p w14:paraId="42BB18E4" w14:textId="77777777" w:rsidR="00E860A5" w:rsidRPr="0039472D" w:rsidRDefault="00E860A5" w:rsidP="00A44AE9">
      <w:pPr>
        <w:widowControl w:val="0"/>
        <w:autoSpaceDE w:val="0"/>
        <w:autoSpaceDN w:val="0"/>
        <w:adjustRightInd w:val="0"/>
        <w:spacing w:after="80" w:line="240" w:lineRule="auto"/>
        <w:jc w:val="both"/>
        <w:rPr>
          <w:rFonts w:eastAsia="MS Mincho" w:cs="Arial"/>
        </w:rPr>
      </w:pPr>
      <w:r w:rsidRPr="0039472D">
        <w:rPr>
          <w:rFonts w:eastAsia="MS Mincho" w:cs="Arial"/>
        </w:rPr>
        <w:t>Climate change does not affect all populations within a species uniformly; local conditions, adaptive capacity and exposure vary widely across a species’ range. As such, conservation and management actions should be considered at multiple biological scales:</w:t>
      </w:r>
    </w:p>
    <w:p w14:paraId="6173F4AF" w14:textId="77777777" w:rsidR="00E860A5" w:rsidRPr="0039472D" w:rsidRDefault="00E860A5" w:rsidP="00A44AE9">
      <w:pPr>
        <w:widowControl w:val="0"/>
        <w:autoSpaceDE w:val="0"/>
        <w:autoSpaceDN w:val="0"/>
        <w:adjustRightInd w:val="0"/>
        <w:spacing w:after="80" w:line="240" w:lineRule="auto"/>
        <w:ind w:left="397"/>
        <w:jc w:val="both"/>
        <w:rPr>
          <w:rFonts w:eastAsia="MS Mincho" w:cs="Arial"/>
        </w:rPr>
      </w:pPr>
      <w:r w:rsidRPr="0039472D">
        <w:rPr>
          <w:rFonts w:eastAsia="MS Mincho" w:cs="Arial"/>
          <w:i/>
          <w:iCs/>
        </w:rPr>
        <w:t>Species level:</w:t>
      </w:r>
      <w:r w:rsidRPr="0039472D">
        <w:rPr>
          <w:rFonts w:eastAsia="MS Mincho" w:cs="Arial"/>
        </w:rPr>
        <w:t xml:space="preserve"> When climate threats or range shifts affect the entire species distribution or when actions (e.g., large-scale translocation or habitat corridor development) are required to ensure overall persistence.</w:t>
      </w:r>
    </w:p>
    <w:p w14:paraId="70520F0C" w14:textId="77777777" w:rsidR="00E860A5" w:rsidRPr="0039472D" w:rsidRDefault="00E860A5" w:rsidP="00A44AE9">
      <w:pPr>
        <w:widowControl w:val="0"/>
        <w:autoSpaceDE w:val="0"/>
        <w:autoSpaceDN w:val="0"/>
        <w:adjustRightInd w:val="0"/>
        <w:spacing w:after="80" w:line="240" w:lineRule="auto"/>
        <w:ind w:left="397"/>
        <w:jc w:val="both"/>
        <w:rPr>
          <w:rFonts w:eastAsia="MS Mincho" w:cs="Arial"/>
        </w:rPr>
      </w:pPr>
      <w:r w:rsidRPr="0039472D">
        <w:rPr>
          <w:rFonts w:eastAsia="MS Mincho" w:cs="Arial"/>
          <w:i/>
          <w:iCs/>
        </w:rPr>
        <w:t>Population level:</w:t>
      </w:r>
      <w:r w:rsidRPr="0039472D">
        <w:rPr>
          <w:rFonts w:eastAsia="MS Mincho" w:cs="Arial"/>
        </w:rPr>
        <w:t xml:space="preserve"> When distinct, geographically separated populations face different climate exposures, making them unequally vulnerable to range shifts, habitat loss or genetic bottlenecks.</w:t>
      </w:r>
    </w:p>
    <w:p w14:paraId="179BF107" w14:textId="77777777" w:rsidR="00E860A5" w:rsidRPr="0039472D" w:rsidRDefault="00E860A5" w:rsidP="00A44AE9">
      <w:pPr>
        <w:widowControl w:val="0"/>
        <w:autoSpaceDE w:val="0"/>
        <w:autoSpaceDN w:val="0"/>
        <w:adjustRightInd w:val="0"/>
        <w:spacing w:after="0" w:line="240" w:lineRule="auto"/>
        <w:ind w:left="397"/>
        <w:jc w:val="both"/>
        <w:rPr>
          <w:rFonts w:eastAsia="MS Mincho" w:cs="Arial"/>
        </w:rPr>
      </w:pPr>
      <w:r w:rsidRPr="0039472D">
        <w:rPr>
          <w:rFonts w:eastAsia="MS Mincho" w:cs="Arial"/>
          <w:i/>
          <w:iCs/>
        </w:rPr>
        <w:t>Sub-population level:</w:t>
      </w:r>
      <w:r w:rsidRPr="0039472D">
        <w:rPr>
          <w:rFonts w:eastAsia="MS Mincho" w:cs="Arial"/>
        </w:rPr>
        <w:t xml:space="preserve"> When local adaptations, </w:t>
      </w:r>
      <w:proofErr w:type="spellStart"/>
      <w:r w:rsidRPr="0039472D">
        <w:rPr>
          <w:rFonts w:eastAsia="MS Mincho" w:cs="Arial"/>
        </w:rPr>
        <w:t>behaviours</w:t>
      </w:r>
      <w:proofErr w:type="spellEnd"/>
      <w:r w:rsidRPr="0039472D">
        <w:rPr>
          <w:rFonts w:eastAsia="MS Mincho" w:cs="Arial"/>
        </w:rPr>
        <w:t xml:space="preserve"> (e.g., nesting sites, breeding grounds) or ecological conditions demand site-specific strategies.</w:t>
      </w:r>
    </w:p>
    <w:p w14:paraId="547A4959" w14:textId="77777777" w:rsidR="00E860A5" w:rsidRPr="0039472D" w:rsidRDefault="00E860A5" w:rsidP="00A44AE9">
      <w:pPr>
        <w:widowControl w:val="0"/>
        <w:autoSpaceDE w:val="0"/>
        <w:autoSpaceDN w:val="0"/>
        <w:adjustRightInd w:val="0"/>
        <w:spacing w:after="0" w:line="240" w:lineRule="auto"/>
        <w:jc w:val="both"/>
        <w:rPr>
          <w:rFonts w:eastAsia="MS Mincho" w:cs="Arial"/>
        </w:rPr>
      </w:pPr>
    </w:p>
    <w:p w14:paraId="725CB0D3" w14:textId="77777777" w:rsidR="00E860A5" w:rsidRPr="0039472D" w:rsidRDefault="00E860A5" w:rsidP="00A44AE9">
      <w:pPr>
        <w:widowControl w:val="0"/>
        <w:autoSpaceDE w:val="0"/>
        <w:autoSpaceDN w:val="0"/>
        <w:adjustRightInd w:val="0"/>
        <w:spacing w:after="0" w:line="240" w:lineRule="auto"/>
        <w:jc w:val="both"/>
        <w:rPr>
          <w:rFonts w:eastAsia="MS Mincho" w:cs="Arial"/>
        </w:rPr>
      </w:pPr>
      <w:r w:rsidRPr="0039472D">
        <w:rPr>
          <w:rFonts w:eastAsia="MS Mincho" w:cs="Arial"/>
        </w:rPr>
        <w:t>Managers must evaluate the appropriate scale for action based on ecological distinctiveness, connectivity, demographic trends and conservation value. For example, a sub-population in a climate refuge may require habitat protection, while a more exposed population may warrant assisted migration or genetic support. Multi-scale planning allows for targeted action where it is most needed, while also supporting overall species resilience.</w:t>
      </w:r>
    </w:p>
    <w:p w14:paraId="68F87228" w14:textId="77777777" w:rsidR="00E860A5" w:rsidRPr="0039472D" w:rsidRDefault="00E860A5" w:rsidP="00A44AE9">
      <w:pPr>
        <w:widowControl w:val="0"/>
        <w:autoSpaceDE w:val="0"/>
        <w:autoSpaceDN w:val="0"/>
        <w:adjustRightInd w:val="0"/>
        <w:spacing w:after="0" w:line="240" w:lineRule="auto"/>
        <w:jc w:val="both"/>
        <w:rPr>
          <w:rFonts w:eastAsia="MS Mincho" w:cs="Arial"/>
        </w:rPr>
      </w:pPr>
    </w:p>
    <w:p w14:paraId="1E404AC4" w14:textId="77777777" w:rsidR="00E860A5" w:rsidRPr="0039472D" w:rsidRDefault="00E860A5" w:rsidP="00A44AE9">
      <w:pPr>
        <w:widowControl w:val="0"/>
        <w:autoSpaceDE w:val="0"/>
        <w:autoSpaceDN w:val="0"/>
        <w:adjustRightInd w:val="0"/>
        <w:spacing w:after="80" w:line="240" w:lineRule="auto"/>
        <w:jc w:val="both"/>
        <w:rPr>
          <w:rFonts w:eastAsia="MS Mincho" w:cs="Arial"/>
        </w:rPr>
      </w:pPr>
      <w:r w:rsidRPr="0039472D">
        <w:rPr>
          <w:rFonts w:eastAsia="MS Mincho" w:cs="Arial"/>
        </w:rPr>
        <w:t xml:space="preserve">In practice, this means that decision frameworks should include criteria </w:t>
      </w:r>
      <w:proofErr w:type="gramStart"/>
      <w:r w:rsidRPr="0039472D">
        <w:rPr>
          <w:rFonts w:eastAsia="MS Mincho" w:cs="Arial"/>
        </w:rPr>
        <w:t>to</w:t>
      </w:r>
      <w:proofErr w:type="gramEnd"/>
      <w:r w:rsidRPr="0039472D">
        <w:rPr>
          <w:rFonts w:eastAsia="MS Mincho" w:cs="Arial"/>
        </w:rPr>
        <w:t>:</w:t>
      </w:r>
    </w:p>
    <w:p w14:paraId="25F82038" w14:textId="77777777" w:rsidR="00E860A5" w:rsidRPr="0039472D" w:rsidRDefault="00E860A5" w:rsidP="00A44AE9">
      <w:pPr>
        <w:pStyle w:val="ListParagraph"/>
        <w:widowControl w:val="0"/>
        <w:numPr>
          <w:ilvl w:val="0"/>
          <w:numId w:val="17"/>
        </w:numPr>
        <w:autoSpaceDE w:val="0"/>
        <w:autoSpaceDN w:val="0"/>
        <w:adjustRightInd w:val="0"/>
        <w:spacing w:after="80" w:line="240" w:lineRule="auto"/>
        <w:contextualSpacing w:val="0"/>
        <w:jc w:val="both"/>
        <w:rPr>
          <w:rFonts w:eastAsia="MS Mincho" w:cs="Arial"/>
        </w:rPr>
      </w:pPr>
      <w:r w:rsidRPr="0039472D">
        <w:rPr>
          <w:rFonts w:eastAsia="MS Mincho" w:cs="Arial"/>
        </w:rPr>
        <w:t>Assess whether range shifts affect the entire species or only specific populations</w:t>
      </w:r>
    </w:p>
    <w:p w14:paraId="3AF8D62B" w14:textId="77777777" w:rsidR="00E860A5" w:rsidRPr="0039472D" w:rsidRDefault="00E860A5" w:rsidP="00A44AE9">
      <w:pPr>
        <w:pStyle w:val="ListParagraph"/>
        <w:widowControl w:val="0"/>
        <w:numPr>
          <w:ilvl w:val="0"/>
          <w:numId w:val="17"/>
        </w:numPr>
        <w:autoSpaceDE w:val="0"/>
        <w:autoSpaceDN w:val="0"/>
        <w:adjustRightInd w:val="0"/>
        <w:spacing w:after="80" w:line="240" w:lineRule="auto"/>
        <w:contextualSpacing w:val="0"/>
        <w:jc w:val="both"/>
        <w:rPr>
          <w:rFonts w:eastAsia="MS Mincho" w:cs="Arial"/>
        </w:rPr>
      </w:pPr>
      <w:r w:rsidRPr="0039472D">
        <w:rPr>
          <w:rFonts w:eastAsia="MS Mincho" w:cs="Arial"/>
        </w:rPr>
        <w:t>Determine the feasibility and ecological justification for intervening at smaller scales</w:t>
      </w:r>
    </w:p>
    <w:p w14:paraId="773CF095" w14:textId="77777777" w:rsidR="00E860A5" w:rsidRPr="0039472D" w:rsidRDefault="00E860A5" w:rsidP="00A44AE9">
      <w:pPr>
        <w:pStyle w:val="ListParagraph"/>
        <w:widowControl w:val="0"/>
        <w:numPr>
          <w:ilvl w:val="0"/>
          <w:numId w:val="17"/>
        </w:numPr>
        <w:autoSpaceDE w:val="0"/>
        <w:autoSpaceDN w:val="0"/>
        <w:adjustRightInd w:val="0"/>
        <w:spacing w:after="0" w:line="240" w:lineRule="auto"/>
        <w:jc w:val="both"/>
        <w:rPr>
          <w:rFonts w:eastAsia="MS Mincho" w:cs="Arial"/>
        </w:rPr>
      </w:pPr>
      <w:r w:rsidRPr="0039472D">
        <w:rPr>
          <w:rFonts w:eastAsia="MS Mincho" w:cs="Arial"/>
        </w:rPr>
        <w:t>Evaluate how local actions contribute to or potentially conflict with broader species conservation goals</w:t>
      </w:r>
    </w:p>
    <w:p w14:paraId="77E67079" w14:textId="5579EF0A" w:rsidR="002D6062" w:rsidRDefault="002D6062" w:rsidP="00A44AE9">
      <w:pPr>
        <w:pStyle w:val="ListParagraph"/>
        <w:widowControl w:val="0"/>
        <w:autoSpaceDE w:val="0"/>
        <w:autoSpaceDN w:val="0"/>
        <w:adjustRightInd w:val="0"/>
        <w:spacing w:after="0" w:line="240" w:lineRule="auto"/>
        <w:rPr>
          <w:rFonts w:eastAsia="MS Mincho" w:cs="Arial"/>
        </w:rPr>
      </w:pPr>
      <w:r>
        <w:rPr>
          <w:rFonts w:eastAsia="MS Mincho" w:cs="Arial"/>
        </w:rPr>
        <w:br w:type="page"/>
      </w:r>
    </w:p>
    <w:p w14:paraId="5E75C4F8" w14:textId="77777777" w:rsidR="00E860A5" w:rsidRPr="0039472D" w:rsidRDefault="00E860A5" w:rsidP="00A44AE9">
      <w:pPr>
        <w:widowControl w:val="0"/>
        <w:autoSpaceDE w:val="0"/>
        <w:autoSpaceDN w:val="0"/>
        <w:adjustRightInd w:val="0"/>
        <w:spacing w:after="0" w:line="240" w:lineRule="auto"/>
        <w:rPr>
          <w:rFonts w:eastAsia="MS Mincho" w:cs="Arial"/>
          <w:b/>
          <w:bCs/>
        </w:rPr>
      </w:pPr>
      <w:r w:rsidRPr="0039472D">
        <w:rPr>
          <w:rFonts w:eastAsia="MS Mincho" w:cs="Arial"/>
          <w:b/>
          <w:bCs/>
        </w:rPr>
        <w:lastRenderedPageBreak/>
        <w:t>5. Core conditions</w:t>
      </w:r>
    </w:p>
    <w:p w14:paraId="67125767" w14:textId="77777777" w:rsidR="00E860A5" w:rsidRPr="0039472D" w:rsidRDefault="00E860A5" w:rsidP="00A44AE9">
      <w:pPr>
        <w:widowControl w:val="0"/>
        <w:autoSpaceDE w:val="0"/>
        <w:autoSpaceDN w:val="0"/>
        <w:adjustRightInd w:val="0"/>
        <w:spacing w:after="0" w:line="240" w:lineRule="auto"/>
        <w:rPr>
          <w:rFonts w:eastAsia="MS Mincho" w:cs="Arial"/>
        </w:rPr>
      </w:pPr>
    </w:p>
    <w:p w14:paraId="45AFE72E" w14:textId="77777777" w:rsidR="00E860A5" w:rsidRPr="0039472D" w:rsidRDefault="00E860A5" w:rsidP="00A44AE9">
      <w:pPr>
        <w:widowControl w:val="0"/>
        <w:autoSpaceDE w:val="0"/>
        <w:autoSpaceDN w:val="0"/>
        <w:adjustRightInd w:val="0"/>
        <w:spacing w:after="0" w:line="240" w:lineRule="auto"/>
        <w:rPr>
          <w:rFonts w:eastAsia="MS Mincho" w:cs="Arial"/>
          <w:b/>
          <w:bCs/>
        </w:rPr>
      </w:pPr>
      <w:r w:rsidRPr="0039472D">
        <w:rPr>
          <w:rFonts w:eastAsia="MS Mincho" w:cs="Arial"/>
          <w:b/>
          <w:bCs/>
        </w:rPr>
        <w:t>i. Conservation</w:t>
      </w:r>
    </w:p>
    <w:p w14:paraId="0844A49C" w14:textId="77777777" w:rsidR="00E860A5" w:rsidRPr="0039472D" w:rsidRDefault="00E860A5" w:rsidP="00A44AE9">
      <w:pPr>
        <w:widowControl w:val="0"/>
        <w:autoSpaceDE w:val="0"/>
        <w:autoSpaceDN w:val="0"/>
        <w:adjustRightInd w:val="0"/>
        <w:spacing w:after="0" w:line="240" w:lineRule="auto"/>
        <w:rPr>
          <w:rFonts w:eastAsia="MS Mincho" w:cs="Arial"/>
          <w:b/>
          <w:bCs/>
        </w:rPr>
      </w:pPr>
    </w:p>
    <w:p w14:paraId="4C6BA06E" w14:textId="77777777" w:rsidR="00E860A5" w:rsidRPr="0039472D" w:rsidRDefault="00E860A5" w:rsidP="00A44AE9">
      <w:pPr>
        <w:pStyle w:val="ListParagraph"/>
        <w:widowControl w:val="0"/>
        <w:numPr>
          <w:ilvl w:val="0"/>
          <w:numId w:val="18"/>
        </w:numPr>
        <w:autoSpaceDE w:val="0"/>
        <w:autoSpaceDN w:val="0"/>
        <w:adjustRightInd w:val="0"/>
        <w:spacing w:after="80" w:line="240" w:lineRule="auto"/>
        <w:contextualSpacing w:val="0"/>
        <w:jc w:val="both"/>
        <w:rPr>
          <w:rFonts w:eastAsia="MS Mincho" w:cs="Arial"/>
        </w:rPr>
      </w:pPr>
      <w:r w:rsidRPr="0039472D">
        <w:rPr>
          <w:rFonts w:eastAsia="MS Mincho" w:cs="Arial"/>
        </w:rPr>
        <w:t>Suitable habitat lies within a region that is projected to remain or become climatically suitable for the species (or population), or can be managed to retain suitability under future climate scenarios</w:t>
      </w:r>
    </w:p>
    <w:p w14:paraId="57F678CC" w14:textId="77777777" w:rsidR="00E860A5" w:rsidRPr="0039472D" w:rsidRDefault="00E860A5" w:rsidP="00A44AE9">
      <w:pPr>
        <w:pStyle w:val="ListParagraph"/>
        <w:widowControl w:val="0"/>
        <w:numPr>
          <w:ilvl w:val="0"/>
          <w:numId w:val="18"/>
        </w:numPr>
        <w:autoSpaceDE w:val="0"/>
        <w:autoSpaceDN w:val="0"/>
        <w:adjustRightInd w:val="0"/>
        <w:spacing w:after="80" w:line="240" w:lineRule="auto"/>
        <w:contextualSpacing w:val="0"/>
        <w:jc w:val="both"/>
        <w:rPr>
          <w:rFonts w:eastAsia="MS Mincho" w:cs="Arial"/>
        </w:rPr>
      </w:pPr>
      <w:r w:rsidRPr="0039472D">
        <w:rPr>
          <w:rFonts w:eastAsia="MS Mincho" w:cs="Arial"/>
        </w:rPr>
        <w:t>Viable wild populations still exist</w:t>
      </w:r>
    </w:p>
    <w:p w14:paraId="258505F9" w14:textId="77777777" w:rsidR="00E860A5" w:rsidRPr="0039472D" w:rsidRDefault="00E860A5" w:rsidP="00A44AE9">
      <w:pPr>
        <w:pStyle w:val="ListParagraph"/>
        <w:widowControl w:val="0"/>
        <w:numPr>
          <w:ilvl w:val="0"/>
          <w:numId w:val="18"/>
        </w:numPr>
        <w:autoSpaceDE w:val="0"/>
        <w:autoSpaceDN w:val="0"/>
        <w:adjustRightInd w:val="0"/>
        <w:spacing w:after="80" w:line="240" w:lineRule="auto"/>
        <w:contextualSpacing w:val="0"/>
        <w:jc w:val="both"/>
        <w:rPr>
          <w:rFonts w:eastAsia="MS Mincho" w:cs="Arial"/>
        </w:rPr>
      </w:pPr>
      <w:r w:rsidRPr="0039472D">
        <w:rPr>
          <w:rFonts w:eastAsia="MS Mincho" w:cs="Arial"/>
        </w:rPr>
        <w:t xml:space="preserve">Species </w:t>
      </w:r>
      <w:proofErr w:type="gramStart"/>
      <w:r w:rsidRPr="0039472D">
        <w:rPr>
          <w:rFonts w:eastAsia="MS Mincho" w:cs="Arial"/>
        </w:rPr>
        <w:t>is</w:t>
      </w:r>
      <w:proofErr w:type="gramEnd"/>
      <w:r w:rsidRPr="0039472D">
        <w:rPr>
          <w:rFonts w:eastAsia="MS Mincho" w:cs="Arial"/>
        </w:rPr>
        <w:t xml:space="preserve"> still occupying critical parts of its natural range</w:t>
      </w:r>
    </w:p>
    <w:p w14:paraId="7B42EF74" w14:textId="77777777" w:rsidR="00E860A5" w:rsidRPr="0039472D" w:rsidRDefault="00E860A5" w:rsidP="00A44AE9">
      <w:pPr>
        <w:pStyle w:val="ListParagraph"/>
        <w:widowControl w:val="0"/>
        <w:numPr>
          <w:ilvl w:val="0"/>
          <w:numId w:val="18"/>
        </w:numPr>
        <w:autoSpaceDE w:val="0"/>
        <w:autoSpaceDN w:val="0"/>
        <w:adjustRightInd w:val="0"/>
        <w:spacing w:after="80" w:line="240" w:lineRule="auto"/>
        <w:contextualSpacing w:val="0"/>
        <w:jc w:val="both"/>
        <w:rPr>
          <w:rFonts w:eastAsia="MS Mincho" w:cs="Arial"/>
        </w:rPr>
      </w:pPr>
      <w:r w:rsidRPr="0039472D">
        <w:rPr>
          <w:rFonts w:eastAsia="MS Mincho" w:cs="Arial"/>
        </w:rPr>
        <w:t xml:space="preserve">Breeding and migratory </w:t>
      </w:r>
      <w:proofErr w:type="spellStart"/>
      <w:r w:rsidRPr="0039472D">
        <w:rPr>
          <w:rFonts w:eastAsia="MS Mincho" w:cs="Arial"/>
        </w:rPr>
        <w:t>behaviour</w:t>
      </w:r>
      <w:proofErr w:type="spellEnd"/>
      <w:r w:rsidRPr="0039472D">
        <w:rPr>
          <w:rFonts w:eastAsia="MS Mincho" w:cs="Arial"/>
        </w:rPr>
        <w:t xml:space="preserve"> remain functional</w:t>
      </w:r>
    </w:p>
    <w:p w14:paraId="51E938B7" w14:textId="77777777" w:rsidR="00E860A5" w:rsidRPr="0039472D" w:rsidRDefault="00E860A5" w:rsidP="00A44AE9">
      <w:pPr>
        <w:pStyle w:val="ListParagraph"/>
        <w:widowControl w:val="0"/>
        <w:numPr>
          <w:ilvl w:val="0"/>
          <w:numId w:val="18"/>
        </w:numPr>
        <w:autoSpaceDE w:val="0"/>
        <w:autoSpaceDN w:val="0"/>
        <w:adjustRightInd w:val="0"/>
        <w:spacing w:after="80" w:line="240" w:lineRule="auto"/>
        <w:contextualSpacing w:val="0"/>
        <w:jc w:val="both"/>
        <w:rPr>
          <w:rFonts w:eastAsia="MS Mincho" w:cs="Arial"/>
        </w:rPr>
      </w:pPr>
      <w:r w:rsidRPr="0039472D">
        <w:rPr>
          <w:rFonts w:eastAsia="MS Mincho" w:cs="Arial"/>
        </w:rPr>
        <w:t>Threats (e.g. bycatch, pollution, habitat loss) are ongoing but manageable or abatable</w:t>
      </w:r>
    </w:p>
    <w:p w14:paraId="7B319CD1" w14:textId="77777777" w:rsidR="00E860A5" w:rsidRPr="0039472D" w:rsidRDefault="00E860A5" w:rsidP="00A44AE9">
      <w:pPr>
        <w:pStyle w:val="ListParagraph"/>
        <w:widowControl w:val="0"/>
        <w:numPr>
          <w:ilvl w:val="0"/>
          <w:numId w:val="18"/>
        </w:numPr>
        <w:autoSpaceDE w:val="0"/>
        <w:autoSpaceDN w:val="0"/>
        <w:adjustRightInd w:val="0"/>
        <w:spacing w:after="80" w:line="240" w:lineRule="auto"/>
        <w:contextualSpacing w:val="0"/>
        <w:jc w:val="both"/>
        <w:rPr>
          <w:rFonts w:eastAsia="MS Mincho" w:cs="Arial"/>
        </w:rPr>
      </w:pPr>
      <w:r w:rsidRPr="0039472D">
        <w:rPr>
          <w:rFonts w:eastAsia="MS Mincho" w:cs="Arial"/>
        </w:rPr>
        <w:t>Critical habitats (breeding, feeding, stopover sites) are still intact or partially degraded</w:t>
      </w:r>
    </w:p>
    <w:p w14:paraId="395A040C" w14:textId="77777777" w:rsidR="00E860A5" w:rsidRPr="0039472D" w:rsidRDefault="00E860A5" w:rsidP="00A44AE9">
      <w:pPr>
        <w:pStyle w:val="ListParagraph"/>
        <w:widowControl w:val="0"/>
        <w:numPr>
          <w:ilvl w:val="0"/>
          <w:numId w:val="18"/>
        </w:numPr>
        <w:autoSpaceDE w:val="0"/>
        <w:autoSpaceDN w:val="0"/>
        <w:adjustRightInd w:val="0"/>
        <w:spacing w:after="80" w:line="240" w:lineRule="auto"/>
        <w:contextualSpacing w:val="0"/>
        <w:jc w:val="both"/>
        <w:rPr>
          <w:rFonts w:eastAsia="MS Mincho" w:cs="Arial"/>
        </w:rPr>
      </w:pPr>
      <w:r w:rsidRPr="0039472D">
        <w:rPr>
          <w:rFonts w:eastAsia="MS Mincho" w:cs="Arial"/>
        </w:rPr>
        <w:t>Genetic diversity is sufficient to support natural reproduction</w:t>
      </w:r>
    </w:p>
    <w:p w14:paraId="4D5A1F98" w14:textId="77777777" w:rsidR="00E860A5" w:rsidRPr="0039472D" w:rsidRDefault="00E860A5" w:rsidP="00A44AE9">
      <w:pPr>
        <w:pStyle w:val="ListParagraph"/>
        <w:widowControl w:val="0"/>
        <w:numPr>
          <w:ilvl w:val="0"/>
          <w:numId w:val="18"/>
        </w:numPr>
        <w:autoSpaceDE w:val="0"/>
        <w:autoSpaceDN w:val="0"/>
        <w:adjustRightInd w:val="0"/>
        <w:spacing w:after="0" w:line="240" w:lineRule="auto"/>
        <w:jc w:val="both"/>
        <w:rPr>
          <w:rFonts w:eastAsia="MS Mincho" w:cs="Arial"/>
        </w:rPr>
      </w:pPr>
      <w:r w:rsidRPr="0039472D">
        <w:rPr>
          <w:rFonts w:eastAsia="MS Mincho" w:cs="Arial"/>
        </w:rPr>
        <w:t>There are no natural or human-made barriers preventing access to suitable habitat, or if such barriers exist, they can be removed in a logistically and cost-effective manner</w:t>
      </w:r>
    </w:p>
    <w:p w14:paraId="157ADEE4" w14:textId="77777777" w:rsidR="00E860A5" w:rsidRPr="0039472D" w:rsidRDefault="00E860A5" w:rsidP="00A44AE9">
      <w:pPr>
        <w:widowControl w:val="0"/>
        <w:autoSpaceDE w:val="0"/>
        <w:autoSpaceDN w:val="0"/>
        <w:adjustRightInd w:val="0"/>
        <w:spacing w:after="0" w:line="240" w:lineRule="auto"/>
        <w:rPr>
          <w:rFonts w:eastAsia="MS Mincho" w:cs="Arial"/>
        </w:rPr>
      </w:pPr>
    </w:p>
    <w:p w14:paraId="25C58E0C" w14:textId="77777777" w:rsidR="00E860A5" w:rsidRPr="0039472D" w:rsidRDefault="00E860A5" w:rsidP="00A44AE9">
      <w:pPr>
        <w:widowControl w:val="0"/>
        <w:autoSpaceDE w:val="0"/>
        <w:autoSpaceDN w:val="0"/>
        <w:adjustRightInd w:val="0"/>
        <w:spacing w:after="0" w:line="240" w:lineRule="auto"/>
        <w:rPr>
          <w:rFonts w:eastAsia="MS Mincho" w:cs="Arial"/>
          <w:b/>
          <w:bCs/>
        </w:rPr>
      </w:pPr>
      <w:r w:rsidRPr="0039472D">
        <w:rPr>
          <w:rFonts w:eastAsia="MS Mincho" w:cs="Arial"/>
          <w:b/>
          <w:bCs/>
        </w:rPr>
        <w:t>ii. Restoration</w:t>
      </w:r>
    </w:p>
    <w:p w14:paraId="26E72533" w14:textId="77777777" w:rsidR="00E860A5" w:rsidRPr="0039472D" w:rsidRDefault="00E860A5" w:rsidP="00A44AE9">
      <w:pPr>
        <w:widowControl w:val="0"/>
        <w:autoSpaceDE w:val="0"/>
        <w:autoSpaceDN w:val="0"/>
        <w:adjustRightInd w:val="0"/>
        <w:spacing w:after="0" w:line="240" w:lineRule="auto"/>
        <w:rPr>
          <w:rFonts w:eastAsia="MS Mincho" w:cs="Arial"/>
          <w:b/>
          <w:bCs/>
        </w:rPr>
      </w:pPr>
    </w:p>
    <w:p w14:paraId="0C8AC9E8" w14:textId="77777777" w:rsidR="00E860A5" w:rsidRPr="0039472D" w:rsidRDefault="00E860A5" w:rsidP="00A44AE9">
      <w:pPr>
        <w:pStyle w:val="ListParagraph"/>
        <w:widowControl w:val="0"/>
        <w:numPr>
          <w:ilvl w:val="0"/>
          <w:numId w:val="19"/>
        </w:numPr>
        <w:autoSpaceDE w:val="0"/>
        <w:autoSpaceDN w:val="0"/>
        <w:adjustRightInd w:val="0"/>
        <w:spacing w:after="80" w:line="240" w:lineRule="auto"/>
        <w:contextualSpacing w:val="0"/>
        <w:jc w:val="both"/>
        <w:rPr>
          <w:rFonts w:eastAsia="MS Mincho" w:cs="Arial"/>
        </w:rPr>
      </w:pPr>
      <w:r w:rsidRPr="0039472D">
        <w:rPr>
          <w:rFonts w:eastAsia="MS Mincho" w:cs="Arial"/>
        </w:rPr>
        <w:t>Suitable habitat lies within a region that is projected to remain or become climatically suitable for the species (or population), or can be managed/restored to retain suitability under future climate scenarios</w:t>
      </w:r>
    </w:p>
    <w:p w14:paraId="43707B7C" w14:textId="77777777" w:rsidR="00E860A5" w:rsidRPr="0039472D" w:rsidRDefault="00E860A5" w:rsidP="00A44AE9">
      <w:pPr>
        <w:pStyle w:val="ListParagraph"/>
        <w:widowControl w:val="0"/>
        <w:numPr>
          <w:ilvl w:val="0"/>
          <w:numId w:val="19"/>
        </w:numPr>
        <w:autoSpaceDE w:val="0"/>
        <w:autoSpaceDN w:val="0"/>
        <w:adjustRightInd w:val="0"/>
        <w:spacing w:after="80" w:line="240" w:lineRule="auto"/>
        <w:contextualSpacing w:val="0"/>
        <w:jc w:val="both"/>
        <w:rPr>
          <w:rFonts w:eastAsia="MS Mincho" w:cs="Arial"/>
        </w:rPr>
      </w:pPr>
      <w:r w:rsidRPr="0039472D">
        <w:rPr>
          <w:rFonts w:eastAsia="MS Mincho" w:cs="Arial"/>
        </w:rPr>
        <w:t xml:space="preserve">The current or projected habitat conditions are degraded or unsuitable for sustaining the target species </w:t>
      </w:r>
      <w:proofErr w:type="gramStart"/>
      <w:r w:rsidRPr="0039472D">
        <w:rPr>
          <w:rFonts w:eastAsia="MS Mincho" w:cs="Arial"/>
        </w:rPr>
        <w:t>or</w:t>
      </w:r>
      <w:proofErr w:type="gramEnd"/>
      <w:r w:rsidRPr="0039472D">
        <w:rPr>
          <w:rFonts w:eastAsia="MS Mincho" w:cs="Arial"/>
        </w:rPr>
        <w:t xml:space="preserve"> population</w:t>
      </w:r>
    </w:p>
    <w:p w14:paraId="4D3E1259" w14:textId="77777777" w:rsidR="00E860A5" w:rsidRPr="0039472D" w:rsidRDefault="00E860A5" w:rsidP="00A44AE9">
      <w:pPr>
        <w:pStyle w:val="ListParagraph"/>
        <w:widowControl w:val="0"/>
        <w:numPr>
          <w:ilvl w:val="0"/>
          <w:numId w:val="19"/>
        </w:numPr>
        <w:autoSpaceDE w:val="0"/>
        <w:autoSpaceDN w:val="0"/>
        <w:adjustRightInd w:val="0"/>
        <w:spacing w:after="80" w:line="240" w:lineRule="auto"/>
        <w:contextualSpacing w:val="0"/>
        <w:jc w:val="both"/>
        <w:rPr>
          <w:rFonts w:eastAsia="MS Mincho" w:cs="Arial"/>
        </w:rPr>
      </w:pPr>
      <w:r w:rsidRPr="0039472D">
        <w:rPr>
          <w:rFonts w:eastAsia="MS Mincho" w:cs="Arial"/>
        </w:rPr>
        <w:t>Habitat degradation is reversible (e.g. through reef recovery, wetland rewetting) and manageable long-term</w:t>
      </w:r>
    </w:p>
    <w:p w14:paraId="6152B30D" w14:textId="77777777" w:rsidR="00E860A5" w:rsidRPr="0039472D" w:rsidRDefault="00E860A5" w:rsidP="00A44AE9">
      <w:pPr>
        <w:pStyle w:val="ListParagraph"/>
        <w:widowControl w:val="0"/>
        <w:numPr>
          <w:ilvl w:val="0"/>
          <w:numId w:val="19"/>
        </w:numPr>
        <w:autoSpaceDE w:val="0"/>
        <w:autoSpaceDN w:val="0"/>
        <w:adjustRightInd w:val="0"/>
        <w:spacing w:after="80" w:line="240" w:lineRule="auto"/>
        <w:contextualSpacing w:val="0"/>
        <w:jc w:val="both"/>
        <w:rPr>
          <w:rFonts w:eastAsia="MS Mincho" w:cs="Arial"/>
        </w:rPr>
      </w:pPr>
      <w:r w:rsidRPr="0039472D">
        <w:rPr>
          <w:rFonts w:eastAsia="MS Mincho" w:cs="Arial"/>
        </w:rPr>
        <w:t>Environmental conditions (e.g., water quality, vegetation) and ecological interactions (e.g., prey availability) can be restored to a functional state</w:t>
      </w:r>
    </w:p>
    <w:p w14:paraId="3CABE7F1" w14:textId="77777777" w:rsidR="00E860A5" w:rsidRPr="0039472D" w:rsidRDefault="00E860A5" w:rsidP="00A44AE9">
      <w:pPr>
        <w:pStyle w:val="ListParagraph"/>
        <w:widowControl w:val="0"/>
        <w:numPr>
          <w:ilvl w:val="0"/>
          <w:numId w:val="19"/>
        </w:numPr>
        <w:autoSpaceDE w:val="0"/>
        <w:autoSpaceDN w:val="0"/>
        <w:adjustRightInd w:val="0"/>
        <w:spacing w:after="80" w:line="240" w:lineRule="auto"/>
        <w:contextualSpacing w:val="0"/>
        <w:jc w:val="both"/>
        <w:rPr>
          <w:rFonts w:eastAsia="MS Mincho" w:cs="Arial"/>
        </w:rPr>
      </w:pPr>
      <w:r w:rsidRPr="0039472D">
        <w:rPr>
          <w:rFonts w:eastAsia="MS Mincho" w:cs="Arial"/>
        </w:rPr>
        <w:t>Sufficient source populations exist for natural or assisted [re]colonization</w:t>
      </w:r>
    </w:p>
    <w:p w14:paraId="29EDE9CF" w14:textId="77777777" w:rsidR="00E860A5" w:rsidRPr="0039472D" w:rsidRDefault="00E860A5" w:rsidP="00A44AE9">
      <w:pPr>
        <w:pStyle w:val="ListParagraph"/>
        <w:widowControl w:val="0"/>
        <w:numPr>
          <w:ilvl w:val="0"/>
          <w:numId w:val="19"/>
        </w:numPr>
        <w:autoSpaceDE w:val="0"/>
        <w:autoSpaceDN w:val="0"/>
        <w:adjustRightInd w:val="0"/>
        <w:spacing w:after="0" w:line="240" w:lineRule="auto"/>
        <w:jc w:val="both"/>
        <w:rPr>
          <w:rFonts w:eastAsia="MS Mincho" w:cs="Arial"/>
        </w:rPr>
      </w:pPr>
      <w:r w:rsidRPr="0039472D">
        <w:rPr>
          <w:rFonts w:eastAsia="MS Mincho" w:cs="Arial"/>
        </w:rPr>
        <w:t>Restoration will not result in harmful ecological imbalances (e.g., trophic cascades, disease transmission)</w:t>
      </w:r>
    </w:p>
    <w:p w14:paraId="272F7B33" w14:textId="77777777" w:rsidR="00E860A5" w:rsidRPr="0039472D" w:rsidRDefault="00E860A5" w:rsidP="00A44AE9">
      <w:pPr>
        <w:widowControl w:val="0"/>
        <w:autoSpaceDE w:val="0"/>
        <w:autoSpaceDN w:val="0"/>
        <w:adjustRightInd w:val="0"/>
        <w:spacing w:after="0" w:line="240" w:lineRule="auto"/>
        <w:rPr>
          <w:rFonts w:eastAsia="MS Mincho" w:cs="Arial"/>
        </w:rPr>
      </w:pPr>
    </w:p>
    <w:p w14:paraId="63961490" w14:textId="77777777" w:rsidR="00E860A5" w:rsidRPr="0039472D" w:rsidRDefault="00E860A5" w:rsidP="00A44AE9">
      <w:pPr>
        <w:widowControl w:val="0"/>
        <w:autoSpaceDE w:val="0"/>
        <w:autoSpaceDN w:val="0"/>
        <w:adjustRightInd w:val="0"/>
        <w:spacing w:after="0" w:line="240" w:lineRule="auto"/>
        <w:rPr>
          <w:rFonts w:eastAsia="MS Mincho" w:cs="Arial"/>
          <w:b/>
          <w:bCs/>
        </w:rPr>
      </w:pPr>
      <w:r w:rsidRPr="0039472D">
        <w:rPr>
          <w:rFonts w:eastAsia="MS Mincho" w:cs="Arial"/>
          <w:b/>
          <w:bCs/>
        </w:rPr>
        <w:t>iii. Adaptation</w:t>
      </w:r>
    </w:p>
    <w:p w14:paraId="0F9FCBA1" w14:textId="77777777" w:rsidR="00E860A5" w:rsidRPr="0039472D" w:rsidRDefault="00E860A5" w:rsidP="00A44AE9">
      <w:pPr>
        <w:widowControl w:val="0"/>
        <w:autoSpaceDE w:val="0"/>
        <w:autoSpaceDN w:val="0"/>
        <w:adjustRightInd w:val="0"/>
        <w:spacing w:after="0" w:line="240" w:lineRule="auto"/>
        <w:rPr>
          <w:rFonts w:eastAsia="MS Mincho" w:cs="Arial"/>
          <w:b/>
          <w:bCs/>
        </w:rPr>
      </w:pPr>
    </w:p>
    <w:p w14:paraId="0053A7E0" w14:textId="77777777" w:rsidR="00E860A5" w:rsidRPr="0039472D" w:rsidRDefault="00E860A5" w:rsidP="00A44AE9">
      <w:pPr>
        <w:pStyle w:val="ListParagraph"/>
        <w:widowControl w:val="0"/>
        <w:numPr>
          <w:ilvl w:val="0"/>
          <w:numId w:val="20"/>
        </w:numPr>
        <w:autoSpaceDE w:val="0"/>
        <w:autoSpaceDN w:val="0"/>
        <w:adjustRightInd w:val="0"/>
        <w:spacing w:after="80" w:line="240" w:lineRule="auto"/>
        <w:contextualSpacing w:val="0"/>
        <w:jc w:val="both"/>
        <w:rPr>
          <w:rFonts w:eastAsia="MS Mincho" w:cs="Arial"/>
        </w:rPr>
      </w:pPr>
      <w:r w:rsidRPr="0039472D">
        <w:rPr>
          <w:rFonts w:eastAsia="MS Mincho" w:cs="Arial"/>
        </w:rPr>
        <w:t>Suitable habitat within the species’ natural range is currently unavailable or too limited in extent or quality to support a viable population</w:t>
      </w:r>
    </w:p>
    <w:p w14:paraId="245BDB53" w14:textId="77777777" w:rsidR="00E860A5" w:rsidRPr="0039472D" w:rsidRDefault="00E860A5" w:rsidP="00A44AE9">
      <w:pPr>
        <w:pStyle w:val="ListParagraph"/>
        <w:widowControl w:val="0"/>
        <w:numPr>
          <w:ilvl w:val="0"/>
          <w:numId w:val="20"/>
        </w:numPr>
        <w:autoSpaceDE w:val="0"/>
        <w:autoSpaceDN w:val="0"/>
        <w:adjustRightInd w:val="0"/>
        <w:spacing w:after="80" w:line="240" w:lineRule="auto"/>
        <w:contextualSpacing w:val="0"/>
        <w:jc w:val="both"/>
        <w:rPr>
          <w:rFonts w:eastAsia="MS Mincho" w:cs="Arial"/>
        </w:rPr>
      </w:pPr>
      <w:r w:rsidRPr="0039472D">
        <w:rPr>
          <w:rFonts w:eastAsia="MS Mincho" w:cs="Arial"/>
        </w:rPr>
        <w:t>Suitable habitat conditions can be actively created or modified to support species persistence under current and/or projected climate scenarios</w:t>
      </w:r>
    </w:p>
    <w:p w14:paraId="72F9B34D" w14:textId="77777777" w:rsidR="00E860A5" w:rsidRPr="0039472D" w:rsidRDefault="00E860A5" w:rsidP="00A44AE9">
      <w:pPr>
        <w:pStyle w:val="ListParagraph"/>
        <w:widowControl w:val="0"/>
        <w:numPr>
          <w:ilvl w:val="0"/>
          <w:numId w:val="20"/>
        </w:numPr>
        <w:autoSpaceDE w:val="0"/>
        <w:autoSpaceDN w:val="0"/>
        <w:adjustRightInd w:val="0"/>
        <w:spacing w:after="0" w:line="240" w:lineRule="auto"/>
        <w:jc w:val="both"/>
        <w:rPr>
          <w:rFonts w:eastAsia="MS Mincho" w:cs="Arial"/>
        </w:rPr>
      </w:pPr>
      <w:r w:rsidRPr="0039472D">
        <w:rPr>
          <w:rFonts w:eastAsia="MS Mincho" w:cs="Arial"/>
        </w:rPr>
        <w:t>The actions required (e.g., water management, shading, erosion prevention) are logistically and financially feasible long-term</w:t>
      </w:r>
    </w:p>
    <w:p w14:paraId="70608961" w14:textId="77777777" w:rsidR="00E860A5" w:rsidRPr="0039472D" w:rsidRDefault="00E860A5" w:rsidP="00A44AE9">
      <w:pPr>
        <w:widowControl w:val="0"/>
        <w:autoSpaceDE w:val="0"/>
        <w:autoSpaceDN w:val="0"/>
        <w:adjustRightInd w:val="0"/>
        <w:spacing w:after="0" w:line="240" w:lineRule="auto"/>
        <w:rPr>
          <w:rFonts w:eastAsia="MS Mincho" w:cs="Arial"/>
        </w:rPr>
      </w:pPr>
    </w:p>
    <w:p w14:paraId="42834A8B" w14:textId="77777777" w:rsidR="00E860A5" w:rsidRPr="0039472D" w:rsidRDefault="00E860A5" w:rsidP="00A44AE9">
      <w:pPr>
        <w:widowControl w:val="0"/>
        <w:autoSpaceDE w:val="0"/>
        <w:autoSpaceDN w:val="0"/>
        <w:adjustRightInd w:val="0"/>
        <w:spacing w:after="0" w:line="240" w:lineRule="auto"/>
        <w:rPr>
          <w:rFonts w:eastAsia="MS Mincho" w:cs="Arial"/>
          <w:b/>
          <w:bCs/>
        </w:rPr>
      </w:pPr>
      <w:r w:rsidRPr="0039472D">
        <w:rPr>
          <w:rFonts w:eastAsia="MS Mincho" w:cs="Arial"/>
          <w:b/>
          <w:bCs/>
        </w:rPr>
        <w:t>iv. Translocation</w:t>
      </w:r>
    </w:p>
    <w:p w14:paraId="41CF9D86" w14:textId="77777777" w:rsidR="00E860A5" w:rsidRPr="0039472D" w:rsidRDefault="00E860A5" w:rsidP="00A44AE9">
      <w:pPr>
        <w:widowControl w:val="0"/>
        <w:autoSpaceDE w:val="0"/>
        <w:autoSpaceDN w:val="0"/>
        <w:adjustRightInd w:val="0"/>
        <w:spacing w:after="0" w:line="240" w:lineRule="auto"/>
        <w:rPr>
          <w:rFonts w:eastAsia="MS Mincho" w:cs="Arial"/>
        </w:rPr>
      </w:pPr>
    </w:p>
    <w:p w14:paraId="54DAEE27"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t xml:space="preserve">The habitat is climatically suitable at the time of translocation and projected to remain suitable for meeting the </w:t>
      </w:r>
      <w:proofErr w:type="spellStart"/>
      <w:r w:rsidRPr="0039472D">
        <w:rPr>
          <w:rFonts w:eastAsia="MS Mincho" w:cs="Arial"/>
        </w:rPr>
        <w:t>behavioural</w:t>
      </w:r>
      <w:proofErr w:type="spellEnd"/>
      <w:r w:rsidRPr="0039472D">
        <w:rPr>
          <w:rFonts w:eastAsia="MS Mincho" w:cs="Arial"/>
        </w:rPr>
        <w:t xml:space="preserve"> and environmental needs of the species (or population) across all life stages</w:t>
      </w:r>
    </w:p>
    <w:p w14:paraId="6DEF2B27"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t>Natural [re]colonization is not possible or too slow</w:t>
      </w:r>
    </w:p>
    <w:p w14:paraId="0B5760F8"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t>Threats (natural or human) at the release site are low or manageable</w:t>
      </w:r>
    </w:p>
    <w:p w14:paraId="322FCFDA"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t>Individuals can survive and reproduce at the new site without human intervention</w:t>
      </w:r>
    </w:p>
    <w:p w14:paraId="6F45BC27"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lastRenderedPageBreak/>
        <w:t>The species’ movement or habitat use is flexible enough to allow establishment</w:t>
      </w:r>
    </w:p>
    <w:p w14:paraId="61501BD4"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t>Risk of disease introduction at the candidate site is low</w:t>
      </w:r>
    </w:p>
    <w:p w14:paraId="59487100"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t>Risk of competition or predation on other at-risk species in the candidate site is low</w:t>
      </w:r>
    </w:p>
    <w:p w14:paraId="4B23F6CC"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t>Risk of hybridization with another species in the candidate site is low</w:t>
      </w:r>
    </w:p>
    <w:p w14:paraId="3DBFDC3B"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t>Donor populations are genetically diverse and can withstand removal of individuals</w:t>
      </w:r>
    </w:p>
    <w:p w14:paraId="0470A166"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proofErr w:type="gramStart"/>
      <w:r w:rsidRPr="0039472D">
        <w:rPr>
          <w:rFonts w:eastAsia="MS Mincho" w:cs="Arial"/>
        </w:rPr>
        <w:t>Monitoring of</w:t>
      </w:r>
      <w:proofErr w:type="gramEnd"/>
      <w:r w:rsidRPr="0039472D">
        <w:rPr>
          <w:rFonts w:eastAsia="MS Mincho" w:cs="Arial"/>
        </w:rPr>
        <w:t xml:space="preserve"> both the source and translocated populations is financially feasible. Required monitoring includes assessments of genetic fitness, reproductive success, survival rates, predator-prey interactions, habitat use, and overall population health</w:t>
      </w:r>
    </w:p>
    <w:p w14:paraId="6FEC70FC" w14:textId="77777777" w:rsidR="00E860A5" w:rsidRPr="0039472D" w:rsidRDefault="00E860A5" w:rsidP="00A44AE9">
      <w:pPr>
        <w:pStyle w:val="ListParagraph"/>
        <w:widowControl w:val="0"/>
        <w:numPr>
          <w:ilvl w:val="0"/>
          <w:numId w:val="21"/>
        </w:numPr>
        <w:autoSpaceDE w:val="0"/>
        <w:autoSpaceDN w:val="0"/>
        <w:adjustRightInd w:val="0"/>
        <w:spacing w:after="80" w:line="240" w:lineRule="auto"/>
        <w:contextualSpacing w:val="0"/>
        <w:jc w:val="both"/>
        <w:rPr>
          <w:rFonts w:eastAsia="MS Mincho" w:cs="Arial"/>
        </w:rPr>
      </w:pPr>
      <w:r w:rsidRPr="0039472D">
        <w:rPr>
          <w:rFonts w:eastAsia="MS Mincho" w:cs="Arial"/>
        </w:rPr>
        <w:t xml:space="preserve">It is logistically and financially feasible to move </w:t>
      </w:r>
      <w:proofErr w:type="gramStart"/>
      <w:r w:rsidRPr="0039472D">
        <w:rPr>
          <w:rFonts w:eastAsia="MS Mincho" w:cs="Arial"/>
        </w:rPr>
        <w:t>a sufficient number of</w:t>
      </w:r>
      <w:proofErr w:type="gramEnd"/>
      <w:r w:rsidRPr="0039472D">
        <w:rPr>
          <w:rFonts w:eastAsia="MS Mincho" w:cs="Arial"/>
        </w:rPr>
        <w:t xml:space="preserve"> individuals to establish a viable, self-sustaining population in the new habitat </w:t>
      </w:r>
    </w:p>
    <w:p w14:paraId="4A2777E0" w14:textId="3E077554" w:rsidR="005B5655" w:rsidRDefault="00E860A5" w:rsidP="00A44AE9">
      <w:pPr>
        <w:pStyle w:val="ListParagraph"/>
        <w:widowControl w:val="0"/>
        <w:numPr>
          <w:ilvl w:val="0"/>
          <w:numId w:val="21"/>
        </w:numPr>
        <w:autoSpaceDE w:val="0"/>
        <w:autoSpaceDN w:val="0"/>
        <w:adjustRightInd w:val="0"/>
        <w:spacing w:after="0" w:line="240" w:lineRule="auto"/>
        <w:jc w:val="both"/>
        <w:rPr>
          <w:rFonts w:eastAsia="MS Mincho" w:cs="Arial"/>
        </w:rPr>
      </w:pPr>
      <w:r w:rsidRPr="0039472D">
        <w:rPr>
          <w:rFonts w:eastAsia="MS Mincho" w:cs="Arial"/>
        </w:rPr>
        <w:t>There are no significant social or cultural barriers that would prevent or undermine the success of the translocation effort, and local communities and stakeholders are informed, engaged and supportive of the action</w:t>
      </w:r>
    </w:p>
    <w:p w14:paraId="2B5F78F0" w14:textId="77777777" w:rsidR="005B5655" w:rsidRDefault="005B5655" w:rsidP="00A44AE9">
      <w:pPr>
        <w:widowControl w:val="0"/>
        <w:autoSpaceDE w:val="0"/>
        <w:autoSpaceDN w:val="0"/>
        <w:adjustRightInd w:val="0"/>
        <w:spacing w:after="0" w:line="240" w:lineRule="auto"/>
        <w:jc w:val="both"/>
        <w:rPr>
          <w:rFonts w:eastAsia="MS Mincho" w:cs="Arial"/>
        </w:rPr>
      </w:pPr>
    </w:p>
    <w:p w14:paraId="05563920" w14:textId="77777777" w:rsidR="00E860A5" w:rsidRPr="000414D5" w:rsidRDefault="00E860A5" w:rsidP="00A44AE9">
      <w:pPr>
        <w:widowControl w:val="0"/>
        <w:autoSpaceDE w:val="0"/>
        <w:autoSpaceDN w:val="0"/>
        <w:adjustRightInd w:val="0"/>
        <w:spacing w:after="0" w:line="240" w:lineRule="auto"/>
        <w:rPr>
          <w:rFonts w:eastAsia="MS Mincho" w:cs="Arial"/>
        </w:rPr>
      </w:pPr>
    </w:p>
    <w:p w14:paraId="09D390DB" w14:textId="3F6582C1" w:rsidR="00FB5C7A" w:rsidRDefault="00E860A5" w:rsidP="00A44AE9">
      <w:pPr>
        <w:pStyle w:val="Secondnumbering"/>
        <w:numPr>
          <w:ilvl w:val="0"/>
          <w:numId w:val="0"/>
        </w:numPr>
        <w:jc w:val="both"/>
        <w:rPr>
          <w:rFonts w:eastAsia="MS Mincho" w:cs="Arial"/>
        </w:rPr>
      </w:pPr>
      <w:r w:rsidRPr="00004E51">
        <w:rPr>
          <w:rFonts w:eastAsia="MS Mincho" w:cs="Arial"/>
        </w:rPr>
        <w:t xml:space="preserve">At each stage of the decision process, other factors will have to be </w:t>
      </w:r>
      <w:proofErr w:type="gramStart"/>
      <w:r w:rsidRPr="00004E51">
        <w:rPr>
          <w:rFonts w:eastAsia="MS Mincho" w:cs="Arial"/>
        </w:rPr>
        <w:t>taken into account</w:t>
      </w:r>
      <w:proofErr w:type="gramEnd"/>
      <w:r w:rsidRPr="00004E51">
        <w:rPr>
          <w:rFonts w:eastAsia="MS Mincho" w:cs="Arial"/>
        </w:rPr>
        <w:t>, such as cost (Shoo, et al., 2013) and the potential risks and benefits incurred by other species that share the habitats in question. In particular, any attempt at translocation – either for assisted colonization or recolonization – should follow the International Union for Conservation of Nature (IUCN) Guidelines for Reintroduction and Other Conservation Translocations</w:t>
      </w:r>
      <w:r w:rsidR="00FB13A1">
        <w:rPr>
          <w:rFonts w:eastAsia="MS Mincho" w:cs="Arial"/>
        </w:rPr>
        <w:t>.</w:t>
      </w:r>
    </w:p>
    <w:p w14:paraId="60BF3707" w14:textId="77777777" w:rsidR="00FB13A1" w:rsidRDefault="00FB13A1" w:rsidP="00A44AE9">
      <w:pPr>
        <w:pStyle w:val="Secondnumbering"/>
        <w:numPr>
          <w:ilvl w:val="0"/>
          <w:numId w:val="0"/>
        </w:numPr>
        <w:jc w:val="both"/>
        <w:rPr>
          <w:rFonts w:eastAsia="MS Mincho" w:cs="Arial"/>
        </w:rPr>
      </w:pPr>
    </w:p>
    <w:p w14:paraId="40F22F59" w14:textId="77777777" w:rsidR="00FB13A1" w:rsidRDefault="00FB13A1" w:rsidP="00A44AE9">
      <w:pPr>
        <w:pStyle w:val="Secondnumbering"/>
        <w:numPr>
          <w:ilvl w:val="0"/>
          <w:numId w:val="0"/>
        </w:numPr>
        <w:jc w:val="both"/>
        <w:sectPr w:rsidR="00FB13A1" w:rsidSect="00D9362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pPr>
    </w:p>
    <w:p w14:paraId="2E16EF97" w14:textId="752566CE" w:rsidR="00FB13A1" w:rsidRDefault="001D489D" w:rsidP="00A44AE9">
      <w:pPr>
        <w:pStyle w:val="Secondnumbering"/>
        <w:numPr>
          <w:ilvl w:val="0"/>
          <w:numId w:val="0"/>
        </w:numPr>
        <w:jc w:val="both"/>
      </w:pPr>
      <w:r w:rsidRPr="004C142C">
        <w:rPr>
          <w:rFonts w:eastAsia="MS Mincho" w:cs="Arial"/>
          <w:noProof/>
        </w:rPr>
        <w:lastRenderedPageBreak/>
        <w:drawing>
          <wp:inline distT="0" distB="0" distL="0" distR="0" wp14:anchorId="36E5E5FF" wp14:editId="6DFD56D5">
            <wp:extent cx="8863330" cy="4445438"/>
            <wp:effectExtent l="0" t="0" r="0" b="0"/>
            <wp:docPr id="1839416889" name="Picture 1" descr="A diagram of a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16889" name="Picture 1" descr="A diagram of a flowchart"/>
                    <pic:cNvPicPr/>
                  </pic:nvPicPr>
                  <pic:blipFill>
                    <a:blip r:embed="rId17"/>
                    <a:stretch>
                      <a:fillRect/>
                    </a:stretch>
                  </pic:blipFill>
                  <pic:spPr>
                    <a:xfrm>
                      <a:off x="0" y="0"/>
                      <a:ext cx="8863330" cy="4445438"/>
                    </a:xfrm>
                    <a:prstGeom prst="rect">
                      <a:avLst/>
                    </a:prstGeom>
                  </pic:spPr>
                </pic:pic>
              </a:graphicData>
            </a:graphic>
          </wp:inline>
        </w:drawing>
      </w:r>
    </w:p>
    <w:p w14:paraId="18B4BB15" w14:textId="3F2CEC7C" w:rsidR="007B2DB7" w:rsidRPr="002F22C6" w:rsidRDefault="007B2DB7" w:rsidP="00A44AE9">
      <w:pPr>
        <w:pStyle w:val="Secondnumbering"/>
        <w:numPr>
          <w:ilvl w:val="0"/>
          <w:numId w:val="0"/>
        </w:numPr>
        <w:jc w:val="both"/>
        <w:rPr>
          <w:rFonts w:eastAsia="MS Mincho" w:cs="Arial"/>
          <w:sz w:val="20"/>
          <w:szCs w:val="20"/>
        </w:rPr>
        <w:sectPr w:rsidR="007B2DB7" w:rsidRPr="002F22C6" w:rsidSect="00635C66">
          <w:footerReference w:type="first" r:id="rId18"/>
          <w:pgSz w:w="16838" w:h="11906" w:orient="landscape" w:code="9"/>
          <w:pgMar w:top="1440" w:right="1440" w:bottom="1440" w:left="1440" w:header="720" w:footer="720" w:gutter="0"/>
          <w:cols w:space="720"/>
          <w:titlePg/>
          <w:docGrid w:linePitch="360"/>
        </w:sectPr>
      </w:pPr>
      <w:r w:rsidRPr="002F22C6">
        <w:rPr>
          <w:rFonts w:eastAsia="MS Mincho" w:cs="Arial"/>
          <w:sz w:val="20"/>
          <w:szCs w:val="20"/>
        </w:rPr>
        <w:t>Figure 1. A Decision Support Framework to guide actions in support of migratory</w:t>
      </w:r>
      <w:r w:rsidR="00031E7C" w:rsidRPr="002F22C6">
        <w:rPr>
          <w:rFonts w:eastAsia="MS Mincho" w:cs="Arial"/>
          <w:sz w:val="20"/>
          <w:szCs w:val="20"/>
        </w:rPr>
        <w:t xml:space="preserve"> </w:t>
      </w:r>
      <w:r w:rsidRPr="002F22C6">
        <w:rPr>
          <w:rFonts w:eastAsia="MS Mincho" w:cs="Arial"/>
          <w:sz w:val="20"/>
          <w:szCs w:val="20"/>
        </w:rPr>
        <w:t>species experiencing climate change–induced range shifts.  In all cases the climatic envelope in the medium term should be sufficient to sustain the habitat. Four criteria to be met if considering translocation to establish viable population:  a) Source population sufficiently large and genetically diverse and resilient to withstand donating individuals; b) Risks of unintended ecological consequences are low; c) Operations, including long-term ecological and genetic monitoring of translocated and source populations, are logistically and financially feasible and viable; d) Social and cultural barriers do not exist, and there is evidence of community support.</w:t>
      </w:r>
    </w:p>
    <w:p w14:paraId="6301C936" w14:textId="77777777" w:rsidR="00D4757B" w:rsidRPr="006C1BF0" w:rsidRDefault="00D4757B" w:rsidP="00A44AE9">
      <w:pPr>
        <w:widowControl w:val="0"/>
        <w:autoSpaceDE w:val="0"/>
        <w:autoSpaceDN w:val="0"/>
        <w:adjustRightInd w:val="0"/>
        <w:spacing w:after="0" w:line="240" w:lineRule="auto"/>
        <w:rPr>
          <w:rFonts w:eastAsia="MS Mincho" w:cs="Arial"/>
          <w:b/>
        </w:rPr>
      </w:pPr>
      <w:r w:rsidRPr="006C1BF0">
        <w:rPr>
          <w:rFonts w:eastAsia="MS Mincho" w:cs="Arial"/>
          <w:b/>
        </w:rPr>
        <w:lastRenderedPageBreak/>
        <w:t>References</w:t>
      </w:r>
    </w:p>
    <w:p w14:paraId="5691152D" w14:textId="77777777" w:rsidR="00D4757B" w:rsidRPr="006C1BF0" w:rsidRDefault="00D4757B" w:rsidP="00A44AE9">
      <w:pPr>
        <w:widowControl w:val="0"/>
        <w:autoSpaceDE w:val="0"/>
        <w:autoSpaceDN w:val="0"/>
        <w:adjustRightInd w:val="0"/>
        <w:spacing w:after="0" w:line="240" w:lineRule="auto"/>
        <w:rPr>
          <w:rFonts w:eastAsia="MS Mincho" w:cs="Arial"/>
        </w:rPr>
      </w:pPr>
    </w:p>
    <w:p w14:paraId="16E64328" w14:textId="77777777" w:rsidR="00D4757B" w:rsidRPr="00D4757B" w:rsidRDefault="00D4757B" w:rsidP="00A44AE9">
      <w:pPr>
        <w:widowControl w:val="0"/>
        <w:autoSpaceDE w:val="0"/>
        <w:autoSpaceDN w:val="0"/>
        <w:adjustRightInd w:val="0"/>
        <w:spacing w:after="80" w:line="240" w:lineRule="auto"/>
        <w:ind w:left="547" w:hanging="547"/>
        <w:jc w:val="both"/>
        <w:rPr>
          <w:rFonts w:eastAsia="MS Mincho" w:cs="Arial"/>
          <w:sz w:val="20"/>
          <w:szCs w:val="20"/>
        </w:rPr>
      </w:pPr>
      <w:r w:rsidRPr="00790FC3">
        <w:rPr>
          <w:rFonts w:eastAsia="MS Mincho" w:cs="Arial"/>
          <w:sz w:val="20"/>
          <w:szCs w:val="20"/>
        </w:rPr>
        <w:t xml:space="preserve">Krüger, L. et al., 2018. </w:t>
      </w:r>
      <w:r w:rsidRPr="00D4757B">
        <w:rPr>
          <w:rFonts w:eastAsia="MS Mincho" w:cs="Arial"/>
          <w:sz w:val="20"/>
          <w:szCs w:val="20"/>
        </w:rPr>
        <w:t xml:space="preserve">Projected distributions of Southern Ocean albatrosses, petrels and fisheries </w:t>
      </w:r>
      <w:proofErr w:type="gramStart"/>
      <w:r w:rsidRPr="00D4757B">
        <w:rPr>
          <w:rFonts w:eastAsia="MS Mincho" w:cs="Arial"/>
          <w:sz w:val="20"/>
          <w:szCs w:val="20"/>
        </w:rPr>
        <w:t>as a consequence of</w:t>
      </w:r>
      <w:proofErr w:type="gramEnd"/>
      <w:r w:rsidRPr="00D4757B">
        <w:rPr>
          <w:rFonts w:eastAsia="MS Mincho" w:cs="Arial"/>
          <w:sz w:val="20"/>
          <w:szCs w:val="20"/>
        </w:rPr>
        <w:t xml:space="preserve"> climatic change. </w:t>
      </w:r>
      <w:proofErr w:type="spellStart"/>
      <w:r w:rsidRPr="00D4757B">
        <w:rPr>
          <w:rFonts w:eastAsia="MS Mincho" w:cs="Arial"/>
          <w:sz w:val="20"/>
          <w:szCs w:val="20"/>
        </w:rPr>
        <w:t>Ecography</w:t>
      </w:r>
      <w:proofErr w:type="spellEnd"/>
      <w:r w:rsidRPr="00D4757B">
        <w:rPr>
          <w:rFonts w:eastAsia="MS Mincho" w:cs="Arial"/>
          <w:sz w:val="20"/>
          <w:szCs w:val="20"/>
        </w:rPr>
        <w:t>, 41(1), pp. 195-208.</w:t>
      </w:r>
    </w:p>
    <w:p w14:paraId="2E34E705" w14:textId="77777777" w:rsidR="00D4757B" w:rsidRPr="00D4757B" w:rsidRDefault="00D4757B" w:rsidP="00A44AE9">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Link, J. S., Huse, G., </w:t>
      </w:r>
      <w:proofErr w:type="spellStart"/>
      <w:r w:rsidRPr="00D4757B">
        <w:rPr>
          <w:rFonts w:eastAsia="MS Mincho" w:cs="Arial"/>
          <w:sz w:val="20"/>
          <w:szCs w:val="20"/>
        </w:rPr>
        <w:t>Gaichas</w:t>
      </w:r>
      <w:proofErr w:type="spellEnd"/>
      <w:r w:rsidRPr="00D4757B">
        <w:rPr>
          <w:rFonts w:eastAsia="MS Mincho" w:cs="Arial"/>
          <w:sz w:val="20"/>
          <w:szCs w:val="20"/>
        </w:rPr>
        <w:t xml:space="preserve">, S. &amp; Marshak, A. R., 2020. Changing how we approach fisheries: A first attempt at an operational framework for ecosystem </w:t>
      </w:r>
      <w:proofErr w:type="gramStart"/>
      <w:r w:rsidRPr="00D4757B">
        <w:rPr>
          <w:rFonts w:eastAsia="MS Mincho" w:cs="Arial"/>
          <w:sz w:val="20"/>
          <w:szCs w:val="20"/>
        </w:rPr>
        <w:t>approaches to</w:t>
      </w:r>
      <w:proofErr w:type="gramEnd"/>
      <w:r w:rsidRPr="00D4757B">
        <w:rPr>
          <w:rFonts w:eastAsia="MS Mincho" w:cs="Arial"/>
          <w:sz w:val="20"/>
          <w:szCs w:val="20"/>
        </w:rPr>
        <w:t xml:space="preserve"> fisheries management. Fish and Fisheries, 21(2), pp. 393-434.</w:t>
      </w:r>
    </w:p>
    <w:p w14:paraId="22DB32F7" w14:textId="077CFF63" w:rsidR="00D4757B" w:rsidRPr="00D4757B" w:rsidRDefault="00D4757B" w:rsidP="00A44AE9">
      <w:pPr>
        <w:widowControl w:val="0"/>
        <w:autoSpaceDE w:val="0"/>
        <w:autoSpaceDN w:val="0"/>
        <w:adjustRightInd w:val="0"/>
        <w:spacing w:after="80" w:line="240" w:lineRule="auto"/>
        <w:ind w:left="547" w:hanging="547"/>
        <w:jc w:val="both"/>
        <w:rPr>
          <w:rFonts w:eastAsia="MS Mincho" w:cs="Arial"/>
          <w:sz w:val="20"/>
          <w:szCs w:val="20"/>
        </w:rPr>
      </w:pPr>
      <w:r w:rsidRPr="00D4757B">
        <w:rPr>
          <w:rFonts w:eastAsia="MS Mincho" w:cs="Arial"/>
          <w:sz w:val="20"/>
          <w:szCs w:val="20"/>
        </w:rPr>
        <w:t xml:space="preserve">Newby, J. et al., 2016. Desert antelopes on the brink: how resilient is the Sahelo-Saharan </w:t>
      </w:r>
      <w:proofErr w:type="gramStart"/>
      <w:r w:rsidRPr="00D4757B">
        <w:rPr>
          <w:rFonts w:eastAsia="MS Mincho" w:cs="Arial"/>
          <w:sz w:val="20"/>
          <w:szCs w:val="20"/>
        </w:rPr>
        <w:t>ecosystem?.</w:t>
      </w:r>
      <w:proofErr w:type="gramEnd"/>
      <w:r w:rsidRPr="00D4757B">
        <w:rPr>
          <w:rFonts w:eastAsia="MS Mincho" w:cs="Arial"/>
          <w:sz w:val="20"/>
          <w:szCs w:val="20"/>
        </w:rPr>
        <w:t xml:space="preserve"> In: Antelope Conservation: From Diagnosis to Action.</w:t>
      </w:r>
      <w:r w:rsidR="00F90342">
        <w:rPr>
          <w:rFonts w:eastAsia="MS Mincho" w:cs="Arial"/>
          <w:sz w:val="20"/>
          <w:szCs w:val="20"/>
        </w:rPr>
        <w:t xml:space="preserve"> Chapter </w:t>
      </w:r>
      <w:proofErr w:type="gramStart"/>
      <w:r w:rsidR="00F90342">
        <w:rPr>
          <w:rFonts w:eastAsia="MS Mincho" w:cs="Arial"/>
          <w:sz w:val="20"/>
          <w:szCs w:val="20"/>
        </w:rPr>
        <w:t>13</w:t>
      </w:r>
      <w:r w:rsidRPr="00D4757B">
        <w:rPr>
          <w:rFonts w:eastAsia="MS Mincho" w:cs="Arial"/>
          <w:sz w:val="20"/>
          <w:szCs w:val="20"/>
        </w:rPr>
        <w:t xml:space="preserve"> :John</w:t>
      </w:r>
      <w:proofErr w:type="gramEnd"/>
      <w:r w:rsidRPr="00D4757B">
        <w:rPr>
          <w:rFonts w:eastAsia="MS Mincho" w:cs="Arial"/>
          <w:sz w:val="20"/>
          <w:szCs w:val="20"/>
        </w:rPr>
        <w:t xml:space="preserve"> Wiley &amp; Sons, pp. 253-279.</w:t>
      </w:r>
    </w:p>
    <w:p w14:paraId="5E7D7279" w14:textId="6CC69537" w:rsidR="00D4757B" w:rsidRPr="00662759" w:rsidRDefault="00D4757B" w:rsidP="00A44AE9">
      <w:pPr>
        <w:widowControl w:val="0"/>
        <w:autoSpaceDE w:val="0"/>
        <w:autoSpaceDN w:val="0"/>
        <w:adjustRightInd w:val="0"/>
        <w:spacing w:after="80" w:line="240" w:lineRule="auto"/>
        <w:ind w:left="547" w:hanging="547"/>
        <w:jc w:val="both"/>
        <w:rPr>
          <w:rFonts w:eastAsia="MS Mincho" w:cs="Arial"/>
          <w:sz w:val="20"/>
          <w:szCs w:val="20"/>
          <w:lang w:val="pt-PT"/>
        </w:rPr>
      </w:pPr>
      <w:r w:rsidRPr="00D4757B">
        <w:rPr>
          <w:rFonts w:eastAsia="MS Mincho" w:cs="Arial"/>
          <w:sz w:val="20"/>
          <w:szCs w:val="20"/>
        </w:rPr>
        <w:t xml:space="preserve">Reynolds, M. et al., 2015. Will the effects of sea-level rise create ecological traps for </w:t>
      </w:r>
      <w:proofErr w:type="gramStart"/>
      <w:r w:rsidRPr="00D4757B">
        <w:rPr>
          <w:rFonts w:eastAsia="MS Mincho" w:cs="Arial"/>
          <w:sz w:val="20"/>
          <w:szCs w:val="20"/>
        </w:rPr>
        <w:t>Pacific island</w:t>
      </w:r>
      <w:proofErr w:type="gramEnd"/>
      <w:r w:rsidRPr="00D4757B">
        <w:rPr>
          <w:rFonts w:eastAsia="MS Mincho" w:cs="Arial"/>
          <w:sz w:val="20"/>
          <w:szCs w:val="20"/>
        </w:rPr>
        <w:t xml:space="preserve"> </w:t>
      </w:r>
      <w:proofErr w:type="gramStart"/>
      <w:r w:rsidRPr="00D4757B">
        <w:rPr>
          <w:rFonts w:eastAsia="MS Mincho" w:cs="Arial"/>
          <w:sz w:val="20"/>
          <w:szCs w:val="20"/>
        </w:rPr>
        <w:t>seabirds?.</w:t>
      </w:r>
      <w:proofErr w:type="gramEnd"/>
      <w:r w:rsidRPr="00D4757B">
        <w:rPr>
          <w:rFonts w:eastAsia="MS Mincho" w:cs="Arial"/>
          <w:sz w:val="20"/>
          <w:szCs w:val="20"/>
        </w:rPr>
        <w:t xml:space="preserve"> </w:t>
      </w:r>
      <w:r w:rsidRPr="00662759">
        <w:rPr>
          <w:rFonts w:eastAsia="MS Mincho" w:cs="Arial"/>
          <w:sz w:val="20"/>
          <w:szCs w:val="20"/>
          <w:lang w:val="pt-PT"/>
        </w:rPr>
        <w:t>PLoS One, 10(9).</w:t>
      </w:r>
      <w:r w:rsidR="00F24089" w:rsidRPr="00662759">
        <w:rPr>
          <w:rFonts w:eastAsia="MS Mincho" w:cs="Arial"/>
          <w:sz w:val="20"/>
          <w:szCs w:val="20"/>
          <w:lang w:val="pt-PT"/>
        </w:rPr>
        <w:t xml:space="preserve"> e0136773. </w:t>
      </w:r>
      <w:hyperlink r:id="rId19" w:history="1">
        <w:r w:rsidR="00F24089" w:rsidRPr="00662759">
          <w:rPr>
            <w:rStyle w:val="Hyperlink"/>
            <w:rFonts w:eastAsia="MS Mincho" w:cs="Arial"/>
            <w:sz w:val="20"/>
            <w:szCs w:val="20"/>
            <w:lang w:val="pt-PT"/>
          </w:rPr>
          <w:t>https://doi.org/10.1371/journal.pone.0136773</w:t>
        </w:r>
      </w:hyperlink>
    </w:p>
    <w:p w14:paraId="6F089EB8" w14:textId="77777777" w:rsidR="00D4757B" w:rsidRPr="00D4757B" w:rsidRDefault="00D4757B" w:rsidP="00A44AE9">
      <w:pPr>
        <w:widowControl w:val="0"/>
        <w:autoSpaceDE w:val="0"/>
        <w:autoSpaceDN w:val="0"/>
        <w:adjustRightInd w:val="0"/>
        <w:spacing w:after="80" w:line="240" w:lineRule="auto"/>
        <w:ind w:left="547" w:hanging="547"/>
        <w:jc w:val="both"/>
        <w:rPr>
          <w:rFonts w:eastAsia="MS Mincho" w:cs="Arial"/>
          <w:sz w:val="20"/>
          <w:szCs w:val="20"/>
        </w:rPr>
      </w:pPr>
      <w:r w:rsidRPr="002D6062">
        <w:rPr>
          <w:rFonts w:eastAsia="MS Mincho" w:cs="Arial"/>
          <w:sz w:val="20"/>
          <w:szCs w:val="20"/>
          <w:lang w:val="pt-PT"/>
        </w:rPr>
        <w:t xml:space="preserve">Rinkevich, B., 2014. </w:t>
      </w:r>
      <w:r w:rsidRPr="00D4757B">
        <w:rPr>
          <w:rFonts w:eastAsia="MS Mincho" w:cs="Arial"/>
          <w:sz w:val="20"/>
          <w:szCs w:val="20"/>
        </w:rPr>
        <w:t xml:space="preserve">Rebuilding coral reefs: does active reef restoration lead to sustainable </w:t>
      </w:r>
      <w:proofErr w:type="gramStart"/>
      <w:r w:rsidRPr="00D4757B">
        <w:rPr>
          <w:rFonts w:eastAsia="MS Mincho" w:cs="Arial"/>
          <w:sz w:val="20"/>
          <w:szCs w:val="20"/>
        </w:rPr>
        <w:t>reefs?.</w:t>
      </w:r>
      <w:proofErr w:type="gramEnd"/>
      <w:r w:rsidRPr="00D4757B">
        <w:rPr>
          <w:rFonts w:eastAsia="MS Mincho" w:cs="Arial"/>
          <w:sz w:val="20"/>
          <w:szCs w:val="20"/>
        </w:rPr>
        <w:t xml:space="preserve"> Current Opinion in Environmental Sustainability, Volume 7, pp. 28-36.</w:t>
      </w:r>
    </w:p>
    <w:p w14:paraId="6B868D6A" w14:textId="77777777" w:rsidR="00D4757B" w:rsidRPr="00D4757B" w:rsidRDefault="00D4757B" w:rsidP="00A44AE9">
      <w:pPr>
        <w:widowControl w:val="0"/>
        <w:autoSpaceDE w:val="0"/>
        <w:autoSpaceDN w:val="0"/>
        <w:adjustRightInd w:val="0"/>
        <w:spacing w:after="80" w:line="240" w:lineRule="auto"/>
        <w:ind w:left="547" w:hanging="547"/>
        <w:jc w:val="both"/>
        <w:rPr>
          <w:rFonts w:eastAsia="MS Mincho" w:cs="Arial"/>
          <w:sz w:val="20"/>
          <w:szCs w:val="20"/>
        </w:rPr>
      </w:pPr>
      <w:r w:rsidRPr="007D5040">
        <w:rPr>
          <w:rFonts w:eastAsia="MS Mincho" w:cs="Arial"/>
          <w:sz w:val="20"/>
          <w:szCs w:val="20"/>
        </w:rPr>
        <w:t xml:space="preserve">Rushing, C. S., Rubenstein, M., Lyons, J. &amp; Runge, M. C., 2020. </w:t>
      </w:r>
      <w:r w:rsidRPr="00D4757B">
        <w:rPr>
          <w:rFonts w:eastAsia="MS Mincho" w:cs="Arial"/>
          <w:sz w:val="20"/>
          <w:szCs w:val="20"/>
        </w:rPr>
        <w:t>Using value of information to prioritize research needs for migratory bird management under climate change: a case study using federal land acquisition in the United States. Biological Reviews, 95(4), pp. 1109-1130.</w:t>
      </w:r>
    </w:p>
    <w:p w14:paraId="30BCABCC" w14:textId="77777777" w:rsidR="00D4757B" w:rsidRPr="00D4757B" w:rsidRDefault="00D4757B" w:rsidP="00A44AE9">
      <w:pPr>
        <w:widowControl w:val="0"/>
        <w:autoSpaceDE w:val="0"/>
        <w:autoSpaceDN w:val="0"/>
        <w:adjustRightInd w:val="0"/>
        <w:spacing w:after="80" w:line="240" w:lineRule="auto"/>
        <w:ind w:left="547" w:hanging="547"/>
        <w:jc w:val="both"/>
        <w:rPr>
          <w:rFonts w:eastAsia="MS Mincho" w:cs="Arial"/>
          <w:sz w:val="20"/>
          <w:szCs w:val="20"/>
        </w:rPr>
      </w:pPr>
      <w:r w:rsidRPr="007D5040">
        <w:rPr>
          <w:rFonts w:eastAsia="MS Mincho" w:cs="Arial"/>
          <w:sz w:val="20"/>
          <w:szCs w:val="20"/>
        </w:rPr>
        <w:t xml:space="preserve">Shoo, L. P. et al., 2013. </w:t>
      </w:r>
      <w:r w:rsidRPr="00D4757B">
        <w:rPr>
          <w:rFonts w:eastAsia="MS Mincho" w:cs="Arial"/>
          <w:sz w:val="20"/>
          <w:szCs w:val="20"/>
        </w:rPr>
        <w:t>Making decisions to conserve species under climate change. Climatic Change, 119(2), pp. 239-246.</w:t>
      </w:r>
    </w:p>
    <w:p w14:paraId="0F098027" w14:textId="1471F300" w:rsidR="00D4757B" w:rsidRPr="002D6062" w:rsidRDefault="00D4757B" w:rsidP="00A44AE9">
      <w:pPr>
        <w:widowControl w:val="0"/>
        <w:autoSpaceDE w:val="0"/>
        <w:autoSpaceDN w:val="0"/>
        <w:adjustRightInd w:val="0"/>
        <w:spacing w:after="80" w:line="240" w:lineRule="auto"/>
        <w:ind w:left="547" w:hanging="547"/>
        <w:jc w:val="both"/>
        <w:rPr>
          <w:rFonts w:eastAsia="MS Mincho" w:cs="Arial"/>
          <w:sz w:val="20"/>
          <w:szCs w:val="20"/>
          <w:lang w:val="en-GB"/>
        </w:rPr>
      </w:pPr>
      <w:r w:rsidRPr="00D4757B">
        <w:rPr>
          <w:rFonts w:eastAsia="MS Mincho" w:cs="Arial"/>
          <w:sz w:val="20"/>
          <w:szCs w:val="20"/>
        </w:rPr>
        <w:t xml:space="preserve">Wikramanayake, E. et al., 2020. A climate adaptation strategy for Mai Po Inner Deep Bay Ramsar site: Steppingstone to climate proofing the East-Asian-Australasian Flyway. </w:t>
      </w:r>
      <w:proofErr w:type="spellStart"/>
      <w:r w:rsidRPr="006C1BF0">
        <w:rPr>
          <w:rFonts w:eastAsia="MS Mincho" w:cs="Arial"/>
          <w:sz w:val="20"/>
          <w:szCs w:val="20"/>
          <w:lang w:val="fr-FR"/>
        </w:rPr>
        <w:t>Plos</w:t>
      </w:r>
      <w:proofErr w:type="spellEnd"/>
      <w:r w:rsidRPr="006C1BF0">
        <w:rPr>
          <w:rFonts w:eastAsia="MS Mincho" w:cs="Arial"/>
          <w:sz w:val="20"/>
          <w:szCs w:val="20"/>
          <w:lang w:val="fr-FR"/>
        </w:rPr>
        <w:t xml:space="preserve"> one, 15(10).</w:t>
      </w:r>
      <w:r w:rsidR="00153F75" w:rsidRPr="006C1BF0">
        <w:rPr>
          <w:rFonts w:eastAsia="MS Mincho" w:cs="Arial"/>
          <w:sz w:val="20"/>
          <w:szCs w:val="20"/>
          <w:lang w:val="fr-FR"/>
        </w:rPr>
        <w:t xml:space="preserve"> </w:t>
      </w:r>
      <w:r w:rsidR="00153F75" w:rsidRPr="00153F75">
        <w:rPr>
          <w:rFonts w:eastAsia="MS Mincho" w:cs="Arial"/>
          <w:sz w:val="20"/>
          <w:szCs w:val="20"/>
          <w:lang w:val="nl-NL"/>
        </w:rPr>
        <w:t xml:space="preserve">e0239945. </w:t>
      </w:r>
      <w:hyperlink r:id="rId20" w:history="1">
        <w:r w:rsidR="00153F75" w:rsidRPr="00153F75">
          <w:rPr>
            <w:rStyle w:val="Hyperlink"/>
            <w:rFonts w:eastAsia="MS Mincho" w:cs="Arial"/>
            <w:sz w:val="20"/>
            <w:szCs w:val="20"/>
            <w:lang w:val="nl-NL"/>
          </w:rPr>
          <w:t>https://doi.org/10.1371/journal.pone.0239945</w:t>
        </w:r>
      </w:hyperlink>
    </w:p>
    <w:p w14:paraId="47E01368" w14:textId="0471FD58" w:rsidR="0021280D" w:rsidRDefault="00D4757B" w:rsidP="00A44AE9">
      <w:pPr>
        <w:pStyle w:val="Secondnumbering"/>
        <w:numPr>
          <w:ilvl w:val="0"/>
          <w:numId w:val="0"/>
        </w:numPr>
        <w:ind w:left="540" w:hanging="540"/>
        <w:jc w:val="both"/>
        <w:rPr>
          <w:rFonts w:eastAsia="MS Mincho" w:cs="Arial"/>
          <w:sz w:val="20"/>
          <w:szCs w:val="20"/>
        </w:rPr>
      </w:pPr>
      <w:r w:rsidRPr="002D6062">
        <w:rPr>
          <w:rFonts w:eastAsia="MS Mincho" w:cs="Arial"/>
          <w:sz w:val="20"/>
          <w:szCs w:val="20"/>
        </w:rPr>
        <w:t xml:space="preserve">Xiao, H. et al., 2021. </w:t>
      </w:r>
      <w:r w:rsidRPr="00D4757B">
        <w:rPr>
          <w:rFonts w:eastAsia="MS Mincho" w:cs="Arial"/>
          <w:sz w:val="20"/>
          <w:szCs w:val="20"/>
        </w:rPr>
        <w:t>Conserving migratory species while safeguarding ecosystem services. Ecological Modelling, Volume 442, p. 109442</w:t>
      </w:r>
      <w:r>
        <w:rPr>
          <w:rFonts w:eastAsia="MS Mincho" w:cs="Arial"/>
          <w:sz w:val="20"/>
          <w:szCs w:val="20"/>
        </w:rPr>
        <w:t>.</w:t>
      </w:r>
    </w:p>
    <w:p w14:paraId="33520528" w14:textId="77777777" w:rsidR="00D4757B" w:rsidRDefault="00D4757B" w:rsidP="00A44AE9">
      <w:pPr>
        <w:pStyle w:val="Secondnumbering"/>
        <w:numPr>
          <w:ilvl w:val="0"/>
          <w:numId w:val="0"/>
        </w:numPr>
        <w:ind w:left="540" w:hanging="540"/>
        <w:jc w:val="both"/>
        <w:rPr>
          <w:rFonts w:eastAsia="MS Mincho" w:cs="Arial"/>
          <w:sz w:val="20"/>
          <w:szCs w:val="20"/>
        </w:rPr>
      </w:pPr>
    </w:p>
    <w:p w14:paraId="617F9FDD" w14:textId="77777777" w:rsidR="00D4757B" w:rsidRDefault="00D4757B" w:rsidP="00A44AE9">
      <w:pPr>
        <w:pStyle w:val="Secondnumbering"/>
        <w:numPr>
          <w:ilvl w:val="0"/>
          <w:numId w:val="0"/>
        </w:numPr>
        <w:ind w:left="540" w:hanging="540"/>
        <w:jc w:val="both"/>
        <w:rPr>
          <w:sz w:val="20"/>
          <w:szCs w:val="20"/>
        </w:rPr>
        <w:sectPr w:rsidR="00D4757B" w:rsidSect="007B2DB7">
          <w:headerReference w:type="first" r:id="rId21"/>
          <w:footerReference w:type="first" r:id="rId22"/>
          <w:pgSz w:w="11906" w:h="16838" w:code="9"/>
          <w:pgMar w:top="1440" w:right="1440" w:bottom="1440" w:left="1440" w:header="720" w:footer="720" w:gutter="0"/>
          <w:cols w:space="720"/>
          <w:titlePg/>
          <w:docGrid w:linePitch="360"/>
        </w:sectPr>
      </w:pPr>
    </w:p>
    <w:p w14:paraId="13497AD0" w14:textId="77777777" w:rsidR="00597084" w:rsidRDefault="00597084" w:rsidP="00597084">
      <w:pPr>
        <w:pStyle w:val="Title1"/>
      </w:pPr>
      <w:r w:rsidRPr="003A7CFE">
        <w:lastRenderedPageBreak/>
        <w:t>climate change and migratory species</w:t>
      </w:r>
    </w:p>
    <w:p w14:paraId="53BA5BEE" w14:textId="77777777" w:rsidR="00597084" w:rsidRDefault="00597084" w:rsidP="00A44AE9">
      <w:pPr>
        <w:spacing w:after="0" w:line="240" w:lineRule="auto"/>
        <w:jc w:val="center"/>
        <w:rPr>
          <w:rFonts w:cs="Arial"/>
        </w:rPr>
      </w:pPr>
    </w:p>
    <w:p w14:paraId="2988FCF2" w14:textId="67737773" w:rsidR="00283062" w:rsidRPr="00004E51" w:rsidRDefault="00283062" w:rsidP="00A44AE9">
      <w:pPr>
        <w:spacing w:after="0" w:line="240" w:lineRule="auto"/>
        <w:jc w:val="center"/>
        <w:rPr>
          <w:rFonts w:cs="Arial"/>
        </w:rPr>
      </w:pPr>
      <w:r w:rsidRPr="00004E51">
        <w:rPr>
          <w:rFonts w:cs="Arial"/>
        </w:rPr>
        <w:t>DRAFT DECISIONS</w:t>
      </w:r>
    </w:p>
    <w:p w14:paraId="075C9D78" w14:textId="77777777" w:rsidR="00283062" w:rsidRPr="00004E51" w:rsidRDefault="00283062" w:rsidP="00597084">
      <w:pPr>
        <w:spacing w:after="0" w:line="240" w:lineRule="auto"/>
        <w:rPr>
          <w:rFonts w:cs="Arial"/>
        </w:rPr>
      </w:pPr>
    </w:p>
    <w:p w14:paraId="38CAF31E" w14:textId="77777777" w:rsidR="00283062" w:rsidRPr="00AD4C23" w:rsidRDefault="00283062" w:rsidP="00A44AE9">
      <w:pPr>
        <w:spacing w:after="0" w:line="240" w:lineRule="auto"/>
        <w:jc w:val="both"/>
        <w:rPr>
          <w:rFonts w:cs="Arial"/>
          <w:i/>
          <w:color w:val="000000" w:themeColor="text1"/>
        </w:rPr>
      </w:pPr>
      <w:bookmarkStart w:id="0" w:name="_Hlk202866116"/>
    </w:p>
    <w:bookmarkEnd w:id="0"/>
    <w:p w14:paraId="5CDD93BF" w14:textId="77777777" w:rsidR="00283062" w:rsidRDefault="00283062" w:rsidP="00A44AE9">
      <w:pPr>
        <w:spacing w:after="0" w:line="240" w:lineRule="auto"/>
        <w:jc w:val="both"/>
        <w:rPr>
          <w:rFonts w:cs="Arial"/>
          <w:b/>
          <w:i/>
        </w:rPr>
      </w:pPr>
      <w:r w:rsidRPr="0083598C">
        <w:rPr>
          <w:rFonts w:cs="Arial"/>
          <w:b/>
          <w:i/>
        </w:rPr>
        <w:t xml:space="preserve">Directed to Parties </w:t>
      </w:r>
    </w:p>
    <w:p w14:paraId="3D03537E" w14:textId="77777777" w:rsidR="00B12BE9" w:rsidRPr="0083598C" w:rsidRDefault="00B12BE9" w:rsidP="00A44AE9">
      <w:pPr>
        <w:spacing w:after="0" w:line="240" w:lineRule="auto"/>
        <w:jc w:val="both"/>
        <w:rPr>
          <w:rFonts w:cs="Arial"/>
          <w:b/>
          <w:i/>
        </w:rPr>
      </w:pPr>
    </w:p>
    <w:p w14:paraId="2A1C4E95" w14:textId="47FB68F4" w:rsidR="000215F1" w:rsidRDefault="00283062" w:rsidP="00597084">
      <w:pPr>
        <w:spacing w:after="0" w:line="240" w:lineRule="auto"/>
        <w:ind w:left="851" w:hanging="851"/>
        <w:jc w:val="both"/>
        <w:rPr>
          <w:rFonts w:cs="Arial"/>
          <w:iCs/>
        </w:rPr>
      </w:pPr>
      <w:r w:rsidRPr="0083598C" w:rsidDel="0078537C">
        <w:rPr>
          <w:rFonts w:cs="Arial"/>
        </w:rPr>
        <w:t>15.AA</w:t>
      </w:r>
      <w:r w:rsidRPr="0083598C" w:rsidDel="0078537C">
        <w:rPr>
          <w:rFonts w:cs="Arial"/>
        </w:rPr>
        <w:tab/>
      </w:r>
      <w:r w:rsidRPr="0083598C" w:rsidDel="0078537C">
        <w:rPr>
          <w:rFonts w:cs="Arial"/>
          <w:iCs/>
        </w:rPr>
        <w:t>Parties are requested to</w:t>
      </w:r>
      <w:r w:rsidR="0045531C">
        <w:rPr>
          <w:rFonts w:cs="Arial"/>
          <w:iCs/>
        </w:rPr>
        <w:t>:</w:t>
      </w:r>
    </w:p>
    <w:p w14:paraId="7D5EDDD7" w14:textId="77777777" w:rsidR="000B2B0A" w:rsidRPr="000215F1" w:rsidRDefault="000B2B0A" w:rsidP="00A44AE9">
      <w:pPr>
        <w:spacing w:after="0" w:line="240" w:lineRule="auto"/>
        <w:jc w:val="both"/>
        <w:rPr>
          <w:rFonts w:cs="Arial"/>
          <w:iCs/>
        </w:rPr>
      </w:pPr>
    </w:p>
    <w:p w14:paraId="51C652C3" w14:textId="4544CCF2" w:rsidR="00283062" w:rsidRDefault="007B638B" w:rsidP="00597084">
      <w:pPr>
        <w:pStyle w:val="ListParagraph"/>
        <w:spacing w:after="0" w:line="240" w:lineRule="auto"/>
        <w:ind w:left="1418" w:hanging="567"/>
        <w:jc w:val="both"/>
        <w:rPr>
          <w:rFonts w:cs="Arial"/>
          <w:iCs/>
        </w:rPr>
      </w:pPr>
      <w:r>
        <w:rPr>
          <w:rFonts w:cs="Arial"/>
          <w:iCs/>
        </w:rPr>
        <w:t>a</w:t>
      </w:r>
      <w:r w:rsidR="00501276">
        <w:rPr>
          <w:rFonts w:cs="Arial"/>
          <w:iCs/>
        </w:rPr>
        <w:t>)</w:t>
      </w:r>
      <w:r>
        <w:rPr>
          <w:rFonts w:cs="Arial"/>
          <w:iCs/>
        </w:rPr>
        <w:tab/>
      </w:r>
      <w:r w:rsidR="0045531C">
        <w:rPr>
          <w:rFonts w:cs="Arial"/>
          <w:iCs/>
        </w:rPr>
        <w:t xml:space="preserve">identify case studies evidencing </w:t>
      </w:r>
      <w:r w:rsidR="00283062" w:rsidRPr="0083598C" w:rsidDel="00E27CDB">
        <w:rPr>
          <w:rFonts w:cs="Arial"/>
          <w:iCs/>
        </w:rPr>
        <w:t>successful actions that have supported migratory species’ adaptation to climate change</w:t>
      </w:r>
      <w:r w:rsidR="0045531C">
        <w:rPr>
          <w:rFonts w:cs="Arial"/>
          <w:iCs/>
        </w:rPr>
        <w:t>;</w:t>
      </w:r>
      <w:r w:rsidR="00283062">
        <w:rPr>
          <w:rFonts w:cs="Arial"/>
          <w:iCs/>
        </w:rPr>
        <w:t xml:space="preserve"> </w:t>
      </w:r>
    </w:p>
    <w:p w14:paraId="773D63D3" w14:textId="77777777" w:rsidR="007B638B" w:rsidRDefault="007B638B" w:rsidP="00597084">
      <w:pPr>
        <w:pStyle w:val="ListParagraph"/>
        <w:spacing w:after="0" w:line="240" w:lineRule="auto"/>
        <w:ind w:left="1418" w:hanging="567"/>
        <w:jc w:val="both"/>
        <w:rPr>
          <w:rFonts w:cs="Arial"/>
          <w:iCs/>
        </w:rPr>
      </w:pPr>
    </w:p>
    <w:p w14:paraId="27DF192D" w14:textId="016BEF50" w:rsidR="00CF0EEB" w:rsidRDefault="00CF0EEB" w:rsidP="00597084">
      <w:pPr>
        <w:pStyle w:val="ListParagraph"/>
        <w:spacing w:after="0" w:line="240" w:lineRule="auto"/>
        <w:ind w:left="1418" w:hanging="567"/>
        <w:jc w:val="both"/>
        <w:rPr>
          <w:rFonts w:cs="Arial"/>
          <w:iCs/>
        </w:rPr>
      </w:pPr>
      <w:r>
        <w:rPr>
          <w:rFonts w:cs="Arial"/>
          <w:iCs/>
        </w:rPr>
        <w:t>b</w:t>
      </w:r>
      <w:r w:rsidR="00501276">
        <w:rPr>
          <w:rFonts w:cs="Arial"/>
          <w:iCs/>
        </w:rPr>
        <w:t>)</w:t>
      </w:r>
      <w:r>
        <w:rPr>
          <w:rFonts w:cs="Arial"/>
          <w:iCs/>
        </w:rPr>
        <w:tab/>
      </w:r>
      <w:r w:rsidR="0045531C">
        <w:rPr>
          <w:rFonts w:cs="Arial"/>
          <w:iCs/>
        </w:rPr>
        <w:t xml:space="preserve">identify case studies evidencing </w:t>
      </w:r>
      <w:r w:rsidR="001A43A4">
        <w:rPr>
          <w:rFonts w:cs="Arial"/>
          <w:iCs/>
        </w:rPr>
        <w:t>ecosystem services provided by migratory s</w:t>
      </w:r>
      <w:r w:rsidR="000C3B90">
        <w:rPr>
          <w:rFonts w:cs="Arial"/>
          <w:iCs/>
        </w:rPr>
        <w:t>pecies that contribute to addressing climate change</w:t>
      </w:r>
      <w:r w:rsidR="002631FB">
        <w:rPr>
          <w:rFonts w:cs="Arial"/>
          <w:iCs/>
        </w:rPr>
        <w:t>;</w:t>
      </w:r>
      <w:r w:rsidR="0045531C">
        <w:rPr>
          <w:rFonts w:cs="Arial"/>
          <w:iCs/>
        </w:rPr>
        <w:t xml:space="preserve"> and</w:t>
      </w:r>
    </w:p>
    <w:p w14:paraId="3F4C37D1" w14:textId="77777777" w:rsidR="00CF0EEB" w:rsidRDefault="00CF0EEB" w:rsidP="00597084">
      <w:pPr>
        <w:pStyle w:val="ListParagraph"/>
        <w:spacing w:after="0" w:line="240" w:lineRule="auto"/>
        <w:ind w:left="1418" w:hanging="567"/>
        <w:jc w:val="both"/>
        <w:rPr>
          <w:rFonts w:cs="Arial"/>
          <w:iCs/>
        </w:rPr>
      </w:pPr>
    </w:p>
    <w:p w14:paraId="6201F406" w14:textId="2A2EDE6C" w:rsidR="00EA3457" w:rsidRPr="00EA3457" w:rsidRDefault="0045531C" w:rsidP="00597084">
      <w:pPr>
        <w:pStyle w:val="ListParagraph"/>
        <w:spacing w:after="0" w:line="240" w:lineRule="auto"/>
        <w:ind w:left="1418" w:hanging="567"/>
        <w:jc w:val="both"/>
        <w:rPr>
          <w:rFonts w:cs="Arial"/>
          <w:iCs/>
        </w:rPr>
      </w:pPr>
      <w:r>
        <w:rPr>
          <w:rFonts w:cs="Arial"/>
          <w:iCs/>
        </w:rPr>
        <w:t>c</w:t>
      </w:r>
      <w:proofErr w:type="gramStart"/>
      <w:r>
        <w:rPr>
          <w:rFonts w:cs="Arial"/>
          <w:iCs/>
        </w:rPr>
        <w:t xml:space="preserve">) </w:t>
      </w:r>
      <w:r w:rsidR="00EA4FF1">
        <w:rPr>
          <w:rFonts w:cs="Arial"/>
          <w:iCs/>
        </w:rPr>
        <w:tab/>
      </w:r>
      <w:r w:rsidR="00630CD6" w:rsidRPr="00DB0CF6">
        <w:rPr>
          <w:rFonts w:cs="Arial"/>
          <w:iCs/>
        </w:rPr>
        <w:t>share</w:t>
      </w:r>
      <w:proofErr w:type="gramEnd"/>
      <w:r w:rsidR="00630CD6" w:rsidRPr="00DB0CF6">
        <w:rPr>
          <w:rFonts w:cs="Arial"/>
          <w:iCs/>
        </w:rPr>
        <w:t xml:space="preserve"> them with the Secretariat.</w:t>
      </w:r>
    </w:p>
    <w:p w14:paraId="4061E1D9" w14:textId="77777777" w:rsidR="00283062" w:rsidRDefault="00283062" w:rsidP="00A44AE9">
      <w:pPr>
        <w:spacing w:after="0" w:line="240" w:lineRule="auto"/>
        <w:jc w:val="both"/>
        <w:rPr>
          <w:rFonts w:cs="Arial"/>
          <w:b/>
          <w:i/>
        </w:rPr>
      </w:pPr>
    </w:p>
    <w:p w14:paraId="062227F7" w14:textId="77777777" w:rsidR="00283062" w:rsidRPr="00830E72" w:rsidRDefault="00283062" w:rsidP="00A44AE9">
      <w:pPr>
        <w:spacing w:after="0" w:line="240" w:lineRule="auto"/>
        <w:jc w:val="both"/>
        <w:rPr>
          <w:rFonts w:cs="Arial"/>
          <w:b/>
          <w:i/>
        </w:rPr>
      </w:pPr>
      <w:r w:rsidRPr="00830E72">
        <w:rPr>
          <w:rFonts w:cs="Arial"/>
          <w:b/>
          <w:i/>
        </w:rPr>
        <w:t>Directed to Parties, intergovernmental and non-governmental organizations</w:t>
      </w:r>
    </w:p>
    <w:p w14:paraId="0D120EAD" w14:textId="77777777" w:rsidR="00B12BE9" w:rsidRDefault="00B12BE9" w:rsidP="00A44AE9">
      <w:pPr>
        <w:spacing w:after="0" w:line="240" w:lineRule="auto"/>
        <w:jc w:val="both"/>
        <w:rPr>
          <w:rFonts w:cs="Arial"/>
        </w:rPr>
      </w:pPr>
    </w:p>
    <w:p w14:paraId="6763D1F2" w14:textId="25A6DA51" w:rsidR="00283062" w:rsidRDefault="00283062" w:rsidP="00597084">
      <w:pPr>
        <w:spacing w:after="0" w:line="240" w:lineRule="auto"/>
        <w:ind w:left="851" w:hanging="851"/>
        <w:jc w:val="both"/>
        <w:rPr>
          <w:rFonts w:cs="Arial"/>
        </w:rPr>
      </w:pPr>
      <w:r w:rsidRPr="00830E72" w:rsidDel="0078537C">
        <w:rPr>
          <w:rFonts w:cs="Arial"/>
        </w:rPr>
        <w:t>15.BB</w:t>
      </w:r>
      <w:r w:rsidRPr="00830E72" w:rsidDel="0078537C">
        <w:rPr>
          <w:rFonts w:cs="Arial"/>
        </w:rPr>
        <w:tab/>
        <w:t>Parties, intergovernmental and non-governmental organizations are encouraged to:</w:t>
      </w:r>
    </w:p>
    <w:p w14:paraId="4A06E80D" w14:textId="77777777" w:rsidR="00B12BE9" w:rsidRPr="00830E72" w:rsidDel="0078537C" w:rsidRDefault="00B12BE9" w:rsidP="00A44AE9">
      <w:pPr>
        <w:spacing w:after="0" w:line="240" w:lineRule="auto"/>
        <w:ind w:left="900" w:hanging="900"/>
        <w:jc w:val="both"/>
        <w:rPr>
          <w:rFonts w:cs="Arial"/>
        </w:rPr>
      </w:pPr>
    </w:p>
    <w:p w14:paraId="7B7A18FC" w14:textId="3C3C484B" w:rsidR="00283062" w:rsidRDefault="00283062" w:rsidP="00597084">
      <w:pPr>
        <w:widowControl w:val="0"/>
        <w:numPr>
          <w:ilvl w:val="0"/>
          <w:numId w:val="23"/>
        </w:numPr>
        <w:autoSpaceDE w:val="0"/>
        <w:autoSpaceDN w:val="0"/>
        <w:adjustRightInd w:val="0"/>
        <w:spacing w:after="0" w:line="240" w:lineRule="auto"/>
        <w:ind w:left="1418" w:hanging="540"/>
        <w:jc w:val="both"/>
        <w:rPr>
          <w:rFonts w:cs="Arial"/>
          <w:iCs/>
        </w:rPr>
      </w:pPr>
      <w:proofErr w:type="gramStart"/>
      <w:r>
        <w:rPr>
          <w:rFonts w:cs="Arial"/>
          <w:iCs/>
        </w:rPr>
        <w:t>u</w:t>
      </w:r>
      <w:r w:rsidRPr="00830E72">
        <w:rPr>
          <w:rFonts w:cs="Arial"/>
          <w:iCs/>
        </w:rPr>
        <w:t>se</w:t>
      </w:r>
      <w:proofErr w:type="gramEnd"/>
      <w:r w:rsidRPr="00830E72">
        <w:rPr>
          <w:rFonts w:cs="Arial"/>
          <w:iCs/>
        </w:rPr>
        <w:t xml:space="preserve"> </w:t>
      </w:r>
      <w:r w:rsidRPr="00830E72" w:rsidDel="00E27CDB">
        <w:rPr>
          <w:rFonts w:cs="Arial"/>
          <w:iCs/>
        </w:rPr>
        <w:t xml:space="preserve">the guidance on barriers </w:t>
      </w:r>
      <w:r w:rsidRPr="00830E72">
        <w:rPr>
          <w:rFonts w:cs="Arial"/>
          <w:iCs/>
        </w:rPr>
        <w:t xml:space="preserve">as summarized </w:t>
      </w:r>
      <w:r w:rsidRPr="00830E72" w:rsidDel="00E27CDB">
        <w:rPr>
          <w:rFonts w:cs="Arial"/>
          <w:iCs/>
        </w:rPr>
        <w:t>in</w:t>
      </w:r>
      <w:r w:rsidRPr="00830E72">
        <w:rPr>
          <w:rFonts w:cs="Arial"/>
          <w:iCs/>
        </w:rPr>
        <w:t xml:space="preserve"> Annex </w:t>
      </w:r>
      <w:r>
        <w:rPr>
          <w:rFonts w:cs="Arial"/>
          <w:iCs/>
        </w:rPr>
        <w:t>5</w:t>
      </w:r>
      <w:r w:rsidRPr="00830E72">
        <w:rPr>
          <w:rFonts w:cs="Arial"/>
          <w:iCs/>
        </w:rPr>
        <w:t xml:space="preserve"> </w:t>
      </w:r>
      <w:r>
        <w:rPr>
          <w:rFonts w:cs="Arial"/>
          <w:iCs/>
        </w:rPr>
        <w:t xml:space="preserve">of document UNEP/CMS/COP15/Doc.28.12 </w:t>
      </w:r>
      <w:r w:rsidRPr="00830E72" w:rsidDel="00E27CDB">
        <w:rPr>
          <w:rFonts w:cs="Arial"/>
          <w:iCs/>
        </w:rPr>
        <w:t xml:space="preserve">to identify and mitigate barriers </w:t>
      </w:r>
      <w:r w:rsidRPr="00867FC0" w:rsidDel="00E27CDB">
        <w:rPr>
          <w:rFonts w:cs="Arial"/>
          <w:iCs/>
        </w:rPr>
        <w:t xml:space="preserve">likely to impede </w:t>
      </w:r>
      <w:r>
        <w:rPr>
          <w:rFonts w:cs="Arial"/>
          <w:iCs/>
        </w:rPr>
        <w:t xml:space="preserve">the movements of </w:t>
      </w:r>
      <w:r w:rsidRPr="00867FC0" w:rsidDel="00E27CDB">
        <w:rPr>
          <w:rFonts w:cs="Arial"/>
          <w:iCs/>
        </w:rPr>
        <w:t>migratory specie</w:t>
      </w:r>
      <w:r>
        <w:rPr>
          <w:rFonts w:cs="Arial"/>
          <w:iCs/>
        </w:rPr>
        <w:t>s</w:t>
      </w:r>
      <w:r w:rsidRPr="00867FC0" w:rsidDel="00E27CDB">
        <w:rPr>
          <w:rFonts w:cs="Arial"/>
          <w:iCs/>
        </w:rPr>
        <w:t>, including potential range shifts in response to climate change</w:t>
      </w:r>
      <w:r w:rsidRPr="00867FC0">
        <w:rPr>
          <w:rFonts w:cs="Arial"/>
          <w:iCs/>
        </w:rPr>
        <w:t>, and share any observations with the Secretariat</w:t>
      </w:r>
      <w:r w:rsidRPr="00867FC0" w:rsidDel="00E27CDB">
        <w:rPr>
          <w:rFonts w:cs="Arial"/>
          <w:iCs/>
        </w:rPr>
        <w:t>;</w:t>
      </w:r>
      <w:r>
        <w:rPr>
          <w:rFonts w:cs="Arial"/>
          <w:iCs/>
        </w:rPr>
        <w:t xml:space="preserve"> and</w:t>
      </w:r>
    </w:p>
    <w:p w14:paraId="7278EA3E" w14:textId="77777777" w:rsidR="00B12BE9" w:rsidRPr="00867FC0" w:rsidDel="0078537C" w:rsidRDefault="00B12BE9" w:rsidP="00597084">
      <w:pPr>
        <w:widowControl w:val="0"/>
        <w:autoSpaceDE w:val="0"/>
        <w:autoSpaceDN w:val="0"/>
        <w:adjustRightInd w:val="0"/>
        <w:spacing w:after="0" w:line="240" w:lineRule="auto"/>
        <w:ind w:left="1418" w:hanging="540"/>
        <w:jc w:val="both"/>
        <w:rPr>
          <w:rFonts w:cs="Arial"/>
          <w:iCs/>
        </w:rPr>
      </w:pPr>
    </w:p>
    <w:p w14:paraId="161D8737" w14:textId="0866DB4F" w:rsidR="00283062" w:rsidRDefault="00283062" w:rsidP="00597084">
      <w:pPr>
        <w:widowControl w:val="0"/>
        <w:numPr>
          <w:ilvl w:val="0"/>
          <w:numId w:val="23"/>
        </w:numPr>
        <w:autoSpaceDE w:val="0"/>
        <w:autoSpaceDN w:val="0"/>
        <w:adjustRightInd w:val="0"/>
        <w:spacing w:after="0" w:line="240" w:lineRule="auto"/>
        <w:ind w:left="1418" w:hanging="540"/>
        <w:jc w:val="both"/>
        <w:rPr>
          <w:rFonts w:cs="Arial"/>
          <w:iCs/>
        </w:rPr>
      </w:pPr>
      <w:r>
        <w:rPr>
          <w:rFonts w:cs="Arial"/>
          <w:iCs/>
        </w:rPr>
        <w:t>u</w:t>
      </w:r>
      <w:r w:rsidRPr="00867FC0">
        <w:rPr>
          <w:rFonts w:cs="Arial"/>
          <w:iCs/>
        </w:rPr>
        <w:t xml:space="preserve">se </w:t>
      </w:r>
      <w:r w:rsidRPr="00867FC0" w:rsidDel="00E27CDB">
        <w:rPr>
          <w:rFonts w:cs="Arial"/>
          <w:iCs/>
        </w:rPr>
        <w:t xml:space="preserve">the </w:t>
      </w:r>
      <w:r w:rsidRPr="00867FC0">
        <w:rPr>
          <w:rFonts w:cs="Arial"/>
          <w:iCs/>
        </w:rPr>
        <w:t xml:space="preserve">recommendations contained in the </w:t>
      </w:r>
      <w:r w:rsidRPr="00743ADF">
        <w:rPr>
          <w:rFonts w:cs="Arial"/>
          <w:i/>
        </w:rPr>
        <w:t>Report on the Impacts of Climate Change on Cetacean Welfare and Conservation</w:t>
      </w:r>
      <w:r w:rsidRPr="00867FC0">
        <w:rPr>
          <w:rFonts w:cs="Arial"/>
          <w:iCs/>
        </w:rPr>
        <w:t xml:space="preserve">, summarized in Annex </w:t>
      </w:r>
      <w:r>
        <w:rPr>
          <w:rFonts w:cs="Arial"/>
          <w:iCs/>
        </w:rPr>
        <w:t>2</w:t>
      </w:r>
      <w:r w:rsidRPr="00867FC0">
        <w:rPr>
          <w:rFonts w:cs="Arial"/>
          <w:iCs/>
        </w:rPr>
        <w:t xml:space="preserve"> to document CMS/COP15/Doc.25.4.1</w:t>
      </w:r>
      <w:r>
        <w:rPr>
          <w:rFonts w:cs="Arial"/>
          <w:iCs/>
        </w:rPr>
        <w:t>,</w:t>
      </w:r>
      <w:r w:rsidRPr="00867FC0" w:rsidDel="00E27CDB">
        <w:rPr>
          <w:rFonts w:cs="Arial"/>
          <w:iCs/>
        </w:rPr>
        <w:t xml:space="preserve"> to improve understanding of the impacts of climate change on cetacean </w:t>
      </w:r>
      <w:r w:rsidRPr="00867FC0">
        <w:rPr>
          <w:rFonts w:cs="Arial"/>
          <w:iCs/>
        </w:rPr>
        <w:t>species</w:t>
      </w:r>
      <w:r>
        <w:rPr>
          <w:rFonts w:cs="Arial"/>
          <w:iCs/>
        </w:rPr>
        <w:t xml:space="preserve"> and support their conservation in the face of climate change,</w:t>
      </w:r>
      <w:r w:rsidRPr="00867FC0" w:rsidDel="00E27CDB">
        <w:rPr>
          <w:rFonts w:cs="Arial"/>
          <w:iCs/>
        </w:rPr>
        <w:t xml:space="preserve"> </w:t>
      </w:r>
      <w:r w:rsidRPr="00867FC0">
        <w:rPr>
          <w:rFonts w:cs="Arial"/>
          <w:iCs/>
        </w:rPr>
        <w:t xml:space="preserve">and share any </w:t>
      </w:r>
      <w:r>
        <w:rPr>
          <w:rFonts w:cs="Arial"/>
          <w:iCs/>
        </w:rPr>
        <w:t xml:space="preserve">experiences and lessons learned in applying the recommendations </w:t>
      </w:r>
      <w:r w:rsidRPr="00867FC0">
        <w:rPr>
          <w:rFonts w:cs="Arial"/>
          <w:iCs/>
        </w:rPr>
        <w:t>with the Secretariat</w:t>
      </w:r>
      <w:r>
        <w:rPr>
          <w:rFonts w:cs="Arial"/>
          <w:iCs/>
        </w:rPr>
        <w:t>.</w:t>
      </w:r>
    </w:p>
    <w:p w14:paraId="05D912A4" w14:textId="77777777" w:rsidR="00283062" w:rsidRDefault="00283062" w:rsidP="00A44AE9">
      <w:pPr>
        <w:spacing w:after="0" w:line="240" w:lineRule="auto"/>
        <w:jc w:val="both"/>
        <w:rPr>
          <w:rFonts w:cs="Arial"/>
          <w:b/>
          <w:i/>
        </w:rPr>
      </w:pPr>
    </w:p>
    <w:p w14:paraId="73ACBFE4" w14:textId="77777777" w:rsidR="00283062" w:rsidRPr="00E27CDB" w:rsidRDefault="00283062" w:rsidP="00A44AE9">
      <w:pPr>
        <w:spacing w:after="0" w:line="240" w:lineRule="auto"/>
        <w:jc w:val="both"/>
        <w:rPr>
          <w:rFonts w:cs="Arial"/>
        </w:rPr>
      </w:pPr>
      <w:r w:rsidRPr="00E27CDB">
        <w:rPr>
          <w:rFonts w:cs="Arial"/>
          <w:b/>
          <w:i/>
        </w:rPr>
        <w:t xml:space="preserve">Directed to the Scientific Council </w:t>
      </w:r>
    </w:p>
    <w:p w14:paraId="6E5429B7" w14:textId="77777777" w:rsidR="00B12BE9" w:rsidRDefault="00B12BE9" w:rsidP="00A44AE9">
      <w:pPr>
        <w:spacing w:after="0" w:line="240" w:lineRule="auto"/>
        <w:jc w:val="both"/>
        <w:rPr>
          <w:rFonts w:cs="Arial"/>
        </w:rPr>
      </w:pPr>
    </w:p>
    <w:p w14:paraId="454A9560" w14:textId="35CF5748" w:rsidR="00283062" w:rsidRDefault="00283062" w:rsidP="00597084">
      <w:pPr>
        <w:spacing w:after="0" w:line="240" w:lineRule="auto"/>
        <w:ind w:left="851" w:hanging="851"/>
        <w:jc w:val="both"/>
        <w:rPr>
          <w:rFonts w:cs="Arial"/>
        </w:rPr>
      </w:pPr>
      <w:r w:rsidRPr="00E27CDB">
        <w:rPr>
          <w:rFonts w:cs="Arial"/>
        </w:rPr>
        <w:t>15.</w:t>
      </w:r>
      <w:r>
        <w:rPr>
          <w:rFonts w:cs="Arial"/>
        </w:rPr>
        <w:t>CC</w:t>
      </w:r>
      <w:r w:rsidRPr="00E27CDB">
        <w:rPr>
          <w:rFonts w:cs="Arial"/>
        </w:rPr>
        <w:tab/>
        <w:t>The Scientific Council is requested, subject to the availability of resources, to:</w:t>
      </w:r>
    </w:p>
    <w:p w14:paraId="56D2B610" w14:textId="77777777" w:rsidR="00B12BE9" w:rsidRPr="00E27CDB" w:rsidRDefault="00B12BE9" w:rsidP="00A44AE9">
      <w:pPr>
        <w:spacing w:after="0" w:line="240" w:lineRule="auto"/>
        <w:ind w:left="900" w:hanging="900"/>
        <w:jc w:val="both"/>
        <w:rPr>
          <w:rFonts w:cs="Arial"/>
        </w:rPr>
      </w:pPr>
    </w:p>
    <w:p w14:paraId="59514DFA" w14:textId="77777777" w:rsidR="00283062" w:rsidRDefault="00283062" w:rsidP="00A44AE9">
      <w:pPr>
        <w:pStyle w:val="ListParagraph"/>
        <w:numPr>
          <w:ilvl w:val="0"/>
          <w:numId w:val="24"/>
        </w:numPr>
        <w:spacing w:after="0" w:line="240" w:lineRule="auto"/>
        <w:ind w:left="1440" w:hanging="540"/>
        <w:jc w:val="both"/>
        <w:rPr>
          <w:rFonts w:cs="Arial"/>
        </w:rPr>
      </w:pPr>
      <w:r>
        <w:rPr>
          <w:rFonts w:cs="Arial"/>
        </w:rPr>
        <w:t>r</w:t>
      </w:r>
      <w:r w:rsidRPr="00E27CDB">
        <w:rPr>
          <w:rFonts w:cs="Arial"/>
        </w:rPr>
        <w:t xml:space="preserve">e-establish its Climate Change Working Group and </w:t>
      </w:r>
      <w:r w:rsidRPr="00E27CDB" w:rsidDel="00BE2D87">
        <w:rPr>
          <w:rFonts w:cs="Arial"/>
        </w:rPr>
        <w:t>u</w:t>
      </w:r>
      <w:r w:rsidRPr="00E27CDB">
        <w:rPr>
          <w:rFonts w:cs="Arial"/>
        </w:rPr>
        <w:t>pdate</w:t>
      </w:r>
      <w:r>
        <w:rPr>
          <w:rFonts w:cs="Arial"/>
        </w:rPr>
        <w:t xml:space="preserve"> its </w:t>
      </w:r>
      <w:r w:rsidRPr="00E27CDB">
        <w:rPr>
          <w:rFonts w:cs="Arial"/>
        </w:rPr>
        <w:t>Terms of Reference</w:t>
      </w:r>
      <w:r>
        <w:rPr>
          <w:rFonts w:cs="Arial"/>
        </w:rPr>
        <w:t xml:space="preserve"> as needed</w:t>
      </w:r>
      <w:r w:rsidRPr="00E27CDB">
        <w:rPr>
          <w:rFonts w:cs="Arial"/>
        </w:rPr>
        <w:t>;</w:t>
      </w:r>
    </w:p>
    <w:p w14:paraId="1F296250" w14:textId="77777777" w:rsidR="00283062" w:rsidRDefault="00283062" w:rsidP="00A44AE9">
      <w:pPr>
        <w:pStyle w:val="ListParagraph"/>
        <w:spacing w:after="0" w:line="240" w:lineRule="auto"/>
        <w:ind w:left="1440" w:hanging="540"/>
        <w:jc w:val="both"/>
        <w:rPr>
          <w:rFonts w:cs="Arial"/>
        </w:rPr>
      </w:pPr>
    </w:p>
    <w:p w14:paraId="11AD5F85" w14:textId="77777777" w:rsidR="00283062" w:rsidRPr="00F84085" w:rsidRDefault="00283062" w:rsidP="00A44AE9">
      <w:pPr>
        <w:pStyle w:val="ListParagraph"/>
        <w:numPr>
          <w:ilvl w:val="0"/>
          <w:numId w:val="24"/>
        </w:numPr>
        <w:spacing w:after="0" w:line="240" w:lineRule="auto"/>
        <w:ind w:left="1440" w:hanging="540"/>
        <w:jc w:val="both"/>
        <w:rPr>
          <w:rFonts w:cs="Arial"/>
        </w:rPr>
      </w:pPr>
      <w:r>
        <w:t>u</w:t>
      </w:r>
      <w:r w:rsidRPr="00E27CDB">
        <w:t>ndertake a horizon scan of potential impacts of climate</w:t>
      </w:r>
      <w:r>
        <w:t xml:space="preserve"> </w:t>
      </w:r>
      <w:r w:rsidRPr="00E27CDB">
        <w:t xml:space="preserve">change on migratory species, </w:t>
      </w:r>
      <w:r w:rsidRPr="00F84085">
        <w:t xml:space="preserve">including </w:t>
      </w:r>
      <w:r w:rsidRPr="00F84085" w:rsidDel="00EC0B7E">
        <w:t>the identification</w:t>
      </w:r>
      <w:r w:rsidRPr="00F84085">
        <w:t xml:space="preserve"> of threats, opportunities and disrupters, as well as potential conservation actions and how they can be pragmatically implemented;</w:t>
      </w:r>
    </w:p>
    <w:p w14:paraId="43363D98" w14:textId="77777777" w:rsidR="00283062" w:rsidRPr="00F84085" w:rsidRDefault="00283062" w:rsidP="00A44AE9">
      <w:pPr>
        <w:pStyle w:val="ListParagraph"/>
        <w:spacing w:after="0" w:line="240" w:lineRule="auto"/>
        <w:rPr>
          <w:rFonts w:cs="Arial"/>
        </w:rPr>
      </w:pPr>
    </w:p>
    <w:p w14:paraId="12E5C69D" w14:textId="77777777" w:rsidR="00283062" w:rsidRDefault="00283062" w:rsidP="004F0AAD">
      <w:pPr>
        <w:pStyle w:val="ListParagraph"/>
        <w:widowControl w:val="0"/>
        <w:numPr>
          <w:ilvl w:val="0"/>
          <w:numId w:val="24"/>
        </w:numPr>
        <w:autoSpaceDE w:val="0"/>
        <w:autoSpaceDN w:val="0"/>
        <w:adjustRightInd w:val="0"/>
        <w:spacing w:after="80" w:line="240" w:lineRule="auto"/>
        <w:ind w:left="1454" w:hanging="547"/>
        <w:contextualSpacing w:val="0"/>
        <w:jc w:val="both"/>
        <w:rPr>
          <w:rFonts w:cs="Arial"/>
        </w:rPr>
      </w:pPr>
      <w:r w:rsidRPr="00F84085">
        <w:rPr>
          <w:rFonts w:cs="Arial"/>
        </w:rPr>
        <w:t>Convene a workshop, to:</w:t>
      </w:r>
    </w:p>
    <w:p w14:paraId="681067CC" w14:textId="0CA19C4B" w:rsidR="00283062" w:rsidRPr="007743EC" w:rsidRDefault="00283062" w:rsidP="007743EC">
      <w:pPr>
        <w:pStyle w:val="ListParagraph"/>
        <w:numPr>
          <w:ilvl w:val="0"/>
          <w:numId w:val="25"/>
        </w:numPr>
        <w:spacing w:after="80" w:line="240" w:lineRule="auto"/>
        <w:ind w:left="1800"/>
        <w:contextualSpacing w:val="0"/>
        <w:jc w:val="both"/>
        <w:rPr>
          <w:rFonts w:cs="Arial"/>
        </w:rPr>
      </w:pPr>
      <w:r>
        <w:rPr>
          <w:rFonts w:cs="Arial"/>
        </w:rPr>
        <w:t>i</w:t>
      </w:r>
      <w:r w:rsidRPr="00F84085" w:rsidDel="00D464E1">
        <w:rPr>
          <w:rFonts w:cs="Arial"/>
        </w:rPr>
        <w:t xml:space="preserve">dentify those migratory species </w:t>
      </w:r>
      <w:r w:rsidRPr="00F84085">
        <w:rPr>
          <w:rFonts w:cs="Arial"/>
        </w:rPr>
        <w:t xml:space="preserve">most likely to be impacted by climate change, including </w:t>
      </w:r>
      <w:r w:rsidRPr="00A5368A">
        <w:rPr>
          <w:rFonts w:cs="Arial"/>
          <w:color w:val="000000" w:themeColor="text1"/>
        </w:rPr>
        <w:t>by changes to their migration routes</w:t>
      </w:r>
      <w:r w:rsidRPr="00F84085">
        <w:rPr>
          <w:rFonts w:cs="Arial"/>
        </w:rPr>
        <w:t xml:space="preserve">, and therefore </w:t>
      </w:r>
      <w:r w:rsidRPr="00F84085" w:rsidDel="00D464E1">
        <w:rPr>
          <w:rFonts w:cs="Arial"/>
        </w:rPr>
        <w:t>most in need of conservation</w:t>
      </w:r>
      <w:r w:rsidRPr="008A0917" w:rsidDel="00D464E1">
        <w:rPr>
          <w:rFonts w:cs="Arial"/>
        </w:rPr>
        <w:t xml:space="preserve"> interventions, with a focus on those listed on Appendix I, as well as species </w:t>
      </w:r>
      <w:r>
        <w:rPr>
          <w:rFonts w:cs="Arial"/>
        </w:rPr>
        <w:t>for which</w:t>
      </w:r>
      <w:r w:rsidRPr="008A0917" w:rsidDel="00D464E1">
        <w:rPr>
          <w:rFonts w:cs="Arial"/>
        </w:rPr>
        <w:t xml:space="preserve"> interventions might have wider benefits</w:t>
      </w:r>
      <w:r>
        <w:rPr>
          <w:rFonts w:cs="Arial"/>
        </w:rPr>
        <w:t>;</w:t>
      </w:r>
      <w:r w:rsidR="007743EC">
        <w:rPr>
          <w:rFonts w:cs="Arial"/>
        </w:rPr>
        <w:br w:type="page"/>
      </w:r>
    </w:p>
    <w:p w14:paraId="2F8F927C" w14:textId="1F6F67D0" w:rsidR="00CD52B8" w:rsidRPr="00CD52B8" w:rsidRDefault="00283062" w:rsidP="00CD52B8">
      <w:pPr>
        <w:pStyle w:val="ListParagraph"/>
        <w:numPr>
          <w:ilvl w:val="0"/>
          <w:numId w:val="25"/>
        </w:numPr>
        <w:spacing w:after="0" w:line="240" w:lineRule="auto"/>
        <w:ind w:left="1800"/>
        <w:jc w:val="both"/>
        <w:rPr>
          <w:rFonts w:cs="Arial"/>
        </w:rPr>
      </w:pPr>
      <w:r>
        <w:rPr>
          <w:rFonts w:cs="Arial"/>
        </w:rPr>
        <w:lastRenderedPageBreak/>
        <w:t>c</w:t>
      </w:r>
      <w:r w:rsidRPr="008A0917">
        <w:rPr>
          <w:rFonts w:cs="Arial"/>
        </w:rPr>
        <w:t>onduct a review of the impacts of migratory species’ range shifts on ecosystem functioning, including through the loss and introduction of migratory species and their associated ecosystem services, as well as potential policy implications;</w:t>
      </w:r>
    </w:p>
    <w:p w14:paraId="3F4D0332" w14:textId="77777777" w:rsidR="00283062" w:rsidRPr="00FF770D" w:rsidRDefault="00283062" w:rsidP="00A44AE9">
      <w:pPr>
        <w:pStyle w:val="ListParagraph"/>
        <w:spacing w:after="0" w:line="240" w:lineRule="auto"/>
        <w:rPr>
          <w:rFonts w:cs="Arial"/>
        </w:rPr>
      </w:pPr>
    </w:p>
    <w:p w14:paraId="08806C9D" w14:textId="77777777" w:rsidR="00283062" w:rsidRPr="008A0917" w:rsidRDefault="00283062" w:rsidP="004F0AAD">
      <w:pPr>
        <w:pStyle w:val="ListParagraph"/>
        <w:numPr>
          <w:ilvl w:val="0"/>
          <w:numId w:val="24"/>
        </w:numPr>
        <w:spacing w:after="80" w:line="240" w:lineRule="auto"/>
        <w:ind w:left="1454" w:hanging="547"/>
        <w:contextualSpacing w:val="0"/>
        <w:jc w:val="both"/>
        <w:rPr>
          <w:rFonts w:cs="Arial"/>
        </w:rPr>
      </w:pPr>
      <w:bookmarkStart w:id="1" w:name="_Hlk205807362"/>
      <w:r>
        <w:rPr>
          <w:rFonts w:cs="Arial"/>
        </w:rPr>
        <w:t>d</w:t>
      </w:r>
      <w:r w:rsidRPr="008A0917">
        <w:rPr>
          <w:rFonts w:cs="Arial"/>
        </w:rPr>
        <w:t xml:space="preserve">evelop case studies to: </w:t>
      </w:r>
    </w:p>
    <w:p w14:paraId="6603AD74" w14:textId="77777777" w:rsidR="00283062" w:rsidRDefault="00283062" w:rsidP="004F0AAD">
      <w:pPr>
        <w:pStyle w:val="ListParagraph"/>
        <w:numPr>
          <w:ilvl w:val="0"/>
          <w:numId w:val="26"/>
        </w:numPr>
        <w:spacing w:after="80" w:line="240" w:lineRule="auto"/>
        <w:ind w:left="1800"/>
        <w:contextualSpacing w:val="0"/>
        <w:jc w:val="both"/>
        <w:rPr>
          <w:rFonts w:cs="Arial"/>
        </w:rPr>
      </w:pPr>
      <w:r w:rsidRPr="00294145">
        <w:rPr>
          <w:rFonts w:cs="Arial"/>
        </w:rPr>
        <w:t>showcas</w:t>
      </w:r>
      <w:r>
        <w:rPr>
          <w:rFonts w:cs="Arial"/>
        </w:rPr>
        <w:t>e</w:t>
      </w:r>
      <w:r w:rsidRPr="00294145">
        <w:rPr>
          <w:rFonts w:cs="Arial"/>
        </w:rPr>
        <w:t xml:space="preserve"> how migratory species have adapted to barriers</w:t>
      </w:r>
      <w:r>
        <w:rPr>
          <w:rFonts w:cs="Arial"/>
        </w:rPr>
        <w:t xml:space="preserve"> to migration in the context of their adaptation to climate change, </w:t>
      </w:r>
      <w:r w:rsidRPr="00294145">
        <w:rPr>
          <w:rFonts w:cs="Arial"/>
        </w:rPr>
        <w:t xml:space="preserve">and how management interventions have helped migratory species overcome </w:t>
      </w:r>
      <w:r>
        <w:rPr>
          <w:rFonts w:cs="Arial"/>
        </w:rPr>
        <w:t xml:space="preserve">such </w:t>
      </w:r>
      <w:r w:rsidRPr="00294145">
        <w:rPr>
          <w:rFonts w:cs="Arial"/>
        </w:rPr>
        <w:t>barriers</w:t>
      </w:r>
      <w:bookmarkEnd w:id="1"/>
      <w:r>
        <w:rPr>
          <w:rFonts w:cs="Arial"/>
        </w:rPr>
        <w:t>;</w:t>
      </w:r>
    </w:p>
    <w:p w14:paraId="56E197F4" w14:textId="77777777" w:rsidR="00283062" w:rsidRPr="008A0917" w:rsidRDefault="00283062" w:rsidP="00A44AE9">
      <w:pPr>
        <w:pStyle w:val="ListParagraph"/>
        <w:numPr>
          <w:ilvl w:val="0"/>
          <w:numId w:val="26"/>
        </w:numPr>
        <w:spacing w:after="0" w:line="240" w:lineRule="auto"/>
        <w:ind w:left="1800"/>
        <w:jc w:val="both"/>
        <w:rPr>
          <w:rFonts w:cs="Arial"/>
        </w:rPr>
      </w:pPr>
      <w:r w:rsidRPr="008A0917">
        <w:rPr>
          <w:rFonts w:cs="Arial"/>
        </w:rPr>
        <w:t>demonstrate effective actions to prepare for and respond to extreme climate events likely to impact vulnerable migratory species, including early-warning systems and response protocols;</w:t>
      </w:r>
    </w:p>
    <w:p w14:paraId="278F5E35" w14:textId="77777777" w:rsidR="00283062" w:rsidRPr="00E27CDB" w:rsidRDefault="00283062" w:rsidP="00A44AE9">
      <w:pPr>
        <w:pStyle w:val="ListParagraph"/>
        <w:spacing w:after="0" w:line="240" w:lineRule="auto"/>
        <w:ind w:left="0"/>
        <w:rPr>
          <w:rFonts w:cs="Arial"/>
        </w:rPr>
      </w:pPr>
    </w:p>
    <w:p w14:paraId="421DE6AE" w14:textId="77777777" w:rsidR="00283062" w:rsidRPr="006D5550" w:rsidRDefault="00283062" w:rsidP="00A44AE9">
      <w:pPr>
        <w:pStyle w:val="ListParagraph"/>
        <w:widowControl w:val="0"/>
        <w:numPr>
          <w:ilvl w:val="0"/>
          <w:numId w:val="24"/>
        </w:numPr>
        <w:autoSpaceDE w:val="0"/>
        <w:autoSpaceDN w:val="0"/>
        <w:adjustRightInd w:val="0"/>
        <w:spacing w:after="0" w:line="240" w:lineRule="auto"/>
        <w:ind w:left="1440" w:hanging="540"/>
        <w:jc w:val="both"/>
        <w:rPr>
          <w:rFonts w:cs="Arial"/>
          <w:color w:val="000000" w:themeColor="text1"/>
        </w:rPr>
      </w:pPr>
      <w:r>
        <w:rPr>
          <w:rFonts w:cs="Arial"/>
        </w:rPr>
        <w:t>o</w:t>
      </w:r>
      <w:r w:rsidRPr="00D26FBA" w:rsidDel="00813841">
        <w:rPr>
          <w:rFonts w:cs="Arial"/>
        </w:rPr>
        <w:t>rgani</w:t>
      </w:r>
      <w:r>
        <w:rPr>
          <w:rFonts w:cs="Arial"/>
        </w:rPr>
        <w:t>z</w:t>
      </w:r>
      <w:r w:rsidRPr="00D26FBA">
        <w:rPr>
          <w:rFonts w:cs="Arial"/>
        </w:rPr>
        <w:t>e</w:t>
      </w:r>
      <w:r w:rsidRPr="00D26FBA" w:rsidDel="00813841">
        <w:rPr>
          <w:rFonts w:cs="Arial"/>
        </w:rPr>
        <w:t xml:space="preserve"> webinars outlining synergies between migratory species conservation and the delivery of wider international goals and targets, including the </w:t>
      </w:r>
      <w:r w:rsidRPr="006D5550" w:rsidDel="00813841">
        <w:rPr>
          <w:rFonts w:cs="Arial"/>
          <w:color w:val="000000" w:themeColor="text1"/>
        </w:rPr>
        <w:t>IPBES Nexus Assessment response options;</w:t>
      </w:r>
    </w:p>
    <w:p w14:paraId="1027695F" w14:textId="77777777" w:rsidR="00283062" w:rsidRPr="00D26FBA" w:rsidRDefault="00283062" w:rsidP="00A44AE9">
      <w:pPr>
        <w:pStyle w:val="ListParagraph"/>
        <w:widowControl w:val="0"/>
        <w:autoSpaceDE w:val="0"/>
        <w:autoSpaceDN w:val="0"/>
        <w:adjustRightInd w:val="0"/>
        <w:spacing w:after="0" w:line="240" w:lineRule="auto"/>
        <w:ind w:left="1440" w:hanging="540"/>
        <w:jc w:val="both"/>
        <w:rPr>
          <w:rFonts w:cs="Arial"/>
        </w:rPr>
      </w:pPr>
    </w:p>
    <w:p w14:paraId="530211EA" w14:textId="77777777" w:rsidR="00283062" w:rsidRDefault="00283062" w:rsidP="00A44AE9">
      <w:pPr>
        <w:pStyle w:val="ListParagraph"/>
        <w:widowControl w:val="0"/>
        <w:numPr>
          <w:ilvl w:val="0"/>
          <w:numId w:val="24"/>
        </w:numPr>
        <w:autoSpaceDE w:val="0"/>
        <w:autoSpaceDN w:val="0"/>
        <w:adjustRightInd w:val="0"/>
        <w:spacing w:after="0" w:line="240" w:lineRule="auto"/>
        <w:ind w:left="1440" w:hanging="540"/>
        <w:jc w:val="both"/>
        <w:rPr>
          <w:rFonts w:cs="Arial"/>
        </w:rPr>
      </w:pPr>
      <w:r>
        <w:rPr>
          <w:rFonts w:cs="Arial"/>
        </w:rPr>
        <w:t>p</w:t>
      </w:r>
      <w:r w:rsidRPr="00D26FBA" w:rsidDel="00294145">
        <w:rPr>
          <w:rFonts w:cs="Arial"/>
        </w:rPr>
        <w:t>romote knowledge</w:t>
      </w:r>
      <w:r w:rsidRPr="00B549D9" w:rsidDel="00294145">
        <w:rPr>
          <w:rFonts w:cs="Arial"/>
        </w:rPr>
        <w:t xml:space="preserve"> exchange and collaboration between the CMS Scientific Council </w:t>
      </w:r>
      <w:r>
        <w:rPr>
          <w:rFonts w:cs="Arial"/>
        </w:rPr>
        <w:t>W</w:t>
      </w:r>
      <w:r w:rsidRPr="00B549D9" w:rsidDel="00294145">
        <w:rPr>
          <w:rFonts w:cs="Arial"/>
        </w:rPr>
        <w:t xml:space="preserve">orking </w:t>
      </w:r>
      <w:r>
        <w:rPr>
          <w:rFonts w:cs="Arial"/>
        </w:rPr>
        <w:t>G</w:t>
      </w:r>
      <w:r w:rsidRPr="00B549D9" w:rsidDel="00294145">
        <w:rPr>
          <w:rFonts w:cs="Arial"/>
        </w:rPr>
        <w:t xml:space="preserve">roups on Climate Change and on Ecological Connectivity on overlapping areas </w:t>
      </w:r>
      <w:r>
        <w:rPr>
          <w:rFonts w:cs="Arial"/>
        </w:rPr>
        <w:t xml:space="preserve">of </w:t>
      </w:r>
      <w:r w:rsidRPr="00B549D9" w:rsidDel="00294145">
        <w:rPr>
          <w:rFonts w:cs="Arial"/>
        </w:rPr>
        <w:t>work;</w:t>
      </w:r>
    </w:p>
    <w:p w14:paraId="117624E3" w14:textId="77777777" w:rsidR="00283062" w:rsidRPr="00B549D9" w:rsidRDefault="00283062" w:rsidP="00A44AE9">
      <w:pPr>
        <w:pStyle w:val="ListParagraph"/>
        <w:spacing w:after="0" w:line="240" w:lineRule="auto"/>
        <w:ind w:left="1440" w:hanging="540"/>
        <w:rPr>
          <w:rFonts w:cs="Arial"/>
        </w:rPr>
      </w:pPr>
    </w:p>
    <w:p w14:paraId="7C71DAFF" w14:textId="77777777" w:rsidR="00283062" w:rsidRDefault="00283062" w:rsidP="00A44AE9">
      <w:pPr>
        <w:pStyle w:val="ListParagraph"/>
        <w:widowControl w:val="0"/>
        <w:numPr>
          <w:ilvl w:val="0"/>
          <w:numId w:val="24"/>
        </w:numPr>
        <w:autoSpaceDE w:val="0"/>
        <w:autoSpaceDN w:val="0"/>
        <w:adjustRightInd w:val="0"/>
        <w:spacing w:after="0" w:line="240" w:lineRule="auto"/>
        <w:ind w:left="1440" w:hanging="540"/>
        <w:jc w:val="both"/>
        <w:rPr>
          <w:rFonts w:cs="Arial"/>
        </w:rPr>
      </w:pPr>
      <w:r>
        <w:rPr>
          <w:rFonts w:cs="Arial"/>
        </w:rPr>
        <w:t>i</w:t>
      </w:r>
      <w:r w:rsidRPr="00B549D9" w:rsidDel="00687E03">
        <w:rPr>
          <w:rFonts w:cs="Arial"/>
        </w:rPr>
        <w:t>dentify overlaps between CMS activities</w:t>
      </w:r>
      <w:r>
        <w:rPr>
          <w:rFonts w:cs="Arial"/>
        </w:rPr>
        <w:t xml:space="preserve"> related to migratory species and climate change</w:t>
      </w:r>
      <w:r w:rsidRPr="00B549D9" w:rsidDel="00687E03">
        <w:rPr>
          <w:rFonts w:cs="Arial"/>
        </w:rPr>
        <w:t xml:space="preserve"> and those of related </w:t>
      </w:r>
      <w:r>
        <w:rPr>
          <w:rFonts w:cs="Arial"/>
        </w:rPr>
        <w:t>multilateral environmental agreements (</w:t>
      </w:r>
      <w:r w:rsidRPr="004F6A76" w:rsidDel="00687E03">
        <w:rPr>
          <w:rFonts w:cs="Arial"/>
          <w:color w:val="000000" w:themeColor="text1"/>
        </w:rPr>
        <w:t>MEAs</w:t>
      </w:r>
      <w:r w:rsidRPr="004F6A76">
        <w:rPr>
          <w:rFonts w:cs="Arial"/>
          <w:color w:val="000000" w:themeColor="text1"/>
        </w:rPr>
        <w:t>)</w:t>
      </w:r>
      <w:r w:rsidRPr="004F6A76" w:rsidDel="00687E03">
        <w:rPr>
          <w:rFonts w:cs="Arial"/>
          <w:color w:val="000000" w:themeColor="text1"/>
        </w:rPr>
        <w:t xml:space="preserve">, </w:t>
      </w:r>
      <w:r w:rsidRPr="00B549D9" w:rsidDel="00687E03">
        <w:rPr>
          <w:rFonts w:cs="Arial"/>
        </w:rPr>
        <w:t>including both synergies and trade-offs;</w:t>
      </w:r>
      <w:r w:rsidRPr="00B549D9">
        <w:rPr>
          <w:rFonts w:cs="Arial"/>
        </w:rPr>
        <w:t xml:space="preserve"> </w:t>
      </w:r>
    </w:p>
    <w:p w14:paraId="36EB743B" w14:textId="77777777" w:rsidR="00283062" w:rsidRPr="00B549D9" w:rsidRDefault="00283062" w:rsidP="00A44AE9">
      <w:pPr>
        <w:pStyle w:val="ListParagraph"/>
        <w:spacing w:after="0" w:line="240" w:lineRule="auto"/>
        <w:ind w:left="1440" w:hanging="540"/>
        <w:rPr>
          <w:rFonts w:cs="Arial"/>
        </w:rPr>
      </w:pPr>
    </w:p>
    <w:p w14:paraId="01D6BE33" w14:textId="0A3DAD34" w:rsidR="00283062" w:rsidRDefault="00283062" w:rsidP="00A44AE9">
      <w:pPr>
        <w:pStyle w:val="ListParagraph"/>
        <w:numPr>
          <w:ilvl w:val="0"/>
          <w:numId w:val="24"/>
        </w:numPr>
        <w:spacing w:after="0" w:line="240" w:lineRule="auto"/>
        <w:ind w:left="1440" w:hanging="540"/>
        <w:jc w:val="both"/>
        <w:rPr>
          <w:rFonts w:cs="Arial"/>
        </w:rPr>
      </w:pPr>
      <w:r>
        <w:rPr>
          <w:rFonts w:cs="Arial"/>
        </w:rPr>
        <w:t>d</w:t>
      </w:r>
      <w:r w:rsidRPr="00E27CDB">
        <w:rPr>
          <w:rFonts w:cs="Arial"/>
        </w:rPr>
        <w:t>evelop fact sheets on the benefits of migratory species conservation to the implementation of goals and targets under other MEAs, tailored for different audiences;</w:t>
      </w:r>
      <w:r>
        <w:rPr>
          <w:rFonts w:cs="Arial"/>
        </w:rPr>
        <w:t xml:space="preserve"> </w:t>
      </w:r>
    </w:p>
    <w:p w14:paraId="264B57F0" w14:textId="77777777" w:rsidR="00283062" w:rsidRPr="00E27CDB" w:rsidRDefault="00283062" w:rsidP="00A44AE9">
      <w:pPr>
        <w:pStyle w:val="ListParagraph"/>
        <w:spacing w:after="0" w:line="240" w:lineRule="auto"/>
        <w:ind w:left="1440" w:hanging="540"/>
        <w:jc w:val="both"/>
        <w:rPr>
          <w:rFonts w:cs="Arial"/>
        </w:rPr>
      </w:pPr>
    </w:p>
    <w:p w14:paraId="7B80BBB3" w14:textId="7B2A4814" w:rsidR="003A0304" w:rsidRPr="003A0304" w:rsidRDefault="00283062" w:rsidP="00A44AE9">
      <w:pPr>
        <w:pStyle w:val="ListParagraph"/>
        <w:numPr>
          <w:ilvl w:val="0"/>
          <w:numId w:val="24"/>
        </w:numPr>
        <w:spacing w:after="0" w:line="240" w:lineRule="auto"/>
        <w:ind w:left="1440" w:hanging="540"/>
      </w:pPr>
      <w:r w:rsidRPr="00E03C76">
        <w:rPr>
          <w:rFonts w:cs="Arial"/>
        </w:rPr>
        <w:t>address</w:t>
      </w:r>
      <w:r w:rsidRPr="00E03C76" w:rsidDel="00813841">
        <w:rPr>
          <w:rFonts w:cs="Arial"/>
        </w:rPr>
        <w:t xml:space="preserve"> youth </w:t>
      </w:r>
      <w:r w:rsidRPr="00E03C76">
        <w:rPr>
          <w:rFonts w:cs="Arial"/>
        </w:rPr>
        <w:t xml:space="preserve">concerns </w:t>
      </w:r>
      <w:r w:rsidRPr="00E03C76" w:rsidDel="00813841">
        <w:rPr>
          <w:rFonts w:cs="Arial"/>
        </w:rPr>
        <w:t>in discussions related to migratory species and climate change</w:t>
      </w:r>
      <w:r w:rsidR="00D6107E">
        <w:rPr>
          <w:rFonts w:cs="Arial"/>
        </w:rPr>
        <w:t>;</w:t>
      </w:r>
    </w:p>
    <w:p w14:paraId="6D660ADC" w14:textId="77777777" w:rsidR="003A0304" w:rsidRPr="003A0304" w:rsidRDefault="003A0304" w:rsidP="00A44AE9">
      <w:pPr>
        <w:pStyle w:val="ListParagraph"/>
        <w:spacing w:after="0" w:line="240" w:lineRule="auto"/>
        <w:ind w:left="1440"/>
      </w:pPr>
    </w:p>
    <w:p w14:paraId="775FB4BD" w14:textId="1C019BAD" w:rsidR="003A0304" w:rsidRDefault="00A9005E" w:rsidP="00A44AE9">
      <w:pPr>
        <w:pStyle w:val="ListParagraph"/>
        <w:numPr>
          <w:ilvl w:val="0"/>
          <w:numId w:val="24"/>
        </w:numPr>
        <w:spacing w:after="0" w:line="240" w:lineRule="auto"/>
        <w:ind w:left="1440" w:hanging="540"/>
        <w:jc w:val="both"/>
      </w:pPr>
      <w:r>
        <w:t>t</w:t>
      </w:r>
      <w:r w:rsidR="00CC1515">
        <w:t>hrough</w:t>
      </w:r>
      <w:r w:rsidR="00980177" w:rsidRPr="00980177">
        <w:t xml:space="preserve"> the “Working Group on Migratory Species and Health” and “Working Group on Climate Change” as well as other relevant workstreams in CMS family agreements to jointly collate and discuss measures to monitor, prevent and mitigate mass mortality events of populations of migrating species and </w:t>
      </w:r>
      <w:r w:rsidR="00CC1515">
        <w:t>identify</w:t>
      </w:r>
      <w:r w:rsidR="00980177" w:rsidRPr="00980177">
        <w:t xml:space="preserve"> actions that can be taken in that regard</w:t>
      </w:r>
      <w:r w:rsidR="00B7633B">
        <w:t>.</w:t>
      </w:r>
    </w:p>
    <w:p w14:paraId="4EDFAE85" w14:textId="77777777" w:rsidR="00283062" w:rsidRPr="00E27CDB" w:rsidRDefault="00283062" w:rsidP="00A44AE9">
      <w:pPr>
        <w:pStyle w:val="ListParagraph"/>
        <w:spacing w:after="0" w:line="240" w:lineRule="auto"/>
        <w:ind w:left="0"/>
        <w:rPr>
          <w:rFonts w:cs="Arial"/>
        </w:rPr>
      </w:pPr>
    </w:p>
    <w:p w14:paraId="7636F17D" w14:textId="77777777" w:rsidR="00283062" w:rsidRDefault="00283062" w:rsidP="00A44AE9">
      <w:pPr>
        <w:spacing w:after="0" w:line="240" w:lineRule="auto"/>
        <w:jc w:val="both"/>
        <w:rPr>
          <w:rFonts w:cs="Arial"/>
          <w:b/>
          <w:i/>
        </w:rPr>
      </w:pPr>
      <w:r w:rsidRPr="00E27CDB">
        <w:rPr>
          <w:rFonts w:cs="Arial"/>
          <w:b/>
          <w:i/>
        </w:rPr>
        <w:t xml:space="preserve">Directed to the Secretariat </w:t>
      </w:r>
    </w:p>
    <w:p w14:paraId="5ADF8F63" w14:textId="77777777" w:rsidR="007A59C4" w:rsidRPr="00E27CDB" w:rsidRDefault="007A59C4" w:rsidP="00A44AE9">
      <w:pPr>
        <w:spacing w:after="0" w:line="240" w:lineRule="auto"/>
        <w:jc w:val="both"/>
        <w:rPr>
          <w:rFonts w:cs="Arial"/>
          <w:b/>
          <w:i/>
        </w:rPr>
      </w:pPr>
    </w:p>
    <w:p w14:paraId="34DB4C0F" w14:textId="1E05AABD" w:rsidR="00283062" w:rsidRDefault="00283062" w:rsidP="00A44AE9">
      <w:pPr>
        <w:spacing w:after="0" w:line="240" w:lineRule="auto"/>
        <w:ind w:left="900" w:hanging="900"/>
        <w:jc w:val="both"/>
        <w:rPr>
          <w:rFonts w:cs="Arial"/>
        </w:rPr>
      </w:pPr>
      <w:r>
        <w:rPr>
          <w:rFonts w:cs="Arial"/>
        </w:rPr>
        <w:t>15.DD</w:t>
      </w:r>
      <w:r w:rsidR="007A59C4">
        <w:rPr>
          <w:rFonts w:cs="Arial"/>
        </w:rPr>
        <w:tab/>
      </w:r>
      <w:r>
        <w:rPr>
          <w:rFonts w:cs="Arial"/>
        </w:rPr>
        <w:t>The Secretariat shall, subject to the availability of resources:</w:t>
      </w:r>
    </w:p>
    <w:p w14:paraId="2BCDFEF8" w14:textId="77777777" w:rsidR="007A59C4" w:rsidRPr="00E27CDB" w:rsidRDefault="007A59C4" w:rsidP="00A44AE9">
      <w:pPr>
        <w:spacing w:after="0" w:line="240" w:lineRule="auto"/>
        <w:ind w:left="900" w:hanging="900"/>
        <w:jc w:val="both"/>
        <w:rPr>
          <w:rFonts w:cs="Arial"/>
        </w:rPr>
      </w:pPr>
    </w:p>
    <w:p w14:paraId="5C01BAD5" w14:textId="77777777" w:rsidR="00283062" w:rsidRDefault="00283062" w:rsidP="00A44AE9">
      <w:pPr>
        <w:pStyle w:val="ListParagraph"/>
        <w:numPr>
          <w:ilvl w:val="0"/>
          <w:numId w:val="27"/>
        </w:numPr>
        <w:spacing w:after="0" w:line="240" w:lineRule="auto"/>
        <w:ind w:left="1440" w:hanging="540"/>
        <w:jc w:val="both"/>
        <w:rPr>
          <w:rFonts w:cs="Arial"/>
        </w:rPr>
      </w:pPr>
      <w:r>
        <w:rPr>
          <w:rFonts w:cs="Arial"/>
        </w:rPr>
        <w:t>s</w:t>
      </w:r>
      <w:r w:rsidRPr="00BF33F5">
        <w:rPr>
          <w:rFonts w:cs="Arial"/>
        </w:rPr>
        <w:t xml:space="preserve">upport the </w:t>
      </w:r>
      <w:r>
        <w:rPr>
          <w:rFonts w:cs="Arial"/>
        </w:rPr>
        <w:t>Scientific Council</w:t>
      </w:r>
      <w:r w:rsidRPr="00BF33F5">
        <w:rPr>
          <w:rFonts w:cs="Arial"/>
        </w:rPr>
        <w:t xml:space="preserve"> in the implementation of Decision 15.</w:t>
      </w:r>
      <w:r>
        <w:rPr>
          <w:rFonts w:cs="Arial"/>
        </w:rPr>
        <w:t>CC;</w:t>
      </w:r>
    </w:p>
    <w:p w14:paraId="49695FFC" w14:textId="77777777" w:rsidR="00283062" w:rsidRPr="00BF33F5" w:rsidRDefault="00283062" w:rsidP="00A44AE9">
      <w:pPr>
        <w:pStyle w:val="ListParagraph"/>
        <w:spacing w:after="0" w:line="240" w:lineRule="auto"/>
        <w:ind w:left="1440" w:hanging="540"/>
        <w:jc w:val="both"/>
        <w:rPr>
          <w:rFonts w:cs="Arial"/>
        </w:rPr>
      </w:pPr>
    </w:p>
    <w:p w14:paraId="201780C9" w14:textId="5A6CF696" w:rsidR="00087DDA" w:rsidRPr="00087DDA" w:rsidRDefault="00283062" w:rsidP="00A44AE9">
      <w:pPr>
        <w:pStyle w:val="ListParagraph"/>
        <w:widowControl w:val="0"/>
        <w:numPr>
          <w:ilvl w:val="0"/>
          <w:numId w:val="27"/>
        </w:numPr>
        <w:autoSpaceDE w:val="0"/>
        <w:autoSpaceDN w:val="0"/>
        <w:adjustRightInd w:val="0"/>
        <w:spacing w:after="0" w:line="240" w:lineRule="auto"/>
        <w:ind w:left="1440" w:hanging="540"/>
        <w:jc w:val="both"/>
        <w:rPr>
          <w:rFonts w:cs="Arial"/>
        </w:rPr>
      </w:pPr>
      <w:r>
        <w:rPr>
          <w:rFonts w:cs="Arial"/>
          <w:iCs/>
        </w:rPr>
        <w:t>bring to the attention of the Scientific Council any</w:t>
      </w:r>
      <w:r w:rsidRPr="00BF33F5">
        <w:rPr>
          <w:rFonts w:cs="Arial"/>
          <w:iCs/>
        </w:rPr>
        <w:t xml:space="preserve"> </w:t>
      </w:r>
      <w:r w:rsidRPr="00BF33F5" w:rsidDel="00E27CDB">
        <w:rPr>
          <w:rFonts w:cs="Arial"/>
          <w:iCs/>
        </w:rPr>
        <w:t xml:space="preserve">case studies </w:t>
      </w:r>
      <w:r>
        <w:rPr>
          <w:rFonts w:cs="Arial"/>
          <w:iCs/>
        </w:rPr>
        <w:t>shared by Parties under Decision 15.</w:t>
      </w:r>
      <w:r w:rsidR="002151C0">
        <w:rPr>
          <w:rFonts w:cs="Arial"/>
          <w:iCs/>
        </w:rPr>
        <w:t>AA</w:t>
      </w:r>
      <w:r>
        <w:rPr>
          <w:rFonts w:cs="Arial"/>
          <w:iCs/>
        </w:rPr>
        <w:t xml:space="preserve">; </w:t>
      </w:r>
    </w:p>
    <w:p w14:paraId="6DE6290B" w14:textId="77777777" w:rsidR="00283062" w:rsidRPr="00283062" w:rsidRDefault="00283062" w:rsidP="00A44AE9">
      <w:pPr>
        <w:pStyle w:val="ListParagraph"/>
        <w:spacing w:after="0" w:line="240" w:lineRule="auto"/>
        <w:ind w:left="1440" w:hanging="540"/>
        <w:jc w:val="both"/>
        <w:rPr>
          <w:rFonts w:cs="Arial"/>
        </w:rPr>
      </w:pPr>
    </w:p>
    <w:p w14:paraId="290FD46C" w14:textId="1291F7ED" w:rsidR="00245994" w:rsidRDefault="00283062" w:rsidP="00A44AE9">
      <w:pPr>
        <w:pStyle w:val="ListParagraph"/>
        <w:widowControl w:val="0"/>
        <w:numPr>
          <w:ilvl w:val="0"/>
          <w:numId w:val="27"/>
        </w:numPr>
        <w:autoSpaceDE w:val="0"/>
        <w:autoSpaceDN w:val="0"/>
        <w:adjustRightInd w:val="0"/>
        <w:spacing w:after="0" w:line="240" w:lineRule="auto"/>
        <w:ind w:left="1440" w:hanging="540"/>
        <w:jc w:val="both"/>
        <w:rPr>
          <w:rFonts w:cs="Arial"/>
        </w:rPr>
      </w:pPr>
      <w:r w:rsidRPr="00283062">
        <w:rPr>
          <w:rFonts w:cs="Arial"/>
        </w:rPr>
        <w:t>collect and bring to the attention of the Scientific Council any feedback from Parties, intergovernmental and non-governmental organizations on their experience with using the guidance materials and recommendations referred to in Decision 15.BB</w:t>
      </w:r>
      <w:r w:rsidR="007C5CEB">
        <w:rPr>
          <w:rFonts w:cs="Arial"/>
        </w:rPr>
        <w:t>;</w:t>
      </w:r>
    </w:p>
    <w:p w14:paraId="59AD10FF" w14:textId="206D4CAA" w:rsidR="007743EC" w:rsidRDefault="007743EC" w:rsidP="00A44AE9">
      <w:pPr>
        <w:pStyle w:val="ListParagraph"/>
        <w:widowControl w:val="0"/>
        <w:autoSpaceDE w:val="0"/>
        <w:autoSpaceDN w:val="0"/>
        <w:adjustRightInd w:val="0"/>
        <w:spacing w:after="0" w:line="240" w:lineRule="auto"/>
        <w:ind w:left="1440"/>
        <w:jc w:val="both"/>
        <w:rPr>
          <w:rFonts w:cs="Arial"/>
        </w:rPr>
      </w:pPr>
      <w:r>
        <w:rPr>
          <w:rFonts w:cs="Arial"/>
        </w:rPr>
        <w:br w:type="page"/>
      </w:r>
    </w:p>
    <w:p w14:paraId="5275FE74" w14:textId="74CACC57" w:rsidR="00356E6D" w:rsidRPr="00356E6D" w:rsidRDefault="00356E6D" w:rsidP="007743EC">
      <w:pPr>
        <w:pStyle w:val="ListParagraph"/>
        <w:numPr>
          <w:ilvl w:val="0"/>
          <w:numId w:val="27"/>
        </w:numPr>
        <w:spacing w:after="0" w:line="240" w:lineRule="auto"/>
        <w:ind w:left="1418" w:hanging="567"/>
        <w:contextualSpacing w:val="0"/>
        <w:jc w:val="both"/>
        <w:rPr>
          <w:rFonts w:cs="Arial"/>
        </w:rPr>
      </w:pPr>
      <w:r w:rsidRPr="00356E6D">
        <w:rPr>
          <w:rFonts w:cs="Arial"/>
        </w:rPr>
        <w:lastRenderedPageBreak/>
        <w:t xml:space="preserve">engage and cooperate with other MEAs and organizations, including in particular the UN Framework Convention on Climate Change, the Convention on Biological Diversity, the International Whaling Commission (IWC), </w:t>
      </w:r>
      <w:r w:rsidR="00471793">
        <w:rPr>
          <w:rFonts w:cs="Arial"/>
        </w:rPr>
        <w:t xml:space="preserve">the </w:t>
      </w:r>
      <w:r w:rsidRPr="00356E6D">
        <w:rPr>
          <w:rFonts w:cs="Arial"/>
        </w:rPr>
        <w:t>Ramsar Convention, the United Nations Convention to Combat Desertification, the Intergovernmental Science-Policy Platform on Biodiversity and Ecosystem Services</w:t>
      </w:r>
      <w:r w:rsidR="00174F89">
        <w:rPr>
          <w:rFonts w:cs="Arial"/>
        </w:rPr>
        <w:t>,</w:t>
      </w:r>
      <w:r w:rsidRPr="00356E6D">
        <w:rPr>
          <w:rFonts w:cs="Arial"/>
        </w:rPr>
        <w:t xml:space="preserve"> Intergovernmental Panel on Climate Change and the IUCN, at relevant meetings, to provide information about climate change and migratory species, and invite Parties to reinforce the coordination between MEAs focal points.</w:t>
      </w:r>
    </w:p>
    <w:p w14:paraId="212B748A" w14:textId="3DD6FE81" w:rsidR="00D61480" w:rsidRPr="008D731F" w:rsidRDefault="00D61480" w:rsidP="00A44AE9">
      <w:pPr>
        <w:widowControl w:val="0"/>
        <w:autoSpaceDE w:val="0"/>
        <w:autoSpaceDN w:val="0"/>
        <w:adjustRightInd w:val="0"/>
        <w:spacing w:after="0" w:line="240" w:lineRule="auto"/>
        <w:jc w:val="both"/>
        <w:rPr>
          <w:rFonts w:cs="Arial"/>
          <w:color w:val="000000" w:themeColor="text1"/>
        </w:rPr>
      </w:pPr>
    </w:p>
    <w:sectPr w:rsidR="00D61480" w:rsidRPr="008D731F" w:rsidSect="00CC0FCD">
      <w:headerReference w:type="even" r:id="rId23"/>
      <w:headerReference w:type="default"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319B" w14:textId="77777777" w:rsidR="00A66275" w:rsidRDefault="00A66275" w:rsidP="002E0DE9">
      <w:pPr>
        <w:spacing w:after="0" w:line="240" w:lineRule="auto"/>
      </w:pPr>
      <w:r>
        <w:separator/>
      </w:r>
    </w:p>
  </w:endnote>
  <w:endnote w:type="continuationSeparator" w:id="0">
    <w:p w14:paraId="2266F4E5" w14:textId="77777777" w:rsidR="00A66275" w:rsidRDefault="00A66275" w:rsidP="002E0DE9">
      <w:pPr>
        <w:spacing w:after="0" w:line="240" w:lineRule="auto"/>
      </w:pPr>
      <w:r>
        <w:continuationSeparator/>
      </w:r>
    </w:p>
  </w:endnote>
  <w:endnote w:type="continuationNotice" w:id="1">
    <w:p w14:paraId="0B52E5AE" w14:textId="77777777" w:rsidR="00A66275" w:rsidRDefault="00A66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423807"/>
      <w:docPartObj>
        <w:docPartGallery w:val="Page Numbers (Bottom of Page)"/>
        <w:docPartUnique/>
      </w:docPartObj>
    </w:sdtPr>
    <w:sdtEndPr>
      <w:rPr>
        <w:noProof/>
      </w:rPr>
    </w:sdtEndPr>
    <w:sdtContent>
      <w:p w14:paraId="4481A8CC" w14:textId="20A0E4C6" w:rsidR="00406CDE" w:rsidRDefault="00406CDE">
        <w:pPr>
          <w:pStyle w:val="Footer"/>
          <w:jc w:val="center"/>
        </w:pPr>
        <w:r w:rsidRPr="00406CDE">
          <w:rPr>
            <w:sz w:val="18"/>
            <w:szCs w:val="18"/>
          </w:rPr>
          <w:fldChar w:fldCharType="begin"/>
        </w:r>
        <w:r w:rsidRPr="00406CDE">
          <w:rPr>
            <w:sz w:val="18"/>
            <w:szCs w:val="18"/>
          </w:rPr>
          <w:instrText xml:space="preserve"> PAGE   \* MERGEFORMAT </w:instrText>
        </w:r>
        <w:r w:rsidRPr="00406CDE">
          <w:rPr>
            <w:sz w:val="18"/>
            <w:szCs w:val="18"/>
          </w:rPr>
          <w:fldChar w:fldCharType="separate"/>
        </w:r>
        <w:r w:rsidRPr="00406CDE">
          <w:rPr>
            <w:noProof/>
            <w:sz w:val="18"/>
            <w:szCs w:val="18"/>
          </w:rPr>
          <w:t>2</w:t>
        </w:r>
        <w:r w:rsidRPr="00406CDE">
          <w:rPr>
            <w:noProof/>
            <w:sz w:val="18"/>
            <w:szCs w:val="18"/>
          </w:rPr>
          <w:fldChar w:fldCharType="end"/>
        </w:r>
      </w:p>
    </w:sdtContent>
  </w:sdt>
  <w:p w14:paraId="13DB0506" w14:textId="77777777" w:rsidR="00411C64" w:rsidRDefault="00411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797355"/>
      <w:docPartObj>
        <w:docPartGallery w:val="Page Numbers (Bottom of Page)"/>
        <w:docPartUnique/>
      </w:docPartObj>
    </w:sdtPr>
    <w:sdtEndPr>
      <w:rPr>
        <w:noProof/>
      </w:rPr>
    </w:sdtEndPr>
    <w:sdtContent>
      <w:p w14:paraId="785D81BC" w14:textId="666FE48B" w:rsidR="00411C64" w:rsidRDefault="00406CDE" w:rsidP="007743EC">
        <w:pPr>
          <w:pStyle w:val="Footer"/>
          <w:jc w:val="center"/>
        </w:pPr>
        <w:r w:rsidRPr="00406CDE">
          <w:rPr>
            <w:sz w:val="18"/>
            <w:szCs w:val="18"/>
          </w:rPr>
          <w:fldChar w:fldCharType="begin"/>
        </w:r>
        <w:r w:rsidRPr="00406CDE">
          <w:rPr>
            <w:sz w:val="18"/>
            <w:szCs w:val="18"/>
          </w:rPr>
          <w:instrText xml:space="preserve"> PAGE   \* MERGEFORMAT </w:instrText>
        </w:r>
        <w:r w:rsidRPr="00406CDE">
          <w:rPr>
            <w:sz w:val="18"/>
            <w:szCs w:val="18"/>
          </w:rPr>
          <w:fldChar w:fldCharType="separate"/>
        </w:r>
        <w:r w:rsidRPr="00406CDE">
          <w:rPr>
            <w:noProof/>
            <w:sz w:val="18"/>
            <w:szCs w:val="18"/>
          </w:rPr>
          <w:t>2</w:t>
        </w:r>
        <w:r w:rsidRPr="00406CD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61C2" w14:textId="7AA39E38" w:rsidR="00007390" w:rsidRPr="00007390" w:rsidRDefault="00007390">
    <w:pPr>
      <w:pStyle w:val="Footer"/>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90092"/>
      <w:docPartObj>
        <w:docPartGallery w:val="Page Numbers (Bottom of Page)"/>
        <w:docPartUnique/>
      </w:docPartObj>
    </w:sdtPr>
    <w:sdtEndPr>
      <w:rPr>
        <w:noProof/>
        <w:sz w:val="18"/>
        <w:szCs w:val="18"/>
      </w:rPr>
    </w:sdtEndPr>
    <w:sdtContent>
      <w:p w14:paraId="005563F5" w14:textId="429B30A8" w:rsidR="002F22C6" w:rsidRPr="002F22C6" w:rsidRDefault="002F22C6">
        <w:pPr>
          <w:pStyle w:val="Footer"/>
          <w:jc w:val="center"/>
          <w:rPr>
            <w:sz w:val="18"/>
            <w:szCs w:val="18"/>
          </w:rPr>
        </w:pPr>
        <w:r w:rsidRPr="002F22C6">
          <w:rPr>
            <w:sz w:val="18"/>
            <w:szCs w:val="18"/>
          </w:rPr>
          <w:fldChar w:fldCharType="begin"/>
        </w:r>
        <w:r w:rsidRPr="002F22C6">
          <w:rPr>
            <w:sz w:val="18"/>
            <w:szCs w:val="18"/>
          </w:rPr>
          <w:instrText xml:space="preserve"> PAGE   \* MERGEFORMAT </w:instrText>
        </w:r>
        <w:r w:rsidRPr="002F22C6">
          <w:rPr>
            <w:sz w:val="18"/>
            <w:szCs w:val="18"/>
          </w:rPr>
          <w:fldChar w:fldCharType="separate"/>
        </w:r>
        <w:r w:rsidRPr="002F22C6">
          <w:rPr>
            <w:noProof/>
            <w:sz w:val="18"/>
            <w:szCs w:val="18"/>
          </w:rPr>
          <w:t>2</w:t>
        </w:r>
        <w:r w:rsidRPr="002F22C6">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467647"/>
      <w:docPartObj>
        <w:docPartGallery w:val="Page Numbers (Bottom of Page)"/>
        <w:docPartUnique/>
      </w:docPartObj>
    </w:sdtPr>
    <w:sdtEndPr>
      <w:rPr>
        <w:noProof/>
        <w:sz w:val="18"/>
        <w:szCs w:val="18"/>
      </w:rPr>
    </w:sdtEndPr>
    <w:sdtContent>
      <w:p w14:paraId="4F491020" w14:textId="4402EAF5" w:rsidR="002F22C6" w:rsidRPr="002F22C6" w:rsidRDefault="002F22C6">
        <w:pPr>
          <w:pStyle w:val="Footer"/>
          <w:jc w:val="center"/>
          <w:rPr>
            <w:sz w:val="18"/>
            <w:szCs w:val="18"/>
          </w:rPr>
        </w:pPr>
        <w:r w:rsidRPr="002F22C6">
          <w:rPr>
            <w:sz w:val="18"/>
            <w:szCs w:val="18"/>
          </w:rPr>
          <w:fldChar w:fldCharType="begin"/>
        </w:r>
        <w:r w:rsidRPr="002F22C6">
          <w:rPr>
            <w:sz w:val="18"/>
            <w:szCs w:val="18"/>
          </w:rPr>
          <w:instrText xml:space="preserve"> PAGE   \* MERGEFORMAT </w:instrText>
        </w:r>
        <w:r w:rsidRPr="002F22C6">
          <w:rPr>
            <w:sz w:val="18"/>
            <w:szCs w:val="18"/>
          </w:rPr>
          <w:fldChar w:fldCharType="separate"/>
        </w:r>
        <w:r w:rsidRPr="002F22C6">
          <w:rPr>
            <w:noProof/>
            <w:sz w:val="18"/>
            <w:szCs w:val="18"/>
          </w:rPr>
          <w:t>2</w:t>
        </w:r>
        <w:r w:rsidRPr="002F22C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681D" w14:textId="77777777" w:rsidR="00A66275" w:rsidRDefault="00A66275" w:rsidP="002E0DE9">
      <w:pPr>
        <w:spacing w:after="0" w:line="240" w:lineRule="auto"/>
      </w:pPr>
      <w:r>
        <w:separator/>
      </w:r>
    </w:p>
  </w:footnote>
  <w:footnote w:type="continuationSeparator" w:id="0">
    <w:p w14:paraId="404E395B" w14:textId="77777777" w:rsidR="00A66275" w:rsidRDefault="00A66275" w:rsidP="002E0DE9">
      <w:pPr>
        <w:spacing w:after="0" w:line="240" w:lineRule="auto"/>
      </w:pPr>
      <w:r>
        <w:continuationSeparator/>
      </w:r>
    </w:p>
  </w:footnote>
  <w:footnote w:type="continuationNotice" w:id="1">
    <w:p w14:paraId="26E41FA0" w14:textId="77777777" w:rsidR="00A66275" w:rsidRDefault="00A66275">
      <w:pPr>
        <w:spacing w:after="0" w:line="240" w:lineRule="auto"/>
      </w:pPr>
    </w:p>
  </w:footnote>
  <w:footnote w:id="2">
    <w:p w14:paraId="66A956A9" w14:textId="77777777" w:rsidR="00E860A5" w:rsidRPr="00FB13A1" w:rsidRDefault="00E860A5" w:rsidP="00FB13A1">
      <w:pPr>
        <w:pStyle w:val="FootnoteText"/>
        <w:jc w:val="both"/>
        <w:rPr>
          <w:rFonts w:ascii="Arial" w:hAnsi="Arial" w:cs="Arial"/>
          <w:sz w:val="16"/>
          <w:szCs w:val="16"/>
        </w:rPr>
      </w:pPr>
      <w:r w:rsidRPr="00FB13A1">
        <w:rPr>
          <w:rStyle w:val="FootnoteReference"/>
          <w:rFonts w:ascii="Arial" w:hAnsi="Arial" w:cs="Arial"/>
          <w:sz w:val="16"/>
          <w:szCs w:val="16"/>
        </w:rPr>
        <w:footnoteRef/>
      </w:r>
      <w:r w:rsidRPr="00FB13A1">
        <w:rPr>
          <w:rFonts w:ascii="Arial" w:hAnsi="Arial" w:cs="Arial"/>
          <w:sz w:val="16"/>
          <w:szCs w:val="16"/>
        </w:rPr>
        <w:t xml:space="preserve"> Shared Socioeconomic Pathways (SSPs) are climate change scenarios of projected socioeconomic global changes up to 2100 as defined in the IPCC Sixth Assessment Report on climate change in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01C6" w14:textId="029A1C47" w:rsidR="00007390" w:rsidRPr="002E0DE9" w:rsidRDefault="00007390"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w:t>
    </w:r>
    <w:r w:rsidR="001B211F">
      <w:rPr>
        <w:rFonts w:eastAsia="Times New Roman" w:cs="Arial"/>
        <w:i/>
        <w:sz w:val="18"/>
        <w:szCs w:val="18"/>
        <w:lang w:val="en-GB"/>
      </w:rPr>
      <w:t>CRP</w:t>
    </w:r>
    <w:r>
      <w:rPr>
        <w:rFonts w:eastAsia="Times New Roman" w:cs="Arial"/>
        <w:i/>
        <w:sz w:val="18"/>
        <w:szCs w:val="18"/>
        <w:lang w:val="en-GB"/>
      </w:rPr>
      <w:t>28</w:t>
    </w:r>
    <w:r w:rsidR="000D3171">
      <w:rPr>
        <w:rFonts w:eastAsia="Times New Roman" w:cs="Arial"/>
        <w:i/>
        <w:sz w:val="18"/>
        <w:szCs w:val="18"/>
        <w:lang w:val="en-GB"/>
      </w:rPr>
      <w:t>.12</w:t>
    </w:r>
    <w:r w:rsidR="00283A91">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8B7A" w14:textId="6598B04B" w:rsidR="00007390" w:rsidRPr="002E0DE9" w:rsidRDefault="00007390" w:rsidP="00842B75">
    <w:pPr>
      <w:pStyle w:val="Header"/>
      <w:pBdr>
        <w:bottom w:val="single" w:sz="4" w:space="1" w:color="auto"/>
      </w:pBdr>
      <w:jc w:val="right"/>
      <w:rPr>
        <w:i/>
        <w:sz w:val="18"/>
        <w:szCs w:val="18"/>
      </w:rPr>
    </w:pPr>
    <w:r w:rsidRPr="00FB5C7A">
      <w:rPr>
        <w:rFonts w:eastAsia="Times New Roman" w:cs="Arial"/>
        <w:i/>
        <w:sz w:val="18"/>
        <w:szCs w:val="18"/>
        <w:lang w:val="en-GB"/>
      </w:rPr>
      <w:t>UNEP/CMS/COP15/</w:t>
    </w:r>
    <w:r w:rsidR="001B211F">
      <w:rPr>
        <w:rFonts w:eastAsia="Times New Roman" w:cs="Arial"/>
        <w:i/>
        <w:sz w:val="18"/>
        <w:szCs w:val="18"/>
        <w:lang w:val="en-GB"/>
      </w:rPr>
      <w:t>CRP</w:t>
    </w:r>
    <w:r>
      <w:rPr>
        <w:rFonts w:eastAsia="Times New Roman" w:cs="Arial"/>
        <w:i/>
        <w:sz w:val="18"/>
        <w:szCs w:val="18"/>
        <w:lang w:val="en-GB"/>
      </w:rPr>
      <w:t>28.12</w:t>
    </w:r>
    <w:r w:rsidR="00283A91">
      <w:rPr>
        <w:i/>
        <w:sz w:val="18"/>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0865" w14:textId="539B84C0" w:rsidR="00FB13A1" w:rsidRPr="00004E51" w:rsidRDefault="00FB13A1" w:rsidP="00571A8F">
    <w:pPr>
      <w:pStyle w:val="Header"/>
      <w:pBdr>
        <w:bottom w:val="single" w:sz="4" w:space="1" w:color="auto"/>
      </w:pBdr>
      <w:jc w:val="right"/>
      <w:rPr>
        <w:rFonts w:cs="Arial"/>
        <w:i/>
        <w:sz w:val="18"/>
        <w:szCs w:val="18"/>
      </w:rPr>
    </w:pPr>
    <w:r w:rsidRPr="00004E51">
      <w:rPr>
        <w:rFonts w:cs="Arial"/>
        <w:i/>
        <w:sz w:val="18"/>
        <w:szCs w:val="18"/>
      </w:rPr>
      <w:t>UNEP/CMS/COP15/</w:t>
    </w:r>
    <w:r w:rsidR="001B211F">
      <w:rPr>
        <w:rFonts w:cs="Arial"/>
        <w:i/>
        <w:sz w:val="18"/>
        <w:szCs w:val="18"/>
      </w:rPr>
      <w:t>CRP</w:t>
    </w:r>
    <w:r w:rsidRPr="0012115C">
      <w:rPr>
        <w:rFonts w:cs="Arial"/>
        <w:i/>
        <w:sz w:val="18"/>
        <w:szCs w:val="18"/>
      </w:rPr>
      <w:t>28.12</w:t>
    </w:r>
    <w:r w:rsidR="00AF0607">
      <w:rPr>
        <w:rFonts w:cs="Arial"/>
        <w:i/>
        <w:sz w:val="18"/>
        <w:szCs w:val="18"/>
      </w:rPr>
      <w:t>/Rev.1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CCF1" w14:textId="5F6EC930" w:rsidR="00F41832" w:rsidRPr="00004E51" w:rsidRDefault="00F41832" w:rsidP="00571A8F">
    <w:pPr>
      <w:pStyle w:val="Header"/>
      <w:pBdr>
        <w:bottom w:val="single" w:sz="4" w:space="1" w:color="auto"/>
      </w:pBdr>
      <w:rPr>
        <w:rFonts w:cs="Arial"/>
        <w:i/>
        <w:sz w:val="18"/>
        <w:szCs w:val="18"/>
      </w:rPr>
    </w:pPr>
    <w:r w:rsidRPr="00004E51">
      <w:rPr>
        <w:rFonts w:cs="Arial"/>
        <w:i/>
        <w:sz w:val="18"/>
        <w:szCs w:val="18"/>
      </w:rPr>
      <w:t>UNEP/CMS/COP15/</w:t>
    </w:r>
    <w:r w:rsidR="001B211F">
      <w:rPr>
        <w:rFonts w:cs="Arial"/>
        <w:i/>
        <w:sz w:val="18"/>
        <w:szCs w:val="18"/>
      </w:rPr>
      <w:t>CRP</w:t>
    </w:r>
    <w:r w:rsidRPr="0012115C">
      <w:rPr>
        <w:rFonts w:cs="Arial"/>
        <w:i/>
        <w:sz w:val="18"/>
        <w:szCs w:val="18"/>
      </w:rPr>
      <w:t>28.12</w:t>
    </w:r>
    <w:r w:rsidR="00283A91">
      <w:rPr>
        <w:rFonts w:cs="Arial"/>
        <w:i/>
        <w:sz w:val="18"/>
        <w:szCs w:val="18"/>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37AD" w14:textId="59A64830" w:rsidR="00DF507F" w:rsidRPr="002E0DE9" w:rsidRDefault="00DF507F" w:rsidP="004F0AAD">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001B211F">
      <w:rPr>
        <w:rFonts w:eastAsia="Times New Roman" w:cs="Arial"/>
        <w:i/>
        <w:sz w:val="18"/>
        <w:szCs w:val="18"/>
        <w:lang w:val="en-GB"/>
      </w:rPr>
      <w:t>/CRP</w:t>
    </w:r>
    <w:r>
      <w:rPr>
        <w:rFonts w:eastAsia="Times New Roman" w:cs="Arial"/>
        <w:i/>
        <w:sz w:val="18"/>
        <w:szCs w:val="18"/>
        <w:lang w:val="en-GB"/>
      </w:rPr>
      <w:t>28.12</w:t>
    </w:r>
    <w:r w:rsidR="00283A91">
      <w:rPr>
        <w:rFonts w:eastAsia="Times New Roman" w:cs="Arial"/>
        <w:i/>
        <w:sz w:val="18"/>
        <w:szCs w:val="18"/>
        <w:lang w:val="en-GB"/>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B22C" w14:textId="41194F8A" w:rsidR="00CC0FCD" w:rsidRPr="00004E51" w:rsidRDefault="00CC0FCD" w:rsidP="004F0AAD">
    <w:pPr>
      <w:pStyle w:val="Header"/>
      <w:pBdr>
        <w:bottom w:val="single" w:sz="4" w:space="1" w:color="auto"/>
      </w:pBdr>
      <w:jc w:val="right"/>
      <w:rPr>
        <w:rFonts w:cs="Arial"/>
        <w:i/>
        <w:sz w:val="18"/>
        <w:szCs w:val="18"/>
      </w:rPr>
    </w:pPr>
    <w:r w:rsidRPr="00004E51">
      <w:rPr>
        <w:rFonts w:cs="Arial"/>
        <w:i/>
        <w:sz w:val="18"/>
        <w:szCs w:val="18"/>
      </w:rPr>
      <w:t>UNEP/CMS/</w:t>
    </w:r>
    <w:r w:rsidRPr="0012115C">
      <w:rPr>
        <w:rFonts w:cs="Arial"/>
        <w:i/>
        <w:sz w:val="18"/>
        <w:szCs w:val="18"/>
      </w:rPr>
      <w:t>COP15/</w:t>
    </w:r>
    <w:r w:rsidR="001B211F">
      <w:rPr>
        <w:rFonts w:cs="Arial"/>
        <w:i/>
        <w:sz w:val="18"/>
        <w:szCs w:val="18"/>
      </w:rPr>
      <w:t>CRP</w:t>
    </w:r>
    <w:r w:rsidRPr="0012115C">
      <w:rPr>
        <w:rFonts w:cs="Arial"/>
        <w:i/>
        <w:sz w:val="18"/>
        <w:szCs w:val="18"/>
      </w:rPr>
      <w:t>28.12</w:t>
    </w:r>
    <w:r w:rsidR="00283A91">
      <w:rPr>
        <w:rFonts w:cs="Arial"/>
        <w:i/>
        <w:sz w:val="18"/>
        <w:szCs w:val="18"/>
      </w:rPr>
      <w:t>/Rev.1</w:t>
    </w:r>
  </w:p>
  <w:p w14:paraId="226D2F28" w14:textId="77777777" w:rsidR="00CC0FCD" w:rsidRDefault="00CC0F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E455" w14:textId="315BEDDB" w:rsidR="00CC0FCD" w:rsidRPr="00004E51" w:rsidRDefault="00CC0FCD" w:rsidP="002F22C6">
    <w:pPr>
      <w:pStyle w:val="Header"/>
      <w:pBdr>
        <w:bottom w:val="single" w:sz="4" w:space="1" w:color="auto"/>
      </w:pBdr>
      <w:jc w:val="right"/>
      <w:rPr>
        <w:rFonts w:cs="Arial"/>
        <w:i/>
        <w:sz w:val="18"/>
        <w:szCs w:val="18"/>
      </w:rPr>
    </w:pPr>
    <w:r w:rsidRPr="00004E51">
      <w:rPr>
        <w:rFonts w:cs="Arial"/>
        <w:i/>
        <w:sz w:val="18"/>
        <w:szCs w:val="18"/>
      </w:rPr>
      <w:t>UNEP/CMS/COP15/</w:t>
    </w:r>
    <w:r w:rsidR="001B211F">
      <w:rPr>
        <w:rFonts w:cs="Arial"/>
        <w:i/>
        <w:sz w:val="18"/>
        <w:szCs w:val="18"/>
      </w:rPr>
      <w:t>CRP</w:t>
    </w:r>
    <w:r w:rsidRPr="0012115C">
      <w:rPr>
        <w:rFonts w:cs="Arial"/>
        <w:i/>
        <w:sz w:val="18"/>
        <w:szCs w:val="18"/>
      </w:rPr>
      <w:t>28.12</w:t>
    </w:r>
    <w:r w:rsidR="00283A91">
      <w:rPr>
        <w:rFonts w:cs="Arial"/>
        <w:i/>
        <w:sz w:val="18"/>
        <w:szCs w:val="18"/>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A1E"/>
    <w:multiLevelType w:val="hybridMultilevel"/>
    <w:tmpl w:val="1F4C3130"/>
    <w:lvl w:ilvl="0" w:tplc="4ABA0EC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522A3"/>
    <w:multiLevelType w:val="hybridMultilevel"/>
    <w:tmpl w:val="117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C16E2"/>
    <w:multiLevelType w:val="hybridMultilevel"/>
    <w:tmpl w:val="27987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9B21EA2"/>
    <w:multiLevelType w:val="hybridMultilevel"/>
    <w:tmpl w:val="712C0B1C"/>
    <w:lvl w:ilvl="0" w:tplc="2000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0E3F2683"/>
    <w:multiLevelType w:val="hybridMultilevel"/>
    <w:tmpl w:val="59CC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027CA"/>
    <w:multiLevelType w:val="hybridMultilevel"/>
    <w:tmpl w:val="6E902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5853FB5"/>
    <w:multiLevelType w:val="hybridMultilevel"/>
    <w:tmpl w:val="EA241BF0"/>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1FE963EF"/>
    <w:multiLevelType w:val="hybridMultilevel"/>
    <w:tmpl w:val="0A82687C"/>
    <w:lvl w:ilvl="0" w:tplc="20000017">
      <w:start w:val="1"/>
      <w:numFmt w:val="lowerLetter"/>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3" w15:restartNumberingAfterBreak="0">
    <w:nsid w:val="28CF5728"/>
    <w:multiLevelType w:val="hybridMultilevel"/>
    <w:tmpl w:val="58788026"/>
    <w:lvl w:ilvl="0" w:tplc="C1C666C0">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7C534C"/>
    <w:multiLevelType w:val="hybridMultilevel"/>
    <w:tmpl w:val="BED6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3A52F4"/>
    <w:multiLevelType w:val="hybridMultilevel"/>
    <w:tmpl w:val="4B44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B4377"/>
    <w:multiLevelType w:val="hybridMultilevel"/>
    <w:tmpl w:val="95706C02"/>
    <w:lvl w:ilvl="0" w:tplc="2B8E380C">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2C23F3"/>
    <w:multiLevelType w:val="hybridMultilevel"/>
    <w:tmpl w:val="490CE5F8"/>
    <w:lvl w:ilvl="0" w:tplc="602ABD64">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121B50"/>
    <w:multiLevelType w:val="hybridMultilevel"/>
    <w:tmpl w:val="67CE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B743D6"/>
    <w:multiLevelType w:val="hybridMultilevel"/>
    <w:tmpl w:val="792E74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B2412F"/>
    <w:multiLevelType w:val="hybridMultilevel"/>
    <w:tmpl w:val="E30E4D24"/>
    <w:lvl w:ilvl="0" w:tplc="D88C12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41CB48DD"/>
    <w:multiLevelType w:val="hybridMultilevel"/>
    <w:tmpl w:val="07E06740"/>
    <w:lvl w:ilvl="0" w:tplc="0798A14C">
      <w:start w:val="1"/>
      <w:numFmt w:val="lowerRoman"/>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85A5AF6"/>
    <w:multiLevelType w:val="hybridMultilevel"/>
    <w:tmpl w:val="9FFAAB76"/>
    <w:lvl w:ilvl="0" w:tplc="4F503B2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75856"/>
    <w:multiLevelType w:val="hybridMultilevel"/>
    <w:tmpl w:val="515C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A2D3D"/>
    <w:multiLevelType w:val="hybridMultilevel"/>
    <w:tmpl w:val="6E622D34"/>
    <w:lvl w:ilvl="0" w:tplc="D88C128C">
      <w:start w:val="1"/>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66F7A5E"/>
    <w:multiLevelType w:val="hybridMultilevel"/>
    <w:tmpl w:val="8EE6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36374E3"/>
    <w:multiLevelType w:val="hybridMultilevel"/>
    <w:tmpl w:val="0A52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56D42"/>
    <w:multiLevelType w:val="hybridMultilevel"/>
    <w:tmpl w:val="942CC878"/>
    <w:lvl w:ilvl="0" w:tplc="3012B03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75773A7B"/>
    <w:multiLevelType w:val="hybridMultilevel"/>
    <w:tmpl w:val="443AD7C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25"/>
  </w:num>
  <w:num w:numId="2" w16cid:durableId="1342467551">
    <w:abstractNumId w:val="33"/>
  </w:num>
  <w:num w:numId="3" w16cid:durableId="1569996155">
    <w:abstractNumId w:val="1"/>
  </w:num>
  <w:num w:numId="4" w16cid:durableId="5037120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6"/>
  </w:num>
  <w:num w:numId="8" w16cid:durableId="657730385">
    <w:abstractNumId w:val="36"/>
  </w:num>
  <w:num w:numId="9" w16cid:durableId="1150515762">
    <w:abstractNumId w:val="27"/>
  </w:num>
  <w:num w:numId="10" w16cid:durableId="627323914">
    <w:abstractNumId w:val="2"/>
  </w:num>
  <w:num w:numId="11" w16cid:durableId="947470795">
    <w:abstractNumId w:val="30"/>
  </w:num>
  <w:num w:numId="12" w16cid:durableId="23095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3602183">
    <w:abstractNumId w:val="20"/>
  </w:num>
  <w:num w:numId="14" w16cid:durableId="800459807">
    <w:abstractNumId w:val="19"/>
  </w:num>
  <w:num w:numId="15" w16cid:durableId="1084567447">
    <w:abstractNumId w:val="28"/>
  </w:num>
  <w:num w:numId="16" w16cid:durableId="1545674867">
    <w:abstractNumId w:val="4"/>
  </w:num>
  <w:num w:numId="17" w16cid:durableId="297147855">
    <w:abstractNumId w:val="26"/>
  </w:num>
  <w:num w:numId="18" w16cid:durableId="147945606">
    <w:abstractNumId w:val="3"/>
  </w:num>
  <w:num w:numId="19" w16cid:durableId="433020436">
    <w:abstractNumId w:val="31"/>
  </w:num>
  <w:num w:numId="20" w16cid:durableId="116335905">
    <w:abstractNumId w:val="7"/>
  </w:num>
  <w:num w:numId="21" w16cid:durableId="1626231282">
    <w:abstractNumId w:val="29"/>
  </w:num>
  <w:num w:numId="22" w16cid:durableId="1205143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373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232695">
    <w:abstractNumId w:val="6"/>
  </w:num>
  <w:num w:numId="25" w16cid:durableId="1296565195">
    <w:abstractNumId w:val="23"/>
  </w:num>
  <w:num w:numId="26" w16cid:durableId="645476736">
    <w:abstractNumId w:val="18"/>
  </w:num>
  <w:num w:numId="27" w16cid:durableId="163252420">
    <w:abstractNumId w:val="10"/>
  </w:num>
  <w:num w:numId="28" w16cid:durableId="1579167485">
    <w:abstractNumId w:val="21"/>
  </w:num>
  <w:num w:numId="29" w16cid:durableId="2141147645">
    <w:abstractNumId w:val="15"/>
  </w:num>
  <w:num w:numId="30" w16cid:durableId="1133597658">
    <w:abstractNumId w:val="34"/>
  </w:num>
  <w:num w:numId="31" w16cid:durableId="1684277762">
    <w:abstractNumId w:val="14"/>
  </w:num>
  <w:num w:numId="32" w16cid:durableId="151260663">
    <w:abstractNumId w:val="0"/>
  </w:num>
  <w:num w:numId="33" w16cid:durableId="2146922404">
    <w:abstractNumId w:val="32"/>
  </w:num>
  <w:num w:numId="34" w16cid:durableId="719010746">
    <w:abstractNumId w:val="13"/>
  </w:num>
  <w:num w:numId="35" w16cid:durableId="208034826">
    <w:abstractNumId w:val="17"/>
  </w:num>
  <w:num w:numId="36" w16cid:durableId="1925527168">
    <w:abstractNumId w:val="24"/>
  </w:num>
  <w:num w:numId="37" w16cid:durableId="257757904">
    <w:abstractNumId w:val="22"/>
  </w:num>
  <w:num w:numId="38" w16cid:durableId="1229609529">
    <w:abstractNumId w:val="9"/>
  </w:num>
  <w:num w:numId="39" w16cid:durableId="291909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2E3B"/>
    <w:rsid w:val="00002E93"/>
    <w:rsid w:val="00004484"/>
    <w:rsid w:val="00007390"/>
    <w:rsid w:val="000167D0"/>
    <w:rsid w:val="000172F1"/>
    <w:rsid w:val="000215F1"/>
    <w:rsid w:val="00024429"/>
    <w:rsid w:val="00026342"/>
    <w:rsid w:val="00030FA2"/>
    <w:rsid w:val="00031E7C"/>
    <w:rsid w:val="000414D5"/>
    <w:rsid w:val="000539AB"/>
    <w:rsid w:val="0006086E"/>
    <w:rsid w:val="0006101D"/>
    <w:rsid w:val="00063C40"/>
    <w:rsid w:val="0006572B"/>
    <w:rsid w:val="000661B2"/>
    <w:rsid w:val="00070465"/>
    <w:rsid w:val="00074796"/>
    <w:rsid w:val="00074C25"/>
    <w:rsid w:val="00081045"/>
    <w:rsid w:val="00087AF3"/>
    <w:rsid w:val="00087DDA"/>
    <w:rsid w:val="000B2B0A"/>
    <w:rsid w:val="000B4D05"/>
    <w:rsid w:val="000C3B90"/>
    <w:rsid w:val="000C763F"/>
    <w:rsid w:val="000D3171"/>
    <w:rsid w:val="000D3816"/>
    <w:rsid w:val="000F13BB"/>
    <w:rsid w:val="000F76C2"/>
    <w:rsid w:val="00103C7C"/>
    <w:rsid w:val="00114E5C"/>
    <w:rsid w:val="00117FD3"/>
    <w:rsid w:val="001227C2"/>
    <w:rsid w:val="001254D7"/>
    <w:rsid w:val="00137609"/>
    <w:rsid w:val="0013780B"/>
    <w:rsid w:val="001510F0"/>
    <w:rsid w:val="00153F75"/>
    <w:rsid w:val="00164617"/>
    <w:rsid w:val="00174F89"/>
    <w:rsid w:val="001752A7"/>
    <w:rsid w:val="00177179"/>
    <w:rsid w:val="00184004"/>
    <w:rsid w:val="00184287"/>
    <w:rsid w:val="00190ADA"/>
    <w:rsid w:val="001960A5"/>
    <w:rsid w:val="00197D1E"/>
    <w:rsid w:val="001A43A4"/>
    <w:rsid w:val="001A44F6"/>
    <w:rsid w:val="001B1F23"/>
    <w:rsid w:val="001B211F"/>
    <w:rsid w:val="001C1DD4"/>
    <w:rsid w:val="001C1EEE"/>
    <w:rsid w:val="001C6C56"/>
    <w:rsid w:val="001D2C5A"/>
    <w:rsid w:val="001D489D"/>
    <w:rsid w:val="001E7091"/>
    <w:rsid w:val="001E7933"/>
    <w:rsid w:val="001F077E"/>
    <w:rsid w:val="00201B1A"/>
    <w:rsid w:val="00210D46"/>
    <w:rsid w:val="00212077"/>
    <w:rsid w:val="0021280D"/>
    <w:rsid w:val="00212989"/>
    <w:rsid w:val="002151C0"/>
    <w:rsid w:val="00215A87"/>
    <w:rsid w:val="002213CC"/>
    <w:rsid w:val="00231E1B"/>
    <w:rsid w:val="002326AB"/>
    <w:rsid w:val="00235010"/>
    <w:rsid w:val="00237692"/>
    <w:rsid w:val="00245994"/>
    <w:rsid w:val="00260610"/>
    <w:rsid w:val="0026064F"/>
    <w:rsid w:val="002631FB"/>
    <w:rsid w:val="00265174"/>
    <w:rsid w:val="00281DAB"/>
    <w:rsid w:val="00283062"/>
    <w:rsid w:val="00283A91"/>
    <w:rsid w:val="00284272"/>
    <w:rsid w:val="00284880"/>
    <w:rsid w:val="0028637C"/>
    <w:rsid w:val="00291753"/>
    <w:rsid w:val="00293D4F"/>
    <w:rsid w:val="002A55FF"/>
    <w:rsid w:val="002B08A1"/>
    <w:rsid w:val="002B2806"/>
    <w:rsid w:val="002B66F4"/>
    <w:rsid w:val="002C0D62"/>
    <w:rsid w:val="002D068B"/>
    <w:rsid w:val="002D1DAE"/>
    <w:rsid w:val="002D6062"/>
    <w:rsid w:val="002E0DE9"/>
    <w:rsid w:val="002E4AD2"/>
    <w:rsid w:val="002E6A7D"/>
    <w:rsid w:val="002E7246"/>
    <w:rsid w:val="002F22C6"/>
    <w:rsid w:val="003223E9"/>
    <w:rsid w:val="00327666"/>
    <w:rsid w:val="0032796F"/>
    <w:rsid w:val="003312B7"/>
    <w:rsid w:val="00331C28"/>
    <w:rsid w:val="00331D38"/>
    <w:rsid w:val="0033570E"/>
    <w:rsid w:val="00336AE9"/>
    <w:rsid w:val="0035024E"/>
    <w:rsid w:val="0035167C"/>
    <w:rsid w:val="0035210E"/>
    <w:rsid w:val="003526F6"/>
    <w:rsid w:val="00354FBE"/>
    <w:rsid w:val="00356E6D"/>
    <w:rsid w:val="00361AA1"/>
    <w:rsid w:val="00362DA0"/>
    <w:rsid w:val="003669FF"/>
    <w:rsid w:val="00377940"/>
    <w:rsid w:val="00384E6A"/>
    <w:rsid w:val="0038747E"/>
    <w:rsid w:val="00390B0F"/>
    <w:rsid w:val="0039472D"/>
    <w:rsid w:val="003A0304"/>
    <w:rsid w:val="003B19FB"/>
    <w:rsid w:val="003B4DF6"/>
    <w:rsid w:val="003B4EFA"/>
    <w:rsid w:val="003C569E"/>
    <w:rsid w:val="003D7E0C"/>
    <w:rsid w:val="003E1D65"/>
    <w:rsid w:val="003E59C1"/>
    <w:rsid w:val="003E78F2"/>
    <w:rsid w:val="003F4EC6"/>
    <w:rsid w:val="003F742B"/>
    <w:rsid w:val="0040037E"/>
    <w:rsid w:val="004008AC"/>
    <w:rsid w:val="00403549"/>
    <w:rsid w:val="0040663F"/>
    <w:rsid w:val="00406B3E"/>
    <w:rsid w:val="00406CDE"/>
    <w:rsid w:val="00407C6B"/>
    <w:rsid w:val="00411C64"/>
    <w:rsid w:val="00413CB8"/>
    <w:rsid w:val="00415B8F"/>
    <w:rsid w:val="004162F0"/>
    <w:rsid w:val="00431FE3"/>
    <w:rsid w:val="0043303D"/>
    <w:rsid w:val="00434BDA"/>
    <w:rsid w:val="00441085"/>
    <w:rsid w:val="00443325"/>
    <w:rsid w:val="00450B8A"/>
    <w:rsid w:val="004531F1"/>
    <w:rsid w:val="004552F0"/>
    <w:rsid w:val="0045531C"/>
    <w:rsid w:val="00455962"/>
    <w:rsid w:val="00457A20"/>
    <w:rsid w:val="004608C4"/>
    <w:rsid w:val="004620F9"/>
    <w:rsid w:val="004639CE"/>
    <w:rsid w:val="004642AE"/>
    <w:rsid w:val="004645D3"/>
    <w:rsid w:val="00467F09"/>
    <w:rsid w:val="00470B46"/>
    <w:rsid w:val="004714F5"/>
    <w:rsid w:val="00471793"/>
    <w:rsid w:val="00472BCE"/>
    <w:rsid w:val="004745B1"/>
    <w:rsid w:val="00483AC6"/>
    <w:rsid w:val="00495B71"/>
    <w:rsid w:val="00495EF0"/>
    <w:rsid w:val="004A151E"/>
    <w:rsid w:val="004B1A1E"/>
    <w:rsid w:val="004B1C36"/>
    <w:rsid w:val="004B3B6F"/>
    <w:rsid w:val="004C015B"/>
    <w:rsid w:val="004C1FDD"/>
    <w:rsid w:val="004E3962"/>
    <w:rsid w:val="004F0AAD"/>
    <w:rsid w:val="004F33D7"/>
    <w:rsid w:val="00500665"/>
    <w:rsid w:val="00501276"/>
    <w:rsid w:val="00503EFA"/>
    <w:rsid w:val="00506B23"/>
    <w:rsid w:val="0050700A"/>
    <w:rsid w:val="00516A25"/>
    <w:rsid w:val="005211F2"/>
    <w:rsid w:val="00526135"/>
    <w:rsid w:val="00531BD1"/>
    <w:rsid w:val="00532D9F"/>
    <w:rsid w:val="005330F7"/>
    <w:rsid w:val="00540932"/>
    <w:rsid w:val="005437FE"/>
    <w:rsid w:val="0055269D"/>
    <w:rsid w:val="0055344C"/>
    <w:rsid w:val="00556B09"/>
    <w:rsid w:val="00562A88"/>
    <w:rsid w:val="00563598"/>
    <w:rsid w:val="00571A8F"/>
    <w:rsid w:val="005754AF"/>
    <w:rsid w:val="0057565A"/>
    <w:rsid w:val="00580C9A"/>
    <w:rsid w:val="005831A5"/>
    <w:rsid w:val="005848C6"/>
    <w:rsid w:val="0058590C"/>
    <w:rsid w:val="0059075E"/>
    <w:rsid w:val="005912BB"/>
    <w:rsid w:val="00593B7A"/>
    <w:rsid w:val="00594151"/>
    <w:rsid w:val="00597084"/>
    <w:rsid w:val="00597EB1"/>
    <w:rsid w:val="005A2A3E"/>
    <w:rsid w:val="005A2A94"/>
    <w:rsid w:val="005B23A6"/>
    <w:rsid w:val="005B5655"/>
    <w:rsid w:val="005C28E8"/>
    <w:rsid w:val="005C3927"/>
    <w:rsid w:val="005C5625"/>
    <w:rsid w:val="005C5C48"/>
    <w:rsid w:val="005C6C95"/>
    <w:rsid w:val="005D31B1"/>
    <w:rsid w:val="005E031D"/>
    <w:rsid w:val="005E6D3C"/>
    <w:rsid w:val="005E6EF1"/>
    <w:rsid w:val="005E77CD"/>
    <w:rsid w:val="005F2238"/>
    <w:rsid w:val="005F738C"/>
    <w:rsid w:val="0060583C"/>
    <w:rsid w:val="00610891"/>
    <w:rsid w:val="00610963"/>
    <w:rsid w:val="00623A76"/>
    <w:rsid w:val="00624681"/>
    <w:rsid w:val="00630CD6"/>
    <w:rsid w:val="00635C66"/>
    <w:rsid w:val="006436F3"/>
    <w:rsid w:val="00643C09"/>
    <w:rsid w:val="006504A2"/>
    <w:rsid w:val="00662759"/>
    <w:rsid w:val="00664C36"/>
    <w:rsid w:val="006704FB"/>
    <w:rsid w:val="00682891"/>
    <w:rsid w:val="006867A3"/>
    <w:rsid w:val="00686941"/>
    <w:rsid w:val="006877AD"/>
    <w:rsid w:val="00692B6B"/>
    <w:rsid w:val="006965EF"/>
    <w:rsid w:val="006A1039"/>
    <w:rsid w:val="006A689A"/>
    <w:rsid w:val="006A7DC4"/>
    <w:rsid w:val="006B1FAF"/>
    <w:rsid w:val="006C0316"/>
    <w:rsid w:val="006C1BF0"/>
    <w:rsid w:val="006C2070"/>
    <w:rsid w:val="006C3C57"/>
    <w:rsid w:val="006D2054"/>
    <w:rsid w:val="006F5205"/>
    <w:rsid w:val="006F5D99"/>
    <w:rsid w:val="00703E17"/>
    <w:rsid w:val="00704E4A"/>
    <w:rsid w:val="0071181A"/>
    <w:rsid w:val="00716548"/>
    <w:rsid w:val="007165A4"/>
    <w:rsid w:val="00716EA6"/>
    <w:rsid w:val="007259EC"/>
    <w:rsid w:val="00730D21"/>
    <w:rsid w:val="00730F29"/>
    <w:rsid w:val="00731554"/>
    <w:rsid w:val="0073233F"/>
    <w:rsid w:val="0073318A"/>
    <w:rsid w:val="0074176C"/>
    <w:rsid w:val="007652BD"/>
    <w:rsid w:val="00771A79"/>
    <w:rsid w:val="007743EC"/>
    <w:rsid w:val="007817C1"/>
    <w:rsid w:val="00786961"/>
    <w:rsid w:val="00790FC3"/>
    <w:rsid w:val="007A2BC4"/>
    <w:rsid w:val="007A59C4"/>
    <w:rsid w:val="007B1580"/>
    <w:rsid w:val="007B1809"/>
    <w:rsid w:val="007B2DB7"/>
    <w:rsid w:val="007B638B"/>
    <w:rsid w:val="007B7850"/>
    <w:rsid w:val="007B78D3"/>
    <w:rsid w:val="007B7E75"/>
    <w:rsid w:val="007C0FAA"/>
    <w:rsid w:val="007C2211"/>
    <w:rsid w:val="007C5CEB"/>
    <w:rsid w:val="007D5040"/>
    <w:rsid w:val="007D55F5"/>
    <w:rsid w:val="007E0D0F"/>
    <w:rsid w:val="007E4398"/>
    <w:rsid w:val="007F132C"/>
    <w:rsid w:val="007F32CF"/>
    <w:rsid w:val="007F48DA"/>
    <w:rsid w:val="00805DE8"/>
    <w:rsid w:val="00806738"/>
    <w:rsid w:val="0081290D"/>
    <w:rsid w:val="00816618"/>
    <w:rsid w:val="00817D94"/>
    <w:rsid w:val="00820572"/>
    <w:rsid w:val="00832997"/>
    <w:rsid w:val="00837BC1"/>
    <w:rsid w:val="00842B75"/>
    <w:rsid w:val="00842BE3"/>
    <w:rsid w:val="00850ECE"/>
    <w:rsid w:val="008547E3"/>
    <w:rsid w:val="0085519F"/>
    <w:rsid w:val="00855595"/>
    <w:rsid w:val="008619CA"/>
    <w:rsid w:val="00871567"/>
    <w:rsid w:val="00871E2C"/>
    <w:rsid w:val="00872FF8"/>
    <w:rsid w:val="00873414"/>
    <w:rsid w:val="00873E28"/>
    <w:rsid w:val="008852CE"/>
    <w:rsid w:val="00891F01"/>
    <w:rsid w:val="008940E0"/>
    <w:rsid w:val="008A47E5"/>
    <w:rsid w:val="008B0AC3"/>
    <w:rsid w:val="008B4DBA"/>
    <w:rsid w:val="008B70FE"/>
    <w:rsid w:val="008C3A4A"/>
    <w:rsid w:val="008C53CE"/>
    <w:rsid w:val="008D3880"/>
    <w:rsid w:val="008D731F"/>
    <w:rsid w:val="008D7F9C"/>
    <w:rsid w:val="008E076D"/>
    <w:rsid w:val="008E399F"/>
    <w:rsid w:val="008E6292"/>
    <w:rsid w:val="008E7441"/>
    <w:rsid w:val="008F62CC"/>
    <w:rsid w:val="00902975"/>
    <w:rsid w:val="00904FD5"/>
    <w:rsid w:val="00914241"/>
    <w:rsid w:val="0092141A"/>
    <w:rsid w:val="00933B90"/>
    <w:rsid w:val="0093713A"/>
    <w:rsid w:val="00944CA2"/>
    <w:rsid w:val="00946D42"/>
    <w:rsid w:val="009529B9"/>
    <w:rsid w:val="00954296"/>
    <w:rsid w:val="009653CA"/>
    <w:rsid w:val="00980177"/>
    <w:rsid w:val="00981DD6"/>
    <w:rsid w:val="00995431"/>
    <w:rsid w:val="0099716B"/>
    <w:rsid w:val="009A08AE"/>
    <w:rsid w:val="009A2337"/>
    <w:rsid w:val="009A2C94"/>
    <w:rsid w:val="009A4598"/>
    <w:rsid w:val="009A4FCA"/>
    <w:rsid w:val="009B18E4"/>
    <w:rsid w:val="009B28A1"/>
    <w:rsid w:val="009B3CF3"/>
    <w:rsid w:val="009C5B32"/>
    <w:rsid w:val="009E1BF3"/>
    <w:rsid w:val="009F00E2"/>
    <w:rsid w:val="009F6C60"/>
    <w:rsid w:val="00A06A54"/>
    <w:rsid w:val="00A17FEE"/>
    <w:rsid w:val="00A213A1"/>
    <w:rsid w:val="00A30592"/>
    <w:rsid w:val="00A32FE8"/>
    <w:rsid w:val="00A33F6A"/>
    <w:rsid w:val="00A350E8"/>
    <w:rsid w:val="00A351F8"/>
    <w:rsid w:val="00A42EAF"/>
    <w:rsid w:val="00A44AE9"/>
    <w:rsid w:val="00A44ED2"/>
    <w:rsid w:val="00A45996"/>
    <w:rsid w:val="00A5442D"/>
    <w:rsid w:val="00A56F6E"/>
    <w:rsid w:val="00A577E4"/>
    <w:rsid w:val="00A6140C"/>
    <w:rsid w:val="00A66275"/>
    <w:rsid w:val="00A676EE"/>
    <w:rsid w:val="00A77804"/>
    <w:rsid w:val="00A82835"/>
    <w:rsid w:val="00A861A3"/>
    <w:rsid w:val="00A9005E"/>
    <w:rsid w:val="00A90B03"/>
    <w:rsid w:val="00A9215B"/>
    <w:rsid w:val="00A93363"/>
    <w:rsid w:val="00AC2C31"/>
    <w:rsid w:val="00AC7E42"/>
    <w:rsid w:val="00AD4F4C"/>
    <w:rsid w:val="00AE0BD1"/>
    <w:rsid w:val="00AE3C92"/>
    <w:rsid w:val="00AF0607"/>
    <w:rsid w:val="00AF0F80"/>
    <w:rsid w:val="00AF1A3D"/>
    <w:rsid w:val="00AF63ED"/>
    <w:rsid w:val="00B04282"/>
    <w:rsid w:val="00B10B7D"/>
    <w:rsid w:val="00B12BE9"/>
    <w:rsid w:val="00B150E5"/>
    <w:rsid w:val="00B2055E"/>
    <w:rsid w:val="00B24170"/>
    <w:rsid w:val="00B27603"/>
    <w:rsid w:val="00B27A14"/>
    <w:rsid w:val="00B33183"/>
    <w:rsid w:val="00B3390F"/>
    <w:rsid w:val="00B4546D"/>
    <w:rsid w:val="00B51A11"/>
    <w:rsid w:val="00B53EFD"/>
    <w:rsid w:val="00B609A5"/>
    <w:rsid w:val="00B665AB"/>
    <w:rsid w:val="00B66F1D"/>
    <w:rsid w:val="00B716CD"/>
    <w:rsid w:val="00B73E37"/>
    <w:rsid w:val="00B7633B"/>
    <w:rsid w:val="00B81CB2"/>
    <w:rsid w:val="00B86FD6"/>
    <w:rsid w:val="00B93B28"/>
    <w:rsid w:val="00BA0E9F"/>
    <w:rsid w:val="00BA7038"/>
    <w:rsid w:val="00BA7FE3"/>
    <w:rsid w:val="00BB0A93"/>
    <w:rsid w:val="00BB7FAE"/>
    <w:rsid w:val="00BC3AE8"/>
    <w:rsid w:val="00BC5D81"/>
    <w:rsid w:val="00BC60DB"/>
    <w:rsid w:val="00BD7FE6"/>
    <w:rsid w:val="00BE027A"/>
    <w:rsid w:val="00BE0AC7"/>
    <w:rsid w:val="00BE4007"/>
    <w:rsid w:val="00BE54DD"/>
    <w:rsid w:val="00C01ED7"/>
    <w:rsid w:val="00C035E5"/>
    <w:rsid w:val="00C108C1"/>
    <w:rsid w:val="00C151E2"/>
    <w:rsid w:val="00C1798C"/>
    <w:rsid w:val="00C22028"/>
    <w:rsid w:val="00C235F9"/>
    <w:rsid w:val="00C26ABC"/>
    <w:rsid w:val="00C32E9F"/>
    <w:rsid w:val="00C34F42"/>
    <w:rsid w:val="00C35165"/>
    <w:rsid w:val="00C4267C"/>
    <w:rsid w:val="00C47F26"/>
    <w:rsid w:val="00C50F9B"/>
    <w:rsid w:val="00C55403"/>
    <w:rsid w:val="00C60247"/>
    <w:rsid w:val="00C72944"/>
    <w:rsid w:val="00C7409D"/>
    <w:rsid w:val="00C8280D"/>
    <w:rsid w:val="00C974A1"/>
    <w:rsid w:val="00CA16B2"/>
    <w:rsid w:val="00CA73C1"/>
    <w:rsid w:val="00CB4DA0"/>
    <w:rsid w:val="00CB611A"/>
    <w:rsid w:val="00CC03C4"/>
    <w:rsid w:val="00CC0FCD"/>
    <w:rsid w:val="00CC1515"/>
    <w:rsid w:val="00CC20D1"/>
    <w:rsid w:val="00CC411E"/>
    <w:rsid w:val="00CD22DE"/>
    <w:rsid w:val="00CD46D8"/>
    <w:rsid w:val="00CD52B8"/>
    <w:rsid w:val="00CD68EC"/>
    <w:rsid w:val="00CE5E7C"/>
    <w:rsid w:val="00CF0EEB"/>
    <w:rsid w:val="00CF5D3B"/>
    <w:rsid w:val="00D06325"/>
    <w:rsid w:val="00D10DBF"/>
    <w:rsid w:val="00D1567A"/>
    <w:rsid w:val="00D23B14"/>
    <w:rsid w:val="00D35D27"/>
    <w:rsid w:val="00D40051"/>
    <w:rsid w:val="00D40160"/>
    <w:rsid w:val="00D418E6"/>
    <w:rsid w:val="00D4691A"/>
    <w:rsid w:val="00D4757B"/>
    <w:rsid w:val="00D55970"/>
    <w:rsid w:val="00D56C63"/>
    <w:rsid w:val="00D6107E"/>
    <w:rsid w:val="00D61480"/>
    <w:rsid w:val="00D61BE5"/>
    <w:rsid w:val="00D62FDB"/>
    <w:rsid w:val="00D66DB0"/>
    <w:rsid w:val="00D72AD8"/>
    <w:rsid w:val="00D731FA"/>
    <w:rsid w:val="00D8210B"/>
    <w:rsid w:val="00D90B46"/>
    <w:rsid w:val="00D93628"/>
    <w:rsid w:val="00DA251B"/>
    <w:rsid w:val="00DA4FF5"/>
    <w:rsid w:val="00DB0CF6"/>
    <w:rsid w:val="00DB15AF"/>
    <w:rsid w:val="00DB2458"/>
    <w:rsid w:val="00DB3E8E"/>
    <w:rsid w:val="00DB7DFB"/>
    <w:rsid w:val="00DC788F"/>
    <w:rsid w:val="00DD03D0"/>
    <w:rsid w:val="00DD4314"/>
    <w:rsid w:val="00DD57DD"/>
    <w:rsid w:val="00DE481B"/>
    <w:rsid w:val="00DE6E79"/>
    <w:rsid w:val="00DF0631"/>
    <w:rsid w:val="00DF507F"/>
    <w:rsid w:val="00DF5BFD"/>
    <w:rsid w:val="00E009CF"/>
    <w:rsid w:val="00E0260F"/>
    <w:rsid w:val="00E062AA"/>
    <w:rsid w:val="00E21E2F"/>
    <w:rsid w:val="00E24BC6"/>
    <w:rsid w:val="00E26A8C"/>
    <w:rsid w:val="00E3337F"/>
    <w:rsid w:val="00E33DC1"/>
    <w:rsid w:val="00E37E5A"/>
    <w:rsid w:val="00E4182C"/>
    <w:rsid w:val="00E56C45"/>
    <w:rsid w:val="00E57665"/>
    <w:rsid w:val="00E602DE"/>
    <w:rsid w:val="00E77D51"/>
    <w:rsid w:val="00E860A5"/>
    <w:rsid w:val="00E96A73"/>
    <w:rsid w:val="00EA3457"/>
    <w:rsid w:val="00EA4732"/>
    <w:rsid w:val="00EA4FF1"/>
    <w:rsid w:val="00EB2448"/>
    <w:rsid w:val="00EB3205"/>
    <w:rsid w:val="00EB73C0"/>
    <w:rsid w:val="00EC673A"/>
    <w:rsid w:val="00ED1018"/>
    <w:rsid w:val="00ED6BDC"/>
    <w:rsid w:val="00ED6FF0"/>
    <w:rsid w:val="00ED72B0"/>
    <w:rsid w:val="00EE02B9"/>
    <w:rsid w:val="00F03ECD"/>
    <w:rsid w:val="00F05C66"/>
    <w:rsid w:val="00F06BED"/>
    <w:rsid w:val="00F071CF"/>
    <w:rsid w:val="00F159A3"/>
    <w:rsid w:val="00F166B9"/>
    <w:rsid w:val="00F231E8"/>
    <w:rsid w:val="00F24089"/>
    <w:rsid w:val="00F24DBF"/>
    <w:rsid w:val="00F26BA0"/>
    <w:rsid w:val="00F27152"/>
    <w:rsid w:val="00F2756E"/>
    <w:rsid w:val="00F33894"/>
    <w:rsid w:val="00F351C5"/>
    <w:rsid w:val="00F35D11"/>
    <w:rsid w:val="00F41832"/>
    <w:rsid w:val="00F44B8E"/>
    <w:rsid w:val="00F462E1"/>
    <w:rsid w:val="00F50F61"/>
    <w:rsid w:val="00F53636"/>
    <w:rsid w:val="00F67E81"/>
    <w:rsid w:val="00F7155B"/>
    <w:rsid w:val="00F71A40"/>
    <w:rsid w:val="00F74F81"/>
    <w:rsid w:val="00F75474"/>
    <w:rsid w:val="00F801FB"/>
    <w:rsid w:val="00F80CFD"/>
    <w:rsid w:val="00F84742"/>
    <w:rsid w:val="00F86D84"/>
    <w:rsid w:val="00F87503"/>
    <w:rsid w:val="00F90342"/>
    <w:rsid w:val="00F90F9A"/>
    <w:rsid w:val="00F955D8"/>
    <w:rsid w:val="00F97447"/>
    <w:rsid w:val="00FA02F1"/>
    <w:rsid w:val="00FA295B"/>
    <w:rsid w:val="00FA29AC"/>
    <w:rsid w:val="00FA5582"/>
    <w:rsid w:val="00FA7782"/>
    <w:rsid w:val="00FB13A1"/>
    <w:rsid w:val="00FB5C7A"/>
    <w:rsid w:val="00FB7F74"/>
    <w:rsid w:val="00FC0881"/>
    <w:rsid w:val="00FC1373"/>
    <w:rsid w:val="00FC3CC7"/>
    <w:rsid w:val="00FD305B"/>
    <w:rsid w:val="00FE0B60"/>
    <w:rsid w:val="00FE321E"/>
    <w:rsid w:val="00FE44FB"/>
    <w:rsid w:val="00FE72D6"/>
    <w:rsid w:val="00FF123D"/>
    <w:rsid w:val="00FF6285"/>
    <w:rsid w:val="26327527"/>
    <w:rsid w:val="2D31ED7C"/>
    <w:rsid w:val="30F145BF"/>
    <w:rsid w:val="31DB5ECF"/>
    <w:rsid w:val="3388EC45"/>
    <w:rsid w:val="350A57DE"/>
    <w:rsid w:val="4288C53F"/>
    <w:rsid w:val="5093AF61"/>
    <w:rsid w:val="59D5E2AE"/>
    <w:rsid w:val="61E8051A"/>
    <w:rsid w:val="73B4E076"/>
    <w:rsid w:val="7793E9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CCC23F5A-3670-4B6C-BA8A-8B1AC4D6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FB5C7A"/>
    <w:pPr>
      <w:numPr>
        <w:numId w:val="12"/>
      </w:numPr>
      <w:spacing w:after="0" w:line="240" w:lineRule="auto"/>
    </w:pPr>
    <w:rPr>
      <w:lang w:val="en-GB"/>
    </w:rPr>
  </w:style>
  <w:style w:type="character" w:customStyle="1" w:styleId="ListParagraphChar">
    <w:name w:val="List Paragraph Char"/>
    <w:basedOn w:val="DefaultParagraphFont"/>
    <w:link w:val="ListParagraph"/>
    <w:uiPriority w:val="34"/>
    <w:rsid w:val="00FB5C7A"/>
  </w:style>
  <w:style w:type="character" w:customStyle="1" w:styleId="SecondnumberingChar">
    <w:name w:val="Second numbering Char"/>
    <w:basedOn w:val="DefaultParagraphFont"/>
    <w:link w:val="Secondnumbering"/>
    <w:rsid w:val="00FB5C7A"/>
    <w:rPr>
      <w:lang w:val="en-GB"/>
    </w:rPr>
  </w:style>
  <w:style w:type="paragraph" w:customStyle="1" w:styleId="Title1">
    <w:name w:val="Title1"/>
    <w:basedOn w:val="Normal"/>
    <w:link w:val="TITLEChar"/>
    <w:qFormat/>
    <w:rsid w:val="00FB5C7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FB5C7A"/>
    <w:rPr>
      <w:rFonts w:eastAsia="Times New Roman" w:cs="Arial"/>
      <w:b/>
      <w:caps/>
      <w:lang w:val="en-GB"/>
    </w:rPr>
  </w:style>
  <w:style w:type="paragraph" w:styleId="EndnoteText">
    <w:name w:val="endnote text"/>
    <w:basedOn w:val="Normal"/>
    <w:link w:val="EndnoteTextChar"/>
    <w:uiPriority w:val="99"/>
    <w:semiHidden/>
    <w:unhideWhenUsed/>
    <w:rsid w:val="00E860A5"/>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E860A5"/>
    <w:rPr>
      <w:sz w:val="20"/>
      <w:szCs w:val="20"/>
      <w:lang w:val="en-GB"/>
    </w:rPr>
  </w:style>
  <w:style w:type="character" w:styleId="UnresolvedMention">
    <w:name w:val="Unresolved Mention"/>
    <w:basedOn w:val="DefaultParagraphFont"/>
    <w:uiPriority w:val="99"/>
    <w:semiHidden/>
    <w:unhideWhenUsed/>
    <w:rsid w:val="00624681"/>
    <w:rPr>
      <w:color w:val="605E5C"/>
      <w:shd w:val="clear" w:color="auto" w:fill="E1DFDD"/>
    </w:rPr>
  </w:style>
  <w:style w:type="paragraph" w:styleId="Revision">
    <w:name w:val="Revision"/>
    <w:hidden/>
    <w:uiPriority w:val="99"/>
    <w:semiHidden/>
    <w:rsid w:val="00361AA1"/>
    <w:pPr>
      <w:spacing w:after="0" w:line="240" w:lineRule="auto"/>
    </w:pPr>
  </w:style>
  <w:style w:type="character" w:styleId="Mention">
    <w:name w:val="Mention"/>
    <w:basedOn w:val="DefaultParagraphFont"/>
    <w:uiPriority w:val="99"/>
    <w:unhideWhenUsed/>
    <w:rsid w:val="00411C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371/journal.pone.023994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doi.org/10.1371/journal.pone.01367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C1580115-690B-4A98-B4CB-8A19686D0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4.xml><?xml version="1.0" encoding="utf-8"?>
<ds:datastoreItem xmlns:ds="http://schemas.openxmlformats.org/officeDocument/2006/customXml" ds:itemID="{BB4185F0-F2E7-480F-974E-F0E3D98A5904}">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3424</Words>
  <Characters>19517</Characters>
  <Application>Microsoft Office Word</Application>
  <DocSecurity>0</DocSecurity>
  <Lines>162</Lines>
  <Paragraphs>45</Paragraphs>
  <ScaleCrop>false</ScaleCrop>
  <Company/>
  <LinksUpToDate>false</LinksUpToDate>
  <CharactersWithSpaces>22896</CharactersWithSpaces>
  <SharedDoc>false</SharedDoc>
  <HLinks>
    <vt:vector size="12" baseType="variant">
      <vt:variant>
        <vt:i4>4390986</vt:i4>
      </vt:variant>
      <vt:variant>
        <vt:i4>3</vt:i4>
      </vt:variant>
      <vt:variant>
        <vt:i4>0</vt:i4>
      </vt:variant>
      <vt:variant>
        <vt:i4>5</vt:i4>
      </vt:variant>
      <vt:variant>
        <vt:lpwstr>https://doi.org/10.1371/journal.pone.0239945</vt:lpwstr>
      </vt:variant>
      <vt:variant>
        <vt:lpwstr/>
      </vt:variant>
      <vt:variant>
        <vt:i4>4915269</vt:i4>
      </vt:variant>
      <vt:variant>
        <vt:i4>0</vt:i4>
      </vt:variant>
      <vt:variant>
        <vt:i4>0</vt:i4>
      </vt:variant>
      <vt:variant>
        <vt:i4>5</vt:i4>
      </vt:variant>
      <vt:variant>
        <vt:lpwstr>https://doi.org/10.1371/journal.pone.0136773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 Secretariat</dc:creator>
  <cp:keywords/>
  <dc:description/>
  <cp:lastModifiedBy>Catherine Brueckner</cp:lastModifiedBy>
  <cp:revision>5</cp:revision>
  <cp:lastPrinted>2026-01-15T19:42:00Z</cp:lastPrinted>
  <dcterms:created xsi:type="dcterms:W3CDTF">2026-03-27T20:45:00Z</dcterms:created>
  <dcterms:modified xsi:type="dcterms:W3CDTF">2026-03-27T20:53:00Z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