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D6C1" w14:textId="77777777" w:rsidR="00D72F45" w:rsidRPr="00D72F45" w:rsidRDefault="00D72F45" w:rsidP="00D72F45">
      <w:pPr>
        <w:jc w:val="center"/>
        <w:rPr>
          <w:rFonts w:ascii="Arial" w:hAnsi="Arial" w:cs="Arial"/>
          <w:sz w:val="22"/>
          <w:szCs w:val="22"/>
          <w:lang w:val="es-ES"/>
        </w:rPr>
      </w:pPr>
      <w:r w:rsidRPr="00D72F45">
        <w:rPr>
          <w:rFonts w:ascii="Arial" w:hAnsi="Arial"/>
          <w:b/>
          <w:sz w:val="22"/>
          <w:lang w:val="es-ES"/>
        </w:rPr>
        <w:t>ANGUILA EUROPEA</w:t>
      </w:r>
    </w:p>
    <w:p w14:paraId="3A079B55" w14:textId="77777777" w:rsidR="00D72F45" w:rsidRPr="00D72F45" w:rsidRDefault="00D72F45" w:rsidP="00D72F45">
      <w:pPr>
        <w:jc w:val="center"/>
        <w:rPr>
          <w:rFonts w:ascii="Arial" w:hAnsi="Arial" w:cs="Arial"/>
          <w:b/>
          <w:sz w:val="22"/>
          <w:szCs w:val="22"/>
          <w:lang w:val="es-ES"/>
        </w:rPr>
      </w:pPr>
    </w:p>
    <w:p w14:paraId="50DED109" w14:textId="77777777" w:rsidR="00D72F45" w:rsidRPr="00D72F45" w:rsidRDefault="00D72F45" w:rsidP="00D72F45">
      <w:pPr>
        <w:jc w:val="center"/>
        <w:rPr>
          <w:rFonts w:ascii="Arial" w:hAnsi="Arial" w:cs="Arial"/>
          <w:sz w:val="22"/>
          <w:szCs w:val="22"/>
          <w:lang w:val="es-ES"/>
        </w:rPr>
      </w:pPr>
      <w:r w:rsidRPr="00D72F45">
        <w:rPr>
          <w:rFonts w:ascii="Arial" w:hAnsi="Arial"/>
          <w:sz w:val="22"/>
          <w:lang w:val="es-ES"/>
        </w:rPr>
        <w:t>UNEP/CMS/COP15/Doc.25.6.2</w:t>
      </w:r>
    </w:p>
    <w:p w14:paraId="0F063936" w14:textId="77777777" w:rsidR="00D72F45" w:rsidRPr="00D72F45" w:rsidRDefault="00D72F45" w:rsidP="00D72F45">
      <w:pPr>
        <w:jc w:val="center"/>
        <w:rPr>
          <w:rFonts w:ascii="Arial" w:hAnsi="Arial" w:cs="Arial"/>
          <w:sz w:val="22"/>
          <w:szCs w:val="22"/>
          <w:lang w:val="es-ES"/>
        </w:rPr>
      </w:pPr>
    </w:p>
    <w:p w14:paraId="7CCD9884" w14:textId="77777777" w:rsidR="00D72F45" w:rsidRPr="00D72F45" w:rsidRDefault="00D72F45" w:rsidP="00D72F45">
      <w:pPr>
        <w:jc w:val="center"/>
        <w:rPr>
          <w:rFonts w:ascii="Arial" w:hAnsi="Arial" w:cs="Arial"/>
          <w:i/>
          <w:sz w:val="22"/>
          <w:szCs w:val="22"/>
          <w:lang w:val="es-ES"/>
        </w:rPr>
      </w:pPr>
      <w:r w:rsidRPr="00D72F45">
        <w:rPr>
          <w:rFonts w:ascii="Arial" w:hAnsi="Arial"/>
          <w:i/>
          <w:sz w:val="22"/>
          <w:lang w:val="es-ES"/>
        </w:rPr>
        <w:t>(Preparado por el Grupo de Trabajo sobre Especies Acuáticas)</w:t>
      </w:r>
    </w:p>
    <w:p w14:paraId="0252B014" w14:textId="77777777" w:rsidR="00D72F45" w:rsidRPr="00D72F45" w:rsidRDefault="00D72F45" w:rsidP="00D72F45">
      <w:pPr>
        <w:jc w:val="center"/>
        <w:rPr>
          <w:rFonts w:ascii="Arial" w:hAnsi="Arial" w:cs="Arial"/>
          <w:i/>
          <w:sz w:val="22"/>
          <w:szCs w:val="22"/>
          <w:lang w:val="es-ES"/>
        </w:rPr>
      </w:pPr>
    </w:p>
    <w:p w14:paraId="39399E3F" w14:textId="77777777" w:rsidR="00D72F45" w:rsidRPr="00D72F45" w:rsidRDefault="00D72F45" w:rsidP="00D72F45">
      <w:pPr>
        <w:widowControl/>
        <w:suppressAutoHyphens w:val="0"/>
        <w:autoSpaceDE/>
        <w:autoSpaceDN/>
        <w:jc w:val="center"/>
        <w:textAlignment w:val="auto"/>
        <w:rPr>
          <w:rFonts w:ascii="Arial" w:eastAsiaTheme="minorHAnsi" w:hAnsi="Arial" w:cs="Arial"/>
          <w:sz w:val="22"/>
          <w:szCs w:val="22"/>
          <w:lang w:val="es-ES"/>
        </w:rPr>
      </w:pPr>
      <w:r w:rsidRPr="00D72F45">
        <w:rPr>
          <w:rFonts w:ascii="Arial" w:hAnsi="Arial"/>
          <w:sz w:val="22"/>
          <w:lang w:val="es-ES"/>
        </w:rPr>
        <w:t>PROYECTO DE RESOLUCIÓN</w:t>
      </w:r>
    </w:p>
    <w:p w14:paraId="7278AC74" w14:textId="77777777" w:rsidR="00D72F45" w:rsidRDefault="00D72F45" w:rsidP="00D72F45">
      <w:pPr>
        <w:widowControl/>
        <w:suppressAutoHyphens w:val="0"/>
        <w:autoSpaceDE/>
        <w:autoSpaceDN/>
        <w:textAlignment w:val="auto"/>
        <w:rPr>
          <w:rFonts w:ascii="Arial" w:eastAsiaTheme="minorHAnsi" w:hAnsi="Arial" w:cs="Arial"/>
          <w:sz w:val="22"/>
          <w:szCs w:val="22"/>
          <w:lang w:val="es-ES"/>
        </w:rPr>
      </w:pPr>
    </w:p>
    <w:p w14:paraId="0E36DE9C" w14:textId="77777777" w:rsidR="00332724" w:rsidRPr="00D72F45" w:rsidRDefault="00332724" w:rsidP="00D72F45">
      <w:pPr>
        <w:widowControl/>
        <w:suppressAutoHyphens w:val="0"/>
        <w:autoSpaceDE/>
        <w:autoSpaceDN/>
        <w:textAlignment w:val="auto"/>
        <w:rPr>
          <w:rFonts w:ascii="Arial" w:eastAsiaTheme="minorHAnsi" w:hAnsi="Arial" w:cs="Arial"/>
          <w:sz w:val="22"/>
          <w:szCs w:val="22"/>
          <w:lang w:val="es-ES"/>
        </w:rPr>
      </w:pPr>
    </w:p>
    <w:p w14:paraId="1A7CDF9F" w14:textId="77777777" w:rsidR="00D72F45" w:rsidRPr="00D72F45" w:rsidRDefault="00D72F45" w:rsidP="00D72F45">
      <w:pPr>
        <w:widowControl/>
        <w:pBdr>
          <w:top w:val="single" w:sz="6" w:space="0" w:color="FFFFFF"/>
          <w:left w:val="single" w:sz="6" w:space="0" w:color="FFFFFF"/>
          <w:bottom w:val="single" w:sz="6" w:space="0" w:color="FFFFFF"/>
          <w:right w:val="single" w:sz="6" w:space="0" w:color="FFFFFF"/>
        </w:pBdr>
        <w:suppressAutoHyphens w:val="0"/>
        <w:autoSpaceDE/>
        <w:autoSpaceDN/>
        <w:jc w:val="center"/>
        <w:textAlignment w:val="auto"/>
        <w:outlineLvl w:val="1"/>
        <w:rPr>
          <w:rFonts w:ascii="Arial" w:eastAsiaTheme="minorHAnsi" w:hAnsi="Arial" w:cs="Arial"/>
          <w:b/>
          <w:caps/>
          <w:sz w:val="22"/>
          <w:szCs w:val="22"/>
          <w:lang w:val="es-ES"/>
        </w:rPr>
      </w:pPr>
      <w:r w:rsidRPr="00D72F45">
        <w:rPr>
          <w:rFonts w:ascii="Arial" w:hAnsi="Arial"/>
          <w:b/>
          <w:sz w:val="22"/>
          <w:lang w:val="es-ES"/>
        </w:rPr>
        <w:t>PLAN DE ACCIÓN DE ESPECIES ÚNICAS para la anguila europea (</w:t>
      </w:r>
      <w:r w:rsidRPr="00D72F45">
        <w:rPr>
          <w:rFonts w:ascii="Arial" w:hAnsi="Arial"/>
          <w:b/>
          <w:i/>
          <w:sz w:val="22"/>
          <w:lang w:val="es-ES"/>
        </w:rPr>
        <w:t>Anguilla anguilla</w:t>
      </w:r>
      <w:r w:rsidRPr="00D72F45">
        <w:rPr>
          <w:rFonts w:ascii="Arial" w:hAnsi="Arial"/>
          <w:b/>
          <w:sz w:val="22"/>
          <w:lang w:val="es-ES"/>
        </w:rPr>
        <w:t>)</w:t>
      </w:r>
    </w:p>
    <w:p w14:paraId="439B8571" w14:textId="77777777" w:rsidR="00D72F45" w:rsidRPr="00D72F45" w:rsidRDefault="00D72F45" w:rsidP="00D72F45">
      <w:pPr>
        <w:widowControl/>
        <w:suppressAutoHyphens w:val="0"/>
        <w:autoSpaceDE/>
        <w:autoSpaceDN/>
        <w:textAlignment w:val="auto"/>
        <w:rPr>
          <w:rFonts w:ascii="Arial" w:eastAsiaTheme="minorHAnsi" w:hAnsi="Arial" w:cs="Arial"/>
          <w:b/>
          <w:caps/>
          <w:sz w:val="22"/>
          <w:szCs w:val="22"/>
          <w:lang w:val="es-ES"/>
        </w:rPr>
      </w:pPr>
    </w:p>
    <w:p w14:paraId="405B201C" w14:textId="77777777" w:rsidR="00D72F45" w:rsidRPr="00D72F45" w:rsidRDefault="00D72F45" w:rsidP="00D72F45">
      <w:pPr>
        <w:widowControl/>
        <w:suppressAutoHyphens w:val="0"/>
        <w:autoSpaceDE/>
        <w:autoSpaceDN/>
        <w:textAlignment w:val="auto"/>
        <w:rPr>
          <w:rFonts w:ascii="Arial" w:eastAsiaTheme="minorHAnsi" w:hAnsi="Arial" w:cs="Arial"/>
          <w:b/>
          <w:caps/>
          <w:sz w:val="22"/>
          <w:szCs w:val="22"/>
          <w:lang w:val="es-ES"/>
        </w:rPr>
      </w:pPr>
    </w:p>
    <w:p w14:paraId="02EBA6C5"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sz w:val="22"/>
          <w:lang w:val="es-ES"/>
        </w:rPr>
        <w:t>Observando</w:t>
      </w:r>
      <w:r w:rsidRPr="00D72F45">
        <w:rPr>
          <w:rFonts w:ascii="Arial" w:hAnsi="Arial"/>
          <w:sz w:val="22"/>
          <w:lang w:val="es-ES"/>
        </w:rPr>
        <w:t xml:space="preserve"> que la anguila europea (</w:t>
      </w:r>
      <w:r w:rsidRPr="00D72F45">
        <w:rPr>
          <w:rFonts w:ascii="Arial" w:hAnsi="Arial"/>
          <w:i/>
          <w:sz w:val="22"/>
          <w:lang w:val="es-ES"/>
        </w:rPr>
        <w:t>Anguilla anguilla</w:t>
      </w:r>
      <w:r w:rsidRPr="00D72F45">
        <w:rPr>
          <w:rFonts w:ascii="Arial" w:hAnsi="Arial"/>
          <w:sz w:val="22"/>
          <w:lang w:val="es-ES"/>
        </w:rPr>
        <w:t>) fue incluida en el Apéndice II de la CMS durante la 11ª reunión de la Conferencia de las Partes (COP11),</w:t>
      </w:r>
    </w:p>
    <w:p w14:paraId="256989D1"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5CD8DDE2"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sz w:val="22"/>
          <w:lang w:val="es-ES"/>
        </w:rPr>
        <w:t>Alarmada</w:t>
      </w:r>
      <w:r w:rsidRPr="00D72F45">
        <w:rPr>
          <w:rFonts w:ascii="Arial" w:hAnsi="Arial"/>
          <w:sz w:val="22"/>
          <w:lang w:val="es-ES"/>
        </w:rPr>
        <w:t xml:space="preserve"> por el descenso de la población de la anguila europea en toda su área de distribución y por la compleja combinación de amenazas a la que se enfrenta, entre ellas las barreras a la migración, la sobreexplotación, el comercio ilegal, la captura incidental, la pérdida y degradación de su hábitat, la contaminación, las infecciones parasitarias y los cambios en las condiciones oceánicas,</w:t>
      </w:r>
    </w:p>
    <w:p w14:paraId="06C51879"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5248869D"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sz w:val="22"/>
          <w:lang w:val="es-ES"/>
        </w:rPr>
        <w:t>Preocupada</w:t>
      </w:r>
      <w:r w:rsidRPr="00D72F45">
        <w:rPr>
          <w:rFonts w:ascii="Arial" w:hAnsi="Arial"/>
          <w:sz w:val="22"/>
          <w:lang w:val="es-ES"/>
        </w:rPr>
        <w:t xml:space="preserve"> por el hecho de que la especie esté clasificada como En peligro crítico en la Lista Roja de la UICN y que los niveles de incorporación de nuevos ejemplares se mantengan en mínimos históricos a pesar de las medidas de gestión aplicadas en varios Estados del área de distribución,</w:t>
      </w:r>
    </w:p>
    <w:p w14:paraId="436118C4"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7EFFE7F9"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sz w:val="22"/>
          <w:lang w:val="es-ES"/>
        </w:rPr>
        <w:t>Reconociendo</w:t>
      </w:r>
      <w:r w:rsidRPr="00D72F45">
        <w:rPr>
          <w:rFonts w:ascii="Arial" w:hAnsi="Arial"/>
          <w:sz w:val="22"/>
          <w:lang w:val="es-ES"/>
        </w:rPr>
        <w:t xml:space="preserve"> que la anguila europea es una especie migratoria catádroma única, que conecta las aguas continentales y costeras de Europa y el norte de África con las del mar de los Sargazos, y que desempeña un papel ecológico, económico y cultural fundamental,</w:t>
      </w:r>
    </w:p>
    <w:p w14:paraId="3A733451"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70AAE0D0"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sz w:val="22"/>
          <w:lang w:val="es-ES"/>
        </w:rPr>
        <w:t xml:space="preserve">Observando </w:t>
      </w:r>
      <w:r w:rsidRPr="00D72F45">
        <w:rPr>
          <w:rFonts w:ascii="Arial" w:hAnsi="Arial"/>
          <w:sz w:val="22"/>
          <w:lang w:val="es-ES"/>
        </w:rPr>
        <w:t xml:space="preserve">el trabajo complementario realizado en el marco de otros organismos pertinentes, entre ellos la Unión Europea, la Comisión General de Pesca del Mediterráneo (CGPM), el Consejo Internacional para la Exploración del Mar (CIEM), la CITES y la Comisión del Mar de los Sargazos, </w:t>
      </w:r>
    </w:p>
    <w:p w14:paraId="667F8026"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446423EC" w14:textId="28C148B8"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iCs/>
          <w:sz w:val="22"/>
          <w:lang w:val="es-ES"/>
        </w:rPr>
        <w:t>Reconociendo</w:t>
      </w:r>
      <w:r w:rsidRPr="00D72F45">
        <w:rPr>
          <w:rFonts w:ascii="Arial" w:hAnsi="Arial"/>
          <w:sz w:val="22"/>
          <w:lang w:val="es-ES"/>
        </w:rPr>
        <w:t xml:space="preserve"> la necesidad urgente de reforzar las medidas de conservación, gestión, seguimiento y observancia para revertir la disminución de especies y velar por la recuperación a largo plazo de su población,</w:t>
      </w:r>
    </w:p>
    <w:p w14:paraId="50C2E0B6" w14:textId="77777777" w:rsidR="00D72F45" w:rsidRPr="00D72F45" w:rsidRDefault="00D72F45" w:rsidP="00D72F45">
      <w:pPr>
        <w:widowControl/>
        <w:suppressAutoHyphens w:val="0"/>
        <w:autoSpaceDE/>
        <w:autoSpaceDN/>
        <w:jc w:val="both"/>
        <w:textAlignment w:val="auto"/>
        <w:rPr>
          <w:rFonts w:ascii="Arial" w:hAnsi="Arial" w:cs="Arial"/>
          <w:i/>
          <w:sz w:val="22"/>
          <w:szCs w:val="22"/>
          <w:lang w:val="es-ES" w:eastAsia="en-GB"/>
        </w:rPr>
      </w:pPr>
    </w:p>
    <w:p w14:paraId="5F3386FF" w14:textId="3F00B685"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iCs/>
          <w:sz w:val="22"/>
          <w:lang w:val="es-ES"/>
        </w:rPr>
        <w:t>Reconociendo</w:t>
      </w:r>
      <w:r w:rsidRPr="00D72F45">
        <w:rPr>
          <w:rFonts w:ascii="Arial" w:hAnsi="Arial"/>
          <w:sz w:val="22"/>
          <w:lang w:val="es-ES"/>
        </w:rPr>
        <w:t xml:space="preserve"> la importancia de la acción transfronteriza coordinada en toda el área de distribución migratoria, incluidas las aguas continentales, las zonas costeras y de alta mar, y</w:t>
      </w:r>
    </w:p>
    <w:p w14:paraId="56CEDF85" w14:textId="77777777" w:rsidR="00D72F45" w:rsidRPr="00D72F45" w:rsidRDefault="00D72F45" w:rsidP="00D72F45">
      <w:pPr>
        <w:widowControl/>
        <w:suppressAutoHyphens w:val="0"/>
        <w:autoSpaceDE/>
        <w:autoSpaceDN/>
        <w:jc w:val="both"/>
        <w:textAlignment w:val="auto"/>
        <w:rPr>
          <w:rFonts w:ascii="Arial" w:hAnsi="Arial" w:cs="Arial"/>
          <w:i/>
          <w:sz w:val="22"/>
          <w:szCs w:val="22"/>
          <w:lang w:val="es-ES" w:eastAsia="en-GB"/>
        </w:rPr>
      </w:pPr>
    </w:p>
    <w:p w14:paraId="5961C6F5" w14:textId="57C57CD5" w:rsidR="00D72F45" w:rsidRPr="00D72F45" w:rsidRDefault="00D72F45" w:rsidP="00D72F45">
      <w:pPr>
        <w:widowControl/>
        <w:suppressAutoHyphens w:val="0"/>
        <w:autoSpaceDE/>
        <w:autoSpaceDN/>
        <w:jc w:val="both"/>
        <w:textAlignment w:val="auto"/>
        <w:rPr>
          <w:rFonts w:ascii="Arial" w:hAnsi="Arial" w:cs="Arial"/>
          <w:sz w:val="22"/>
          <w:szCs w:val="22"/>
          <w:lang w:val="es-ES"/>
        </w:rPr>
      </w:pPr>
      <w:r w:rsidRPr="00D72F45">
        <w:rPr>
          <w:rFonts w:ascii="Arial" w:hAnsi="Arial"/>
          <w:i/>
          <w:iCs/>
          <w:sz w:val="22"/>
          <w:lang w:val="es-ES"/>
        </w:rPr>
        <w:t>Poniendo de relieve</w:t>
      </w:r>
      <w:r w:rsidRPr="00D72F45">
        <w:rPr>
          <w:rFonts w:ascii="Arial" w:hAnsi="Arial"/>
          <w:sz w:val="22"/>
          <w:lang w:val="es-ES"/>
        </w:rPr>
        <w:t xml:space="preserve"> que es necesario aumentar la rastreabilidad y el control de las actividades de pesca, mejorar la conectividad de los hábitats y reforzar la acción contra el comercio ilegal,</w:t>
      </w:r>
    </w:p>
    <w:p w14:paraId="720A6D66"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1513E808" w14:textId="77777777" w:rsidR="00D72F45" w:rsidRPr="00D72F45" w:rsidRDefault="00D72F45" w:rsidP="00D72F45">
      <w:pPr>
        <w:widowControl/>
        <w:suppressAutoHyphens w:val="0"/>
        <w:autoSpaceDE/>
        <w:autoSpaceDN/>
        <w:jc w:val="both"/>
        <w:textAlignment w:val="auto"/>
        <w:rPr>
          <w:rFonts w:ascii="Arial" w:hAnsi="Arial" w:cs="Arial"/>
          <w:sz w:val="22"/>
          <w:szCs w:val="22"/>
          <w:lang w:val="es-ES" w:eastAsia="en-GB"/>
        </w:rPr>
      </w:pPr>
    </w:p>
    <w:p w14:paraId="37B925B1" w14:textId="77777777" w:rsidR="00D72F45" w:rsidRPr="00D72F45" w:rsidRDefault="00D72F45" w:rsidP="00D72F45">
      <w:pPr>
        <w:widowControl/>
        <w:suppressAutoHyphens w:val="0"/>
        <w:autoSpaceDE/>
        <w:autoSpaceDN/>
        <w:jc w:val="center"/>
        <w:textAlignment w:val="auto"/>
        <w:rPr>
          <w:rFonts w:ascii="Arial" w:hAnsi="Arial" w:cs="Arial"/>
          <w:i/>
          <w:sz w:val="22"/>
          <w:szCs w:val="22"/>
          <w:lang w:val="es-ES"/>
        </w:rPr>
      </w:pPr>
      <w:r w:rsidRPr="00D72F45">
        <w:rPr>
          <w:rFonts w:ascii="Arial" w:hAnsi="Arial"/>
          <w:i/>
          <w:sz w:val="22"/>
          <w:lang w:val="es-ES"/>
        </w:rPr>
        <w:t xml:space="preserve">La Conferencia de las Partes de la </w:t>
      </w:r>
      <w:r w:rsidRPr="00D72F45">
        <w:rPr>
          <w:rFonts w:ascii="Arial" w:hAnsi="Arial"/>
          <w:i/>
          <w:sz w:val="22"/>
          <w:lang w:val="es-ES"/>
        </w:rPr>
        <w:br/>
        <w:t>Convención sobre la Conservación de las Especies Migratorias de Animales Silvestres</w:t>
      </w:r>
    </w:p>
    <w:p w14:paraId="54E7C646" w14:textId="77777777" w:rsidR="00D72F45" w:rsidRPr="00D72F45" w:rsidRDefault="00D72F45" w:rsidP="00D72F45">
      <w:pPr>
        <w:widowControl/>
        <w:suppressAutoHyphens w:val="0"/>
        <w:autoSpaceDE/>
        <w:autoSpaceDN/>
        <w:jc w:val="center"/>
        <w:textAlignment w:val="auto"/>
        <w:rPr>
          <w:rFonts w:ascii="Arial" w:hAnsi="Arial" w:cs="Arial"/>
          <w:i/>
          <w:sz w:val="22"/>
          <w:szCs w:val="22"/>
          <w:lang w:val="es-ES" w:eastAsia="en-GB"/>
        </w:rPr>
      </w:pPr>
    </w:p>
    <w:p w14:paraId="5AAE5680" w14:textId="77777777" w:rsidR="00D72F45" w:rsidRPr="00D72F45" w:rsidRDefault="00D72F45" w:rsidP="00D72F45">
      <w:pPr>
        <w:widowControl/>
        <w:suppressAutoHyphens w:val="0"/>
        <w:autoSpaceDE/>
        <w:autoSpaceDN/>
        <w:jc w:val="center"/>
        <w:textAlignment w:val="auto"/>
        <w:rPr>
          <w:rFonts w:ascii="Arial" w:hAnsi="Arial" w:cs="Arial"/>
          <w:i/>
          <w:sz w:val="22"/>
          <w:szCs w:val="22"/>
          <w:lang w:val="es-ES" w:eastAsia="en-GB"/>
        </w:rPr>
      </w:pPr>
    </w:p>
    <w:p w14:paraId="6D395BFE" w14:textId="5E58B32A"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Adopta</w:t>
      </w:r>
      <w:r w:rsidRPr="00D72F45">
        <w:rPr>
          <w:rFonts w:ascii="Arial" w:hAnsi="Arial"/>
          <w:sz w:val="22"/>
          <w:lang w:val="es-ES"/>
        </w:rPr>
        <w:t xml:space="preserve"> el Plan de Acción de Especies Únicas para la anguila europea que figura en el anexo de la presente resolución;</w:t>
      </w:r>
    </w:p>
    <w:p w14:paraId="4C8B03E7"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0C218CAA" w14:textId="77777777"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lastRenderedPageBreak/>
        <w:t>Insta</w:t>
      </w:r>
      <w:r w:rsidRPr="00D72F45">
        <w:rPr>
          <w:rFonts w:ascii="Arial" w:hAnsi="Arial"/>
          <w:sz w:val="22"/>
          <w:lang w:val="es-ES"/>
        </w:rPr>
        <w:t xml:space="preserve"> a las Partes e </w:t>
      </w:r>
      <w:r w:rsidRPr="00D72F45">
        <w:rPr>
          <w:rFonts w:ascii="Arial" w:hAnsi="Arial"/>
          <w:i/>
          <w:sz w:val="22"/>
          <w:lang w:val="es-ES"/>
        </w:rPr>
        <w:t>invita</w:t>
      </w:r>
      <w:r w:rsidRPr="00D72F45">
        <w:rPr>
          <w:rFonts w:ascii="Arial" w:hAnsi="Arial"/>
          <w:sz w:val="22"/>
          <w:lang w:val="es-ES"/>
        </w:rPr>
        <w:t xml:space="preserve"> a los Estados del área de distribución no Partes a aplicar las disposiciones pertinentes del Plan de Acción e integrar sus objetivos en los marcos nacionales y regionales de gestión;</w:t>
      </w:r>
    </w:p>
    <w:p w14:paraId="7E1DFDC4"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5F9D4841" w14:textId="7E7809E2"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Hace un llamamiento</w:t>
      </w:r>
      <w:r w:rsidRPr="00D72F45">
        <w:rPr>
          <w:rFonts w:ascii="Arial" w:hAnsi="Arial"/>
          <w:sz w:val="22"/>
          <w:lang w:val="es-ES"/>
        </w:rPr>
        <w:t xml:space="preserve"> a los Estados del área de distribución para que promuevan una colaboración activa entre las partes interesadas gubernamentales, científicas y no gubernamentales, a fin de optimizar el uso eficaz de los recursos y mejorar la recopilación y el </w:t>
      </w:r>
      <w:r>
        <w:rPr>
          <w:rFonts w:ascii="Arial" w:hAnsi="Arial"/>
          <w:sz w:val="22"/>
          <w:lang w:val="es-ES"/>
        </w:rPr>
        <w:t>u</w:t>
      </w:r>
      <w:r w:rsidRPr="00D72F45">
        <w:rPr>
          <w:rFonts w:ascii="Arial" w:hAnsi="Arial"/>
          <w:sz w:val="22"/>
          <w:lang w:val="es-ES"/>
        </w:rPr>
        <w:t xml:space="preserve"> de información sobre los programas de </w:t>
      </w:r>
      <w:r>
        <w:rPr>
          <w:rFonts w:ascii="Arial" w:hAnsi="Arial"/>
          <w:sz w:val="22"/>
          <w:lang w:val="es-ES"/>
        </w:rPr>
        <w:t>seguimiento</w:t>
      </w:r>
      <w:r w:rsidRPr="00D72F45">
        <w:rPr>
          <w:rFonts w:ascii="Arial" w:hAnsi="Arial"/>
          <w:sz w:val="22"/>
          <w:lang w:val="es-ES"/>
        </w:rPr>
        <w:t xml:space="preserve"> y los planes de gestión, garantizando que los resultados de la investigación y el seguimiento orienten la gestión adaptativa y las políticas;</w:t>
      </w:r>
    </w:p>
    <w:p w14:paraId="2FE9CFCA"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37D53A9F" w14:textId="6BCFF84E"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i/>
          <w:sz w:val="22"/>
          <w:szCs w:val="22"/>
          <w:lang w:val="es-ES"/>
        </w:rPr>
      </w:pPr>
      <w:r w:rsidRPr="00D72F45">
        <w:rPr>
          <w:rFonts w:ascii="Arial" w:hAnsi="Arial"/>
          <w:i/>
          <w:sz w:val="22"/>
          <w:lang w:val="es-ES"/>
        </w:rPr>
        <w:t>Llama también</w:t>
      </w:r>
      <w:r w:rsidRPr="00D72F45">
        <w:rPr>
          <w:rFonts w:ascii="Arial" w:hAnsi="Arial"/>
          <w:sz w:val="22"/>
          <w:lang w:val="es-ES"/>
        </w:rPr>
        <w:t xml:space="preserve"> </w:t>
      </w:r>
      <w:r w:rsidRPr="00D72F45">
        <w:rPr>
          <w:rFonts w:ascii="Arial" w:hAnsi="Arial"/>
          <w:i/>
          <w:sz w:val="22"/>
          <w:lang w:val="es-ES"/>
        </w:rPr>
        <w:t>a los</w:t>
      </w:r>
      <w:r w:rsidRPr="00D72F45">
        <w:rPr>
          <w:rFonts w:ascii="Arial" w:hAnsi="Arial"/>
          <w:sz w:val="22"/>
          <w:lang w:val="es-ES"/>
        </w:rPr>
        <w:t xml:space="preserve"> Estados del área de distribución y a sus asociados a que faciliten la colaboración regional, en particular entre las partes involucradas de Europa, el norte de África, el Mediterráneo oriental y el mar de los Sargazos, con el fin de coordinar las medidas a lo largo de toda la zona de migración de la </w:t>
      </w:r>
      <w:r>
        <w:rPr>
          <w:rFonts w:ascii="Arial" w:hAnsi="Arial"/>
          <w:sz w:val="22"/>
          <w:lang w:val="es-ES"/>
        </w:rPr>
        <w:t>especie</w:t>
      </w:r>
      <w:r w:rsidRPr="00D72F45">
        <w:rPr>
          <w:rFonts w:ascii="Arial" w:hAnsi="Arial"/>
          <w:sz w:val="22"/>
          <w:lang w:val="es-ES"/>
        </w:rPr>
        <w:t>, lo que incluye la consideración de una protección jurídica reforzada donde proceda;</w:t>
      </w:r>
    </w:p>
    <w:p w14:paraId="0A36AF1F"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i/>
          <w:sz w:val="22"/>
          <w:szCs w:val="22"/>
          <w:lang w:val="es-ES" w:eastAsia="en-GB"/>
        </w:rPr>
      </w:pPr>
    </w:p>
    <w:p w14:paraId="6EE8E511" w14:textId="77777777"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 xml:space="preserve">Solicita </w:t>
      </w:r>
      <w:r w:rsidRPr="00D72F45">
        <w:rPr>
          <w:rFonts w:ascii="Arial" w:hAnsi="Arial"/>
          <w:sz w:val="22"/>
          <w:lang w:val="es-ES"/>
        </w:rPr>
        <w:t>a los Estados del área de distribución que consideren mecanismos de coordinación adecuados;</w:t>
      </w:r>
    </w:p>
    <w:p w14:paraId="77A8AED7"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1D485D14" w14:textId="77777777"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Solicita</w:t>
      </w:r>
      <w:r w:rsidRPr="00D72F45">
        <w:rPr>
          <w:rFonts w:ascii="Arial" w:hAnsi="Arial"/>
          <w:sz w:val="22"/>
          <w:lang w:val="es-ES"/>
        </w:rPr>
        <w:t xml:space="preserve"> a los Estados del área de distribución que informen del progreso y la aplicación de este Plan de Acción a las futuras Conferencias de las Partes; </w:t>
      </w:r>
    </w:p>
    <w:p w14:paraId="7C277C30"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11D438EC" w14:textId="42059CA9"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Pr>
          <w:rFonts w:ascii="Arial" w:hAnsi="Arial"/>
          <w:i/>
          <w:sz w:val="22"/>
          <w:lang w:val="es-ES"/>
        </w:rPr>
        <w:t>Alienta</w:t>
      </w:r>
      <w:r w:rsidRPr="00D72F45">
        <w:rPr>
          <w:rFonts w:ascii="Arial" w:hAnsi="Arial"/>
          <w:sz w:val="22"/>
          <w:lang w:val="es-ES"/>
        </w:rPr>
        <w:t xml:space="preserve"> a crear sinergias con los acuerdos multilaterales sobre el medio ambiente y las iniciativas regionales pertinentes para reforzar las medidas de conservación y gestión de la anguila europea; </w:t>
      </w:r>
    </w:p>
    <w:p w14:paraId="15987667"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1502F788" w14:textId="77777777"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 xml:space="preserve">Alienta también </w:t>
      </w:r>
      <w:r w:rsidRPr="00D72F45">
        <w:rPr>
          <w:rFonts w:ascii="Arial" w:hAnsi="Arial"/>
          <w:sz w:val="22"/>
          <w:lang w:val="es-ES"/>
        </w:rPr>
        <w:t>a las Partes a compartir entre sí su experiencia, conocimientos y buenas prácticas; y</w:t>
      </w:r>
    </w:p>
    <w:p w14:paraId="2DDED308" w14:textId="77777777" w:rsidR="00D72F45" w:rsidRPr="00D72F45" w:rsidRDefault="00D72F45" w:rsidP="00D72F45">
      <w:pPr>
        <w:widowControl/>
        <w:suppressAutoHyphens w:val="0"/>
        <w:autoSpaceDE/>
        <w:autoSpaceDN/>
        <w:ind w:left="567" w:hanging="567"/>
        <w:jc w:val="both"/>
        <w:textAlignment w:val="auto"/>
        <w:rPr>
          <w:rFonts w:ascii="Arial" w:eastAsiaTheme="minorHAnsi" w:hAnsi="Arial" w:cs="Arial"/>
          <w:sz w:val="22"/>
          <w:szCs w:val="22"/>
          <w:lang w:val="es-ES" w:eastAsia="en-GB"/>
        </w:rPr>
      </w:pPr>
    </w:p>
    <w:p w14:paraId="58529D57" w14:textId="77777777" w:rsidR="00D72F45" w:rsidRPr="00D72F45" w:rsidRDefault="00D72F45" w:rsidP="00D72F45">
      <w:pPr>
        <w:widowControl/>
        <w:numPr>
          <w:ilvl w:val="0"/>
          <w:numId w:val="3"/>
        </w:numPr>
        <w:suppressAutoHyphens w:val="0"/>
        <w:autoSpaceDE/>
        <w:autoSpaceDN/>
        <w:ind w:left="567" w:hanging="567"/>
        <w:jc w:val="both"/>
        <w:textAlignment w:val="auto"/>
        <w:rPr>
          <w:rFonts w:ascii="Arial" w:eastAsiaTheme="minorHAnsi" w:hAnsi="Arial" w:cs="Arial"/>
          <w:sz w:val="22"/>
          <w:szCs w:val="22"/>
          <w:lang w:val="es-ES"/>
        </w:rPr>
      </w:pPr>
      <w:r w:rsidRPr="00D72F45">
        <w:rPr>
          <w:rFonts w:ascii="Arial" w:hAnsi="Arial"/>
          <w:i/>
          <w:sz w:val="22"/>
          <w:lang w:val="es-ES"/>
        </w:rPr>
        <w:t>Hace un llamamiento</w:t>
      </w:r>
      <w:r w:rsidRPr="00D72F45">
        <w:rPr>
          <w:rFonts w:ascii="Arial" w:hAnsi="Arial"/>
          <w:sz w:val="22"/>
          <w:lang w:val="es-ES"/>
        </w:rPr>
        <w:t xml:space="preserve"> a las Partes, donantes y otras partes interesadas para que proporcionen apoyo financiero y técnico para la aplicación del Plan de Acción de Especies Únicas.</w:t>
      </w:r>
    </w:p>
    <w:p w14:paraId="746AFEB9" w14:textId="77777777" w:rsidR="00D72F45" w:rsidRPr="00D72F45" w:rsidRDefault="00D72F45" w:rsidP="00D72F45">
      <w:pPr>
        <w:rPr>
          <w:rFonts w:ascii="Arial" w:hAnsi="Arial" w:cs="Arial"/>
          <w:sz w:val="22"/>
          <w:szCs w:val="22"/>
          <w:lang w:val="es-ES"/>
        </w:rPr>
      </w:pPr>
    </w:p>
    <w:p w14:paraId="47BB0388" w14:textId="77777777" w:rsidR="00D72F45" w:rsidRPr="00D72F45" w:rsidRDefault="00D72F45" w:rsidP="00D72F45">
      <w:pPr>
        <w:rPr>
          <w:rFonts w:ascii="Arial" w:hAnsi="Arial" w:cs="Arial"/>
          <w:sz w:val="22"/>
          <w:szCs w:val="22"/>
          <w:lang w:val="es-ES"/>
        </w:rPr>
      </w:pPr>
    </w:p>
    <w:p w14:paraId="6C8349DA" w14:textId="77777777" w:rsidR="00D72F45" w:rsidRPr="00D72F45" w:rsidRDefault="00D72F45" w:rsidP="00D72F45">
      <w:pPr>
        <w:widowControl/>
        <w:suppressAutoHyphens w:val="0"/>
        <w:autoSpaceDE/>
        <w:rPr>
          <w:rFonts w:ascii="Arial" w:hAnsi="Arial" w:cs="Arial"/>
          <w:sz w:val="22"/>
          <w:szCs w:val="22"/>
          <w:lang w:val="es-ES"/>
        </w:rPr>
      </w:pPr>
      <w:r w:rsidRPr="00D72F45">
        <w:rPr>
          <w:lang w:val="es-ES"/>
        </w:rPr>
        <w:br w:type="page"/>
      </w:r>
    </w:p>
    <w:p w14:paraId="03B51B0C" w14:textId="77777777" w:rsidR="00D72F45" w:rsidRPr="00D72F45" w:rsidRDefault="00D72F45" w:rsidP="00D72F45">
      <w:pPr>
        <w:jc w:val="center"/>
        <w:rPr>
          <w:rFonts w:ascii="Arial" w:hAnsi="Arial" w:cs="Arial"/>
          <w:sz w:val="22"/>
          <w:szCs w:val="22"/>
          <w:lang w:val="es-ES"/>
        </w:rPr>
      </w:pPr>
      <w:r w:rsidRPr="00D72F45">
        <w:rPr>
          <w:rFonts w:ascii="Arial" w:hAnsi="Arial"/>
          <w:sz w:val="22"/>
          <w:lang w:val="es-ES"/>
        </w:rPr>
        <w:lastRenderedPageBreak/>
        <w:t>PROYECTOS DE DECISIÓN</w:t>
      </w:r>
    </w:p>
    <w:p w14:paraId="55DB4FBC" w14:textId="77777777" w:rsidR="00D72F45" w:rsidRDefault="00D72F45" w:rsidP="00D72F45">
      <w:pPr>
        <w:rPr>
          <w:rFonts w:ascii="Arial" w:hAnsi="Arial" w:cs="Arial"/>
          <w:sz w:val="22"/>
          <w:szCs w:val="22"/>
          <w:lang w:val="es-ES"/>
        </w:rPr>
      </w:pPr>
    </w:p>
    <w:p w14:paraId="65127129" w14:textId="77777777" w:rsidR="00332724" w:rsidRPr="00D72F45" w:rsidRDefault="00332724" w:rsidP="00D72F45">
      <w:pPr>
        <w:rPr>
          <w:rFonts w:ascii="Arial" w:hAnsi="Arial" w:cs="Arial"/>
          <w:sz w:val="22"/>
          <w:szCs w:val="22"/>
          <w:lang w:val="es-ES"/>
        </w:rPr>
      </w:pPr>
    </w:p>
    <w:p w14:paraId="598EB7DC" w14:textId="5E201152" w:rsidR="00D72F45" w:rsidRPr="00D72F45" w:rsidRDefault="00D72F45" w:rsidP="00D72F45">
      <w:pPr>
        <w:jc w:val="center"/>
        <w:rPr>
          <w:rFonts w:ascii="Arial" w:hAnsi="Arial" w:cs="Arial"/>
          <w:sz w:val="22"/>
          <w:szCs w:val="22"/>
          <w:lang w:val="es-ES"/>
        </w:rPr>
      </w:pPr>
      <w:r w:rsidRPr="00D72F45">
        <w:rPr>
          <w:rFonts w:ascii="Arial" w:hAnsi="Arial"/>
          <w:b/>
          <w:caps/>
          <w:sz w:val="22"/>
          <w:lang w:val="es-ES"/>
        </w:rPr>
        <w:t xml:space="preserve">PLAN DE ACCIÓN DE ESPECIES ÚNICAS </w:t>
      </w:r>
      <w:r>
        <w:rPr>
          <w:rFonts w:ascii="Arial" w:hAnsi="Arial"/>
          <w:b/>
          <w:caps/>
          <w:sz w:val="22"/>
          <w:lang w:val="es-ES"/>
        </w:rPr>
        <w:br/>
      </w:r>
      <w:r w:rsidRPr="00D72F45">
        <w:rPr>
          <w:rFonts w:ascii="Arial" w:hAnsi="Arial"/>
          <w:b/>
          <w:caps/>
          <w:sz w:val="22"/>
          <w:lang w:val="es-ES"/>
        </w:rPr>
        <w:t xml:space="preserve">para la anguila europea </w:t>
      </w:r>
      <w:r w:rsidRPr="00D72F45">
        <w:rPr>
          <w:rFonts w:ascii="Arial" w:hAnsi="Arial"/>
          <w:b/>
          <w:i/>
          <w:caps/>
          <w:sz w:val="22"/>
          <w:lang w:val="es-ES"/>
        </w:rPr>
        <w:t>(Anguilla anguilla)</w:t>
      </w:r>
      <w:r w:rsidRPr="00D72F45">
        <w:rPr>
          <w:rFonts w:ascii="Arial" w:hAnsi="Arial"/>
          <w:b/>
          <w:caps/>
          <w:sz w:val="22"/>
          <w:lang w:val="es-ES"/>
        </w:rPr>
        <w:t xml:space="preserve"> </w:t>
      </w:r>
    </w:p>
    <w:p w14:paraId="0302B838" w14:textId="349CE32F" w:rsidR="00D72F45" w:rsidRPr="00D72F45" w:rsidRDefault="00D72F45" w:rsidP="00332724">
      <w:pPr>
        <w:jc w:val="center"/>
        <w:rPr>
          <w:rFonts w:ascii="Arial" w:hAnsi="Arial" w:cs="Arial"/>
          <w:sz w:val="22"/>
          <w:szCs w:val="22"/>
          <w:lang w:val="es-ES"/>
        </w:rPr>
      </w:pPr>
      <w:r w:rsidRPr="00D72F45">
        <w:rPr>
          <w:rFonts w:ascii="Arial" w:hAnsi="Arial"/>
          <w:b/>
          <w:i/>
          <w:caps/>
          <w:sz w:val="22"/>
          <w:lang w:val="es-ES"/>
        </w:rPr>
        <w:t xml:space="preserve"> </w:t>
      </w:r>
      <w:r w:rsidRPr="00D72F45">
        <w:rPr>
          <w:rFonts w:ascii="Arial" w:hAnsi="Arial"/>
          <w:i/>
          <w:sz w:val="22"/>
          <w:lang w:val="es-ES"/>
        </w:rPr>
        <w:t xml:space="preserve"> </w:t>
      </w:r>
    </w:p>
    <w:p w14:paraId="1A61DDD7" w14:textId="77777777" w:rsidR="00D72F45" w:rsidRPr="00D72F45" w:rsidRDefault="00D72F45" w:rsidP="00D72F45">
      <w:pPr>
        <w:jc w:val="both"/>
        <w:rPr>
          <w:rFonts w:ascii="Arial" w:hAnsi="Arial" w:cs="Arial"/>
          <w:sz w:val="22"/>
          <w:szCs w:val="22"/>
          <w:lang w:val="es-ES"/>
        </w:rPr>
      </w:pPr>
      <w:r w:rsidRPr="00D72F45">
        <w:rPr>
          <w:rFonts w:ascii="Arial" w:hAnsi="Arial"/>
          <w:i/>
          <w:sz w:val="22"/>
          <w:lang w:val="es-ES"/>
        </w:rPr>
        <w:t xml:space="preserve"> </w:t>
      </w:r>
    </w:p>
    <w:p w14:paraId="37883C01"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Dirigido a las Partes </w:t>
      </w:r>
    </w:p>
    <w:p w14:paraId="0072B401"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4B704256"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15.AA</w:t>
      </w:r>
      <w:r w:rsidRPr="00D72F45">
        <w:rPr>
          <w:rFonts w:ascii="Arial" w:hAnsi="Arial"/>
          <w:sz w:val="22"/>
          <w:lang w:val="es-ES"/>
        </w:rPr>
        <w:tab/>
        <w:t>Se solicita a las Partes que sean Estados del área de distribución de la especie que:</w:t>
      </w:r>
    </w:p>
    <w:p w14:paraId="2CADAB05" w14:textId="77777777" w:rsidR="00D72F45" w:rsidRPr="00D72F45" w:rsidRDefault="00D72F45" w:rsidP="00D72F45">
      <w:pPr>
        <w:jc w:val="both"/>
        <w:rPr>
          <w:rFonts w:ascii="Arial" w:eastAsia="Arial" w:hAnsi="Arial" w:cs="Arial"/>
          <w:sz w:val="22"/>
          <w:szCs w:val="22"/>
          <w:lang w:val="es-ES"/>
        </w:rPr>
      </w:pPr>
      <w:r w:rsidRPr="00D72F45">
        <w:rPr>
          <w:rFonts w:ascii="Arial" w:hAnsi="Arial"/>
          <w:sz w:val="22"/>
          <w:lang w:val="es-ES"/>
        </w:rPr>
        <w:t xml:space="preserve"> </w:t>
      </w:r>
    </w:p>
    <w:p w14:paraId="1D86B297"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i/>
          <w:iCs/>
          <w:sz w:val="22"/>
          <w:szCs w:val="22"/>
          <w:lang w:val="es-ES"/>
        </w:rPr>
      </w:pPr>
      <w:r w:rsidRPr="00D72F45">
        <w:rPr>
          <w:rFonts w:ascii="Arial" w:hAnsi="Arial"/>
          <w:sz w:val="22"/>
          <w:lang w:val="es-ES"/>
        </w:rPr>
        <w:t xml:space="preserve">rellenen la matriz de amenazas nacionales, señalada en el Plan de Acción de Especies Únicas (SSAP) para la anguila europea </w:t>
      </w:r>
      <w:r w:rsidRPr="00D72F45">
        <w:rPr>
          <w:rFonts w:ascii="Arial" w:hAnsi="Arial"/>
          <w:i/>
          <w:sz w:val="22"/>
          <w:lang w:val="es-ES"/>
        </w:rPr>
        <w:t xml:space="preserve">(Anguilla anguilla) </w:t>
      </w:r>
      <w:r w:rsidRPr="00D72F45">
        <w:rPr>
          <w:rFonts w:ascii="Arial" w:hAnsi="Arial"/>
          <w:sz w:val="22"/>
          <w:lang w:val="es-ES"/>
        </w:rPr>
        <w:t>contenido en el Anexo 2 del documento UNEP/CMS/COP15/Doc.25.6.2;</w:t>
      </w:r>
      <w:r w:rsidRPr="00D72F45">
        <w:rPr>
          <w:rFonts w:ascii="Arial" w:hAnsi="Arial"/>
          <w:i/>
          <w:sz w:val="22"/>
          <w:lang w:val="es-ES"/>
        </w:rPr>
        <w:t xml:space="preserve"> </w:t>
      </w:r>
    </w:p>
    <w:p w14:paraId="537E012D"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p>
    <w:p w14:paraId="24000FA3"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faciliten información a la Secretaría sobre la legislación nacional específica relativa a la anguila europea, para su inclusión en el Anexo 2 del SSAP, incluyendo, donde proceda, información pertinente para reforzar los mecanismos de protección jurídica; </w:t>
      </w:r>
    </w:p>
    <w:p w14:paraId="3164B675"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7FB882F6"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lleven a cabo aquellas acciones del SSAP cuya aplicación deba ser inmediata o a corto plazo, y las completen en un plazo de tres años como prioridad; </w:t>
      </w:r>
    </w:p>
    <w:p w14:paraId="64851D1D"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61BAC437"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continúen con las actividades en curso y a medio plazo, y comiencen a aplicar las actividades a largo plazo en un plazo de cinco años;</w:t>
      </w:r>
    </w:p>
    <w:p w14:paraId="55065449"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6EDC5A58"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establezcan una estructura de gobernanza, incluido un grupo de trabajo de los Estados del área de distribución, que se encargue de apoyar y supervisar la aplicación y facilitar la cooperación y la comunicación entre dichos Estados, como por ejemplo a través de la mejora del intercambio de información sobre programas de seguimiento y planes de gestión;</w:t>
      </w:r>
    </w:p>
    <w:p w14:paraId="1682DC68"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354E2DC4" w14:textId="77777777"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proporcionen un informe breve sobre la aplicación del SSAP a tiempo para la última reunión del Comité del Período de Sesiones antes de la 16ª reunión de la Conferencia de las Partes usando una plantilla facilitada por la Secretaría; y</w:t>
      </w:r>
    </w:p>
    <w:p w14:paraId="133E8396"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604ABAA0" w14:textId="02FEAFE9" w:rsidR="00D72F45" w:rsidRPr="00D72F45" w:rsidRDefault="00D72F45" w:rsidP="00D72F45">
      <w:pPr>
        <w:pStyle w:val="ListParagraph"/>
        <w:numPr>
          <w:ilvl w:val="0"/>
          <w:numId w:val="5"/>
        </w:numPr>
        <w:ind w:left="1418" w:hanging="567"/>
        <w:contextualSpacing w:val="0"/>
        <w:jc w:val="both"/>
        <w:rPr>
          <w:rFonts w:ascii="Arial" w:eastAsia="Arial" w:hAnsi="Arial" w:cs="Arial"/>
          <w:sz w:val="22"/>
          <w:szCs w:val="22"/>
          <w:lang w:val="es-ES"/>
        </w:rPr>
      </w:pPr>
      <w:r w:rsidRPr="00D72F45">
        <w:rPr>
          <w:rFonts w:ascii="Arial" w:hAnsi="Arial"/>
          <w:sz w:val="22"/>
          <w:lang w:val="es-ES"/>
        </w:rPr>
        <w:t>alienten a los Estados del área de distribución no Partes a colaborar con los Estados del área de distribución que son Partes en la aplicación de las actividades previstas en el SSAP.</w:t>
      </w:r>
    </w:p>
    <w:p w14:paraId="2DE6819D"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7F0736AD"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Dirigido a Estados del área de distribución no Partes</w:t>
      </w:r>
    </w:p>
    <w:p w14:paraId="52C99876"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1AEACC66"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 xml:space="preserve">15.BB </w:t>
      </w:r>
      <w:r w:rsidRPr="00D72F45">
        <w:rPr>
          <w:rFonts w:ascii="Arial" w:hAnsi="Arial"/>
          <w:sz w:val="22"/>
          <w:lang w:val="es-ES"/>
        </w:rPr>
        <w:tab/>
        <w:t>Se alienta a los Estados del área de distribución no Partes a colaborar con los que sí lo son en la aplicación de las actividades descritas en el SSAP.</w:t>
      </w:r>
    </w:p>
    <w:p w14:paraId="3CB01D40"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4B5F02EE"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Dirigido a organizaciones intergubernamentales</w:t>
      </w:r>
    </w:p>
    <w:p w14:paraId="170046C5"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00A7B309"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15.CC</w:t>
      </w:r>
      <w:r w:rsidRPr="00D72F45">
        <w:rPr>
          <w:rFonts w:ascii="Arial" w:hAnsi="Arial"/>
          <w:sz w:val="22"/>
          <w:lang w:val="es-ES"/>
        </w:rPr>
        <w:tab/>
        <w:t>Se anima a las organizaciones intergubernamentales, en particular a la Comisión Europea, la Comisión Asesora Europea sobre Pesca Continental y Acuicultura (EIFAAC), el Consejo Internacional para la Exploración del Mar (CIEM), la Comisión General de Pesca del Mediterráneo (CGPM) y su Comité Asesor, y la Unión Internacional para la Conservación de la Naturaleza (UICN) a colaborar en la aplicación de las actividades descritas en el SSAP.</w:t>
      </w:r>
    </w:p>
    <w:p w14:paraId="3C8C0DFA" w14:textId="77777777" w:rsidR="00D72F45" w:rsidRPr="00D72F45" w:rsidRDefault="00D72F45" w:rsidP="00D72F45">
      <w:pPr>
        <w:rPr>
          <w:rFonts w:ascii="Arial" w:hAnsi="Arial" w:cs="Arial"/>
          <w:sz w:val="22"/>
          <w:szCs w:val="22"/>
          <w:lang w:val="es-ES"/>
        </w:rPr>
      </w:pPr>
    </w:p>
    <w:p w14:paraId="64010204"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15B742B9"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lastRenderedPageBreak/>
        <w:t>Dirigido a las organizaciones no gubernamentales</w:t>
      </w:r>
    </w:p>
    <w:p w14:paraId="328782EF"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 </w:t>
      </w:r>
    </w:p>
    <w:p w14:paraId="13B6C87E"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15.DD</w:t>
      </w:r>
      <w:r w:rsidRPr="00D72F45">
        <w:rPr>
          <w:rFonts w:ascii="Arial" w:hAnsi="Arial"/>
          <w:sz w:val="22"/>
          <w:lang w:val="es-ES"/>
        </w:rPr>
        <w:tab/>
        <w:t xml:space="preserve">Se alienta a las organizaciones no gubernamentales, en particular a la Comisión del Mar de los Sargazos, a apoyar la aplicación del SSAP, entre otras formas, mediante la investigación y la sensibilización. </w:t>
      </w:r>
    </w:p>
    <w:p w14:paraId="6636500E"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 </w:t>
      </w:r>
    </w:p>
    <w:p w14:paraId="4CAA1176"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Dirigido al Consejo Científico </w:t>
      </w:r>
    </w:p>
    <w:p w14:paraId="336CB6AE"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 </w:t>
      </w:r>
    </w:p>
    <w:p w14:paraId="6CA910BE"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15.EE</w:t>
      </w:r>
      <w:r w:rsidRPr="00D72F45">
        <w:rPr>
          <w:rFonts w:ascii="Arial" w:hAnsi="Arial"/>
          <w:sz w:val="22"/>
          <w:lang w:val="es-ES"/>
        </w:rPr>
        <w:tab/>
        <w:t>Se solicita al Consejo Científico que, en función de la disponibilidad de recursos, revise el resumen de la información proporcionada por los Estados del área de distribución sobre la aplicación del SSAP y formule recomendaciones para dicha aplicación de cara a la 16ª reunión de la Conferencia de las Partes.</w:t>
      </w:r>
    </w:p>
    <w:p w14:paraId="2CF43991"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 xml:space="preserve"> </w:t>
      </w:r>
    </w:p>
    <w:p w14:paraId="305142EC" w14:textId="77777777" w:rsidR="00D72F45" w:rsidRPr="00D72F45" w:rsidRDefault="00D72F45" w:rsidP="00D72F45">
      <w:pPr>
        <w:jc w:val="both"/>
        <w:rPr>
          <w:rFonts w:ascii="Arial" w:hAnsi="Arial" w:cs="Arial"/>
          <w:sz w:val="22"/>
          <w:szCs w:val="22"/>
          <w:lang w:val="es-ES"/>
        </w:rPr>
      </w:pPr>
      <w:r w:rsidRPr="00D72F45">
        <w:rPr>
          <w:rFonts w:ascii="Arial" w:hAnsi="Arial"/>
          <w:b/>
          <w:i/>
          <w:sz w:val="22"/>
          <w:lang w:val="es-ES"/>
        </w:rPr>
        <w:t>Dirigido a la Secretaría</w:t>
      </w:r>
    </w:p>
    <w:p w14:paraId="38812A02" w14:textId="77777777" w:rsidR="00D72F45" w:rsidRPr="00D72F45" w:rsidRDefault="00D72F45" w:rsidP="00D72F45">
      <w:pPr>
        <w:jc w:val="both"/>
        <w:rPr>
          <w:rFonts w:ascii="Arial" w:hAnsi="Arial" w:cs="Arial"/>
          <w:sz w:val="22"/>
          <w:szCs w:val="22"/>
          <w:lang w:val="es-ES"/>
        </w:rPr>
      </w:pPr>
      <w:r w:rsidRPr="00D72F45">
        <w:rPr>
          <w:rFonts w:ascii="Arial" w:hAnsi="Arial"/>
          <w:sz w:val="22"/>
          <w:lang w:val="es-ES"/>
        </w:rPr>
        <w:t xml:space="preserve"> </w:t>
      </w:r>
    </w:p>
    <w:p w14:paraId="4E355323" w14:textId="77777777" w:rsidR="00D72F45" w:rsidRPr="00D72F45" w:rsidRDefault="00D72F45" w:rsidP="00D72F45">
      <w:pPr>
        <w:ind w:left="851" w:hanging="851"/>
        <w:jc w:val="both"/>
        <w:rPr>
          <w:rFonts w:ascii="Arial" w:hAnsi="Arial" w:cs="Arial"/>
          <w:sz w:val="22"/>
          <w:szCs w:val="22"/>
          <w:lang w:val="es-ES"/>
        </w:rPr>
      </w:pPr>
      <w:r w:rsidRPr="00D72F45">
        <w:rPr>
          <w:rFonts w:ascii="Arial" w:hAnsi="Arial"/>
          <w:sz w:val="22"/>
          <w:lang w:val="es-ES"/>
        </w:rPr>
        <w:t>15.FF</w:t>
      </w:r>
      <w:r w:rsidRPr="00D72F45">
        <w:rPr>
          <w:rFonts w:ascii="Arial" w:hAnsi="Arial"/>
          <w:sz w:val="22"/>
          <w:lang w:val="es-ES"/>
        </w:rPr>
        <w:tab/>
        <w:t>La Secretaría deberá, en función de la disponibilidad de recursos:</w:t>
      </w:r>
    </w:p>
    <w:p w14:paraId="6EC33955" w14:textId="77777777" w:rsidR="00D72F45" w:rsidRPr="00D72F45" w:rsidRDefault="00D72F45" w:rsidP="00D72F45">
      <w:pPr>
        <w:ind w:left="720" w:hanging="720"/>
        <w:jc w:val="both"/>
        <w:rPr>
          <w:rFonts w:ascii="Arial" w:hAnsi="Arial" w:cs="Arial"/>
          <w:sz w:val="22"/>
          <w:szCs w:val="22"/>
          <w:lang w:val="es-ES"/>
        </w:rPr>
      </w:pPr>
      <w:r w:rsidRPr="00D72F45">
        <w:rPr>
          <w:rFonts w:ascii="Arial" w:hAnsi="Arial"/>
          <w:sz w:val="22"/>
          <w:lang w:val="es-ES"/>
        </w:rPr>
        <w:t xml:space="preserve"> </w:t>
      </w:r>
    </w:p>
    <w:p w14:paraId="527B66FE" w14:textId="77777777" w:rsidR="00D72F45" w:rsidRPr="00D72F45" w:rsidRDefault="00D72F45" w:rsidP="00D72F45">
      <w:pPr>
        <w:pStyle w:val="ListParagraph"/>
        <w:numPr>
          <w:ilvl w:val="0"/>
          <w:numId w:val="4"/>
        </w:numPr>
        <w:ind w:left="1418" w:hanging="567"/>
        <w:contextualSpacing w:val="0"/>
        <w:jc w:val="both"/>
        <w:rPr>
          <w:rFonts w:ascii="Arial" w:eastAsia="Arial" w:hAnsi="Arial" w:cs="Arial"/>
          <w:sz w:val="22"/>
          <w:szCs w:val="22"/>
          <w:lang w:val="es-ES"/>
        </w:rPr>
      </w:pPr>
      <w:r w:rsidRPr="00D72F45">
        <w:rPr>
          <w:rFonts w:ascii="Arial" w:hAnsi="Arial"/>
          <w:sz w:val="22"/>
          <w:lang w:val="es-ES"/>
        </w:rPr>
        <w:t>alentar a los Estados del área de distribución no Partes a contribuir a la aplicación del SSAP;</w:t>
      </w:r>
    </w:p>
    <w:p w14:paraId="632AF484"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01F3486B" w14:textId="77777777" w:rsidR="00D72F45" w:rsidRPr="00D72F45" w:rsidRDefault="00D72F45" w:rsidP="00D72F45">
      <w:pPr>
        <w:pStyle w:val="ListParagraph"/>
        <w:numPr>
          <w:ilvl w:val="0"/>
          <w:numId w:val="4"/>
        </w:numPr>
        <w:ind w:left="1418" w:hanging="567"/>
        <w:contextualSpacing w:val="0"/>
        <w:jc w:val="both"/>
        <w:rPr>
          <w:rFonts w:ascii="Arial" w:eastAsia="Arial" w:hAnsi="Arial" w:cs="Arial"/>
          <w:sz w:val="22"/>
          <w:szCs w:val="22"/>
          <w:lang w:val="es-ES"/>
        </w:rPr>
      </w:pPr>
      <w:r w:rsidRPr="00D72F45">
        <w:rPr>
          <w:rFonts w:ascii="Arial" w:hAnsi="Arial"/>
          <w:sz w:val="22"/>
          <w:lang w:val="es-ES"/>
        </w:rPr>
        <w:t>desarrollar y difundir entre los Estados del área de distribución un formulario sencillo que permita evaluar los avances en la aplicación del SSAP y facilite la presentación de informes antes de la 16ª reunión de la Conferencia de las Partes, así como elaborar un resumen para que lo revise el Consejo Científico y sea considerado en la 16ª reunión de la Conferencia de las Partes;</w:t>
      </w:r>
    </w:p>
    <w:p w14:paraId="6D2DE9E4"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1572B270" w14:textId="77777777" w:rsidR="00D72F45" w:rsidRPr="00D72F45" w:rsidRDefault="00D72F45" w:rsidP="00D72F45">
      <w:pPr>
        <w:pStyle w:val="ListParagraph"/>
        <w:numPr>
          <w:ilvl w:val="0"/>
          <w:numId w:val="4"/>
        </w:numPr>
        <w:ind w:left="1418" w:hanging="567"/>
        <w:contextualSpacing w:val="0"/>
        <w:jc w:val="both"/>
        <w:rPr>
          <w:rFonts w:ascii="Arial" w:eastAsia="Arial" w:hAnsi="Arial" w:cs="Arial"/>
          <w:sz w:val="22"/>
          <w:szCs w:val="22"/>
          <w:lang w:val="es-ES"/>
        </w:rPr>
      </w:pPr>
      <w:r w:rsidRPr="00D72F45">
        <w:rPr>
          <w:rFonts w:ascii="Arial" w:hAnsi="Arial"/>
          <w:sz w:val="22"/>
          <w:lang w:val="es-ES"/>
        </w:rPr>
        <w:t>ayudar a los Estados del área de distribución a establecer una estructura de gobernanza y un sistema de seguimiento y proporcionarles, si lo solicitan, una plataforma para la comunicación; y</w:t>
      </w:r>
    </w:p>
    <w:p w14:paraId="6C343EBD" w14:textId="77777777" w:rsidR="00D72F45" w:rsidRPr="00D72F45" w:rsidRDefault="00D72F45" w:rsidP="00D72F45">
      <w:pPr>
        <w:pStyle w:val="ListParagraph"/>
        <w:ind w:left="1418" w:hanging="567"/>
        <w:contextualSpacing w:val="0"/>
        <w:jc w:val="both"/>
        <w:rPr>
          <w:rFonts w:ascii="Arial" w:eastAsia="Arial" w:hAnsi="Arial" w:cs="Arial"/>
          <w:sz w:val="22"/>
          <w:szCs w:val="22"/>
          <w:lang w:val="es-ES"/>
        </w:rPr>
      </w:pPr>
      <w:r w:rsidRPr="00D72F45">
        <w:rPr>
          <w:rFonts w:ascii="Arial" w:hAnsi="Arial"/>
          <w:sz w:val="22"/>
          <w:lang w:val="es-ES"/>
        </w:rPr>
        <w:t xml:space="preserve"> </w:t>
      </w:r>
    </w:p>
    <w:p w14:paraId="2B57C083" w14:textId="0F455820" w:rsidR="00D72F45" w:rsidRPr="00D72F45" w:rsidRDefault="00D72F45" w:rsidP="00D72F45">
      <w:pPr>
        <w:pStyle w:val="ListParagraph"/>
        <w:numPr>
          <w:ilvl w:val="0"/>
          <w:numId w:val="4"/>
        </w:numPr>
        <w:ind w:left="1418" w:hanging="567"/>
        <w:contextualSpacing w:val="0"/>
        <w:jc w:val="both"/>
        <w:rPr>
          <w:rFonts w:ascii="Arial" w:eastAsia="Arial" w:hAnsi="Arial" w:cs="Arial"/>
          <w:sz w:val="22"/>
          <w:szCs w:val="22"/>
          <w:lang w:val="es-ES"/>
        </w:rPr>
      </w:pPr>
      <w:r w:rsidRPr="00D72F45">
        <w:rPr>
          <w:rFonts w:ascii="Arial" w:hAnsi="Arial"/>
          <w:sz w:val="22"/>
          <w:lang w:val="es-ES"/>
        </w:rPr>
        <w:t>colaborar con la Secretaría de la CITES en las actividades pertinentes para la inclusión de la anguila europea en el próximo Programa de Trabajo Conjunto de la CMS–CITES.</w:t>
      </w:r>
    </w:p>
    <w:p w14:paraId="7A7D9EF6" w14:textId="77777777" w:rsidR="00D82C56" w:rsidRPr="00D72F45" w:rsidRDefault="00D82C56" w:rsidP="00D72F45">
      <w:pPr>
        <w:rPr>
          <w:lang w:val="es-ES"/>
        </w:rPr>
      </w:pPr>
    </w:p>
    <w:sectPr w:rsidR="00D82C56" w:rsidRPr="00D72F45"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8932" w14:textId="77777777" w:rsidR="0096647A" w:rsidRDefault="0096647A">
      <w:r>
        <w:separator/>
      </w:r>
    </w:p>
  </w:endnote>
  <w:endnote w:type="continuationSeparator" w:id="0">
    <w:p w14:paraId="1EF61757" w14:textId="77777777" w:rsidR="0096647A" w:rsidRDefault="0096647A">
      <w:r>
        <w:continuationSeparator/>
      </w:r>
    </w:p>
  </w:endnote>
  <w:endnote w:type="continuationNotice" w:id="1">
    <w:p w14:paraId="6C48F3B2" w14:textId="77777777" w:rsidR="0096647A" w:rsidRDefault="0096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1600" w14:textId="77777777" w:rsidR="0096647A" w:rsidRDefault="0096647A">
      <w:r>
        <w:rPr>
          <w:color w:val="000000"/>
        </w:rPr>
        <w:separator/>
      </w:r>
    </w:p>
  </w:footnote>
  <w:footnote w:type="continuationSeparator" w:id="0">
    <w:p w14:paraId="6D651F9A" w14:textId="77777777" w:rsidR="0096647A" w:rsidRDefault="0096647A">
      <w:r>
        <w:continuationSeparator/>
      </w:r>
    </w:p>
  </w:footnote>
  <w:footnote w:type="continuationNotice" w:id="1">
    <w:p w14:paraId="7DA7F2FB" w14:textId="77777777" w:rsidR="0096647A" w:rsidRDefault="00966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9663" w14:textId="02815CF1" w:rsidR="00D35BD1" w:rsidRPr="00D35BD1" w:rsidRDefault="00D35BD1" w:rsidP="00D35BD1">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D35BD1">
      <w:rPr>
        <w:rFonts w:ascii="Arial" w:hAnsi="Arial" w:cs="Arial"/>
        <w:bCs/>
        <w:i/>
        <w:iCs/>
        <w:sz w:val="18"/>
        <w:szCs w:val="18"/>
        <w:lang w:val="en-GB"/>
      </w:rPr>
      <w:t>UNEP/CMS/COP15/CRP25.6.2</w:t>
    </w:r>
  </w:p>
  <w:p w14:paraId="50B9F4CC" w14:textId="77777777" w:rsidR="0041439A" w:rsidRPr="00D35BD1" w:rsidRDefault="0041439A" w:rsidP="00D35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B084" w14:textId="37D73276" w:rsidR="00D35BD1" w:rsidRPr="00D35BD1" w:rsidRDefault="00D35BD1" w:rsidP="00D35BD1">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35BD1">
      <w:rPr>
        <w:rFonts w:ascii="Arial" w:hAnsi="Arial" w:cs="Arial"/>
        <w:bCs/>
        <w:i/>
        <w:iCs/>
        <w:sz w:val="18"/>
        <w:szCs w:val="18"/>
        <w:lang w:val="en-GB"/>
      </w:rPr>
      <w:t>UNEP/CMS/COP15/CRP25.6.2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668EE0F" w:rsidR="007A1066" w:rsidRPr="00D35BD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35BD1">
      <w:rPr>
        <w:rFonts w:ascii="Arial" w:hAnsi="Arial" w:cs="Arial"/>
        <w:bCs/>
        <w:i/>
        <w:iCs/>
        <w:sz w:val="18"/>
        <w:szCs w:val="18"/>
        <w:lang w:val="en-GB"/>
      </w:rPr>
      <w:t>UNEP/CMS/COP1</w:t>
    </w:r>
    <w:r w:rsidR="00AB5285" w:rsidRPr="00D35BD1">
      <w:rPr>
        <w:rFonts w:ascii="Arial" w:hAnsi="Arial" w:cs="Arial"/>
        <w:bCs/>
        <w:i/>
        <w:iCs/>
        <w:sz w:val="18"/>
        <w:szCs w:val="18"/>
        <w:lang w:val="en-GB"/>
      </w:rPr>
      <w:t>5</w:t>
    </w:r>
    <w:r w:rsidRPr="00D35BD1">
      <w:rPr>
        <w:rFonts w:ascii="Arial" w:hAnsi="Arial" w:cs="Arial"/>
        <w:bCs/>
        <w:i/>
        <w:iCs/>
        <w:sz w:val="18"/>
        <w:szCs w:val="18"/>
        <w:lang w:val="en-GB"/>
      </w:rPr>
      <w:t>/CRP</w:t>
    </w:r>
    <w:r w:rsidR="00D35BD1" w:rsidRPr="00D35BD1">
      <w:rPr>
        <w:rFonts w:ascii="Arial" w:hAnsi="Arial" w:cs="Arial"/>
        <w:bCs/>
        <w:i/>
        <w:iCs/>
        <w:sz w:val="18"/>
        <w:szCs w:val="18"/>
        <w:lang w:val="en-GB"/>
      </w:rPr>
      <w:t>25.6.2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B9B"/>
    <w:multiLevelType w:val="hybridMultilevel"/>
    <w:tmpl w:val="112C28A4"/>
    <w:lvl w:ilvl="0" w:tplc="7EDC1F94">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399B15"/>
    <w:multiLevelType w:val="hybridMultilevel"/>
    <w:tmpl w:val="5634706A"/>
    <w:lvl w:ilvl="0" w:tplc="1B0AC6DE">
      <w:start w:val="1"/>
      <w:numFmt w:val="lowerLetter"/>
      <w:lvlText w:val="%1)"/>
      <w:lvlJc w:val="left"/>
      <w:pPr>
        <w:ind w:left="1440" w:hanging="360"/>
      </w:pPr>
    </w:lvl>
    <w:lvl w:ilvl="1" w:tplc="DDA0C0D2">
      <w:start w:val="1"/>
      <w:numFmt w:val="lowerLetter"/>
      <w:lvlText w:val="%2."/>
      <w:lvlJc w:val="left"/>
      <w:pPr>
        <w:ind w:left="2160" w:hanging="360"/>
      </w:pPr>
    </w:lvl>
    <w:lvl w:ilvl="2" w:tplc="CD4EE260">
      <w:start w:val="1"/>
      <w:numFmt w:val="lowerRoman"/>
      <w:lvlText w:val="%3."/>
      <w:lvlJc w:val="right"/>
      <w:pPr>
        <w:ind w:left="2880" w:hanging="180"/>
      </w:pPr>
    </w:lvl>
    <w:lvl w:ilvl="3" w:tplc="16B81876">
      <w:start w:val="1"/>
      <w:numFmt w:val="decimal"/>
      <w:lvlText w:val="%4."/>
      <w:lvlJc w:val="left"/>
      <w:pPr>
        <w:ind w:left="3600" w:hanging="360"/>
      </w:pPr>
    </w:lvl>
    <w:lvl w:ilvl="4" w:tplc="C31A767C">
      <w:start w:val="1"/>
      <w:numFmt w:val="lowerLetter"/>
      <w:lvlText w:val="%5."/>
      <w:lvlJc w:val="left"/>
      <w:pPr>
        <w:ind w:left="4320" w:hanging="360"/>
      </w:pPr>
    </w:lvl>
    <w:lvl w:ilvl="5" w:tplc="DDD26FC2">
      <w:start w:val="1"/>
      <w:numFmt w:val="lowerRoman"/>
      <w:lvlText w:val="%6."/>
      <w:lvlJc w:val="right"/>
      <w:pPr>
        <w:ind w:left="5040" w:hanging="180"/>
      </w:pPr>
    </w:lvl>
    <w:lvl w:ilvl="6" w:tplc="CB1CA4A0">
      <w:start w:val="1"/>
      <w:numFmt w:val="decimal"/>
      <w:lvlText w:val="%7."/>
      <w:lvlJc w:val="left"/>
      <w:pPr>
        <w:ind w:left="5760" w:hanging="360"/>
      </w:pPr>
    </w:lvl>
    <w:lvl w:ilvl="7" w:tplc="047A0196">
      <w:start w:val="1"/>
      <w:numFmt w:val="lowerLetter"/>
      <w:lvlText w:val="%8."/>
      <w:lvlJc w:val="left"/>
      <w:pPr>
        <w:ind w:left="6480" w:hanging="360"/>
      </w:pPr>
    </w:lvl>
    <w:lvl w:ilvl="8" w:tplc="2F0EB4E6">
      <w:start w:val="1"/>
      <w:numFmt w:val="lowerRoman"/>
      <w:lvlText w:val="%9."/>
      <w:lvlJc w:val="right"/>
      <w:pPr>
        <w:ind w:left="7200"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970D3CC"/>
    <w:multiLevelType w:val="hybridMultilevel"/>
    <w:tmpl w:val="CD7EF692"/>
    <w:lvl w:ilvl="0" w:tplc="04A80F02">
      <w:start w:val="1"/>
      <w:numFmt w:val="lowerLetter"/>
      <w:lvlText w:val="%1)"/>
      <w:lvlJc w:val="left"/>
      <w:pPr>
        <w:ind w:left="1440" w:hanging="360"/>
      </w:pPr>
      <w:rPr>
        <w:i w:val="0"/>
        <w:iCs w:val="0"/>
      </w:rPr>
    </w:lvl>
    <w:lvl w:ilvl="1" w:tplc="0DC0C72C">
      <w:start w:val="1"/>
      <w:numFmt w:val="lowerLetter"/>
      <w:lvlText w:val="%2."/>
      <w:lvlJc w:val="left"/>
      <w:pPr>
        <w:ind w:left="2160" w:hanging="360"/>
      </w:pPr>
    </w:lvl>
    <w:lvl w:ilvl="2" w:tplc="7C9AB904">
      <w:start w:val="1"/>
      <w:numFmt w:val="lowerRoman"/>
      <w:lvlText w:val="%3."/>
      <w:lvlJc w:val="right"/>
      <w:pPr>
        <w:ind w:left="2880" w:hanging="180"/>
      </w:pPr>
    </w:lvl>
    <w:lvl w:ilvl="3" w:tplc="5D6687DE">
      <w:start w:val="1"/>
      <w:numFmt w:val="decimal"/>
      <w:lvlText w:val="%4."/>
      <w:lvlJc w:val="left"/>
      <w:pPr>
        <w:ind w:left="3600" w:hanging="360"/>
      </w:pPr>
    </w:lvl>
    <w:lvl w:ilvl="4" w:tplc="F1FAB1B4">
      <w:start w:val="1"/>
      <w:numFmt w:val="lowerLetter"/>
      <w:lvlText w:val="%5."/>
      <w:lvlJc w:val="left"/>
      <w:pPr>
        <w:ind w:left="4320" w:hanging="360"/>
      </w:pPr>
    </w:lvl>
    <w:lvl w:ilvl="5" w:tplc="B296AC02">
      <w:start w:val="1"/>
      <w:numFmt w:val="lowerRoman"/>
      <w:lvlText w:val="%6."/>
      <w:lvlJc w:val="right"/>
      <w:pPr>
        <w:ind w:left="5040" w:hanging="180"/>
      </w:pPr>
    </w:lvl>
    <w:lvl w:ilvl="6" w:tplc="711EEDB2">
      <w:start w:val="1"/>
      <w:numFmt w:val="decimal"/>
      <w:lvlText w:val="%7."/>
      <w:lvlJc w:val="left"/>
      <w:pPr>
        <w:ind w:left="5760" w:hanging="360"/>
      </w:pPr>
    </w:lvl>
    <w:lvl w:ilvl="7" w:tplc="5F105964">
      <w:start w:val="1"/>
      <w:numFmt w:val="lowerLetter"/>
      <w:lvlText w:val="%8."/>
      <w:lvlJc w:val="left"/>
      <w:pPr>
        <w:ind w:left="6480" w:hanging="360"/>
      </w:pPr>
    </w:lvl>
    <w:lvl w:ilvl="8" w:tplc="CC405BA2">
      <w:start w:val="1"/>
      <w:numFmt w:val="lowerRoman"/>
      <w:lvlText w:val="%9."/>
      <w:lvlJc w:val="right"/>
      <w:pPr>
        <w:ind w:left="7200" w:hanging="180"/>
      </w:pPr>
    </w:lvl>
  </w:abstractNum>
  <w:num w:numId="1" w16cid:durableId="5908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433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385322">
    <w:abstractNumId w:val="0"/>
  </w:num>
  <w:num w:numId="4" w16cid:durableId="989871187">
    <w:abstractNumId w:val="1"/>
  </w:num>
  <w:num w:numId="5" w16cid:durableId="650476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13EA2"/>
    <w:rsid w:val="00164D92"/>
    <w:rsid w:val="001B13C5"/>
    <w:rsid w:val="002243FE"/>
    <w:rsid w:val="00227282"/>
    <w:rsid w:val="002E1EE0"/>
    <w:rsid w:val="00332724"/>
    <w:rsid w:val="003F1AD8"/>
    <w:rsid w:val="0041439A"/>
    <w:rsid w:val="0043102F"/>
    <w:rsid w:val="00493786"/>
    <w:rsid w:val="004A5156"/>
    <w:rsid w:val="005645C4"/>
    <w:rsid w:val="0058757D"/>
    <w:rsid w:val="005D43E4"/>
    <w:rsid w:val="005F0639"/>
    <w:rsid w:val="006D19D9"/>
    <w:rsid w:val="007A1066"/>
    <w:rsid w:val="00836671"/>
    <w:rsid w:val="0092049A"/>
    <w:rsid w:val="0096647A"/>
    <w:rsid w:val="00AA138B"/>
    <w:rsid w:val="00AB5285"/>
    <w:rsid w:val="00B91802"/>
    <w:rsid w:val="00D35BD1"/>
    <w:rsid w:val="00D50F95"/>
    <w:rsid w:val="00D61140"/>
    <w:rsid w:val="00D72F45"/>
    <w:rsid w:val="00D82C56"/>
    <w:rsid w:val="00DB2EEB"/>
    <w:rsid w:val="00E1252E"/>
    <w:rsid w:val="00E45B44"/>
    <w:rsid w:val="00E829C9"/>
    <w:rsid w:val="00EF7D4C"/>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1B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B21A1FA-4851-4CDC-96C4-89872D6E3428}"/>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5</cp:revision>
  <cp:lastPrinted>2020-02-03T15:02:00Z</cp:lastPrinted>
  <dcterms:created xsi:type="dcterms:W3CDTF">2026-03-28T01:39:00Z</dcterms:created>
  <dcterms:modified xsi:type="dcterms:W3CDTF">2026-03-28T01:58:00Z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