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D523" w14:textId="77777777" w:rsidR="00FB7541" w:rsidRPr="00FB7541" w:rsidRDefault="00FB7541" w:rsidP="006F1298">
      <w:pPr>
        <w:pBdr>
          <w:top w:val="single" w:sz="6" w:space="0" w:color="FFFFFF"/>
          <w:left w:val="single" w:sz="6" w:space="0" w:color="FFFFFF"/>
          <w:bottom w:val="single" w:sz="6" w:space="0" w:color="FFFFFF"/>
          <w:right w:val="single" w:sz="6" w:space="0" w:color="FFFFFF"/>
        </w:pBdr>
        <w:ind w:left="-85" w:right="-11"/>
        <w:jc w:val="center"/>
        <w:outlineLvl w:val="1"/>
        <w:rPr>
          <w:rFonts w:ascii="Arial" w:hAnsi="Arial" w:cs="Arial"/>
          <w:b/>
          <w:bCs/>
          <w:sz w:val="22"/>
          <w:szCs w:val="22"/>
          <w:lang w:val="fr-FR"/>
        </w:rPr>
      </w:pPr>
      <w:bookmarkStart w:id="0" w:name="_Toc201154084"/>
      <w:bookmarkStart w:id="1" w:name="_Toc201243565"/>
      <w:bookmarkStart w:id="2" w:name="_Toc201243929"/>
      <w:r w:rsidRPr="00FB7541">
        <w:rPr>
          <w:rFonts w:ascii="Arial" w:hAnsi="Arial" w:cs="Arial"/>
          <w:b/>
          <w:bCs/>
          <w:sz w:val="22"/>
          <w:szCs w:val="22"/>
          <w:lang w:val="fr-FR"/>
        </w:rPr>
        <w:t>PRIORITÉS DE CONSERVATION POUR LES CÉTACÉS</w:t>
      </w:r>
      <w:bookmarkEnd w:id="0"/>
      <w:bookmarkEnd w:id="1"/>
      <w:bookmarkEnd w:id="2"/>
    </w:p>
    <w:p w14:paraId="60C50FAF" w14:textId="77777777" w:rsidR="00AB5285" w:rsidRPr="007A5544" w:rsidRDefault="00AB5285" w:rsidP="006F1298">
      <w:pPr>
        <w:jc w:val="center"/>
        <w:rPr>
          <w:rFonts w:ascii="Arial" w:hAnsi="Arial" w:cs="Arial"/>
          <w:b/>
          <w:sz w:val="22"/>
          <w:szCs w:val="22"/>
          <w:lang w:val="fr-FR"/>
        </w:rPr>
      </w:pPr>
    </w:p>
    <w:p w14:paraId="77BA811D" w14:textId="36A6920C" w:rsidR="00D82C56" w:rsidRPr="00FB7541" w:rsidRDefault="005D43E4" w:rsidP="006F1298">
      <w:pPr>
        <w:spacing w:after="120"/>
        <w:jc w:val="center"/>
        <w:rPr>
          <w:rFonts w:ascii="Arial" w:hAnsi="Arial" w:cs="Arial"/>
          <w:sz w:val="22"/>
          <w:szCs w:val="22"/>
          <w:lang w:val="en-GB"/>
        </w:rPr>
      </w:pPr>
      <w:r w:rsidRPr="00FB7541">
        <w:rPr>
          <w:rFonts w:ascii="Arial" w:hAnsi="Arial" w:cs="Arial"/>
          <w:sz w:val="22"/>
          <w:szCs w:val="22"/>
          <w:lang w:val="en-GB"/>
        </w:rPr>
        <w:t>UNEP/CMS/COP1</w:t>
      </w:r>
      <w:r w:rsidR="00950DA4" w:rsidRPr="00FB7541">
        <w:rPr>
          <w:rFonts w:ascii="Arial" w:hAnsi="Arial" w:cs="Arial"/>
          <w:sz w:val="22"/>
          <w:szCs w:val="22"/>
          <w:lang w:val="en-GB"/>
        </w:rPr>
        <w:t>5</w:t>
      </w:r>
      <w:r w:rsidRPr="00FB7541">
        <w:rPr>
          <w:rFonts w:ascii="Arial" w:hAnsi="Arial" w:cs="Arial"/>
          <w:sz w:val="22"/>
          <w:szCs w:val="22"/>
          <w:lang w:val="en-GB"/>
        </w:rPr>
        <w:t>/Doc.</w:t>
      </w:r>
      <w:r w:rsidR="00FB7541" w:rsidRPr="00FB7541">
        <w:rPr>
          <w:rFonts w:ascii="Arial" w:hAnsi="Arial" w:cs="Arial"/>
          <w:sz w:val="22"/>
          <w:szCs w:val="22"/>
          <w:lang w:val="en-GB"/>
        </w:rPr>
        <w:t>25.4.1/Rev.1</w:t>
      </w:r>
    </w:p>
    <w:p w14:paraId="73A89732" w14:textId="5D36C822" w:rsidR="00D82C56" w:rsidRPr="007A5544" w:rsidRDefault="005D43E4" w:rsidP="006F1298">
      <w:pPr>
        <w:jc w:val="center"/>
        <w:rPr>
          <w:rFonts w:ascii="Arial" w:hAnsi="Arial" w:cs="Arial"/>
          <w:i/>
          <w:sz w:val="22"/>
          <w:szCs w:val="22"/>
          <w:lang w:val="fr-FR"/>
        </w:rPr>
      </w:pPr>
      <w:r w:rsidRPr="007A5544">
        <w:rPr>
          <w:rFonts w:ascii="Arial" w:hAnsi="Arial" w:cs="Arial"/>
          <w:i/>
          <w:sz w:val="22"/>
          <w:szCs w:val="22"/>
          <w:lang w:val="fr-FR"/>
        </w:rPr>
        <w:t>(Pr</w:t>
      </w:r>
      <w:r w:rsidR="0034724D">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384973">
        <w:rPr>
          <w:rFonts w:ascii="Arial" w:hAnsi="Arial" w:cs="Arial"/>
          <w:i/>
          <w:sz w:val="22"/>
          <w:szCs w:val="22"/>
          <w:lang w:val="fr-FR"/>
        </w:rPr>
        <w:t>le Groupe de travail sur les espèces aquatiques</w:t>
      </w:r>
      <w:r w:rsidRPr="007A5544">
        <w:rPr>
          <w:rFonts w:ascii="Arial" w:hAnsi="Arial" w:cs="Arial"/>
          <w:i/>
          <w:sz w:val="22"/>
          <w:szCs w:val="22"/>
          <w:lang w:val="fr-FR"/>
        </w:rPr>
        <w:t>)</w:t>
      </w:r>
    </w:p>
    <w:p w14:paraId="458D7774" w14:textId="77777777" w:rsidR="009F3558" w:rsidRDefault="009F3558" w:rsidP="006F1298">
      <w:pPr>
        <w:pStyle w:val="ListParagraph"/>
        <w:suppressAutoHyphens/>
        <w:ind w:left="0"/>
        <w:contextualSpacing w:val="0"/>
        <w:rPr>
          <w:rFonts w:cs="Arial"/>
          <w:lang w:val="fr-FR"/>
        </w:rPr>
      </w:pPr>
    </w:p>
    <w:p w14:paraId="27372DFE" w14:textId="77777777" w:rsidR="00FB7541" w:rsidRDefault="00FB7541" w:rsidP="006F1298">
      <w:pPr>
        <w:pStyle w:val="ListParagraph"/>
        <w:suppressAutoHyphens/>
        <w:ind w:left="0"/>
        <w:contextualSpacing w:val="0"/>
        <w:rPr>
          <w:rFonts w:cs="Arial"/>
          <w:lang w:val="fr-FR"/>
        </w:rPr>
      </w:pPr>
    </w:p>
    <w:p w14:paraId="546BD4D5" w14:textId="19A89C76" w:rsidR="00FB7541" w:rsidRPr="00FB7541" w:rsidRDefault="00FB7541" w:rsidP="006F1298">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Cs/>
          <w:caps/>
          <w:sz w:val="22"/>
          <w:szCs w:val="22"/>
          <w:lang w:val="fr-FR"/>
        </w:rPr>
      </w:pPr>
      <w:bookmarkStart w:id="3" w:name="_Toc201154092"/>
      <w:bookmarkStart w:id="4" w:name="_Toc201243938"/>
      <w:r w:rsidRPr="00FB7541">
        <w:rPr>
          <w:rFonts w:ascii="Arial" w:eastAsiaTheme="minorHAnsi" w:hAnsi="Arial" w:cs="Arial"/>
          <w:bCs/>
          <w:caps/>
          <w:sz w:val="22"/>
          <w:szCs w:val="22"/>
          <w:lang w:val="fr-FR"/>
        </w:rPr>
        <w:t>PROJET DE DÉCISIONS</w:t>
      </w:r>
      <w:bookmarkEnd w:id="3"/>
      <w:bookmarkEnd w:id="4"/>
    </w:p>
    <w:p w14:paraId="47D0E1A5" w14:textId="77777777" w:rsidR="00FB7541" w:rsidRPr="00FB7541" w:rsidRDefault="00FB7541" w:rsidP="006F1298">
      <w:pPr>
        <w:widowControl/>
        <w:autoSpaceDE/>
        <w:autoSpaceDN/>
        <w:jc w:val="both"/>
        <w:textAlignment w:val="auto"/>
        <w:rPr>
          <w:rFonts w:ascii="Arial" w:eastAsiaTheme="minorHAnsi" w:hAnsi="Arial" w:cs="Arial"/>
          <w:i/>
          <w:sz w:val="22"/>
          <w:szCs w:val="22"/>
          <w:lang w:val="fr-FR"/>
        </w:rPr>
      </w:pPr>
    </w:p>
    <w:p w14:paraId="06CB0BCD" w14:textId="77777777" w:rsidR="00FB7541" w:rsidRPr="00FB7541" w:rsidRDefault="00FB7541" w:rsidP="006F1298">
      <w:pPr>
        <w:widowControl/>
        <w:autoSpaceDE/>
        <w:autoSpaceDN/>
        <w:jc w:val="both"/>
        <w:textAlignment w:val="auto"/>
        <w:rPr>
          <w:rFonts w:ascii="Arial" w:eastAsiaTheme="minorHAnsi" w:hAnsi="Arial" w:cs="Arial"/>
          <w:sz w:val="22"/>
          <w:szCs w:val="22"/>
          <w:lang w:val="fr-FR"/>
        </w:rPr>
      </w:pPr>
    </w:p>
    <w:p w14:paraId="36905FB6" w14:textId="77777777" w:rsidR="00FB7541" w:rsidRPr="00FB7541" w:rsidRDefault="00FB7541" w:rsidP="006F1298">
      <w:pPr>
        <w:widowControl/>
        <w:autoSpaceDE/>
        <w:autoSpaceDN/>
        <w:jc w:val="both"/>
        <w:textAlignment w:val="auto"/>
        <w:rPr>
          <w:rFonts w:ascii="Arial" w:eastAsiaTheme="minorHAnsi" w:hAnsi="Arial" w:cs="Arial"/>
          <w:b/>
          <w:i/>
          <w:sz w:val="22"/>
          <w:szCs w:val="22"/>
          <w:lang w:val="fr-FR"/>
        </w:rPr>
      </w:pPr>
      <w:r w:rsidRPr="00FB7541">
        <w:rPr>
          <w:rFonts w:ascii="Arial" w:eastAsiaTheme="minorHAnsi" w:hAnsi="Arial" w:cs="Arial"/>
          <w:b/>
          <w:i/>
          <w:sz w:val="22"/>
          <w:szCs w:val="22"/>
          <w:lang w:val="fr-FR"/>
        </w:rPr>
        <w:t>À l’adresse des Parties</w:t>
      </w:r>
    </w:p>
    <w:p w14:paraId="5BB49159" w14:textId="77777777" w:rsidR="00FB7541" w:rsidRPr="00FB7541" w:rsidRDefault="00FB7541" w:rsidP="006F1298">
      <w:pPr>
        <w:widowControl/>
        <w:autoSpaceDE/>
        <w:autoSpaceDN/>
        <w:jc w:val="both"/>
        <w:textAlignment w:val="auto"/>
        <w:rPr>
          <w:rFonts w:ascii="Arial" w:eastAsiaTheme="minorHAnsi" w:hAnsi="Arial" w:cs="Arial"/>
          <w:b/>
          <w:i/>
          <w:sz w:val="22"/>
          <w:szCs w:val="22"/>
          <w:lang w:val="fr-FR"/>
        </w:rPr>
      </w:pPr>
    </w:p>
    <w:p w14:paraId="3938E111" w14:textId="77777777" w:rsidR="00FB7541" w:rsidRPr="00FB7541" w:rsidRDefault="00FB7541" w:rsidP="006F1298">
      <w:pPr>
        <w:widowControl/>
        <w:autoSpaceDE/>
        <w:autoSpaceDN/>
        <w:ind w:left="851" w:hanging="851"/>
        <w:jc w:val="both"/>
        <w:textAlignment w:val="auto"/>
        <w:rPr>
          <w:rFonts w:ascii="Arial" w:eastAsiaTheme="minorHAnsi" w:hAnsi="Arial" w:cs="Arial"/>
          <w:bCs/>
          <w:iCs/>
          <w:sz w:val="22"/>
          <w:szCs w:val="22"/>
          <w:lang w:val="fr-FR"/>
        </w:rPr>
      </w:pPr>
      <w:r w:rsidRPr="00FB7541">
        <w:rPr>
          <w:rFonts w:ascii="Arial" w:eastAsiaTheme="minorHAnsi" w:hAnsi="Arial" w:cs="Arial"/>
          <w:bCs/>
          <w:iCs/>
          <w:sz w:val="22"/>
          <w:szCs w:val="22"/>
          <w:lang w:val="fr-FR"/>
        </w:rPr>
        <w:t>15.AA</w:t>
      </w:r>
      <w:r w:rsidRPr="00FB7541">
        <w:rPr>
          <w:rFonts w:ascii="Arial" w:eastAsiaTheme="minorHAnsi" w:hAnsi="Arial" w:cs="Arial"/>
          <w:bCs/>
          <w:iCs/>
          <w:sz w:val="22"/>
          <w:szCs w:val="22"/>
          <w:lang w:val="fr-FR"/>
        </w:rPr>
        <w:tab/>
        <w:t>Les Parties sont encouragées à :</w:t>
      </w:r>
    </w:p>
    <w:p w14:paraId="561F2BEE" w14:textId="77777777" w:rsidR="00FB7541" w:rsidRPr="00FB7541" w:rsidRDefault="00FB7541" w:rsidP="006F1298">
      <w:pPr>
        <w:widowControl/>
        <w:autoSpaceDE/>
        <w:autoSpaceDN/>
        <w:jc w:val="both"/>
        <w:textAlignment w:val="auto"/>
        <w:rPr>
          <w:rFonts w:ascii="Arial" w:eastAsiaTheme="minorHAnsi" w:hAnsi="Arial" w:cs="Arial"/>
          <w:bCs/>
          <w:iCs/>
          <w:sz w:val="22"/>
          <w:szCs w:val="22"/>
          <w:lang w:val="fr-FR"/>
        </w:rPr>
      </w:pPr>
    </w:p>
    <w:p w14:paraId="04E532BD" w14:textId="77777777" w:rsidR="00FB7541" w:rsidRPr="00FB7541" w:rsidRDefault="00FB7541" w:rsidP="006F1298">
      <w:pPr>
        <w:numPr>
          <w:ilvl w:val="0"/>
          <w:numId w:val="10"/>
        </w:numPr>
        <w:autoSpaceDE/>
        <w:autoSpaceDN/>
        <w:ind w:left="1418" w:hanging="567"/>
        <w:jc w:val="both"/>
        <w:textAlignment w:val="auto"/>
        <w:rPr>
          <w:rFonts w:ascii="Arial" w:eastAsiaTheme="minorHAnsi" w:hAnsi="Arial" w:cs="Arial"/>
          <w:bCs/>
          <w:iCs/>
          <w:sz w:val="22"/>
          <w:szCs w:val="22"/>
          <w:lang w:val="fr-FR"/>
        </w:rPr>
      </w:pPr>
      <w:r w:rsidRPr="00FB7541">
        <w:rPr>
          <w:rFonts w:ascii="Arial" w:eastAsiaTheme="minorHAnsi" w:hAnsi="Arial" w:cs="Arial"/>
          <w:bCs/>
          <w:iCs/>
          <w:sz w:val="22"/>
          <w:szCs w:val="22"/>
          <w:lang w:val="fr-FR"/>
        </w:rPr>
        <w:t>inclure les cétacés dans leurs stratégies et plans d’action nationaux respectifs en matière de biodiversité, et veiller à ce que les objectifs et les cibles du Cadre mondial pour la biodiversité de Kunming-Montréal soient appliqués de manière à s’aligner positivement sur les priorités de conservation des cétacés ;</w:t>
      </w:r>
    </w:p>
    <w:p w14:paraId="67D83800" w14:textId="77777777" w:rsidR="00FB7541" w:rsidRPr="00FB7541" w:rsidRDefault="00FB7541" w:rsidP="006F1298">
      <w:pPr>
        <w:autoSpaceDE/>
        <w:autoSpaceDN/>
        <w:ind w:left="1418" w:hanging="567"/>
        <w:textAlignment w:val="auto"/>
        <w:rPr>
          <w:rFonts w:ascii="Arial" w:eastAsiaTheme="minorHAnsi" w:hAnsi="Arial" w:cs="Arial"/>
          <w:bCs/>
          <w:iCs/>
          <w:sz w:val="22"/>
          <w:szCs w:val="22"/>
          <w:lang w:val="fr-FR"/>
        </w:rPr>
      </w:pPr>
    </w:p>
    <w:p w14:paraId="6CE952CE" w14:textId="7AFB5ACA" w:rsidR="00FB7541" w:rsidRPr="00FB7541" w:rsidRDefault="00FB7541" w:rsidP="006F1298">
      <w:pPr>
        <w:numPr>
          <w:ilvl w:val="0"/>
          <w:numId w:val="10"/>
        </w:numPr>
        <w:autoSpaceDE/>
        <w:autoSpaceDN/>
        <w:ind w:left="1418" w:hanging="567"/>
        <w:jc w:val="both"/>
        <w:textAlignment w:val="auto"/>
        <w:rPr>
          <w:rFonts w:ascii="Arial" w:eastAsiaTheme="minorHAnsi" w:hAnsi="Arial" w:cs="Arial"/>
          <w:bCs/>
          <w:iCs/>
          <w:sz w:val="22"/>
          <w:szCs w:val="22"/>
          <w:lang w:val="fr-FR"/>
        </w:rPr>
      </w:pPr>
      <w:r w:rsidRPr="00FB7541">
        <w:rPr>
          <w:rFonts w:ascii="Arial" w:eastAsiaTheme="minorHAnsi" w:hAnsi="Arial" w:cs="Arial"/>
          <w:bCs/>
          <w:iCs/>
          <w:sz w:val="22"/>
          <w:szCs w:val="22"/>
          <w:lang w:val="fr-FR"/>
        </w:rPr>
        <w:t>évaluer si des captures de cétacés inscrits à l’Annexe I ont lieu dans leur juridiction et, dans l’affirmative, examiner et mettre en œuvre, le cas échéant, les recommandations figurant à l’Annexe 1 du document</w:t>
      </w:r>
      <w:r w:rsidR="006F1298">
        <w:rPr>
          <w:rFonts w:ascii="Arial" w:eastAsiaTheme="minorHAnsi" w:hAnsi="Arial" w:cs="Arial"/>
          <w:bCs/>
          <w:iCs/>
          <w:sz w:val="22"/>
          <w:szCs w:val="22"/>
          <w:lang w:val="fr-FR"/>
        </w:rPr>
        <w:t xml:space="preserve"> </w:t>
      </w:r>
      <w:r w:rsidRPr="00FB7541">
        <w:rPr>
          <w:rFonts w:ascii="Arial" w:eastAsiaTheme="minorHAnsi" w:hAnsi="Arial" w:cs="Arial"/>
          <w:bCs/>
          <w:iCs/>
          <w:sz w:val="22"/>
          <w:szCs w:val="22"/>
          <w:lang w:val="fr-FR"/>
        </w:rPr>
        <w:t>UNEP/CMS/COP15/Doc.25.4.1 pour y répondre ;</w:t>
      </w:r>
    </w:p>
    <w:p w14:paraId="4E1A9DE0" w14:textId="77777777" w:rsidR="00FB7541" w:rsidRPr="00FB7541" w:rsidRDefault="00FB7541" w:rsidP="006F1298">
      <w:pPr>
        <w:widowControl/>
        <w:autoSpaceDE/>
        <w:autoSpaceDN/>
        <w:ind w:left="1418" w:hanging="567"/>
        <w:textAlignment w:val="auto"/>
        <w:rPr>
          <w:rFonts w:ascii="Arial" w:eastAsiaTheme="minorHAnsi" w:hAnsi="Arial" w:cs="Arial"/>
          <w:bCs/>
          <w:iCs/>
          <w:sz w:val="22"/>
          <w:szCs w:val="22"/>
          <w:lang w:val="fr-FR"/>
        </w:rPr>
      </w:pPr>
    </w:p>
    <w:p w14:paraId="6E2769B9" w14:textId="77777777" w:rsidR="00FB7541" w:rsidRPr="00FB7541" w:rsidRDefault="00FB7541" w:rsidP="006F1298">
      <w:pPr>
        <w:numPr>
          <w:ilvl w:val="0"/>
          <w:numId w:val="10"/>
        </w:numPr>
        <w:autoSpaceDE/>
        <w:autoSpaceDN/>
        <w:adjustRightInd w:val="0"/>
        <w:ind w:left="1418" w:hanging="567"/>
        <w:jc w:val="both"/>
        <w:textAlignment w:val="auto"/>
        <w:rPr>
          <w:rFonts w:ascii="Arial" w:eastAsiaTheme="minorHAnsi" w:hAnsi="Arial" w:cs="Arial"/>
          <w:sz w:val="22"/>
          <w:szCs w:val="22"/>
          <w:lang w:val="fr-FR"/>
        </w:rPr>
      </w:pPr>
      <w:r w:rsidRPr="00FB7541">
        <w:rPr>
          <w:rFonts w:ascii="Arial" w:eastAsiaTheme="minorHAnsi" w:hAnsi="Arial" w:cs="Arial"/>
          <w:sz w:val="22"/>
          <w:szCs w:val="22"/>
          <w:lang w:val="fr-FR"/>
        </w:rPr>
        <w:t>accroître les efforts de collecte de données pour toutes les espèces inscrites à l’Annexe I de la CMS pour lesquelles elles sont des États de l’aire de répartition, notamment en ce qui concerne l’abondance et les tendances des populations, les schémas migratoires et le commerce national et régional, afin de mieux comprendre dans quelle mesure les populations sont soumises aux prélèvements contemporains ainsi qu’à d’autres menaces ;</w:t>
      </w:r>
    </w:p>
    <w:p w14:paraId="790FC5C1" w14:textId="77777777" w:rsidR="00FB7541" w:rsidRPr="00FB7541" w:rsidRDefault="00FB7541" w:rsidP="006F1298">
      <w:pPr>
        <w:autoSpaceDE/>
        <w:autoSpaceDN/>
        <w:ind w:left="1418" w:hanging="567"/>
        <w:textAlignment w:val="auto"/>
        <w:rPr>
          <w:rFonts w:ascii="Arial" w:eastAsiaTheme="minorHAnsi" w:hAnsi="Arial" w:cs="Arial"/>
          <w:sz w:val="22"/>
          <w:szCs w:val="22"/>
          <w:lang w:val="fr-FR"/>
        </w:rPr>
      </w:pPr>
    </w:p>
    <w:p w14:paraId="6D227E83" w14:textId="4DD2BD31" w:rsidR="00FB7541" w:rsidRPr="00FB7541" w:rsidRDefault="00FB7541" w:rsidP="006F1298">
      <w:pPr>
        <w:numPr>
          <w:ilvl w:val="0"/>
          <w:numId w:val="10"/>
        </w:numPr>
        <w:autoSpaceDE/>
        <w:autoSpaceDN/>
        <w:ind w:left="1418" w:hanging="567"/>
        <w:jc w:val="both"/>
        <w:textAlignment w:val="auto"/>
        <w:rPr>
          <w:rFonts w:ascii="Arial" w:eastAsiaTheme="minorHAnsi" w:hAnsi="Arial" w:cs="Arial"/>
          <w:bCs/>
          <w:iCs/>
          <w:sz w:val="22"/>
          <w:szCs w:val="22"/>
          <w:lang w:val="fr-FR"/>
        </w:rPr>
      </w:pPr>
      <w:r w:rsidRPr="00FB7541">
        <w:rPr>
          <w:rFonts w:ascii="Arial" w:eastAsiaTheme="minorHAnsi" w:hAnsi="Arial" w:cs="Arial"/>
          <w:bCs/>
          <w:iCs/>
          <w:sz w:val="22"/>
          <w:szCs w:val="22"/>
          <w:lang w:val="fr-FR"/>
        </w:rPr>
        <w:t>évaluer dans quelle mesure le bien-être et la conservation des cétacés présents sous leur juridiction est influencé par le changement climatique, et examiner et mettre en œuvre, le cas échéant, les recommandations figurant à l’Annexe 2 du document</w:t>
      </w:r>
      <w:r w:rsidR="006F1298">
        <w:rPr>
          <w:rFonts w:ascii="Arial" w:eastAsiaTheme="minorHAnsi" w:hAnsi="Arial" w:cs="Arial"/>
          <w:bCs/>
          <w:iCs/>
          <w:sz w:val="22"/>
          <w:szCs w:val="22"/>
          <w:lang w:val="fr-FR"/>
        </w:rPr>
        <w:t xml:space="preserve"> </w:t>
      </w:r>
      <w:r w:rsidRPr="00FB7541">
        <w:rPr>
          <w:rFonts w:ascii="Arial" w:eastAsiaTheme="minorHAnsi" w:hAnsi="Arial" w:cs="Arial"/>
          <w:bCs/>
          <w:iCs/>
          <w:sz w:val="22"/>
          <w:szCs w:val="22"/>
          <w:lang w:val="fr-FR"/>
        </w:rPr>
        <w:t>UNEP/CMS/COP15/Doc.25.4.1 pour y répondre ;</w:t>
      </w:r>
    </w:p>
    <w:p w14:paraId="5F5C5C1A" w14:textId="77777777" w:rsidR="00FB7541" w:rsidRPr="00FB7541" w:rsidRDefault="00FB7541" w:rsidP="006F1298">
      <w:pPr>
        <w:autoSpaceDE/>
        <w:autoSpaceDN/>
        <w:ind w:left="1418" w:hanging="567"/>
        <w:textAlignment w:val="auto"/>
        <w:rPr>
          <w:rFonts w:ascii="Arial" w:eastAsiaTheme="minorHAnsi" w:hAnsi="Arial" w:cs="Arial"/>
          <w:bCs/>
          <w:iCs/>
          <w:sz w:val="22"/>
          <w:szCs w:val="22"/>
          <w:lang w:val="fr-FR"/>
        </w:rPr>
      </w:pPr>
    </w:p>
    <w:p w14:paraId="75463CAA" w14:textId="5027930B" w:rsidR="00FB7541" w:rsidRPr="00FB7541" w:rsidRDefault="00FB7541" w:rsidP="006F1298">
      <w:pPr>
        <w:numPr>
          <w:ilvl w:val="0"/>
          <w:numId w:val="10"/>
        </w:numPr>
        <w:autoSpaceDE/>
        <w:autoSpaceDN/>
        <w:ind w:left="1418" w:hanging="567"/>
        <w:jc w:val="both"/>
        <w:textAlignment w:val="auto"/>
        <w:rPr>
          <w:rFonts w:ascii="Arial" w:eastAsiaTheme="minorHAnsi" w:hAnsi="Arial" w:cs="Arial"/>
          <w:bCs/>
          <w:iCs/>
          <w:sz w:val="22"/>
          <w:szCs w:val="22"/>
          <w:lang w:val="fr-FR"/>
        </w:rPr>
      </w:pPr>
      <w:r w:rsidRPr="00FB7541">
        <w:rPr>
          <w:rFonts w:ascii="Arial" w:eastAsiaTheme="minorHAnsi" w:hAnsi="Arial" w:cs="Arial"/>
          <w:bCs/>
          <w:iCs/>
          <w:sz w:val="22"/>
          <w:szCs w:val="22"/>
          <w:lang w:val="fr-FR"/>
        </w:rPr>
        <w:t>se préparer, à l’avance, à l’apparition de cétacés « hors habitat » en élaborant des protocoles couvrant des sujets tels que la communication, la consultation des parties prenantes, la formation des intervenants et la résolution des conflits entre humains et faune sauvage, en tenant compte, le cas échéant, des recommandations incluses dans l’Annexe 3 du document</w:t>
      </w:r>
      <w:r w:rsidR="006F1298">
        <w:rPr>
          <w:rFonts w:ascii="Arial" w:eastAsiaTheme="minorHAnsi" w:hAnsi="Arial" w:cs="Arial"/>
          <w:bCs/>
          <w:iCs/>
          <w:sz w:val="22"/>
          <w:szCs w:val="22"/>
          <w:lang w:val="fr-FR"/>
        </w:rPr>
        <w:t xml:space="preserve"> </w:t>
      </w:r>
      <w:r w:rsidRPr="00FB7541">
        <w:rPr>
          <w:rFonts w:ascii="Arial" w:eastAsiaTheme="minorHAnsi" w:hAnsi="Arial" w:cs="Arial"/>
          <w:bCs/>
          <w:iCs/>
          <w:sz w:val="22"/>
          <w:szCs w:val="22"/>
          <w:lang w:val="fr-FR"/>
        </w:rPr>
        <w:t>UNEP/CMS/COP15/</w:t>
      </w:r>
      <w:r w:rsidRPr="00FB7541">
        <w:rPr>
          <w:rFonts w:ascii="Arial" w:eastAsiaTheme="minorHAnsi" w:hAnsi="Arial" w:cs="Arial"/>
          <w:sz w:val="22"/>
          <w:szCs w:val="22"/>
          <w:lang w:val="fr-FR"/>
        </w:rPr>
        <w:t>Doc.25.4.1.</w:t>
      </w:r>
      <w:r w:rsidRPr="00FB7541">
        <w:rPr>
          <w:rFonts w:ascii="Arial" w:eastAsiaTheme="minorHAnsi" w:hAnsi="Arial" w:cs="Arial"/>
          <w:bCs/>
          <w:iCs/>
          <w:sz w:val="22"/>
          <w:szCs w:val="22"/>
          <w:lang w:val="fr-FR"/>
        </w:rPr>
        <w:t xml:space="preserve"> </w:t>
      </w:r>
    </w:p>
    <w:p w14:paraId="22924331" w14:textId="77777777" w:rsidR="00FB7541" w:rsidRPr="00FB7541" w:rsidRDefault="00FB7541" w:rsidP="006F1298">
      <w:pPr>
        <w:widowControl/>
        <w:autoSpaceDE/>
        <w:autoSpaceDN/>
        <w:jc w:val="both"/>
        <w:textAlignment w:val="auto"/>
        <w:rPr>
          <w:rFonts w:ascii="Arial" w:eastAsiaTheme="minorHAnsi" w:hAnsi="Arial" w:cs="Arial"/>
          <w:sz w:val="22"/>
          <w:szCs w:val="22"/>
          <w:lang w:val="fr-FR"/>
        </w:rPr>
      </w:pPr>
    </w:p>
    <w:p w14:paraId="602864F9" w14:textId="77777777" w:rsidR="00FB7541" w:rsidRPr="00FB7541" w:rsidRDefault="00FB7541" w:rsidP="006F1298">
      <w:pPr>
        <w:widowControl/>
        <w:autoSpaceDE/>
        <w:autoSpaceDN/>
        <w:jc w:val="both"/>
        <w:textAlignment w:val="auto"/>
        <w:rPr>
          <w:rFonts w:ascii="Arial" w:eastAsiaTheme="minorHAnsi" w:hAnsi="Arial" w:cs="Arial"/>
          <w:sz w:val="22"/>
          <w:szCs w:val="22"/>
          <w:lang w:val="fr-FR"/>
        </w:rPr>
      </w:pPr>
      <w:r w:rsidRPr="00FB7541">
        <w:rPr>
          <w:rFonts w:ascii="Arial" w:eastAsiaTheme="minorHAnsi" w:hAnsi="Arial" w:cs="Arial"/>
          <w:b/>
          <w:i/>
          <w:sz w:val="22"/>
          <w:szCs w:val="22"/>
          <w:lang w:val="fr-FR"/>
        </w:rPr>
        <w:t xml:space="preserve">À l’adresse du Conseil scientifique </w:t>
      </w:r>
    </w:p>
    <w:p w14:paraId="08B68AD0" w14:textId="77777777" w:rsidR="00FB7541" w:rsidRPr="00FB7541" w:rsidRDefault="00FB7541" w:rsidP="006F1298">
      <w:pPr>
        <w:widowControl/>
        <w:autoSpaceDE/>
        <w:autoSpaceDN/>
        <w:jc w:val="both"/>
        <w:textAlignment w:val="auto"/>
        <w:rPr>
          <w:rFonts w:ascii="Arial" w:eastAsiaTheme="minorHAnsi" w:hAnsi="Arial" w:cs="Arial"/>
          <w:sz w:val="22"/>
          <w:szCs w:val="22"/>
          <w:lang w:val="fr-FR"/>
        </w:rPr>
      </w:pPr>
    </w:p>
    <w:p w14:paraId="5DF805AF" w14:textId="77777777" w:rsidR="00FB7541" w:rsidRPr="00FB7541" w:rsidRDefault="00FB7541" w:rsidP="006F1298">
      <w:pPr>
        <w:widowControl/>
        <w:autoSpaceDE/>
        <w:autoSpaceDN/>
        <w:ind w:left="851" w:hanging="851"/>
        <w:jc w:val="both"/>
        <w:textAlignment w:val="auto"/>
        <w:rPr>
          <w:rFonts w:ascii="Arial" w:eastAsiaTheme="minorHAnsi" w:hAnsi="Arial" w:cs="Arial"/>
          <w:sz w:val="22"/>
          <w:szCs w:val="22"/>
          <w:lang w:val="fr-FR"/>
        </w:rPr>
      </w:pPr>
      <w:r w:rsidRPr="00FB7541">
        <w:rPr>
          <w:rFonts w:ascii="Arial" w:eastAsiaTheme="minorHAnsi" w:hAnsi="Arial" w:cs="Arial"/>
          <w:sz w:val="22"/>
          <w:szCs w:val="22"/>
          <w:lang w:val="fr-FR"/>
        </w:rPr>
        <w:t>15.BB</w:t>
      </w:r>
      <w:r w:rsidRPr="00FB7541">
        <w:rPr>
          <w:rFonts w:ascii="Arial" w:eastAsiaTheme="minorHAnsi" w:hAnsi="Arial" w:cs="Arial"/>
          <w:sz w:val="22"/>
          <w:szCs w:val="22"/>
          <w:lang w:val="fr-FR"/>
        </w:rPr>
        <w:tab/>
        <w:t>Le Conseil scientifique, sous réserve de la disponibilité de ressources externes et, le cas échéant, avec le soutien du Groupe de travail sur les mammifères aquatiques, est invité à :</w:t>
      </w:r>
    </w:p>
    <w:p w14:paraId="0EFEE64A" w14:textId="77777777" w:rsidR="00FB7541" w:rsidRPr="00FB7541" w:rsidRDefault="00FB7541" w:rsidP="006F1298">
      <w:pPr>
        <w:widowControl/>
        <w:autoSpaceDE/>
        <w:autoSpaceDN/>
        <w:ind w:left="720" w:hanging="720"/>
        <w:jc w:val="both"/>
        <w:textAlignment w:val="auto"/>
        <w:rPr>
          <w:rFonts w:ascii="Arial" w:eastAsiaTheme="minorHAnsi" w:hAnsi="Arial" w:cs="Arial"/>
          <w:sz w:val="22"/>
          <w:szCs w:val="22"/>
          <w:lang w:val="fr-FR"/>
        </w:rPr>
      </w:pPr>
    </w:p>
    <w:p w14:paraId="63D564F2" w14:textId="77777777" w:rsidR="00FB7541" w:rsidRPr="00FB7541" w:rsidRDefault="00FB7541" w:rsidP="006F1298">
      <w:pPr>
        <w:widowControl/>
        <w:numPr>
          <w:ilvl w:val="1"/>
          <w:numId w:val="11"/>
        </w:numPr>
        <w:autoSpaceDE/>
        <w:autoSpaceDN/>
        <w:ind w:left="1418" w:hanging="567"/>
        <w:jc w:val="both"/>
        <w:textAlignment w:val="auto"/>
        <w:rPr>
          <w:rFonts w:ascii="Arial" w:eastAsiaTheme="minorHAnsi" w:hAnsi="Arial" w:cstheme="minorBidi"/>
          <w:sz w:val="22"/>
          <w:szCs w:val="22"/>
          <w:lang w:val="fr-FR"/>
        </w:rPr>
      </w:pPr>
      <w:r w:rsidRPr="00FB7541">
        <w:rPr>
          <w:rFonts w:ascii="Arial" w:eastAsiaTheme="minorHAnsi" w:hAnsi="Arial" w:cstheme="minorBidi"/>
          <w:sz w:val="22"/>
          <w:szCs w:val="22"/>
          <w:lang w:val="fr-FR"/>
        </w:rPr>
        <w:t>synthétiser la recherche sur la compréhension émergente de la façon dont le bien-être des cétacés peut avoir un impact sur les résultats de conservation, et faire des recommandations aux Parties ;</w:t>
      </w:r>
    </w:p>
    <w:p w14:paraId="0C8E7D5F" w14:textId="3BC19909" w:rsidR="006B71B0" w:rsidRDefault="006B71B0" w:rsidP="006F1298">
      <w:pPr>
        <w:widowControl/>
        <w:autoSpaceDE/>
        <w:autoSpaceDN/>
        <w:ind w:left="1418"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br w:type="page"/>
      </w:r>
    </w:p>
    <w:p w14:paraId="26EDCC2A" w14:textId="2A45636D" w:rsidR="00384973" w:rsidRPr="002070F5" w:rsidRDefault="00FB7541" w:rsidP="002070F5">
      <w:pPr>
        <w:widowControl/>
        <w:numPr>
          <w:ilvl w:val="1"/>
          <w:numId w:val="11"/>
        </w:numPr>
        <w:autoSpaceDE/>
        <w:autoSpaceDN/>
        <w:ind w:left="1418" w:hanging="567"/>
        <w:jc w:val="both"/>
        <w:textAlignment w:val="auto"/>
        <w:rPr>
          <w:rFonts w:ascii="Arial" w:eastAsiaTheme="minorHAnsi" w:hAnsi="Arial" w:cstheme="minorBidi"/>
          <w:sz w:val="22"/>
          <w:szCs w:val="22"/>
          <w:lang w:val="fr-FR"/>
        </w:rPr>
      </w:pPr>
      <w:r w:rsidRPr="00FB7541">
        <w:rPr>
          <w:rFonts w:ascii="Arial" w:eastAsiaTheme="minorHAnsi" w:hAnsi="Arial" w:cstheme="minorBidi"/>
          <w:sz w:val="22"/>
          <w:szCs w:val="22"/>
          <w:lang w:val="fr-FR"/>
        </w:rPr>
        <w:lastRenderedPageBreak/>
        <w:t>en collaboration avec la Commission Baleinière Internationale (CBI), ACCOBAMS et ASCOBANS, examiner les impacts du changement climatique sur la conservation et le bien-être des cétacés, et faire des recommandations aux Parties ;</w:t>
      </w:r>
    </w:p>
    <w:p w14:paraId="7935FB12" w14:textId="77777777" w:rsidR="00384973" w:rsidRPr="00FB7541" w:rsidRDefault="00384973" w:rsidP="002070F5">
      <w:pPr>
        <w:widowControl/>
        <w:autoSpaceDE/>
        <w:autoSpaceDN/>
        <w:ind w:left="1418"/>
        <w:jc w:val="both"/>
        <w:textAlignment w:val="auto"/>
        <w:rPr>
          <w:rFonts w:ascii="Arial" w:eastAsiaTheme="minorHAnsi" w:hAnsi="Arial" w:cstheme="minorBidi"/>
          <w:sz w:val="22"/>
          <w:szCs w:val="22"/>
          <w:lang w:val="fr-FR"/>
        </w:rPr>
      </w:pPr>
    </w:p>
    <w:p w14:paraId="44487776" w14:textId="7F6001FB" w:rsidR="00FB7541" w:rsidRPr="00FB7541" w:rsidRDefault="00FB7541" w:rsidP="006F1298">
      <w:pPr>
        <w:widowControl/>
        <w:numPr>
          <w:ilvl w:val="1"/>
          <w:numId w:val="11"/>
        </w:numPr>
        <w:autoSpaceDE/>
        <w:autoSpaceDN/>
        <w:ind w:left="1418" w:hanging="567"/>
        <w:jc w:val="both"/>
        <w:textAlignment w:val="auto"/>
        <w:rPr>
          <w:rFonts w:ascii="Arial" w:eastAsiaTheme="minorHAnsi" w:hAnsi="Arial" w:cstheme="minorBidi"/>
          <w:sz w:val="22"/>
          <w:szCs w:val="22"/>
          <w:lang w:val="fr-FR"/>
        </w:rPr>
      </w:pPr>
      <w:r w:rsidRPr="00FB7541">
        <w:rPr>
          <w:rFonts w:ascii="Arial" w:eastAsiaTheme="minorHAnsi" w:hAnsi="Arial" w:cs="Arial"/>
          <w:sz w:val="22"/>
          <w:szCs w:val="22"/>
          <w:lang w:val="fr-FR"/>
        </w:rPr>
        <w:t>étudier les impacts des mortalités massives de cétacés</w:t>
      </w:r>
      <w:r w:rsidR="00384973">
        <w:rPr>
          <w:rFonts w:ascii="Arial" w:eastAsiaTheme="minorHAnsi" w:hAnsi="Arial" w:cs="Arial"/>
          <w:sz w:val="22"/>
          <w:szCs w:val="22"/>
          <w:lang w:val="fr-FR"/>
        </w:rPr>
        <w:t>, y compris celles</w:t>
      </w:r>
      <w:r w:rsidRPr="00FB7541">
        <w:rPr>
          <w:rFonts w:ascii="Arial" w:eastAsiaTheme="minorHAnsi" w:hAnsi="Arial" w:cs="Arial"/>
          <w:sz w:val="22"/>
          <w:szCs w:val="22"/>
          <w:lang w:val="fr-FR"/>
        </w:rPr>
        <w:t xml:space="preserve"> liées à la présence de toxines algales</w:t>
      </w:r>
      <w:r w:rsidR="002070F5">
        <w:rPr>
          <w:rFonts w:ascii="Arial" w:eastAsiaTheme="minorHAnsi" w:hAnsi="Arial" w:cs="Arial"/>
          <w:sz w:val="22"/>
          <w:szCs w:val="22"/>
          <w:lang w:val="fr-FR"/>
        </w:rPr>
        <w:t>,</w:t>
      </w:r>
      <w:r w:rsidRPr="00FB7541">
        <w:rPr>
          <w:rFonts w:ascii="Arial" w:eastAsiaTheme="minorHAnsi" w:hAnsi="Arial" w:cs="Arial"/>
          <w:sz w:val="22"/>
          <w:szCs w:val="22"/>
          <w:lang w:val="fr-FR"/>
        </w:rPr>
        <w:t xml:space="preserve"> et formuler des recommandations à l’adresse des Parties ;</w:t>
      </w:r>
    </w:p>
    <w:p w14:paraId="2B1BCBCD" w14:textId="77777777" w:rsidR="00FB7541" w:rsidRPr="00FB7541" w:rsidRDefault="00FB7541" w:rsidP="006F1298">
      <w:pPr>
        <w:widowControl/>
        <w:autoSpaceDE/>
        <w:autoSpaceDN/>
        <w:ind w:left="1418" w:hanging="567"/>
        <w:textAlignment w:val="auto"/>
        <w:rPr>
          <w:rFonts w:ascii="Arial" w:eastAsiaTheme="minorHAnsi" w:hAnsi="Arial" w:cstheme="minorBidi"/>
          <w:sz w:val="22"/>
          <w:szCs w:val="22"/>
          <w:lang w:val="fr-FR"/>
        </w:rPr>
      </w:pPr>
    </w:p>
    <w:p w14:paraId="64663A75" w14:textId="77777777" w:rsidR="00FB7541" w:rsidRPr="00FB7541" w:rsidRDefault="00FB7541" w:rsidP="006F1298">
      <w:pPr>
        <w:widowControl/>
        <w:numPr>
          <w:ilvl w:val="1"/>
          <w:numId w:val="11"/>
        </w:numPr>
        <w:autoSpaceDE/>
        <w:autoSpaceDN/>
        <w:ind w:left="1418" w:hanging="567"/>
        <w:jc w:val="both"/>
        <w:textAlignment w:val="auto"/>
        <w:rPr>
          <w:rFonts w:ascii="Arial" w:eastAsiaTheme="minorHAnsi" w:hAnsi="Arial" w:cstheme="minorBidi"/>
          <w:sz w:val="22"/>
          <w:szCs w:val="22"/>
          <w:lang w:val="fr-FR"/>
        </w:rPr>
      </w:pPr>
      <w:r w:rsidRPr="00FB7541">
        <w:rPr>
          <w:rFonts w:ascii="Arial" w:eastAsiaTheme="minorHAnsi" w:hAnsi="Arial" w:cstheme="minorBidi"/>
          <w:sz w:val="22"/>
          <w:szCs w:val="22"/>
          <w:lang w:val="fr-FR"/>
        </w:rPr>
        <w:t>entreprendre, en coopération avec la CBI, une quantification de la chasse à la baleine contemporaine et des prélèvements de viande d’animaux sauvages aquatiques de cétacés inscrits à l’Annexe II de la CMS dans toutes les régions, et formuler des recommandations à l’adresse des Parties ;</w:t>
      </w:r>
    </w:p>
    <w:p w14:paraId="40DD832E" w14:textId="77777777" w:rsidR="00FB7541" w:rsidRPr="00FB7541" w:rsidRDefault="00FB7541" w:rsidP="006F1298">
      <w:pPr>
        <w:widowControl/>
        <w:autoSpaceDE/>
        <w:autoSpaceDN/>
        <w:ind w:left="1418" w:hanging="567"/>
        <w:textAlignment w:val="auto"/>
        <w:rPr>
          <w:rFonts w:ascii="Arial" w:eastAsiaTheme="minorHAnsi" w:hAnsi="Arial" w:cstheme="minorBidi"/>
          <w:sz w:val="22"/>
          <w:szCs w:val="22"/>
          <w:lang w:val="fr-FR"/>
        </w:rPr>
      </w:pPr>
    </w:p>
    <w:p w14:paraId="0CFE4C0A" w14:textId="77777777" w:rsidR="00FB7541" w:rsidRPr="00FB7541" w:rsidRDefault="00FB7541" w:rsidP="006F1298">
      <w:pPr>
        <w:widowControl/>
        <w:numPr>
          <w:ilvl w:val="1"/>
          <w:numId w:val="11"/>
        </w:numPr>
        <w:autoSpaceDE/>
        <w:autoSpaceDN/>
        <w:ind w:left="1418" w:hanging="567"/>
        <w:jc w:val="both"/>
        <w:textAlignment w:val="auto"/>
        <w:rPr>
          <w:rFonts w:ascii="Arial" w:eastAsiaTheme="minorHAnsi" w:hAnsi="Arial" w:cs="Arial"/>
          <w:sz w:val="22"/>
          <w:szCs w:val="22"/>
          <w:lang w:val="fr-FR"/>
        </w:rPr>
      </w:pPr>
      <w:r w:rsidRPr="00FB7541">
        <w:rPr>
          <w:rFonts w:ascii="Arial" w:eastAsiaTheme="minorHAnsi" w:hAnsi="Arial" w:cs="Arial"/>
          <w:bCs/>
          <w:iCs/>
          <w:sz w:val="22"/>
          <w:szCs w:val="22"/>
          <w:lang w:val="fr-FR"/>
        </w:rPr>
        <w:t xml:space="preserve">examiner la </w:t>
      </w:r>
      <w:r w:rsidRPr="00FB7541">
        <w:rPr>
          <w:rFonts w:ascii="Arial" w:eastAsiaTheme="minorHAnsi" w:hAnsi="Arial" w:cs="Arial"/>
          <w:bCs/>
          <w:i/>
          <w:sz w:val="22"/>
          <w:szCs w:val="22"/>
          <w:lang w:val="fr-FR"/>
        </w:rPr>
        <w:t>compilation des recommandations qui pourraient être adressées au Conseil scientifique lors de la COP15 et des futures COP</w:t>
      </w:r>
      <w:r w:rsidRPr="00FB7541">
        <w:rPr>
          <w:rFonts w:ascii="Arial" w:eastAsiaTheme="minorHAnsi" w:hAnsi="Arial" w:cs="Arial"/>
          <w:bCs/>
          <w:iCs/>
          <w:sz w:val="22"/>
          <w:szCs w:val="22"/>
          <w:lang w:val="fr-FR"/>
        </w:rPr>
        <w:t>, figurant à l'Annexe 4 du document UNEP/CMSCOP15/Doc.25.4.1, et formuler des recommandations à la 16e réunion de la Conférence des Parties sur les mesures prioritaires à prendre pour progresser au cours de la prochaine période intersessions.</w:t>
      </w:r>
    </w:p>
    <w:p w14:paraId="12B7C452" w14:textId="77777777" w:rsidR="00FB7541" w:rsidRPr="00FB7541" w:rsidRDefault="00FB7541" w:rsidP="006F1298">
      <w:pPr>
        <w:widowControl/>
        <w:autoSpaceDE/>
        <w:autoSpaceDN/>
        <w:jc w:val="both"/>
        <w:textAlignment w:val="auto"/>
        <w:rPr>
          <w:rFonts w:ascii="Arial" w:eastAsiaTheme="minorHAnsi" w:hAnsi="Arial" w:cs="Arial"/>
          <w:sz w:val="22"/>
          <w:szCs w:val="22"/>
          <w:lang w:val="fr-FR"/>
        </w:rPr>
      </w:pPr>
    </w:p>
    <w:p w14:paraId="2EF34978" w14:textId="77777777" w:rsidR="00FB7541" w:rsidRPr="00FB7541" w:rsidRDefault="00FB7541" w:rsidP="006F1298">
      <w:pPr>
        <w:widowControl/>
        <w:autoSpaceDE/>
        <w:autoSpaceDN/>
        <w:jc w:val="both"/>
        <w:textAlignment w:val="auto"/>
        <w:rPr>
          <w:rFonts w:ascii="Arial" w:eastAsiaTheme="minorHAnsi" w:hAnsi="Arial" w:cs="Arial"/>
          <w:b/>
          <w:i/>
          <w:sz w:val="22"/>
          <w:szCs w:val="22"/>
          <w:lang w:val="fr-FR"/>
        </w:rPr>
      </w:pPr>
      <w:r w:rsidRPr="00FB7541">
        <w:rPr>
          <w:rFonts w:ascii="Arial" w:eastAsiaTheme="minorHAnsi" w:hAnsi="Arial" w:cs="Arial"/>
          <w:b/>
          <w:i/>
          <w:sz w:val="22"/>
          <w:szCs w:val="22"/>
          <w:lang w:val="fr-FR"/>
        </w:rPr>
        <w:t>À l’adresse du Secrétariat</w:t>
      </w:r>
    </w:p>
    <w:p w14:paraId="4656459A" w14:textId="77777777" w:rsidR="00FB7541" w:rsidRPr="00FB7541" w:rsidRDefault="00FB7541" w:rsidP="006F1298">
      <w:pPr>
        <w:widowControl/>
        <w:autoSpaceDE/>
        <w:autoSpaceDN/>
        <w:jc w:val="both"/>
        <w:textAlignment w:val="auto"/>
        <w:rPr>
          <w:rFonts w:ascii="Arial" w:eastAsiaTheme="minorHAnsi" w:hAnsi="Arial" w:cs="Arial"/>
          <w:sz w:val="22"/>
          <w:szCs w:val="22"/>
          <w:lang w:val="fr-FR"/>
        </w:rPr>
      </w:pPr>
    </w:p>
    <w:p w14:paraId="76B909F2" w14:textId="77777777" w:rsidR="00FB7541" w:rsidRPr="00FB7541" w:rsidRDefault="00FB7541" w:rsidP="006F1298">
      <w:pPr>
        <w:widowControl/>
        <w:autoSpaceDE/>
        <w:autoSpaceDN/>
        <w:ind w:left="851" w:hanging="851"/>
        <w:jc w:val="both"/>
        <w:textAlignment w:val="auto"/>
        <w:rPr>
          <w:rFonts w:ascii="Arial" w:eastAsiaTheme="minorHAnsi" w:hAnsi="Arial" w:cs="Arial"/>
          <w:sz w:val="22"/>
          <w:szCs w:val="22"/>
          <w:lang w:val="fr-FR"/>
        </w:rPr>
      </w:pPr>
      <w:r w:rsidRPr="00FB7541">
        <w:rPr>
          <w:rFonts w:ascii="Arial" w:eastAsiaTheme="minorHAnsi" w:hAnsi="Arial" w:cs="Arial"/>
          <w:sz w:val="22"/>
          <w:szCs w:val="22"/>
          <w:lang w:val="fr-FR"/>
        </w:rPr>
        <w:t>15.CC</w:t>
      </w:r>
      <w:r w:rsidRPr="00FB7541">
        <w:rPr>
          <w:rFonts w:ascii="Arial" w:eastAsiaTheme="minorHAnsi" w:hAnsi="Arial" w:cs="Arial"/>
          <w:sz w:val="22"/>
          <w:szCs w:val="22"/>
          <w:lang w:val="fr-FR"/>
        </w:rPr>
        <w:tab/>
        <w:t>Le Secrétariat :</w:t>
      </w:r>
    </w:p>
    <w:p w14:paraId="33BF836C" w14:textId="77777777" w:rsidR="00FB7541" w:rsidRPr="00FB7541" w:rsidRDefault="00FB7541" w:rsidP="006F1298">
      <w:pPr>
        <w:widowControl/>
        <w:autoSpaceDE/>
        <w:autoSpaceDN/>
        <w:ind w:left="851" w:hanging="851"/>
        <w:jc w:val="both"/>
        <w:textAlignment w:val="auto"/>
        <w:rPr>
          <w:rFonts w:ascii="Arial" w:eastAsiaTheme="minorHAnsi" w:hAnsi="Arial" w:cs="Arial"/>
          <w:sz w:val="22"/>
          <w:szCs w:val="22"/>
          <w:lang w:val="fr-FR"/>
        </w:rPr>
      </w:pPr>
    </w:p>
    <w:p w14:paraId="55219F79" w14:textId="77777777" w:rsidR="00FB7541" w:rsidRPr="00FB7541" w:rsidRDefault="00FB7541" w:rsidP="006F1298">
      <w:pPr>
        <w:widowControl/>
        <w:numPr>
          <w:ilvl w:val="0"/>
          <w:numId w:val="12"/>
        </w:numPr>
        <w:autoSpaceDE/>
        <w:autoSpaceDN/>
        <w:ind w:left="1418" w:hanging="567"/>
        <w:jc w:val="both"/>
        <w:textAlignment w:val="auto"/>
        <w:rPr>
          <w:rFonts w:ascii="Arial" w:eastAsiaTheme="minorHAnsi" w:hAnsi="Arial" w:cs="Arial"/>
          <w:sz w:val="22"/>
          <w:szCs w:val="22"/>
          <w:lang w:val="fr-FR"/>
        </w:rPr>
      </w:pPr>
      <w:r w:rsidRPr="00FB7541">
        <w:rPr>
          <w:rFonts w:ascii="Arial" w:eastAsiaTheme="minorHAnsi" w:hAnsi="Arial" w:cs="Arial"/>
          <w:sz w:val="22"/>
          <w:szCs w:val="22"/>
          <w:lang w:val="fr-FR"/>
        </w:rPr>
        <w:t>soutient le Conseil scientifique, sous réserve de la disponibilité de ressources, dans l’élaboration des rapports et des recommandations demandés dans la décision 15.BB ; et</w:t>
      </w:r>
    </w:p>
    <w:p w14:paraId="05EFCB9D" w14:textId="77777777" w:rsidR="00FB7541" w:rsidRPr="00FB7541" w:rsidRDefault="00FB7541" w:rsidP="006F1298">
      <w:pPr>
        <w:widowControl/>
        <w:autoSpaceDE/>
        <w:autoSpaceDN/>
        <w:ind w:left="1418"/>
        <w:jc w:val="both"/>
        <w:textAlignment w:val="auto"/>
        <w:rPr>
          <w:rFonts w:ascii="Arial" w:eastAsiaTheme="minorHAnsi" w:hAnsi="Arial" w:cs="Arial"/>
          <w:sz w:val="22"/>
          <w:szCs w:val="22"/>
          <w:lang w:val="fr-FR"/>
        </w:rPr>
      </w:pPr>
    </w:p>
    <w:p w14:paraId="5B62F3AA" w14:textId="77777777" w:rsidR="00FB7541" w:rsidRPr="00FB7541" w:rsidRDefault="00FB7541" w:rsidP="006F1298">
      <w:pPr>
        <w:widowControl/>
        <w:numPr>
          <w:ilvl w:val="0"/>
          <w:numId w:val="12"/>
        </w:numPr>
        <w:autoSpaceDE/>
        <w:autoSpaceDN/>
        <w:ind w:left="1418" w:hanging="567"/>
        <w:jc w:val="both"/>
        <w:textAlignment w:val="auto"/>
        <w:rPr>
          <w:rFonts w:ascii="Arial" w:eastAsiaTheme="minorHAnsi" w:hAnsi="Arial" w:cs="Arial"/>
          <w:sz w:val="22"/>
          <w:szCs w:val="22"/>
          <w:lang w:val="fr-FR"/>
        </w:rPr>
      </w:pPr>
      <w:r w:rsidRPr="00FB7541">
        <w:rPr>
          <w:rFonts w:ascii="Arial" w:eastAsiaTheme="minorHAnsi" w:hAnsi="Arial" w:cs="Arial"/>
          <w:sz w:val="22"/>
          <w:szCs w:val="22"/>
          <w:lang w:val="fr-FR"/>
        </w:rPr>
        <w:t>étudie la mise en place d'un programme de travail conjoint avec le Secrétariat de la CBI sur la conservation des cétacés, en tenant compte du MdE entre les deux organisations.</w:t>
      </w:r>
    </w:p>
    <w:p w14:paraId="7E2AB258" w14:textId="77777777" w:rsidR="00FB7541" w:rsidRPr="00FB7541" w:rsidRDefault="00FB7541" w:rsidP="006F1298">
      <w:pPr>
        <w:widowControl/>
        <w:autoSpaceDE/>
        <w:autoSpaceDN/>
        <w:textAlignment w:val="auto"/>
        <w:rPr>
          <w:rFonts w:ascii="Arial" w:eastAsiaTheme="minorHAnsi" w:hAnsi="Arial" w:cs="Arial"/>
          <w:sz w:val="22"/>
          <w:szCs w:val="22"/>
          <w:lang w:val="fr-FR"/>
        </w:rPr>
      </w:pPr>
    </w:p>
    <w:p w14:paraId="4708E842" w14:textId="77777777" w:rsidR="00FB7541" w:rsidRPr="00FB7541" w:rsidRDefault="00FB7541" w:rsidP="006F1298">
      <w:pPr>
        <w:widowControl/>
        <w:autoSpaceDE/>
        <w:autoSpaceDN/>
        <w:textAlignment w:val="auto"/>
        <w:rPr>
          <w:rFonts w:ascii="Arial" w:eastAsiaTheme="minorHAnsi" w:hAnsi="Arial" w:cs="Arial"/>
          <w:sz w:val="22"/>
          <w:szCs w:val="22"/>
          <w:lang w:val="fr-FR"/>
        </w:rPr>
      </w:pPr>
    </w:p>
    <w:p w14:paraId="3BC3036B" w14:textId="77777777" w:rsidR="00FB7541" w:rsidRPr="00FB7541" w:rsidRDefault="00FB7541" w:rsidP="006F1298">
      <w:pPr>
        <w:widowControl/>
        <w:autoSpaceDE/>
        <w:autoSpaceDN/>
        <w:ind w:left="567" w:hanging="567"/>
        <w:jc w:val="center"/>
        <w:textAlignment w:val="auto"/>
        <w:rPr>
          <w:rFonts w:ascii="Arial" w:eastAsiaTheme="minorHAnsi" w:hAnsi="Arial" w:cstheme="minorBidi"/>
          <w:b/>
          <w:sz w:val="22"/>
          <w:szCs w:val="22"/>
          <w:lang w:val="fr-FR"/>
        </w:rPr>
      </w:pPr>
      <w:r w:rsidRPr="00FB7541">
        <w:rPr>
          <w:rFonts w:ascii="Arial" w:eastAsiaTheme="minorHAnsi" w:hAnsi="Arial" w:cstheme="minorBidi"/>
          <w:b/>
          <w:bCs/>
          <w:sz w:val="22"/>
          <w:szCs w:val="22"/>
          <w:lang w:val="fr-FR"/>
        </w:rPr>
        <w:t>RÔLE DES CÉTACÉS DANS LE FONCTIONNEMENT DES ÉCOSYSTÈMES</w:t>
      </w:r>
    </w:p>
    <w:p w14:paraId="4366F8BC" w14:textId="77777777" w:rsidR="00FB7541" w:rsidRPr="00FB7541" w:rsidRDefault="00FB7541" w:rsidP="006F1298">
      <w:pPr>
        <w:widowControl/>
        <w:autoSpaceDE/>
        <w:autoSpaceDN/>
        <w:jc w:val="both"/>
        <w:textAlignment w:val="auto"/>
        <w:rPr>
          <w:rFonts w:ascii="Arial" w:eastAsiaTheme="minorHAnsi" w:hAnsi="Arial" w:cs="Arial"/>
          <w:b/>
          <w:i/>
          <w:sz w:val="22"/>
          <w:szCs w:val="22"/>
          <w:lang w:val="fr-FR"/>
        </w:rPr>
      </w:pPr>
    </w:p>
    <w:p w14:paraId="60612E78" w14:textId="77777777" w:rsidR="00FB7541" w:rsidRPr="00FB7541" w:rsidRDefault="00FB7541" w:rsidP="006F1298">
      <w:pPr>
        <w:widowControl/>
        <w:autoSpaceDE/>
        <w:autoSpaceDN/>
        <w:jc w:val="both"/>
        <w:textAlignment w:val="auto"/>
        <w:rPr>
          <w:rFonts w:ascii="Arial" w:eastAsiaTheme="minorHAnsi" w:hAnsi="Arial" w:cs="Arial"/>
          <w:b/>
          <w:i/>
          <w:sz w:val="22"/>
          <w:szCs w:val="22"/>
          <w:lang w:val="fr-FR"/>
        </w:rPr>
      </w:pPr>
    </w:p>
    <w:p w14:paraId="0B409A32" w14:textId="77777777" w:rsidR="00FB7541" w:rsidRPr="00FB7541" w:rsidRDefault="00FB7541" w:rsidP="006F1298">
      <w:pPr>
        <w:widowControl/>
        <w:autoSpaceDE/>
        <w:autoSpaceDN/>
        <w:jc w:val="both"/>
        <w:textAlignment w:val="auto"/>
        <w:rPr>
          <w:rFonts w:ascii="Arial" w:eastAsiaTheme="minorHAnsi" w:hAnsi="Arial" w:cs="Arial"/>
          <w:sz w:val="22"/>
          <w:szCs w:val="22"/>
          <w:lang w:val="fr-FR"/>
        </w:rPr>
      </w:pPr>
      <w:r w:rsidRPr="00FB7541">
        <w:rPr>
          <w:rFonts w:ascii="Arial" w:eastAsiaTheme="minorHAnsi" w:hAnsi="Arial" w:cs="Arial"/>
          <w:b/>
          <w:i/>
          <w:sz w:val="22"/>
          <w:szCs w:val="22"/>
          <w:lang w:val="fr-FR"/>
        </w:rPr>
        <w:t xml:space="preserve">À l’adresse du Conseil scientifique </w:t>
      </w:r>
    </w:p>
    <w:p w14:paraId="48683985" w14:textId="77777777" w:rsidR="00FB7541" w:rsidRPr="00FB7541" w:rsidRDefault="00FB7541" w:rsidP="006F1298">
      <w:pPr>
        <w:widowControl/>
        <w:autoSpaceDE/>
        <w:autoSpaceDN/>
        <w:jc w:val="both"/>
        <w:textAlignment w:val="auto"/>
        <w:rPr>
          <w:rFonts w:ascii="Arial" w:eastAsiaTheme="minorHAnsi" w:hAnsi="Arial" w:cs="Arial"/>
          <w:sz w:val="22"/>
          <w:szCs w:val="22"/>
          <w:lang w:val="fr-FR"/>
        </w:rPr>
      </w:pPr>
    </w:p>
    <w:p w14:paraId="6173767C" w14:textId="77777777" w:rsidR="00FB7541" w:rsidRPr="00FB7541" w:rsidRDefault="00FB7541" w:rsidP="006F1298">
      <w:pPr>
        <w:widowControl/>
        <w:autoSpaceDE/>
        <w:autoSpaceDN/>
        <w:ind w:left="851" w:hanging="851"/>
        <w:jc w:val="both"/>
        <w:textAlignment w:val="auto"/>
        <w:rPr>
          <w:rFonts w:ascii="Arial" w:eastAsiaTheme="minorHAnsi" w:hAnsi="Arial" w:cs="Arial"/>
          <w:sz w:val="22"/>
          <w:szCs w:val="22"/>
          <w:lang w:val="fr-FR"/>
        </w:rPr>
      </w:pPr>
      <w:r w:rsidRPr="00FB7541">
        <w:rPr>
          <w:rFonts w:ascii="Arial" w:eastAsiaTheme="minorHAnsi" w:hAnsi="Arial" w:cs="Arial"/>
          <w:sz w:val="22"/>
          <w:szCs w:val="22"/>
          <w:lang w:val="fr-FR"/>
        </w:rPr>
        <w:t>15.DD</w:t>
      </w:r>
      <w:r w:rsidRPr="00FB7541">
        <w:rPr>
          <w:rFonts w:ascii="Arial" w:eastAsiaTheme="minorHAnsi" w:hAnsi="Arial" w:cs="Arial"/>
          <w:sz w:val="22"/>
          <w:szCs w:val="22"/>
          <w:lang w:val="fr-FR"/>
        </w:rPr>
        <w:tab/>
      </w:r>
      <w:r w:rsidRPr="00FB7541">
        <w:rPr>
          <w:rFonts w:ascii="Arial" w:eastAsiaTheme="minorHAnsi" w:hAnsi="Arial" w:cs="Arial"/>
          <w:bCs/>
          <w:iCs/>
          <w:sz w:val="22"/>
          <w:szCs w:val="22"/>
          <w:lang w:val="fr-FR"/>
        </w:rPr>
        <w:t>Le Conseil scientifique est prié, par l’intermédiaire du Groupe de travail sur les mammifères aquatiques, de fournir des conseils au Secrétariat concernant les travaux sur le rôle des cétacés dans le fonctionnement des écosystèmes, en tenant compte des travaux réalisés au sein de la CBI, et d’apporter sa contribution à la CBI en fonction des besoins.</w:t>
      </w:r>
    </w:p>
    <w:p w14:paraId="259564B7" w14:textId="77777777" w:rsidR="00FB7541" w:rsidRPr="00FB7541" w:rsidRDefault="00FB7541" w:rsidP="006F1298">
      <w:pPr>
        <w:widowControl/>
        <w:autoSpaceDE/>
        <w:autoSpaceDN/>
        <w:jc w:val="both"/>
        <w:textAlignment w:val="auto"/>
        <w:rPr>
          <w:rFonts w:ascii="Arial" w:eastAsiaTheme="minorHAnsi" w:hAnsi="Arial" w:cs="Arial"/>
          <w:b/>
          <w:i/>
          <w:sz w:val="22"/>
          <w:szCs w:val="22"/>
          <w:lang w:val="fr-FR"/>
        </w:rPr>
      </w:pPr>
    </w:p>
    <w:p w14:paraId="6F458902" w14:textId="77777777" w:rsidR="00FB7541" w:rsidRPr="00FB7541" w:rsidRDefault="00FB7541" w:rsidP="006F1298">
      <w:pPr>
        <w:widowControl/>
        <w:autoSpaceDE/>
        <w:autoSpaceDN/>
        <w:jc w:val="both"/>
        <w:textAlignment w:val="auto"/>
        <w:rPr>
          <w:rFonts w:ascii="Arial" w:eastAsiaTheme="minorHAnsi" w:hAnsi="Arial" w:cs="Arial"/>
          <w:b/>
          <w:i/>
          <w:sz w:val="22"/>
          <w:szCs w:val="22"/>
          <w:lang w:val="fr-FR"/>
        </w:rPr>
      </w:pPr>
      <w:r w:rsidRPr="00FB7541">
        <w:rPr>
          <w:rFonts w:ascii="Arial" w:eastAsiaTheme="minorHAnsi" w:hAnsi="Arial" w:cs="Arial"/>
          <w:b/>
          <w:i/>
          <w:sz w:val="22"/>
          <w:szCs w:val="22"/>
          <w:lang w:val="fr-FR"/>
        </w:rPr>
        <w:t>À l’adresse du Secrétariat</w:t>
      </w:r>
    </w:p>
    <w:p w14:paraId="59A60B55" w14:textId="77777777" w:rsidR="00FB7541" w:rsidRPr="00FB7541" w:rsidRDefault="00FB7541" w:rsidP="006F1298">
      <w:pPr>
        <w:widowControl/>
        <w:autoSpaceDE/>
        <w:autoSpaceDN/>
        <w:jc w:val="both"/>
        <w:textAlignment w:val="auto"/>
        <w:rPr>
          <w:rFonts w:ascii="Arial" w:eastAsiaTheme="minorHAnsi" w:hAnsi="Arial" w:cs="Arial"/>
          <w:sz w:val="22"/>
          <w:szCs w:val="22"/>
          <w:lang w:val="fr-FR"/>
        </w:rPr>
      </w:pPr>
    </w:p>
    <w:p w14:paraId="520DB496" w14:textId="77777777" w:rsidR="00FB7541" w:rsidRPr="00FB7541" w:rsidRDefault="00FB7541" w:rsidP="006F1298">
      <w:pPr>
        <w:adjustRightInd w:val="0"/>
        <w:ind w:left="851" w:hanging="851"/>
        <w:jc w:val="both"/>
        <w:textAlignment w:val="auto"/>
        <w:rPr>
          <w:rFonts w:ascii="Arial" w:eastAsiaTheme="minorHAnsi" w:hAnsi="Arial" w:cs="Arial"/>
          <w:iCs/>
          <w:sz w:val="22"/>
          <w:szCs w:val="22"/>
          <w:lang w:val="fr-FR"/>
        </w:rPr>
      </w:pPr>
      <w:r w:rsidRPr="00FB7541">
        <w:rPr>
          <w:rFonts w:ascii="Arial" w:eastAsiaTheme="minorHAnsi" w:hAnsi="Arial" w:cs="Arial"/>
          <w:sz w:val="22"/>
          <w:szCs w:val="22"/>
          <w:lang w:val="fr-FR"/>
        </w:rPr>
        <w:t>15.EE</w:t>
      </w:r>
      <w:r w:rsidRPr="00FB7541">
        <w:rPr>
          <w:rFonts w:ascii="Arial" w:eastAsiaTheme="minorHAnsi" w:hAnsi="Arial" w:cs="Arial"/>
          <w:sz w:val="22"/>
          <w:szCs w:val="22"/>
          <w:lang w:val="fr-FR"/>
        </w:rPr>
        <w:tab/>
        <w:t xml:space="preserve">Le Secrétariat </w:t>
      </w:r>
      <w:r w:rsidRPr="00FB7541">
        <w:rPr>
          <w:rFonts w:ascii="Arial" w:eastAsiaTheme="minorHAnsi" w:hAnsi="Arial" w:cs="Arial"/>
          <w:iCs/>
          <w:sz w:val="22"/>
          <w:szCs w:val="22"/>
          <w:lang w:val="fr-FR"/>
        </w:rPr>
        <w:t>continue d’assurer la liaison avec le Secrétariat de la CBI concernant les travaux sur le rôle des cétacés dans le fonctionnement des écosystèmes.</w:t>
      </w:r>
    </w:p>
    <w:p w14:paraId="72D5D03B" w14:textId="77777777" w:rsidR="00FB7541" w:rsidRPr="00FB7541" w:rsidRDefault="00FB7541" w:rsidP="006F1298">
      <w:pPr>
        <w:widowControl/>
        <w:autoSpaceDE/>
        <w:autoSpaceDN/>
        <w:jc w:val="both"/>
        <w:textAlignment w:val="auto"/>
        <w:rPr>
          <w:rFonts w:ascii="Arial" w:eastAsiaTheme="minorHAnsi" w:hAnsi="Arial" w:cs="Arial"/>
          <w:iCs/>
          <w:sz w:val="22"/>
          <w:szCs w:val="22"/>
          <w:lang w:val="fr-FR"/>
        </w:rPr>
      </w:pPr>
    </w:p>
    <w:p w14:paraId="4D317376" w14:textId="77777777" w:rsidR="00FB7541" w:rsidRPr="007A5544" w:rsidRDefault="00FB7541" w:rsidP="006F1298">
      <w:pPr>
        <w:pStyle w:val="ListParagraph"/>
        <w:suppressAutoHyphens/>
        <w:ind w:left="0"/>
        <w:contextualSpacing w:val="0"/>
        <w:rPr>
          <w:rFonts w:cs="Arial"/>
          <w:lang w:val="fr-FR"/>
        </w:rPr>
      </w:pPr>
    </w:p>
    <w:sectPr w:rsidR="00FB7541"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2D51" w14:textId="77777777" w:rsidR="006D70E7" w:rsidRDefault="006D70E7">
      <w:r>
        <w:separator/>
      </w:r>
    </w:p>
  </w:endnote>
  <w:endnote w:type="continuationSeparator" w:id="0">
    <w:p w14:paraId="67730126" w14:textId="77777777" w:rsidR="006D70E7" w:rsidRDefault="006D70E7">
      <w:r>
        <w:continuationSeparator/>
      </w:r>
    </w:p>
  </w:endnote>
  <w:endnote w:type="continuationNotice" w:id="1">
    <w:p w14:paraId="153029B7" w14:textId="77777777" w:rsidR="006D70E7" w:rsidRDefault="006D7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40BAE" w14:textId="77777777" w:rsidR="006D70E7" w:rsidRDefault="006D70E7">
      <w:r>
        <w:rPr>
          <w:color w:val="000000"/>
        </w:rPr>
        <w:separator/>
      </w:r>
    </w:p>
  </w:footnote>
  <w:footnote w:type="continuationSeparator" w:id="0">
    <w:p w14:paraId="28D14321" w14:textId="77777777" w:rsidR="006D70E7" w:rsidRDefault="006D70E7">
      <w:r>
        <w:continuationSeparator/>
      </w:r>
    </w:p>
  </w:footnote>
  <w:footnote w:type="continuationNotice" w:id="1">
    <w:p w14:paraId="1931573B" w14:textId="77777777" w:rsidR="006D70E7" w:rsidRDefault="006D7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3F28" w14:textId="77777777" w:rsidR="00FB7541" w:rsidRPr="009F3558" w:rsidRDefault="00FB7541" w:rsidP="00FB7541">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pt-PT"/>
      </w:rPr>
    </w:pPr>
    <w:r w:rsidRPr="009F3558">
      <w:rPr>
        <w:rFonts w:ascii="Arial" w:hAnsi="Arial" w:cs="Arial"/>
        <w:bCs/>
        <w:i/>
        <w:iCs/>
        <w:sz w:val="18"/>
        <w:szCs w:val="18"/>
        <w:lang w:val="pt-PT"/>
      </w:rPr>
      <w:t>UNEP/CMS/COP15/CRP</w:t>
    </w:r>
    <w:r>
      <w:rPr>
        <w:rFonts w:ascii="Arial" w:hAnsi="Arial" w:cs="Arial"/>
        <w:bCs/>
        <w:i/>
        <w:iCs/>
        <w:sz w:val="18"/>
        <w:szCs w:val="18"/>
        <w:lang w:val="pt-PT"/>
      </w:rPr>
      <w:t>25.4.1</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42F4" w14:textId="77777777" w:rsidR="00FB7541" w:rsidRPr="009F3558" w:rsidRDefault="00FB7541" w:rsidP="00FB7541">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UNEP/CMS/COP15/CRP</w:t>
    </w:r>
    <w:r>
      <w:rPr>
        <w:rFonts w:ascii="Arial" w:hAnsi="Arial" w:cs="Arial"/>
        <w:bCs/>
        <w:i/>
        <w:iCs/>
        <w:sz w:val="18"/>
        <w:szCs w:val="18"/>
        <w:lang w:val="pt-PT"/>
      </w:rPr>
      <w:t>25.4.1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74582771"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FB7541">
      <w:rPr>
        <w:rFonts w:ascii="Arial" w:hAnsi="Arial" w:cs="Arial"/>
        <w:bCs/>
        <w:i/>
        <w:iCs/>
        <w:sz w:val="18"/>
        <w:szCs w:val="18"/>
        <w:lang w:val="pt-PT"/>
      </w:rPr>
      <w:t>25.4.1</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5531"/>
    <w:multiLevelType w:val="hybridMultilevel"/>
    <w:tmpl w:val="E24642A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2E5D6D82"/>
    <w:multiLevelType w:val="hybridMultilevel"/>
    <w:tmpl w:val="A920D62E"/>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4A084C79"/>
    <w:multiLevelType w:val="hybridMultilevel"/>
    <w:tmpl w:val="FBAA6086"/>
    <w:lvl w:ilvl="0" w:tplc="04090015">
      <w:start w:val="1"/>
      <w:numFmt w:val="upp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ABD60A4"/>
    <w:multiLevelType w:val="hybridMultilevel"/>
    <w:tmpl w:val="A1C81632"/>
    <w:lvl w:ilvl="0" w:tplc="20000017">
      <w:start w:val="1"/>
      <w:numFmt w:val="lowerLetter"/>
      <w:lvlText w:val="%1)"/>
      <w:lvlJc w:val="left"/>
      <w:pPr>
        <w:ind w:left="1117" w:hanging="360"/>
      </w:pPr>
    </w:lvl>
    <w:lvl w:ilvl="1" w:tplc="20000019" w:tentative="1">
      <w:start w:val="1"/>
      <w:numFmt w:val="lowerLetter"/>
      <w:lvlText w:val="%2."/>
      <w:lvlJc w:val="left"/>
      <w:pPr>
        <w:ind w:left="1837" w:hanging="360"/>
      </w:pPr>
    </w:lvl>
    <w:lvl w:ilvl="2" w:tplc="2000001B" w:tentative="1">
      <w:start w:val="1"/>
      <w:numFmt w:val="lowerRoman"/>
      <w:lvlText w:val="%3."/>
      <w:lvlJc w:val="right"/>
      <w:pPr>
        <w:ind w:left="2557" w:hanging="180"/>
      </w:pPr>
    </w:lvl>
    <w:lvl w:ilvl="3" w:tplc="2000000F" w:tentative="1">
      <w:start w:val="1"/>
      <w:numFmt w:val="decimal"/>
      <w:lvlText w:val="%4."/>
      <w:lvlJc w:val="left"/>
      <w:pPr>
        <w:ind w:left="3277" w:hanging="360"/>
      </w:pPr>
    </w:lvl>
    <w:lvl w:ilvl="4" w:tplc="20000019" w:tentative="1">
      <w:start w:val="1"/>
      <w:numFmt w:val="lowerLetter"/>
      <w:lvlText w:val="%5."/>
      <w:lvlJc w:val="left"/>
      <w:pPr>
        <w:ind w:left="3997" w:hanging="360"/>
      </w:pPr>
    </w:lvl>
    <w:lvl w:ilvl="5" w:tplc="2000001B" w:tentative="1">
      <w:start w:val="1"/>
      <w:numFmt w:val="lowerRoman"/>
      <w:lvlText w:val="%6."/>
      <w:lvlJc w:val="right"/>
      <w:pPr>
        <w:ind w:left="4717" w:hanging="180"/>
      </w:pPr>
    </w:lvl>
    <w:lvl w:ilvl="6" w:tplc="2000000F" w:tentative="1">
      <w:start w:val="1"/>
      <w:numFmt w:val="decimal"/>
      <w:lvlText w:val="%7."/>
      <w:lvlJc w:val="left"/>
      <w:pPr>
        <w:ind w:left="5437" w:hanging="360"/>
      </w:pPr>
    </w:lvl>
    <w:lvl w:ilvl="7" w:tplc="20000019" w:tentative="1">
      <w:start w:val="1"/>
      <w:numFmt w:val="lowerLetter"/>
      <w:lvlText w:val="%8."/>
      <w:lvlJc w:val="left"/>
      <w:pPr>
        <w:ind w:left="6157" w:hanging="360"/>
      </w:pPr>
    </w:lvl>
    <w:lvl w:ilvl="8" w:tplc="2000001B" w:tentative="1">
      <w:start w:val="1"/>
      <w:numFmt w:val="lowerRoman"/>
      <w:lvlText w:val="%9."/>
      <w:lvlJc w:val="right"/>
      <w:pPr>
        <w:ind w:left="6877" w:hanging="180"/>
      </w:pPr>
    </w:lvl>
  </w:abstractNum>
  <w:abstractNum w:abstractNumId="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3F0014"/>
    <w:multiLevelType w:val="hybridMultilevel"/>
    <w:tmpl w:val="353A3A0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D41010F"/>
    <w:multiLevelType w:val="hybridMultilevel"/>
    <w:tmpl w:val="43B60020"/>
    <w:lvl w:ilvl="0" w:tplc="20000017">
      <w:start w:val="1"/>
      <w:numFmt w:val="lowerLetter"/>
      <w:lvlText w:val="%1)"/>
      <w:lvlJc w:val="left"/>
      <w:pPr>
        <w:ind w:left="720" w:hanging="360"/>
      </w:pPr>
    </w:lvl>
    <w:lvl w:ilvl="1" w:tplc="DD84C80E">
      <w:start w:val="1"/>
      <w:numFmt w:val="lowerLetter"/>
      <w:lvlText w:val="%2)"/>
      <w:lvlJc w:val="left"/>
      <w:pPr>
        <w:ind w:left="1117" w:hanging="360"/>
      </w:pPr>
      <w:rPr>
        <w:rFonts w:hint="default"/>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06528537">
    <w:abstractNumId w:val="7"/>
  </w:num>
  <w:num w:numId="2" w16cid:durableId="574051727">
    <w:abstractNumId w:val="9"/>
  </w:num>
  <w:num w:numId="3" w16cid:durableId="6077332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5"/>
  </w:num>
  <w:num w:numId="5" w16cid:durableId="599720149">
    <w:abstractNumId w:val="1"/>
  </w:num>
  <w:num w:numId="6" w16cid:durableId="1796025329">
    <w:abstractNumId w:val="2"/>
  </w:num>
  <w:num w:numId="7" w16cid:durableId="150410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67810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1707144">
    <w:abstractNumId w:val="0"/>
  </w:num>
  <w:num w:numId="10" w16cid:durableId="729959236">
    <w:abstractNumId w:val="8"/>
  </w:num>
  <w:num w:numId="11" w16cid:durableId="2128575179">
    <w:abstractNumId w:val="11"/>
  </w:num>
  <w:num w:numId="12" w16cid:durableId="1221013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B0D60"/>
    <w:rsid w:val="001077CB"/>
    <w:rsid w:val="001125D7"/>
    <w:rsid w:val="001352BB"/>
    <w:rsid w:val="00142859"/>
    <w:rsid w:val="00164D92"/>
    <w:rsid w:val="00167428"/>
    <w:rsid w:val="002070F5"/>
    <w:rsid w:val="002243FE"/>
    <w:rsid w:val="00227282"/>
    <w:rsid w:val="0027066C"/>
    <w:rsid w:val="00276113"/>
    <w:rsid w:val="002B6DE7"/>
    <w:rsid w:val="002C5F42"/>
    <w:rsid w:val="0033796E"/>
    <w:rsid w:val="0034724D"/>
    <w:rsid w:val="00384973"/>
    <w:rsid w:val="003F1AD8"/>
    <w:rsid w:val="0041439A"/>
    <w:rsid w:val="0043102F"/>
    <w:rsid w:val="00485D8A"/>
    <w:rsid w:val="0052458B"/>
    <w:rsid w:val="00534FAE"/>
    <w:rsid w:val="005645C4"/>
    <w:rsid w:val="0058757D"/>
    <w:rsid w:val="005D43E4"/>
    <w:rsid w:val="005D574F"/>
    <w:rsid w:val="005F0639"/>
    <w:rsid w:val="00620BD8"/>
    <w:rsid w:val="006821C9"/>
    <w:rsid w:val="00687331"/>
    <w:rsid w:val="006B71B0"/>
    <w:rsid w:val="006D020E"/>
    <w:rsid w:val="006D70E7"/>
    <w:rsid w:val="006F1298"/>
    <w:rsid w:val="007103C8"/>
    <w:rsid w:val="00751AAD"/>
    <w:rsid w:val="007A1066"/>
    <w:rsid w:val="007A5544"/>
    <w:rsid w:val="007F43DD"/>
    <w:rsid w:val="00857813"/>
    <w:rsid w:val="008634E7"/>
    <w:rsid w:val="00950DA4"/>
    <w:rsid w:val="00960B8C"/>
    <w:rsid w:val="0096699F"/>
    <w:rsid w:val="009B03FC"/>
    <w:rsid w:val="009F3558"/>
    <w:rsid w:val="00A6713F"/>
    <w:rsid w:val="00A8579B"/>
    <w:rsid w:val="00AA138B"/>
    <w:rsid w:val="00AB5285"/>
    <w:rsid w:val="00AE39EA"/>
    <w:rsid w:val="00AE590E"/>
    <w:rsid w:val="00B4191F"/>
    <w:rsid w:val="00B91802"/>
    <w:rsid w:val="00C30C58"/>
    <w:rsid w:val="00C31E29"/>
    <w:rsid w:val="00D416B7"/>
    <w:rsid w:val="00D50F95"/>
    <w:rsid w:val="00D61140"/>
    <w:rsid w:val="00D82C56"/>
    <w:rsid w:val="00DB2EEB"/>
    <w:rsid w:val="00E1532C"/>
    <w:rsid w:val="00E45B44"/>
    <w:rsid w:val="00E829C9"/>
    <w:rsid w:val="00EF2BC5"/>
    <w:rsid w:val="00EF34EF"/>
    <w:rsid w:val="00F34CB4"/>
    <w:rsid w:val="00F52A55"/>
    <w:rsid w:val="00F56104"/>
    <w:rsid w:val="00FB7541"/>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384973"/>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6536D4B3-40C7-40F5-9A6E-0A39C392A330}"/>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7</cp:revision>
  <cp:lastPrinted>2020-02-03T15:02:00Z</cp:lastPrinted>
  <dcterms:created xsi:type="dcterms:W3CDTF">2026-03-11T11:53:00Z</dcterms:created>
  <dcterms:modified xsi:type="dcterms:W3CDTF">2026-03-28T00:54:00Z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