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F0047" w14:textId="29535D33" w:rsidR="00D82C56" w:rsidRDefault="00140063" w:rsidP="005F0A36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140063">
        <w:rPr>
          <w:rFonts w:ascii="Arial" w:hAnsi="Arial" w:cs="Arial"/>
          <w:b/>
          <w:sz w:val="22"/>
          <w:szCs w:val="22"/>
          <w:lang w:val="es-ES"/>
        </w:rPr>
        <w:t>COLISIONES CON EMBARCACIONES</w:t>
      </w:r>
    </w:p>
    <w:p w14:paraId="60C50FAF" w14:textId="77777777" w:rsidR="00AB5285" w:rsidRPr="0058757D" w:rsidRDefault="00AB5285" w:rsidP="005F0A36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220B9C28" w:rsidR="00D82C56" w:rsidRPr="0058757D" w:rsidRDefault="005D43E4" w:rsidP="005F0A36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CB498E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140063">
        <w:rPr>
          <w:rFonts w:ascii="Arial" w:hAnsi="Arial" w:cs="Arial"/>
          <w:sz w:val="22"/>
          <w:szCs w:val="22"/>
          <w:lang w:val="es-ES"/>
        </w:rPr>
        <w:t>25.3.2</w:t>
      </w:r>
    </w:p>
    <w:p w14:paraId="73A89732" w14:textId="1EAA2D8F" w:rsidR="00D82C56" w:rsidRPr="00FD2360" w:rsidRDefault="005D43E4" w:rsidP="005F0A36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AB437B">
        <w:rPr>
          <w:rFonts w:ascii="Arial" w:hAnsi="Arial" w:cs="Arial"/>
          <w:i/>
          <w:sz w:val="22"/>
          <w:szCs w:val="22"/>
          <w:lang w:val="es-ES"/>
        </w:rPr>
        <w:t>el Grupo de Trabajo sobre especies acuáticas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5F0A36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5F0A36">
      <w:pPr>
        <w:rPr>
          <w:rFonts w:ascii="Arial" w:hAnsi="Arial" w:cs="Arial"/>
          <w:sz w:val="22"/>
          <w:szCs w:val="22"/>
          <w:lang w:val="es-ES"/>
        </w:rPr>
      </w:pPr>
    </w:p>
    <w:p w14:paraId="00DF6109" w14:textId="77777777" w:rsidR="00140063" w:rsidRPr="00140063" w:rsidRDefault="00140063" w:rsidP="005F0A36">
      <w:pPr>
        <w:widowControl/>
        <w:suppressAutoHyphens w:val="0"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sz w:val="22"/>
          <w:szCs w:val="22"/>
          <w:lang w:val="es-ES"/>
        </w:rPr>
        <w:t>PROYECTO DE DECISIONES</w:t>
      </w:r>
    </w:p>
    <w:p w14:paraId="149A3631" w14:textId="77777777" w:rsidR="00140063" w:rsidRPr="00140063" w:rsidRDefault="00140063" w:rsidP="005F0A36">
      <w:pPr>
        <w:widowControl/>
        <w:suppressAutoHyphens w:val="0"/>
        <w:autoSpaceDE/>
        <w:autoSpaceDN/>
        <w:jc w:val="center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294B779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 las Partes </w:t>
      </w:r>
    </w:p>
    <w:p w14:paraId="7E4F9450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0215D79" w14:textId="691368DF" w:rsidR="00140063" w:rsidRDefault="00140063" w:rsidP="00711331">
      <w:pPr>
        <w:widowControl/>
        <w:suppressAutoHyphens w:val="0"/>
        <w:autoSpaceDE/>
        <w:autoSpaceDN/>
        <w:ind w:left="907" w:hanging="90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sz w:val="22"/>
          <w:szCs w:val="22"/>
          <w:lang w:val="es-ES"/>
        </w:rPr>
        <w:t>15.AA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 xml:space="preserve">Se solicita a las Partes identificadas en la Tabla 1 del documento UNEP/CMS/Doc.25.3.2 </w:t>
      </w:r>
      <w:r w:rsidRPr="00140063">
        <w:rPr>
          <w:rFonts w:ascii="Arial" w:eastAsiaTheme="minorHAnsi" w:hAnsi="Arial" w:cs="Arial"/>
          <w:i/>
          <w:sz w:val="22"/>
          <w:szCs w:val="22"/>
          <w:lang w:val="es-ES"/>
        </w:rPr>
        <w:t>Colisiones con embarcaciones</w:t>
      </w: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que</w:t>
      </w:r>
      <w:r w:rsidR="00AB437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 xml:space="preserve">apliquen medidas para reducir el riesgo de colisiones con embarcaciones en las poblaciones de cetáceos incluidas en la CMS en riesgo, identificadas por la Comisión Ballenera Internacional (CBI), entre ellas: </w:t>
      </w:r>
    </w:p>
    <w:p w14:paraId="4A4E9CDC" w14:textId="77777777" w:rsidR="00AB437B" w:rsidRPr="00140063" w:rsidRDefault="00AB437B" w:rsidP="005F0A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</w:p>
    <w:p w14:paraId="4B0BD6A1" w14:textId="77777777" w:rsidR="00140063" w:rsidRPr="00140063" w:rsidRDefault="00140063" w:rsidP="00711331">
      <w:pPr>
        <w:widowControl/>
        <w:numPr>
          <w:ilvl w:val="1"/>
          <w:numId w:val="1"/>
        </w:numPr>
        <w:suppressAutoHyphens w:val="0"/>
        <w:autoSpaceDE/>
        <w:autoSpaceDN/>
        <w:adjustRightInd w:val="0"/>
        <w:spacing w:after="80"/>
        <w:ind w:left="180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 xml:space="preserve">realizar análisis de riesgos y evaluaciones de posibles opciones de mitigación, cuando aún no se haya hecho; </w:t>
      </w:r>
    </w:p>
    <w:p w14:paraId="2035B914" w14:textId="0D8E29F2" w:rsidR="00140063" w:rsidRPr="00140063" w:rsidRDefault="00140063" w:rsidP="00711331">
      <w:pPr>
        <w:widowControl/>
        <w:numPr>
          <w:ilvl w:val="1"/>
          <w:numId w:val="1"/>
        </w:numPr>
        <w:suppressAutoHyphens w:val="0"/>
        <w:autoSpaceDE/>
        <w:autoSpaceDN/>
        <w:adjustRightInd w:val="0"/>
        <w:spacing w:after="80"/>
        <w:ind w:left="180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>introducir medidas de mitigación mediante la normativa nacional o a través de la Organización Marítima Internacional (OMI);</w:t>
      </w:r>
    </w:p>
    <w:p w14:paraId="4809FEE5" w14:textId="70AC3769" w:rsidR="00140063" w:rsidRDefault="00140063" w:rsidP="00711331">
      <w:pPr>
        <w:widowControl/>
        <w:numPr>
          <w:ilvl w:val="1"/>
          <w:numId w:val="1"/>
        </w:numPr>
        <w:suppressAutoHyphens w:val="0"/>
        <w:autoSpaceDE/>
        <w:autoSpaceDN/>
        <w:adjustRightInd w:val="0"/>
        <w:spacing w:after="160"/>
        <w:ind w:left="1800" w:hanging="54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iCs/>
          <w:sz w:val="22"/>
          <w:szCs w:val="22"/>
          <w:lang w:val="es-ES"/>
        </w:rPr>
        <w:t>aplicar medidas de seguimiento para evaluar su eficacia, incluida la sensibilización del sector y el cumplimiento de dichas medidas;</w:t>
      </w:r>
      <w:r w:rsidR="00AB437B">
        <w:rPr>
          <w:rFonts w:ascii="Arial" w:eastAsiaTheme="minorHAnsi" w:hAnsi="Arial" w:cs="Arial"/>
          <w:iCs/>
          <w:sz w:val="22"/>
          <w:szCs w:val="22"/>
          <w:lang w:val="es-ES"/>
        </w:rPr>
        <w:t xml:space="preserve"> y</w:t>
      </w:r>
    </w:p>
    <w:p w14:paraId="5C58EDAF" w14:textId="61BD2618" w:rsidR="00AB437B" w:rsidRPr="00140063" w:rsidRDefault="00AB437B" w:rsidP="00711331">
      <w:pPr>
        <w:widowControl/>
        <w:numPr>
          <w:ilvl w:val="1"/>
          <w:numId w:val="1"/>
        </w:numPr>
        <w:suppressAutoHyphens w:val="0"/>
        <w:autoSpaceDE/>
        <w:autoSpaceDN/>
        <w:adjustRightInd w:val="0"/>
        <w:ind w:left="1814" w:hanging="547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s-ES"/>
        </w:rPr>
      </w:pPr>
      <w:r w:rsidRPr="00AB437B">
        <w:rPr>
          <w:rFonts w:ascii="Arial" w:eastAsiaTheme="minorHAnsi" w:hAnsi="Arial" w:cs="Arial"/>
          <w:iCs/>
          <w:sz w:val="22"/>
          <w:szCs w:val="22"/>
          <w:lang w:val="es-ES"/>
        </w:rPr>
        <w:t>aprovechar las iniciativas</w:t>
      </w:r>
      <w:r>
        <w:rPr>
          <w:rFonts w:ascii="Arial" w:eastAsiaTheme="minorHAnsi" w:hAnsi="Arial" w:cs="Arial"/>
          <w:iCs/>
          <w:sz w:val="22"/>
          <w:szCs w:val="22"/>
          <w:lang w:val="es-ES"/>
        </w:rPr>
        <w:t xml:space="preserve"> </w:t>
      </w:r>
      <w:r w:rsidRPr="00AB437B">
        <w:rPr>
          <w:rFonts w:ascii="Arial" w:eastAsiaTheme="minorHAnsi" w:hAnsi="Arial" w:cs="Arial"/>
          <w:iCs/>
          <w:sz w:val="22"/>
          <w:szCs w:val="22"/>
          <w:lang w:val="es-ES"/>
        </w:rPr>
        <w:t>existentes en el marco de la CBI y la OMI para mejorar la protección de la megafauna marina.</w:t>
      </w:r>
    </w:p>
    <w:p w14:paraId="602200F7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BBAC127" w14:textId="0F0738EF" w:rsidR="00CE001C" w:rsidRDefault="00CE001C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CE001C">
        <w:rPr>
          <w:rFonts w:ascii="Arial" w:eastAsiaTheme="minorHAnsi" w:hAnsi="Arial" w:cs="Arial"/>
          <w:b/>
          <w:i/>
          <w:sz w:val="22"/>
          <w:szCs w:val="22"/>
          <w:lang w:val="es-ES"/>
        </w:rPr>
        <w:t>Dirigido a las Partes que son Estados del área de distribución de especies de megafauna marina incluidas en l</w:t>
      </w:r>
      <w:r>
        <w:rPr>
          <w:rFonts w:ascii="Arial" w:eastAsiaTheme="minorHAnsi" w:hAnsi="Arial" w:cs="Arial"/>
          <w:b/>
          <w:i/>
          <w:sz w:val="22"/>
          <w:szCs w:val="22"/>
          <w:lang w:val="es-ES"/>
        </w:rPr>
        <w:t>os apéndices de la</w:t>
      </w:r>
      <w:r w:rsidRPr="00CE001C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 CMS y que están expuestas a colisiones con embarcaciones</w:t>
      </w:r>
    </w:p>
    <w:p w14:paraId="163394F4" w14:textId="77777777" w:rsidR="00CE001C" w:rsidRDefault="00CE001C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0D56A669" w14:textId="5A3D17ED" w:rsidR="00CE001C" w:rsidRPr="00CE001C" w:rsidRDefault="00CE001C" w:rsidP="00711331">
      <w:pPr>
        <w:widowControl/>
        <w:tabs>
          <w:tab w:val="left" w:pos="990"/>
        </w:tabs>
        <w:suppressAutoHyphens w:val="0"/>
        <w:autoSpaceDE/>
        <w:autoSpaceDN/>
        <w:ind w:left="907" w:hanging="90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>
        <w:rPr>
          <w:rFonts w:ascii="Arial" w:eastAsiaTheme="minorHAnsi" w:hAnsi="Arial" w:cs="Arial"/>
          <w:sz w:val="22"/>
          <w:szCs w:val="22"/>
          <w:lang w:val="es-ES"/>
        </w:rPr>
        <w:t>15.BB</w:t>
      </w:r>
      <w:r w:rsidR="00711331">
        <w:rPr>
          <w:rFonts w:ascii="Arial" w:eastAsiaTheme="minorHAnsi" w:hAnsi="Arial" w:cs="Arial"/>
          <w:sz w:val="22"/>
          <w:szCs w:val="22"/>
          <w:lang w:val="es-ES"/>
        </w:rPr>
        <w:tab/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>Se solicita a las Partes que s</w:t>
      </w:r>
      <w:r>
        <w:rPr>
          <w:rFonts w:ascii="Arial" w:eastAsiaTheme="minorHAnsi" w:hAnsi="Arial" w:cs="Arial"/>
          <w:sz w:val="22"/>
          <w:szCs w:val="22"/>
          <w:lang w:val="es-ES"/>
        </w:rPr>
        <w:t>ean</w:t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 xml:space="preserve"> Estados del área de distribución que </w:t>
      </w:r>
      <w:r w:rsidR="007C1E52">
        <w:rPr>
          <w:rFonts w:ascii="Arial" w:eastAsiaTheme="minorHAnsi" w:hAnsi="Arial" w:cs="Arial"/>
          <w:sz w:val="22"/>
          <w:szCs w:val="22"/>
          <w:lang w:val="es-ES"/>
        </w:rPr>
        <w:t>establezcan</w:t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 xml:space="preserve"> contacto</w:t>
      </w:r>
      <w:r w:rsidR="007C1E52">
        <w:rPr>
          <w:rFonts w:ascii="Arial" w:eastAsiaTheme="minorHAnsi" w:hAnsi="Arial" w:cs="Arial"/>
          <w:sz w:val="22"/>
          <w:szCs w:val="22"/>
          <w:lang w:val="es-ES"/>
        </w:rPr>
        <w:t>s</w:t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 xml:space="preserve"> con las partes interesadas pertinentes </w:t>
      </w:r>
      <w:r w:rsidR="007C1E52">
        <w:rPr>
          <w:rFonts w:ascii="Arial" w:eastAsiaTheme="minorHAnsi" w:hAnsi="Arial" w:cs="Arial"/>
          <w:sz w:val="22"/>
          <w:szCs w:val="22"/>
          <w:lang w:val="es-ES"/>
        </w:rPr>
        <w:t>involucradas en</w:t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 xml:space="preserve"> actividades comerciales, recreativas o de otro tipo </w:t>
      </w:r>
      <w:r w:rsidR="007C1E52">
        <w:rPr>
          <w:rFonts w:ascii="Arial" w:eastAsiaTheme="minorHAnsi" w:hAnsi="Arial" w:cs="Arial"/>
          <w:sz w:val="22"/>
          <w:szCs w:val="22"/>
          <w:lang w:val="es-ES"/>
        </w:rPr>
        <w:t>que impliquen el uso de</w:t>
      </w:r>
      <w:r w:rsidRPr="00CE001C">
        <w:rPr>
          <w:rFonts w:ascii="Arial" w:eastAsiaTheme="minorHAnsi" w:hAnsi="Arial" w:cs="Arial"/>
          <w:sz w:val="22"/>
          <w:szCs w:val="22"/>
          <w:lang w:val="es-ES"/>
        </w:rPr>
        <w:t xml:space="preserve"> embarcaciones, con el fin de fomentar la notificación sistemática de todos los incidentes de colisión con ballenas, delfines o marsopas a la Base de Datos de Colisiones con Embarcaciones de la Comisión Ballenera Internacional (CBI).</w:t>
      </w:r>
    </w:p>
    <w:p w14:paraId="18C148E8" w14:textId="77777777" w:rsidR="00CE001C" w:rsidRDefault="00CE001C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</w:p>
    <w:p w14:paraId="138BE7EA" w14:textId="547E9FB2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b/>
          <w:i/>
          <w:sz w:val="22"/>
          <w:szCs w:val="22"/>
          <w:lang w:val="es-ES"/>
        </w:rPr>
        <w:t xml:space="preserve">Dirigido al Consejo Científico </w:t>
      </w:r>
    </w:p>
    <w:p w14:paraId="794CA9DC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0D1D636C" w14:textId="2CD196A2" w:rsidR="00140063" w:rsidRPr="00140063" w:rsidRDefault="00140063" w:rsidP="005F0A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sz w:val="22"/>
          <w:szCs w:val="22"/>
          <w:lang w:val="es-ES"/>
        </w:rPr>
        <w:t>15.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>CC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ab/>
        <w:t>Se solicita al Consejo Científico, sujeto a la disponibilidad de recursos, que:</w:t>
      </w:r>
    </w:p>
    <w:p w14:paraId="3B7BDB82" w14:textId="77777777" w:rsidR="00140063" w:rsidRPr="00140063" w:rsidRDefault="00140063" w:rsidP="005F0A36">
      <w:pPr>
        <w:widowControl/>
        <w:suppressAutoHyphens w:val="0"/>
        <w:autoSpaceDE/>
        <w:autoSpaceDN/>
        <w:ind w:left="720" w:hanging="72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4D31C826" w14:textId="2841ED5F" w:rsidR="00140063" w:rsidRPr="00FB69C0" w:rsidRDefault="00140063" w:rsidP="005F0A36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sz w:val="22"/>
          <w:szCs w:val="22"/>
          <w:lang w:val="es-ES"/>
        </w:rPr>
        <w:t>identifique más poblaciones de especies incluidas en l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>os apéndices de la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CMS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 xml:space="preserve"> y las áreas en las que corren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riesgo de colisi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>ón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con embarcaciones mediante la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 xml:space="preserve"> superposición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cartogr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>áfica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de las rutas marítimas con las Áreas Importantes para 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 xml:space="preserve">los 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>Mamíferos Marinos (IMMA)</w:t>
      </w:r>
      <w:r w:rsidR="00671747" w:rsidRPr="005F0A36">
        <w:rPr>
          <w:lang w:val="es-ES"/>
        </w:rPr>
        <w:t xml:space="preserve"> </w:t>
      </w:r>
      <w:r w:rsidR="00671747" w:rsidRPr="00671747">
        <w:rPr>
          <w:rFonts w:ascii="Arial" w:eastAsiaTheme="minorHAnsi" w:hAnsi="Arial" w:cs="Arial"/>
          <w:sz w:val="22"/>
          <w:szCs w:val="22"/>
          <w:lang w:val="es-ES"/>
        </w:rPr>
        <w:t>y las Áreas Importantes para Tiburones y Rayas (ISRA),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en colaboración con </w:t>
      </w:r>
      <w:r w:rsidR="00671747">
        <w:rPr>
          <w:rFonts w:ascii="Arial" w:eastAsiaTheme="minorHAnsi" w:hAnsi="Arial" w:cs="Arial"/>
          <w:sz w:val="22"/>
          <w:szCs w:val="22"/>
          <w:lang w:val="es-ES"/>
        </w:rPr>
        <w:t>las Comisiones de UICN, así como la CBI y la OMI; y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</w:t>
      </w:r>
    </w:p>
    <w:p w14:paraId="45DD7724" w14:textId="77777777" w:rsidR="00140063" w:rsidRPr="00140063" w:rsidRDefault="00140063" w:rsidP="005F0A36">
      <w:pPr>
        <w:suppressAutoHyphens w:val="0"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C307040" w14:textId="5039E91F" w:rsidR="00140063" w:rsidRPr="00140063" w:rsidRDefault="002900DE" w:rsidP="005F0A36">
      <w:pPr>
        <w:widowControl/>
        <w:numPr>
          <w:ilvl w:val="0"/>
          <w:numId w:val="2"/>
        </w:numPr>
        <w:suppressAutoHyphens w:val="0"/>
        <w:autoSpaceDE/>
        <w:autoSpaceDN/>
        <w:adjustRightInd w:val="0"/>
        <w:ind w:left="1418" w:hanging="518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>
        <w:rPr>
          <w:rFonts w:ascii="Arial" w:eastAsiaTheme="minorHAnsi" w:hAnsi="Arial" w:cs="Arial"/>
          <w:sz w:val="22"/>
          <w:szCs w:val="22"/>
          <w:lang w:val="es-ES"/>
        </w:rPr>
        <w:t xml:space="preserve">para las especies de cetáceos, 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>elabore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2900DE">
        <w:rPr>
          <w:rFonts w:ascii="Arial" w:eastAsiaTheme="minorHAnsi" w:hAnsi="Arial" w:cs="Arial"/>
          <w:sz w:val="22"/>
          <w:szCs w:val="22"/>
          <w:lang w:val="es-ES"/>
        </w:rPr>
        <w:t xml:space="preserve">en colaboración con la CBI y la </w:t>
      </w:r>
      <w:r w:rsidR="00FB69C0" w:rsidRPr="002900DE">
        <w:rPr>
          <w:rFonts w:ascii="Arial" w:eastAsiaTheme="minorHAnsi" w:hAnsi="Arial" w:cs="Arial"/>
          <w:sz w:val="22"/>
          <w:szCs w:val="22"/>
          <w:lang w:val="es-ES"/>
        </w:rPr>
        <w:t xml:space="preserve">OMI, </w:t>
      </w:r>
      <w:r w:rsidR="00FB69C0" w:rsidRPr="00140063">
        <w:rPr>
          <w:rFonts w:ascii="Arial" w:eastAsiaTheme="minorHAnsi" w:hAnsi="Arial" w:cs="Arial"/>
          <w:sz w:val="22"/>
          <w:szCs w:val="22"/>
          <w:lang w:val="es-ES"/>
        </w:rPr>
        <w:t>recomendaciones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sobre la ubicación adecuada de las medidas de desvío, 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como las zonas de exclusión (ATBA) 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y/o el establecimiento de restricciones de velocidad </w:t>
      </w:r>
      <w:r>
        <w:rPr>
          <w:rFonts w:ascii="Arial" w:eastAsiaTheme="minorHAnsi" w:hAnsi="Arial" w:cs="Arial"/>
          <w:sz w:val="22"/>
          <w:szCs w:val="22"/>
          <w:lang w:val="es-ES"/>
        </w:rPr>
        <w:t>para las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 embarcaciones en 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los 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 xml:space="preserve">hábitats clave de </w:t>
      </w:r>
      <w:r>
        <w:rPr>
          <w:rFonts w:ascii="Arial" w:eastAsiaTheme="minorHAnsi" w:hAnsi="Arial" w:cs="Arial"/>
          <w:sz w:val="22"/>
          <w:szCs w:val="22"/>
          <w:lang w:val="es-ES"/>
        </w:rPr>
        <w:t xml:space="preserve">los </w:t>
      </w:r>
      <w:r w:rsidR="00140063" w:rsidRPr="00140063">
        <w:rPr>
          <w:rFonts w:ascii="Arial" w:eastAsiaTheme="minorHAnsi" w:hAnsi="Arial" w:cs="Arial"/>
          <w:sz w:val="22"/>
          <w:szCs w:val="22"/>
          <w:lang w:val="es-ES"/>
        </w:rPr>
        <w:t>cetáceos, y formule recomendaciones a las Partes.</w:t>
      </w:r>
    </w:p>
    <w:p w14:paraId="494F2EBA" w14:textId="77777777" w:rsidR="00140063" w:rsidRPr="00140063" w:rsidRDefault="00140063" w:rsidP="005F0A36">
      <w:pPr>
        <w:suppressAutoHyphens w:val="0"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DC0697D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b/>
          <w:i/>
          <w:sz w:val="22"/>
          <w:szCs w:val="22"/>
          <w:lang w:val="es-ES"/>
        </w:rPr>
        <w:lastRenderedPageBreak/>
        <w:t>Dirigido a la Secretaría</w:t>
      </w:r>
    </w:p>
    <w:p w14:paraId="599BCB08" w14:textId="77777777" w:rsidR="00140063" w:rsidRPr="00140063" w:rsidRDefault="00140063" w:rsidP="005F0A36">
      <w:pPr>
        <w:widowControl/>
        <w:suppressAutoHyphens w:val="0"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7A7D9EF6" w14:textId="4D42D1C3" w:rsidR="00D82C56" w:rsidRDefault="00140063" w:rsidP="005F0A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140063">
        <w:rPr>
          <w:rFonts w:ascii="Arial" w:eastAsiaTheme="minorHAnsi" w:hAnsi="Arial" w:cs="Arial"/>
          <w:sz w:val="22"/>
          <w:szCs w:val="22"/>
          <w:lang w:val="es-ES"/>
        </w:rPr>
        <w:t>15.</w:t>
      </w:r>
      <w:r w:rsidR="00B90ADA">
        <w:rPr>
          <w:rFonts w:ascii="Arial" w:eastAsiaTheme="minorHAnsi" w:hAnsi="Arial" w:cs="Arial"/>
          <w:sz w:val="22"/>
          <w:szCs w:val="22"/>
          <w:lang w:val="es-ES"/>
        </w:rPr>
        <w:t>DD</w:t>
      </w:r>
      <w:r w:rsidRPr="00140063">
        <w:rPr>
          <w:rFonts w:ascii="Arial" w:eastAsiaTheme="minorHAnsi" w:hAnsi="Arial" w:cs="Arial"/>
          <w:sz w:val="22"/>
          <w:szCs w:val="22"/>
          <w:lang w:val="es-ES"/>
        </w:rPr>
        <w:tab/>
        <w:t>La Secretaría, sujeta a la disponibilidad de recursos, apoyará al Consejo Científico en la aplicación de la Decisión 15.BB.</w:t>
      </w:r>
    </w:p>
    <w:p w14:paraId="25CA3D48" w14:textId="77777777" w:rsidR="00C85156" w:rsidRDefault="00C85156" w:rsidP="005F0A36">
      <w:pPr>
        <w:widowControl/>
        <w:suppressAutoHyphens w:val="0"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6E16DA9F" w14:textId="16F3FA68" w:rsidR="00C85156" w:rsidRDefault="00C85156" w:rsidP="005F0A36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>
        <w:rPr>
          <w:rFonts w:ascii="Arial" w:eastAsiaTheme="minorHAnsi" w:hAnsi="Arial" w:cs="Arial"/>
          <w:sz w:val="22"/>
          <w:szCs w:val="22"/>
          <w:lang w:val="es-ES"/>
        </w:rPr>
        <w:t>apoyar al Consejo Científico en la aplicación de la Decisión 15.CC; y</w:t>
      </w:r>
    </w:p>
    <w:p w14:paraId="66BDD800" w14:textId="77777777" w:rsidR="00C85156" w:rsidRDefault="00C85156" w:rsidP="005F0A36">
      <w:pPr>
        <w:widowControl/>
        <w:suppressAutoHyphens w:val="0"/>
        <w:autoSpaceDE/>
        <w:autoSpaceDN/>
        <w:adjustRightInd w:val="0"/>
        <w:ind w:left="1287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</w:p>
    <w:p w14:paraId="55374369" w14:textId="7F2489F9" w:rsidR="00C85156" w:rsidRPr="00C85156" w:rsidRDefault="00C85156" w:rsidP="005F0A36">
      <w:pPr>
        <w:widowControl/>
        <w:numPr>
          <w:ilvl w:val="0"/>
          <w:numId w:val="4"/>
        </w:numPr>
        <w:suppressAutoHyphens w:val="0"/>
        <w:autoSpaceDE/>
        <w:autoSpaceDN/>
        <w:adjustRightInd w:val="0"/>
        <w:jc w:val="both"/>
        <w:textAlignment w:val="auto"/>
        <w:rPr>
          <w:rFonts w:ascii="Arial" w:eastAsiaTheme="minorHAnsi" w:hAnsi="Arial" w:cs="Arial"/>
          <w:sz w:val="22"/>
          <w:szCs w:val="22"/>
          <w:lang w:val="es-ES"/>
        </w:rPr>
      </w:pPr>
      <w:r w:rsidRPr="00C85156">
        <w:rPr>
          <w:rFonts w:ascii="Arial" w:eastAsiaTheme="minorHAnsi" w:hAnsi="Arial" w:cs="Arial"/>
          <w:sz w:val="22"/>
          <w:szCs w:val="22"/>
          <w:lang w:val="es-ES"/>
        </w:rPr>
        <w:t>colaborar con las secretarías de la CBI y la OMI en su proceso de elaboración de directrices sobre la evaluación de riesgos de colisiones con buques</w:t>
      </w:r>
      <w:r>
        <w:rPr>
          <w:rFonts w:ascii="Arial" w:eastAsiaTheme="minorHAnsi" w:hAnsi="Arial" w:cs="Arial"/>
          <w:sz w:val="22"/>
          <w:szCs w:val="22"/>
          <w:lang w:val="es-ES"/>
        </w:rPr>
        <w:t>.</w:t>
      </w:r>
    </w:p>
    <w:sectPr w:rsidR="00C85156" w:rsidRPr="00C85156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C86C" w14:textId="77777777" w:rsidR="00121343" w:rsidRDefault="00121343">
      <w:r>
        <w:separator/>
      </w:r>
    </w:p>
  </w:endnote>
  <w:endnote w:type="continuationSeparator" w:id="0">
    <w:p w14:paraId="0324ACF9" w14:textId="77777777" w:rsidR="00121343" w:rsidRDefault="00121343">
      <w:r>
        <w:continuationSeparator/>
      </w:r>
    </w:p>
  </w:endnote>
  <w:endnote w:type="continuationNotice" w:id="1">
    <w:p w14:paraId="489D399A" w14:textId="77777777" w:rsidR="00121343" w:rsidRDefault="00121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61A1" w14:textId="77777777" w:rsidR="00121343" w:rsidRDefault="00121343">
      <w:r>
        <w:rPr>
          <w:color w:val="000000"/>
        </w:rPr>
        <w:separator/>
      </w:r>
    </w:p>
  </w:footnote>
  <w:footnote w:type="continuationSeparator" w:id="0">
    <w:p w14:paraId="0D0B1041" w14:textId="77777777" w:rsidR="00121343" w:rsidRDefault="00121343">
      <w:r>
        <w:continuationSeparator/>
      </w:r>
    </w:p>
  </w:footnote>
  <w:footnote w:type="continuationNotice" w:id="1">
    <w:p w14:paraId="1E912BA2" w14:textId="77777777" w:rsidR="00121343" w:rsidRDefault="00121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A766" w14:textId="77777777" w:rsidR="005F0A36" w:rsidRPr="00CB498E" w:rsidRDefault="005F0A36" w:rsidP="005F0A3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CB498E">
      <w:rPr>
        <w:rFonts w:ascii="Arial" w:hAnsi="Arial" w:cs="Arial"/>
        <w:bCs/>
        <w:i/>
        <w:iCs/>
        <w:sz w:val="18"/>
        <w:szCs w:val="18"/>
        <w:lang w:val="en-GB"/>
      </w:rPr>
      <w:t>UNEP/CMS/COP15/CRP</w:t>
    </w:r>
    <w:r>
      <w:rPr>
        <w:rFonts w:ascii="Arial" w:hAnsi="Arial" w:cs="Arial"/>
        <w:bCs/>
        <w:i/>
        <w:iCs/>
        <w:sz w:val="18"/>
        <w:szCs w:val="18"/>
        <w:lang w:val="en-GB"/>
      </w:rPr>
      <w:t>25.3.2</w:t>
    </w:r>
  </w:p>
  <w:p w14:paraId="50B9F4CC" w14:textId="77777777" w:rsidR="0041439A" w:rsidRPr="005F0A36" w:rsidRDefault="0041439A" w:rsidP="005F0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38243508" w:rsidR="007A1066" w:rsidRPr="00CB498E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CB498E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CB498E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CB498E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140063">
      <w:rPr>
        <w:rFonts w:ascii="Arial" w:hAnsi="Arial" w:cs="Arial"/>
        <w:bCs/>
        <w:i/>
        <w:iCs/>
        <w:sz w:val="18"/>
        <w:szCs w:val="18"/>
        <w:lang w:val="en-GB"/>
      </w:rPr>
      <w:t>25.3.2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59F"/>
    <w:multiLevelType w:val="hybridMultilevel"/>
    <w:tmpl w:val="25EC5992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10000017">
      <w:start w:val="1"/>
      <w:numFmt w:val="lowerLetter"/>
      <w:lvlText w:val="%2)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>
      <w:start w:val="1"/>
      <w:numFmt w:val="lowerRoman"/>
      <w:lvlText w:val="%3."/>
      <w:lvlJc w:val="right"/>
      <w:pPr>
        <w:ind w:left="2727" w:hanging="180"/>
      </w:pPr>
    </w:lvl>
    <w:lvl w:ilvl="3" w:tplc="0809000F">
      <w:start w:val="1"/>
      <w:numFmt w:val="decimal"/>
      <w:lvlText w:val="%4."/>
      <w:lvlJc w:val="left"/>
      <w:pPr>
        <w:ind w:left="3447" w:hanging="360"/>
      </w:pPr>
    </w:lvl>
    <w:lvl w:ilvl="4" w:tplc="08090019">
      <w:start w:val="1"/>
      <w:numFmt w:val="lowerLetter"/>
      <w:lvlText w:val="%5."/>
      <w:lvlJc w:val="left"/>
      <w:pPr>
        <w:ind w:left="4167" w:hanging="360"/>
      </w:pPr>
    </w:lvl>
    <w:lvl w:ilvl="5" w:tplc="0809001B">
      <w:start w:val="1"/>
      <w:numFmt w:val="lowerRoman"/>
      <w:lvlText w:val="%6."/>
      <w:lvlJc w:val="right"/>
      <w:pPr>
        <w:ind w:left="4887" w:hanging="180"/>
      </w:pPr>
    </w:lvl>
    <w:lvl w:ilvl="6" w:tplc="0809000F">
      <w:start w:val="1"/>
      <w:numFmt w:val="decimal"/>
      <w:lvlText w:val="%7."/>
      <w:lvlJc w:val="left"/>
      <w:pPr>
        <w:ind w:left="5607" w:hanging="360"/>
      </w:pPr>
    </w:lvl>
    <w:lvl w:ilvl="7" w:tplc="08090019">
      <w:start w:val="1"/>
      <w:numFmt w:val="lowerLetter"/>
      <w:lvlText w:val="%8."/>
      <w:lvlJc w:val="left"/>
      <w:pPr>
        <w:ind w:left="6327" w:hanging="360"/>
      </w:pPr>
    </w:lvl>
    <w:lvl w:ilvl="8" w:tplc="08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E236265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num w:numId="1" w16cid:durableId="1205143147">
    <w:abstractNumId w:val="0"/>
  </w:num>
  <w:num w:numId="2" w16cid:durableId="543445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5930397">
    <w:abstractNumId w:val="0"/>
  </w:num>
  <w:num w:numId="4" w16cid:durableId="381100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81E20"/>
    <w:rsid w:val="000B0D60"/>
    <w:rsid w:val="001125D7"/>
    <w:rsid w:val="00121343"/>
    <w:rsid w:val="00140063"/>
    <w:rsid w:val="00164D92"/>
    <w:rsid w:val="002243FE"/>
    <w:rsid w:val="00227282"/>
    <w:rsid w:val="002900DE"/>
    <w:rsid w:val="003F1AD8"/>
    <w:rsid w:val="0041439A"/>
    <w:rsid w:val="0043102F"/>
    <w:rsid w:val="00462E36"/>
    <w:rsid w:val="005645C4"/>
    <w:rsid w:val="0058757D"/>
    <w:rsid w:val="005D43E4"/>
    <w:rsid w:val="005F0639"/>
    <w:rsid w:val="005F0A36"/>
    <w:rsid w:val="00671747"/>
    <w:rsid w:val="00711331"/>
    <w:rsid w:val="007A1066"/>
    <w:rsid w:val="007C1E52"/>
    <w:rsid w:val="008D72B1"/>
    <w:rsid w:val="00A609BF"/>
    <w:rsid w:val="00A8449E"/>
    <w:rsid w:val="00AA138B"/>
    <w:rsid w:val="00AB437B"/>
    <w:rsid w:val="00AB5285"/>
    <w:rsid w:val="00B432FE"/>
    <w:rsid w:val="00B90ADA"/>
    <w:rsid w:val="00B91802"/>
    <w:rsid w:val="00C0249B"/>
    <w:rsid w:val="00C85156"/>
    <w:rsid w:val="00CB498E"/>
    <w:rsid w:val="00CC74AE"/>
    <w:rsid w:val="00CE001C"/>
    <w:rsid w:val="00D33C9A"/>
    <w:rsid w:val="00D50F95"/>
    <w:rsid w:val="00D61140"/>
    <w:rsid w:val="00D82C56"/>
    <w:rsid w:val="00DB2EEB"/>
    <w:rsid w:val="00E45B44"/>
    <w:rsid w:val="00E829C9"/>
    <w:rsid w:val="00F46ED7"/>
    <w:rsid w:val="00FB69C0"/>
    <w:rsid w:val="00FC283E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5A4BFA1A-127E-45E8-84DB-DED759C56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11</cp:revision>
  <cp:lastPrinted>2020-02-03T15:02:00Z</cp:lastPrinted>
  <dcterms:created xsi:type="dcterms:W3CDTF">2026-03-10T13:16:00Z</dcterms:created>
  <dcterms:modified xsi:type="dcterms:W3CDTF">2026-03-27T03:47:00Z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es</vt:lpwstr>
  </property>
</Properties>
</file>