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0047" w14:textId="12A3933E" w:rsidR="00D82C56" w:rsidRDefault="002557A6" w:rsidP="00E406C0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2557A6">
        <w:rPr>
          <w:rFonts w:ascii="Arial" w:hAnsi="Arial" w:cs="Arial"/>
          <w:b/>
          <w:sz w:val="22"/>
          <w:szCs w:val="22"/>
          <w:lang w:val="es-ES"/>
        </w:rPr>
        <w:t>MINERÍA DE FONDOS MARINOS</w:t>
      </w:r>
    </w:p>
    <w:p w14:paraId="60C50FAF" w14:textId="77777777" w:rsidR="00AB5285" w:rsidRPr="0058757D" w:rsidRDefault="00AB5285" w:rsidP="00E406C0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77BA811D" w14:textId="66F79F38" w:rsidR="00D82C56" w:rsidRPr="0058757D" w:rsidRDefault="005D43E4" w:rsidP="00E406C0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58757D">
        <w:rPr>
          <w:rFonts w:ascii="Arial" w:hAnsi="Arial" w:cs="Arial"/>
          <w:sz w:val="22"/>
          <w:szCs w:val="22"/>
          <w:lang w:val="es-ES"/>
        </w:rPr>
        <w:t>UNEP/CMS/COP1</w:t>
      </w:r>
      <w:r w:rsidR="00CB498E">
        <w:rPr>
          <w:rFonts w:ascii="Arial" w:hAnsi="Arial" w:cs="Arial"/>
          <w:sz w:val="22"/>
          <w:szCs w:val="22"/>
          <w:lang w:val="es-ES"/>
        </w:rPr>
        <w:t>5</w:t>
      </w:r>
      <w:r w:rsidRPr="0058757D">
        <w:rPr>
          <w:rFonts w:ascii="Arial" w:hAnsi="Arial" w:cs="Arial"/>
          <w:sz w:val="22"/>
          <w:szCs w:val="22"/>
          <w:lang w:val="es-ES"/>
        </w:rPr>
        <w:t>/Doc.</w:t>
      </w:r>
      <w:r w:rsidR="002557A6">
        <w:rPr>
          <w:rFonts w:ascii="Arial" w:hAnsi="Arial" w:cs="Arial"/>
          <w:sz w:val="22"/>
          <w:szCs w:val="22"/>
          <w:lang w:val="es-ES"/>
        </w:rPr>
        <w:t>25.2.3</w:t>
      </w:r>
    </w:p>
    <w:p w14:paraId="73A89732" w14:textId="4B7B795B" w:rsidR="00D82C56" w:rsidRPr="00FD2360" w:rsidRDefault="005D43E4" w:rsidP="00E406C0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>ado por</w:t>
      </w:r>
      <w:r w:rsidR="00D20D4C">
        <w:rPr>
          <w:rFonts w:ascii="Arial" w:hAnsi="Arial" w:cs="Arial"/>
          <w:i/>
          <w:sz w:val="22"/>
          <w:szCs w:val="22"/>
          <w:lang w:val="es-ES"/>
        </w:rPr>
        <w:t xml:space="preserve"> el Grupo de Trabajo sobre especies acuáticas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E406C0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E406C0">
      <w:pPr>
        <w:rPr>
          <w:rFonts w:ascii="Arial" w:hAnsi="Arial" w:cs="Arial"/>
          <w:sz w:val="22"/>
          <w:szCs w:val="22"/>
          <w:lang w:val="es-ES"/>
        </w:rPr>
      </w:pPr>
    </w:p>
    <w:p w14:paraId="4FD05A8C" w14:textId="77777777" w:rsidR="002557A6" w:rsidRPr="002557A6" w:rsidRDefault="002557A6" w:rsidP="00E406C0">
      <w:pPr>
        <w:suppressAutoHyphens w:val="0"/>
        <w:adjustRightInd w:val="0"/>
        <w:jc w:val="center"/>
        <w:textAlignment w:val="auto"/>
        <w:rPr>
          <w:rFonts w:ascii="Arial" w:hAnsi="Arial" w:cs="Arial"/>
          <w:sz w:val="22"/>
          <w:szCs w:val="22"/>
          <w:lang w:val="es-ES"/>
        </w:rPr>
      </w:pPr>
      <w:r w:rsidRPr="002557A6">
        <w:rPr>
          <w:rFonts w:ascii="Arial" w:hAnsi="Arial" w:cs="Arial"/>
          <w:sz w:val="22"/>
          <w:szCs w:val="22"/>
          <w:lang w:val="es-ES"/>
        </w:rPr>
        <w:t>PROYECTO DE DECISIONES</w:t>
      </w:r>
    </w:p>
    <w:p w14:paraId="072E8700" w14:textId="77777777" w:rsidR="002557A6" w:rsidRPr="002557A6" w:rsidRDefault="002557A6" w:rsidP="00E406C0">
      <w:pPr>
        <w:suppressAutoHyphens w:val="0"/>
        <w:adjustRightInd w:val="0"/>
        <w:jc w:val="center"/>
        <w:textAlignment w:val="auto"/>
        <w:rPr>
          <w:rFonts w:ascii="Arial" w:hAnsi="Arial" w:cs="Arial"/>
          <w:sz w:val="22"/>
          <w:szCs w:val="22"/>
          <w:lang w:val="es-ES"/>
        </w:rPr>
      </w:pPr>
    </w:p>
    <w:p w14:paraId="1EFDD22F" w14:textId="77777777" w:rsidR="002557A6" w:rsidRPr="002557A6" w:rsidRDefault="002557A6" w:rsidP="00E406C0">
      <w:pPr>
        <w:widowControl/>
        <w:suppressAutoHyphens w:val="0"/>
        <w:autoSpaceDE/>
        <w:autoSpaceDN/>
        <w:jc w:val="center"/>
        <w:textAlignment w:val="auto"/>
        <w:rPr>
          <w:rFonts w:ascii="Arial" w:hAnsi="Arial" w:cs="Arial"/>
          <w:b/>
          <w:bCs/>
          <w:sz w:val="22"/>
          <w:szCs w:val="22"/>
          <w:lang w:val="es-ES"/>
        </w:rPr>
      </w:pPr>
      <w:r w:rsidRPr="002557A6">
        <w:rPr>
          <w:rFonts w:ascii="Arial" w:hAnsi="Arial" w:cs="Arial"/>
          <w:b/>
          <w:bCs/>
          <w:sz w:val="22"/>
          <w:szCs w:val="22"/>
          <w:lang w:val="es-ES"/>
        </w:rPr>
        <w:t xml:space="preserve">MINERÍA DE FONDOS MARINOS Y ESPECIES MIGRATORIAS </w:t>
      </w:r>
    </w:p>
    <w:p w14:paraId="0A751DFC" w14:textId="77777777" w:rsidR="002557A6" w:rsidRPr="002557A6" w:rsidRDefault="002557A6" w:rsidP="00E406C0">
      <w:pPr>
        <w:widowControl/>
        <w:suppressAutoHyphens w:val="0"/>
        <w:autoSpaceDE/>
        <w:autoSpaceDN/>
        <w:textAlignment w:val="auto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4A0BF5E8" w14:textId="77777777" w:rsidR="002557A6" w:rsidRPr="002557A6" w:rsidRDefault="002557A6" w:rsidP="00E406C0">
      <w:pPr>
        <w:suppressAutoHyphens w:val="0"/>
        <w:adjustRightInd w:val="0"/>
        <w:jc w:val="both"/>
        <w:textAlignment w:val="auto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47E5A94F" w14:textId="77777777" w:rsidR="002557A6" w:rsidRPr="002557A6" w:rsidRDefault="002557A6" w:rsidP="00E406C0">
      <w:pPr>
        <w:suppressAutoHyphens w:val="0"/>
        <w:adjustRightInd w:val="0"/>
        <w:jc w:val="both"/>
        <w:textAlignment w:val="auto"/>
        <w:rPr>
          <w:rFonts w:ascii="Arial" w:hAnsi="Arial" w:cs="Arial"/>
          <w:b/>
          <w:bCs/>
          <w:iCs/>
          <w:sz w:val="22"/>
          <w:szCs w:val="22"/>
          <w:lang w:val="es-ES"/>
        </w:rPr>
      </w:pPr>
      <w:r w:rsidRPr="002557A6">
        <w:rPr>
          <w:rFonts w:ascii="Arial" w:hAnsi="Arial" w:cs="Arial"/>
          <w:b/>
          <w:bCs/>
          <w:iCs/>
          <w:sz w:val="22"/>
          <w:szCs w:val="22"/>
          <w:lang w:val="es-ES"/>
        </w:rPr>
        <w:t>Dirigido a las Partes</w:t>
      </w:r>
    </w:p>
    <w:p w14:paraId="509D2858" w14:textId="77777777" w:rsidR="002557A6" w:rsidRPr="002557A6" w:rsidRDefault="002557A6" w:rsidP="00E406C0">
      <w:pPr>
        <w:suppressAutoHyphens w:val="0"/>
        <w:adjustRightInd w:val="0"/>
        <w:jc w:val="both"/>
        <w:textAlignment w:val="auto"/>
        <w:rPr>
          <w:rFonts w:ascii="Arial" w:hAnsi="Arial" w:cs="Arial"/>
          <w:b/>
          <w:bCs/>
          <w:iCs/>
          <w:sz w:val="22"/>
          <w:szCs w:val="22"/>
          <w:lang w:val="es-ES"/>
        </w:rPr>
      </w:pPr>
    </w:p>
    <w:p w14:paraId="3821A058" w14:textId="77777777" w:rsidR="002557A6" w:rsidRPr="002557A6" w:rsidRDefault="002557A6" w:rsidP="00E406C0">
      <w:pPr>
        <w:suppressAutoHyphens w:val="0"/>
        <w:adjustRightInd w:val="0"/>
        <w:ind w:left="900" w:hanging="90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  <w:r w:rsidRPr="002557A6">
        <w:rPr>
          <w:rFonts w:ascii="Arial" w:hAnsi="Arial" w:cs="Arial"/>
          <w:iCs/>
          <w:sz w:val="22"/>
          <w:szCs w:val="22"/>
          <w:lang w:val="es-ES"/>
        </w:rPr>
        <w:t>15.AA</w:t>
      </w:r>
      <w:r w:rsidRPr="002557A6">
        <w:rPr>
          <w:rFonts w:ascii="Arial" w:hAnsi="Arial" w:cs="Arial"/>
          <w:iCs/>
          <w:sz w:val="22"/>
          <w:szCs w:val="22"/>
          <w:lang w:val="es-ES"/>
        </w:rPr>
        <w:tab/>
        <w:t xml:space="preserve">Se insta a las Partes a: </w:t>
      </w:r>
    </w:p>
    <w:p w14:paraId="7D112AC7" w14:textId="77777777" w:rsidR="002557A6" w:rsidRPr="002557A6" w:rsidRDefault="002557A6" w:rsidP="00E406C0">
      <w:pPr>
        <w:suppressAutoHyphens w:val="0"/>
        <w:adjustRightInd w:val="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</w:p>
    <w:p w14:paraId="16A31A31" w14:textId="4274DE4E" w:rsidR="002557A6" w:rsidRPr="002557A6" w:rsidRDefault="00E808FF" w:rsidP="00E406C0">
      <w:pPr>
        <w:widowControl/>
        <w:numPr>
          <w:ilvl w:val="0"/>
          <w:numId w:val="1"/>
        </w:numPr>
        <w:suppressAutoHyphens w:val="0"/>
        <w:autoSpaceDE/>
        <w:autoSpaceDN/>
        <w:adjustRightInd w:val="0"/>
        <w:ind w:left="1440" w:hanging="540"/>
        <w:contextualSpacing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  <w:r>
        <w:rPr>
          <w:rFonts w:ascii="Arial" w:hAnsi="Arial" w:cs="Arial"/>
          <w:iCs/>
          <w:sz w:val="22"/>
          <w:szCs w:val="22"/>
          <w:lang w:val="es-ES"/>
        </w:rPr>
        <w:t xml:space="preserve">tomar nota del informe </w:t>
      </w:r>
      <w:r w:rsidR="00E941E5">
        <w:rPr>
          <w:rFonts w:ascii="Arial" w:hAnsi="Arial" w:cs="Arial"/>
          <w:iCs/>
          <w:sz w:val="22"/>
          <w:szCs w:val="22"/>
          <w:lang w:val="es-ES"/>
        </w:rPr>
        <w:t>titulado</w:t>
      </w:r>
      <w:r w:rsidR="002557A6" w:rsidRPr="002557A6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2557A6" w:rsidRPr="002557A6">
        <w:rPr>
          <w:rFonts w:ascii="Arial" w:eastAsiaTheme="minorHAnsi" w:hAnsi="Arial" w:cs="Arial"/>
          <w:i/>
          <w:iCs/>
          <w:color w:val="000000"/>
          <w:sz w:val="22"/>
          <w:szCs w:val="22"/>
          <w:lang w:val="es-ES"/>
        </w:rPr>
        <w:t xml:space="preserve">Impactos de la minería de fondos marinos sobre las especies migratorias: </w:t>
      </w:r>
      <w:r w:rsidR="00E875D9">
        <w:rPr>
          <w:rFonts w:ascii="Arial" w:eastAsiaTheme="minorHAnsi" w:hAnsi="Arial" w:cs="Arial"/>
          <w:i/>
          <w:iCs/>
          <w:color w:val="000000"/>
          <w:sz w:val="22"/>
          <w:szCs w:val="22"/>
          <w:lang w:val="es-ES"/>
        </w:rPr>
        <w:t>Análisis</w:t>
      </w:r>
      <w:r w:rsidR="002557A6" w:rsidRPr="002557A6">
        <w:rPr>
          <w:rFonts w:ascii="Arial" w:eastAsiaTheme="minorHAnsi" w:hAnsi="Arial" w:cs="Arial"/>
          <w:i/>
          <w:iCs/>
          <w:color w:val="000000"/>
          <w:sz w:val="22"/>
          <w:szCs w:val="22"/>
          <w:lang w:val="es-ES"/>
        </w:rPr>
        <w:t xml:space="preserve"> y </w:t>
      </w:r>
      <w:r w:rsidR="007002F1">
        <w:rPr>
          <w:rFonts w:ascii="Arial" w:eastAsiaTheme="minorHAnsi" w:hAnsi="Arial" w:cs="Arial"/>
          <w:i/>
          <w:iCs/>
          <w:color w:val="000000"/>
          <w:sz w:val="22"/>
          <w:szCs w:val="22"/>
          <w:lang w:val="es-ES"/>
        </w:rPr>
        <w:t>lagunas</w:t>
      </w:r>
      <w:r w:rsidR="002557A6" w:rsidRPr="002557A6">
        <w:rPr>
          <w:rFonts w:ascii="Arial" w:eastAsiaTheme="minorHAnsi" w:hAnsi="Arial" w:cs="Arial"/>
          <w:i/>
          <w:iCs/>
          <w:color w:val="000000"/>
          <w:sz w:val="22"/>
          <w:szCs w:val="22"/>
          <w:lang w:val="es-ES"/>
        </w:rPr>
        <w:t xml:space="preserve"> en el conocimiento, </w:t>
      </w:r>
      <w:r w:rsidR="002557A6" w:rsidRPr="002557A6">
        <w:rPr>
          <w:rFonts w:ascii="Arial" w:eastAsiaTheme="minorHAnsi" w:hAnsi="Arial" w:cs="Arial"/>
          <w:color w:val="000000"/>
          <w:sz w:val="22"/>
          <w:szCs w:val="22"/>
          <w:lang w:val="es-ES"/>
        </w:rPr>
        <w:t>que se encuentra en el Anexo</w:t>
      </w:r>
      <w:r w:rsidR="00E875D9">
        <w:rPr>
          <w:rFonts w:ascii="Arial" w:eastAsiaTheme="minorHAnsi" w:hAnsi="Arial" w:cs="Arial"/>
          <w:color w:val="000000"/>
          <w:sz w:val="22"/>
          <w:szCs w:val="22"/>
          <w:lang w:val="es-ES"/>
        </w:rPr>
        <w:t xml:space="preserve"> 1</w:t>
      </w:r>
      <w:r w:rsidR="002557A6" w:rsidRPr="002557A6">
        <w:rPr>
          <w:rFonts w:ascii="Arial" w:eastAsiaTheme="minorHAnsi" w:hAnsi="Arial" w:cs="Arial"/>
          <w:color w:val="000000"/>
          <w:sz w:val="22"/>
          <w:szCs w:val="22"/>
          <w:lang w:val="es-ES"/>
        </w:rPr>
        <w:t xml:space="preserve"> de UNEP/CMS/COP15/Doc.25.2.3;</w:t>
      </w:r>
    </w:p>
    <w:p w14:paraId="0A30940F" w14:textId="77777777" w:rsidR="002557A6" w:rsidRPr="002557A6" w:rsidRDefault="002557A6" w:rsidP="00E406C0">
      <w:pPr>
        <w:suppressAutoHyphens w:val="0"/>
        <w:adjustRightInd w:val="0"/>
        <w:ind w:left="1440" w:hanging="54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</w:p>
    <w:p w14:paraId="04ACB727" w14:textId="4D46D883" w:rsidR="002557A6" w:rsidRPr="002557A6" w:rsidRDefault="002557A6" w:rsidP="00E406C0">
      <w:pPr>
        <w:widowControl/>
        <w:numPr>
          <w:ilvl w:val="0"/>
          <w:numId w:val="1"/>
        </w:numPr>
        <w:suppressAutoHyphens w:val="0"/>
        <w:autoSpaceDE/>
        <w:autoSpaceDN/>
        <w:adjustRightInd w:val="0"/>
        <w:ind w:left="1440" w:hanging="540"/>
        <w:contextualSpacing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  <w:r w:rsidRPr="002557A6">
        <w:rPr>
          <w:rFonts w:ascii="Arial" w:eastAsiaTheme="minorHAnsi" w:hAnsi="Arial" w:cs="Arial"/>
          <w:color w:val="000000"/>
          <w:sz w:val="22"/>
          <w:szCs w:val="22"/>
          <w:lang w:val="es-ES"/>
        </w:rPr>
        <w:t xml:space="preserve">difundir </w:t>
      </w:r>
      <w:r w:rsidR="00565AEB">
        <w:rPr>
          <w:rFonts w:ascii="Arial" w:eastAsiaTheme="minorHAnsi" w:hAnsi="Arial" w:cs="Arial"/>
          <w:color w:val="000000"/>
          <w:sz w:val="22"/>
          <w:szCs w:val="22"/>
          <w:lang w:val="es-ES"/>
        </w:rPr>
        <w:t>la publicación</w:t>
      </w:r>
      <w:r w:rsidR="007002F1">
        <w:rPr>
          <w:rFonts w:ascii="Arial" w:eastAsiaTheme="minorHAnsi" w:hAnsi="Arial" w:cs="Arial"/>
          <w:color w:val="000000"/>
          <w:sz w:val="22"/>
          <w:szCs w:val="22"/>
          <w:lang w:val="es-ES"/>
        </w:rPr>
        <w:t xml:space="preserve"> de la Serie Técnica de la CMS titulada </w:t>
      </w:r>
      <w:r w:rsidRPr="002557A6">
        <w:rPr>
          <w:rFonts w:ascii="Arial" w:eastAsiaTheme="minorHAnsi" w:hAnsi="Arial" w:cs="Arial"/>
          <w:i/>
          <w:iCs/>
          <w:color w:val="000000"/>
          <w:sz w:val="22"/>
          <w:szCs w:val="22"/>
          <w:lang w:val="es-ES"/>
        </w:rPr>
        <w:t xml:space="preserve">Impactos de la minería en fondos marinos sobre las especies migratorias: </w:t>
      </w:r>
      <w:r w:rsidR="007002F1">
        <w:rPr>
          <w:rFonts w:ascii="Arial" w:eastAsiaTheme="minorHAnsi" w:hAnsi="Arial" w:cs="Arial"/>
          <w:i/>
          <w:iCs/>
          <w:color w:val="000000"/>
          <w:sz w:val="22"/>
          <w:szCs w:val="22"/>
          <w:lang w:val="es-ES"/>
        </w:rPr>
        <w:t>Análisis</w:t>
      </w:r>
      <w:r w:rsidRPr="002557A6">
        <w:rPr>
          <w:rFonts w:ascii="Arial" w:eastAsiaTheme="minorHAnsi" w:hAnsi="Arial" w:cs="Arial"/>
          <w:i/>
          <w:iCs/>
          <w:color w:val="000000"/>
          <w:sz w:val="22"/>
          <w:szCs w:val="22"/>
          <w:lang w:val="es-ES"/>
        </w:rPr>
        <w:t xml:space="preserve"> y lagunas en el conocimiento</w:t>
      </w:r>
      <w:r w:rsidRPr="002557A6">
        <w:rPr>
          <w:rFonts w:ascii="Arial" w:eastAsiaTheme="minorHAnsi" w:hAnsi="Arial" w:cs="Arial"/>
          <w:color w:val="000000"/>
          <w:sz w:val="22"/>
          <w:szCs w:val="22"/>
          <w:lang w:val="es-ES"/>
        </w:rPr>
        <w:t xml:space="preserve"> </w:t>
      </w:r>
      <w:r w:rsidR="00EF37A8">
        <w:rPr>
          <w:rFonts w:ascii="Arial" w:eastAsiaTheme="minorHAnsi" w:hAnsi="Arial" w:cs="Arial"/>
          <w:color w:val="000000"/>
          <w:sz w:val="22"/>
          <w:szCs w:val="22"/>
          <w:lang w:val="es-ES"/>
        </w:rPr>
        <w:t>una vez que haya sido publicada por la Secretaría</w:t>
      </w:r>
      <w:r w:rsidR="00255972">
        <w:rPr>
          <w:rFonts w:ascii="Arial" w:eastAsiaTheme="minorHAnsi" w:hAnsi="Arial" w:cs="Arial"/>
          <w:color w:val="000000"/>
          <w:sz w:val="22"/>
          <w:szCs w:val="22"/>
          <w:lang w:val="es-ES"/>
        </w:rPr>
        <w:t xml:space="preserve"> de conformidad con la Decisión 15.DD a), </w:t>
      </w:r>
      <w:r w:rsidRPr="002557A6">
        <w:rPr>
          <w:rFonts w:ascii="Arial" w:eastAsiaTheme="minorHAnsi" w:hAnsi="Arial" w:cs="Arial"/>
          <w:color w:val="000000"/>
          <w:sz w:val="22"/>
          <w:szCs w:val="22"/>
          <w:lang w:val="es-ES"/>
        </w:rPr>
        <w:t xml:space="preserve">a todos los </w:t>
      </w:r>
      <w:r w:rsidR="00265973">
        <w:rPr>
          <w:rFonts w:ascii="Arial" w:eastAsiaTheme="minorHAnsi" w:hAnsi="Arial" w:cs="Arial"/>
          <w:color w:val="000000"/>
          <w:sz w:val="22"/>
          <w:szCs w:val="22"/>
          <w:lang w:val="es-ES"/>
        </w:rPr>
        <w:t>organismos</w:t>
      </w:r>
      <w:r w:rsidRPr="002557A6">
        <w:rPr>
          <w:rFonts w:ascii="Arial" w:eastAsiaTheme="minorHAnsi" w:hAnsi="Arial" w:cs="Arial"/>
          <w:color w:val="000000"/>
          <w:sz w:val="22"/>
          <w:szCs w:val="22"/>
          <w:lang w:val="es-ES"/>
        </w:rPr>
        <w:t xml:space="preserve"> nacionales encargados de tomar decisiones sobre la</w:t>
      </w:r>
      <w:r w:rsidR="00265973">
        <w:rPr>
          <w:rFonts w:ascii="Arial" w:eastAsiaTheme="minorHAnsi" w:hAnsi="Arial" w:cs="Arial"/>
          <w:color w:val="000000"/>
          <w:sz w:val="22"/>
          <w:szCs w:val="22"/>
          <w:lang w:val="es-ES"/>
        </w:rPr>
        <w:t>s actividades</w:t>
      </w:r>
      <w:r w:rsidR="00851E80">
        <w:rPr>
          <w:rFonts w:ascii="Arial" w:eastAsiaTheme="minorHAnsi" w:hAnsi="Arial" w:cs="Arial"/>
          <w:color w:val="000000"/>
          <w:sz w:val="22"/>
          <w:szCs w:val="22"/>
          <w:lang w:val="es-ES"/>
        </w:rPr>
        <w:t xml:space="preserve"> de</w:t>
      </w:r>
      <w:r w:rsidRPr="002557A6">
        <w:rPr>
          <w:rFonts w:ascii="Arial" w:eastAsiaTheme="minorHAnsi" w:hAnsi="Arial" w:cs="Arial"/>
          <w:color w:val="000000"/>
          <w:sz w:val="22"/>
          <w:szCs w:val="22"/>
          <w:lang w:val="es-ES"/>
        </w:rPr>
        <w:t xml:space="preserve"> minería en fondos marinos; </w:t>
      </w:r>
      <w:r w:rsidR="002E20E9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y</w:t>
      </w:r>
    </w:p>
    <w:p w14:paraId="70FB1361" w14:textId="77777777" w:rsidR="002557A6" w:rsidRPr="002557A6" w:rsidRDefault="002557A6" w:rsidP="00E406C0">
      <w:pPr>
        <w:widowControl/>
        <w:suppressAutoHyphens w:val="0"/>
        <w:autoSpaceDE/>
        <w:autoSpaceDN/>
        <w:ind w:left="1440" w:hanging="540"/>
        <w:contextualSpacing/>
        <w:textAlignment w:val="auto"/>
        <w:rPr>
          <w:rFonts w:ascii="Arial" w:hAnsi="Arial" w:cs="Arial"/>
          <w:iCs/>
          <w:sz w:val="22"/>
          <w:szCs w:val="22"/>
          <w:lang w:val="es-ES"/>
        </w:rPr>
      </w:pPr>
    </w:p>
    <w:p w14:paraId="6B2363A0" w14:textId="0356025A" w:rsidR="002557A6" w:rsidRDefault="00E76F81" w:rsidP="00E406C0">
      <w:pPr>
        <w:widowControl/>
        <w:numPr>
          <w:ilvl w:val="0"/>
          <w:numId w:val="1"/>
        </w:numPr>
        <w:suppressAutoHyphens w:val="0"/>
        <w:autoSpaceDE/>
        <w:autoSpaceDN/>
        <w:adjustRightInd w:val="0"/>
        <w:ind w:left="1440" w:hanging="540"/>
        <w:contextualSpacing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  <w:r w:rsidRPr="00E76F81">
        <w:rPr>
          <w:rFonts w:ascii="Arial" w:hAnsi="Arial" w:cs="Arial"/>
          <w:iCs/>
          <w:sz w:val="22"/>
          <w:szCs w:val="22"/>
          <w:lang w:val="es-ES"/>
        </w:rPr>
        <w:t xml:space="preserve">facilitar la investigación sobre los mamíferos marinos, las aves marinas, las tortugas marinas, los condrictios, los peces óseos y otras especies migratorias, así como sobre sus respectivos hábitats, con el fin de comprender mejor cómo las actividades de explotación de minerales en los fondos marinos profundos afectan a la migración y </w:t>
      </w:r>
      <w:r w:rsidR="0055211B">
        <w:rPr>
          <w:rFonts w:ascii="Arial" w:hAnsi="Arial" w:cs="Arial"/>
          <w:iCs/>
          <w:sz w:val="22"/>
          <w:szCs w:val="22"/>
          <w:lang w:val="es-ES"/>
        </w:rPr>
        <w:t>a</w:t>
      </w:r>
      <w:r w:rsidRPr="00E76F81">
        <w:rPr>
          <w:rFonts w:ascii="Arial" w:hAnsi="Arial" w:cs="Arial"/>
          <w:iCs/>
          <w:sz w:val="22"/>
          <w:szCs w:val="22"/>
          <w:lang w:val="es-ES"/>
        </w:rPr>
        <w:t>l comportamiento de los animales, así como a sus presas</w:t>
      </w:r>
      <w:r w:rsidR="00315ECC">
        <w:rPr>
          <w:rFonts w:ascii="Arial" w:hAnsi="Arial" w:cs="Arial"/>
          <w:iCs/>
          <w:sz w:val="22"/>
          <w:szCs w:val="22"/>
          <w:lang w:val="es-ES"/>
        </w:rPr>
        <w:t>.</w:t>
      </w:r>
    </w:p>
    <w:p w14:paraId="68D639F5" w14:textId="77777777" w:rsidR="00315ECC" w:rsidRDefault="00315ECC" w:rsidP="00E406C0">
      <w:pPr>
        <w:suppressAutoHyphens w:val="0"/>
        <w:adjustRightInd w:val="0"/>
        <w:ind w:left="900" w:hanging="90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</w:p>
    <w:p w14:paraId="57EAE168" w14:textId="21EA84B1" w:rsidR="00315ECC" w:rsidRPr="002557A6" w:rsidRDefault="00315ECC" w:rsidP="00E406C0">
      <w:pPr>
        <w:tabs>
          <w:tab w:val="left" w:pos="900"/>
        </w:tabs>
        <w:suppressAutoHyphens w:val="0"/>
        <w:adjustRightInd w:val="0"/>
        <w:ind w:left="851" w:hanging="90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  <w:r>
        <w:rPr>
          <w:rFonts w:ascii="Arial" w:hAnsi="Arial" w:cs="Arial"/>
          <w:iCs/>
          <w:sz w:val="22"/>
          <w:szCs w:val="22"/>
          <w:lang w:val="es-ES"/>
        </w:rPr>
        <w:t>15.BB</w:t>
      </w:r>
      <w:r w:rsidR="00E406C0">
        <w:rPr>
          <w:rFonts w:ascii="Arial" w:hAnsi="Arial" w:cs="Arial"/>
          <w:iCs/>
          <w:sz w:val="22"/>
          <w:szCs w:val="22"/>
          <w:lang w:val="es-ES"/>
        </w:rPr>
        <w:tab/>
      </w:r>
      <w:r w:rsidR="00D35A04" w:rsidRPr="00D35A04">
        <w:rPr>
          <w:rFonts w:ascii="Arial" w:hAnsi="Arial" w:cs="Arial"/>
          <w:iCs/>
          <w:sz w:val="22"/>
          <w:szCs w:val="22"/>
          <w:lang w:val="es-ES"/>
        </w:rPr>
        <w:t>Se insta a las Partes a que apliquen la Resolución 14.6</w:t>
      </w:r>
      <w:r w:rsidR="000C095D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D35A04" w:rsidRPr="000C095D">
        <w:rPr>
          <w:rFonts w:ascii="Arial" w:hAnsi="Arial" w:cs="Arial"/>
          <w:i/>
          <w:sz w:val="22"/>
          <w:szCs w:val="22"/>
          <w:lang w:val="es-ES"/>
        </w:rPr>
        <w:t>Actividades de explotación de minerales de los fondos marinos y especies migratorias</w:t>
      </w:r>
      <w:r w:rsidR="00D35A04" w:rsidRPr="00D35A04">
        <w:rPr>
          <w:rFonts w:ascii="Arial" w:hAnsi="Arial" w:cs="Arial"/>
          <w:iCs/>
          <w:sz w:val="22"/>
          <w:szCs w:val="22"/>
          <w:lang w:val="es-ES"/>
        </w:rPr>
        <w:t>,</w:t>
      </w:r>
      <w:r w:rsidR="000C095D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D35A04" w:rsidRPr="00D35A04">
        <w:rPr>
          <w:rFonts w:ascii="Arial" w:hAnsi="Arial" w:cs="Arial"/>
          <w:iCs/>
          <w:sz w:val="22"/>
          <w:szCs w:val="22"/>
          <w:lang w:val="es-ES"/>
        </w:rPr>
        <w:t>reconociendo los posibles efectos nocivos de dichas actividades.</w:t>
      </w:r>
    </w:p>
    <w:p w14:paraId="47B1E6D6" w14:textId="77777777" w:rsidR="002557A6" w:rsidRPr="002557A6" w:rsidRDefault="002557A6" w:rsidP="00E406C0">
      <w:pPr>
        <w:suppressAutoHyphens w:val="0"/>
        <w:adjustRightInd w:val="0"/>
        <w:ind w:left="720" w:hanging="72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  <w:r w:rsidRPr="002557A6">
        <w:rPr>
          <w:rFonts w:ascii="Arial" w:hAnsi="Arial" w:cs="Arial"/>
          <w:iCs/>
          <w:sz w:val="22"/>
          <w:szCs w:val="22"/>
          <w:lang w:val="es-ES"/>
        </w:rPr>
        <w:tab/>
      </w:r>
    </w:p>
    <w:p w14:paraId="0EF1875F" w14:textId="77777777" w:rsidR="002557A6" w:rsidRPr="002557A6" w:rsidRDefault="002557A6" w:rsidP="00E406C0">
      <w:pPr>
        <w:suppressAutoHyphens w:val="0"/>
        <w:adjustRightInd w:val="0"/>
        <w:jc w:val="both"/>
        <w:textAlignment w:val="auto"/>
        <w:rPr>
          <w:rFonts w:ascii="Arial" w:hAnsi="Arial" w:cs="Arial"/>
          <w:b/>
          <w:bCs/>
          <w:iCs/>
          <w:sz w:val="22"/>
          <w:szCs w:val="22"/>
          <w:lang w:val="es-ES"/>
        </w:rPr>
      </w:pPr>
      <w:r w:rsidRPr="002557A6">
        <w:rPr>
          <w:rFonts w:ascii="Arial" w:hAnsi="Arial" w:cs="Arial"/>
          <w:b/>
          <w:bCs/>
          <w:iCs/>
          <w:sz w:val="22"/>
          <w:szCs w:val="22"/>
          <w:lang w:val="es-ES"/>
        </w:rPr>
        <w:t>Dirigido al Consejo Científico</w:t>
      </w:r>
    </w:p>
    <w:p w14:paraId="62E30301" w14:textId="77777777" w:rsidR="002557A6" w:rsidRPr="002557A6" w:rsidRDefault="002557A6" w:rsidP="00E406C0">
      <w:pPr>
        <w:suppressAutoHyphens w:val="0"/>
        <w:adjustRightInd w:val="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</w:p>
    <w:p w14:paraId="39F71FBF" w14:textId="1D7A6C50" w:rsidR="002557A6" w:rsidRPr="002557A6" w:rsidRDefault="002557A6" w:rsidP="00E406C0">
      <w:pPr>
        <w:suppressAutoHyphens w:val="0"/>
        <w:adjustRightInd w:val="0"/>
        <w:ind w:left="900" w:hanging="900"/>
        <w:jc w:val="both"/>
        <w:textAlignment w:val="auto"/>
        <w:rPr>
          <w:rFonts w:ascii="Arial" w:eastAsiaTheme="minorHAnsi" w:hAnsi="Arial" w:cstheme="minorBidi"/>
          <w:color w:val="000000" w:themeColor="text1"/>
          <w:sz w:val="22"/>
          <w:szCs w:val="22"/>
          <w:lang w:val="es-ES"/>
        </w:rPr>
      </w:pPr>
      <w:r w:rsidRPr="002557A6">
        <w:rPr>
          <w:rFonts w:ascii="Arial" w:hAnsi="Arial" w:cs="Arial"/>
          <w:iCs/>
          <w:sz w:val="22"/>
          <w:szCs w:val="22"/>
          <w:lang w:val="es-ES"/>
        </w:rPr>
        <w:t>15.</w:t>
      </w:r>
      <w:r w:rsidR="003440F1">
        <w:rPr>
          <w:rFonts w:ascii="Arial" w:hAnsi="Arial" w:cs="Arial"/>
          <w:iCs/>
          <w:sz w:val="22"/>
          <w:szCs w:val="22"/>
          <w:lang w:val="es-ES"/>
        </w:rPr>
        <w:t>CC</w:t>
      </w:r>
      <w:r w:rsidRPr="002557A6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2557A6">
        <w:rPr>
          <w:rFonts w:ascii="Arial" w:hAnsi="Arial" w:cs="Arial"/>
          <w:iCs/>
          <w:sz w:val="22"/>
          <w:szCs w:val="22"/>
          <w:lang w:val="es-ES"/>
        </w:rPr>
        <w:tab/>
        <w:t>Se solicita al Consejo Científico que, en función de la disponibilidad de recursos</w:t>
      </w:r>
      <w:r w:rsidRPr="002557A6">
        <w:rPr>
          <w:rFonts w:ascii="Arial" w:eastAsiaTheme="minorHAnsi" w:hAnsi="Arial" w:cs="Arial"/>
          <w:sz w:val="22"/>
          <w:szCs w:val="22"/>
          <w:lang w:val="es-ES"/>
        </w:rPr>
        <w:t>,</w:t>
      </w:r>
      <w:r w:rsidRPr="002557A6">
        <w:rPr>
          <w:rFonts w:ascii="Arial" w:eastAsiaTheme="minorHAnsi" w:hAnsi="Arial" w:cstheme="minorBidi"/>
          <w:color w:val="000000" w:themeColor="text1"/>
          <w:sz w:val="22"/>
          <w:szCs w:val="22"/>
          <w:lang w:val="es-ES"/>
        </w:rPr>
        <w:t xml:space="preserve"> </w:t>
      </w:r>
      <w:r w:rsidR="00B5384F">
        <w:rPr>
          <w:rFonts w:ascii="Arial" w:eastAsiaTheme="minorHAnsi" w:hAnsi="Arial" w:cstheme="minorBidi"/>
          <w:color w:val="000000" w:themeColor="text1"/>
          <w:sz w:val="22"/>
          <w:szCs w:val="22"/>
          <w:lang w:val="es-ES"/>
        </w:rPr>
        <w:t xml:space="preserve">colabore </w:t>
      </w:r>
      <w:r w:rsidR="00B01766">
        <w:rPr>
          <w:rFonts w:ascii="Arial" w:eastAsiaTheme="minorHAnsi" w:hAnsi="Arial" w:cstheme="minorBidi"/>
          <w:color w:val="000000" w:themeColor="text1"/>
          <w:sz w:val="22"/>
          <w:szCs w:val="22"/>
          <w:lang w:val="es-ES"/>
        </w:rPr>
        <w:t xml:space="preserve">con la Autoridad Internacional de los Fondos Marinos (ISA) </w:t>
      </w:r>
      <w:r w:rsidR="004D0EBF">
        <w:rPr>
          <w:rFonts w:ascii="Arial" w:eastAsiaTheme="minorHAnsi" w:hAnsi="Arial" w:cstheme="minorBidi"/>
          <w:color w:val="000000" w:themeColor="text1"/>
          <w:sz w:val="22"/>
          <w:szCs w:val="22"/>
          <w:lang w:val="es-ES"/>
        </w:rPr>
        <w:t xml:space="preserve">para compartir conocimientos y </w:t>
      </w:r>
      <w:r w:rsidR="00F73414">
        <w:rPr>
          <w:rFonts w:ascii="Arial" w:eastAsiaTheme="minorHAnsi" w:hAnsi="Arial" w:cstheme="minorBidi"/>
          <w:color w:val="000000" w:themeColor="text1"/>
          <w:sz w:val="22"/>
          <w:szCs w:val="22"/>
          <w:lang w:val="es-ES"/>
        </w:rPr>
        <w:t>contribuya a la elaboración de</w:t>
      </w:r>
      <w:r w:rsidRPr="002557A6">
        <w:rPr>
          <w:rFonts w:ascii="Arial" w:eastAsiaTheme="minorHAnsi" w:hAnsi="Arial" w:cstheme="minorBidi"/>
          <w:color w:val="000000" w:themeColor="text1"/>
          <w:sz w:val="22"/>
          <w:szCs w:val="22"/>
          <w:lang w:val="es-ES"/>
        </w:rPr>
        <w:t xml:space="preserve"> directrices sobre EIA</w:t>
      </w:r>
      <w:r w:rsidR="00CC44E4">
        <w:rPr>
          <w:rFonts w:ascii="Arial" w:eastAsiaTheme="minorHAnsi" w:hAnsi="Arial" w:cstheme="minorBidi"/>
          <w:color w:val="000000" w:themeColor="text1"/>
          <w:sz w:val="22"/>
          <w:szCs w:val="22"/>
          <w:lang w:val="es-ES"/>
        </w:rPr>
        <w:t xml:space="preserve"> </w:t>
      </w:r>
      <w:r w:rsidR="00C6251D">
        <w:rPr>
          <w:rFonts w:ascii="Arial" w:eastAsiaTheme="minorHAnsi" w:hAnsi="Arial" w:cstheme="minorBidi"/>
          <w:color w:val="000000" w:themeColor="text1"/>
          <w:sz w:val="22"/>
          <w:szCs w:val="22"/>
          <w:lang w:val="es-ES"/>
        </w:rPr>
        <w:t xml:space="preserve">que está preparando la ISA, con el fin de garantizar que en ellas se tengan en cuenta </w:t>
      </w:r>
      <w:r w:rsidR="00605CFB">
        <w:rPr>
          <w:rFonts w:ascii="Arial" w:eastAsiaTheme="minorHAnsi" w:hAnsi="Arial" w:cstheme="minorBidi"/>
          <w:color w:val="000000" w:themeColor="text1"/>
          <w:sz w:val="22"/>
          <w:szCs w:val="22"/>
          <w:lang w:val="es-ES"/>
        </w:rPr>
        <w:t xml:space="preserve">los </w:t>
      </w:r>
      <w:r w:rsidR="00CC44E4">
        <w:rPr>
          <w:rFonts w:ascii="Arial" w:eastAsiaTheme="minorHAnsi" w:hAnsi="Arial" w:cstheme="minorBidi"/>
          <w:color w:val="000000" w:themeColor="text1"/>
          <w:sz w:val="22"/>
          <w:szCs w:val="22"/>
          <w:lang w:val="es-ES"/>
        </w:rPr>
        <w:t>impactos</w:t>
      </w:r>
      <w:r w:rsidR="00605CFB">
        <w:rPr>
          <w:rFonts w:ascii="Arial" w:eastAsiaTheme="minorHAnsi" w:hAnsi="Arial" w:cstheme="minorBidi"/>
          <w:color w:val="000000" w:themeColor="text1"/>
          <w:sz w:val="22"/>
          <w:szCs w:val="22"/>
          <w:lang w:val="es-ES"/>
        </w:rPr>
        <w:t xml:space="preserve"> de </w:t>
      </w:r>
      <w:r w:rsidR="007C25B3">
        <w:rPr>
          <w:rFonts w:ascii="Arial" w:eastAsiaTheme="minorHAnsi" w:hAnsi="Arial" w:cstheme="minorBidi"/>
          <w:color w:val="000000" w:themeColor="text1"/>
          <w:sz w:val="22"/>
          <w:szCs w:val="22"/>
          <w:lang w:val="es-ES"/>
        </w:rPr>
        <w:t>l</w:t>
      </w:r>
      <w:r w:rsidR="00605CFB">
        <w:rPr>
          <w:rFonts w:ascii="Arial" w:eastAsiaTheme="minorHAnsi" w:hAnsi="Arial" w:cstheme="minorBidi"/>
          <w:color w:val="000000" w:themeColor="text1"/>
          <w:sz w:val="22"/>
          <w:szCs w:val="22"/>
          <w:lang w:val="es-ES"/>
        </w:rPr>
        <w:t>as actividades de explotación de minerales en los fondos marinos profundos sobre las especies migratorias, sus presas y sus ecosistemas.</w:t>
      </w:r>
      <w:r w:rsidRPr="002557A6">
        <w:rPr>
          <w:rFonts w:ascii="Arial" w:eastAsiaTheme="minorHAnsi" w:hAnsi="Arial" w:cstheme="minorBidi"/>
          <w:color w:val="000000" w:themeColor="text1"/>
          <w:sz w:val="22"/>
          <w:szCs w:val="22"/>
          <w:lang w:val="es-ES"/>
        </w:rPr>
        <w:t xml:space="preserve"> </w:t>
      </w:r>
    </w:p>
    <w:p w14:paraId="5889A8D1" w14:textId="77777777" w:rsidR="002557A6" w:rsidRPr="002557A6" w:rsidRDefault="002557A6" w:rsidP="00E406C0">
      <w:pPr>
        <w:widowControl/>
        <w:suppressAutoHyphens w:val="0"/>
        <w:autoSpaceDE/>
        <w:autoSpaceDN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341E503D" w14:textId="77777777" w:rsidR="002557A6" w:rsidRPr="002557A6" w:rsidRDefault="002557A6" w:rsidP="00E406C0">
      <w:pPr>
        <w:suppressAutoHyphens w:val="0"/>
        <w:adjustRightInd w:val="0"/>
        <w:jc w:val="both"/>
        <w:textAlignment w:val="auto"/>
        <w:rPr>
          <w:rFonts w:ascii="Arial" w:hAnsi="Arial" w:cs="Arial"/>
          <w:b/>
          <w:bCs/>
          <w:iCs/>
          <w:sz w:val="22"/>
          <w:szCs w:val="22"/>
          <w:lang w:val="es-ES"/>
        </w:rPr>
      </w:pPr>
      <w:r w:rsidRPr="002557A6">
        <w:rPr>
          <w:rFonts w:ascii="Arial" w:hAnsi="Arial" w:cs="Arial"/>
          <w:b/>
          <w:bCs/>
          <w:iCs/>
          <w:sz w:val="22"/>
          <w:szCs w:val="22"/>
          <w:lang w:val="es-ES"/>
        </w:rPr>
        <w:t>Dirigido a la Secretaría</w:t>
      </w:r>
    </w:p>
    <w:p w14:paraId="09F906BC" w14:textId="77777777" w:rsidR="002557A6" w:rsidRPr="002557A6" w:rsidRDefault="002557A6" w:rsidP="00E406C0">
      <w:pPr>
        <w:suppressAutoHyphens w:val="0"/>
        <w:adjustRightInd w:val="0"/>
        <w:jc w:val="both"/>
        <w:textAlignment w:val="auto"/>
        <w:rPr>
          <w:rFonts w:ascii="Arial" w:hAnsi="Arial" w:cs="Arial"/>
          <w:b/>
          <w:bCs/>
          <w:iCs/>
          <w:sz w:val="22"/>
          <w:szCs w:val="22"/>
          <w:lang w:val="es-ES"/>
        </w:rPr>
      </w:pPr>
    </w:p>
    <w:p w14:paraId="31841438" w14:textId="1AA4E05F" w:rsidR="002557A6" w:rsidRPr="002557A6" w:rsidRDefault="002557A6" w:rsidP="00E406C0">
      <w:pPr>
        <w:suppressAutoHyphens w:val="0"/>
        <w:adjustRightInd w:val="0"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2557A6">
        <w:rPr>
          <w:rFonts w:ascii="Arial" w:hAnsi="Arial" w:cs="Arial"/>
          <w:iCs/>
          <w:sz w:val="22"/>
          <w:szCs w:val="22"/>
          <w:lang w:val="es-ES"/>
        </w:rPr>
        <w:t>15.</w:t>
      </w:r>
      <w:r w:rsidR="00677E4A">
        <w:rPr>
          <w:rFonts w:ascii="Arial" w:hAnsi="Arial" w:cs="Arial"/>
          <w:iCs/>
          <w:sz w:val="22"/>
          <w:szCs w:val="22"/>
          <w:lang w:val="es-ES"/>
        </w:rPr>
        <w:t>DD</w:t>
      </w:r>
      <w:r w:rsidRPr="002557A6">
        <w:rPr>
          <w:rFonts w:ascii="Arial" w:hAnsi="Arial" w:cs="Arial"/>
          <w:iCs/>
          <w:sz w:val="22"/>
          <w:szCs w:val="22"/>
          <w:lang w:val="es-ES"/>
        </w:rPr>
        <w:tab/>
      </w:r>
      <w:r w:rsidRPr="002557A6">
        <w:rPr>
          <w:rFonts w:ascii="Arial" w:eastAsiaTheme="minorHAnsi" w:hAnsi="Arial" w:cs="Arial"/>
          <w:sz w:val="22"/>
          <w:szCs w:val="22"/>
          <w:lang w:val="es-ES"/>
        </w:rPr>
        <w:t>La Secretaría deberá:</w:t>
      </w:r>
    </w:p>
    <w:p w14:paraId="33086B7B" w14:textId="77777777" w:rsidR="002557A6" w:rsidRPr="002557A6" w:rsidRDefault="002557A6" w:rsidP="00E406C0">
      <w:pPr>
        <w:suppressAutoHyphens w:val="0"/>
        <w:adjustRightInd w:val="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</w:p>
    <w:p w14:paraId="0039E93B" w14:textId="1BE9C91C" w:rsidR="00A560F5" w:rsidRDefault="006067F5" w:rsidP="00E406C0">
      <w:pPr>
        <w:widowControl/>
        <w:numPr>
          <w:ilvl w:val="1"/>
          <w:numId w:val="2"/>
        </w:numPr>
        <w:suppressAutoHyphens w:val="0"/>
        <w:autoSpaceDE/>
        <w:autoSpaceDN/>
        <w:adjustRightInd w:val="0"/>
        <w:ind w:left="1440" w:hanging="540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>
        <w:rPr>
          <w:rFonts w:ascii="Arial" w:eastAsiaTheme="minorHAnsi" w:hAnsi="Arial" w:cstheme="minorBidi"/>
          <w:sz w:val="22"/>
          <w:szCs w:val="22"/>
          <w:lang w:val="es-ES"/>
        </w:rPr>
        <w:t xml:space="preserve">con el fin de aplicar la Decisión 15.AA b), </w:t>
      </w:r>
      <w:r w:rsidR="007208C2">
        <w:rPr>
          <w:rFonts w:ascii="Arial" w:eastAsiaTheme="minorHAnsi" w:hAnsi="Arial" w:cstheme="minorBidi"/>
          <w:sz w:val="22"/>
          <w:szCs w:val="22"/>
          <w:lang w:val="es-ES"/>
        </w:rPr>
        <w:t xml:space="preserve">publicar </w:t>
      </w:r>
      <w:r w:rsidR="00EE6C9D">
        <w:rPr>
          <w:rFonts w:ascii="Arial" w:eastAsiaTheme="minorHAnsi" w:hAnsi="Arial" w:cstheme="minorBidi"/>
          <w:sz w:val="22"/>
          <w:szCs w:val="22"/>
          <w:lang w:val="es-ES"/>
        </w:rPr>
        <w:t xml:space="preserve">el </w:t>
      </w:r>
      <w:r w:rsidR="00EE6C9D" w:rsidRPr="002B3447">
        <w:rPr>
          <w:rFonts w:ascii="Arial" w:eastAsiaTheme="minorHAnsi" w:hAnsi="Arial" w:cstheme="minorBidi"/>
          <w:sz w:val="22"/>
          <w:szCs w:val="22"/>
          <w:lang w:val="es-ES"/>
        </w:rPr>
        <w:t>informe</w:t>
      </w:r>
      <w:r w:rsidR="00F5276F">
        <w:rPr>
          <w:rFonts w:ascii="Arial" w:eastAsiaTheme="minorHAnsi" w:hAnsi="Arial" w:cstheme="minorBidi"/>
          <w:sz w:val="22"/>
          <w:szCs w:val="22"/>
          <w:lang w:val="es-ES"/>
        </w:rPr>
        <w:t xml:space="preserve"> titulado</w:t>
      </w:r>
      <w:r w:rsidR="00EE6C9D" w:rsidRPr="00E406C0">
        <w:rPr>
          <w:i/>
          <w:iCs/>
          <w:lang w:val="es-ES"/>
        </w:rPr>
        <w:t xml:space="preserve"> </w:t>
      </w:r>
      <w:r w:rsidR="00EE6C9D" w:rsidRPr="000C24D8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 xml:space="preserve">Impactos de la minería en aguas profundas sobre las especies migratorias: </w:t>
      </w:r>
      <w:r w:rsidR="000C24D8" w:rsidRPr="000C24D8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A</w:t>
      </w:r>
      <w:r w:rsidR="00EE6C9D" w:rsidRPr="000C24D8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nálisis y lagunas de conocimiento</w:t>
      </w:r>
      <w:r w:rsidR="00EE6C9D">
        <w:rPr>
          <w:rFonts w:ascii="Arial" w:eastAsiaTheme="minorHAnsi" w:hAnsi="Arial" w:cstheme="minorBidi"/>
          <w:sz w:val="22"/>
          <w:szCs w:val="22"/>
          <w:lang w:val="es-ES"/>
        </w:rPr>
        <w:t xml:space="preserve"> </w:t>
      </w:r>
      <w:r w:rsidR="000C24D8">
        <w:rPr>
          <w:rFonts w:ascii="Arial" w:eastAsiaTheme="minorHAnsi" w:hAnsi="Arial" w:cstheme="minorBidi"/>
          <w:sz w:val="22"/>
          <w:szCs w:val="22"/>
          <w:lang w:val="es-ES"/>
        </w:rPr>
        <w:t>como volumen de la Serie Técnica de la CMS</w:t>
      </w:r>
      <w:r w:rsidR="00535769">
        <w:rPr>
          <w:rFonts w:ascii="Arial" w:eastAsiaTheme="minorHAnsi" w:hAnsi="Arial" w:cstheme="minorBidi"/>
          <w:sz w:val="22"/>
          <w:szCs w:val="22"/>
          <w:lang w:val="es-ES"/>
        </w:rPr>
        <w:t xml:space="preserve">, </w:t>
      </w:r>
      <w:r w:rsidR="00535769">
        <w:rPr>
          <w:rFonts w:ascii="Arial" w:eastAsiaTheme="minorHAnsi" w:hAnsi="Arial" w:cstheme="minorBidi"/>
          <w:sz w:val="22"/>
          <w:szCs w:val="22"/>
          <w:lang w:val="es-ES"/>
        </w:rPr>
        <w:lastRenderedPageBreak/>
        <w:t>excluyendo</w:t>
      </w:r>
      <w:r w:rsidR="003C045F">
        <w:rPr>
          <w:rFonts w:ascii="Arial" w:eastAsiaTheme="minorHAnsi" w:hAnsi="Arial" w:cstheme="minorBidi"/>
          <w:sz w:val="22"/>
          <w:szCs w:val="22"/>
          <w:lang w:val="es-ES"/>
        </w:rPr>
        <w:t xml:space="preserve"> las recomendaciones </w:t>
      </w:r>
      <w:r w:rsidR="0032129C">
        <w:rPr>
          <w:rFonts w:ascii="Arial" w:eastAsiaTheme="minorHAnsi" w:hAnsi="Arial" w:cstheme="minorBidi"/>
          <w:sz w:val="22"/>
          <w:szCs w:val="22"/>
          <w:lang w:val="es-ES"/>
        </w:rPr>
        <w:t>contenidas en</w:t>
      </w:r>
      <w:r w:rsidR="003C045F">
        <w:rPr>
          <w:rFonts w:ascii="Arial" w:eastAsiaTheme="minorHAnsi" w:hAnsi="Arial" w:cstheme="minorBidi"/>
          <w:sz w:val="22"/>
          <w:szCs w:val="22"/>
          <w:lang w:val="es-ES"/>
        </w:rPr>
        <w:t xml:space="preserve"> las páginas 3, 30, 34, 36, 39 y 43, y difundirl</w:t>
      </w:r>
      <w:r w:rsidR="0032129C">
        <w:rPr>
          <w:rFonts w:ascii="Arial" w:eastAsiaTheme="minorHAnsi" w:hAnsi="Arial" w:cstheme="minorBidi"/>
          <w:sz w:val="22"/>
          <w:szCs w:val="22"/>
          <w:lang w:val="es-ES"/>
        </w:rPr>
        <w:t>o</w:t>
      </w:r>
      <w:r w:rsidR="003C045F">
        <w:rPr>
          <w:rFonts w:ascii="Arial" w:eastAsiaTheme="minorHAnsi" w:hAnsi="Arial" w:cstheme="minorBidi"/>
          <w:sz w:val="22"/>
          <w:szCs w:val="22"/>
          <w:lang w:val="es-ES"/>
        </w:rPr>
        <w:t xml:space="preserve"> entre las Partes;</w:t>
      </w:r>
    </w:p>
    <w:p w14:paraId="535B0B73" w14:textId="77777777" w:rsidR="003C045F" w:rsidRDefault="003C045F" w:rsidP="00E406C0">
      <w:pPr>
        <w:widowControl/>
        <w:suppressAutoHyphens w:val="0"/>
        <w:autoSpaceDE/>
        <w:autoSpaceDN/>
        <w:adjustRightInd w:val="0"/>
        <w:ind w:left="1440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65101DEE" w14:textId="0A97C3E3" w:rsidR="002557A6" w:rsidRDefault="00E70214" w:rsidP="00E406C0">
      <w:pPr>
        <w:widowControl/>
        <w:numPr>
          <w:ilvl w:val="1"/>
          <w:numId w:val="2"/>
        </w:numPr>
        <w:suppressAutoHyphens w:val="0"/>
        <w:autoSpaceDE/>
        <w:autoSpaceDN/>
        <w:adjustRightInd w:val="0"/>
        <w:ind w:left="1440" w:hanging="540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>
        <w:rPr>
          <w:rFonts w:ascii="Arial" w:eastAsiaTheme="minorHAnsi" w:hAnsi="Arial" w:cstheme="minorBidi"/>
          <w:sz w:val="22"/>
          <w:szCs w:val="22"/>
          <w:lang w:val="es-ES"/>
        </w:rPr>
        <w:t>con suje</w:t>
      </w:r>
      <w:r w:rsidR="00605119">
        <w:rPr>
          <w:rFonts w:ascii="Arial" w:eastAsiaTheme="minorHAnsi" w:hAnsi="Arial" w:cstheme="minorBidi"/>
          <w:sz w:val="22"/>
          <w:szCs w:val="22"/>
          <w:lang w:val="es-ES"/>
        </w:rPr>
        <w:t xml:space="preserve">ción a la disponibilidad de recursos, </w:t>
      </w:r>
      <w:r w:rsidR="002557A6" w:rsidRPr="002557A6">
        <w:rPr>
          <w:rFonts w:ascii="Arial" w:eastAsiaTheme="minorHAnsi" w:hAnsi="Arial" w:cstheme="minorBidi"/>
          <w:sz w:val="22"/>
          <w:szCs w:val="22"/>
          <w:lang w:val="es-ES"/>
        </w:rPr>
        <w:t xml:space="preserve">seguir colaborando con la ISA y otros organismos pertinentes, según corresponda, para llamar la atención sobre la importancia de las especies migratorias en los </w:t>
      </w:r>
      <w:r w:rsidR="002557A6" w:rsidRPr="002557A6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debates relevantes sobre las actividades de explotación de minerales en los fondos marinos</w:t>
      </w:r>
      <w:r w:rsidR="002557A6" w:rsidRPr="002557A6">
        <w:rPr>
          <w:rFonts w:ascii="Arial" w:eastAsiaTheme="minorHAnsi" w:hAnsi="Arial" w:cstheme="minorBidi"/>
          <w:sz w:val="22"/>
          <w:szCs w:val="22"/>
          <w:lang w:val="es-ES"/>
        </w:rPr>
        <w:t xml:space="preserve"> y para promover la cooperación y el intercambio de datos; y</w:t>
      </w:r>
    </w:p>
    <w:p w14:paraId="561C347D" w14:textId="77777777" w:rsidR="002557A6" w:rsidRDefault="002557A6" w:rsidP="00E406C0">
      <w:pPr>
        <w:widowControl/>
        <w:suppressAutoHyphens w:val="0"/>
        <w:autoSpaceDE/>
        <w:autoSpaceDN/>
        <w:adjustRightInd w:val="0"/>
        <w:ind w:left="1440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7A7D9EF6" w14:textId="29C66312" w:rsidR="00D82C56" w:rsidRPr="002557A6" w:rsidRDefault="002557A6" w:rsidP="00E406C0">
      <w:pPr>
        <w:widowControl/>
        <w:numPr>
          <w:ilvl w:val="1"/>
          <w:numId w:val="2"/>
        </w:numPr>
        <w:suppressAutoHyphens w:val="0"/>
        <w:autoSpaceDE/>
        <w:autoSpaceDN/>
        <w:adjustRightInd w:val="0"/>
        <w:ind w:left="1440" w:hanging="540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2557A6">
        <w:rPr>
          <w:rFonts w:ascii="Arial" w:eastAsiaTheme="minorHAnsi" w:hAnsi="Arial" w:cstheme="minorBidi"/>
          <w:sz w:val="22"/>
          <w:szCs w:val="22"/>
          <w:lang w:val="es-ES"/>
        </w:rPr>
        <w:t>facilitar el trabajo del Consejo Científico según lo indicado en 15.</w:t>
      </w:r>
      <w:r w:rsidR="00EC3533">
        <w:rPr>
          <w:rFonts w:ascii="Arial" w:eastAsiaTheme="minorHAnsi" w:hAnsi="Arial" w:cstheme="minorBidi"/>
          <w:sz w:val="22"/>
          <w:szCs w:val="22"/>
          <w:lang w:val="es-ES"/>
        </w:rPr>
        <w:t>CC</w:t>
      </w:r>
      <w:r w:rsidRPr="002557A6">
        <w:rPr>
          <w:rFonts w:ascii="Arial" w:eastAsiaTheme="minorHAnsi" w:hAnsi="Arial" w:cstheme="minorBidi"/>
          <w:sz w:val="22"/>
          <w:szCs w:val="22"/>
          <w:lang w:val="es-ES"/>
        </w:rPr>
        <w:t>.</w:t>
      </w:r>
    </w:p>
    <w:sectPr w:rsidR="00D82C56" w:rsidRPr="002557A6" w:rsidSect="00AB52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F8D0" w14:textId="77777777" w:rsidR="00EB3F38" w:rsidRDefault="00EB3F38">
      <w:r>
        <w:separator/>
      </w:r>
    </w:p>
  </w:endnote>
  <w:endnote w:type="continuationSeparator" w:id="0">
    <w:p w14:paraId="49F1DFDF" w14:textId="77777777" w:rsidR="00EB3F38" w:rsidRDefault="00EB3F38">
      <w:r>
        <w:continuationSeparator/>
      </w:r>
    </w:p>
  </w:endnote>
  <w:endnote w:type="continuationNotice" w:id="1">
    <w:p w14:paraId="5D8206A1" w14:textId="77777777" w:rsidR="00EB3F38" w:rsidRDefault="00EB3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666A" w14:textId="77777777" w:rsidR="00EB3F38" w:rsidRDefault="00EB3F38">
      <w:r>
        <w:rPr>
          <w:color w:val="000000"/>
        </w:rPr>
        <w:separator/>
      </w:r>
    </w:p>
  </w:footnote>
  <w:footnote w:type="continuationSeparator" w:id="0">
    <w:p w14:paraId="4678726A" w14:textId="77777777" w:rsidR="00EB3F38" w:rsidRDefault="00EB3F38">
      <w:r>
        <w:continuationSeparator/>
      </w:r>
    </w:p>
  </w:footnote>
  <w:footnote w:type="continuationNotice" w:id="1">
    <w:p w14:paraId="077B9284" w14:textId="77777777" w:rsidR="00EB3F38" w:rsidRDefault="00EB3F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AADB" w14:textId="77777777" w:rsidR="00E406C0" w:rsidRPr="00CB498E" w:rsidRDefault="00E406C0" w:rsidP="00E406C0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bCs/>
        <w:i/>
        <w:iCs/>
        <w:sz w:val="18"/>
        <w:szCs w:val="18"/>
        <w:lang w:val="en-GB"/>
      </w:rPr>
    </w:pPr>
    <w:r w:rsidRPr="00CB498E">
      <w:rPr>
        <w:rFonts w:ascii="Arial" w:hAnsi="Arial" w:cs="Arial"/>
        <w:bCs/>
        <w:i/>
        <w:iCs/>
        <w:sz w:val="18"/>
        <w:szCs w:val="18"/>
        <w:lang w:val="en-GB"/>
      </w:rPr>
      <w:t>UNEP/CMS/COP15/CRP</w:t>
    </w:r>
    <w:r>
      <w:rPr>
        <w:rFonts w:ascii="Arial" w:hAnsi="Arial" w:cs="Arial"/>
        <w:bCs/>
        <w:i/>
        <w:iCs/>
        <w:sz w:val="18"/>
        <w:szCs w:val="18"/>
        <w:lang w:val="en-GB"/>
      </w:rPr>
      <w:t>25.2.3</w:t>
    </w:r>
  </w:p>
  <w:p w14:paraId="50B9F4CC" w14:textId="77777777" w:rsidR="0041439A" w:rsidRDefault="0041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3F0B" w14:textId="6EC14FA9" w:rsidR="0041439A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AB5285">
      <w:rPr>
        <w:rFonts w:ascii="Arial" w:hAnsi="Arial" w:cs="Arial"/>
        <w:i/>
        <w:szCs w:val="20"/>
        <w:lang w:val="en-GB"/>
      </w:rPr>
      <w:t>5</w:t>
    </w:r>
    <w:r>
      <w:rPr>
        <w:rFonts w:ascii="Arial" w:hAnsi="Arial" w:cs="Arial"/>
        <w:i/>
        <w:szCs w:val="20"/>
        <w:lang w:val="en-GB"/>
      </w:rPr>
      <w:t>/CRP(Nº)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398" w14:textId="197DB498" w:rsidR="007A1066" w:rsidRPr="00CB498E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CB498E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AB5285" w:rsidRPr="00CB498E">
      <w:rPr>
        <w:rFonts w:ascii="Arial" w:hAnsi="Arial" w:cs="Arial"/>
        <w:bCs/>
        <w:i/>
        <w:iCs/>
        <w:sz w:val="18"/>
        <w:szCs w:val="18"/>
        <w:lang w:val="en-GB"/>
      </w:rPr>
      <w:t>5</w:t>
    </w:r>
    <w:r w:rsidRPr="00CB498E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2557A6">
      <w:rPr>
        <w:rFonts w:ascii="Arial" w:hAnsi="Arial" w:cs="Arial"/>
        <w:bCs/>
        <w:i/>
        <w:iCs/>
        <w:sz w:val="18"/>
        <w:szCs w:val="18"/>
        <w:lang w:val="en-GB"/>
      </w:rPr>
      <w:t>25.2.3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336E9"/>
    <w:multiLevelType w:val="multilevel"/>
    <w:tmpl w:val="23F24A1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5854CD9"/>
    <w:multiLevelType w:val="hybridMultilevel"/>
    <w:tmpl w:val="F86E36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045667">
    <w:abstractNumId w:val="1"/>
  </w:num>
  <w:num w:numId="2" w16cid:durableId="34401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B0D60"/>
    <w:rsid w:val="000C095D"/>
    <w:rsid w:val="000C24D8"/>
    <w:rsid w:val="001125D7"/>
    <w:rsid w:val="00164D92"/>
    <w:rsid w:val="001C6144"/>
    <w:rsid w:val="001F61E5"/>
    <w:rsid w:val="002243FE"/>
    <w:rsid w:val="00227282"/>
    <w:rsid w:val="0022795E"/>
    <w:rsid w:val="002557A6"/>
    <w:rsid w:val="00255972"/>
    <w:rsid w:val="00265973"/>
    <w:rsid w:val="002B3447"/>
    <w:rsid w:val="002E20E9"/>
    <w:rsid w:val="00315ECC"/>
    <w:rsid w:val="0032129C"/>
    <w:rsid w:val="003326F5"/>
    <w:rsid w:val="003440F1"/>
    <w:rsid w:val="003C045F"/>
    <w:rsid w:val="003F1AD8"/>
    <w:rsid w:val="0041439A"/>
    <w:rsid w:val="0043102F"/>
    <w:rsid w:val="00482AA5"/>
    <w:rsid w:val="004D0EBF"/>
    <w:rsid w:val="00530B29"/>
    <w:rsid w:val="00535769"/>
    <w:rsid w:val="0055211B"/>
    <w:rsid w:val="005645C4"/>
    <w:rsid w:val="00565AEB"/>
    <w:rsid w:val="0058757D"/>
    <w:rsid w:val="005D43E4"/>
    <w:rsid w:val="005F0639"/>
    <w:rsid w:val="00605119"/>
    <w:rsid w:val="00605CFB"/>
    <w:rsid w:val="006067F5"/>
    <w:rsid w:val="006244AE"/>
    <w:rsid w:val="006515A2"/>
    <w:rsid w:val="00677E4A"/>
    <w:rsid w:val="007002F1"/>
    <w:rsid w:val="007208C2"/>
    <w:rsid w:val="007A1066"/>
    <w:rsid w:val="007C25B3"/>
    <w:rsid w:val="00851E80"/>
    <w:rsid w:val="00A560F5"/>
    <w:rsid w:val="00A609BF"/>
    <w:rsid w:val="00AA138B"/>
    <w:rsid w:val="00AB5285"/>
    <w:rsid w:val="00B01766"/>
    <w:rsid w:val="00B5384F"/>
    <w:rsid w:val="00B91802"/>
    <w:rsid w:val="00BF1D5E"/>
    <w:rsid w:val="00C0249B"/>
    <w:rsid w:val="00C6251D"/>
    <w:rsid w:val="00C93703"/>
    <w:rsid w:val="00CB498E"/>
    <w:rsid w:val="00CC44E4"/>
    <w:rsid w:val="00D20D4C"/>
    <w:rsid w:val="00D35A04"/>
    <w:rsid w:val="00D50F95"/>
    <w:rsid w:val="00D61140"/>
    <w:rsid w:val="00D82C56"/>
    <w:rsid w:val="00DB2EEB"/>
    <w:rsid w:val="00E406C0"/>
    <w:rsid w:val="00E45B44"/>
    <w:rsid w:val="00E50A26"/>
    <w:rsid w:val="00E70214"/>
    <w:rsid w:val="00E76F81"/>
    <w:rsid w:val="00E808FF"/>
    <w:rsid w:val="00E829C9"/>
    <w:rsid w:val="00E875D9"/>
    <w:rsid w:val="00E941E5"/>
    <w:rsid w:val="00EB3F38"/>
    <w:rsid w:val="00EC3533"/>
    <w:rsid w:val="00EE6C9D"/>
    <w:rsid w:val="00EF37A8"/>
    <w:rsid w:val="00F5276F"/>
    <w:rsid w:val="00F73414"/>
    <w:rsid w:val="00FD2360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315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9F9A8-804D-413C-904D-E79D95222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7BA87E-BDB7-45D0-9CCF-094EAD475F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52</cp:revision>
  <cp:lastPrinted>2020-02-03T15:02:00Z</cp:lastPrinted>
  <dcterms:created xsi:type="dcterms:W3CDTF">2026-03-10T13:04:00Z</dcterms:created>
  <dcterms:modified xsi:type="dcterms:W3CDTF">2026-03-27T02:49:00Z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es</vt:lpwstr>
  </property>
</Properties>
</file>