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CB8D" w14:textId="77777777" w:rsidR="001C081B" w:rsidRPr="00C81231" w:rsidRDefault="001C081B" w:rsidP="001C081B">
      <w:pPr>
        <w:jc w:val="center"/>
        <w:rPr>
          <w:rFonts w:ascii="Arial" w:hAnsi="Arial" w:cs="Arial"/>
          <w:b/>
          <w:bCs/>
          <w:sz w:val="22"/>
          <w:szCs w:val="22"/>
          <w:lang w:val="fr-CH"/>
        </w:rPr>
      </w:pPr>
      <w:r w:rsidRPr="00C81231">
        <w:rPr>
          <w:rFonts w:ascii="Arial" w:hAnsi="Arial" w:cs="Arial"/>
          <w:b/>
          <w:bCs/>
          <w:sz w:val="22"/>
          <w:szCs w:val="22"/>
          <w:lang w:val="fr-CH"/>
        </w:rPr>
        <w:t>EXPLOITATION MINIÈRE DES GRANDS FONDS MARINS</w:t>
      </w:r>
    </w:p>
    <w:p w14:paraId="60C50FAF" w14:textId="77777777" w:rsidR="00AB5285" w:rsidRPr="00C81231" w:rsidRDefault="00AB5285" w:rsidP="00E829C9">
      <w:pPr>
        <w:jc w:val="center"/>
        <w:rPr>
          <w:rFonts w:ascii="Arial" w:hAnsi="Arial" w:cs="Arial"/>
          <w:b/>
          <w:sz w:val="22"/>
          <w:szCs w:val="22"/>
          <w:lang w:val="fr-CH"/>
        </w:rPr>
      </w:pPr>
    </w:p>
    <w:p w14:paraId="77BA811D" w14:textId="54BEFF24" w:rsidR="00D82C56" w:rsidRPr="00C81231" w:rsidRDefault="005D43E4" w:rsidP="00AB5285">
      <w:pPr>
        <w:spacing w:after="120"/>
        <w:jc w:val="center"/>
        <w:rPr>
          <w:rFonts w:ascii="Arial" w:hAnsi="Arial" w:cs="Arial"/>
          <w:sz w:val="22"/>
          <w:szCs w:val="22"/>
          <w:lang w:val="fr-CH"/>
        </w:rPr>
      </w:pPr>
      <w:r w:rsidRPr="00C81231">
        <w:rPr>
          <w:rFonts w:ascii="Arial" w:hAnsi="Arial" w:cs="Arial"/>
          <w:sz w:val="22"/>
          <w:szCs w:val="22"/>
          <w:lang w:val="fr-CH"/>
        </w:rPr>
        <w:t>UNEP/CMS/COP1</w:t>
      </w:r>
      <w:r w:rsidR="00950DA4" w:rsidRPr="00C81231">
        <w:rPr>
          <w:rFonts w:ascii="Arial" w:hAnsi="Arial" w:cs="Arial"/>
          <w:sz w:val="22"/>
          <w:szCs w:val="22"/>
          <w:lang w:val="fr-CH"/>
        </w:rPr>
        <w:t>5</w:t>
      </w:r>
      <w:r w:rsidRPr="00C81231">
        <w:rPr>
          <w:rFonts w:ascii="Arial" w:hAnsi="Arial" w:cs="Arial"/>
          <w:sz w:val="22"/>
          <w:szCs w:val="22"/>
          <w:lang w:val="fr-CH"/>
        </w:rPr>
        <w:t>/Doc.</w:t>
      </w:r>
      <w:r w:rsidR="006821C9" w:rsidRPr="00C81231">
        <w:rPr>
          <w:rFonts w:ascii="Arial" w:hAnsi="Arial" w:cs="Arial"/>
          <w:sz w:val="22"/>
          <w:szCs w:val="22"/>
          <w:lang w:val="fr-CH"/>
        </w:rPr>
        <w:t>25.</w:t>
      </w:r>
      <w:r w:rsidR="001C081B" w:rsidRPr="00C81231">
        <w:rPr>
          <w:rFonts w:ascii="Arial" w:hAnsi="Arial" w:cs="Arial"/>
          <w:sz w:val="22"/>
          <w:szCs w:val="22"/>
          <w:lang w:val="fr-CH"/>
        </w:rPr>
        <w:t>2.3</w:t>
      </w:r>
    </w:p>
    <w:p w14:paraId="73A89732" w14:textId="627C183F" w:rsidR="00D82C56" w:rsidRPr="00C81231" w:rsidRDefault="005D43E4" w:rsidP="00E829C9">
      <w:pPr>
        <w:jc w:val="center"/>
        <w:rPr>
          <w:rFonts w:ascii="Arial" w:hAnsi="Arial" w:cs="Arial"/>
          <w:i/>
          <w:sz w:val="22"/>
          <w:szCs w:val="22"/>
          <w:lang w:val="fr-CH"/>
        </w:rPr>
      </w:pPr>
      <w:r w:rsidRPr="00C81231">
        <w:rPr>
          <w:rFonts w:ascii="Arial" w:hAnsi="Arial" w:cs="Arial"/>
          <w:i/>
          <w:sz w:val="22"/>
          <w:szCs w:val="22"/>
          <w:lang w:val="fr-CH"/>
        </w:rPr>
        <w:t>(</w:t>
      </w:r>
      <w:r w:rsidR="00DC34C5" w:rsidRPr="00C81231">
        <w:rPr>
          <w:rFonts w:ascii="Arial" w:hAnsi="Arial" w:cs="Arial"/>
          <w:i/>
          <w:sz w:val="22"/>
          <w:szCs w:val="22"/>
          <w:lang w:val="fr-CH"/>
        </w:rPr>
        <w:t>Préparé</w:t>
      </w:r>
      <w:r w:rsidR="00EF2BC5" w:rsidRPr="00C81231">
        <w:rPr>
          <w:rFonts w:ascii="Arial" w:hAnsi="Arial" w:cs="Arial"/>
          <w:i/>
          <w:sz w:val="22"/>
          <w:szCs w:val="22"/>
          <w:lang w:val="fr-CH"/>
        </w:rPr>
        <w:t xml:space="preserve"> par</w:t>
      </w:r>
      <w:r w:rsidR="00FD2360" w:rsidRPr="00C81231">
        <w:rPr>
          <w:rFonts w:ascii="Arial" w:hAnsi="Arial" w:cs="Arial"/>
          <w:i/>
          <w:sz w:val="22"/>
          <w:szCs w:val="22"/>
          <w:lang w:val="fr-CH"/>
        </w:rPr>
        <w:t xml:space="preserve"> </w:t>
      </w:r>
      <w:r w:rsidR="00DC34C5" w:rsidRPr="00C81231">
        <w:rPr>
          <w:rFonts w:ascii="Arial" w:hAnsi="Arial" w:cs="Arial"/>
          <w:i/>
          <w:sz w:val="22"/>
          <w:szCs w:val="22"/>
          <w:lang w:val="fr-CH"/>
        </w:rPr>
        <w:t>le Groupe de travail sur les espèces aquatiques</w:t>
      </w:r>
      <w:r w:rsidRPr="00C81231">
        <w:rPr>
          <w:rFonts w:ascii="Arial" w:hAnsi="Arial" w:cs="Arial"/>
          <w:i/>
          <w:sz w:val="22"/>
          <w:szCs w:val="22"/>
          <w:lang w:val="fr-CH"/>
        </w:rPr>
        <w:t>)</w:t>
      </w:r>
    </w:p>
    <w:p w14:paraId="25BD5BFE" w14:textId="77777777" w:rsidR="00D82C56" w:rsidRPr="00C81231" w:rsidRDefault="00D82C56" w:rsidP="00A8579B">
      <w:pPr>
        <w:jc w:val="both"/>
        <w:rPr>
          <w:rFonts w:ascii="Arial" w:hAnsi="Arial" w:cs="Arial"/>
          <w:sz w:val="22"/>
          <w:szCs w:val="22"/>
          <w:lang w:val="fr-CH"/>
        </w:rPr>
      </w:pPr>
    </w:p>
    <w:p w14:paraId="5D88C494" w14:textId="77777777" w:rsidR="007103C8" w:rsidRPr="00C81231" w:rsidRDefault="007103C8" w:rsidP="00A8579B">
      <w:pPr>
        <w:jc w:val="both"/>
        <w:rPr>
          <w:rFonts w:ascii="Arial" w:hAnsi="Arial" w:cs="Arial"/>
          <w:sz w:val="22"/>
          <w:szCs w:val="22"/>
          <w:lang w:val="fr-CH"/>
        </w:rPr>
      </w:pPr>
    </w:p>
    <w:p w14:paraId="11E8CA1F" w14:textId="1C5894BE" w:rsidR="001C081B" w:rsidRPr="00C81231" w:rsidRDefault="001C081B" w:rsidP="001C081B">
      <w:pPr>
        <w:adjustRightInd w:val="0"/>
        <w:jc w:val="center"/>
        <w:rPr>
          <w:rFonts w:ascii="Arial" w:hAnsi="Arial" w:cs="Arial"/>
          <w:sz w:val="22"/>
          <w:szCs w:val="22"/>
          <w:u w:val="single"/>
          <w:lang w:val="fr-CH"/>
        </w:rPr>
      </w:pPr>
      <w:r w:rsidRPr="00C81231">
        <w:rPr>
          <w:rFonts w:ascii="Arial" w:hAnsi="Arial" w:cs="Arial"/>
          <w:sz w:val="22"/>
          <w:szCs w:val="22"/>
          <w:lang w:val="fr-CH"/>
        </w:rPr>
        <w:t>PROJET DE DÉCISION</w:t>
      </w:r>
      <w:r w:rsidR="00DC34C5" w:rsidRPr="00C81231">
        <w:rPr>
          <w:rFonts w:ascii="Arial" w:hAnsi="Arial" w:cs="Arial"/>
          <w:sz w:val="22"/>
          <w:szCs w:val="22"/>
          <w:lang w:val="fr-CH"/>
        </w:rPr>
        <w:t>S</w:t>
      </w:r>
    </w:p>
    <w:p w14:paraId="449A7A00" w14:textId="77777777" w:rsidR="001C081B" w:rsidRPr="00C81231" w:rsidRDefault="001C081B" w:rsidP="001C081B">
      <w:pPr>
        <w:rPr>
          <w:rFonts w:ascii="Arial" w:hAnsi="Arial" w:cs="Arial"/>
          <w:b/>
          <w:bCs/>
          <w:sz w:val="22"/>
          <w:szCs w:val="22"/>
          <w:lang w:val="fr-CH"/>
        </w:rPr>
      </w:pPr>
    </w:p>
    <w:p w14:paraId="75473042" w14:textId="03B3D630" w:rsidR="001C081B" w:rsidRPr="00C81231" w:rsidRDefault="00505E3D" w:rsidP="00DE5FA7">
      <w:pPr>
        <w:adjustRightInd w:val="0"/>
        <w:jc w:val="center"/>
        <w:rPr>
          <w:rFonts w:ascii="Arial" w:hAnsi="Arial" w:cs="Arial"/>
          <w:b/>
          <w:bCs/>
          <w:sz w:val="22"/>
          <w:szCs w:val="22"/>
          <w:lang w:val="fr-CH"/>
        </w:rPr>
      </w:pPr>
      <w:r w:rsidRPr="00C81231">
        <w:rPr>
          <w:rFonts w:ascii="Arial" w:hAnsi="Arial" w:cs="Arial"/>
          <w:b/>
          <w:bCs/>
          <w:sz w:val="22"/>
          <w:szCs w:val="22"/>
          <w:lang w:val="fr-CH"/>
        </w:rPr>
        <w:t>EXPLOITATION MINIÈRE DES GRANDS FONDS MARINS ET ESPÈCES MIGRATRICES</w:t>
      </w:r>
    </w:p>
    <w:p w14:paraId="19C40E8A" w14:textId="77777777" w:rsidR="00505E3D" w:rsidRDefault="00505E3D" w:rsidP="001C081B">
      <w:pPr>
        <w:adjustRightInd w:val="0"/>
        <w:jc w:val="both"/>
        <w:rPr>
          <w:rFonts w:ascii="Arial" w:hAnsi="Arial" w:cs="Arial"/>
          <w:b/>
          <w:bCs/>
          <w:i/>
          <w:sz w:val="22"/>
          <w:szCs w:val="22"/>
          <w:lang w:val="fr-CH"/>
        </w:rPr>
      </w:pPr>
    </w:p>
    <w:p w14:paraId="3C07FB8D" w14:textId="77777777" w:rsidR="007C58AE" w:rsidRPr="00C81231" w:rsidRDefault="007C58AE" w:rsidP="001C081B">
      <w:pPr>
        <w:adjustRightInd w:val="0"/>
        <w:jc w:val="both"/>
        <w:rPr>
          <w:rFonts w:ascii="Arial" w:hAnsi="Arial" w:cs="Arial"/>
          <w:b/>
          <w:bCs/>
          <w:i/>
          <w:sz w:val="22"/>
          <w:szCs w:val="22"/>
          <w:lang w:val="fr-CH"/>
        </w:rPr>
      </w:pPr>
    </w:p>
    <w:p w14:paraId="47134126" w14:textId="4F4B608E" w:rsidR="001C081B" w:rsidRPr="00C81231" w:rsidRDefault="00DC34C5" w:rsidP="001C081B">
      <w:pPr>
        <w:adjustRightInd w:val="0"/>
        <w:jc w:val="both"/>
        <w:rPr>
          <w:rFonts w:ascii="Arial" w:hAnsi="Arial" w:cs="Arial"/>
          <w:b/>
          <w:bCs/>
          <w:i/>
          <w:sz w:val="22"/>
          <w:szCs w:val="22"/>
          <w:lang w:val="fr-CH"/>
        </w:rPr>
      </w:pPr>
      <w:r w:rsidRPr="00C81231">
        <w:rPr>
          <w:rFonts w:ascii="Arial" w:hAnsi="Arial" w:cs="Arial"/>
          <w:b/>
          <w:bCs/>
          <w:i/>
          <w:sz w:val="22"/>
          <w:szCs w:val="22"/>
          <w:lang w:val="fr-CH"/>
        </w:rPr>
        <w:t>À l’adresse des</w:t>
      </w:r>
      <w:r w:rsidR="001C081B" w:rsidRPr="00C81231">
        <w:rPr>
          <w:rFonts w:ascii="Arial" w:hAnsi="Arial" w:cs="Arial"/>
          <w:b/>
          <w:bCs/>
          <w:i/>
          <w:sz w:val="22"/>
          <w:szCs w:val="22"/>
          <w:lang w:val="fr-CH"/>
        </w:rPr>
        <w:t xml:space="preserve"> Parties</w:t>
      </w:r>
    </w:p>
    <w:p w14:paraId="48B71B4E" w14:textId="77777777" w:rsidR="001C081B" w:rsidRPr="00C81231" w:rsidRDefault="001C081B" w:rsidP="001C081B">
      <w:pPr>
        <w:adjustRightInd w:val="0"/>
        <w:jc w:val="both"/>
        <w:rPr>
          <w:rFonts w:ascii="Arial" w:hAnsi="Arial" w:cs="Arial"/>
          <w:b/>
          <w:bCs/>
          <w:iCs/>
          <w:sz w:val="22"/>
          <w:szCs w:val="22"/>
          <w:lang w:val="fr-CH"/>
        </w:rPr>
      </w:pPr>
    </w:p>
    <w:p w14:paraId="339F6AA2" w14:textId="77777777" w:rsidR="001C081B" w:rsidRPr="00C81231" w:rsidRDefault="001C081B" w:rsidP="007C58AE">
      <w:pPr>
        <w:adjustRightInd w:val="0"/>
        <w:ind w:left="851" w:hanging="851"/>
        <w:jc w:val="both"/>
        <w:rPr>
          <w:rFonts w:ascii="Arial" w:hAnsi="Arial" w:cs="Arial"/>
          <w:iCs/>
          <w:sz w:val="22"/>
          <w:szCs w:val="22"/>
          <w:lang w:val="fr-CH"/>
        </w:rPr>
      </w:pPr>
      <w:r w:rsidRPr="00C81231">
        <w:rPr>
          <w:rFonts w:ascii="Arial" w:hAnsi="Arial" w:cs="Arial"/>
          <w:iCs/>
          <w:sz w:val="22"/>
          <w:szCs w:val="22"/>
          <w:lang w:val="fr-CH"/>
        </w:rPr>
        <w:t xml:space="preserve">15.AA </w:t>
      </w:r>
      <w:r w:rsidRPr="00C81231">
        <w:rPr>
          <w:rFonts w:ascii="Arial" w:hAnsi="Arial" w:cs="Arial"/>
          <w:iCs/>
          <w:sz w:val="22"/>
          <w:szCs w:val="22"/>
          <w:lang w:val="fr-CH"/>
        </w:rPr>
        <w:tab/>
        <w:t>Les Parties sont encouragées à :</w:t>
      </w:r>
    </w:p>
    <w:p w14:paraId="05CAA6E4" w14:textId="77777777" w:rsidR="001C081B" w:rsidRPr="00C81231" w:rsidRDefault="001C081B" w:rsidP="007C58AE">
      <w:pPr>
        <w:adjustRightInd w:val="0"/>
        <w:jc w:val="both"/>
        <w:rPr>
          <w:rFonts w:ascii="Arial" w:hAnsi="Arial" w:cs="Arial"/>
          <w:iCs/>
          <w:sz w:val="22"/>
          <w:szCs w:val="22"/>
          <w:lang w:val="fr-CH"/>
        </w:rPr>
      </w:pPr>
    </w:p>
    <w:p w14:paraId="4A712ABB" w14:textId="475A811E" w:rsidR="001C081B" w:rsidRPr="00C81231" w:rsidRDefault="00DC34C5" w:rsidP="007C58AE">
      <w:pPr>
        <w:pStyle w:val="ListParagraph"/>
        <w:widowControl w:val="0"/>
        <w:numPr>
          <w:ilvl w:val="0"/>
          <w:numId w:val="7"/>
        </w:numPr>
        <w:suppressAutoHyphens/>
        <w:autoSpaceDE w:val="0"/>
        <w:autoSpaceDN w:val="0"/>
        <w:adjustRightInd w:val="0"/>
        <w:ind w:left="1418" w:hanging="567"/>
        <w:contextualSpacing w:val="0"/>
        <w:rPr>
          <w:rFonts w:eastAsia="Times New Roman" w:cs="Arial"/>
          <w:iCs/>
          <w:lang w:val="fr-CH"/>
        </w:rPr>
      </w:pPr>
      <w:r w:rsidRPr="00C81231">
        <w:rPr>
          <w:rFonts w:eastAsia="Times New Roman" w:cs="Arial"/>
          <w:iCs/>
          <w:lang w:val="fr-CH"/>
        </w:rPr>
        <w:t xml:space="preserve">prendre note du rapport </w:t>
      </w:r>
      <w:r w:rsidR="00C81231" w:rsidRPr="00C81231">
        <w:rPr>
          <w:rFonts w:eastAsia="Times New Roman" w:cs="Arial"/>
          <w:iCs/>
          <w:lang w:val="fr-CH"/>
        </w:rPr>
        <w:t xml:space="preserve">intitulé </w:t>
      </w:r>
      <w:r w:rsidR="00C81231" w:rsidRPr="00C81231">
        <w:rPr>
          <w:rFonts w:eastAsia="Times New Roman" w:cs="Arial"/>
          <w:i/>
          <w:lang w:val="fr-CH"/>
        </w:rPr>
        <w:t>Impacts of Deep-</w:t>
      </w:r>
      <w:proofErr w:type="spellStart"/>
      <w:r w:rsidR="00C81231" w:rsidRPr="00C81231">
        <w:rPr>
          <w:rFonts w:eastAsia="Times New Roman" w:cs="Arial"/>
          <w:i/>
          <w:lang w:val="fr-CH"/>
        </w:rPr>
        <w:t>sea</w:t>
      </w:r>
      <w:proofErr w:type="spellEnd"/>
      <w:r w:rsidR="00C81231" w:rsidRPr="00C81231">
        <w:rPr>
          <w:rFonts w:eastAsia="Times New Roman" w:cs="Arial"/>
          <w:i/>
          <w:lang w:val="fr-CH"/>
        </w:rPr>
        <w:t xml:space="preserve"> Mining on </w:t>
      </w:r>
      <w:proofErr w:type="spellStart"/>
      <w:r w:rsidR="00C81231" w:rsidRPr="00C81231">
        <w:rPr>
          <w:rFonts w:eastAsia="Times New Roman" w:cs="Arial"/>
          <w:i/>
          <w:lang w:val="fr-CH"/>
        </w:rPr>
        <w:t>Migratory</w:t>
      </w:r>
      <w:proofErr w:type="spellEnd"/>
      <w:r w:rsidR="00C81231" w:rsidRPr="00C81231">
        <w:rPr>
          <w:rFonts w:eastAsia="Times New Roman" w:cs="Arial"/>
          <w:i/>
          <w:lang w:val="fr-CH"/>
        </w:rPr>
        <w:t xml:space="preserve"> </w:t>
      </w:r>
      <w:proofErr w:type="spellStart"/>
      <w:r w:rsidR="00C81231" w:rsidRPr="00C81231">
        <w:rPr>
          <w:rFonts w:eastAsia="Times New Roman" w:cs="Arial"/>
          <w:i/>
          <w:lang w:val="fr-CH"/>
        </w:rPr>
        <w:t>Species</w:t>
      </w:r>
      <w:proofErr w:type="spellEnd"/>
      <w:r w:rsidR="00C81231" w:rsidRPr="00C81231">
        <w:rPr>
          <w:rFonts w:eastAsia="Times New Roman" w:cs="Arial"/>
          <w:i/>
          <w:lang w:val="fr-CH"/>
        </w:rPr>
        <w:t xml:space="preserve">: </w:t>
      </w:r>
      <w:proofErr w:type="spellStart"/>
      <w:r w:rsidR="00C81231" w:rsidRPr="00C81231">
        <w:rPr>
          <w:rFonts w:eastAsia="Times New Roman" w:cs="Arial"/>
          <w:i/>
          <w:lang w:val="fr-CH"/>
        </w:rPr>
        <w:t>Review</w:t>
      </w:r>
      <w:proofErr w:type="spellEnd"/>
      <w:r w:rsidR="00C81231" w:rsidRPr="00C81231">
        <w:rPr>
          <w:rFonts w:eastAsia="Times New Roman" w:cs="Arial"/>
          <w:i/>
          <w:lang w:val="fr-CH"/>
        </w:rPr>
        <w:t xml:space="preserve"> and Knowledge Gaps</w:t>
      </w:r>
      <w:r w:rsidR="00C81231" w:rsidRPr="00C81231">
        <w:rPr>
          <w:rFonts w:eastAsia="Times New Roman" w:cs="Arial"/>
          <w:iCs/>
          <w:lang w:val="fr-CH"/>
        </w:rPr>
        <w:t xml:space="preserve"> (I</w:t>
      </w:r>
      <w:r w:rsidRPr="00C81231">
        <w:rPr>
          <w:rFonts w:eastAsia="Times New Roman" w:cs="Arial"/>
          <w:iCs/>
          <w:lang w:val="fr-CH"/>
        </w:rPr>
        <w:t>mpacts de l’exploitation minière des grands fonds</w:t>
      </w:r>
      <w:r w:rsidRPr="00C81231">
        <w:rPr>
          <w:lang w:val="fr-CH"/>
        </w:rPr>
        <w:t xml:space="preserve"> </w:t>
      </w:r>
      <w:r w:rsidRPr="00C81231">
        <w:rPr>
          <w:rFonts w:eastAsia="Times New Roman" w:cs="Arial"/>
          <w:iCs/>
          <w:lang w:val="fr-CH"/>
        </w:rPr>
        <w:t>marins sur les espèces migratrices : Examen et lacunes en matière de connaissances</w:t>
      </w:r>
      <w:r w:rsidR="001C081B" w:rsidRPr="00C81231">
        <w:rPr>
          <w:rFonts w:cs="Arial"/>
          <w:color w:val="000000"/>
          <w:lang w:val="fr-CH"/>
        </w:rPr>
        <w:t>),</w:t>
      </w:r>
      <w:r w:rsidR="001C081B" w:rsidRPr="00C81231">
        <w:rPr>
          <w:rFonts w:cs="Arial"/>
          <w:i/>
          <w:iCs/>
          <w:color w:val="000000"/>
          <w:lang w:val="fr-CH"/>
        </w:rPr>
        <w:t xml:space="preserve"> </w:t>
      </w:r>
      <w:r w:rsidRPr="00C81231">
        <w:rPr>
          <w:rFonts w:cs="Arial"/>
          <w:color w:val="000000"/>
          <w:lang w:val="fr-CH"/>
        </w:rPr>
        <w:t>contenu</w:t>
      </w:r>
      <w:r w:rsidR="001C081B" w:rsidRPr="00C81231">
        <w:rPr>
          <w:rFonts w:cs="Arial"/>
          <w:color w:val="000000"/>
          <w:lang w:val="fr-CH"/>
        </w:rPr>
        <w:t xml:space="preserve"> dans </w:t>
      </w:r>
      <w:r w:rsidR="001C081B" w:rsidRPr="00C81231">
        <w:rPr>
          <w:rFonts w:cs="Arial"/>
          <w:color w:val="000000" w:themeColor="text1"/>
          <w:lang w:val="fr-CH"/>
        </w:rPr>
        <w:t>l’Annexe </w:t>
      </w:r>
      <w:r w:rsidRPr="00C81231">
        <w:rPr>
          <w:rFonts w:cs="Arial"/>
          <w:color w:val="000000" w:themeColor="text1"/>
          <w:lang w:val="fr-CH"/>
        </w:rPr>
        <w:t xml:space="preserve">1 </w:t>
      </w:r>
      <w:r w:rsidR="001C081B" w:rsidRPr="00C81231">
        <w:rPr>
          <w:rFonts w:cs="Arial"/>
          <w:color w:val="000000"/>
          <w:lang w:val="fr-CH"/>
        </w:rPr>
        <w:t>du document UNEP/CMS/COP15/Doc.25.2.3 ;</w:t>
      </w:r>
    </w:p>
    <w:p w14:paraId="728120B9" w14:textId="77777777" w:rsidR="001C081B" w:rsidRPr="00C81231" w:rsidRDefault="001C081B" w:rsidP="007C58AE">
      <w:pPr>
        <w:adjustRightInd w:val="0"/>
        <w:ind w:left="1418" w:hanging="567"/>
        <w:jc w:val="both"/>
        <w:rPr>
          <w:rFonts w:ascii="Arial" w:hAnsi="Arial" w:cs="Arial"/>
          <w:iCs/>
          <w:sz w:val="22"/>
          <w:szCs w:val="22"/>
          <w:lang w:val="fr-CH"/>
        </w:rPr>
      </w:pPr>
    </w:p>
    <w:p w14:paraId="5ED13C69" w14:textId="2DA22EF9" w:rsidR="001C081B" w:rsidRPr="00C81231" w:rsidRDefault="001C081B" w:rsidP="007C58AE">
      <w:pPr>
        <w:pStyle w:val="ListParagraph"/>
        <w:widowControl w:val="0"/>
        <w:numPr>
          <w:ilvl w:val="0"/>
          <w:numId w:val="7"/>
        </w:numPr>
        <w:suppressAutoHyphens/>
        <w:autoSpaceDE w:val="0"/>
        <w:autoSpaceDN w:val="0"/>
        <w:adjustRightInd w:val="0"/>
        <w:ind w:left="1418" w:hanging="567"/>
        <w:contextualSpacing w:val="0"/>
        <w:rPr>
          <w:rStyle w:val="normaltextrun"/>
          <w:rFonts w:eastAsia="Times New Roman" w:cs="Arial"/>
          <w:iCs/>
          <w:lang w:val="fr-CH"/>
        </w:rPr>
      </w:pPr>
      <w:r w:rsidRPr="00C81231">
        <w:rPr>
          <w:rFonts w:cs="Arial"/>
          <w:color w:val="000000"/>
          <w:lang w:val="fr-CH"/>
        </w:rPr>
        <w:t xml:space="preserve">diffuser le document </w:t>
      </w:r>
      <w:r w:rsidR="00DC34C5" w:rsidRPr="00C81231">
        <w:rPr>
          <w:rFonts w:cs="Arial"/>
          <w:color w:val="000000"/>
          <w:lang w:val="fr-CH"/>
        </w:rPr>
        <w:t xml:space="preserve">de la série technique de la CMS intitulé </w:t>
      </w:r>
      <w:r w:rsidR="00DC34C5" w:rsidRPr="00C81231">
        <w:rPr>
          <w:rFonts w:cs="Arial"/>
          <w:i/>
          <w:iCs/>
          <w:color w:val="000000"/>
          <w:lang w:val="fr-CH"/>
        </w:rPr>
        <w:t>Impacts of Deep-</w:t>
      </w:r>
      <w:proofErr w:type="spellStart"/>
      <w:r w:rsidR="00DC34C5" w:rsidRPr="00C81231">
        <w:rPr>
          <w:rFonts w:cs="Arial"/>
          <w:i/>
          <w:iCs/>
          <w:color w:val="000000"/>
          <w:lang w:val="fr-CH"/>
        </w:rPr>
        <w:t>sea</w:t>
      </w:r>
      <w:proofErr w:type="spellEnd"/>
      <w:r w:rsidR="00DC34C5" w:rsidRPr="00C81231">
        <w:rPr>
          <w:rFonts w:cs="Arial"/>
          <w:i/>
          <w:iCs/>
          <w:color w:val="000000"/>
          <w:lang w:val="fr-CH"/>
        </w:rPr>
        <w:t xml:space="preserve"> Mining on </w:t>
      </w:r>
      <w:proofErr w:type="spellStart"/>
      <w:r w:rsidR="00DC34C5" w:rsidRPr="00C81231">
        <w:rPr>
          <w:rFonts w:cs="Arial"/>
          <w:i/>
          <w:iCs/>
          <w:color w:val="000000"/>
          <w:lang w:val="fr-CH"/>
        </w:rPr>
        <w:t>Migratory</w:t>
      </w:r>
      <w:proofErr w:type="spellEnd"/>
      <w:r w:rsidR="00DC34C5" w:rsidRPr="00C81231">
        <w:rPr>
          <w:rFonts w:cs="Arial"/>
          <w:i/>
          <w:iCs/>
          <w:color w:val="000000"/>
          <w:lang w:val="fr-CH"/>
        </w:rPr>
        <w:t xml:space="preserve"> </w:t>
      </w:r>
      <w:proofErr w:type="spellStart"/>
      <w:r w:rsidR="00DC34C5" w:rsidRPr="00C81231">
        <w:rPr>
          <w:rFonts w:cs="Arial"/>
          <w:i/>
          <w:iCs/>
          <w:color w:val="000000"/>
          <w:lang w:val="fr-CH"/>
        </w:rPr>
        <w:t>Species</w:t>
      </w:r>
      <w:proofErr w:type="spellEnd"/>
      <w:r w:rsidR="00DC34C5" w:rsidRPr="00C81231">
        <w:rPr>
          <w:rFonts w:cs="Arial"/>
          <w:i/>
          <w:iCs/>
          <w:color w:val="000000"/>
          <w:lang w:val="fr-CH"/>
        </w:rPr>
        <w:t xml:space="preserve">: </w:t>
      </w:r>
      <w:proofErr w:type="spellStart"/>
      <w:r w:rsidR="00DC34C5" w:rsidRPr="00C81231">
        <w:rPr>
          <w:rFonts w:cs="Arial"/>
          <w:i/>
          <w:iCs/>
          <w:color w:val="000000"/>
          <w:lang w:val="fr-CH"/>
        </w:rPr>
        <w:t>Review</w:t>
      </w:r>
      <w:proofErr w:type="spellEnd"/>
      <w:r w:rsidR="00DC34C5" w:rsidRPr="00C81231">
        <w:rPr>
          <w:rFonts w:cs="Arial"/>
          <w:i/>
          <w:iCs/>
          <w:color w:val="000000"/>
          <w:lang w:val="fr-CH"/>
        </w:rPr>
        <w:t xml:space="preserve"> and Knowledge Gaps</w:t>
      </w:r>
      <w:r w:rsidR="00DC34C5" w:rsidRPr="00C81231">
        <w:rPr>
          <w:rFonts w:cs="Arial"/>
          <w:color w:val="000000"/>
          <w:lang w:val="fr-CH"/>
        </w:rPr>
        <w:t>, une fois établi par le Secrétariat, comme demandé à l’alinéa a) de la décision 15.DD,</w:t>
      </w:r>
      <w:r w:rsidR="00DC34C5" w:rsidRPr="00C81231">
        <w:rPr>
          <w:rFonts w:cs="Arial"/>
          <w:i/>
          <w:iCs/>
          <w:color w:val="000000"/>
          <w:lang w:val="fr-CH"/>
        </w:rPr>
        <w:t xml:space="preserve"> </w:t>
      </w:r>
      <w:r w:rsidRPr="00C81231">
        <w:rPr>
          <w:rFonts w:cs="Arial"/>
          <w:color w:val="000000"/>
          <w:lang w:val="fr-CH"/>
        </w:rPr>
        <w:t>auprès de tous les services nationaux impliqués dans la prise de décision</w:t>
      </w:r>
      <w:r w:rsidR="00DC34C5" w:rsidRPr="00C81231">
        <w:rPr>
          <w:rFonts w:cs="Arial"/>
          <w:color w:val="000000"/>
          <w:lang w:val="fr-CH"/>
        </w:rPr>
        <w:t>s</w:t>
      </w:r>
      <w:r w:rsidRPr="00C81231">
        <w:rPr>
          <w:rFonts w:cs="Arial"/>
          <w:color w:val="000000"/>
          <w:lang w:val="fr-CH"/>
        </w:rPr>
        <w:t xml:space="preserve"> concernant les activités d’exploitation minière des grands fonds marins</w:t>
      </w:r>
      <w:r w:rsidR="00DC34C5" w:rsidRPr="00C81231">
        <w:rPr>
          <w:rFonts w:cs="Arial"/>
          <w:color w:val="000000"/>
          <w:lang w:val="fr-CH"/>
        </w:rPr>
        <w:t> </w:t>
      </w:r>
      <w:r w:rsidRPr="00C81231">
        <w:rPr>
          <w:rFonts w:cs="Arial"/>
          <w:color w:val="000000"/>
          <w:lang w:val="fr-CH"/>
        </w:rPr>
        <w:t>;</w:t>
      </w:r>
    </w:p>
    <w:p w14:paraId="1C0774DE" w14:textId="77777777" w:rsidR="001C081B" w:rsidRPr="00C81231" w:rsidRDefault="001C081B" w:rsidP="007C58AE">
      <w:pPr>
        <w:pStyle w:val="ListParagraph"/>
        <w:suppressAutoHyphens/>
        <w:ind w:left="1418" w:hanging="567"/>
        <w:contextualSpacing w:val="0"/>
        <w:rPr>
          <w:rStyle w:val="normaltextrun"/>
          <w:rFonts w:eastAsia="Times New Roman" w:cs="Arial"/>
          <w:iCs/>
          <w:lang w:val="fr-CH"/>
        </w:rPr>
      </w:pPr>
    </w:p>
    <w:p w14:paraId="651B31A0" w14:textId="02DB6615" w:rsidR="001C081B" w:rsidRPr="00C81231" w:rsidRDefault="00DC34C5" w:rsidP="007C58AE">
      <w:pPr>
        <w:pStyle w:val="ListParagraph"/>
        <w:widowControl w:val="0"/>
        <w:numPr>
          <w:ilvl w:val="0"/>
          <w:numId w:val="7"/>
        </w:numPr>
        <w:suppressAutoHyphens/>
        <w:autoSpaceDE w:val="0"/>
        <w:autoSpaceDN w:val="0"/>
        <w:adjustRightInd w:val="0"/>
        <w:ind w:left="1418" w:hanging="567"/>
        <w:contextualSpacing w:val="0"/>
        <w:rPr>
          <w:rFonts w:eastAsia="Times New Roman" w:cs="Arial"/>
          <w:iCs/>
          <w:lang w:val="fr-CH"/>
        </w:rPr>
      </w:pPr>
      <w:r w:rsidRPr="00C81231">
        <w:rPr>
          <w:rFonts w:eastAsia="Times New Roman" w:cs="Arial"/>
          <w:iCs/>
          <w:lang w:val="fr-CH"/>
        </w:rPr>
        <w:t>faciliter les futures recherches concernant les mammifères marins, les oiseaux de mer, les tortues marines, les chondrichtyens, les poissons osseux et d’autres espèces migratrices, ainsi que leurs habitats respectifs, afin de mieux comprendre comment les activités d’exploitation minière des grands fonds marins ont un impact sur la migration et le comportement des animaux et leurs proies</w:t>
      </w:r>
      <w:r w:rsidR="001C081B" w:rsidRPr="00C81231">
        <w:rPr>
          <w:rFonts w:eastAsia="Times New Roman" w:cs="Arial"/>
          <w:iCs/>
          <w:lang w:val="fr-CH"/>
        </w:rPr>
        <w:t>.</w:t>
      </w:r>
    </w:p>
    <w:p w14:paraId="5F4BC42E" w14:textId="6DE14F20" w:rsidR="001C081B" w:rsidRPr="00C81231" w:rsidRDefault="001C081B" w:rsidP="007C58AE">
      <w:pPr>
        <w:adjustRightInd w:val="0"/>
        <w:ind w:left="720" w:hanging="720"/>
        <w:jc w:val="both"/>
        <w:rPr>
          <w:rFonts w:ascii="Arial" w:hAnsi="Arial" w:cs="Arial"/>
          <w:iCs/>
          <w:sz w:val="22"/>
          <w:szCs w:val="22"/>
          <w:lang w:val="fr-CH"/>
        </w:rPr>
      </w:pPr>
    </w:p>
    <w:p w14:paraId="6F714522" w14:textId="7244361B" w:rsidR="001C081B" w:rsidRPr="00C81231" w:rsidRDefault="00DC34C5" w:rsidP="007C58AE">
      <w:pPr>
        <w:adjustRightInd w:val="0"/>
        <w:ind w:left="851" w:hanging="851"/>
        <w:jc w:val="both"/>
        <w:rPr>
          <w:rFonts w:ascii="Arial" w:hAnsi="Arial" w:cs="Arial"/>
          <w:iCs/>
          <w:sz w:val="22"/>
          <w:szCs w:val="22"/>
          <w:lang w:val="fr-CH"/>
        </w:rPr>
      </w:pPr>
      <w:r w:rsidRPr="00C81231">
        <w:rPr>
          <w:rFonts w:ascii="Arial" w:hAnsi="Arial" w:cs="Arial"/>
          <w:iCs/>
          <w:sz w:val="22"/>
          <w:szCs w:val="22"/>
          <w:lang w:val="fr-CH"/>
        </w:rPr>
        <w:t>15. BB</w:t>
      </w:r>
      <w:r w:rsidRPr="00C81231">
        <w:rPr>
          <w:rFonts w:ascii="Arial" w:hAnsi="Arial" w:cs="Arial"/>
          <w:iCs/>
          <w:sz w:val="22"/>
          <w:szCs w:val="22"/>
          <w:lang w:val="fr-CH"/>
        </w:rPr>
        <w:tab/>
        <w:t>Les Parties sont instamment priées de mettre en œuvre la résolution</w:t>
      </w:r>
      <w:r w:rsidR="00505E3D" w:rsidRPr="00C81231">
        <w:rPr>
          <w:rFonts w:ascii="Arial" w:hAnsi="Arial" w:cs="Arial"/>
          <w:iCs/>
          <w:sz w:val="22"/>
          <w:szCs w:val="22"/>
          <w:lang w:val="fr-CH"/>
        </w:rPr>
        <w:t> </w:t>
      </w:r>
      <w:r w:rsidRPr="00C81231">
        <w:rPr>
          <w:rFonts w:ascii="Arial" w:hAnsi="Arial" w:cs="Arial"/>
          <w:iCs/>
          <w:sz w:val="22"/>
          <w:szCs w:val="22"/>
          <w:lang w:val="fr-CH"/>
        </w:rPr>
        <w:t xml:space="preserve">14.6 </w:t>
      </w:r>
      <w:r w:rsidRPr="00C81231">
        <w:rPr>
          <w:rFonts w:ascii="Arial" w:hAnsi="Arial" w:cs="Arial"/>
          <w:i/>
          <w:sz w:val="22"/>
          <w:szCs w:val="22"/>
          <w:lang w:val="fr-CH"/>
        </w:rPr>
        <w:t>Activités d’exploitation minière des grands fonds marins et espèces migratrices</w:t>
      </w:r>
      <w:r w:rsidRPr="00C81231">
        <w:rPr>
          <w:rFonts w:ascii="Arial" w:hAnsi="Arial" w:cs="Arial"/>
          <w:iCs/>
          <w:sz w:val="22"/>
          <w:szCs w:val="22"/>
          <w:lang w:val="fr-CH"/>
        </w:rPr>
        <w:t xml:space="preserve">, en </w:t>
      </w:r>
      <w:r w:rsidR="00505E3D" w:rsidRPr="00C81231">
        <w:rPr>
          <w:rFonts w:ascii="Arial" w:hAnsi="Arial" w:cs="Arial"/>
          <w:iCs/>
          <w:sz w:val="22"/>
          <w:szCs w:val="22"/>
          <w:lang w:val="fr-CH"/>
        </w:rPr>
        <w:t>reconnaissant</w:t>
      </w:r>
      <w:r w:rsidRPr="00C81231">
        <w:rPr>
          <w:rFonts w:ascii="Arial" w:hAnsi="Arial" w:cs="Arial"/>
          <w:iCs/>
          <w:sz w:val="22"/>
          <w:szCs w:val="22"/>
          <w:lang w:val="fr-CH"/>
        </w:rPr>
        <w:t xml:space="preserve"> les effets préjudiciables potentiels de telles activités.</w:t>
      </w:r>
    </w:p>
    <w:p w14:paraId="5F839B0B" w14:textId="77777777" w:rsidR="00DC34C5" w:rsidRPr="00C81231" w:rsidRDefault="00DC34C5" w:rsidP="007C58AE">
      <w:pPr>
        <w:adjustRightInd w:val="0"/>
        <w:ind w:left="720" w:hanging="720"/>
        <w:jc w:val="both"/>
        <w:rPr>
          <w:rFonts w:ascii="Arial" w:hAnsi="Arial" w:cs="Arial"/>
          <w:iCs/>
          <w:sz w:val="22"/>
          <w:szCs w:val="22"/>
          <w:lang w:val="fr-CH"/>
        </w:rPr>
      </w:pPr>
    </w:p>
    <w:p w14:paraId="78B1F89E" w14:textId="1EF84D33" w:rsidR="001C081B" w:rsidRPr="00C81231" w:rsidRDefault="00DC34C5" w:rsidP="007C58AE">
      <w:pPr>
        <w:adjustRightInd w:val="0"/>
        <w:jc w:val="both"/>
        <w:rPr>
          <w:rFonts w:ascii="Arial" w:hAnsi="Arial" w:cs="Arial"/>
          <w:b/>
          <w:bCs/>
          <w:iCs/>
          <w:sz w:val="22"/>
          <w:szCs w:val="22"/>
          <w:lang w:val="fr-CH"/>
        </w:rPr>
      </w:pPr>
      <w:r w:rsidRPr="00C81231">
        <w:rPr>
          <w:rFonts w:ascii="Arial" w:hAnsi="Arial" w:cs="Arial"/>
          <w:b/>
          <w:bCs/>
          <w:i/>
          <w:sz w:val="22"/>
          <w:szCs w:val="22"/>
          <w:lang w:val="fr-CH"/>
        </w:rPr>
        <w:t>À l’adresse du</w:t>
      </w:r>
      <w:r w:rsidR="001C081B" w:rsidRPr="00C81231">
        <w:rPr>
          <w:rFonts w:ascii="Arial" w:hAnsi="Arial" w:cs="Arial"/>
          <w:b/>
          <w:bCs/>
          <w:i/>
          <w:sz w:val="22"/>
          <w:szCs w:val="22"/>
          <w:lang w:val="fr-CH"/>
        </w:rPr>
        <w:t xml:space="preserve"> Conseil scientifique</w:t>
      </w:r>
    </w:p>
    <w:p w14:paraId="5E9BB26B" w14:textId="77777777" w:rsidR="001C081B" w:rsidRPr="00C81231" w:rsidRDefault="001C081B" w:rsidP="007C58AE">
      <w:pPr>
        <w:adjustRightInd w:val="0"/>
        <w:jc w:val="both"/>
        <w:rPr>
          <w:rFonts w:ascii="Arial" w:hAnsi="Arial" w:cs="Arial"/>
          <w:iCs/>
          <w:sz w:val="22"/>
          <w:szCs w:val="22"/>
          <w:lang w:val="fr-CH"/>
        </w:rPr>
      </w:pPr>
    </w:p>
    <w:p w14:paraId="488460A6" w14:textId="22EC1083" w:rsidR="001C081B" w:rsidRPr="00C81231" w:rsidRDefault="001C081B" w:rsidP="007C58AE">
      <w:pPr>
        <w:adjustRightInd w:val="0"/>
        <w:ind w:left="851" w:hanging="851"/>
        <w:jc w:val="both"/>
        <w:rPr>
          <w:rFonts w:ascii="Arial" w:hAnsi="Arial" w:cs="Arial"/>
          <w:color w:val="000000" w:themeColor="text1"/>
          <w:sz w:val="22"/>
          <w:szCs w:val="22"/>
          <w:lang w:val="fr-CH"/>
        </w:rPr>
      </w:pPr>
      <w:r w:rsidRPr="00C81231">
        <w:rPr>
          <w:rFonts w:ascii="Arial" w:hAnsi="Arial" w:cs="Arial"/>
          <w:iCs/>
          <w:sz w:val="22"/>
          <w:szCs w:val="22"/>
          <w:lang w:val="fr-CH"/>
        </w:rPr>
        <w:t>15.</w:t>
      </w:r>
      <w:r w:rsidR="00DC34C5" w:rsidRPr="00C81231">
        <w:rPr>
          <w:rFonts w:ascii="Arial" w:hAnsi="Arial" w:cs="Arial"/>
          <w:iCs/>
          <w:sz w:val="22"/>
          <w:szCs w:val="22"/>
          <w:lang w:val="fr-CH"/>
        </w:rPr>
        <w:t xml:space="preserve">CC </w:t>
      </w:r>
      <w:r w:rsidRPr="00C81231">
        <w:rPr>
          <w:rFonts w:ascii="Arial" w:hAnsi="Arial" w:cs="Arial"/>
          <w:iCs/>
          <w:sz w:val="22"/>
          <w:szCs w:val="22"/>
          <w:lang w:val="fr-CH"/>
        </w:rPr>
        <w:tab/>
        <w:t>Le Conseil scientifique est invité, sous réserve de la disponibilité de ressources</w:t>
      </w:r>
      <w:r w:rsidRPr="00C81231">
        <w:rPr>
          <w:rFonts w:ascii="Arial" w:hAnsi="Arial" w:cs="Arial"/>
          <w:sz w:val="22"/>
          <w:szCs w:val="22"/>
          <w:lang w:val="fr-CH"/>
        </w:rPr>
        <w:t>,</w:t>
      </w:r>
      <w:r w:rsidRPr="00C81231">
        <w:rPr>
          <w:rFonts w:ascii="Arial" w:hAnsi="Arial" w:cs="Arial"/>
          <w:color w:val="000000" w:themeColor="text1"/>
          <w:sz w:val="22"/>
          <w:szCs w:val="22"/>
          <w:lang w:val="fr-CH"/>
        </w:rPr>
        <w:t xml:space="preserve"> à </w:t>
      </w:r>
      <w:r w:rsidR="00DC34C5" w:rsidRPr="00C81231">
        <w:rPr>
          <w:rFonts w:ascii="Arial" w:hAnsi="Arial" w:cs="Arial"/>
          <w:color w:val="000000" w:themeColor="text1"/>
          <w:sz w:val="22"/>
          <w:szCs w:val="22"/>
          <w:lang w:val="fr-CH"/>
        </w:rPr>
        <w:t xml:space="preserve">collaborer avec l’Autorité internationale des fonds marins (ISA) pour partager son expertise et à contribuer à l’élaboration </w:t>
      </w:r>
      <w:r w:rsidRPr="00C81231">
        <w:rPr>
          <w:rFonts w:ascii="Arial" w:hAnsi="Arial" w:cs="Arial"/>
          <w:color w:val="000000" w:themeColor="text1"/>
          <w:sz w:val="22"/>
          <w:szCs w:val="22"/>
          <w:lang w:val="fr-CH"/>
        </w:rPr>
        <w:t>des orientations relatives aux évaluations de l’impact sur l’environnement</w:t>
      </w:r>
      <w:r w:rsidR="00DC34C5" w:rsidRPr="00C81231">
        <w:rPr>
          <w:rFonts w:ascii="Arial" w:hAnsi="Arial" w:cs="Arial"/>
          <w:color w:val="000000" w:themeColor="text1"/>
          <w:sz w:val="22"/>
          <w:szCs w:val="22"/>
          <w:lang w:val="fr-CH"/>
        </w:rPr>
        <w:t xml:space="preserve"> </w:t>
      </w:r>
      <w:r w:rsidR="00505E3D" w:rsidRPr="00C81231">
        <w:rPr>
          <w:rFonts w:ascii="Arial" w:hAnsi="Arial" w:cs="Arial"/>
          <w:color w:val="000000" w:themeColor="text1"/>
          <w:sz w:val="22"/>
          <w:szCs w:val="22"/>
          <w:lang w:val="fr-CH"/>
        </w:rPr>
        <w:t xml:space="preserve">déjà engagée </w:t>
      </w:r>
      <w:r w:rsidR="00DC34C5" w:rsidRPr="00C81231">
        <w:rPr>
          <w:rFonts w:ascii="Arial" w:hAnsi="Arial" w:cs="Arial"/>
          <w:color w:val="000000" w:themeColor="text1"/>
          <w:sz w:val="22"/>
          <w:szCs w:val="22"/>
          <w:lang w:val="fr-CH"/>
        </w:rPr>
        <w:t>par l’ISA</w:t>
      </w:r>
      <w:r w:rsidRPr="00C81231">
        <w:rPr>
          <w:rFonts w:ascii="Arial" w:hAnsi="Arial" w:cs="Arial"/>
          <w:color w:val="000000" w:themeColor="text1"/>
          <w:sz w:val="22"/>
          <w:szCs w:val="22"/>
          <w:lang w:val="fr-CH"/>
        </w:rPr>
        <w:t xml:space="preserve">, </w:t>
      </w:r>
      <w:r w:rsidR="00DC34C5" w:rsidRPr="00C81231">
        <w:rPr>
          <w:rFonts w:ascii="Arial" w:hAnsi="Arial" w:cs="Arial"/>
          <w:color w:val="000000" w:themeColor="text1"/>
          <w:sz w:val="22"/>
          <w:szCs w:val="22"/>
          <w:lang w:val="fr-CH"/>
        </w:rPr>
        <w:t xml:space="preserve">afin de garantir </w:t>
      </w:r>
      <w:r w:rsidR="00505E3D" w:rsidRPr="00C81231">
        <w:rPr>
          <w:rFonts w:ascii="Arial" w:hAnsi="Arial" w:cs="Arial"/>
          <w:color w:val="000000" w:themeColor="text1"/>
          <w:sz w:val="22"/>
          <w:szCs w:val="22"/>
          <w:lang w:val="fr-CH"/>
        </w:rPr>
        <w:t>la prise en</w:t>
      </w:r>
      <w:r w:rsidRPr="00C81231">
        <w:rPr>
          <w:rFonts w:ascii="Arial" w:hAnsi="Arial" w:cs="Arial"/>
          <w:color w:val="000000" w:themeColor="text1"/>
          <w:sz w:val="22"/>
          <w:szCs w:val="22"/>
          <w:lang w:val="fr-CH"/>
        </w:rPr>
        <w:t xml:space="preserve"> compte des effets des activités d’exploitation minière des grands fonds marins sur les espèces migratrices, leurs proies et leurs écosystèmes.</w:t>
      </w:r>
    </w:p>
    <w:p w14:paraId="4A64C833" w14:textId="77777777" w:rsidR="001C081B" w:rsidRPr="00C81231" w:rsidRDefault="001C081B" w:rsidP="007C58AE">
      <w:pPr>
        <w:adjustRightInd w:val="0"/>
        <w:jc w:val="both"/>
        <w:rPr>
          <w:rFonts w:ascii="Arial" w:hAnsi="Arial" w:cs="Arial"/>
          <w:b/>
          <w:bCs/>
          <w:iCs/>
          <w:sz w:val="22"/>
          <w:szCs w:val="22"/>
          <w:lang w:val="fr-CH"/>
        </w:rPr>
      </w:pPr>
    </w:p>
    <w:p w14:paraId="07DE153C" w14:textId="5CE80FA9" w:rsidR="007C58AE" w:rsidRDefault="007C58AE" w:rsidP="007C58AE">
      <w:pPr>
        <w:adjustRightInd w:val="0"/>
        <w:jc w:val="both"/>
        <w:rPr>
          <w:rFonts w:ascii="Arial" w:hAnsi="Arial" w:cs="Arial"/>
          <w:b/>
          <w:bCs/>
          <w:iCs/>
          <w:sz w:val="22"/>
          <w:szCs w:val="22"/>
          <w:lang w:val="fr-CH"/>
        </w:rPr>
      </w:pPr>
      <w:r>
        <w:rPr>
          <w:rFonts w:ascii="Arial" w:hAnsi="Arial" w:cs="Arial"/>
          <w:b/>
          <w:bCs/>
          <w:iCs/>
          <w:sz w:val="22"/>
          <w:szCs w:val="22"/>
          <w:lang w:val="fr-CH"/>
        </w:rPr>
        <w:br w:type="page"/>
      </w:r>
    </w:p>
    <w:p w14:paraId="197C9D98" w14:textId="67553AAC" w:rsidR="001C081B" w:rsidRPr="00C81231" w:rsidRDefault="00DC34C5" w:rsidP="007C58AE">
      <w:pPr>
        <w:adjustRightInd w:val="0"/>
        <w:jc w:val="both"/>
        <w:rPr>
          <w:rFonts w:ascii="Arial" w:hAnsi="Arial" w:cs="Arial"/>
          <w:b/>
          <w:bCs/>
          <w:iCs/>
          <w:sz w:val="22"/>
          <w:szCs w:val="22"/>
          <w:lang w:val="fr-CH"/>
        </w:rPr>
      </w:pPr>
      <w:r w:rsidRPr="00C81231">
        <w:rPr>
          <w:rFonts w:ascii="Arial" w:hAnsi="Arial" w:cs="Arial"/>
          <w:b/>
          <w:bCs/>
          <w:i/>
          <w:sz w:val="22"/>
          <w:szCs w:val="22"/>
          <w:lang w:val="fr-CH"/>
        </w:rPr>
        <w:lastRenderedPageBreak/>
        <w:t>À l’adresse du</w:t>
      </w:r>
      <w:r w:rsidR="001C081B" w:rsidRPr="00C81231">
        <w:rPr>
          <w:rFonts w:ascii="Arial" w:hAnsi="Arial" w:cs="Arial"/>
          <w:b/>
          <w:bCs/>
          <w:i/>
          <w:sz w:val="22"/>
          <w:szCs w:val="22"/>
          <w:lang w:val="fr-CH"/>
        </w:rPr>
        <w:t xml:space="preserve"> Secrétariat</w:t>
      </w:r>
    </w:p>
    <w:p w14:paraId="5CB6892A" w14:textId="77777777" w:rsidR="001C081B" w:rsidRPr="00C81231" w:rsidRDefault="001C081B" w:rsidP="007C58AE">
      <w:pPr>
        <w:adjustRightInd w:val="0"/>
        <w:jc w:val="both"/>
        <w:rPr>
          <w:rFonts w:ascii="Arial" w:hAnsi="Arial" w:cs="Arial"/>
          <w:b/>
          <w:bCs/>
          <w:iCs/>
          <w:sz w:val="22"/>
          <w:szCs w:val="22"/>
          <w:lang w:val="fr-CH"/>
        </w:rPr>
      </w:pPr>
    </w:p>
    <w:p w14:paraId="61B8EBE5" w14:textId="09C81FCE" w:rsidR="001C081B" w:rsidRPr="00C81231" w:rsidRDefault="001C081B" w:rsidP="007C58AE">
      <w:pPr>
        <w:adjustRightInd w:val="0"/>
        <w:ind w:left="851" w:hanging="851"/>
        <w:jc w:val="both"/>
        <w:rPr>
          <w:rFonts w:ascii="Arial" w:hAnsi="Arial" w:cs="Arial"/>
          <w:sz w:val="22"/>
          <w:szCs w:val="22"/>
          <w:lang w:val="fr-CH"/>
        </w:rPr>
      </w:pPr>
      <w:r w:rsidRPr="00C81231">
        <w:rPr>
          <w:rFonts w:ascii="Arial" w:hAnsi="Arial" w:cs="Arial"/>
          <w:iCs/>
          <w:sz w:val="22"/>
          <w:szCs w:val="22"/>
          <w:lang w:val="fr-CH"/>
        </w:rPr>
        <w:t>15.</w:t>
      </w:r>
      <w:r w:rsidR="00DC34C5" w:rsidRPr="00C81231">
        <w:rPr>
          <w:rFonts w:ascii="Arial" w:hAnsi="Arial" w:cs="Arial"/>
          <w:iCs/>
          <w:sz w:val="22"/>
          <w:szCs w:val="22"/>
          <w:lang w:val="fr-CH"/>
        </w:rPr>
        <w:t>DD</w:t>
      </w:r>
      <w:r w:rsidR="00DC34C5" w:rsidRPr="00C81231">
        <w:rPr>
          <w:rFonts w:ascii="Arial" w:hAnsi="Arial" w:cs="Arial"/>
          <w:sz w:val="22"/>
          <w:szCs w:val="22"/>
          <w:lang w:val="fr-CH"/>
        </w:rPr>
        <w:t xml:space="preserve"> </w:t>
      </w:r>
      <w:r w:rsidRPr="00C81231">
        <w:rPr>
          <w:rFonts w:ascii="Arial" w:hAnsi="Arial" w:cs="Arial"/>
          <w:sz w:val="22"/>
          <w:szCs w:val="22"/>
          <w:lang w:val="fr-CH"/>
        </w:rPr>
        <w:tab/>
        <w:t>Le Secrétariat :</w:t>
      </w:r>
    </w:p>
    <w:p w14:paraId="0E3E8FA7" w14:textId="77777777" w:rsidR="001C081B" w:rsidRPr="00C81231" w:rsidRDefault="001C081B" w:rsidP="007C58AE">
      <w:pPr>
        <w:adjustRightInd w:val="0"/>
        <w:jc w:val="both"/>
        <w:rPr>
          <w:rFonts w:ascii="Arial" w:hAnsi="Arial" w:cs="Arial"/>
          <w:iCs/>
          <w:sz w:val="22"/>
          <w:szCs w:val="22"/>
          <w:lang w:val="fr-CH"/>
        </w:rPr>
      </w:pPr>
    </w:p>
    <w:p w14:paraId="500995A0" w14:textId="11625862" w:rsidR="00DC34C5" w:rsidRPr="00C81231" w:rsidRDefault="00DC34C5" w:rsidP="007837FC">
      <w:pPr>
        <w:pStyle w:val="ListParagraph"/>
        <w:widowControl w:val="0"/>
        <w:numPr>
          <w:ilvl w:val="1"/>
          <w:numId w:val="8"/>
        </w:numPr>
        <w:suppressAutoHyphens/>
        <w:autoSpaceDE w:val="0"/>
        <w:autoSpaceDN w:val="0"/>
        <w:adjustRightInd w:val="0"/>
        <w:ind w:left="1418" w:hanging="567"/>
        <w:contextualSpacing w:val="0"/>
        <w:rPr>
          <w:rFonts w:cs="Arial"/>
          <w:lang w:val="fr-CH"/>
        </w:rPr>
      </w:pPr>
      <w:r w:rsidRPr="00C81231">
        <w:rPr>
          <w:rFonts w:cs="Arial"/>
          <w:lang w:val="fr-CH"/>
        </w:rPr>
        <w:t xml:space="preserve">afin de mettre en œuvre la décision 15.AA b), rédige un document de la série technique de la CMS </w:t>
      </w:r>
      <w:r w:rsidR="00505E3D" w:rsidRPr="00C81231">
        <w:rPr>
          <w:rFonts w:cs="Arial"/>
          <w:lang w:val="fr-CH"/>
        </w:rPr>
        <w:t>au sujet du rapport intitulé</w:t>
      </w:r>
      <w:r w:rsidRPr="00C81231">
        <w:rPr>
          <w:rFonts w:cs="Arial"/>
          <w:i/>
          <w:iCs/>
          <w:lang w:val="fr-CH"/>
        </w:rPr>
        <w:t xml:space="preserve"> Impacts of Deep-</w:t>
      </w:r>
      <w:proofErr w:type="spellStart"/>
      <w:r w:rsidRPr="00C81231">
        <w:rPr>
          <w:rFonts w:cs="Arial"/>
          <w:i/>
          <w:iCs/>
          <w:lang w:val="fr-CH"/>
        </w:rPr>
        <w:t>sea</w:t>
      </w:r>
      <w:proofErr w:type="spellEnd"/>
      <w:r w:rsidRPr="00C81231">
        <w:rPr>
          <w:rFonts w:cs="Arial"/>
          <w:i/>
          <w:iCs/>
          <w:lang w:val="fr-CH"/>
        </w:rPr>
        <w:t xml:space="preserve"> Mining on </w:t>
      </w:r>
      <w:proofErr w:type="spellStart"/>
      <w:r w:rsidRPr="00C81231">
        <w:rPr>
          <w:rFonts w:cs="Arial"/>
          <w:i/>
          <w:iCs/>
          <w:lang w:val="fr-CH"/>
        </w:rPr>
        <w:t>Migratory</w:t>
      </w:r>
      <w:proofErr w:type="spellEnd"/>
      <w:r w:rsidRPr="00C81231">
        <w:rPr>
          <w:rFonts w:cs="Arial"/>
          <w:i/>
          <w:iCs/>
          <w:lang w:val="fr-CH"/>
        </w:rPr>
        <w:t xml:space="preserve"> </w:t>
      </w:r>
      <w:proofErr w:type="spellStart"/>
      <w:r w:rsidRPr="00C81231">
        <w:rPr>
          <w:rFonts w:cs="Arial"/>
          <w:i/>
          <w:iCs/>
          <w:lang w:val="fr-CH"/>
        </w:rPr>
        <w:t>Species</w:t>
      </w:r>
      <w:proofErr w:type="spellEnd"/>
      <w:r w:rsidRPr="00C81231">
        <w:rPr>
          <w:rFonts w:cs="Arial"/>
          <w:i/>
          <w:iCs/>
          <w:lang w:val="fr-CH"/>
        </w:rPr>
        <w:t xml:space="preserve">: </w:t>
      </w:r>
      <w:proofErr w:type="spellStart"/>
      <w:r w:rsidRPr="00C81231">
        <w:rPr>
          <w:rFonts w:cs="Arial"/>
          <w:i/>
          <w:iCs/>
          <w:lang w:val="fr-CH"/>
        </w:rPr>
        <w:t>Review</w:t>
      </w:r>
      <w:proofErr w:type="spellEnd"/>
      <w:r w:rsidRPr="00C81231">
        <w:rPr>
          <w:rFonts w:cs="Arial"/>
          <w:i/>
          <w:iCs/>
          <w:lang w:val="fr-CH"/>
        </w:rPr>
        <w:t xml:space="preserve"> and Knowledge Gaps </w:t>
      </w:r>
      <w:r w:rsidR="00DE5FA7" w:rsidRPr="00C81231">
        <w:rPr>
          <w:rFonts w:cs="Arial"/>
          <w:lang w:val="fr-CH"/>
        </w:rPr>
        <w:t>sans</w:t>
      </w:r>
      <w:r w:rsidR="007170C9" w:rsidRPr="00C81231">
        <w:rPr>
          <w:rFonts w:cs="Arial"/>
          <w:lang w:val="fr-CH"/>
        </w:rPr>
        <w:t xml:space="preserve"> les recommandations </w:t>
      </w:r>
      <w:r w:rsidR="00DE5FA7" w:rsidRPr="00C81231">
        <w:rPr>
          <w:rFonts w:cs="Arial"/>
          <w:lang w:val="fr-CH"/>
        </w:rPr>
        <w:t>figurant aux</w:t>
      </w:r>
      <w:r w:rsidR="007170C9" w:rsidRPr="00C81231">
        <w:rPr>
          <w:rFonts w:cs="Arial"/>
          <w:lang w:val="fr-CH"/>
        </w:rPr>
        <w:t xml:space="preserve"> pages 3, 30, 34, 36, 39 et 43</w:t>
      </w:r>
      <w:r w:rsidR="00DE5FA7" w:rsidRPr="00C81231">
        <w:rPr>
          <w:rFonts w:cs="Arial"/>
          <w:lang w:val="fr-CH"/>
        </w:rPr>
        <w:t>,</w:t>
      </w:r>
      <w:r w:rsidR="007170C9" w:rsidRPr="00C81231">
        <w:rPr>
          <w:rFonts w:cs="Arial"/>
          <w:lang w:val="fr-CH"/>
        </w:rPr>
        <w:t xml:space="preserve"> et le diffuse auprès des Parties ;</w:t>
      </w:r>
    </w:p>
    <w:p w14:paraId="41655E09" w14:textId="77777777" w:rsidR="007170C9" w:rsidRPr="00C81231" w:rsidRDefault="007170C9" w:rsidP="007837FC">
      <w:pPr>
        <w:pStyle w:val="ListParagraph"/>
        <w:widowControl w:val="0"/>
        <w:suppressAutoHyphens/>
        <w:autoSpaceDE w:val="0"/>
        <w:autoSpaceDN w:val="0"/>
        <w:adjustRightInd w:val="0"/>
        <w:ind w:left="1418" w:hanging="567"/>
        <w:contextualSpacing w:val="0"/>
        <w:rPr>
          <w:rFonts w:cs="Arial"/>
          <w:lang w:val="fr-CH"/>
        </w:rPr>
      </w:pPr>
    </w:p>
    <w:p w14:paraId="1119BCE2" w14:textId="0BE08F01" w:rsidR="001C081B" w:rsidRPr="00C81231" w:rsidRDefault="007170C9" w:rsidP="007837FC">
      <w:pPr>
        <w:pStyle w:val="ListParagraph"/>
        <w:widowControl w:val="0"/>
        <w:numPr>
          <w:ilvl w:val="1"/>
          <w:numId w:val="8"/>
        </w:numPr>
        <w:suppressAutoHyphens/>
        <w:autoSpaceDE w:val="0"/>
        <w:autoSpaceDN w:val="0"/>
        <w:adjustRightInd w:val="0"/>
        <w:ind w:left="1418" w:hanging="567"/>
        <w:contextualSpacing w:val="0"/>
        <w:rPr>
          <w:rFonts w:cs="Arial"/>
          <w:lang w:val="fr-CH"/>
        </w:rPr>
      </w:pPr>
      <w:r w:rsidRPr="00C81231">
        <w:rPr>
          <w:rFonts w:cs="Arial"/>
          <w:lang w:val="fr-CH"/>
        </w:rPr>
        <w:t xml:space="preserve">sous réserve de la disponibilité de ressources, </w:t>
      </w:r>
      <w:r w:rsidR="001C081B" w:rsidRPr="00C81231">
        <w:rPr>
          <w:rFonts w:cs="Arial"/>
          <w:lang w:val="fr-CH"/>
        </w:rPr>
        <w:t xml:space="preserve">continue à collaborer avec l’Autorité internationale des fonds marins et d’autres organismes compétents, le cas échéant, pour sensibiliser à l’importance des espèces migratrices dans les </w:t>
      </w:r>
      <w:r w:rsidR="001C081B" w:rsidRPr="00C81231">
        <w:rPr>
          <w:rFonts w:cs="Arial"/>
          <w:color w:val="000000" w:themeColor="text1"/>
          <w:lang w:val="fr-CH"/>
        </w:rPr>
        <w:t>discussions pertinentes sur les activités d’exploitation minière des grands fonds marins</w:t>
      </w:r>
      <w:r w:rsidR="001C081B" w:rsidRPr="00C81231">
        <w:rPr>
          <w:rFonts w:cs="Arial"/>
          <w:lang w:val="fr-CH"/>
        </w:rPr>
        <w:t xml:space="preserve"> et pour promouvoir la collaboration et l’échange de données ;</w:t>
      </w:r>
    </w:p>
    <w:p w14:paraId="236FDAF5" w14:textId="77777777" w:rsidR="001C081B" w:rsidRPr="00C81231" w:rsidRDefault="001C081B" w:rsidP="007837FC">
      <w:pPr>
        <w:pStyle w:val="ListParagraph"/>
        <w:widowControl w:val="0"/>
        <w:suppressAutoHyphens/>
        <w:autoSpaceDE w:val="0"/>
        <w:autoSpaceDN w:val="0"/>
        <w:adjustRightInd w:val="0"/>
        <w:ind w:left="1418" w:hanging="567"/>
        <w:contextualSpacing w:val="0"/>
        <w:rPr>
          <w:rFonts w:cs="Arial"/>
          <w:lang w:val="fr-CH"/>
        </w:rPr>
      </w:pPr>
    </w:p>
    <w:p w14:paraId="0A053866" w14:textId="5C2105C7" w:rsidR="001C081B" w:rsidRPr="00C81231" w:rsidRDefault="001C081B" w:rsidP="007837FC">
      <w:pPr>
        <w:pStyle w:val="ListParagraph"/>
        <w:widowControl w:val="0"/>
        <w:numPr>
          <w:ilvl w:val="1"/>
          <w:numId w:val="8"/>
        </w:numPr>
        <w:suppressAutoHyphens/>
        <w:autoSpaceDE w:val="0"/>
        <w:autoSpaceDN w:val="0"/>
        <w:adjustRightInd w:val="0"/>
        <w:ind w:left="1418" w:hanging="567"/>
        <w:contextualSpacing w:val="0"/>
        <w:rPr>
          <w:rFonts w:cs="Arial"/>
          <w:lang w:val="fr-FR"/>
        </w:rPr>
      </w:pPr>
      <w:r w:rsidRPr="00C81231">
        <w:rPr>
          <w:rFonts w:cs="Arial"/>
          <w:lang w:val="fr-CH"/>
        </w:rPr>
        <w:t xml:space="preserve">facilite les travaux du Conseil scientifique visés dans la </w:t>
      </w:r>
      <w:r w:rsidR="0039251C">
        <w:rPr>
          <w:rFonts w:cs="Arial"/>
          <w:lang w:val="fr-CH"/>
        </w:rPr>
        <w:t>d</w:t>
      </w:r>
      <w:r w:rsidRPr="00C81231">
        <w:rPr>
          <w:rFonts w:cs="Arial"/>
          <w:lang w:val="fr-CH"/>
        </w:rPr>
        <w:t>écision 15.</w:t>
      </w:r>
      <w:r w:rsidR="007170C9" w:rsidRPr="00C81231">
        <w:rPr>
          <w:rFonts w:cs="Arial"/>
          <w:lang w:val="fr-CH"/>
        </w:rPr>
        <w:t>CC</w:t>
      </w:r>
      <w:r w:rsidRPr="00C81231">
        <w:rPr>
          <w:rFonts w:cs="Arial"/>
          <w:lang w:val="fr-CH"/>
        </w:rPr>
        <w:t>.</w:t>
      </w:r>
    </w:p>
    <w:p w14:paraId="05514E9D" w14:textId="77777777" w:rsidR="001C081B" w:rsidRPr="001C081B" w:rsidRDefault="001C081B" w:rsidP="007C58AE">
      <w:pPr>
        <w:adjustRightInd w:val="0"/>
        <w:jc w:val="both"/>
        <w:rPr>
          <w:rFonts w:ascii="Arial" w:hAnsi="Arial" w:cs="Arial"/>
          <w:i/>
          <w:sz w:val="22"/>
          <w:szCs w:val="22"/>
          <w:lang w:val="fr-FR"/>
        </w:rPr>
      </w:pPr>
    </w:p>
    <w:p w14:paraId="72E9C54B" w14:textId="77777777" w:rsidR="007A5544" w:rsidRPr="007A5544" w:rsidRDefault="007A5544" w:rsidP="007C58AE">
      <w:pPr>
        <w:pStyle w:val="ListParagraph"/>
        <w:suppressAutoHyphens/>
        <w:ind w:left="0"/>
        <w:contextualSpacing w:val="0"/>
        <w:rPr>
          <w:rFonts w:cs="Arial"/>
          <w:lang w:val="fr-FR"/>
        </w:rPr>
      </w:pPr>
    </w:p>
    <w:sectPr w:rsidR="007A5544"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B0D5" w14:textId="77777777" w:rsidR="00BE658A" w:rsidRDefault="00BE658A">
      <w:r>
        <w:separator/>
      </w:r>
    </w:p>
  </w:endnote>
  <w:endnote w:type="continuationSeparator" w:id="0">
    <w:p w14:paraId="17C73F9C" w14:textId="77777777" w:rsidR="00BE658A" w:rsidRDefault="00BE658A">
      <w:r>
        <w:continuationSeparator/>
      </w:r>
    </w:p>
  </w:endnote>
  <w:endnote w:type="continuationNotice" w:id="1">
    <w:p w14:paraId="1B3B3A66" w14:textId="77777777" w:rsidR="00BE658A" w:rsidRDefault="00BE6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21099687"/>
      <w:docPartObj>
        <w:docPartGallery w:val="Page Numbers (Bottom of Page)"/>
        <w:docPartUnique/>
      </w:docPartObj>
    </w:sdtPr>
    <w:sdtEndPr>
      <w:rPr>
        <w:noProof/>
      </w:rPr>
    </w:sdtEndPr>
    <w:sdtContent>
      <w:p w14:paraId="05101A02" w14:textId="77A55E88" w:rsidR="009B03FC" w:rsidRPr="009B03FC" w:rsidRDefault="00BE658A" w:rsidP="009B03FC">
        <w:pPr>
          <w:pStyle w:val="Footer"/>
          <w:jc w:val="center"/>
          <w:rPr>
            <w:rFonts w:ascii="Arial" w:hAnsi="Arial" w:cs="Arial"/>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6420" w14:textId="77777777" w:rsidR="00BE658A" w:rsidRDefault="00BE658A">
      <w:r>
        <w:rPr>
          <w:color w:val="000000"/>
        </w:rPr>
        <w:separator/>
      </w:r>
    </w:p>
  </w:footnote>
  <w:footnote w:type="continuationSeparator" w:id="0">
    <w:p w14:paraId="7EDEF89C" w14:textId="77777777" w:rsidR="00BE658A" w:rsidRDefault="00BE658A">
      <w:r>
        <w:continuationSeparator/>
      </w:r>
    </w:p>
  </w:footnote>
  <w:footnote w:type="continuationNotice" w:id="1">
    <w:p w14:paraId="1EDC85FD" w14:textId="77777777" w:rsidR="00BE658A" w:rsidRDefault="00BE6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AE9CDA8" w:rsidR="0041439A" w:rsidRPr="007C58AE"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7C58AE">
      <w:rPr>
        <w:rFonts w:ascii="Arial" w:hAnsi="Arial" w:cs="Arial"/>
        <w:i/>
        <w:sz w:val="18"/>
        <w:szCs w:val="18"/>
        <w:lang w:val="pt-PT"/>
      </w:rPr>
      <w:t>UNEP/CMS/COP1</w:t>
    </w:r>
    <w:r w:rsidR="00AB5285" w:rsidRPr="007C58AE">
      <w:rPr>
        <w:rFonts w:ascii="Arial" w:hAnsi="Arial" w:cs="Arial"/>
        <w:i/>
        <w:sz w:val="18"/>
        <w:szCs w:val="18"/>
        <w:lang w:val="pt-PT"/>
      </w:rPr>
      <w:t>5</w:t>
    </w:r>
    <w:r w:rsidRPr="007C58AE">
      <w:rPr>
        <w:rFonts w:ascii="Arial" w:hAnsi="Arial" w:cs="Arial"/>
        <w:i/>
        <w:sz w:val="18"/>
        <w:szCs w:val="18"/>
        <w:lang w:val="pt-PT"/>
      </w:rPr>
      <w:t>/CRP</w:t>
    </w:r>
    <w:r w:rsidR="007C58AE" w:rsidRPr="007C58AE">
      <w:rPr>
        <w:rFonts w:ascii="Arial" w:hAnsi="Arial" w:cs="Arial"/>
        <w:i/>
        <w:sz w:val="18"/>
        <w:szCs w:val="18"/>
        <w:lang w:val="pt-PT"/>
      </w:rPr>
      <w:t>25.2.3</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5EC042D" w:rsidR="0041439A" w:rsidRPr="00F52A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620BD8">
      <w:rPr>
        <w:rFonts w:ascii="Arial" w:hAnsi="Arial" w:cs="Arial"/>
        <w:i/>
        <w:szCs w:val="20"/>
        <w:lang w:val="pt-PT"/>
      </w:rPr>
      <w:t>25.1.1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41B58850" w:rsidR="007A1066" w:rsidRPr="00F52A55"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F52A55">
      <w:rPr>
        <w:rFonts w:ascii="Arial" w:hAnsi="Arial" w:cs="Arial"/>
        <w:bCs/>
        <w:i/>
        <w:iCs/>
        <w:sz w:val="18"/>
        <w:szCs w:val="18"/>
        <w:lang w:val="pt-PT"/>
      </w:rPr>
      <w:t>UNEP/CMS/COP1</w:t>
    </w:r>
    <w:r w:rsidR="00AB5285" w:rsidRPr="00F52A55">
      <w:rPr>
        <w:rFonts w:ascii="Arial" w:hAnsi="Arial" w:cs="Arial"/>
        <w:bCs/>
        <w:i/>
        <w:iCs/>
        <w:sz w:val="18"/>
        <w:szCs w:val="18"/>
        <w:lang w:val="pt-PT"/>
      </w:rPr>
      <w:t>5</w:t>
    </w:r>
    <w:r w:rsidRPr="00F52A55">
      <w:rPr>
        <w:rFonts w:ascii="Arial" w:hAnsi="Arial" w:cs="Arial"/>
        <w:bCs/>
        <w:i/>
        <w:iCs/>
        <w:sz w:val="18"/>
        <w:szCs w:val="18"/>
        <w:lang w:val="pt-PT"/>
      </w:rPr>
      <w:t>/CRP</w:t>
    </w:r>
    <w:r w:rsidR="001C081B">
      <w:rPr>
        <w:rFonts w:ascii="Arial" w:hAnsi="Arial" w:cs="Arial"/>
        <w:bCs/>
        <w:i/>
        <w:iCs/>
        <w:sz w:val="18"/>
        <w:szCs w:val="18"/>
        <w:lang w:val="pt-PT"/>
      </w:rPr>
      <w:t>25.2.3</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6336E9"/>
    <w:multiLevelType w:val="multilevel"/>
    <w:tmpl w:val="23F24A1A"/>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54CD9"/>
    <w:multiLevelType w:val="hybridMultilevel"/>
    <w:tmpl w:val="F86E363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6528537">
    <w:abstractNumId w:val="5"/>
  </w:num>
  <w:num w:numId="2" w16cid:durableId="574051727">
    <w:abstractNumId w:val="6"/>
  </w:num>
  <w:num w:numId="3" w16cid:durableId="60773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3"/>
  </w:num>
  <w:num w:numId="5" w16cid:durableId="599720149">
    <w:abstractNumId w:val="0"/>
  </w:num>
  <w:num w:numId="6" w16cid:durableId="1796025329">
    <w:abstractNumId w:val="2"/>
  </w:num>
  <w:num w:numId="7" w16cid:durableId="1561135083">
    <w:abstractNumId w:val="7"/>
  </w:num>
  <w:num w:numId="8" w16cid:durableId="998072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125D7"/>
    <w:rsid w:val="001352BB"/>
    <w:rsid w:val="00142859"/>
    <w:rsid w:val="00154B76"/>
    <w:rsid w:val="00164D92"/>
    <w:rsid w:val="001C081B"/>
    <w:rsid w:val="002243FE"/>
    <w:rsid w:val="00227282"/>
    <w:rsid w:val="0027066C"/>
    <w:rsid w:val="00276113"/>
    <w:rsid w:val="002B6DE7"/>
    <w:rsid w:val="002C5F42"/>
    <w:rsid w:val="0033796E"/>
    <w:rsid w:val="00374549"/>
    <w:rsid w:val="0039251C"/>
    <w:rsid w:val="003B492B"/>
    <w:rsid w:val="003F1AD8"/>
    <w:rsid w:val="0041439A"/>
    <w:rsid w:val="0043102F"/>
    <w:rsid w:val="00505E3D"/>
    <w:rsid w:val="00526D11"/>
    <w:rsid w:val="005645C4"/>
    <w:rsid w:val="0058757D"/>
    <w:rsid w:val="005D43E4"/>
    <w:rsid w:val="005D574F"/>
    <w:rsid w:val="005F0639"/>
    <w:rsid w:val="00620BD8"/>
    <w:rsid w:val="006821C9"/>
    <w:rsid w:val="00687331"/>
    <w:rsid w:val="006D020E"/>
    <w:rsid w:val="007103C8"/>
    <w:rsid w:val="00712A1F"/>
    <w:rsid w:val="007170C9"/>
    <w:rsid w:val="00751AAD"/>
    <w:rsid w:val="007837FC"/>
    <w:rsid w:val="007A1066"/>
    <w:rsid w:val="007A5544"/>
    <w:rsid w:val="007C58AE"/>
    <w:rsid w:val="00857813"/>
    <w:rsid w:val="008676D0"/>
    <w:rsid w:val="00950DA4"/>
    <w:rsid w:val="00960B8C"/>
    <w:rsid w:val="0096699F"/>
    <w:rsid w:val="009B03FC"/>
    <w:rsid w:val="00A8579B"/>
    <w:rsid w:val="00AA138B"/>
    <w:rsid w:val="00AB5285"/>
    <w:rsid w:val="00AE39EA"/>
    <w:rsid w:val="00AE590E"/>
    <w:rsid w:val="00B91802"/>
    <w:rsid w:val="00BE658A"/>
    <w:rsid w:val="00C30C58"/>
    <w:rsid w:val="00C31E29"/>
    <w:rsid w:val="00C62E19"/>
    <w:rsid w:val="00C81231"/>
    <w:rsid w:val="00D416B7"/>
    <w:rsid w:val="00D50F95"/>
    <w:rsid w:val="00D61140"/>
    <w:rsid w:val="00D82C56"/>
    <w:rsid w:val="00DB2EEB"/>
    <w:rsid w:val="00DC34C5"/>
    <w:rsid w:val="00DE5FA7"/>
    <w:rsid w:val="00E1532C"/>
    <w:rsid w:val="00E45B44"/>
    <w:rsid w:val="00E829C9"/>
    <w:rsid w:val="00EF2BC5"/>
    <w:rsid w:val="00F52A55"/>
    <w:rsid w:val="00F56104"/>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character" w:customStyle="1" w:styleId="normaltextrun">
    <w:name w:val="normaltextrun"/>
    <w:basedOn w:val="DefaultParagraphFont"/>
    <w:rsid w:val="001C081B"/>
  </w:style>
  <w:style w:type="paragraph" w:styleId="Revision">
    <w:name w:val="Revision"/>
    <w:hidden/>
    <w:uiPriority w:val="99"/>
    <w:semiHidden/>
    <w:rsid w:val="00DC34C5"/>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7ED9C65-C37B-4D82-AFA5-74AC1EB76CB3}"/>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441</Words>
  <Characters>2517</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10</cp:revision>
  <cp:lastPrinted>2020-02-03T15:02:00Z</cp:lastPrinted>
  <dcterms:created xsi:type="dcterms:W3CDTF">2026-03-27T01:52:00Z</dcterms:created>
  <dcterms:modified xsi:type="dcterms:W3CDTF">2026-03-27T02:56:00Z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