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0047" w14:textId="23B6B7A8" w:rsidR="00D82C56" w:rsidRDefault="00D85D5B" w:rsidP="00E829C9">
      <w:pPr>
        <w:jc w:val="center"/>
        <w:rPr>
          <w:rFonts w:ascii="Arial" w:hAnsi="Arial" w:cs="Arial"/>
          <w:b/>
          <w:sz w:val="22"/>
          <w:szCs w:val="22"/>
          <w:lang w:val="es-ES"/>
        </w:rPr>
      </w:pPr>
      <w:r w:rsidRPr="00D85D5B">
        <w:rPr>
          <w:rFonts w:ascii="Arial" w:hAnsi="Arial" w:cs="Arial"/>
          <w:b/>
          <w:sz w:val="22"/>
          <w:szCs w:val="22"/>
          <w:lang w:val="es-ES"/>
        </w:rPr>
        <w:t>CONTAMINACIÓN MARINA</w:t>
      </w:r>
    </w:p>
    <w:p w14:paraId="60C50FAF" w14:textId="77777777" w:rsidR="00AB5285" w:rsidRPr="0058757D" w:rsidRDefault="00AB5285" w:rsidP="00E829C9">
      <w:pPr>
        <w:jc w:val="center"/>
        <w:rPr>
          <w:rFonts w:ascii="Arial" w:hAnsi="Arial" w:cs="Arial"/>
          <w:b/>
          <w:sz w:val="22"/>
          <w:szCs w:val="22"/>
          <w:lang w:val="es-ES"/>
        </w:rPr>
      </w:pPr>
    </w:p>
    <w:p w14:paraId="77BA811D" w14:textId="7DABD061" w:rsidR="00D82C56" w:rsidRPr="00F12208" w:rsidRDefault="005D43E4" w:rsidP="00AB5285">
      <w:pPr>
        <w:spacing w:after="120"/>
        <w:jc w:val="center"/>
        <w:rPr>
          <w:rFonts w:ascii="Arial" w:hAnsi="Arial" w:cs="Arial"/>
          <w:sz w:val="22"/>
          <w:szCs w:val="22"/>
          <w:lang w:val="es-ES"/>
        </w:rPr>
      </w:pPr>
      <w:r w:rsidRPr="00F12208">
        <w:rPr>
          <w:rFonts w:ascii="Arial" w:hAnsi="Arial" w:cs="Arial"/>
          <w:sz w:val="22"/>
          <w:szCs w:val="22"/>
          <w:lang w:val="es-ES"/>
        </w:rPr>
        <w:t>UNEP/CMS/COP1</w:t>
      </w:r>
      <w:r w:rsidR="00CB498E" w:rsidRPr="00F12208">
        <w:rPr>
          <w:rFonts w:ascii="Arial" w:hAnsi="Arial" w:cs="Arial"/>
          <w:sz w:val="22"/>
          <w:szCs w:val="22"/>
          <w:lang w:val="es-ES"/>
        </w:rPr>
        <w:t>5</w:t>
      </w:r>
      <w:r w:rsidRPr="00F12208">
        <w:rPr>
          <w:rFonts w:ascii="Arial" w:hAnsi="Arial" w:cs="Arial"/>
          <w:sz w:val="22"/>
          <w:szCs w:val="22"/>
          <w:lang w:val="es-ES"/>
        </w:rPr>
        <w:t>/Doc.</w:t>
      </w:r>
      <w:r w:rsidR="00D85D5B" w:rsidRPr="00F12208">
        <w:rPr>
          <w:rFonts w:ascii="Arial" w:hAnsi="Arial" w:cs="Arial"/>
          <w:sz w:val="22"/>
          <w:szCs w:val="22"/>
          <w:lang w:val="es-ES"/>
        </w:rPr>
        <w:t>25.2.1/Rev.1</w:t>
      </w:r>
    </w:p>
    <w:p w14:paraId="73A89732" w14:textId="7140EC5B" w:rsidR="00D82C56" w:rsidRPr="00FD2360" w:rsidRDefault="005D43E4" w:rsidP="00E829C9">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9E2B43">
        <w:rPr>
          <w:rFonts w:ascii="Arial" w:hAnsi="Arial" w:cs="Arial"/>
          <w:i/>
          <w:sz w:val="22"/>
          <w:szCs w:val="22"/>
          <w:lang w:val="es-ES"/>
        </w:rPr>
        <w:t>el Grupo de Trabajo sobre especies acuáticas</w:t>
      </w:r>
      <w:r w:rsidRPr="00FD2360">
        <w:rPr>
          <w:rFonts w:ascii="Arial" w:hAnsi="Arial" w:cs="Arial"/>
          <w:i/>
          <w:sz w:val="22"/>
          <w:szCs w:val="22"/>
          <w:lang w:val="es-ES"/>
        </w:rPr>
        <w:t>)</w:t>
      </w:r>
    </w:p>
    <w:p w14:paraId="25BD5BFE" w14:textId="77777777" w:rsidR="00D82C56" w:rsidRPr="00FD2360" w:rsidRDefault="00D82C56" w:rsidP="00E829C9">
      <w:pPr>
        <w:rPr>
          <w:rFonts w:ascii="Arial" w:hAnsi="Arial" w:cs="Arial"/>
          <w:sz w:val="22"/>
          <w:szCs w:val="22"/>
          <w:lang w:val="es-ES"/>
        </w:rPr>
      </w:pPr>
    </w:p>
    <w:p w14:paraId="223B257D" w14:textId="77777777" w:rsidR="00D85D5B" w:rsidRPr="00D85D5B" w:rsidRDefault="00D85D5B" w:rsidP="00D85D5B">
      <w:pPr>
        <w:pStyle w:val="ListParagraph"/>
        <w:shd w:val="clear" w:color="auto" w:fill="FFFFFF"/>
        <w:spacing w:after="0" w:line="240" w:lineRule="auto"/>
        <w:ind w:left="360"/>
        <w:jc w:val="both"/>
        <w:rPr>
          <w:rFonts w:cs="Arial"/>
          <w:lang w:val="es-ES"/>
        </w:rPr>
      </w:pPr>
    </w:p>
    <w:p w14:paraId="2F2922F5" w14:textId="77777777" w:rsidR="00D85D5B" w:rsidRPr="00D85D5B" w:rsidRDefault="00D85D5B" w:rsidP="00D85D5B">
      <w:pPr>
        <w:adjustRightInd w:val="0"/>
        <w:jc w:val="center"/>
        <w:rPr>
          <w:rFonts w:ascii="Arial" w:hAnsi="Arial" w:cs="Arial"/>
          <w:sz w:val="22"/>
          <w:szCs w:val="22"/>
          <w:lang w:val="es-ES"/>
        </w:rPr>
      </w:pPr>
      <w:r w:rsidRPr="00D85D5B">
        <w:rPr>
          <w:rFonts w:ascii="Arial" w:hAnsi="Arial" w:cs="Arial"/>
          <w:sz w:val="22"/>
          <w:szCs w:val="22"/>
          <w:lang w:val="es-ES"/>
        </w:rPr>
        <w:t>PROYECTO DE RESOLUCIÓN</w:t>
      </w:r>
    </w:p>
    <w:p w14:paraId="582EEBE4" w14:textId="77777777" w:rsidR="00D85D5B" w:rsidRPr="00D85D5B" w:rsidRDefault="00D85D5B" w:rsidP="00D85D5B">
      <w:pPr>
        <w:pBdr>
          <w:top w:val="single" w:sz="6" w:space="0" w:color="FFFFFF"/>
          <w:left w:val="single" w:sz="6" w:space="0" w:color="FFFFFF"/>
          <w:bottom w:val="single" w:sz="6" w:space="0" w:color="FFFFFF"/>
          <w:right w:val="single" w:sz="6" w:space="0" w:color="FFFFFF"/>
        </w:pBdr>
        <w:jc w:val="center"/>
        <w:outlineLvl w:val="1"/>
        <w:rPr>
          <w:rFonts w:ascii="Arial" w:hAnsi="Arial" w:cs="Arial"/>
          <w:b/>
          <w:bCs/>
          <w:sz w:val="22"/>
          <w:szCs w:val="22"/>
          <w:lang w:val="es-ES"/>
        </w:rPr>
      </w:pPr>
    </w:p>
    <w:p w14:paraId="1B1C7055" w14:textId="77777777" w:rsidR="00D85D5B" w:rsidRPr="00D85D5B" w:rsidRDefault="00D85D5B" w:rsidP="00D85D5B">
      <w:pPr>
        <w:jc w:val="center"/>
        <w:rPr>
          <w:rFonts w:ascii="Arial" w:hAnsi="Arial" w:cs="Arial"/>
          <w:b/>
          <w:bCs/>
          <w:sz w:val="22"/>
          <w:szCs w:val="22"/>
          <w:lang w:val="es-ES"/>
        </w:rPr>
      </w:pPr>
      <w:r w:rsidRPr="00D85D5B">
        <w:rPr>
          <w:rFonts w:ascii="Arial" w:hAnsi="Arial" w:cs="Arial"/>
          <w:b/>
          <w:bCs/>
          <w:sz w:val="22"/>
          <w:szCs w:val="22"/>
          <w:lang w:val="es-ES"/>
        </w:rPr>
        <w:t>CONTAMINACIÓN MARINA</w:t>
      </w:r>
    </w:p>
    <w:p w14:paraId="2D0E32F0" w14:textId="77777777" w:rsidR="00D85D5B" w:rsidRPr="00D85D5B" w:rsidRDefault="00D85D5B" w:rsidP="00D85D5B">
      <w:pPr>
        <w:jc w:val="both"/>
        <w:rPr>
          <w:rFonts w:ascii="Arial" w:hAnsi="Arial" w:cs="Arial"/>
          <w:i/>
          <w:iCs/>
          <w:sz w:val="22"/>
          <w:szCs w:val="22"/>
          <w:lang w:val="es-ES"/>
        </w:rPr>
      </w:pPr>
    </w:p>
    <w:p w14:paraId="14C4F4A9" w14:textId="77777777" w:rsidR="00D85D5B" w:rsidRPr="00D85D5B" w:rsidRDefault="00D85D5B" w:rsidP="00D85D5B">
      <w:pPr>
        <w:jc w:val="both"/>
        <w:rPr>
          <w:rFonts w:ascii="Arial" w:hAnsi="Arial" w:cs="Arial"/>
          <w:i/>
          <w:iCs/>
          <w:sz w:val="22"/>
          <w:szCs w:val="22"/>
          <w:lang w:val="es-ES"/>
        </w:rPr>
      </w:pPr>
    </w:p>
    <w:p w14:paraId="62EAB835" w14:textId="7F344681" w:rsidR="00D85D5B" w:rsidRPr="00D85D5B" w:rsidRDefault="00D85D5B" w:rsidP="00D85D5B">
      <w:pPr>
        <w:jc w:val="both"/>
        <w:rPr>
          <w:rFonts w:ascii="Arial" w:hAnsi="Arial" w:cs="Arial"/>
          <w:i/>
          <w:iCs/>
          <w:sz w:val="22"/>
          <w:szCs w:val="22"/>
          <w:lang w:val="es-ES"/>
        </w:rPr>
      </w:pPr>
      <w:r w:rsidRPr="00D85D5B">
        <w:rPr>
          <w:rFonts w:ascii="Arial" w:hAnsi="Arial" w:cs="Arial"/>
          <w:i/>
          <w:iCs/>
          <w:sz w:val="22"/>
          <w:szCs w:val="22"/>
          <w:lang w:val="es-ES"/>
        </w:rPr>
        <w:t xml:space="preserve">Reconociendo </w:t>
      </w:r>
      <w:r w:rsidRPr="00D85D5B">
        <w:rPr>
          <w:rFonts w:ascii="Arial" w:hAnsi="Arial" w:cs="Arial"/>
          <w:sz w:val="22"/>
          <w:szCs w:val="22"/>
          <w:lang w:val="es-ES"/>
        </w:rPr>
        <w:t>que las especies migratorias se enfrentan a múltiples amenazas, potencialmente interactivas, acumulativas o sinérgicas, causadas por la contaminación marina</w:t>
      </w:r>
      <w:r w:rsidR="009E2B43">
        <w:rPr>
          <w:rFonts w:ascii="Arial" w:hAnsi="Arial" w:cs="Arial"/>
          <w:sz w:val="22"/>
          <w:szCs w:val="22"/>
          <w:lang w:val="es-ES"/>
        </w:rPr>
        <w:t xml:space="preserve"> incluyendo la contaminación química y otros tipos de contaminantes</w:t>
      </w:r>
      <w:r w:rsidRPr="00D85D5B">
        <w:rPr>
          <w:rFonts w:ascii="Arial" w:hAnsi="Arial" w:cs="Arial"/>
          <w:sz w:val="22"/>
          <w:szCs w:val="22"/>
          <w:lang w:val="es-ES"/>
        </w:rPr>
        <w:t xml:space="preserve"> con posibles efectos a gran escala,</w:t>
      </w:r>
      <w:r w:rsidRPr="00D85D5B">
        <w:rPr>
          <w:rFonts w:ascii="Arial" w:hAnsi="Arial" w:cs="Arial"/>
          <w:i/>
          <w:iCs/>
          <w:sz w:val="22"/>
          <w:szCs w:val="22"/>
          <w:lang w:val="es-ES"/>
        </w:rPr>
        <w:t xml:space="preserve"> </w:t>
      </w:r>
    </w:p>
    <w:p w14:paraId="61A9A7A9" w14:textId="77777777" w:rsidR="00D85D5B" w:rsidRPr="00D85D5B" w:rsidRDefault="00D85D5B" w:rsidP="00D85D5B">
      <w:pPr>
        <w:jc w:val="both"/>
        <w:rPr>
          <w:rFonts w:ascii="Arial" w:hAnsi="Arial" w:cs="Arial"/>
          <w:sz w:val="22"/>
          <w:szCs w:val="22"/>
          <w:lang w:val="es-ES"/>
        </w:rPr>
      </w:pPr>
    </w:p>
    <w:p w14:paraId="4491F980" w14:textId="5F64607A" w:rsidR="00D85D5B" w:rsidRPr="00D85D5B" w:rsidRDefault="00D85D5B" w:rsidP="00D85D5B">
      <w:pPr>
        <w:jc w:val="both"/>
        <w:rPr>
          <w:rFonts w:ascii="Arial" w:hAnsi="Arial" w:cs="Arial"/>
          <w:sz w:val="22"/>
          <w:szCs w:val="22"/>
          <w:lang w:val="es-ES"/>
        </w:rPr>
      </w:pPr>
      <w:r w:rsidRPr="00D85D5B">
        <w:rPr>
          <w:rFonts w:ascii="Arial" w:hAnsi="Arial" w:cs="Arial"/>
          <w:i/>
          <w:iCs/>
          <w:sz w:val="22"/>
          <w:szCs w:val="22"/>
          <w:lang w:val="es-ES"/>
        </w:rPr>
        <w:t>Teniendo presente</w:t>
      </w:r>
      <w:r w:rsidRPr="00D85D5B">
        <w:rPr>
          <w:rFonts w:ascii="Arial" w:hAnsi="Arial" w:cs="Arial"/>
          <w:sz w:val="22"/>
          <w:szCs w:val="22"/>
          <w:lang w:val="es-ES"/>
        </w:rPr>
        <w:t xml:space="preserve"> que la contaminación es reconocida por las Naciones Unidas como una </w:t>
      </w:r>
      <w:r w:rsidR="00FE5C43">
        <w:rPr>
          <w:rFonts w:ascii="Arial" w:hAnsi="Arial" w:cs="Arial"/>
          <w:sz w:val="22"/>
          <w:szCs w:val="22"/>
          <w:lang w:val="es-ES"/>
        </w:rPr>
        <w:t xml:space="preserve">de las múltiples crisis </w:t>
      </w:r>
      <w:r w:rsidRPr="00D85D5B">
        <w:rPr>
          <w:rFonts w:ascii="Arial" w:hAnsi="Arial" w:cs="Arial"/>
          <w:sz w:val="22"/>
          <w:szCs w:val="22"/>
          <w:lang w:val="es-ES"/>
        </w:rPr>
        <w:t>que afecta gravemente a nuestro planeta y sus especies silvestres,</w:t>
      </w:r>
    </w:p>
    <w:p w14:paraId="2F1D8E0D" w14:textId="77777777" w:rsidR="00D85D5B" w:rsidRPr="00D85D5B" w:rsidRDefault="00D85D5B" w:rsidP="00D85D5B">
      <w:pPr>
        <w:jc w:val="both"/>
        <w:rPr>
          <w:rFonts w:ascii="Arial" w:hAnsi="Arial" w:cs="Arial"/>
          <w:sz w:val="22"/>
          <w:szCs w:val="22"/>
          <w:lang w:val="es-ES"/>
        </w:rPr>
      </w:pPr>
    </w:p>
    <w:p w14:paraId="1BDF4771" w14:textId="057A26E0" w:rsidR="00D85D5B" w:rsidRPr="00D85D5B" w:rsidRDefault="00D85D5B" w:rsidP="00D85D5B">
      <w:pPr>
        <w:jc w:val="both"/>
        <w:rPr>
          <w:rFonts w:ascii="Arial" w:hAnsi="Arial" w:cs="Arial"/>
          <w:sz w:val="22"/>
          <w:szCs w:val="22"/>
          <w:lang w:val="es-ES"/>
        </w:rPr>
      </w:pPr>
      <w:r w:rsidRPr="00D85D5B">
        <w:rPr>
          <w:rFonts w:ascii="Arial" w:hAnsi="Arial" w:cs="Arial"/>
          <w:i/>
          <w:iCs/>
          <w:sz w:val="22"/>
          <w:szCs w:val="22"/>
          <w:lang w:val="es-ES"/>
        </w:rPr>
        <w:t>Observando con preocupación</w:t>
      </w:r>
      <w:r w:rsidRPr="00D85D5B">
        <w:rPr>
          <w:rFonts w:ascii="Arial" w:hAnsi="Arial" w:cs="Arial"/>
          <w:sz w:val="22"/>
          <w:szCs w:val="22"/>
          <w:lang w:val="es-ES"/>
        </w:rPr>
        <w:t xml:space="preserve"> la amplia presencia e impactos de la contaminación química, incluidos</w:t>
      </w:r>
      <w:r w:rsidR="00FE5C43">
        <w:rPr>
          <w:rFonts w:ascii="Arial" w:hAnsi="Arial" w:cs="Arial"/>
          <w:sz w:val="22"/>
          <w:szCs w:val="22"/>
          <w:lang w:val="es-ES"/>
        </w:rPr>
        <w:t>, entre otros,</w:t>
      </w:r>
      <w:r w:rsidRPr="00D85D5B">
        <w:rPr>
          <w:rFonts w:ascii="Arial" w:hAnsi="Arial" w:cs="Arial"/>
          <w:sz w:val="22"/>
          <w:szCs w:val="22"/>
          <w:lang w:val="es-ES"/>
        </w:rPr>
        <w:t xml:space="preserve"> los contaminantes orgánicos persistentes (COP), los metales tóxicos, los antibióticos, los plaguicidas, los productos farmacéuticos y de cuidado personal (PPCP),</w:t>
      </w:r>
      <w:r w:rsidR="00FE5C43">
        <w:rPr>
          <w:rFonts w:ascii="Arial" w:hAnsi="Arial" w:cs="Arial"/>
          <w:sz w:val="22"/>
          <w:szCs w:val="22"/>
          <w:lang w:val="es-ES"/>
        </w:rPr>
        <w:t xml:space="preserve"> la contaminación por plásticos,</w:t>
      </w:r>
      <w:r w:rsidRPr="00D85D5B">
        <w:rPr>
          <w:rFonts w:ascii="Arial" w:hAnsi="Arial" w:cs="Arial"/>
          <w:sz w:val="22"/>
          <w:szCs w:val="22"/>
          <w:lang w:val="es-ES"/>
        </w:rPr>
        <w:t xml:space="preserve"> así como la contaminación causada por nutrientes,</w:t>
      </w:r>
      <w:r w:rsidR="00FE5C43">
        <w:rPr>
          <w:rFonts w:ascii="Arial" w:hAnsi="Arial" w:cs="Arial"/>
          <w:sz w:val="22"/>
          <w:szCs w:val="22"/>
          <w:lang w:val="es-ES"/>
        </w:rPr>
        <w:t xml:space="preserve"> la liberación de contaminantes procedentes de </w:t>
      </w:r>
      <w:r w:rsidRPr="00D85D5B">
        <w:rPr>
          <w:rFonts w:ascii="Arial" w:hAnsi="Arial" w:cs="Arial"/>
          <w:sz w:val="22"/>
          <w:szCs w:val="22"/>
          <w:lang w:val="es-ES"/>
        </w:rPr>
        <w:t>sedimentos, aguas residuales</w:t>
      </w:r>
      <w:r w:rsidR="00FE5C43">
        <w:rPr>
          <w:rFonts w:ascii="Arial" w:hAnsi="Arial" w:cs="Arial"/>
          <w:sz w:val="22"/>
          <w:szCs w:val="22"/>
          <w:lang w:val="es-ES"/>
        </w:rPr>
        <w:t xml:space="preserve"> y alcantarillado</w:t>
      </w:r>
      <w:r w:rsidRPr="00D85D5B">
        <w:rPr>
          <w:rFonts w:ascii="Arial" w:hAnsi="Arial" w:cs="Arial"/>
          <w:sz w:val="22"/>
          <w:szCs w:val="22"/>
          <w:lang w:val="es-ES"/>
        </w:rPr>
        <w:t>, sustancias radiactivas, radionucleidos antropogénicos, artefactos explosivos sin detonar y pecios, y, potencialmente, actividades de geoingeniería marina y minería,</w:t>
      </w:r>
    </w:p>
    <w:p w14:paraId="5FC46ECC" w14:textId="77777777" w:rsidR="00D85D5B" w:rsidRPr="00D85D5B" w:rsidRDefault="00D85D5B" w:rsidP="00D85D5B">
      <w:pPr>
        <w:jc w:val="both"/>
        <w:rPr>
          <w:rFonts w:ascii="Arial" w:hAnsi="Arial" w:cs="Arial"/>
          <w:sz w:val="22"/>
          <w:szCs w:val="22"/>
          <w:lang w:val="es-ES"/>
        </w:rPr>
      </w:pPr>
    </w:p>
    <w:p w14:paraId="0DDB8385" w14:textId="27F4FAA2" w:rsidR="00D85D5B" w:rsidRPr="00D85D5B" w:rsidRDefault="00D85D5B" w:rsidP="00D85D5B">
      <w:pPr>
        <w:jc w:val="both"/>
        <w:rPr>
          <w:rFonts w:ascii="Arial" w:hAnsi="Arial" w:cs="Arial"/>
          <w:sz w:val="22"/>
          <w:szCs w:val="22"/>
          <w:lang w:val="es-ES"/>
        </w:rPr>
      </w:pPr>
      <w:r w:rsidRPr="00D85D5B">
        <w:rPr>
          <w:rFonts w:ascii="Arial" w:hAnsi="Arial" w:cs="Arial"/>
          <w:i/>
          <w:iCs/>
          <w:sz w:val="22"/>
          <w:szCs w:val="22"/>
          <w:lang w:val="es-ES"/>
        </w:rPr>
        <w:t xml:space="preserve">Recordando </w:t>
      </w:r>
      <w:r w:rsidRPr="00D85D5B">
        <w:rPr>
          <w:rFonts w:ascii="Arial" w:hAnsi="Arial" w:cs="Arial"/>
          <w:sz w:val="22"/>
          <w:szCs w:val="22"/>
          <w:lang w:val="es-ES"/>
        </w:rPr>
        <w:t>que el Plan Estratégico de Samarcanda</w:t>
      </w:r>
      <w:r w:rsidRPr="00D85D5B">
        <w:rPr>
          <w:rFonts w:ascii="Arial" w:hAnsi="Arial" w:cs="Arial"/>
          <w:i/>
          <w:iCs/>
          <w:sz w:val="22"/>
          <w:szCs w:val="22"/>
          <w:lang w:val="es-ES"/>
        </w:rPr>
        <w:t xml:space="preserve"> </w:t>
      </w:r>
      <w:r w:rsidRPr="00D85D5B">
        <w:rPr>
          <w:rFonts w:ascii="Arial" w:hAnsi="Arial" w:cs="Arial"/>
          <w:sz w:val="22"/>
          <w:szCs w:val="22"/>
          <w:lang w:val="es-ES"/>
        </w:rPr>
        <w:t>para las Especies Migratorias</w:t>
      </w:r>
      <w:r w:rsidRPr="00D85D5B">
        <w:rPr>
          <w:rFonts w:ascii="Arial" w:hAnsi="Arial" w:cs="Arial"/>
          <w:i/>
          <w:iCs/>
          <w:sz w:val="22"/>
          <w:szCs w:val="22"/>
          <w:lang w:val="es-ES"/>
        </w:rPr>
        <w:t xml:space="preserve"> </w:t>
      </w:r>
      <w:r w:rsidRPr="00D85D5B">
        <w:rPr>
          <w:rFonts w:ascii="Arial" w:hAnsi="Arial" w:cs="Arial"/>
          <w:sz w:val="22"/>
          <w:szCs w:val="22"/>
          <w:lang w:val="es-ES"/>
        </w:rPr>
        <w:t xml:space="preserve">2024-2032 establece como Meta 3.3 </w:t>
      </w:r>
      <w:r w:rsidR="004F2482">
        <w:rPr>
          <w:rFonts w:ascii="Arial" w:hAnsi="Arial" w:cs="Arial"/>
          <w:sz w:val="22"/>
          <w:szCs w:val="22"/>
          <w:lang w:val="es-ES"/>
        </w:rPr>
        <w:t>“</w:t>
      </w:r>
      <w:r w:rsidRPr="00D85D5B">
        <w:rPr>
          <w:rFonts w:ascii="Arial" w:hAnsi="Arial" w:cs="Arial"/>
          <w:sz w:val="22"/>
          <w:szCs w:val="22"/>
          <w:lang w:val="es-ES"/>
        </w:rPr>
        <w:t>De aquí a 2032, los efectos negativos de la contaminación, incluidos los efectos transfronterizos, y del envenenamiento sobre las especies migratorias y sus hábitats se habrán reducido a niveles que no resulten perjudiciales para la viabilidad de las especies</w:t>
      </w:r>
      <w:r w:rsidR="004F2482">
        <w:rPr>
          <w:rFonts w:ascii="Arial" w:hAnsi="Arial" w:cs="Arial"/>
          <w:sz w:val="22"/>
          <w:szCs w:val="22"/>
          <w:lang w:val="es-ES"/>
        </w:rPr>
        <w:t>”</w:t>
      </w:r>
      <w:r w:rsidRPr="00D85D5B">
        <w:rPr>
          <w:rFonts w:ascii="Arial" w:hAnsi="Arial" w:cs="Arial"/>
          <w:sz w:val="22"/>
          <w:szCs w:val="22"/>
          <w:lang w:val="es-ES"/>
        </w:rPr>
        <w:t>,</w:t>
      </w:r>
    </w:p>
    <w:p w14:paraId="39513F03" w14:textId="77777777" w:rsidR="00D85D5B" w:rsidRPr="00D85D5B" w:rsidRDefault="00D85D5B" w:rsidP="00D85D5B">
      <w:pPr>
        <w:jc w:val="both"/>
        <w:rPr>
          <w:rFonts w:ascii="Arial" w:hAnsi="Arial" w:cs="Arial"/>
          <w:sz w:val="22"/>
          <w:szCs w:val="22"/>
          <w:lang w:val="es-ES"/>
        </w:rPr>
      </w:pPr>
    </w:p>
    <w:p w14:paraId="7CEB2AAE" w14:textId="2CAACAE2" w:rsidR="00D85D5B" w:rsidRPr="00D85D5B" w:rsidRDefault="00D85D5B" w:rsidP="00D85D5B">
      <w:pPr>
        <w:jc w:val="both"/>
        <w:rPr>
          <w:rFonts w:ascii="Arial" w:hAnsi="Arial" w:cs="Arial"/>
          <w:i/>
          <w:iCs/>
          <w:sz w:val="22"/>
          <w:szCs w:val="22"/>
          <w:lang w:val="es-ES"/>
        </w:rPr>
      </w:pPr>
      <w:r w:rsidRPr="00D85D5B">
        <w:rPr>
          <w:rFonts w:ascii="Arial" w:hAnsi="Arial" w:cs="Arial"/>
          <w:i/>
          <w:sz w:val="22"/>
          <w:szCs w:val="22"/>
          <w:lang w:val="es-ES"/>
        </w:rPr>
        <w:t xml:space="preserve">Reconociendo </w:t>
      </w:r>
      <w:r w:rsidRPr="00D85D5B">
        <w:rPr>
          <w:rFonts w:ascii="Arial" w:hAnsi="Arial" w:cs="Arial"/>
          <w:sz w:val="22"/>
          <w:szCs w:val="22"/>
          <w:lang w:val="es-ES"/>
        </w:rPr>
        <w:t xml:space="preserve">otras resoluciones pertinentes de la CMS, entre ellas la Resolución 12.20 </w:t>
      </w:r>
      <w:r w:rsidRPr="00D85D5B">
        <w:rPr>
          <w:rFonts w:ascii="Arial" w:hAnsi="Arial" w:cs="Arial"/>
          <w:i/>
          <w:iCs/>
          <w:sz w:val="22"/>
          <w:szCs w:val="22"/>
          <w:lang w:val="es-ES"/>
        </w:rPr>
        <w:t>Gestión de los desechos marinos</w:t>
      </w:r>
      <w:r w:rsidRPr="00D85D5B">
        <w:rPr>
          <w:rFonts w:ascii="Arial" w:hAnsi="Arial" w:cs="Arial"/>
          <w:sz w:val="22"/>
          <w:szCs w:val="22"/>
          <w:lang w:val="es-ES"/>
        </w:rPr>
        <w:t xml:space="preserve">, la Resolución 7.3 (Rev.COP12) </w:t>
      </w:r>
      <w:r w:rsidRPr="00D85D5B">
        <w:rPr>
          <w:rFonts w:ascii="Arial" w:hAnsi="Arial" w:cs="Arial"/>
          <w:i/>
          <w:iCs/>
          <w:sz w:val="22"/>
          <w:szCs w:val="22"/>
          <w:lang w:val="es-ES"/>
        </w:rPr>
        <w:t>Contaminación por hidrocarburos y especies migratorias</w:t>
      </w:r>
      <w:r w:rsidRPr="00D85D5B">
        <w:rPr>
          <w:rFonts w:ascii="Arial" w:hAnsi="Arial" w:cs="Arial"/>
          <w:sz w:val="22"/>
          <w:szCs w:val="22"/>
          <w:lang w:val="es-ES"/>
        </w:rPr>
        <w:t xml:space="preserve">, la Resolución 12.14 </w:t>
      </w:r>
      <w:r w:rsidRPr="00D85D5B">
        <w:rPr>
          <w:rFonts w:ascii="Arial" w:hAnsi="Arial" w:cs="Arial"/>
          <w:i/>
          <w:iCs/>
          <w:sz w:val="22"/>
          <w:szCs w:val="22"/>
          <w:lang w:val="es-ES"/>
        </w:rPr>
        <w:t xml:space="preserve">Impactos adversos del ruido antropogénico en los cetáceos y otras especies migratorias, </w:t>
      </w:r>
      <w:r w:rsidR="00B55947">
        <w:rPr>
          <w:rFonts w:ascii="Arial" w:hAnsi="Arial" w:cs="Arial"/>
          <w:sz w:val="22"/>
          <w:szCs w:val="22"/>
          <w:lang w:val="es-ES"/>
        </w:rPr>
        <w:t>la</w:t>
      </w:r>
      <w:r w:rsidRPr="00D85D5B">
        <w:rPr>
          <w:rFonts w:ascii="Arial" w:hAnsi="Arial" w:cs="Arial"/>
          <w:sz w:val="22"/>
          <w:szCs w:val="22"/>
          <w:lang w:val="es-ES"/>
        </w:rPr>
        <w:t xml:space="preserve"> Resolución 13.5 (Rev.COP14) </w:t>
      </w:r>
      <w:r w:rsidRPr="00D85D5B">
        <w:rPr>
          <w:rFonts w:ascii="Arial" w:hAnsi="Arial" w:cs="Arial"/>
          <w:i/>
          <w:iCs/>
          <w:sz w:val="22"/>
          <w:szCs w:val="22"/>
          <w:lang w:val="es-ES"/>
        </w:rPr>
        <w:t>Directrices internacionales de la CMS sobre contaminación lumínica para las especies migratorias,</w:t>
      </w:r>
      <w:r w:rsidR="00F2012E" w:rsidRPr="00F12208">
        <w:rPr>
          <w:lang w:val="es-ES"/>
        </w:rPr>
        <w:t xml:space="preserve"> </w:t>
      </w:r>
      <w:r w:rsidR="00F2012E" w:rsidRPr="00F2012E">
        <w:rPr>
          <w:rFonts w:ascii="Arial" w:hAnsi="Arial" w:cs="Arial"/>
          <w:sz w:val="22"/>
          <w:szCs w:val="22"/>
          <w:lang w:val="es-ES"/>
        </w:rPr>
        <w:t>y la Resolución 14.6</w:t>
      </w:r>
      <w:r w:rsidR="00F2012E" w:rsidRPr="00F2012E">
        <w:rPr>
          <w:rFonts w:ascii="Arial" w:hAnsi="Arial" w:cs="Arial"/>
          <w:i/>
          <w:iCs/>
          <w:sz w:val="22"/>
          <w:szCs w:val="22"/>
          <w:lang w:val="es-ES"/>
        </w:rPr>
        <w:t xml:space="preserve"> Actividades de explotación de minerales </w:t>
      </w:r>
      <w:r w:rsidR="00F2012E">
        <w:rPr>
          <w:rFonts w:ascii="Arial" w:hAnsi="Arial" w:cs="Arial"/>
          <w:i/>
          <w:iCs/>
          <w:sz w:val="22"/>
          <w:szCs w:val="22"/>
          <w:lang w:val="es-ES"/>
        </w:rPr>
        <w:t>de</w:t>
      </w:r>
      <w:r w:rsidR="00F2012E" w:rsidRPr="00F2012E">
        <w:rPr>
          <w:rFonts w:ascii="Arial" w:hAnsi="Arial" w:cs="Arial"/>
          <w:i/>
          <w:iCs/>
          <w:sz w:val="22"/>
          <w:szCs w:val="22"/>
          <w:lang w:val="es-ES"/>
        </w:rPr>
        <w:t xml:space="preserve"> los fondos marinos y especies migratorias,</w:t>
      </w:r>
    </w:p>
    <w:p w14:paraId="64D1582F" w14:textId="77777777" w:rsidR="00D85D5B" w:rsidRPr="00D85D5B" w:rsidRDefault="00D85D5B" w:rsidP="00D85D5B">
      <w:pPr>
        <w:jc w:val="both"/>
        <w:rPr>
          <w:rFonts w:ascii="Arial" w:hAnsi="Arial" w:cs="Arial"/>
          <w:i/>
          <w:sz w:val="22"/>
          <w:szCs w:val="22"/>
          <w:lang w:val="es-ES"/>
        </w:rPr>
      </w:pPr>
    </w:p>
    <w:p w14:paraId="4E30F065" w14:textId="409E7846" w:rsidR="00D85D5B" w:rsidRPr="00D85D5B" w:rsidRDefault="00D85D5B" w:rsidP="00D85D5B">
      <w:pPr>
        <w:jc w:val="both"/>
        <w:rPr>
          <w:rFonts w:ascii="Arial" w:hAnsi="Arial" w:cs="Arial"/>
          <w:sz w:val="22"/>
          <w:szCs w:val="22"/>
          <w:lang w:val="es-ES"/>
        </w:rPr>
      </w:pPr>
      <w:r w:rsidRPr="00D85D5B">
        <w:rPr>
          <w:rFonts w:ascii="Arial" w:hAnsi="Arial" w:cs="Arial"/>
          <w:i/>
          <w:iCs/>
          <w:sz w:val="22"/>
          <w:szCs w:val="22"/>
          <w:lang w:val="es-ES"/>
        </w:rPr>
        <w:t xml:space="preserve">Reconociendo </w:t>
      </w:r>
      <w:r w:rsidRPr="00D85D5B">
        <w:rPr>
          <w:rFonts w:ascii="Arial" w:hAnsi="Arial" w:cs="Arial"/>
          <w:sz w:val="22"/>
          <w:szCs w:val="22"/>
          <w:lang w:val="es-ES"/>
        </w:rPr>
        <w:t>asimismo las resoluciones conexas adoptadas por los acuerdos derivados de la CMS, entre ellas</w:t>
      </w:r>
      <w:r w:rsidR="00DC6588">
        <w:rPr>
          <w:rFonts w:ascii="Arial" w:hAnsi="Arial" w:cs="Arial"/>
          <w:sz w:val="22"/>
          <w:szCs w:val="22"/>
          <w:lang w:val="es-ES"/>
        </w:rPr>
        <w:t xml:space="preserve"> </w:t>
      </w:r>
      <w:r w:rsidR="003C4A61">
        <w:rPr>
          <w:rFonts w:ascii="Arial" w:hAnsi="Arial" w:cs="Arial"/>
          <w:sz w:val="22"/>
          <w:szCs w:val="22"/>
          <w:lang w:val="es-ES"/>
        </w:rPr>
        <w:t xml:space="preserve">las </w:t>
      </w:r>
      <w:r w:rsidR="00DC6588">
        <w:rPr>
          <w:rFonts w:ascii="Arial" w:hAnsi="Arial" w:cs="Arial"/>
          <w:sz w:val="22"/>
          <w:szCs w:val="22"/>
          <w:lang w:val="es-ES"/>
        </w:rPr>
        <w:t>Resoluci</w:t>
      </w:r>
      <w:r w:rsidR="003C4A61">
        <w:rPr>
          <w:rFonts w:ascii="Arial" w:hAnsi="Arial" w:cs="Arial"/>
          <w:sz w:val="22"/>
          <w:szCs w:val="22"/>
          <w:lang w:val="es-ES"/>
        </w:rPr>
        <w:t>ones</w:t>
      </w:r>
      <w:r w:rsidR="00DC6588">
        <w:rPr>
          <w:rFonts w:ascii="Arial" w:hAnsi="Arial" w:cs="Arial"/>
          <w:sz w:val="22"/>
          <w:szCs w:val="22"/>
          <w:lang w:val="es-ES"/>
        </w:rPr>
        <w:t xml:space="preserve"> 9.18</w:t>
      </w:r>
      <w:r w:rsidR="003C4A61">
        <w:rPr>
          <w:rFonts w:ascii="Arial" w:hAnsi="Arial" w:cs="Arial"/>
          <w:sz w:val="22"/>
          <w:szCs w:val="22"/>
          <w:lang w:val="es-ES"/>
        </w:rPr>
        <w:t xml:space="preserve"> </w:t>
      </w:r>
      <w:r w:rsidR="003C4A61" w:rsidRPr="003C4A61">
        <w:rPr>
          <w:rFonts w:ascii="Arial" w:hAnsi="Arial" w:cs="Arial"/>
          <w:i/>
          <w:iCs/>
          <w:sz w:val="22"/>
          <w:szCs w:val="22"/>
          <w:lang w:val="es-ES"/>
        </w:rPr>
        <w:t>Basura Marina</w:t>
      </w:r>
      <w:r w:rsidR="003C4A61">
        <w:rPr>
          <w:rFonts w:ascii="Arial" w:hAnsi="Arial" w:cs="Arial"/>
          <w:sz w:val="22"/>
          <w:szCs w:val="22"/>
          <w:lang w:val="es-ES"/>
        </w:rPr>
        <w:t xml:space="preserve"> y</w:t>
      </w:r>
      <w:r w:rsidR="00DC6588">
        <w:rPr>
          <w:rFonts w:ascii="Arial" w:hAnsi="Arial" w:cs="Arial"/>
          <w:sz w:val="22"/>
          <w:szCs w:val="22"/>
          <w:lang w:val="es-ES"/>
        </w:rPr>
        <w:t xml:space="preserve"> </w:t>
      </w:r>
      <w:r w:rsidRPr="00D85D5B">
        <w:rPr>
          <w:rFonts w:ascii="Arial" w:hAnsi="Arial" w:cs="Arial"/>
          <w:sz w:val="22"/>
          <w:szCs w:val="22"/>
          <w:lang w:val="es-ES"/>
        </w:rPr>
        <w:t xml:space="preserve">8.20 </w:t>
      </w:r>
      <w:r w:rsidRPr="00D85D5B">
        <w:rPr>
          <w:rFonts w:ascii="Arial" w:hAnsi="Arial" w:cs="Arial"/>
          <w:i/>
          <w:iCs/>
          <w:sz w:val="22"/>
          <w:szCs w:val="22"/>
          <w:lang w:val="es-ES"/>
        </w:rPr>
        <w:t>Basura marina y contaminación química</w:t>
      </w:r>
      <w:r w:rsidR="003C4A61" w:rsidRPr="003C4A61">
        <w:rPr>
          <w:rFonts w:ascii="Arial" w:hAnsi="Arial" w:cs="Arial"/>
          <w:sz w:val="22"/>
          <w:szCs w:val="22"/>
          <w:lang w:val="es-ES"/>
        </w:rPr>
        <w:t xml:space="preserve"> </w:t>
      </w:r>
      <w:r w:rsidR="003C4A61" w:rsidRPr="00D85D5B">
        <w:rPr>
          <w:rFonts w:ascii="Arial" w:hAnsi="Arial" w:cs="Arial"/>
          <w:sz w:val="22"/>
          <w:szCs w:val="22"/>
          <w:lang w:val="es-ES"/>
        </w:rPr>
        <w:t>d</w:t>
      </w:r>
      <w:r w:rsidR="003C4A61">
        <w:rPr>
          <w:rFonts w:ascii="Arial" w:hAnsi="Arial" w:cs="Arial"/>
          <w:sz w:val="22"/>
          <w:szCs w:val="22"/>
          <w:lang w:val="es-ES"/>
        </w:rPr>
        <w:t>e</w:t>
      </w:r>
      <w:r w:rsidR="003C4A61" w:rsidRPr="00D85D5B">
        <w:rPr>
          <w:rFonts w:ascii="Arial" w:hAnsi="Arial" w:cs="Arial"/>
          <w:sz w:val="22"/>
          <w:szCs w:val="22"/>
          <w:lang w:val="es-ES"/>
        </w:rPr>
        <w:t xml:space="preserve"> ACCOBAMS</w:t>
      </w:r>
      <w:r w:rsidRPr="005D1038">
        <w:rPr>
          <w:rFonts w:ascii="Arial" w:hAnsi="Arial" w:cs="Arial"/>
          <w:sz w:val="22"/>
          <w:szCs w:val="22"/>
          <w:lang w:val="es-ES"/>
        </w:rPr>
        <w:t>, la</w:t>
      </w:r>
      <w:r w:rsidRPr="00D85D5B">
        <w:rPr>
          <w:rFonts w:ascii="Arial" w:hAnsi="Arial" w:cs="Arial"/>
          <w:i/>
          <w:iCs/>
          <w:sz w:val="22"/>
          <w:szCs w:val="22"/>
          <w:lang w:val="es-ES"/>
        </w:rPr>
        <w:t xml:space="preserve"> </w:t>
      </w:r>
      <w:r w:rsidRPr="00D85D5B">
        <w:rPr>
          <w:rFonts w:ascii="Arial" w:hAnsi="Arial" w:cs="Arial"/>
          <w:sz w:val="22"/>
          <w:szCs w:val="22"/>
          <w:lang w:val="es-ES"/>
        </w:rPr>
        <w:t xml:space="preserve">Resolución 7.4 </w:t>
      </w:r>
      <w:r w:rsidRPr="00D85D5B">
        <w:rPr>
          <w:rFonts w:ascii="Arial" w:hAnsi="Arial" w:cs="Arial"/>
          <w:i/>
          <w:iCs/>
          <w:sz w:val="22"/>
          <w:szCs w:val="22"/>
          <w:lang w:val="es-ES"/>
        </w:rPr>
        <w:t>Impactos de la contaminación química en pequeños cetáceos</w:t>
      </w:r>
      <w:r w:rsidRPr="00D85D5B">
        <w:rPr>
          <w:rFonts w:ascii="Arial" w:hAnsi="Arial" w:cs="Arial"/>
          <w:sz w:val="22"/>
          <w:szCs w:val="22"/>
          <w:lang w:val="es-ES"/>
        </w:rPr>
        <w:t xml:space="preserve">, Resolución 8.7 </w:t>
      </w:r>
      <w:r w:rsidRPr="00D85D5B">
        <w:rPr>
          <w:rFonts w:ascii="Arial" w:hAnsi="Arial" w:cs="Arial"/>
          <w:i/>
          <w:iCs/>
          <w:sz w:val="22"/>
          <w:szCs w:val="22"/>
          <w:lang w:val="es-ES"/>
        </w:rPr>
        <w:t>Impactos de los bifenilos policlorados (PCB)</w:t>
      </w:r>
      <w:r w:rsidRPr="00D85D5B">
        <w:rPr>
          <w:rFonts w:ascii="Arial" w:hAnsi="Arial" w:cs="Arial"/>
          <w:sz w:val="22"/>
          <w:szCs w:val="22"/>
          <w:lang w:val="es-ES"/>
        </w:rPr>
        <w:t xml:space="preserve">, Resolución 8.8 </w:t>
      </w:r>
      <w:r w:rsidRPr="00D85D5B">
        <w:rPr>
          <w:rFonts w:ascii="Arial" w:hAnsi="Arial" w:cs="Arial"/>
          <w:i/>
          <w:iCs/>
          <w:sz w:val="22"/>
          <w:szCs w:val="22"/>
          <w:lang w:val="es-ES"/>
        </w:rPr>
        <w:t>Afrontar las amenazas de las municiones submarinas</w:t>
      </w:r>
      <w:r w:rsidRPr="00D85D5B">
        <w:rPr>
          <w:rFonts w:ascii="Arial" w:hAnsi="Arial" w:cs="Arial"/>
          <w:sz w:val="22"/>
          <w:szCs w:val="22"/>
          <w:lang w:val="es-ES"/>
        </w:rPr>
        <w:t xml:space="preserve">, Resolución 9.3 </w:t>
      </w:r>
      <w:r w:rsidRPr="00D85D5B">
        <w:rPr>
          <w:rFonts w:ascii="Arial" w:hAnsi="Arial" w:cs="Arial"/>
          <w:i/>
          <w:iCs/>
          <w:sz w:val="22"/>
          <w:szCs w:val="22"/>
          <w:lang w:val="es-ES"/>
        </w:rPr>
        <w:t>Desechos marinos</w:t>
      </w:r>
      <w:r w:rsidR="005D1038">
        <w:rPr>
          <w:rFonts w:ascii="Arial" w:hAnsi="Arial" w:cs="Arial"/>
          <w:i/>
          <w:iCs/>
          <w:sz w:val="22"/>
          <w:szCs w:val="22"/>
          <w:lang w:val="es-ES"/>
        </w:rPr>
        <w:t xml:space="preserve"> </w:t>
      </w:r>
      <w:r w:rsidR="005D1038" w:rsidRPr="005D1038">
        <w:rPr>
          <w:rFonts w:ascii="Arial" w:hAnsi="Arial" w:cs="Arial"/>
          <w:sz w:val="22"/>
          <w:szCs w:val="22"/>
          <w:lang w:val="es-ES"/>
        </w:rPr>
        <w:t>de ASCOBANS</w:t>
      </w:r>
      <w:r w:rsidR="005D1038">
        <w:rPr>
          <w:rFonts w:ascii="Arial" w:hAnsi="Arial" w:cs="Arial"/>
          <w:sz w:val="22"/>
          <w:szCs w:val="22"/>
          <w:lang w:val="es-ES"/>
        </w:rPr>
        <w:t>, y</w:t>
      </w:r>
      <w:r w:rsidRPr="00D85D5B">
        <w:rPr>
          <w:rFonts w:ascii="Arial" w:hAnsi="Arial" w:cs="Arial"/>
          <w:i/>
          <w:iCs/>
          <w:sz w:val="22"/>
          <w:szCs w:val="22"/>
          <w:lang w:val="es-ES"/>
        </w:rPr>
        <w:t xml:space="preserve"> </w:t>
      </w:r>
      <w:r w:rsidRPr="005D1038">
        <w:rPr>
          <w:rFonts w:ascii="Arial" w:hAnsi="Arial" w:cs="Arial"/>
          <w:sz w:val="22"/>
          <w:szCs w:val="22"/>
          <w:lang w:val="es-ES"/>
        </w:rPr>
        <w:t>la</w:t>
      </w:r>
      <w:r w:rsidR="005D1038">
        <w:rPr>
          <w:rFonts w:ascii="Arial" w:hAnsi="Arial" w:cs="Arial"/>
          <w:sz w:val="22"/>
          <w:szCs w:val="22"/>
          <w:lang w:val="es-ES"/>
        </w:rPr>
        <w:t xml:space="preserve"> </w:t>
      </w:r>
      <w:r w:rsidRPr="00D85D5B">
        <w:rPr>
          <w:rFonts w:ascii="Arial" w:hAnsi="Arial" w:cs="Arial"/>
          <w:sz w:val="22"/>
          <w:szCs w:val="22"/>
          <w:lang w:val="es-ES"/>
        </w:rPr>
        <w:t xml:space="preserve">Resolución </w:t>
      </w:r>
      <w:r w:rsidR="005D1038">
        <w:rPr>
          <w:rFonts w:ascii="Arial" w:hAnsi="Arial" w:cs="Arial"/>
          <w:sz w:val="22"/>
          <w:szCs w:val="22"/>
          <w:lang w:val="es-ES"/>
        </w:rPr>
        <w:t>9.15</w:t>
      </w:r>
      <w:r w:rsidRPr="00D85D5B">
        <w:rPr>
          <w:rFonts w:ascii="Arial" w:hAnsi="Arial" w:cs="Arial"/>
          <w:sz w:val="22"/>
          <w:szCs w:val="22"/>
          <w:lang w:val="es-ES"/>
        </w:rPr>
        <w:t xml:space="preserve"> </w:t>
      </w:r>
      <w:r w:rsidRPr="00D85D5B">
        <w:rPr>
          <w:rFonts w:ascii="Arial" w:hAnsi="Arial" w:cs="Arial"/>
          <w:i/>
          <w:iCs/>
          <w:sz w:val="22"/>
          <w:szCs w:val="22"/>
          <w:lang w:val="es-ES"/>
        </w:rPr>
        <w:t xml:space="preserve">Ruido </w:t>
      </w:r>
      <w:r w:rsidR="007A3AAE">
        <w:rPr>
          <w:rFonts w:ascii="Arial" w:hAnsi="Arial" w:cs="Arial"/>
          <w:i/>
          <w:iCs/>
          <w:sz w:val="22"/>
          <w:szCs w:val="22"/>
          <w:lang w:val="es-ES"/>
        </w:rPr>
        <w:t xml:space="preserve">submarino </w:t>
      </w:r>
      <w:r w:rsidRPr="00D85D5B">
        <w:rPr>
          <w:rFonts w:ascii="Arial" w:hAnsi="Arial" w:cs="Arial"/>
          <w:i/>
          <w:iCs/>
          <w:sz w:val="22"/>
          <w:szCs w:val="22"/>
          <w:lang w:val="es-ES"/>
        </w:rPr>
        <w:t>antropogénico</w:t>
      </w:r>
      <w:r w:rsidR="005D1038">
        <w:rPr>
          <w:rFonts w:ascii="Arial" w:hAnsi="Arial" w:cs="Arial"/>
          <w:i/>
          <w:iCs/>
          <w:sz w:val="22"/>
          <w:szCs w:val="22"/>
          <w:lang w:val="es-ES"/>
        </w:rPr>
        <w:t xml:space="preserve"> </w:t>
      </w:r>
      <w:r w:rsidR="005D1038" w:rsidRPr="005D1038">
        <w:rPr>
          <w:rFonts w:ascii="Arial" w:hAnsi="Arial" w:cs="Arial"/>
          <w:sz w:val="22"/>
          <w:szCs w:val="22"/>
          <w:lang w:val="es-ES"/>
        </w:rPr>
        <w:t>de ACCOBAMS</w:t>
      </w:r>
      <w:r w:rsidRPr="00D85D5B">
        <w:rPr>
          <w:rFonts w:ascii="Arial" w:hAnsi="Arial" w:cs="Arial"/>
          <w:i/>
          <w:iCs/>
          <w:sz w:val="22"/>
          <w:szCs w:val="22"/>
          <w:lang w:val="es-ES"/>
        </w:rPr>
        <w:t xml:space="preserve"> </w:t>
      </w:r>
      <w:r w:rsidRPr="00D85D5B">
        <w:rPr>
          <w:rFonts w:ascii="Arial" w:hAnsi="Arial" w:cs="Arial"/>
          <w:sz w:val="22"/>
          <w:szCs w:val="22"/>
          <w:lang w:val="es-ES"/>
        </w:rPr>
        <w:t>y sus predecesoras,</w:t>
      </w:r>
    </w:p>
    <w:p w14:paraId="46832D0E" w14:textId="77777777" w:rsidR="00D85D5B" w:rsidRPr="00D85D5B" w:rsidRDefault="00D85D5B" w:rsidP="00D85D5B">
      <w:pPr>
        <w:jc w:val="both"/>
        <w:rPr>
          <w:rFonts w:ascii="Arial" w:hAnsi="Arial" w:cs="Arial"/>
          <w:sz w:val="22"/>
          <w:szCs w:val="22"/>
          <w:lang w:val="es-ES"/>
        </w:rPr>
      </w:pPr>
    </w:p>
    <w:p w14:paraId="31644E2D" w14:textId="77777777" w:rsidR="00D85D5B" w:rsidRPr="00D85D5B" w:rsidRDefault="00D85D5B" w:rsidP="00D85D5B">
      <w:pPr>
        <w:jc w:val="both"/>
        <w:rPr>
          <w:rFonts w:ascii="Arial" w:hAnsi="Arial" w:cs="Arial"/>
          <w:sz w:val="22"/>
          <w:szCs w:val="22"/>
          <w:lang w:val="es-ES"/>
        </w:rPr>
      </w:pPr>
      <w:r w:rsidRPr="00D85D5B">
        <w:rPr>
          <w:rFonts w:ascii="Arial" w:hAnsi="Arial" w:cs="Arial"/>
          <w:i/>
          <w:iCs/>
          <w:sz w:val="22"/>
          <w:szCs w:val="22"/>
          <w:lang w:val="es-ES"/>
        </w:rPr>
        <w:t xml:space="preserve">Recordando </w:t>
      </w:r>
      <w:r w:rsidRPr="00D85D5B">
        <w:rPr>
          <w:rFonts w:ascii="Arial" w:hAnsi="Arial" w:cs="Arial"/>
          <w:sz w:val="22"/>
          <w:szCs w:val="22"/>
          <w:lang w:val="es-ES"/>
        </w:rPr>
        <w:t xml:space="preserve">que la Resolución A/RES/79/314 de la Asamblea General de la Organización de las Naciones Unidas </w:t>
      </w:r>
      <w:proofErr w:type="spellStart"/>
      <w:r w:rsidRPr="00D85D5B">
        <w:rPr>
          <w:rFonts w:ascii="Arial" w:hAnsi="Arial" w:cs="Arial"/>
          <w:i/>
          <w:iCs/>
          <w:sz w:val="22"/>
          <w:szCs w:val="22"/>
          <w:lang w:val="es-ES"/>
        </w:rPr>
        <w:t>Our</w:t>
      </w:r>
      <w:proofErr w:type="spellEnd"/>
      <w:r w:rsidRPr="00D85D5B">
        <w:rPr>
          <w:rFonts w:ascii="Arial" w:hAnsi="Arial" w:cs="Arial"/>
          <w:i/>
          <w:iCs/>
          <w:sz w:val="22"/>
          <w:szCs w:val="22"/>
          <w:lang w:val="es-ES"/>
        </w:rPr>
        <w:t xml:space="preserve"> Ocean, </w:t>
      </w:r>
      <w:proofErr w:type="spellStart"/>
      <w:r w:rsidRPr="00D85D5B">
        <w:rPr>
          <w:rFonts w:ascii="Arial" w:hAnsi="Arial" w:cs="Arial"/>
          <w:i/>
          <w:iCs/>
          <w:sz w:val="22"/>
          <w:szCs w:val="22"/>
          <w:lang w:val="es-ES"/>
        </w:rPr>
        <w:t>Our</w:t>
      </w:r>
      <w:proofErr w:type="spellEnd"/>
      <w:r w:rsidRPr="00D85D5B">
        <w:rPr>
          <w:rFonts w:ascii="Arial" w:hAnsi="Arial" w:cs="Arial"/>
          <w:i/>
          <w:iCs/>
          <w:sz w:val="22"/>
          <w:szCs w:val="22"/>
          <w:lang w:val="es-ES"/>
        </w:rPr>
        <w:t xml:space="preserve"> Future: United for </w:t>
      </w:r>
      <w:proofErr w:type="spellStart"/>
      <w:r w:rsidRPr="00D85D5B">
        <w:rPr>
          <w:rFonts w:ascii="Arial" w:hAnsi="Arial" w:cs="Arial"/>
          <w:i/>
          <w:iCs/>
          <w:sz w:val="22"/>
          <w:szCs w:val="22"/>
          <w:lang w:val="es-ES"/>
        </w:rPr>
        <w:t>Urgent</w:t>
      </w:r>
      <w:proofErr w:type="spellEnd"/>
      <w:r w:rsidRPr="00D85D5B">
        <w:rPr>
          <w:rFonts w:ascii="Arial" w:hAnsi="Arial" w:cs="Arial"/>
          <w:i/>
          <w:iCs/>
          <w:sz w:val="22"/>
          <w:szCs w:val="22"/>
          <w:lang w:val="es-ES"/>
        </w:rPr>
        <w:t xml:space="preserve"> </w:t>
      </w:r>
      <w:proofErr w:type="spellStart"/>
      <w:r w:rsidRPr="00D85D5B">
        <w:rPr>
          <w:rFonts w:ascii="Arial" w:hAnsi="Arial" w:cs="Arial"/>
          <w:i/>
          <w:iCs/>
          <w:sz w:val="22"/>
          <w:szCs w:val="22"/>
          <w:lang w:val="es-ES"/>
        </w:rPr>
        <w:t>Action</w:t>
      </w:r>
      <w:proofErr w:type="spellEnd"/>
      <w:r w:rsidRPr="00D85D5B">
        <w:rPr>
          <w:rFonts w:ascii="Arial" w:hAnsi="Arial" w:cs="Arial"/>
          <w:i/>
          <w:iCs/>
          <w:sz w:val="22"/>
          <w:szCs w:val="22"/>
          <w:lang w:val="es-ES"/>
        </w:rPr>
        <w:t xml:space="preserve"> </w:t>
      </w:r>
      <w:r w:rsidRPr="00D85D5B">
        <w:rPr>
          <w:rFonts w:ascii="Arial" w:hAnsi="Arial" w:cs="Arial"/>
          <w:sz w:val="22"/>
          <w:szCs w:val="22"/>
          <w:lang w:val="es-ES"/>
        </w:rPr>
        <w:t>(Nuestro océano, nuestro futuro: unidos por una acción urgente) «reafirma nuestro compromiso compartido de acelerar la acción para prevenir, reducir significativamente y controlar la contaminación marina de todo tipo»,</w:t>
      </w:r>
    </w:p>
    <w:p w14:paraId="7017D0E3" w14:textId="77777777" w:rsidR="00D85D5B" w:rsidRPr="00D85D5B" w:rsidRDefault="00D85D5B" w:rsidP="00D85D5B">
      <w:pPr>
        <w:jc w:val="both"/>
        <w:rPr>
          <w:rFonts w:ascii="Arial" w:hAnsi="Arial" w:cs="Arial"/>
          <w:sz w:val="22"/>
          <w:szCs w:val="22"/>
          <w:lang w:val="es-ES"/>
        </w:rPr>
      </w:pPr>
    </w:p>
    <w:p w14:paraId="5CB58BAD" w14:textId="77777777" w:rsidR="00D85D5B" w:rsidRPr="00D85D5B" w:rsidRDefault="00D85D5B" w:rsidP="00D85D5B">
      <w:pPr>
        <w:jc w:val="both"/>
        <w:rPr>
          <w:rFonts w:ascii="Arial" w:hAnsi="Arial" w:cs="Arial"/>
          <w:sz w:val="22"/>
          <w:szCs w:val="22"/>
          <w:lang w:val="es-ES"/>
        </w:rPr>
      </w:pPr>
      <w:r w:rsidRPr="00D85D5B">
        <w:rPr>
          <w:rFonts w:ascii="Arial" w:hAnsi="Arial" w:cs="Arial"/>
          <w:i/>
          <w:iCs/>
          <w:sz w:val="22"/>
          <w:szCs w:val="22"/>
          <w:lang w:val="es-ES"/>
        </w:rPr>
        <w:t xml:space="preserve">Preocupados </w:t>
      </w:r>
      <w:r w:rsidRPr="00D85D5B">
        <w:rPr>
          <w:rFonts w:ascii="Arial" w:hAnsi="Arial" w:cs="Arial"/>
          <w:sz w:val="22"/>
          <w:szCs w:val="22"/>
          <w:lang w:val="es-ES"/>
        </w:rPr>
        <w:t>por los numerosos efectos negativos documentados de la contaminación marina sobre las especies migratorias en relación con su salud y supervivencia, sus sistemas reproductivos, endocrinos e inmunológicos, su conservación y bienestar,</w:t>
      </w:r>
    </w:p>
    <w:p w14:paraId="3BBC4563" w14:textId="77777777" w:rsidR="00D85D5B" w:rsidRPr="00D85D5B" w:rsidRDefault="00D85D5B" w:rsidP="00D85D5B">
      <w:pPr>
        <w:jc w:val="both"/>
        <w:rPr>
          <w:rFonts w:ascii="Arial" w:hAnsi="Arial" w:cs="Arial"/>
          <w:sz w:val="22"/>
          <w:szCs w:val="22"/>
          <w:lang w:val="es-ES"/>
        </w:rPr>
      </w:pPr>
    </w:p>
    <w:p w14:paraId="40BEC320" w14:textId="77777777" w:rsidR="00D85D5B" w:rsidRPr="00D85D5B" w:rsidRDefault="00D85D5B" w:rsidP="00D85D5B">
      <w:pPr>
        <w:jc w:val="both"/>
        <w:rPr>
          <w:rFonts w:ascii="Arial" w:hAnsi="Arial" w:cs="Arial"/>
          <w:sz w:val="22"/>
          <w:szCs w:val="22"/>
          <w:lang w:val="es-ES"/>
        </w:rPr>
      </w:pPr>
      <w:r w:rsidRPr="00D85D5B">
        <w:rPr>
          <w:rFonts w:ascii="Arial" w:hAnsi="Arial" w:cs="Arial"/>
          <w:i/>
          <w:iCs/>
          <w:sz w:val="22"/>
          <w:szCs w:val="22"/>
          <w:lang w:val="es-ES"/>
        </w:rPr>
        <w:t xml:space="preserve">Alarmados </w:t>
      </w:r>
      <w:r w:rsidRPr="00D85D5B">
        <w:rPr>
          <w:rFonts w:ascii="Arial" w:hAnsi="Arial" w:cs="Arial"/>
          <w:sz w:val="22"/>
          <w:szCs w:val="22"/>
          <w:lang w:val="es-ES"/>
        </w:rPr>
        <w:t xml:space="preserve">por la posibilidad de que el cambio climático aumente las tasas de </w:t>
      </w:r>
      <w:proofErr w:type="spellStart"/>
      <w:r w:rsidRPr="00D85D5B">
        <w:rPr>
          <w:rFonts w:ascii="Arial" w:hAnsi="Arial" w:cs="Arial"/>
          <w:sz w:val="22"/>
          <w:szCs w:val="22"/>
          <w:lang w:val="es-ES"/>
        </w:rPr>
        <w:t>removilización</w:t>
      </w:r>
      <w:proofErr w:type="spellEnd"/>
      <w:r w:rsidRPr="00D85D5B">
        <w:rPr>
          <w:rFonts w:ascii="Arial" w:hAnsi="Arial" w:cs="Arial"/>
          <w:sz w:val="22"/>
          <w:szCs w:val="22"/>
          <w:lang w:val="es-ES"/>
        </w:rPr>
        <w:t xml:space="preserve"> y la liberación de productos químicos heredados en el medio marino, así como el incremento de otros mecanismos de toxicidad,</w:t>
      </w:r>
    </w:p>
    <w:p w14:paraId="71508C7F" w14:textId="77777777" w:rsidR="00D85D5B" w:rsidRPr="00D85D5B" w:rsidRDefault="00D85D5B" w:rsidP="00D85D5B">
      <w:pPr>
        <w:jc w:val="both"/>
        <w:rPr>
          <w:rFonts w:ascii="Arial" w:hAnsi="Arial" w:cs="Arial"/>
          <w:sz w:val="22"/>
          <w:szCs w:val="22"/>
          <w:lang w:val="es-ES"/>
        </w:rPr>
      </w:pPr>
    </w:p>
    <w:p w14:paraId="3A2AD73A" w14:textId="77777777" w:rsidR="00D85D5B" w:rsidRPr="00D85D5B" w:rsidRDefault="00D85D5B" w:rsidP="00D85D5B">
      <w:pPr>
        <w:jc w:val="both"/>
        <w:rPr>
          <w:rFonts w:ascii="Arial" w:hAnsi="Arial" w:cs="Arial"/>
          <w:sz w:val="22"/>
          <w:szCs w:val="22"/>
          <w:lang w:val="es-ES"/>
        </w:rPr>
      </w:pPr>
      <w:r w:rsidRPr="00D85D5B">
        <w:rPr>
          <w:rFonts w:ascii="Arial" w:hAnsi="Arial" w:cs="Arial"/>
          <w:i/>
          <w:iCs/>
          <w:sz w:val="22"/>
          <w:szCs w:val="22"/>
          <w:lang w:val="es-ES"/>
        </w:rPr>
        <w:t xml:space="preserve">Reconociendo </w:t>
      </w:r>
      <w:r w:rsidRPr="00D85D5B">
        <w:rPr>
          <w:rFonts w:ascii="Arial" w:hAnsi="Arial" w:cs="Arial"/>
          <w:sz w:val="22"/>
          <w:szCs w:val="22"/>
          <w:lang w:val="es-ES"/>
        </w:rPr>
        <w:t xml:space="preserve">que los contaminantes químicos y los metales tóxicos no solo están vinculados a la contaminación industrial histórica, sino que también están siendo </w:t>
      </w:r>
      <w:proofErr w:type="spellStart"/>
      <w:r w:rsidRPr="00D85D5B">
        <w:rPr>
          <w:rFonts w:ascii="Arial" w:hAnsi="Arial" w:cs="Arial"/>
          <w:sz w:val="22"/>
          <w:szCs w:val="22"/>
          <w:lang w:val="es-ES"/>
        </w:rPr>
        <w:t>removilizados</w:t>
      </w:r>
      <w:proofErr w:type="spellEnd"/>
      <w:r w:rsidRPr="00D85D5B">
        <w:rPr>
          <w:rFonts w:ascii="Arial" w:hAnsi="Arial" w:cs="Arial"/>
          <w:sz w:val="22"/>
          <w:szCs w:val="22"/>
          <w:lang w:val="es-ES"/>
        </w:rPr>
        <w:t xml:space="preserve"> debido a procesos como el deshielo del permafrost, el aumento de los incendios forestales y las alteraciones en los ciclos bioquímicos en los océanos en calentamiento, y que estos procesos pueden intensificar los riesgos de exposición para las especies migratorias de vida larga en regiones polares y de baja latitud,</w:t>
      </w:r>
    </w:p>
    <w:p w14:paraId="188FA5E9" w14:textId="77777777" w:rsidR="00D85D5B" w:rsidRPr="00D85D5B" w:rsidRDefault="00D85D5B" w:rsidP="00D85D5B">
      <w:pPr>
        <w:jc w:val="both"/>
        <w:rPr>
          <w:rFonts w:ascii="Arial" w:hAnsi="Arial" w:cs="Arial"/>
          <w:sz w:val="22"/>
          <w:szCs w:val="22"/>
          <w:lang w:val="es-ES"/>
        </w:rPr>
      </w:pPr>
    </w:p>
    <w:p w14:paraId="59DCAD51" w14:textId="77777777" w:rsidR="00D85D5B" w:rsidRPr="00D85D5B" w:rsidRDefault="00D85D5B" w:rsidP="00D85D5B">
      <w:pPr>
        <w:jc w:val="both"/>
        <w:rPr>
          <w:rFonts w:ascii="Arial" w:hAnsi="Arial" w:cs="Arial"/>
          <w:sz w:val="22"/>
          <w:szCs w:val="22"/>
          <w:lang w:val="es-ES"/>
        </w:rPr>
      </w:pPr>
    </w:p>
    <w:p w14:paraId="01F1D5D2" w14:textId="77777777" w:rsidR="00D85D5B" w:rsidRPr="00D85D5B" w:rsidRDefault="00D85D5B" w:rsidP="00D85D5B">
      <w:pPr>
        <w:jc w:val="center"/>
        <w:rPr>
          <w:rFonts w:ascii="Arial" w:hAnsi="Arial" w:cs="Arial"/>
          <w:i/>
          <w:sz w:val="22"/>
          <w:szCs w:val="22"/>
          <w:lang w:val="es-ES"/>
        </w:rPr>
      </w:pPr>
      <w:r w:rsidRPr="00D85D5B">
        <w:rPr>
          <w:rFonts w:ascii="Arial" w:hAnsi="Arial" w:cs="Arial"/>
          <w:i/>
          <w:sz w:val="22"/>
          <w:szCs w:val="22"/>
          <w:lang w:val="es-ES"/>
        </w:rPr>
        <w:t>La Conferencia de las Partes en la</w:t>
      </w:r>
      <w:r w:rsidRPr="00D85D5B">
        <w:rPr>
          <w:rFonts w:ascii="Arial" w:hAnsi="Arial" w:cs="Arial"/>
          <w:i/>
          <w:sz w:val="22"/>
          <w:szCs w:val="22"/>
          <w:lang w:val="es-ES"/>
        </w:rPr>
        <w:br/>
        <w:t xml:space="preserve"> Convención sobre la Conservación de las Especies Migratorias de Animales Silvestres</w:t>
      </w:r>
    </w:p>
    <w:p w14:paraId="35A48127" w14:textId="77777777" w:rsidR="00D85D5B" w:rsidRPr="00D85D5B" w:rsidRDefault="00D85D5B" w:rsidP="00D85D5B">
      <w:pPr>
        <w:jc w:val="center"/>
        <w:rPr>
          <w:rFonts w:ascii="Arial" w:hAnsi="Arial" w:cs="Arial"/>
          <w:i/>
          <w:sz w:val="22"/>
          <w:szCs w:val="22"/>
          <w:lang w:val="es-ES"/>
        </w:rPr>
      </w:pPr>
      <w:r w:rsidRPr="00D85D5B">
        <w:rPr>
          <w:rFonts w:ascii="Arial" w:hAnsi="Arial" w:cs="Arial"/>
          <w:i/>
          <w:sz w:val="22"/>
          <w:szCs w:val="22"/>
          <w:lang w:val="es-ES"/>
        </w:rPr>
        <w:t xml:space="preserve"> </w:t>
      </w:r>
    </w:p>
    <w:p w14:paraId="02FB80ED" w14:textId="77777777" w:rsidR="00D85D5B" w:rsidRPr="00D85D5B" w:rsidRDefault="00D85D5B" w:rsidP="00D85D5B">
      <w:pPr>
        <w:jc w:val="center"/>
        <w:rPr>
          <w:rFonts w:ascii="Arial" w:hAnsi="Arial" w:cs="Arial"/>
          <w:i/>
          <w:sz w:val="22"/>
          <w:szCs w:val="22"/>
          <w:lang w:val="es-ES"/>
        </w:rPr>
      </w:pPr>
    </w:p>
    <w:p w14:paraId="058DC0B8" w14:textId="77777777" w:rsidR="00D85D5B" w:rsidRPr="00D85D5B" w:rsidRDefault="00D85D5B" w:rsidP="00D85D5B">
      <w:pPr>
        <w:pStyle w:val="ListParagraph"/>
        <w:numPr>
          <w:ilvl w:val="0"/>
          <w:numId w:val="5"/>
        </w:numPr>
        <w:spacing w:after="0" w:line="240" w:lineRule="auto"/>
        <w:ind w:left="567" w:hanging="567"/>
        <w:contextualSpacing w:val="0"/>
        <w:jc w:val="both"/>
        <w:rPr>
          <w:rFonts w:cs="Arial"/>
          <w:lang w:val="es-ES"/>
        </w:rPr>
      </w:pPr>
      <w:r w:rsidRPr="00D85D5B">
        <w:rPr>
          <w:rFonts w:cs="Arial"/>
          <w:i/>
          <w:iCs/>
          <w:lang w:val="es-ES"/>
        </w:rPr>
        <w:t>Insta a las</w:t>
      </w:r>
      <w:r w:rsidRPr="00D85D5B">
        <w:rPr>
          <w:rFonts w:cs="Arial"/>
          <w:lang w:val="es-ES"/>
        </w:rPr>
        <w:t xml:space="preserve"> Partes a abordar las siguientes cuestiones urgentes, debido a sus importantes repercusiones y a los beneficios inmediatos para la conservación cuando se remedia(n): </w:t>
      </w:r>
    </w:p>
    <w:p w14:paraId="2A27044D" w14:textId="77777777" w:rsidR="00D85D5B" w:rsidRPr="00D85D5B" w:rsidRDefault="00D85D5B" w:rsidP="00D85D5B">
      <w:pPr>
        <w:pStyle w:val="ListParagraph"/>
        <w:spacing w:after="0" w:line="240" w:lineRule="auto"/>
        <w:jc w:val="both"/>
        <w:rPr>
          <w:rFonts w:cs="Arial"/>
          <w:lang w:val="es-ES"/>
        </w:rPr>
      </w:pPr>
    </w:p>
    <w:p w14:paraId="35DCC3F2" w14:textId="77777777" w:rsidR="00D85D5B" w:rsidRPr="00D85D5B" w:rsidRDefault="00D85D5B" w:rsidP="00D85D5B">
      <w:pPr>
        <w:pStyle w:val="ListParagraph"/>
        <w:numPr>
          <w:ilvl w:val="1"/>
          <w:numId w:val="6"/>
        </w:numPr>
        <w:spacing w:after="120" w:line="240" w:lineRule="auto"/>
        <w:ind w:left="964" w:hanging="397"/>
        <w:contextualSpacing w:val="0"/>
        <w:jc w:val="both"/>
        <w:rPr>
          <w:rFonts w:cs="Arial"/>
          <w:lang w:val="es-ES"/>
        </w:rPr>
      </w:pPr>
      <w:r w:rsidRPr="00D85D5B">
        <w:rPr>
          <w:rFonts w:cs="Arial"/>
          <w:lang w:val="es-ES"/>
        </w:rPr>
        <w:t>la protección de los lugares terrestres de contaminación (por ejemplo, vertederos, basureros a cielo abierto, emplazamientos contaminados) contra la inundación causada por marejadas ciclónicas/inundaciones costeras, tormentas extremas/precipitaciones (ríos atmosféricos) y la subida del nivel del mar;</w:t>
      </w:r>
    </w:p>
    <w:p w14:paraId="7155FE87" w14:textId="77777777" w:rsidR="00D85D5B" w:rsidRPr="00D85D5B" w:rsidRDefault="00D85D5B" w:rsidP="00D85D5B">
      <w:pPr>
        <w:pStyle w:val="ListParagraph"/>
        <w:numPr>
          <w:ilvl w:val="1"/>
          <w:numId w:val="6"/>
        </w:numPr>
        <w:spacing w:after="120" w:line="240" w:lineRule="auto"/>
        <w:ind w:left="964" w:hanging="397"/>
        <w:contextualSpacing w:val="0"/>
        <w:jc w:val="both"/>
        <w:rPr>
          <w:rFonts w:cs="Arial"/>
          <w:lang w:val="es-ES"/>
        </w:rPr>
      </w:pPr>
      <w:r w:rsidRPr="00D85D5B">
        <w:rPr>
          <w:rFonts w:cs="Arial"/>
          <w:lang w:val="es-ES"/>
        </w:rPr>
        <w:t>la prevención y reducción de las descargas de nutrientes, sedimentos y aguas residuales al medio marino a través de ríos/estuarios/cuencas hidrográficas o directamente;</w:t>
      </w:r>
    </w:p>
    <w:p w14:paraId="161509B2" w14:textId="15865BF3" w:rsidR="0046244E" w:rsidRPr="00C60BE9" w:rsidRDefault="00D85D5B" w:rsidP="0046244E">
      <w:pPr>
        <w:pStyle w:val="ListParagraph"/>
        <w:numPr>
          <w:ilvl w:val="1"/>
          <w:numId w:val="6"/>
        </w:numPr>
        <w:spacing w:after="120" w:line="240" w:lineRule="auto"/>
        <w:ind w:left="964" w:hanging="397"/>
        <w:contextualSpacing w:val="0"/>
        <w:jc w:val="both"/>
        <w:rPr>
          <w:rFonts w:cs="Arial"/>
          <w:lang w:val="es-ES"/>
        </w:rPr>
      </w:pPr>
      <w:r w:rsidRPr="00D85D5B">
        <w:rPr>
          <w:rFonts w:cs="Arial"/>
          <w:lang w:val="es-ES"/>
        </w:rPr>
        <w:t xml:space="preserve">la prevención y la reducción de </w:t>
      </w:r>
      <w:r w:rsidR="00B351AB">
        <w:rPr>
          <w:rFonts w:cs="Arial"/>
          <w:lang w:val="es-ES"/>
        </w:rPr>
        <w:t>derrames</w:t>
      </w:r>
      <w:r w:rsidRPr="00D85D5B">
        <w:rPr>
          <w:rFonts w:cs="Arial"/>
          <w:lang w:val="es-ES"/>
        </w:rPr>
        <w:t xml:space="preserve">, fugas </w:t>
      </w:r>
      <w:r w:rsidR="0046244E">
        <w:rPr>
          <w:rFonts w:cs="Arial"/>
          <w:lang w:val="es-ES"/>
        </w:rPr>
        <w:t xml:space="preserve">y vertidos procedentes de </w:t>
      </w:r>
      <w:r w:rsidRPr="00D85D5B">
        <w:rPr>
          <w:rFonts w:cs="Arial"/>
          <w:lang w:val="es-ES"/>
        </w:rPr>
        <w:t xml:space="preserve">las industrias costeras (por ejemplo, industrias petroquímicas y de refinería, </w:t>
      </w:r>
      <w:r w:rsidR="0046244E">
        <w:rPr>
          <w:rFonts w:cs="Arial"/>
          <w:lang w:val="es-ES"/>
        </w:rPr>
        <w:t>incluidas</w:t>
      </w:r>
      <w:r w:rsidR="00E90C89">
        <w:rPr>
          <w:rFonts w:cs="Arial"/>
          <w:lang w:val="es-ES"/>
        </w:rPr>
        <w:t xml:space="preserve"> la minería terrestre,</w:t>
      </w:r>
      <w:r w:rsidR="0046244E">
        <w:rPr>
          <w:rFonts w:cs="Arial"/>
          <w:lang w:val="es-ES"/>
        </w:rPr>
        <w:t xml:space="preserve"> </w:t>
      </w:r>
      <w:r w:rsidRPr="00D85D5B">
        <w:rPr>
          <w:rFonts w:cs="Arial"/>
          <w:lang w:val="es-ES"/>
        </w:rPr>
        <w:t xml:space="preserve">oleoductos, estaciones de transferencia, buques tanque), incluso durante la transferencia de materiales, y de las bases militares abandonadas como fuentes de hidrocarburos aromáticos policíclicos </w:t>
      </w:r>
      <w:r w:rsidRPr="00D85D5B">
        <w:rPr>
          <w:rFonts w:eastAsia="Aptos" w:cs="Arial"/>
          <w:lang w:val="es-ES"/>
        </w:rPr>
        <w:t>(</w:t>
      </w:r>
      <w:r w:rsidRPr="00D85D5B">
        <w:rPr>
          <w:rFonts w:cs="Arial"/>
          <w:lang w:val="es-ES"/>
        </w:rPr>
        <w:t xml:space="preserve">HAP) y otros contaminantes orgánicos persistentes </w:t>
      </w:r>
      <w:r w:rsidRPr="00D85D5B">
        <w:rPr>
          <w:rFonts w:eastAsia="Aptos" w:cs="Arial"/>
          <w:lang w:val="es-ES"/>
        </w:rPr>
        <w:t>(</w:t>
      </w:r>
      <w:r w:rsidRPr="00D85D5B">
        <w:rPr>
          <w:rFonts w:cs="Arial"/>
          <w:lang w:val="es-ES"/>
        </w:rPr>
        <w:t xml:space="preserve">COP), principalmente bifenilos policlorados (PCB), éteres </w:t>
      </w:r>
      <w:proofErr w:type="spellStart"/>
      <w:r w:rsidRPr="00D85D5B">
        <w:rPr>
          <w:rFonts w:cs="Arial"/>
          <w:lang w:val="es-ES"/>
        </w:rPr>
        <w:t>difenílicos</w:t>
      </w:r>
      <w:proofErr w:type="spellEnd"/>
      <w:r w:rsidRPr="00D85D5B">
        <w:rPr>
          <w:rFonts w:cs="Arial"/>
          <w:lang w:val="es-ES"/>
        </w:rPr>
        <w:t xml:space="preserve"> </w:t>
      </w:r>
      <w:proofErr w:type="spellStart"/>
      <w:r w:rsidRPr="00D85D5B">
        <w:rPr>
          <w:rFonts w:cs="Arial"/>
          <w:lang w:val="es-ES"/>
        </w:rPr>
        <w:t>polibromados</w:t>
      </w:r>
      <w:proofErr w:type="spellEnd"/>
      <w:r w:rsidRPr="00D85D5B">
        <w:rPr>
          <w:rFonts w:cs="Arial"/>
          <w:lang w:val="es-ES"/>
        </w:rPr>
        <w:t xml:space="preserve"> (PBDE) y sustancias </w:t>
      </w:r>
      <w:proofErr w:type="spellStart"/>
      <w:r w:rsidRPr="00D85D5B">
        <w:rPr>
          <w:rFonts w:cs="Arial"/>
          <w:lang w:val="es-ES"/>
        </w:rPr>
        <w:t>perfluoroalquiladas</w:t>
      </w:r>
      <w:proofErr w:type="spellEnd"/>
      <w:r w:rsidRPr="00D85D5B">
        <w:rPr>
          <w:rFonts w:cs="Arial"/>
          <w:lang w:val="es-ES"/>
        </w:rPr>
        <w:t xml:space="preserve"> y </w:t>
      </w:r>
      <w:proofErr w:type="spellStart"/>
      <w:r w:rsidRPr="00D85D5B">
        <w:rPr>
          <w:rFonts w:cs="Arial"/>
          <w:lang w:val="es-ES"/>
        </w:rPr>
        <w:t>polifluoroalquiladas</w:t>
      </w:r>
      <w:proofErr w:type="spellEnd"/>
      <w:r w:rsidRPr="00D85D5B">
        <w:rPr>
          <w:rFonts w:eastAsia="Aptos" w:cs="Arial"/>
          <w:lang w:val="es-ES"/>
        </w:rPr>
        <w:t xml:space="preserve"> (</w:t>
      </w:r>
      <w:r w:rsidRPr="00D85D5B">
        <w:rPr>
          <w:rFonts w:cs="Arial"/>
          <w:lang w:val="es-ES"/>
        </w:rPr>
        <w:t>PFAS</w:t>
      </w:r>
      <w:r w:rsidRPr="00D85D5B">
        <w:rPr>
          <w:rFonts w:cs="Arial"/>
          <w:color w:val="000000" w:themeColor="text1"/>
          <w:lang w:val="es-ES"/>
        </w:rPr>
        <w:t>);</w:t>
      </w:r>
    </w:p>
    <w:p w14:paraId="5FE6C05A" w14:textId="262F7731" w:rsidR="00D85D5B" w:rsidRPr="00D85D5B" w:rsidRDefault="00D85D5B" w:rsidP="00D85D5B">
      <w:pPr>
        <w:pStyle w:val="ListParagraph"/>
        <w:numPr>
          <w:ilvl w:val="1"/>
          <w:numId w:val="6"/>
        </w:numPr>
        <w:spacing w:after="120" w:line="240" w:lineRule="auto"/>
        <w:ind w:left="964" w:hanging="397"/>
        <w:contextualSpacing w:val="0"/>
        <w:jc w:val="both"/>
        <w:rPr>
          <w:rFonts w:cs="Arial"/>
          <w:lang w:val="es-ES"/>
        </w:rPr>
      </w:pPr>
      <w:r w:rsidRPr="00D85D5B">
        <w:rPr>
          <w:rFonts w:cs="Arial"/>
          <w:lang w:val="es-ES"/>
        </w:rPr>
        <w:t>la prevención y reducción de los</w:t>
      </w:r>
      <w:r w:rsidR="00117CCE">
        <w:rPr>
          <w:rFonts w:cs="Arial"/>
          <w:lang w:val="es-ES"/>
        </w:rPr>
        <w:t xml:space="preserve"> derrame</w:t>
      </w:r>
      <w:r w:rsidRPr="00D85D5B">
        <w:rPr>
          <w:rFonts w:cs="Arial"/>
          <w:lang w:val="es-ES"/>
        </w:rPr>
        <w:t>s</w:t>
      </w:r>
      <w:r w:rsidR="00117CCE">
        <w:rPr>
          <w:rFonts w:cs="Arial"/>
          <w:lang w:val="es-ES"/>
        </w:rPr>
        <w:t>,</w:t>
      </w:r>
      <w:r w:rsidRPr="00D85D5B">
        <w:rPr>
          <w:rFonts w:cs="Arial"/>
          <w:lang w:val="es-ES"/>
        </w:rPr>
        <w:t xml:space="preserve"> pérdidas</w:t>
      </w:r>
      <w:r w:rsidR="00117CCE">
        <w:rPr>
          <w:rFonts w:cs="Arial"/>
          <w:lang w:val="es-ES"/>
        </w:rPr>
        <w:t xml:space="preserve"> y vertidos</w:t>
      </w:r>
      <w:r w:rsidRPr="00D85D5B">
        <w:rPr>
          <w:rFonts w:cs="Arial"/>
          <w:lang w:val="es-ES"/>
        </w:rPr>
        <w:t xml:space="preserve"> de materias primas de los buques durante el transporte y la transferencia en puertos, así como tras accidentes (por ejemplo, vertidos de </w:t>
      </w:r>
      <w:r w:rsidR="00117CCE" w:rsidRPr="00D85D5B">
        <w:rPr>
          <w:rFonts w:cs="Arial"/>
          <w:lang w:val="es-ES"/>
        </w:rPr>
        <w:t>pellets</w:t>
      </w:r>
      <w:r w:rsidRPr="00D85D5B">
        <w:rPr>
          <w:rFonts w:cs="Arial"/>
          <w:lang w:val="es-ES"/>
        </w:rPr>
        <w:t xml:space="preserve"> plásticos y otros tipos de plásticos, combustibles y aceites);</w:t>
      </w:r>
    </w:p>
    <w:p w14:paraId="326E38A1" w14:textId="2453E491" w:rsidR="00D85D5B" w:rsidRPr="00D85D5B" w:rsidRDefault="009B37FD" w:rsidP="00D85D5B">
      <w:pPr>
        <w:pStyle w:val="ListParagraph"/>
        <w:numPr>
          <w:ilvl w:val="1"/>
          <w:numId w:val="6"/>
        </w:numPr>
        <w:spacing w:after="120" w:line="240" w:lineRule="auto"/>
        <w:ind w:left="964" w:hanging="397"/>
        <w:contextualSpacing w:val="0"/>
        <w:jc w:val="both"/>
        <w:rPr>
          <w:rFonts w:cs="Arial"/>
          <w:lang w:val="es-ES"/>
        </w:rPr>
      </w:pPr>
      <w:r w:rsidRPr="009B37FD">
        <w:rPr>
          <w:rFonts w:cs="Arial"/>
          <w:lang w:val="es-ES"/>
        </w:rPr>
        <w:t>la rápida atención prestada a los contaminantes químicos nocivos para las especies migratorias, entre otras cosas mediante la cooperación con los Convenios de Basilea, Rotterdam y Estocolmo (BRS) sobre sustancias químicas peligrosas prohibidas o restringidas en virtud de dichos Convenios;</w:t>
      </w:r>
    </w:p>
    <w:p w14:paraId="497F3C99" w14:textId="2C1815F3" w:rsidR="00D85D5B" w:rsidRPr="00D85D5B" w:rsidRDefault="00D85D5B" w:rsidP="00D85D5B">
      <w:pPr>
        <w:pStyle w:val="ListParagraph"/>
        <w:numPr>
          <w:ilvl w:val="1"/>
          <w:numId w:val="6"/>
        </w:numPr>
        <w:spacing w:after="120" w:line="240" w:lineRule="auto"/>
        <w:ind w:left="964" w:hanging="397"/>
        <w:contextualSpacing w:val="0"/>
        <w:jc w:val="both"/>
        <w:rPr>
          <w:rFonts w:cs="Arial"/>
          <w:lang w:val="es-ES"/>
        </w:rPr>
      </w:pPr>
      <w:r w:rsidRPr="00D85D5B">
        <w:rPr>
          <w:rFonts w:cs="Arial"/>
          <w:lang w:val="es-ES"/>
        </w:rPr>
        <w:t>El reconocimiento de las PFAS como una amenaza transfronteriza emergente, en la actualidad ampliamente detectada en depredadores ápice</w:t>
      </w:r>
      <w:r w:rsidR="00A01E12">
        <w:rPr>
          <w:rFonts w:cs="Arial"/>
          <w:lang w:val="es-ES"/>
        </w:rPr>
        <w:t>,</w:t>
      </w:r>
      <w:r w:rsidRPr="00D85D5B">
        <w:rPr>
          <w:rFonts w:cs="Arial"/>
          <w:lang w:val="es-ES"/>
        </w:rPr>
        <w:t xml:space="preserve"> </w:t>
      </w:r>
      <w:r w:rsidR="00A01E12" w:rsidRPr="00A01E12">
        <w:rPr>
          <w:rFonts w:cs="Arial"/>
          <w:lang w:val="es-ES"/>
        </w:rPr>
        <w:t>y que sigue siendo objeto de debate y de una regulación parcial en el marco de los convenios de la BRS, entre otros, po</w:t>
      </w:r>
      <w:r w:rsidR="00A01E12">
        <w:rPr>
          <w:rFonts w:cs="Arial"/>
          <w:lang w:val="es-ES"/>
        </w:rPr>
        <w:t>r:</w:t>
      </w:r>
    </w:p>
    <w:p w14:paraId="314497B1" w14:textId="6BF7730E" w:rsidR="00D85D5B" w:rsidRPr="00D85D5B" w:rsidRDefault="00D85D5B" w:rsidP="00D85D5B">
      <w:pPr>
        <w:pStyle w:val="ListParagraph"/>
        <w:numPr>
          <w:ilvl w:val="2"/>
          <w:numId w:val="5"/>
        </w:numPr>
        <w:spacing w:after="80" w:line="240" w:lineRule="auto"/>
        <w:ind w:left="1325" w:hanging="187"/>
        <w:contextualSpacing w:val="0"/>
        <w:jc w:val="both"/>
        <w:rPr>
          <w:rFonts w:cs="Arial"/>
          <w:lang w:val="es-ES"/>
        </w:rPr>
      </w:pPr>
      <w:r w:rsidRPr="00D85D5B">
        <w:rPr>
          <w:rFonts w:cs="Arial"/>
          <w:lang w:val="es-ES"/>
        </w:rPr>
        <w:lastRenderedPageBreak/>
        <w:t>promover medidas más amplias y preventivas sobre los PFAS, conocidos por su persistencia, su potencial de bioacumulación</w:t>
      </w:r>
      <w:r w:rsidR="00413CD4">
        <w:rPr>
          <w:rFonts w:cs="Arial"/>
          <w:lang w:val="es-ES"/>
        </w:rPr>
        <w:t xml:space="preserve">, su toxicidad </w:t>
      </w:r>
      <w:r w:rsidRPr="00D85D5B">
        <w:rPr>
          <w:rFonts w:cs="Arial"/>
          <w:lang w:val="es-ES"/>
        </w:rPr>
        <w:t>y su detección en especies migratorias;</w:t>
      </w:r>
      <w:r w:rsidR="00B11994">
        <w:rPr>
          <w:rFonts w:cs="Arial"/>
          <w:lang w:val="es-ES"/>
        </w:rPr>
        <w:t xml:space="preserve"> y</w:t>
      </w:r>
    </w:p>
    <w:p w14:paraId="4CC49C70" w14:textId="02717132" w:rsidR="00D85D5B" w:rsidRPr="00D85D5B" w:rsidRDefault="00D85D5B" w:rsidP="00D85D5B">
      <w:pPr>
        <w:pStyle w:val="ListParagraph"/>
        <w:numPr>
          <w:ilvl w:val="2"/>
          <w:numId w:val="5"/>
        </w:numPr>
        <w:spacing w:after="0" w:line="240" w:lineRule="auto"/>
        <w:ind w:left="1315" w:hanging="181"/>
        <w:contextualSpacing w:val="0"/>
        <w:jc w:val="both"/>
        <w:rPr>
          <w:rFonts w:cs="Arial"/>
          <w:lang w:val="es-ES"/>
        </w:rPr>
      </w:pPr>
      <w:r w:rsidRPr="00D85D5B">
        <w:rPr>
          <w:rFonts w:cs="Arial"/>
          <w:lang w:val="es-ES"/>
        </w:rPr>
        <w:t>la solicitud de una vigilancia armonizada</w:t>
      </w:r>
      <w:r w:rsidR="00B11994">
        <w:rPr>
          <w:rFonts w:cs="Arial"/>
          <w:lang w:val="es-ES"/>
        </w:rPr>
        <w:t xml:space="preserve"> de los PFAS</w:t>
      </w:r>
      <w:r w:rsidRPr="00D85D5B">
        <w:rPr>
          <w:rFonts w:cs="Arial"/>
          <w:lang w:val="es-ES"/>
        </w:rPr>
        <w:t xml:space="preserve"> en especies migratorias;</w:t>
      </w:r>
    </w:p>
    <w:p w14:paraId="2DB25845" w14:textId="77777777" w:rsidR="00D85D5B" w:rsidRPr="00D85D5B" w:rsidRDefault="00D85D5B" w:rsidP="00D85D5B">
      <w:pPr>
        <w:pStyle w:val="ListParagraph"/>
        <w:spacing w:after="0" w:line="240" w:lineRule="auto"/>
        <w:ind w:left="2160"/>
        <w:jc w:val="both"/>
        <w:rPr>
          <w:rFonts w:cs="Arial"/>
          <w:lang w:val="es-ES"/>
        </w:rPr>
      </w:pPr>
    </w:p>
    <w:p w14:paraId="468C19E2" w14:textId="3E71712E" w:rsidR="00D85D5B" w:rsidRPr="00BE5872" w:rsidRDefault="00D85D5B" w:rsidP="00B91D4A">
      <w:pPr>
        <w:pStyle w:val="ListParagraph"/>
        <w:numPr>
          <w:ilvl w:val="1"/>
          <w:numId w:val="6"/>
        </w:numPr>
        <w:spacing w:after="0" w:line="240" w:lineRule="auto"/>
        <w:ind w:left="964" w:hanging="397"/>
        <w:contextualSpacing w:val="0"/>
        <w:jc w:val="both"/>
        <w:rPr>
          <w:rFonts w:cs="Arial"/>
          <w:lang w:val="es-ES"/>
        </w:rPr>
      </w:pPr>
      <w:r w:rsidRPr="00D85D5B">
        <w:rPr>
          <w:rFonts w:cs="Arial"/>
          <w:lang w:val="es-ES"/>
        </w:rPr>
        <w:t xml:space="preserve">la regulación y reducción de la contaminación causada por la pesca y el tráfico marítimo, en particular los aparejos de pesca abandonados, perdidos o descartados (ALDFG) y otras formas de contaminación derivadas de </w:t>
      </w:r>
      <w:r w:rsidR="006F024C" w:rsidRPr="006F024C">
        <w:rPr>
          <w:rFonts w:cs="Arial"/>
          <w:lang w:val="es-ES"/>
        </w:rPr>
        <w:t xml:space="preserve">los buques, incluidos los vertidos de residuos y basura, los vertidos de los depuradores de gases químicos, sustancias químicas tóxicas o </w:t>
      </w:r>
      <w:proofErr w:type="spellStart"/>
      <w:r w:rsidR="006F024C" w:rsidRPr="006F024C">
        <w:rPr>
          <w:rFonts w:cs="Arial"/>
          <w:lang w:val="es-ES"/>
        </w:rPr>
        <w:t>microplásticos</w:t>
      </w:r>
      <w:proofErr w:type="spellEnd"/>
      <w:r w:rsidR="006F024C" w:rsidRPr="006F024C">
        <w:rPr>
          <w:rFonts w:cs="Arial"/>
          <w:lang w:val="es-ES"/>
        </w:rPr>
        <w:t xml:space="preserve"> utilizados en las pinturas de los buques, así como los impactos físicos y de otro tipo, como el ruido y la contaminación atmosférica y lumínica, teniendo en cuenta las necesidades y circunstancias especiales de los pescadores artesanales y de pequeña escala, y de conformidad con los compromisos internacionales pertinentes;</w:t>
      </w:r>
    </w:p>
    <w:p w14:paraId="44E4986A" w14:textId="77777777" w:rsidR="00B91D4A" w:rsidRPr="00B91D4A" w:rsidRDefault="00B91D4A" w:rsidP="00B91D4A">
      <w:pPr>
        <w:pStyle w:val="ListParagraph"/>
        <w:spacing w:after="0" w:line="240" w:lineRule="auto"/>
        <w:ind w:left="567"/>
        <w:contextualSpacing w:val="0"/>
        <w:jc w:val="both"/>
        <w:rPr>
          <w:rFonts w:cs="Arial"/>
          <w:i/>
          <w:lang w:val="es-ES"/>
        </w:rPr>
      </w:pPr>
    </w:p>
    <w:p w14:paraId="0519600D" w14:textId="77777777" w:rsidR="00B91D4A" w:rsidRPr="00B91D4A" w:rsidRDefault="00B91D4A" w:rsidP="00B91D4A">
      <w:pPr>
        <w:pStyle w:val="ListParagraph"/>
        <w:numPr>
          <w:ilvl w:val="0"/>
          <w:numId w:val="5"/>
        </w:numPr>
        <w:spacing w:after="0" w:line="240" w:lineRule="auto"/>
        <w:ind w:left="567" w:hanging="567"/>
        <w:contextualSpacing w:val="0"/>
        <w:jc w:val="both"/>
        <w:rPr>
          <w:rFonts w:cs="Arial"/>
          <w:i/>
          <w:lang w:val="es-ES"/>
        </w:rPr>
      </w:pPr>
      <w:r w:rsidRPr="00B91D4A">
        <w:rPr>
          <w:rFonts w:cs="Arial"/>
          <w:i/>
          <w:lang w:val="es-ES"/>
        </w:rPr>
        <w:t xml:space="preserve">Insta además </w:t>
      </w:r>
      <w:r w:rsidRPr="00B91D4A">
        <w:rPr>
          <w:rFonts w:cs="Arial"/>
          <w:iCs/>
          <w:lang w:val="es-ES"/>
        </w:rPr>
        <w:t>a las Partes a elaborar estrategias de conservación para los animales migratorios que aborden la contaminación, especialmente durante etapas particularmente vulnerables del ciclo migratorio, incluidas las zonas de alimentación, los lugares de reproducción, los corredores migratorios (especialmente a lo largo de las costas) y los corredores biológicos regionales y, cuando corresponda, durante las etapas oceánicas de la vida (por ejemplo, en las tortugas marinas);</w:t>
      </w:r>
    </w:p>
    <w:p w14:paraId="5A4812B9" w14:textId="77777777" w:rsidR="00B91D4A" w:rsidRPr="00B91D4A" w:rsidRDefault="00B91D4A" w:rsidP="00B91D4A">
      <w:pPr>
        <w:pStyle w:val="ListParagraph"/>
        <w:spacing w:after="0" w:line="240" w:lineRule="auto"/>
        <w:ind w:left="567"/>
        <w:contextualSpacing w:val="0"/>
        <w:jc w:val="both"/>
        <w:rPr>
          <w:rFonts w:cs="Arial"/>
          <w:lang w:val="es-ES"/>
        </w:rPr>
      </w:pPr>
    </w:p>
    <w:p w14:paraId="07C9C5D3" w14:textId="58148D4D" w:rsidR="00D85D5B" w:rsidRPr="00D85D5B" w:rsidRDefault="00D85D5B" w:rsidP="00D85D5B">
      <w:pPr>
        <w:pStyle w:val="ListParagraph"/>
        <w:numPr>
          <w:ilvl w:val="0"/>
          <w:numId w:val="5"/>
        </w:numPr>
        <w:spacing w:after="0" w:line="240" w:lineRule="auto"/>
        <w:ind w:left="567" w:hanging="567"/>
        <w:contextualSpacing w:val="0"/>
        <w:jc w:val="both"/>
        <w:rPr>
          <w:rFonts w:cs="Arial"/>
          <w:lang w:val="es-ES"/>
        </w:rPr>
      </w:pPr>
      <w:r w:rsidRPr="00D85D5B">
        <w:rPr>
          <w:rFonts w:cs="Arial"/>
          <w:i/>
          <w:lang w:val="es-ES"/>
        </w:rPr>
        <w:t xml:space="preserve">Hace un llamamiento a las </w:t>
      </w:r>
      <w:r w:rsidRPr="00D85D5B">
        <w:rPr>
          <w:rFonts w:cs="Arial"/>
          <w:lang w:val="es-ES"/>
        </w:rPr>
        <w:t xml:space="preserve">Partes a dar prioridad a la adopción de medidas </w:t>
      </w:r>
      <w:r w:rsidR="00DC4070">
        <w:rPr>
          <w:rFonts w:cs="Arial"/>
          <w:lang w:val="es-ES"/>
        </w:rPr>
        <w:t xml:space="preserve">efectivas </w:t>
      </w:r>
      <w:r w:rsidRPr="00D85D5B">
        <w:rPr>
          <w:rFonts w:cs="Arial"/>
          <w:lang w:val="es-ES"/>
        </w:rPr>
        <w:t>y sostenibles en las zonas donde los hábitats críticos se superponen con puntos críticos de contaminación, incluidas:</w:t>
      </w:r>
    </w:p>
    <w:p w14:paraId="62B6F782" w14:textId="77777777" w:rsidR="00D85D5B" w:rsidRPr="00D85D5B" w:rsidRDefault="00D85D5B" w:rsidP="00D85D5B">
      <w:pPr>
        <w:pStyle w:val="ListParagraph"/>
        <w:spacing w:after="0" w:line="240" w:lineRule="auto"/>
        <w:contextualSpacing w:val="0"/>
        <w:rPr>
          <w:rFonts w:cs="Arial"/>
          <w:lang w:val="es-ES"/>
        </w:rPr>
      </w:pPr>
    </w:p>
    <w:p w14:paraId="2042177C" w14:textId="77777777" w:rsidR="00D85D5B" w:rsidRPr="00D85D5B" w:rsidRDefault="00D85D5B" w:rsidP="00D85D5B">
      <w:pPr>
        <w:pStyle w:val="ListParagraph"/>
        <w:numPr>
          <w:ilvl w:val="1"/>
          <w:numId w:val="8"/>
        </w:numPr>
        <w:spacing w:after="120" w:line="240" w:lineRule="auto"/>
        <w:ind w:left="964" w:hanging="397"/>
        <w:contextualSpacing w:val="0"/>
        <w:jc w:val="both"/>
        <w:rPr>
          <w:rFonts w:cs="Arial"/>
          <w:lang w:val="es-ES"/>
        </w:rPr>
      </w:pPr>
      <w:r w:rsidRPr="00D85D5B">
        <w:rPr>
          <w:rFonts w:cs="Arial"/>
          <w:lang w:val="es-ES"/>
        </w:rPr>
        <w:t xml:space="preserve">las zonas costeras, especialmente en las proximidades de zonas industriales, ciudades y fuentes de contaminación, y con respecto a </w:t>
      </w:r>
      <w:proofErr w:type="spellStart"/>
      <w:r w:rsidRPr="00D85D5B">
        <w:rPr>
          <w:rFonts w:cs="Arial"/>
          <w:lang w:val="es-ES"/>
        </w:rPr>
        <w:t>macroplásticos</w:t>
      </w:r>
      <w:proofErr w:type="spellEnd"/>
      <w:r w:rsidRPr="00D85D5B">
        <w:rPr>
          <w:rFonts w:cs="Arial"/>
          <w:lang w:val="es-ES"/>
        </w:rPr>
        <w:t>, metales traza, PPCP, contaminación química y lumínica;</w:t>
      </w:r>
    </w:p>
    <w:p w14:paraId="228BC10C" w14:textId="77777777" w:rsidR="00D85D5B" w:rsidRPr="00D85D5B" w:rsidRDefault="00D85D5B" w:rsidP="00D85D5B">
      <w:pPr>
        <w:pStyle w:val="ListParagraph"/>
        <w:numPr>
          <w:ilvl w:val="1"/>
          <w:numId w:val="8"/>
        </w:numPr>
        <w:spacing w:after="120" w:line="240" w:lineRule="auto"/>
        <w:ind w:left="964" w:hanging="397"/>
        <w:contextualSpacing w:val="0"/>
        <w:jc w:val="both"/>
        <w:rPr>
          <w:rFonts w:cs="Arial"/>
          <w:lang w:val="es-ES"/>
        </w:rPr>
      </w:pPr>
      <w:r w:rsidRPr="00D85D5B">
        <w:rPr>
          <w:rFonts w:cs="Arial"/>
          <w:lang w:val="es-ES"/>
        </w:rPr>
        <w:t>los grandes giros oceánicos y otras posibles «trampas ecológicas», incluidas las zonas frontales;</w:t>
      </w:r>
    </w:p>
    <w:p w14:paraId="6679AA65" w14:textId="77777777" w:rsidR="00D85D5B" w:rsidRPr="00D85D5B" w:rsidRDefault="00D85D5B" w:rsidP="00D85D5B">
      <w:pPr>
        <w:pStyle w:val="ListParagraph"/>
        <w:numPr>
          <w:ilvl w:val="1"/>
          <w:numId w:val="8"/>
        </w:numPr>
        <w:spacing w:after="120" w:line="240" w:lineRule="auto"/>
        <w:ind w:left="964" w:hanging="397"/>
        <w:contextualSpacing w:val="0"/>
        <w:jc w:val="both"/>
        <w:rPr>
          <w:rFonts w:cs="Arial"/>
          <w:lang w:val="es-ES"/>
        </w:rPr>
      </w:pPr>
      <w:r w:rsidRPr="00D85D5B">
        <w:rPr>
          <w:rFonts w:cs="Arial"/>
          <w:lang w:val="es-ES"/>
        </w:rPr>
        <w:t>Las zonas de océano abierto donde coinciden las actividades de alimentación, la alta productividad oceánica, la biodiversidad y la contaminación por plásticos;</w:t>
      </w:r>
    </w:p>
    <w:p w14:paraId="648AD801" w14:textId="77777777" w:rsidR="00D85D5B" w:rsidRPr="00D85D5B" w:rsidRDefault="00D85D5B" w:rsidP="00D85D5B">
      <w:pPr>
        <w:pStyle w:val="ListParagraph"/>
        <w:numPr>
          <w:ilvl w:val="1"/>
          <w:numId w:val="8"/>
        </w:numPr>
        <w:spacing w:after="120" w:line="240" w:lineRule="auto"/>
        <w:ind w:left="964" w:hanging="397"/>
        <w:contextualSpacing w:val="0"/>
        <w:jc w:val="both"/>
        <w:rPr>
          <w:rFonts w:cs="Arial"/>
          <w:lang w:val="es-ES"/>
        </w:rPr>
      </w:pPr>
      <w:r w:rsidRPr="00D85D5B">
        <w:rPr>
          <w:rFonts w:cs="Arial"/>
          <w:lang w:val="es-ES"/>
        </w:rPr>
        <w:t>los corredores migratorios, especialmente a lo largo de las costas (observando que algunas rutas migratorias ya están cambiando debido al cambio climático) y los corredores marinos oceánicos (por ejemplo, el corredor marino del Pacífico Este Tropical);</w:t>
      </w:r>
    </w:p>
    <w:p w14:paraId="3D8D8D1C" w14:textId="2D5DEC92" w:rsidR="00D85D5B" w:rsidRPr="00D85D5B" w:rsidRDefault="00D85D5B" w:rsidP="00D85D5B">
      <w:pPr>
        <w:pStyle w:val="ListParagraph"/>
        <w:numPr>
          <w:ilvl w:val="1"/>
          <w:numId w:val="8"/>
        </w:numPr>
        <w:spacing w:after="120" w:line="240" w:lineRule="auto"/>
        <w:ind w:left="964" w:hanging="397"/>
        <w:contextualSpacing w:val="0"/>
        <w:jc w:val="both"/>
        <w:rPr>
          <w:rFonts w:cs="Arial"/>
          <w:lang w:val="es-ES"/>
        </w:rPr>
      </w:pPr>
      <w:r w:rsidRPr="00D85D5B">
        <w:rPr>
          <w:rFonts w:cs="Arial"/>
          <w:lang w:val="es-ES"/>
        </w:rPr>
        <w:t>la zona Clarion-Clipperton</w:t>
      </w:r>
      <w:r w:rsidR="00CF0385">
        <w:rPr>
          <w:rFonts w:cs="Arial"/>
          <w:lang w:val="es-ES"/>
        </w:rPr>
        <w:t>;</w:t>
      </w:r>
    </w:p>
    <w:p w14:paraId="7A6B307A" w14:textId="77777777" w:rsidR="00D85D5B" w:rsidRPr="00D85D5B" w:rsidRDefault="00D85D5B" w:rsidP="00D85D5B">
      <w:pPr>
        <w:pStyle w:val="ListParagraph"/>
        <w:numPr>
          <w:ilvl w:val="1"/>
          <w:numId w:val="8"/>
        </w:numPr>
        <w:spacing w:after="120" w:line="240" w:lineRule="auto"/>
        <w:ind w:left="964" w:hanging="397"/>
        <w:contextualSpacing w:val="0"/>
        <w:jc w:val="both"/>
        <w:rPr>
          <w:rFonts w:cs="Arial"/>
          <w:lang w:val="es-ES"/>
        </w:rPr>
      </w:pPr>
      <w:r w:rsidRPr="00D85D5B">
        <w:rPr>
          <w:rFonts w:cs="Arial"/>
          <w:lang w:val="es-ES"/>
        </w:rPr>
        <w:t>el mar Mediterráneo;</w:t>
      </w:r>
    </w:p>
    <w:p w14:paraId="7D2FB932" w14:textId="77777777" w:rsidR="00D85D5B" w:rsidRPr="00D85D5B" w:rsidRDefault="00D85D5B" w:rsidP="00D85D5B">
      <w:pPr>
        <w:pStyle w:val="ListParagraph"/>
        <w:numPr>
          <w:ilvl w:val="1"/>
          <w:numId w:val="8"/>
        </w:numPr>
        <w:spacing w:after="120" w:line="240" w:lineRule="auto"/>
        <w:ind w:left="964" w:hanging="397"/>
        <w:contextualSpacing w:val="0"/>
        <w:jc w:val="both"/>
        <w:rPr>
          <w:rFonts w:cs="Arial"/>
          <w:lang w:val="es-ES"/>
        </w:rPr>
      </w:pPr>
      <w:r w:rsidRPr="00D85D5B">
        <w:rPr>
          <w:rFonts w:cs="Arial"/>
          <w:lang w:val="es-ES"/>
        </w:rPr>
        <w:t>los océanos Pacífico Norte y Atlántico Norte; y</w:t>
      </w:r>
    </w:p>
    <w:p w14:paraId="2AE09D30" w14:textId="25C7856A" w:rsidR="00D85D5B" w:rsidRPr="00D85D5B" w:rsidRDefault="00D85D5B" w:rsidP="00D85D5B">
      <w:pPr>
        <w:pStyle w:val="ListParagraph"/>
        <w:numPr>
          <w:ilvl w:val="1"/>
          <w:numId w:val="8"/>
        </w:numPr>
        <w:spacing w:after="0" w:line="240" w:lineRule="auto"/>
        <w:ind w:left="964" w:hanging="397"/>
        <w:contextualSpacing w:val="0"/>
        <w:jc w:val="both"/>
        <w:rPr>
          <w:rFonts w:cs="Arial"/>
          <w:lang w:val="es-ES"/>
        </w:rPr>
      </w:pPr>
      <w:r w:rsidRPr="00D85D5B">
        <w:rPr>
          <w:rFonts w:cs="Arial"/>
          <w:lang w:val="es-ES"/>
        </w:rPr>
        <w:t>el océano Índico oriental y el Sudeste Asiático</w:t>
      </w:r>
      <w:r w:rsidR="00CF0385">
        <w:rPr>
          <w:rFonts w:cs="Arial"/>
          <w:lang w:val="es-ES"/>
        </w:rPr>
        <w:t>.</w:t>
      </w:r>
    </w:p>
    <w:p w14:paraId="05FB152E" w14:textId="77777777" w:rsidR="00D85D5B" w:rsidRPr="00D85D5B" w:rsidRDefault="00D85D5B" w:rsidP="00D85D5B">
      <w:pPr>
        <w:jc w:val="both"/>
        <w:rPr>
          <w:rFonts w:ascii="Arial" w:hAnsi="Arial" w:cs="Arial"/>
          <w:color w:val="000000" w:themeColor="text1"/>
          <w:sz w:val="22"/>
          <w:szCs w:val="22"/>
          <w:lang w:val="es-ES"/>
        </w:rPr>
      </w:pPr>
    </w:p>
    <w:p w14:paraId="0C6837EB" w14:textId="6225B6FC" w:rsidR="00D85D5B" w:rsidRPr="00D85D5B" w:rsidRDefault="00D85D5B" w:rsidP="00D85D5B">
      <w:pPr>
        <w:pStyle w:val="ListParagraph"/>
        <w:numPr>
          <w:ilvl w:val="0"/>
          <w:numId w:val="5"/>
        </w:numPr>
        <w:spacing w:after="0" w:line="240" w:lineRule="auto"/>
        <w:ind w:left="567" w:hanging="567"/>
        <w:contextualSpacing w:val="0"/>
        <w:jc w:val="both"/>
        <w:rPr>
          <w:rFonts w:cs="Arial"/>
          <w:color w:val="000000" w:themeColor="text1"/>
          <w:lang w:val="es-ES"/>
        </w:rPr>
      </w:pPr>
      <w:r w:rsidRPr="00D85D5B">
        <w:rPr>
          <w:rFonts w:cs="Arial"/>
          <w:i/>
          <w:iCs/>
          <w:color w:val="000000" w:themeColor="text1"/>
          <w:lang w:val="es-ES"/>
        </w:rPr>
        <w:t xml:space="preserve">Insta a las </w:t>
      </w:r>
      <w:r w:rsidRPr="00D85D5B">
        <w:rPr>
          <w:rFonts w:cs="Arial"/>
          <w:color w:val="000000" w:themeColor="text1"/>
          <w:lang w:val="es-ES"/>
        </w:rPr>
        <w:t xml:space="preserve">Partes a velar por que </w:t>
      </w:r>
      <w:r w:rsidR="00CF0385">
        <w:rPr>
          <w:rFonts w:cs="Arial"/>
          <w:color w:val="000000" w:themeColor="text1"/>
          <w:lang w:val="es-ES"/>
        </w:rPr>
        <w:t xml:space="preserve">la contaminación no provoque el desplazamiento de las especies migratorias de sus hábitats críticos ni tenga repercusiones negativas a largo plazo en sus comportamientos naturales o procesos biológicos </w:t>
      </w:r>
      <w:r w:rsidRPr="00D85D5B">
        <w:rPr>
          <w:rFonts w:cs="Arial"/>
          <w:color w:val="000000" w:themeColor="text1"/>
          <w:lang w:val="es-ES"/>
        </w:rPr>
        <w:t>como la alimentación, la reproducción y la migración;</w:t>
      </w:r>
    </w:p>
    <w:p w14:paraId="1535DA50" w14:textId="77777777" w:rsidR="00D85D5B" w:rsidRPr="00D85D5B" w:rsidRDefault="00D85D5B" w:rsidP="00D85D5B">
      <w:pPr>
        <w:jc w:val="both"/>
        <w:rPr>
          <w:rFonts w:ascii="Arial" w:hAnsi="Arial" w:cs="Arial"/>
          <w:color w:val="000000" w:themeColor="text1"/>
          <w:sz w:val="22"/>
          <w:szCs w:val="22"/>
          <w:lang w:val="es-ES"/>
        </w:rPr>
      </w:pPr>
    </w:p>
    <w:p w14:paraId="4E04DB6B" w14:textId="156AA34F" w:rsidR="00D85D5B" w:rsidRPr="00D85D5B" w:rsidRDefault="00D85D5B" w:rsidP="00D85D5B">
      <w:pPr>
        <w:pStyle w:val="ListParagraph"/>
        <w:numPr>
          <w:ilvl w:val="0"/>
          <w:numId w:val="5"/>
        </w:numPr>
        <w:spacing w:after="0" w:line="240" w:lineRule="auto"/>
        <w:ind w:left="567" w:hanging="567"/>
        <w:contextualSpacing w:val="0"/>
        <w:jc w:val="both"/>
        <w:rPr>
          <w:rFonts w:cs="Arial"/>
          <w:lang w:val="es-ES"/>
        </w:rPr>
      </w:pPr>
      <w:r w:rsidRPr="00D85D5B">
        <w:rPr>
          <w:rFonts w:cs="Arial"/>
          <w:i/>
          <w:iCs/>
          <w:lang w:val="es-ES"/>
        </w:rPr>
        <w:t xml:space="preserve">Alienta a las </w:t>
      </w:r>
      <w:r w:rsidRPr="00D85D5B">
        <w:rPr>
          <w:rFonts w:cs="Arial"/>
          <w:lang w:val="es-ES"/>
        </w:rPr>
        <w:t>Partes a reconocer y elaborar planes de conservación específicos (como planes de acción de especie única</w:t>
      </w:r>
      <w:r w:rsidR="00373E69">
        <w:rPr>
          <w:rFonts w:cs="Arial"/>
          <w:lang w:val="es-ES"/>
        </w:rPr>
        <w:t xml:space="preserve"> y de especies múltiples y planes de gestión de la conservación</w:t>
      </w:r>
      <w:r w:rsidRPr="00D85D5B">
        <w:rPr>
          <w:rFonts w:cs="Arial"/>
          <w:lang w:val="es-ES"/>
        </w:rPr>
        <w:t xml:space="preserve">) para mitigar la vulnerabilidad de las especies migratorias a las amenazas </w:t>
      </w:r>
      <w:r w:rsidRPr="00D85D5B">
        <w:rPr>
          <w:rFonts w:cs="Arial"/>
          <w:lang w:val="es-ES"/>
        </w:rPr>
        <w:lastRenderedPageBreak/>
        <w:t>combinadas de los contaminantes químicos y la alteración de las señales de migración</w:t>
      </w:r>
      <w:r w:rsidR="00373E69">
        <w:rPr>
          <w:rFonts w:cs="Arial"/>
          <w:lang w:val="es-ES"/>
        </w:rPr>
        <w:t xml:space="preserve"> </w:t>
      </w:r>
      <w:r w:rsidR="00373E69" w:rsidRPr="00373E69">
        <w:rPr>
          <w:rFonts w:cs="Arial"/>
          <w:lang w:val="es-ES"/>
        </w:rPr>
        <w:t>y otras presiones ejercidas a escala mundial;</w:t>
      </w:r>
      <w:r w:rsidRPr="00D85D5B">
        <w:rPr>
          <w:rFonts w:cs="Arial"/>
          <w:lang w:val="es-ES"/>
        </w:rPr>
        <w:t xml:space="preserve"> </w:t>
      </w:r>
    </w:p>
    <w:p w14:paraId="2B628618" w14:textId="77777777" w:rsidR="00D85D5B" w:rsidRPr="00D85D5B" w:rsidRDefault="00D85D5B" w:rsidP="00D85D5B">
      <w:pPr>
        <w:pStyle w:val="ListParagraph"/>
        <w:spacing w:after="0" w:line="240" w:lineRule="auto"/>
        <w:ind w:left="567" w:hanging="567"/>
        <w:contextualSpacing w:val="0"/>
        <w:jc w:val="both"/>
        <w:rPr>
          <w:rFonts w:cs="Arial"/>
          <w:lang w:val="es-ES"/>
        </w:rPr>
      </w:pPr>
    </w:p>
    <w:p w14:paraId="7DBF019C" w14:textId="77777777" w:rsidR="00D85D5B" w:rsidRPr="00D85D5B" w:rsidRDefault="00D85D5B" w:rsidP="00D85D5B">
      <w:pPr>
        <w:pStyle w:val="ListParagraph"/>
        <w:numPr>
          <w:ilvl w:val="0"/>
          <w:numId w:val="5"/>
        </w:numPr>
        <w:spacing w:after="0" w:line="240" w:lineRule="auto"/>
        <w:ind w:left="567" w:hanging="567"/>
        <w:contextualSpacing w:val="0"/>
        <w:jc w:val="both"/>
        <w:rPr>
          <w:rFonts w:cs="Arial"/>
          <w:lang w:val="es-ES"/>
        </w:rPr>
      </w:pPr>
      <w:r w:rsidRPr="00D85D5B">
        <w:rPr>
          <w:rFonts w:cs="Arial"/>
          <w:i/>
          <w:iCs/>
          <w:lang w:val="es-ES"/>
        </w:rPr>
        <w:t xml:space="preserve">Insta a las </w:t>
      </w:r>
      <w:r w:rsidRPr="00D85D5B">
        <w:rPr>
          <w:rFonts w:cs="Arial"/>
          <w:lang w:val="es-ES"/>
        </w:rPr>
        <w:t>Partes e</w:t>
      </w:r>
      <w:r w:rsidRPr="00D85D5B">
        <w:rPr>
          <w:rFonts w:cs="Arial"/>
          <w:i/>
          <w:iCs/>
          <w:lang w:val="es-ES"/>
        </w:rPr>
        <w:t xml:space="preserve"> invita</w:t>
      </w:r>
      <w:r w:rsidRPr="00D85D5B">
        <w:rPr>
          <w:rFonts w:cs="Arial"/>
          <w:lang w:val="es-ES"/>
        </w:rPr>
        <w:t xml:space="preserve"> a los Estados no Partes a incorporar explícitamente la naturaleza acumulativa, sinérgica e interactiva de las amenazas antropogénicas para las especies migratorias (en particular, entre la contaminación marina y el cambio climático) en sus análisis de riesgo, evaluaciones de impacto y planes de conservación;</w:t>
      </w:r>
    </w:p>
    <w:p w14:paraId="23ADB509" w14:textId="77777777" w:rsidR="00D85D5B" w:rsidRPr="00D85D5B" w:rsidRDefault="00D85D5B" w:rsidP="00D85D5B">
      <w:pPr>
        <w:pStyle w:val="ListParagraph"/>
        <w:spacing w:after="0" w:line="240" w:lineRule="auto"/>
        <w:ind w:left="567" w:hanging="567"/>
        <w:contextualSpacing w:val="0"/>
        <w:jc w:val="both"/>
        <w:rPr>
          <w:rFonts w:cs="Arial"/>
          <w:lang w:val="es-ES"/>
        </w:rPr>
      </w:pPr>
    </w:p>
    <w:p w14:paraId="5A06DB62" w14:textId="77777777" w:rsidR="00D85D5B" w:rsidRPr="00D85D5B" w:rsidRDefault="00D85D5B" w:rsidP="00D85D5B">
      <w:pPr>
        <w:pStyle w:val="ListParagraph"/>
        <w:numPr>
          <w:ilvl w:val="0"/>
          <w:numId w:val="5"/>
        </w:numPr>
        <w:spacing w:after="0" w:line="240" w:lineRule="auto"/>
        <w:ind w:left="567" w:hanging="567"/>
        <w:contextualSpacing w:val="0"/>
        <w:jc w:val="both"/>
        <w:rPr>
          <w:rFonts w:cs="Arial"/>
          <w:lang w:val="es-ES"/>
        </w:rPr>
      </w:pPr>
      <w:r w:rsidRPr="00D85D5B">
        <w:rPr>
          <w:rFonts w:cs="Arial"/>
          <w:i/>
          <w:iCs/>
          <w:lang w:val="es-ES"/>
        </w:rPr>
        <w:t xml:space="preserve">Alienta a las </w:t>
      </w:r>
      <w:r w:rsidRPr="00D85D5B">
        <w:rPr>
          <w:rFonts w:cs="Arial"/>
          <w:lang w:val="es-ES"/>
        </w:rPr>
        <w:t>Partes a promover la adopción de marcos de seguimiento, que vayan más allá de los umbrales tradicionales de concentración química para centrarse en los impactos biológicos de las mezclas de contaminantes en las especies migratorias;</w:t>
      </w:r>
    </w:p>
    <w:p w14:paraId="541B1285" w14:textId="77777777" w:rsidR="00D85D5B" w:rsidRPr="00D85D5B" w:rsidRDefault="00D85D5B" w:rsidP="00D85D5B">
      <w:pPr>
        <w:pStyle w:val="ListParagraph"/>
        <w:spacing w:after="0" w:line="240" w:lineRule="auto"/>
        <w:ind w:left="567" w:hanging="567"/>
        <w:contextualSpacing w:val="0"/>
        <w:jc w:val="both"/>
        <w:rPr>
          <w:rFonts w:cs="Arial"/>
          <w:lang w:val="es-ES"/>
        </w:rPr>
      </w:pPr>
    </w:p>
    <w:p w14:paraId="2DA262F1" w14:textId="77777777" w:rsidR="00D85D5B" w:rsidRPr="00D85D5B" w:rsidRDefault="00D85D5B" w:rsidP="00D85D5B">
      <w:pPr>
        <w:pStyle w:val="ListParagraph"/>
        <w:numPr>
          <w:ilvl w:val="0"/>
          <w:numId w:val="5"/>
        </w:numPr>
        <w:spacing w:after="0" w:line="240" w:lineRule="auto"/>
        <w:ind w:left="567" w:hanging="567"/>
        <w:contextualSpacing w:val="0"/>
        <w:jc w:val="both"/>
        <w:rPr>
          <w:rFonts w:cs="Arial"/>
          <w:lang w:val="es-ES"/>
        </w:rPr>
      </w:pPr>
      <w:r w:rsidRPr="00D85D5B">
        <w:rPr>
          <w:rFonts w:cs="Arial"/>
          <w:i/>
          <w:lang w:val="es-ES"/>
        </w:rPr>
        <w:t xml:space="preserve">Alienta a las </w:t>
      </w:r>
      <w:r w:rsidRPr="00D85D5B">
        <w:rPr>
          <w:rFonts w:cs="Arial"/>
          <w:lang w:val="es-ES"/>
        </w:rPr>
        <w:t>Partes a</w:t>
      </w:r>
      <w:r w:rsidRPr="00D85D5B">
        <w:rPr>
          <w:rFonts w:cs="Arial"/>
          <w:i/>
          <w:iCs/>
          <w:lang w:val="es-ES"/>
        </w:rPr>
        <w:t xml:space="preserve"> </w:t>
      </w:r>
      <w:r w:rsidRPr="00D85D5B">
        <w:rPr>
          <w:rFonts w:cs="Arial"/>
          <w:lang w:val="es-ES"/>
        </w:rPr>
        <w:t>reforzar la cooperación interinstitucional para promover el reconocimiento y el uso estratégico de las investigaciones de varamientos como un método valioso, rentable y ético para evaluar la salud de las especies migratorias, y a:</w:t>
      </w:r>
    </w:p>
    <w:p w14:paraId="49BA7D3C" w14:textId="77777777" w:rsidR="00D85D5B" w:rsidRPr="00D85D5B" w:rsidRDefault="00D85D5B" w:rsidP="00D85D5B">
      <w:pPr>
        <w:pStyle w:val="ListParagraph"/>
        <w:spacing w:after="0" w:line="240" w:lineRule="auto"/>
        <w:contextualSpacing w:val="0"/>
        <w:rPr>
          <w:rFonts w:cs="Arial"/>
          <w:lang w:val="es-ES"/>
        </w:rPr>
      </w:pPr>
    </w:p>
    <w:p w14:paraId="12633DCB" w14:textId="3B945CA6" w:rsidR="00D85D5B" w:rsidRPr="00D85D5B" w:rsidRDefault="00D85D5B" w:rsidP="00D85D5B">
      <w:pPr>
        <w:pStyle w:val="ListParagraph"/>
        <w:numPr>
          <w:ilvl w:val="1"/>
          <w:numId w:val="7"/>
        </w:numPr>
        <w:spacing w:after="120" w:line="240" w:lineRule="auto"/>
        <w:ind w:left="964" w:hanging="397"/>
        <w:contextualSpacing w:val="0"/>
        <w:jc w:val="both"/>
        <w:rPr>
          <w:rFonts w:cs="Arial"/>
          <w:lang w:val="es-ES"/>
        </w:rPr>
      </w:pPr>
      <w:r w:rsidRPr="00D85D5B">
        <w:rPr>
          <w:rFonts w:cs="Arial"/>
          <w:lang w:val="es-ES"/>
        </w:rPr>
        <w:t>fomentar la elaboración</w:t>
      </w:r>
      <w:r w:rsidR="002E5A0F">
        <w:rPr>
          <w:rFonts w:cs="Arial"/>
          <w:lang w:val="es-ES"/>
        </w:rPr>
        <w:t xml:space="preserve"> y utilización</w:t>
      </w:r>
      <w:r w:rsidRPr="00D85D5B">
        <w:rPr>
          <w:rFonts w:cs="Arial"/>
          <w:lang w:val="es-ES"/>
        </w:rPr>
        <w:t xml:space="preserve"> de protocolos normalizados para la recogida y el archivo de datos y muestras biológicas, toxicológicas y patológicas entre las Partes</w:t>
      </w:r>
      <w:r w:rsidR="002E5A0F">
        <w:rPr>
          <w:rFonts w:cs="Arial"/>
          <w:lang w:val="es-ES"/>
        </w:rPr>
        <w:t>;</w:t>
      </w:r>
    </w:p>
    <w:p w14:paraId="044643CE" w14:textId="1BA71F10" w:rsidR="00D85D5B" w:rsidRPr="00D85D5B" w:rsidRDefault="00D85D5B" w:rsidP="00D85D5B">
      <w:pPr>
        <w:pStyle w:val="ListParagraph"/>
        <w:numPr>
          <w:ilvl w:val="1"/>
          <w:numId w:val="7"/>
        </w:numPr>
        <w:spacing w:after="120" w:line="240" w:lineRule="auto"/>
        <w:ind w:left="964" w:hanging="397"/>
        <w:contextualSpacing w:val="0"/>
        <w:jc w:val="both"/>
        <w:rPr>
          <w:rFonts w:cs="Arial"/>
          <w:lang w:val="es-ES"/>
        </w:rPr>
      </w:pPr>
      <w:r w:rsidRPr="00D85D5B">
        <w:rPr>
          <w:rFonts w:cs="Arial"/>
          <w:lang w:val="es-ES"/>
        </w:rPr>
        <w:t>apoyar la colaboración internacional para integrar los datos en redes de vigilancia de salud a largo plazo de las especies migratorias</w:t>
      </w:r>
      <w:r w:rsidR="002E5A0F">
        <w:rPr>
          <w:rFonts w:cs="Arial"/>
          <w:lang w:val="es-ES"/>
        </w:rPr>
        <w:t>;</w:t>
      </w:r>
      <w:r w:rsidRPr="00D85D5B">
        <w:rPr>
          <w:rFonts w:cs="Arial"/>
          <w:lang w:val="es-ES"/>
        </w:rPr>
        <w:t xml:space="preserve"> </w:t>
      </w:r>
      <w:r w:rsidR="002E5A0F">
        <w:rPr>
          <w:rFonts w:cs="Arial"/>
          <w:lang w:val="es-ES"/>
        </w:rPr>
        <w:t>y</w:t>
      </w:r>
    </w:p>
    <w:p w14:paraId="16A3EC03" w14:textId="755F69D9" w:rsidR="00D85D5B" w:rsidRPr="00D85D5B" w:rsidRDefault="00D85D5B" w:rsidP="00D85D5B">
      <w:pPr>
        <w:pStyle w:val="ListParagraph"/>
        <w:numPr>
          <w:ilvl w:val="1"/>
          <w:numId w:val="7"/>
        </w:numPr>
        <w:spacing w:after="0" w:line="240" w:lineRule="auto"/>
        <w:ind w:left="964" w:hanging="397"/>
        <w:contextualSpacing w:val="0"/>
        <w:jc w:val="both"/>
        <w:rPr>
          <w:rFonts w:cs="Arial"/>
          <w:lang w:val="es-ES"/>
        </w:rPr>
      </w:pPr>
      <w:r w:rsidRPr="00D85D5B">
        <w:rPr>
          <w:rFonts w:cs="Arial"/>
          <w:lang w:val="es-ES"/>
        </w:rPr>
        <w:t xml:space="preserve">reconocer a los individuos varados como centinelas de la salud oceánica, que proporcionan información sobre los efectos acumulativos y sinérgicos de la contaminación, las enfermedades y otros factores de estrés; </w:t>
      </w:r>
    </w:p>
    <w:p w14:paraId="29A1EF15" w14:textId="77777777" w:rsidR="00D85D5B" w:rsidRPr="00D85D5B" w:rsidRDefault="00D85D5B" w:rsidP="00D85D5B">
      <w:pPr>
        <w:pStyle w:val="ListParagraph"/>
        <w:spacing w:after="0" w:line="240" w:lineRule="auto"/>
        <w:ind w:left="1440"/>
        <w:jc w:val="both"/>
        <w:rPr>
          <w:rFonts w:cs="Arial"/>
          <w:lang w:val="es-ES"/>
        </w:rPr>
      </w:pPr>
    </w:p>
    <w:p w14:paraId="445DB0C0" w14:textId="32024040" w:rsidR="00D85D5B" w:rsidRPr="002E5A0F" w:rsidRDefault="00DA251E" w:rsidP="002E5A0F">
      <w:pPr>
        <w:pStyle w:val="ListParagraph"/>
        <w:numPr>
          <w:ilvl w:val="0"/>
          <w:numId w:val="5"/>
        </w:numPr>
        <w:spacing w:after="0" w:line="240" w:lineRule="auto"/>
        <w:ind w:left="567" w:hanging="567"/>
        <w:contextualSpacing w:val="0"/>
        <w:jc w:val="both"/>
        <w:rPr>
          <w:rFonts w:cs="Arial"/>
          <w:i/>
          <w:lang w:val="es-ES"/>
        </w:rPr>
      </w:pPr>
      <w:r>
        <w:rPr>
          <w:rFonts w:cs="Arial"/>
          <w:i/>
          <w:lang w:val="es-ES"/>
        </w:rPr>
        <w:t xml:space="preserve">Recuerda </w:t>
      </w:r>
      <w:r>
        <w:rPr>
          <w:rFonts w:cs="Arial"/>
          <w:iCs/>
          <w:lang w:val="es-ES"/>
        </w:rPr>
        <w:t xml:space="preserve">a las Partes que deben aplicar la Resolución 14.6 </w:t>
      </w:r>
      <w:r w:rsidR="00D85D5B" w:rsidRPr="00DA251E">
        <w:rPr>
          <w:rFonts w:cs="Arial"/>
          <w:i/>
          <w:lang w:val="es-ES"/>
        </w:rPr>
        <w:t>Actividades de explotación de minerales en los fondos marinos y especies migratorias</w:t>
      </w:r>
      <w:r>
        <w:rPr>
          <w:rFonts w:cs="Arial"/>
          <w:iCs/>
          <w:lang w:val="es-ES"/>
        </w:rPr>
        <w:t>, reconociendo los posibles efectos nocivos de dichas actividades.</w:t>
      </w:r>
    </w:p>
    <w:p w14:paraId="59529176" w14:textId="77777777" w:rsidR="00D85D5B" w:rsidRPr="00D85D5B" w:rsidRDefault="00D85D5B" w:rsidP="00D85D5B">
      <w:pPr>
        <w:pStyle w:val="ListParagraph"/>
        <w:rPr>
          <w:rFonts w:cs="Arial"/>
          <w:lang w:val="es-ES"/>
        </w:rPr>
      </w:pPr>
    </w:p>
    <w:p w14:paraId="4FA3424B" w14:textId="77777777" w:rsidR="00D85D5B" w:rsidRPr="00D85D5B" w:rsidRDefault="00D85D5B" w:rsidP="00D85D5B">
      <w:pPr>
        <w:jc w:val="both"/>
        <w:rPr>
          <w:rFonts w:ascii="Arial" w:hAnsi="Arial" w:cs="Arial"/>
          <w:sz w:val="22"/>
          <w:szCs w:val="22"/>
          <w:lang w:val="es-ES"/>
        </w:rPr>
        <w:sectPr w:rsidR="00D85D5B" w:rsidRPr="00D85D5B" w:rsidSect="00D85D5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titlePg/>
          <w:docGrid w:linePitch="360"/>
        </w:sectPr>
      </w:pPr>
    </w:p>
    <w:p w14:paraId="31DC5076" w14:textId="77777777" w:rsidR="00D85D5B" w:rsidRPr="00D85D5B" w:rsidRDefault="00D85D5B" w:rsidP="00D85D5B">
      <w:pPr>
        <w:jc w:val="center"/>
        <w:rPr>
          <w:rFonts w:ascii="Arial" w:hAnsi="Arial" w:cs="Arial"/>
          <w:sz w:val="22"/>
          <w:szCs w:val="22"/>
          <w:lang w:val="es-ES"/>
        </w:rPr>
      </w:pPr>
      <w:r w:rsidRPr="00D85D5B">
        <w:rPr>
          <w:rFonts w:ascii="Arial" w:hAnsi="Arial" w:cs="Arial"/>
          <w:sz w:val="22"/>
          <w:szCs w:val="22"/>
          <w:lang w:val="es-ES"/>
        </w:rPr>
        <w:lastRenderedPageBreak/>
        <w:t xml:space="preserve">PROYECTO DE DECISIONES </w:t>
      </w:r>
    </w:p>
    <w:p w14:paraId="6C0781DA" w14:textId="77777777" w:rsidR="00D85D5B" w:rsidRPr="00D85D5B" w:rsidRDefault="00D85D5B" w:rsidP="00D85D5B">
      <w:pPr>
        <w:jc w:val="center"/>
        <w:rPr>
          <w:rFonts w:ascii="Arial" w:hAnsi="Arial" w:cs="Arial"/>
          <w:sz w:val="22"/>
          <w:szCs w:val="22"/>
          <w:lang w:val="es-ES"/>
        </w:rPr>
      </w:pPr>
    </w:p>
    <w:p w14:paraId="770D70DE" w14:textId="77777777" w:rsidR="00D85D5B" w:rsidRPr="00D85D5B" w:rsidRDefault="00D85D5B" w:rsidP="00D85D5B">
      <w:pPr>
        <w:pBdr>
          <w:top w:val="single" w:sz="6" w:space="0" w:color="FFFFFF"/>
          <w:left w:val="single" w:sz="6" w:space="0" w:color="FFFFFF"/>
          <w:bottom w:val="single" w:sz="6" w:space="0" w:color="FFFFFF"/>
          <w:right w:val="single" w:sz="6" w:space="0" w:color="FFFFFF"/>
        </w:pBdr>
        <w:jc w:val="center"/>
        <w:outlineLvl w:val="1"/>
        <w:rPr>
          <w:rFonts w:ascii="Arial" w:hAnsi="Arial" w:cs="Arial"/>
          <w:b/>
          <w:bCs/>
          <w:sz w:val="22"/>
          <w:szCs w:val="22"/>
          <w:lang w:val="es-ES"/>
        </w:rPr>
      </w:pPr>
      <w:r w:rsidRPr="00D85D5B">
        <w:rPr>
          <w:rFonts w:ascii="Arial" w:hAnsi="Arial" w:cs="Arial"/>
          <w:b/>
          <w:bCs/>
          <w:sz w:val="22"/>
          <w:szCs w:val="22"/>
          <w:lang w:val="es-ES"/>
        </w:rPr>
        <w:t>CONTAMINACIÓN MARINA</w:t>
      </w:r>
    </w:p>
    <w:p w14:paraId="59AFEB69" w14:textId="77777777" w:rsidR="00D85D5B" w:rsidRPr="00D85D5B" w:rsidRDefault="00D85D5B" w:rsidP="00D85D5B">
      <w:pPr>
        <w:jc w:val="both"/>
        <w:rPr>
          <w:rFonts w:ascii="Arial" w:hAnsi="Arial" w:cs="Arial"/>
          <w:i/>
          <w:sz w:val="22"/>
          <w:szCs w:val="22"/>
          <w:lang w:val="es-ES"/>
        </w:rPr>
      </w:pPr>
    </w:p>
    <w:p w14:paraId="4CE6F13D" w14:textId="77777777" w:rsidR="00D85D5B" w:rsidRPr="00D85D5B" w:rsidRDefault="00D85D5B" w:rsidP="00D85D5B">
      <w:pPr>
        <w:jc w:val="both"/>
        <w:rPr>
          <w:rFonts w:ascii="Arial" w:hAnsi="Arial" w:cs="Arial"/>
          <w:i/>
          <w:sz w:val="22"/>
          <w:szCs w:val="22"/>
          <w:lang w:val="es-ES"/>
        </w:rPr>
      </w:pPr>
    </w:p>
    <w:p w14:paraId="52C17FAF" w14:textId="77777777" w:rsidR="00D85D5B" w:rsidRPr="00D85D5B" w:rsidRDefault="00D85D5B" w:rsidP="00D85D5B">
      <w:pPr>
        <w:jc w:val="both"/>
        <w:rPr>
          <w:rFonts w:ascii="Arial" w:hAnsi="Arial" w:cs="Arial"/>
          <w:b/>
          <w:i/>
          <w:sz w:val="22"/>
          <w:szCs w:val="22"/>
          <w:lang w:val="es-ES"/>
        </w:rPr>
      </w:pPr>
      <w:r w:rsidRPr="00D85D5B">
        <w:rPr>
          <w:rFonts w:ascii="Arial" w:hAnsi="Arial" w:cs="Arial"/>
          <w:b/>
          <w:i/>
          <w:sz w:val="22"/>
          <w:szCs w:val="22"/>
          <w:lang w:val="es-ES"/>
        </w:rPr>
        <w:t xml:space="preserve">Dirigido a las Partes </w:t>
      </w:r>
    </w:p>
    <w:p w14:paraId="644C4433" w14:textId="77777777" w:rsidR="00D85D5B" w:rsidRPr="00D85D5B" w:rsidRDefault="00D85D5B" w:rsidP="00D85D5B">
      <w:pPr>
        <w:jc w:val="both"/>
        <w:rPr>
          <w:rFonts w:ascii="Arial" w:hAnsi="Arial" w:cs="Arial"/>
          <w:sz w:val="22"/>
          <w:szCs w:val="22"/>
          <w:lang w:val="es-ES"/>
        </w:rPr>
      </w:pPr>
    </w:p>
    <w:p w14:paraId="5CE13A62" w14:textId="77777777" w:rsidR="00D85D5B" w:rsidRPr="00D85D5B" w:rsidRDefault="00D85D5B" w:rsidP="00D85D5B">
      <w:pPr>
        <w:ind w:left="851" w:hanging="851"/>
        <w:jc w:val="both"/>
        <w:rPr>
          <w:rFonts w:ascii="Arial" w:hAnsi="Arial" w:cs="Arial"/>
          <w:iCs/>
          <w:sz w:val="22"/>
          <w:szCs w:val="22"/>
          <w:lang w:val="es-ES"/>
        </w:rPr>
      </w:pPr>
      <w:r w:rsidRPr="00D85D5B">
        <w:rPr>
          <w:rFonts w:ascii="Arial" w:hAnsi="Arial" w:cs="Arial"/>
          <w:sz w:val="22"/>
          <w:szCs w:val="22"/>
          <w:lang w:val="es-ES"/>
        </w:rPr>
        <w:t>15.AA</w:t>
      </w:r>
      <w:r w:rsidRPr="00D85D5B">
        <w:rPr>
          <w:rFonts w:ascii="Arial" w:hAnsi="Arial" w:cs="Arial"/>
          <w:sz w:val="22"/>
          <w:szCs w:val="22"/>
          <w:lang w:val="es-ES"/>
        </w:rPr>
        <w:tab/>
      </w:r>
      <w:r w:rsidRPr="00D85D5B">
        <w:rPr>
          <w:rFonts w:ascii="Arial" w:hAnsi="Arial" w:cs="Arial"/>
          <w:iCs/>
          <w:sz w:val="22"/>
          <w:szCs w:val="22"/>
          <w:lang w:val="es-ES"/>
        </w:rPr>
        <w:t xml:space="preserve">Se alienta a las Partes a </w:t>
      </w:r>
    </w:p>
    <w:p w14:paraId="4789A3FB" w14:textId="77777777" w:rsidR="00D85D5B" w:rsidRPr="00D85D5B" w:rsidRDefault="00D85D5B" w:rsidP="00D85D5B">
      <w:pPr>
        <w:ind w:left="851" w:hanging="851"/>
        <w:jc w:val="both"/>
        <w:rPr>
          <w:rFonts w:ascii="Arial" w:hAnsi="Arial" w:cs="Arial"/>
          <w:iCs/>
          <w:sz w:val="22"/>
          <w:szCs w:val="22"/>
          <w:lang w:val="es-ES"/>
        </w:rPr>
      </w:pPr>
    </w:p>
    <w:p w14:paraId="0664C0FC" w14:textId="6822F48E" w:rsidR="00D85D5B" w:rsidRPr="00D85D5B" w:rsidRDefault="00D85D5B" w:rsidP="00D85D5B">
      <w:pPr>
        <w:pStyle w:val="ListParagraph"/>
        <w:numPr>
          <w:ilvl w:val="0"/>
          <w:numId w:val="11"/>
        </w:numPr>
        <w:spacing w:after="0" w:line="240" w:lineRule="auto"/>
        <w:jc w:val="both"/>
        <w:rPr>
          <w:rFonts w:cs="Arial"/>
          <w:lang w:val="es-ES"/>
        </w:rPr>
      </w:pPr>
      <w:r w:rsidRPr="00D85D5B">
        <w:rPr>
          <w:rFonts w:cs="Arial"/>
          <w:iCs/>
          <w:lang w:val="es-ES"/>
        </w:rPr>
        <w:t xml:space="preserve">aplicar las recomendaciones del Informe de la CMS </w:t>
      </w:r>
      <w:r w:rsidRPr="00D85D5B">
        <w:rPr>
          <w:rFonts w:cs="Arial"/>
          <w:i/>
          <w:iCs/>
          <w:lang w:val="es-ES"/>
        </w:rPr>
        <w:t>Informe del Taller de la CMS sobre Contaminación Marina</w:t>
      </w:r>
      <w:r w:rsidRPr="00D85D5B">
        <w:rPr>
          <w:rFonts w:cs="Arial"/>
          <w:iCs/>
          <w:lang w:val="es-ES"/>
        </w:rPr>
        <w:t xml:space="preserve"> que figura en el Anexo 1 del Documento UNEP/CMS/</w:t>
      </w:r>
      <w:r w:rsidRPr="00D85D5B">
        <w:rPr>
          <w:rFonts w:cs="Arial"/>
          <w:lang w:val="es-ES"/>
        </w:rPr>
        <w:t>COP15/Doc.</w:t>
      </w:r>
      <w:r w:rsidRPr="00D85D5B">
        <w:rPr>
          <w:rFonts w:cs="Arial"/>
          <w:iCs/>
          <w:lang w:val="es-ES"/>
        </w:rPr>
        <w:t>25.2.1.</w:t>
      </w:r>
      <w:r w:rsidR="00F41D5C">
        <w:rPr>
          <w:rFonts w:cs="Arial"/>
          <w:iCs/>
          <w:lang w:val="es-ES"/>
        </w:rPr>
        <w:t>;</w:t>
      </w:r>
      <w:r w:rsidRPr="00D85D5B">
        <w:rPr>
          <w:rFonts w:cs="Arial"/>
          <w:iCs/>
          <w:lang w:val="es-ES"/>
        </w:rPr>
        <w:t xml:space="preserve"> y</w:t>
      </w:r>
    </w:p>
    <w:p w14:paraId="624C2D21" w14:textId="77777777" w:rsidR="00D85D5B" w:rsidRPr="00D85D5B" w:rsidRDefault="00D85D5B" w:rsidP="00D85D5B">
      <w:pPr>
        <w:pStyle w:val="ListParagraph"/>
        <w:spacing w:after="0" w:line="240" w:lineRule="auto"/>
        <w:jc w:val="both"/>
        <w:rPr>
          <w:rFonts w:cs="Arial"/>
          <w:lang w:val="es-ES"/>
        </w:rPr>
      </w:pPr>
    </w:p>
    <w:p w14:paraId="17769505" w14:textId="134569B0" w:rsidR="00D85D5B" w:rsidRPr="00603BA3" w:rsidRDefault="00D85D5B" w:rsidP="00D85D5B">
      <w:pPr>
        <w:pStyle w:val="ListParagraph"/>
        <w:numPr>
          <w:ilvl w:val="0"/>
          <w:numId w:val="11"/>
        </w:numPr>
        <w:spacing w:after="0" w:line="240" w:lineRule="auto"/>
        <w:jc w:val="both"/>
        <w:rPr>
          <w:rFonts w:cs="Arial"/>
          <w:b/>
          <w:i/>
          <w:lang w:val="es-ES"/>
        </w:rPr>
      </w:pPr>
      <w:r w:rsidRPr="00603BA3">
        <w:rPr>
          <w:rFonts w:cs="Arial"/>
          <w:lang w:val="es-ES"/>
        </w:rPr>
        <w:t>facilitar la colaboración entre la CMS y</w:t>
      </w:r>
      <w:r w:rsidR="00F41D5C" w:rsidRPr="00603BA3">
        <w:rPr>
          <w:rFonts w:cs="Arial"/>
          <w:lang w:val="es-ES"/>
        </w:rPr>
        <w:t xml:space="preserve"> otros órganos relevantes, incluyendo la CBI,</w:t>
      </w:r>
      <w:r w:rsidRPr="00603BA3">
        <w:rPr>
          <w:rFonts w:cs="Arial"/>
          <w:lang w:val="es-ES"/>
        </w:rPr>
        <w:t xml:space="preserve"> el </w:t>
      </w:r>
      <w:r w:rsidRPr="00F97B12">
        <w:rPr>
          <w:rFonts w:cs="Arial"/>
          <w:lang w:val="es-ES"/>
        </w:rPr>
        <w:t>Acuerdo BBNJ</w:t>
      </w:r>
      <w:r w:rsidRPr="00F97B12">
        <w:rPr>
          <w:rFonts w:cs="Arial"/>
          <w:iCs/>
          <w:vertAlign w:val="superscript"/>
          <w:lang w:val="es-ES"/>
        </w:rPr>
        <w:footnoteReference w:id="2"/>
      </w:r>
      <w:r w:rsidRPr="00F97B12">
        <w:rPr>
          <w:rFonts w:cs="Arial"/>
          <w:lang w:val="es-ES"/>
        </w:rPr>
        <w:t>, el CDB</w:t>
      </w:r>
      <w:r w:rsidRPr="00F97B12">
        <w:rPr>
          <w:rFonts w:cs="Arial"/>
          <w:iCs/>
          <w:vertAlign w:val="superscript"/>
          <w:lang w:val="es-ES"/>
        </w:rPr>
        <w:footnoteReference w:id="3"/>
      </w:r>
      <w:r w:rsidRPr="00F97B12">
        <w:rPr>
          <w:rFonts w:cs="Arial"/>
          <w:lang w:val="es-ES"/>
        </w:rPr>
        <w:t>, los Convenios de Estocolmo</w:t>
      </w:r>
      <w:r w:rsidRPr="00F97B12">
        <w:rPr>
          <w:rFonts w:cs="Arial"/>
          <w:iCs/>
          <w:vertAlign w:val="superscript"/>
          <w:lang w:val="es-ES"/>
        </w:rPr>
        <w:footnoteReference w:id="4"/>
      </w:r>
      <w:r w:rsidRPr="00F97B12">
        <w:rPr>
          <w:rFonts w:cs="Arial"/>
          <w:lang w:val="es-ES"/>
        </w:rPr>
        <w:t>, Basilea</w:t>
      </w:r>
      <w:r w:rsidRPr="00F97B12">
        <w:rPr>
          <w:rFonts w:cs="Arial"/>
          <w:iCs/>
          <w:vertAlign w:val="superscript"/>
          <w:lang w:val="es-ES"/>
        </w:rPr>
        <w:footnoteReference w:id="5"/>
      </w:r>
      <w:r w:rsidRPr="00F97B12">
        <w:rPr>
          <w:rFonts w:cs="Arial"/>
          <w:lang w:val="es-ES"/>
        </w:rPr>
        <w:t xml:space="preserve"> y Minamata</w:t>
      </w:r>
      <w:r w:rsidRPr="00F97B12">
        <w:rPr>
          <w:rFonts w:cs="Arial"/>
          <w:iCs/>
          <w:vertAlign w:val="superscript"/>
          <w:lang w:val="es-ES"/>
        </w:rPr>
        <w:footnoteReference w:id="6"/>
      </w:r>
      <w:r w:rsidRPr="00F97B12">
        <w:rPr>
          <w:rFonts w:cs="Arial"/>
          <w:lang w:val="es-ES"/>
        </w:rPr>
        <w:t xml:space="preserve">, el Panel Intergubernamental Científico-Normativo sobre Productos Químicos, Residuos y Contaminación, </w:t>
      </w:r>
      <w:r w:rsidR="00F41D5C" w:rsidRPr="00F97B12">
        <w:rPr>
          <w:rFonts w:eastAsia="Times New Roman" w:cs="Arial"/>
          <w:lang w:val="es-ES"/>
        </w:rPr>
        <w:t>IPBES</w:t>
      </w:r>
      <w:r w:rsidR="00F41D5C" w:rsidRPr="00F97B12">
        <w:rPr>
          <w:rFonts w:ascii="Times New Roman" w:eastAsia="Times New Roman" w:hAnsi="Times New Roman" w:cs="Times New Roman"/>
          <w:vertAlign w:val="superscript"/>
          <w:lang w:val="es-ES"/>
        </w:rPr>
        <w:footnoteReference w:id="7"/>
      </w:r>
      <w:r w:rsidR="00F41D5C" w:rsidRPr="00F97B12">
        <w:rPr>
          <w:rFonts w:eastAsia="Times New Roman" w:cs="Arial"/>
          <w:lang w:val="es-ES"/>
        </w:rPr>
        <w:t>, IMO</w:t>
      </w:r>
      <w:r w:rsidR="00F41D5C" w:rsidRPr="00F97B12">
        <w:rPr>
          <w:rFonts w:eastAsia="Times New Roman" w:cs="Arial"/>
          <w:vertAlign w:val="superscript"/>
          <w:lang w:val="es-ES"/>
        </w:rPr>
        <w:footnoteReference w:id="8"/>
      </w:r>
      <w:r w:rsidR="00F41D5C" w:rsidRPr="00F97B12">
        <w:rPr>
          <w:rFonts w:eastAsia="Times New Roman" w:cs="Arial"/>
          <w:lang w:val="es-ES"/>
        </w:rPr>
        <w:t xml:space="preserve"> y sus tratados sobre prevención de la contaminación marina</w:t>
      </w:r>
      <w:r w:rsidR="00F41D5C" w:rsidRPr="00F97B12">
        <w:rPr>
          <w:rFonts w:eastAsia="Times New Roman" w:cs="Arial"/>
          <w:vertAlign w:val="superscript"/>
          <w:lang w:val="es-ES"/>
        </w:rPr>
        <w:footnoteReference w:id="9"/>
      </w:r>
      <w:r w:rsidR="00603BA3" w:rsidRPr="00F97B12">
        <w:rPr>
          <w:rFonts w:eastAsia="Times New Roman" w:cs="Arial"/>
          <w:lang w:val="es-ES"/>
        </w:rPr>
        <w:t xml:space="preserve">, </w:t>
      </w:r>
      <w:r w:rsidRPr="00F97B12">
        <w:rPr>
          <w:rFonts w:cs="Arial"/>
          <w:lang w:val="es-ES"/>
        </w:rPr>
        <w:t>el Marco Mundial sobre Productos Químicos</w:t>
      </w:r>
      <w:r w:rsidR="00603BA3" w:rsidRPr="00F97B12">
        <w:rPr>
          <w:rFonts w:cs="Arial"/>
          <w:lang w:val="es-ES"/>
        </w:rPr>
        <w:t>,</w:t>
      </w:r>
      <w:r w:rsidRPr="00F97B12">
        <w:rPr>
          <w:rFonts w:cs="Arial"/>
          <w:lang w:val="es-ES"/>
        </w:rPr>
        <w:t xml:space="preserve"> </w:t>
      </w:r>
      <w:r w:rsidR="00603BA3" w:rsidRPr="00F97B12">
        <w:rPr>
          <w:rFonts w:cs="Arial"/>
          <w:lang w:val="es-ES"/>
        </w:rPr>
        <w:t>los convenios marinos regionales y los planes de acción, los organismos regionales de pesca, cuando proceda, y cualquier futuro instrumento jurídicamente vinculante sobre la contaminación por plásticos, con el fin de abordar mejor los riesgos que la contaminación marina supone para las especies migratorias.</w:t>
      </w:r>
    </w:p>
    <w:p w14:paraId="7C9DC6BF" w14:textId="77777777" w:rsidR="00603BA3" w:rsidRDefault="00603BA3" w:rsidP="00D85D5B">
      <w:pPr>
        <w:jc w:val="both"/>
        <w:rPr>
          <w:rFonts w:ascii="Arial" w:hAnsi="Arial" w:cs="Arial"/>
          <w:b/>
          <w:i/>
          <w:sz w:val="22"/>
          <w:szCs w:val="22"/>
          <w:lang w:val="es-ES"/>
        </w:rPr>
      </w:pPr>
    </w:p>
    <w:p w14:paraId="3B3FA3F4" w14:textId="68F43B8F" w:rsidR="00D85D5B" w:rsidRPr="00D85D5B" w:rsidRDefault="00D85D5B" w:rsidP="00D85D5B">
      <w:pPr>
        <w:jc w:val="both"/>
        <w:rPr>
          <w:rFonts w:ascii="Arial" w:hAnsi="Arial" w:cs="Arial"/>
          <w:sz w:val="22"/>
          <w:szCs w:val="22"/>
          <w:lang w:val="es-ES"/>
        </w:rPr>
      </w:pPr>
      <w:r w:rsidRPr="00D85D5B">
        <w:rPr>
          <w:rFonts w:ascii="Arial" w:hAnsi="Arial" w:cs="Arial"/>
          <w:b/>
          <w:i/>
          <w:sz w:val="22"/>
          <w:szCs w:val="22"/>
          <w:lang w:val="es-ES"/>
        </w:rPr>
        <w:t xml:space="preserve">Dirigido al Consejo Científico </w:t>
      </w:r>
    </w:p>
    <w:p w14:paraId="138197E4" w14:textId="77777777" w:rsidR="00D85D5B" w:rsidRPr="00D85D5B" w:rsidRDefault="00D85D5B" w:rsidP="00D85D5B">
      <w:pPr>
        <w:jc w:val="both"/>
        <w:rPr>
          <w:rFonts w:ascii="Arial" w:hAnsi="Arial" w:cs="Arial"/>
          <w:sz w:val="22"/>
          <w:szCs w:val="22"/>
          <w:lang w:val="es-ES"/>
        </w:rPr>
      </w:pPr>
    </w:p>
    <w:p w14:paraId="6DACCDE8" w14:textId="77777777" w:rsidR="00D85D5B" w:rsidRPr="00D85D5B" w:rsidRDefault="00D85D5B" w:rsidP="00D85D5B">
      <w:pPr>
        <w:ind w:left="851" w:hanging="851"/>
        <w:jc w:val="both"/>
        <w:rPr>
          <w:rFonts w:ascii="Arial" w:hAnsi="Arial" w:cs="Arial"/>
          <w:sz w:val="22"/>
          <w:szCs w:val="22"/>
          <w:lang w:val="es-ES"/>
        </w:rPr>
      </w:pPr>
      <w:r w:rsidRPr="00D85D5B">
        <w:rPr>
          <w:rFonts w:ascii="Arial" w:hAnsi="Arial" w:cs="Arial"/>
          <w:sz w:val="22"/>
          <w:szCs w:val="22"/>
          <w:lang w:val="es-ES"/>
        </w:rPr>
        <w:t>15.BB</w:t>
      </w:r>
      <w:r w:rsidRPr="00D85D5B">
        <w:rPr>
          <w:rFonts w:ascii="Arial" w:hAnsi="Arial" w:cs="Arial"/>
          <w:sz w:val="22"/>
          <w:szCs w:val="22"/>
          <w:lang w:val="es-ES"/>
        </w:rPr>
        <w:tab/>
        <w:t>Se solicita al Consejo Científico que, en función de la disponibilidad de recursos:</w:t>
      </w:r>
    </w:p>
    <w:p w14:paraId="19643372" w14:textId="77777777" w:rsidR="00D85D5B" w:rsidRPr="00D85D5B" w:rsidRDefault="00D85D5B" w:rsidP="00D85D5B">
      <w:pPr>
        <w:jc w:val="both"/>
        <w:rPr>
          <w:rFonts w:ascii="Arial" w:hAnsi="Arial" w:cs="Arial"/>
          <w:sz w:val="22"/>
          <w:szCs w:val="22"/>
          <w:lang w:val="es-ES"/>
        </w:rPr>
      </w:pPr>
    </w:p>
    <w:p w14:paraId="34166120" w14:textId="77777777" w:rsidR="00D85D5B" w:rsidRPr="00D85D5B" w:rsidRDefault="00D85D5B" w:rsidP="00D85D5B">
      <w:pPr>
        <w:numPr>
          <w:ilvl w:val="0"/>
          <w:numId w:val="9"/>
        </w:numPr>
        <w:suppressAutoHyphens w:val="0"/>
        <w:adjustRightInd w:val="0"/>
        <w:ind w:left="1418" w:hanging="567"/>
        <w:jc w:val="both"/>
        <w:textAlignment w:val="auto"/>
        <w:rPr>
          <w:rFonts w:ascii="Arial" w:hAnsi="Arial" w:cs="Arial"/>
          <w:sz w:val="22"/>
          <w:szCs w:val="22"/>
          <w:lang w:val="es-ES"/>
        </w:rPr>
      </w:pPr>
      <w:r w:rsidRPr="00D85D5B">
        <w:rPr>
          <w:rFonts w:ascii="Arial" w:hAnsi="Arial" w:cs="Arial"/>
          <w:sz w:val="22"/>
          <w:szCs w:val="22"/>
          <w:lang w:val="es-ES"/>
        </w:rPr>
        <w:t>establezca un grupo de trabajo sobre contaminación marina (con atención a la contaminación química);</w:t>
      </w:r>
    </w:p>
    <w:p w14:paraId="5998D1C1" w14:textId="77777777" w:rsidR="00D85D5B" w:rsidRPr="00D85D5B" w:rsidRDefault="00D85D5B" w:rsidP="00D85D5B">
      <w:pPr>
        <w:adjustRightInd w:val="0"/>
        <w:ind w:left="1418"/>
        <w:jc w:val="both"/>
        <w:rPr>
          <w:rFonts w:ascii="Arial" w:hAnsi="Arial" w:cs="Arial"/>
          <w:sz w:val="22"/>
          <w:szCs w:val="22"/>
          <w:lang w:val="es-ES"/>
        </w:rPr>
      </w:pPr>
    </w:p>
    <w:p w14:paraId="56B3BDBE" w14:textId="77777777" w:rsidR="00D85D5B" w:rsidRPr="00D85D5B" w:rsidRDefault="00D85D5B" w:rsidP="00D85D5B">
      <w:pPr>
        <w:numPr>
          <w:ilvl w:val="0"/>
          <w:numId w:val="9"/>
        </w:numPr>
        <w:suppressAutoHyphens w:val="0"/>
        <w:adjustRightInd w:val="0"/>
        <w:spacing w:after="80"/>
        <w:ind w:left="1418" w:hanging="567"/>
        <w:jc w:val="both"/>
        <w:textAlignment w:val="auto"/>
        <w:rPr>
          <w:rFonts w:ascii="Arial" w:hAnsi="Arial" w:cs="Arial"/>
          <w:sz w:val="22"/>
          <w:szCs w:val="22"/>
          <w:lang w:val="es-ES"/>
        </w:rPr>
      </w:pPr>
      <w:r w:rsidRPr="00D85D5B">
        <w:rPr>
          <w:rFonts w:ascii="Arial" w:hAnsi="Arial" w:cs="Arial"/>
          <w:sz w:val="22"/>
          <w:szCs w:val="22"/>
          <w:lang w:val="es-ES"/>
        </w:rPr>
        <w:t>identifique y evalúe:</w:t>
      </w:r>
    </w:p>
    <w:p w14:paraId="4882F9B0" w14:textId="77777777" w:rsidR="00D85D5B" w:rsidRPr="00D85D5B" w:rsidRDefault="00D85D5B" w:rsidP="00D85D5B">
      <w:pPr>
        <w:pStyle w:val="ListParagraph"/>
        <w:widowControl w:val="0"/>
        <w:numPr>
          <w:ilvl w:val="2"/>
          <w:numId w:val="9"/>
        </w:numPr>
        <w:autoSpaceDE w:val="0"/>
        <w:autoSpaceDN w:val="0"/>
        <w:adjustRightInd w:val="0"/>
        <w:spacing w:after="80" w:line="240" w:lineRule="auto"/>
        <w:ind w:left="1843" w:hanging="283"/>
        <w:contextualSpacing w:val="0"/>
        <w:jc w:val="both"/>
        <w:rPr>
          <w:rFonts w:cs="Arial"/>
          <w:lang w:val="es-ES"/>
        </w:rPr>
      </w:pPr>
      <w:r w:rsidRPr="00D85D5B">
        <w:rPr>
          <w:rFonts w:cs="Arial"/>
          <w:lang w:val="es-ES"/>
        </w:rPr>
        <w:t>las especies y poblaciones, hábitats y etapas migratorias/de vida que corren mayor riesgo, tomando nota de la lista referida en el Anexo 1 del documento UNEP/CMS/COP15/Doc.25.2.1; y</w:t>
      </w:r>
    </w:p>
    <w:p w14:paraId="63B1C2B5" w14:textId="77777777" w:rsidR="00D85D5B" w:rsidRPr="00D85D5B" w:rsidRDefault="00D85D5B" w:rsidP="00D85D5B">
      <w:pPr>
        <w:pStyle w:val="ListParagraph"/>
        <w:widowControl w:val="0"/>
        <w:numPr>
          <w:ilvl w:val="2"/>
          <w:numId w:val="9"/>
        </w:numPr>
        <w:autoSpaceDE w:val="0"/>
        <w:autoSpaceDN w:val="0"/>
        <w:adjustRightInd w:val="0"/>
        <w:spacing w:after="0" w:line="240" w:lineRule="auto"/>
        <w:ind w:left="1843" w:hanging="283"/>
        <w:jc w:val="both"/>
        <w:rPr>
          <w:rFonts w:cs="Arial"/>
          <w:lang w:val="es-ES"/>
        </w:rPr>
      </w:pPr>
      <w:r w:rsidRPr="00D85D5B">
        <w:rPr>
          <w:rFonts w:cs="Arial"/>
          <w:lang w:val="es-ES"/>
        </w:rPr>
        <w:t>los puntos críticos mundiales donde la contaminación marina y el hábitat crítico de las especies migratorias se superponen;</w:t>
      </w:r>
    </w:p>
    <w:p w14:paraId="35877791" w14:textId="77777777" w:rsidR="00D85D5B" w:rsidRPr="00D85D5B" w:rsidRDefault="00D85D5B" w:rsidP="00D85D5B">
      <w:pPr>
        <w:adjustRightInd w:val="0"/>
        <w:jc w:val="both"/>
        <w:rPr>
          <w:rFonts w:ascii="Arial" w:hAnsi="Arial" w:cs="Arial"/>
          <w:sz w:val="22"/>
          <w:szCs w:val="22"/>
          <w:lang w:val="es-ES"/>
        </w:rPr>
      </w:pPr>
    </w:p>
    <w:p w14:paraId="2902B90A" w14:textId="77777777" w:rsidR="00D85D5B" w:rsidRPr="00D85D5B" w:rsidRDefault="00D85D5B" w:rsidP="00D85D5B">
      <w:pPr>
        <w:numPr>
          <w:ilvl w:val="0"/>
          <w:numId w:val="9"/>
        </w:numPr>
        <w:suppressAutoHyphens w:val="0"/>
        <w:adjustRightInd w:val="0"/>
        <w:ind w:left="1418" w:hanging="567"/>
        <w:jc w:val="both"/>
        <w:textAlignment w:val="auto"/>
        <w:rPr>
          <w:rFonts w:ascii="Arial" w:hAnsi="Arial" w:cs="Arial"/>
          <w:sz w:val="22"/>
          <w:szCs w:val="22"/>
          <w:lang w:val="es-ES"/>
        </w:rPr>
      </w:pPr>
      <w:r w:rsidRPr="00D85D5B">
        <w:rPr>
          <w:rFonts w:ascii="Arial" w:hAnsi="Arial" w:cs="Arial"/>
          <w:sz w:val="22"/>
          <w:szCs w:val="22"/>
          <w:lang w:val="es-ES"/>
        </w:rPr>
        <w:t>considere la aplicación de enfoques de «matriz de vulnerabilidad» que integren la sensibilidad, la exposición y la capacidad de adaptación de las especies tanto a la contaminación marina como al cambio climático, a fin de ayudar a priorizar las medidas de conservación en escenarios ambientales futuros; y</w:t>
      </w:r>
    </w:p>
    <w:p w14:paraId="6881736C" w14:textId="77777777" w:rsidR="00D85D5B" w:rsidRPr="00D85D5B" w:rsidRDefault="00D85D5B" w:rsidP="00D85D5B">
      <w:pPr>
        <w:adjustRightInd w:val="0"/>
        <w:ind w:left="1418"/>
        <w:jc w:val="both"/>
        <w:rPr>
          <w:rFonts w:ascii="Arial" w:hAnsi="Arial" w:cs="Arial"/>
          <w:sz w:val="22"/>
          <w:szCs w:val="22"/>
          <w:lang w:val="es-ES"/>
        </w:rPr>
      </w:pPr>
    </w:p>
    <w:p w14:paraId="4935D851" w14:textId="77777777" w:rsidR="00D85D5B" w:rsidRPr="00D85D5B" w:rsidRDefault="00D85D5B" w:rsidP="00D85D5B">
      <w:pPr>
        <w:numPr>
          <w:ilvl w:val="0"/>
          <w:numId w:val="9"/>
        </w:numPr>
        <w:suppressAutoHyphens w:val="0"/>
        <w:adjustRightInd w:val="0"/>
        <w:ind w:left="1418" w:hanging="567"/>
        <w:jc w:val="both"/>
        <w:textAlignment w:val="auto"/>
        <w:rPr>
          <w:rFonts w:ascii="Arial" w:hAnsi="Arial" w:cs="Arial"/>
          <w:sz w:val="22"/>
          <w:szCs w:val="22"/>
          <w:lang w:val="es-ES"/>
        </w:rPr>
      </w:pPr>
      <w:r w:rsidRPr="00D85D5B">
        <w:rPr>
          <w:rFonts w:ascii="Arial" w:hAnsi="Arial" w:cs="Arial"/>
          <w:sz w:val="22"/>
          <w:szCs w:val="22"/>
          <w:lang w:val="es-ES"/>
        </w:rPr>
        <w:t>examine más a fondo los efectos de la contaminación en las aves marinas, incluso mediante la posible celebración de un taller específico.</w:t>
      </w:r>
    </w:p>
    <w:p w14:paraId="31B86C59" w14:textId="77777777" w:rsidR="00D85D5B" w:rsidRPr="00D85D5B" w:rsidRDefault="00D85D5B" w:rsidP="00D85D5B">
      <w:pPr>
        <w:adjustRightInd w:val="0"/>
        <w:ind w:left="1418"/>
        <w:jc w:val="both"/>
        <w:rPr>
          <w:rFonts w:ascii="Arial" w:hAnsi="Arial" w:cs="Arial"/>
          <w:sz w:val="22"/>
          <w:szCs w:val="22"/>
          <w:lang w:val="es-ES"/>
        </w:rPr>
      </w:pPr>
    </w:p>
    <w:p w14:paraId="1FAFDE53" w14:textId="77777777" w:rsidR="00576D26" w:rsidRDefault="00576D26">
      <w:pPr>
        <w:widowControl/>
        <w:suppressAutoHyphens w:val="0"/>
        <w:autoSpaceDE/>
        <w:spacing w:after="160" w:line="254" w:lineRule="auto"/>
        <w:rPr>
          <w:rFonts w:ascii="Arial" w:hAnsi="Arial" w:cs="Arial"/>
          <w:b/>
          <w:i/>
          <w:sz w:val="22"/>
          <w:szCs w:val="22"/>
          <w:lang w:val="es-ES"/>
        </w:rPr>
      </w:pPr>
      <w:r>
        <w:rPr>
          <w:rFonts w:ascii="Arial" w:hAnsi="Arial" w:cs="Arial"/>
          <w:b/>
          <w:i/>
          <w:sz w:val="22"/>
          <w:szCs w:val="22"/>
          <w:lang w:val="es-ES"/>
        </w:rPr>
        <w:br w:type="page"/>
      </w:r>
    </w:p>
    <w:p w14:paraId="1D3C9A47" w14:textId="247B0D09" w:rsidR="00D85D5B" w:rsidRPr="00D85D5B" w:rsidRDefault="00D85D5B" w:rsidP="00192E92">
      <w:pPr>
        <w:rPr>
          <w:rFonts w:ascii="Arial" w:hAnsi="Arial" w:cs="Arial"/>
          <w:b/>
          <w:i/>
          <w:sz w:val="22"/>
          <w:szCs w:val="22"/>
          <w:lang w:val="es-ES"/>
        </w:rPr>
      </w:pPr>
      <w:r w:rsidRPr="00D85D5B">
        <w:rPr>
          <w:rFonts w:ascii="Arial" w:hAnsi="Arial" w:cs="Arial"/>
          <w:b/>
          <w:i/>
          <w:sz w:val="22"/>
          <w:szCs w:val="22"/>
          <w:lang w:val="es-ES"/>
        </w:rPr>
        <w:lastRenderedPageBreak/>
        <w:t>Dirigido a la Secretaría</w:t>
      </w:r>
    </w:p>
    <w:p w14:paraId="38F75DCD" w14:textId="77777777" w:rsidR="00D85D5B" w:rsidRPr="00D85D5B" w:rsidRDefault="00D85D5B" w:rsidP="00D85D5B">
      <w:pPr>
        <w:jc w:val="both"/>
        <w:rPr>
          <w:rFonts w:ascii="Arial" w:hAnsi="Arial" w:cs="Arial"/>
          <w:sz w:val="22"/>
          <w:szCs w:val="22"/>
          <w:lang w:val="es-ES"/>
        </w:rPr>
      </w:pPr>
    </w:p>
    <w:p w14:paraId="55C8273F" w14:textId="1053EFA3" w:rsidR="00192E92" w:rsidRPr="00192E92" w:rsidRDefault="00D85D5B" w:rsidP="00192E92">
      <w:pPr>
        <w:ind w:left="851" w:hanging="851"/>
        <w:jc w:val="both"/>
        <w:rPr>
          <w:rFonts w:ascii="Arial" w:hAnsi="Arial" w:cs="Arial"/>
          <w:iCs/>
          <w:sz w:val="22"/>
          <w:szCs w:val="22"/>
          <w:lang w:val="es-ES"/>
        </w:rPr>
      </w:pPr>
      <w:r w:rsidRPr="00D85D5B">
        <w:rPr>
          <w:rFonts w:ascii="Arial" w:hAnsi="Arial" w:cs="Arial"/>
          <w:sz w:val="22"/>
          <w:szCs w:val="22"/>
          <w:lang w:val="es-ES"/>
        </w:rPr>
        <w:t>15.CC</w:t>
      </w:r>
      <w:r w:rsidRPr="00D85D5B">
        <w:rPr>
          <w:rFonts w:ascii="Arial" w:hAnsi="Arial" w:cs="Arial"/>
          <w:sz w:val="22"/>
          <w:szCs w:val="22"/>
          <w:lang w:val="es-ES"/>
        </w:rPr>
        <w:tab/>
        <w:t>La Secretaría, en función de la disponibilidad de recursos</w:t>
      </w:r>
      <w:r w:rsidR="00192E92">
        <w:rPr>
          <w:rFonts w:ascii="Arial" w:hAnsi="Arial" w:cs="Arial"/>
          <w:sz w:val="22"/>
          <w:szCs w:val="22"/>
          <w:lang w:val="es-ES"/>
        </w:rPr>
        <w:t xml:space="preserve">, </w:t>
      </w:r>
      <w:r w:rsidRPr="00192E92">
        <w:rPr>
          <w:rFonts w:ascii="Arial" w:hAnsi="Arial" w:cs="Arial"/>
          <w:sz w:val="22"/>
          <w:szCs w:val="22"/>
          <w:lang w:val="es-ES"/>
        </w:rPr>
        <w:t>procurará reforzar la cooperación entre la CMS y</w:t>
      </w:r>
      <w:r w:rsidR="00192E92" w:rsidRPr="00F12208">
        <w:rPr>
          <w:lang w:val="es-ES"/>
        </w:rPr>
        <w:t xml:space="preserve"> </w:t>
      </w:r>
      <w:r w:rsidR="00192E92" w:rsidRPr="00192E92">
        <w:rPr>
          <w:rFonts w:ascii="Arial" w:hAnsi="Arial" w:cs="Arial"/>
          <w:sz w:val="22"/>
          <w:szCs w:val="22"/>
          <w:lang w:val="es-ES"/>
        </w:rPr>
        <w:t>otros organismos pertinentes, entre ellos la CBI, el Acuerdo BBNJ</w:t>
      </w:r>
      <w:r w:rsidR="00192E92" w:rsidRPr="00192E92">
        <w:rPr>
          <w:rFonts w:ascii="Arial" w:hAnsi="Arial" w:cs="Arial"/>
          <w:sz w:val="22"/>
          <w:szCs w:val="22"/>
          <w:vertAlign w:val="superscript"/>
          <w:lang w:val="en-GB"/>
        </w:rPr>
        <w:footnoteReference w:id="10"/>
      </w:r>
      <w:r w:rsidR="00192E92" w:rsidRPr="00192E92">
        <w:rPr>
          <w:rFonts w:ascii="Arial" w:hAnsi="Arial" w:cs="Arial"/>
          <w:sz w:val="22"/>
          <w:szCs w:val="22"/>
          <w:lang w:val="es-ES"/>
        </w:rPr>
        <w:t>, el CDB</w:t>
      </w:r>
      <w:r w:rsidR="00192E92" w:rsidRPr="00192E92">
        <w:rPr>
          <w:rFonts w:ascii="Arial" w:hAnsi="Arial" w:cs="Arial"/>
          <w:sz w:val="22"/>
          <w:szCs w:val="22"/>
          <w:vertAlign w:val="superscript"/>
          <w:lang w:val="en-GB"/>
        </w:rPr>
        <w:footnoteReference w:id="11"/>
      </w:r>
      <w:r w:rsidR="00192E92" w:rsidRPr="00192E92">
        <w:rPr>
          <w:rFonts w:ascii="Arial" w:hAnsi="Arial" w:cs="Arial"/>
          <w:sz w:val="22"/>
          <w:szCs w:val="22"/>
          <w:lang w:val="es-ES"/>
        </w:rPr>
        <w:t>, los Convenios de Estocolmo</w:t>
      </w:r>
      <w:r w:rsidR="00192E92" w:rsidRPr="00192E92">
        <w:rPr>
          <w:rFonts w:ascii="Arial" w:hAnsi="Arial" w:cs="Arial"/>
          <w:color w:val="000000" w:themeColor="text1"/>
          <w:sz w:val="22"/>
          <w:szCs w:val="22"/>
          <w:vertAlign w:val="superscript"/>
          <w:lang w:val="en-GB"/>
        </w:rPr>
        <w:footnoteReference w:id="12"/>
      </w:r>
      <w:r w:rsidR="00192E92" w:rsidRPr="00192E92">
        <w:rPr>
          <w:rFonts w:ascii="Arial" w:hAnsi="Arial" w:cs="Arial"/>
          <w:sz w:val="22"/>
          <w:szCs w:val="22"/>
          <w:lang w:val="es-ES"/>
        </w:rPr>
        <w:t>, Basilea</w:t>
      </w:r>
      <w:r w:rsidR="00192E92" w:rsidRPr="00192E92">
        <w:rPr>
          <w:rFonts w:ascii="Arial" w:hAnsi="Arial" w:cs="Arial"/>
          <w:sz w:val="22"/>
          <w:szCs w:val="22"/>
          <w:vertAlign w:val="superscript"/>
          <w:lang w:val="en-GB"/>
        </w:rPr>
        <w:footnoteReference w:id="13"/>
      </w:r>
      <w:r w:rsidR="00192E92" w:rsidRPr="00192E92">
        <w:rPr>
          <w:rFonts w:ascii="Arial" w:hAnsi="Arial" w:cs="Arial"/>
          <w:sz w:val="22"/>
          <w:szCs w:val="22"/>
          <w:lang w:val="es-ES"/>
        </w:rPr>
        <w:t xml:space="preserve"> y Minamata</w:t>
      </w:r>
      <w:r w:rsidR="00192E92" w:rsidRPr="00192E92">
        <w:rPr>
          <w:rFonts w:ascii="Arial" w:hAnsi="Arial" w:cs="Arial"/>
          <w:sz w:val="22"/>
          <w:szCs w:val="22"/>
          <w:vertAlign w:val="superscript"/>
          <w:lang w:val="en-GB"/>
        </w:rPr>
        <w:footnoteReference w:id="14"/>
      </w:r>
      <w:r w:rsidR="00192E92" w:rsidRPr="00192E92">
        <w:rPr>
          <w:rFonts w:ascii="Arial" w:hAnsi="Arial" w:cs="Arial"/>
          <w:sz w:val="22"/>
          <w:szCs w:val="22"/>
          <w:lang w:val="es-ES"/>
        </w:rPr>
        <w:t>, el Grupo Intergubernamental de Expertos sobre Ciencias y Políticas en materia de Productos Químicos, Residuos y Contaminación, la IPBES</w:t>
      </w:r>
      <w:r w:rsidR="00192E92" w:rsidRPr="00192E92">
        <w:rPr>
          <w:rFonts w:ascii="Arial" w:hAnsi="Arial" w:cs="Arial"/>
          <w:sz w:val="22"/>
          <w:szCs w:val="22"/>
          <w:vertAlign w:val="superscript"/>
          <w:lang w:val="en-GB"/>
        </w:rPr>
        <w:footnoteReference w:id="15"/>
      </w:r>
      <w:r w:rsidR="00192E92" w:rsidRPr="00192E92">
        <w:rPr>
          <w:rFonts w:ascii="Arial" w:hAnsi="Arial" w:cs="Arial"/>
          <w:sz w:val="22"/>
          <w:szCs w:val="22"/>
          <w:lang w:val="es-ES"/>
        </w:rPr>
        <w:t>, la OMI</w:t>
      </w:r>
      <w:r w:rsidR="00192E92" w:rsidRPr="00192E92">
        <w:rPr>
          <w:rFonts w:ascii="Arial" w:hAnsi="Arial" w:cs="Arial"/>
          <w:sz w:val="22"/>
          <w:szCs w:val="22"/>
          <w:vertAlign w:val="superscript"/>
          <w:lang w:val="en-GB"/>
        </w:rPr>
        <w:footnoteReference w:id="16"/>
      </w:r>
      <w:r w:rsidR="00192E92" w:rsidRPr="00192E92">
        <w:rPr>
          <w:rFonts w:ascii="Arial" w:hAnsi="Arial" w:cs="Arial"/>
          <w:sz w:val="22"/>
          <w:szCs w:val="22"/>
          <w:lang w:val="es-ES"/>
        </w:rPr>
        <w:t xml:space="preserve"> y sus tratados sobre la prevención de la contaminación marina</w:t>
      </w:r>
      <w:r w:rsidR="00192E92" w:rsidRPr="00192E92">
        <w:rPr>
          <w:rFonts w:ascii="Arial" w:hAnsi="Arial" w:cs="Arial"/>
          <w:sz w:val="22"/>
          <w:szCs w:val="22"/>
          <w:vertAlign w:val="superscript"/>
          <w:lang w:val="en-GB"/>
        </w:rPr>
        <w:footnoteReference w:id="17"/>
      </w:r>
      <w:r w:rsidR="00192E92" w:rsidRPr="00192E92">
        <w:rPr>
          <w:rFonts w:ascii="Arial" w:hAnsi="Arial" w:cs="Arial"/>
          <w:sz w:val="22"/>
          <w:szCs w:val="22"/>
          <w:lang w:val="es-ES"/>
        </w:rPr>
        <w:t>, el Marco Mundial sobre Productos Químicos, los convenios y planes de acción marinos regionales, los organismos regionales de pesca, cuando proceda, y el futuro instrumento jurídicamente vinculante sobre la contaminación por plásticos, para abordar mejor lo</w:t>
      </w:r>
      <w:r w:rsidR="004C2284">
        <w:rPr>
          <w:rFonts w:ascii="Arial" w:hAnsi="Arial" w:cs="Arial"/>
          <w:sz w:val="22"/>
          <w:szCs w:val="22"/>
          <w:lang w:val="es-ES"/>
        </w:rPr>
        <w:t>s</w:t>
      </w:r>
      <w:r w:rsidR="00192E92" w:rsidRPr="00192E92">
        <w:rPr>
          <w:rFonts w:ascii="Arial" w:hAnsi="Arial" w:cs="Arial"/>
          <w:sz w:val="22"/>
          <w:szCs w:val="22"/>
          <w:lang w:val="es-ES"/>
        </w:rPr>
        <w:t xml:space="preserve"> riesgos de la contaminación marina para las especies migratorias.</w:t>
      </w:r>
    </w:p>
    <w:p w14:paraId="708FEA4D" w14:textId="1D2624BE" w:rsidR="00D85D5B" w:rsidRPr="00192E92" w:rsidRDefault="00D85D5B" w:rsidP="00192E92">
      <w:pPr>
        <w:widowControl/>
        <w:suppressAutoHyphens w:val="0"/>
        <w:autoSpaceDE/>
        <w:autoSpaceDN/>
        <w:jc w:val="both"/>
        <w:textAlignment w:val="auto"/>
        <w:rPr>
          <w:rFonts w:ascii="Arial" w:hAnsi="Arial" w:cs="Arial"/>
          <w:sz w:val="22"/>
          <w:szCs w:val="22"/>
          <w:lang w:val="es-ES"/>
        </w:rPr>
      </w:pPr>
    </w:p>
    <w:p w14:paraId="5C1C8FFF" w14:textId="77777777" w:rsidR="00D85D5B" w:rsidRPr="00D85D5B" w:rsidRDefault="00D85D5B" w:rsidP="00D85D5B">
      <w:pPr>
        <w:pStyle w:val="Secondnumbering"/>
        <w:jc w:val="right"/>
        <w:rPr>
          <w:rFonts w:cs="Arial"/>
          <w:lang w:val="es-ES"/>
        </w:rPr>
      </w:pPr>
    </w:p>
    <w:p w14:paraId="7A7D9EF6" w14:textId="77777777" w:rsidR="00D82C56" w:rsidRPr="00D85D5B" w:rsidRDefault="00D82C56" w:rsidP="00D85D5B">
      <w:pPr>
        <w:jc w:val="center"/>
        <w:rPr>
          <w:rFonts w:ascii="Arial" w:hAnsi="Arial" w:cs="Arial"/>
          <w:sz w:val="22"/>
          <w:szCs w:val="22"/>
          <w:lang w:val="es-ES"/>
        </w:rPr>
      </w:pPr>
    </w:p>
    <w:sectPr w:rsidR="00D82C56" w:rsidRPr="00D85D5B" w:rsidSect="00AB5285">
      <w:headerReference w:type="even" r:id="rId17"/>
      <w:headerReference w:type="default" r:id="rId18"/>
      <w:footerReference w:type="even" r:id="rId19"/>
      <w:footerReference w:type="default" r:id="rId20"/>
      <w:headerReference w:type="first" r:id="rId21"/>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40F7B" w14:textId="77777777" w:rsidR="00E40137" w:rsidRDefault="00E40137">
      <w:r>
        <w:separator/>
      </w:r>
    </w:p>
  </w:endnote>
  <w:endnote w:type="continuationSeparator" w:id="0">
    <w:p w14:paraId="60B46170" w14:textId="77777777" w:rsidR="00E40137" w:rsidRDefault="00E40137">
      <w:r>
        <w:continuationSeparator/>
      </w:r>
    </w:p>
  </w:endnote>
  <w:endnote w:type="continuationNotice" w:id="1">
    <w:p w14:paraId="5319F09F" w14:textId="77777777" w:rsidR="00E40137" w:rsidRDefault="00E40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324434"/>
      <w:docPartObj>
        <w:docPartGallery w:val="Page Numbers (Bottom of Page)"/>
        <w:docPartUnique/>
      </w:docPartObj>
    </w:sdtPr>
    <w:sdtEndPr>
      <w:rPr>
        <w:rFonts w:ascii="Arial" w:hAnsi="Arial" w:cs="Arial"/>
        <w:noProof/>
        <w:sz w:val="18"/>
        <w:szCs w:val="18"/>
      </w:rPr>
    </w:sdtEndPr>
    <w:sdtContent>
      <w:p w14:paraId="39F28D8C" w14:textId="54F5F6B0" w:rsidR="00F12208" w:rsidRPr="00F12208" w:rsidRDefault="00F12208">
        <w:pPr>
          <w:pStyle w:val="Footer"/>
          <w:jc w:val="center"/>
          <w:rPr>
            <w:rFonts w:ascii="Arial" w:hAnsi="Arial" w:cs="Arial"/>
            <w:sz w:val="18"/>
            <w:szCs w:val="18"/>
          </w:rPr>
        </w:pPr>
        <w:r w:rsidRPr="00F12208">
          <w:rPr>
            <w:rFonts w:ascii="Arial" w:hAnsi="Arial" w:cs="Arial"/>
            <w:sz w:val="18"/>
            <w:szCs w:val="18"/>
          </w:rPr>
          <w:fldChar w:fldCharType="begin"/>
        </w:r>
        <w:r w:rsidRPr="00F12208">
          <w:rPr>
            <w:rFonts w:ascii="Arial" w:hAnsi="Arial" w:cs="Arial"/>
            <w:sz w:val="18"/>
            <w:szCs w:val="18"/>
          </w:rPr>
          <w:instrText xml:space="preserve"> PAGE   \* MERGEFORMAT </w:instrText>
        </w:r>
        <w:r w:rsidRPr="00F12208">
          <w:rPr>
            <w:rFonts w:ascii="Arial" w:hAnsi="Arial" w:cs="Arial"/>
            <w:sz w:val="18"/>
            <w:szCs w:val="18"/>
          </w:rPr>
          <w:fldChar w:fldCharType="separate"/>
        </w:r>
        <w:r w:rsidRPr="00F12208">
          <w:rPr>
            <w:rFonts w:ascii="Arial" w:hAnsi="Arial" w:cs="Arial"/>
            <w:noProof/>
            <w:sz w:val="18"/>
            <w:szCs w:val="18"/>
          </w:rPr>
          <w:t>2</w:t>
        </w:r>
        <w:r w:rsidRPr="00F12208">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498780"/>
      <w:docPartObj>
        <w:docPartGallery w:val="Page Numbers (Bottom of Page)"/>
        <w:docPartUnique/>
      </w:docPartObj>
    </w:sdtPr>
    <w:sdtEndPr>
      <w:rPr>
        <w:rFonts w:ascii="Arial" w:hAnsi="Arial" w:cs="Arial"/>
        <w:noProof/>
        <w:sz w:val="18"/>
        <w:szCs w:val="18"/>
      </w:rPr>
    </w:sdtEndPr>
    <w:sdtContent>
      <w:p w14:paraId="7752CF9A" w14:textId="64589053" w:rsidR="00F12208" w:rsidRPr="00F12208" w:rsidRDefault="00F12208">
        <w:pPr>
          <w:pStyle w:val="Footer"/>
          <w:jc w:val="center"/>
          <w:rPr>
            <w:rFonts w:ascii="Arial" w:hAnsi="Arial" w:cs="Arial"/>
            <w:sz w:val="18"/>
            <w:szCs w:val="18"/>
          </w:rPr>
        </w:pPr>
        <w:r w:rsidRPr="00F12208">
          <w:rPr>
            <w:rFonts w:ascii="Arial" w:hAnsi="Arial" w:cs="Arial"/>
            <w:sz w:val="18"/>
            <w:szCs w:val="18"/>
          </w:rPr>
          <w:fldChar w:fldCharType="begin"/>
        </w:r>
        <w:r w:rsidRPr="00F12208">
          <w:rPr>
            <w:rFonts w:ascii="Arial" w:hAnsi="Arial" w:cs="Arial"/>
            <w:sz w:val="18"/>
            <w:szCs w:val="18"/>
          </w:rPr>
          <w:instrText xml:space="preserve"> PAGE   \* MERGEFORMAT </w:instrText>
        </w:r>
        <w:r w:rsidRPr="00F12208">
          <w:rPr>
            <w:rFonts w:ascii="Arial" w:hAnsi="Arial" w:cs="Arial"/>
            <w:sz w:val="18"/>
            <w:szCs w:val="18"/>
          </w:rPr>
          <w:fldChar w:fldCharType="separate"/>
        </w:r>
        <w:r w:rsidRPr="00F12208">
          <w:rPr>
            <w:rFonts w:ascii="Arial" w:hAnsi="Arial" w:cs="Arial"/>
            <w:noProof/>
            <w:sz w:val="18"/>
            <w:szCs w:val="18"/>
          </w:rPr>
          <w:t>2</w:t>
        </w:r>
        <w:r w:rsidRPr="00F12208">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510409"/>
      <w:docPartObj>
        <w:docPartGallery w:val="Page Numbers (Bottom of Page)"/>
        <w:docPartUnique/>
      </w:docPartObj>
    </w:sdtPr>
    <w:sdtEndPr>
      <w:rPr>
        <w:rFonts w:ascii="Arial" w:hAnsi="Arial" w:cs="Arial"/>
        <w:noProof/>
        <w:sz w:val="18"/>
        <w:szCs w:val="18"/>
      </w:rPr>
    </w:sdtEndPr>
    <w:sdtContent>
      <w:p w14:paraId="06EA06F9" w14:textId="1A49BE57" w:rsidR="00F12208" w:rsidRPr="00F12208" w:rsidRDefault="00F12208">
        <w:pPr>
          <w:pStyle w:val="Footer"/>
          <w:jc w:val="center"/>
          <w:rPr>
            <w:rFonts w:ascii="Arial" w:hAnsi="Arial" w:cs="Arial"/>
            <w:sz w:val="18"/>
            <w:szCs w:val="18"/>
          </w:rPr>
        </w:pPr>
        <w:r w:rsidRPr="00F12208">
          <w:rPr>
            <w:rFonts w:ascii="Arial" w:hAnsi="Arial" w:cs="Arial"/>
            <w:sz w:val="18"/>
            <w:szCs w:val="18"/>
          </w:rPr>
          <w:fldChar w:fldCharType="begin"/>
        </w:r>
        <w:r w:rsidRPr="00F12208">
          <w:rPr>
            <w:rFonts w:ascii="Arial" w:hAnsi="Arial" w:cs="Arial"/>
            <w:sz w:val="18"/>
            <w:szCs w:val="18"/>
          </w:rPr>
          <w:instrText xml:space="preserve"> PAGE   \* MERGEFORMAT </w:instrText>
        </w:r>
        <w:r w:rsidRPr="00F12208">
          <w:rPr>
            <w:rFonts w:ascii="Arial" w:hAnsi="Arial" w:cs="Arial"/>
            <w:sz w:val="18"/>
            <w:szCs w:val="18"/>
          </w:rPr>
          <w:fldChar w:fldCharType="separate"/>
        </w:r>
        <w:r w:rsidRPr="00F12208">
          <w:rPr>
            <w:rFonts w:ascii="Arial" w:hAnsi="Arial" w:cs="Arial"/>
            <w:noProof/>
            <w:sz w:val="18"/>
            <w:szCs w:val="18"/>
          </w:rPr>
          <w:t>2</w:t>
        </w:r>
        <w:r w:rsidRPr="00F12208">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5D44" w14:textId="77777777" w:rsidR="00E40137" w:rsidRDefault="00E40137">
      <w:r>
        <w:rPr>
          <w:color w:val="000000"/>
        </w:rPr>
        <w:separator/>
      </w:r>
    </w:p>
  </w:footnote>
  <w:footnote w:type="continuationSeparator" w:id="0">
    <w:p w14:paraId="1E647BDE" w14:textId="77777777" w:rsidR="00E40137" w:rsidRDefault="00E40137">
      <w:r>
        <w:continuationSeparator/>
      </w:r>
    </w:p>
  </w:footnote>
  <w:footnote w:type="continuationNotice" w:id="1">
    <w:p w14:paraId="20F46985" w14:textId="77777777" w:rsidR="00E40137" w:rsidRDefault="00E40137"/>
  </w:footnote>
  <w:footnote w:id="2">
    <w:p w14:paraId="4ECD0593" w14:textId="77777777" w:rsidR="00D85D5B" w:rsidRPr="00F12208" w:rsidRDefault="00D85D5B" w:rsidP="005D6F79">
      <w:pPr>
        <w:pStyle w:val="FootnoteText"/>
        <w:jc w:val="both"/>
        <w:rPr>
          <w:rFonts w:cs="Arial"/>
          <w:sz w:val="16"/>
          <w:szCs w:val="16"/>
          <w:lang w:val="es-ES"/>
        </w:rPr>
      </w:pPr>
      <w:r w:rsidRPr="00F12208">
        <w:rPr>
          <w:rStyle w:val="FootnoteReference"/>
          <w:rFonts w:cs="Arial"/>
          <w:sz w:val="16"/>
          <w:szCs w:val="16"/>
          <w:vertAlign w:val="superscript"/>
          <w:lang w:val="es-ES"/>
        </w:rPr>
        <w:footnoteRef/>
      </w:r>
      <w:r w:rsidRPr="00F12208">
        <w:rPr>
          <w:rFonts w:cs="Arial"/>
          <w:sz w:val="16"/>
          <w:szCs w:val="16"/>
          <w:lang w:val="es-ES"/>
        </w:rPr>
        <w:t xml:space="preserve"> Acuerdo sobre la Diversidad Biológica Marina en las Zonas fuera de la Jurisdicción Nacional</w:t>
      </w:r>
    </w:p>
  </w:footnote>
  <w:footnote w:id="3">
    <w:p w14:paraId="2A5BAD5F" w14:textId="77777777" w:rsidR="00D85D5B" w:rsidRPr="00F12208" w:rsidRDefault="00D85D5B" w:rsidP="005D6F79">
      <w:pPr>
        <w:pStyle w:val="FootnoteText"/>
        <w:jc w:val="both"/>
        <w:rPr>
          <w:rFonts w:cs="Arial"/>
          <w:sz w:val="16"/>
          <w:szCs w:val="16"/>
          <w:lang w:val="es-ES"/>
        </w:rPr>
      </w:pPr>
      <w:r w:rsidRPr="00F12208">
        <w:rPr>
          <w:rStyle w:val="FootnoteReference"/>
          <w:rFonts w:cs="Arial"/>
          <w:sz w:val="16"/>
          <w:szCs w:val="16"/>
          <w:vertAlign w:val="superscript"/>
          <w:lang w:val="es-ES"/>
        </w:rPr>
        <w:footnoteRef/>
      </w:r>
      <w:r w:rsidRPr="00F12208">
        <w:rPr>
          <w:rStyle w:val="FootnoteReference"/>
          <w:rFonts w:cs="Arial"/>
          <w:sz w:val="16"/>
          <w:szCs w:val="16"/>
          <w:vertAlign w:val="superscript"/>
          <w:lang w:val="es-ES"/>
        </w:rPr>
        <w:t xml:space="preserve"> </w:t>
      </w:r>
      <w:r w:rsidRPr="00F12208">
        <w:rPr>
          <w:rFonts w:cs="Arial"/>
          <w:iCs/>
          <w:sz w:val="16"/>
          <w:szCs w:val="16"/>
          <w:lang w:val="es-ES"/>
        </w:rPr>
        <w:t>Convenio sobre la Diversidad Biológica</w:t>
      </w:r>
    </w:p>
  </w:footnote>
  <w:footnote w:id="4">
    <w:p w14:paraId="1A16EE9B" w14:textId="77777777" w:rsidR="00D85D5B" w:rsidRPr="00F12208" w:rsidRDefault="00D85D5B" w:rsidP="005D6F79">
      <w:pPr>
        <w:pStyle w:val="FootnoteText"/>
        <w:jc w:val="both"/>
        <w:rPr>
          <w:rFonts w:cs="Arial"/>
          <w:sz w:val="16"/>
          <w:szCs w:val="16"/>
          <w:lang w:val="es-ES"/>
        </w:rPr>
      </w:pPr>
      <w:r w:rsidRPr="00F12208">
        <w:rPr>
          <w:rStyle w:val="FootnoteReference"/>
          <w:rFonts w:cs="Arial"/>
          <w:sz w:val="16"/>
          <w:szCs w:val="16"/>
          <w:vertAlign w:val="superscript"/>
          <w:lang w:val="es-ES"/>
        </w:rPr>
        <w:footnoteRef/>
      </w:r>
      <w:r w:rsidRPr="00F12208">
        <w:rPr>
          <w:rStyle w:val="FootnoteReference"/>
          <w:rFonts w:cs="Arial"/>
          <w:sz w:val="16"/>
          <w:szCs w:val="16"/>
          <w:vertAlign w:val="superscript"/>
          <w:lang w:val="es-ES"/>
        </w:rPr>
        <w:t xml:space="preserve"> </w:t>
      </w:r>
      <w:r w:rsidRPr="00F12208">
        <w:rPr>
          <w:rFonts w:cs="Arial"/>
          <w:iCs/>
          <w:sz w:val="16"/>
          <w:szCs w:val="16"/>
          <w:lang w:val="es-ES"/>
        </w:rPr>
        <w:t>Convenio de Estocolmo sobre Contaminantes Orgánicos Persistentes</w:t>
      </w:r>
    </w:p>
  </w:footnote>
  <w:footnote w:id="5">
    <w:p w14:paraId="7CCC62A8" w14:textId="77777777" w:rsidR="00D85D5B" w:rsidRPr="00F12208" w:rsidRDefault="00D85D5B" w:rsidP="005D6F79">
      <w:pPr>
        <w:pStyle w:val="FootnoteText"/>
        <w:jc w:val="both"/>
        <w:rPr>
          <w:rFonts w:cs="Arial"/>
          <w:sz w:val="16"/>
          <w:szCs w:val="16"/>
          <w:lang w:val="es-ES"/>
        </w:rPr>
      </w:pPr>
      <w:r w:rsidRPr="00F12208">
        <w:rPr>
          <w:rStyle w:val="FootnoteReference"/>
          <w:rFonts w:cs="Arial"/>
          <w:sz w:val="16"/>
          <w:szCs w:val="16"/>
          <w:vertAlign w:val="superscript"/>
          <w:lang w:val="es-ES"/>
        </w:rPr>
        <w:footnoteRef/>
      </w:r>
      <w:r w:rsidRPr="00F12208">
        <w:rPr>
          <w:rStyle w:val="FootnoteReference"/>
          <w:rFonts w:cs="Arial"/>
          <w:sz w:val="16"/>
          <w:szCs w:val="16"/>
          <w:vertAlign w:val="superscript"/>
          <w:lang w:val="es-ES"/>
        </w:rPr>
        <w:t xml:space="preserve"> </w:t>
      </w:r>
      <w:r w:rsidRPr="00F12208">
        <w:rPr>
          <w:rFonts w:cs="Arial"/>
          <w:iCs/>
          <w:sz w:val="16"/>
          <w:szCs w:val="16"/>
          <w:lang w:val="es-ES"/>
        </w:rPr>
        <w:t>Convenio de Basilea sobre el Control de los Movimientos Transfronterizos de los Desechos Peligrosos y su Eliminación</w:t>
      </w:r>
    </w:p>
  </w:footnote>
  <w:footnote w:id="6">
    <w:p w14:paraId="47F1C9A2" w14:textId="77777777" w:rsidR="00D85D5B" w:rsidRPr="00F12208" w:rsidRDefault="00D85D5B" w:rsidP="005D6F79">
      <w:pPr>
        <w:pStyle w:val="FootnoteText"/>
        <w:jc w:val="both"/>
        <w:rPr>
          <w:rFonts w:cs="Arial"/>
          <w:sz w:val="16"/>
          <w:szCs w:val="16"/>
          <w:lang w:val="es-ES"/>
        </w:rPr>
      </w:pPr>
      <w:r w:rsidRPr="00F12208">
        <w:rPr>
          <w:rStyle w:val="FootnoteReference"/>
          <w:rFonts w:cs="Arial"/>
          <w:sz w:val="16"/>
          <w:szCs w:val="16"/>
          <w:vertAlign w:val="superscript"/>
          <w:lang w:val="es-ES"/>
        </w:rPr>
        <w:footnoteRef/>
      </w:r>
      <w:r w:rsidRPr="00F12208">
        <w:rPr>
          <w:rFonts w:cs="Arial"/>
          <w:sz w:val="16"/>
          <w:szCs w:val="16"/>
          <w:lang w:val="es-ES"/>
        </w:rPr>
        <w:t xml:space="preserve"> </w:t>
      </w:r>
      <w:r w:rsidRPr="00F12208">
        <w:rPr>
          <w:rFonts w:cs="Arial"/>
          <w:iCs/>
          <w:sz w:val="16"/>
          <w:szCs w:val="16"/>
          <w:lang w:val="es-ES"/>
        </w:rPr>
        <w:t>Convenio de Minamata sobre el Mercurio</w:t>
      </w:r>
    </w:p>
  </w:footnote>
  <w:footnote w:id="7">
    <w:p w14:paraId="45105B4D" w14:textId="779AB166" w:rsidR="00F41D5C" w:rsidRPr="00F12208" w:rsidRDefault="00F41D5C" w:rsidP="005D6F79">
      <w:pPr>
        <w:pStyle w:val="FootnoteText"/>
        <w:jc w:val="both"/>
        <w:rPr>
          <w:rFonts w:cs="Arial"/>
          <w:sz w:val="16"/>
          <w:szCs w:val="16"/>
          <w:lang w:val="es-ES"/>
        </w:rPr>
      </w:pPr>
      <w:r w:rsidRPr="00F12208">
        <w:rPr>
          <w:rStyle w:val="FootnoteReference"/>
          <w:rFonts w:cs="Arial"/>
          <w:sz w:val="16"/>
          <w:szCs w:val="16"/>
          <w:vertAlign w:val="superscript"/>
          <w:lang w:val="es-ES"/>
        </w:rPr>
        <w:footnoteRef/>
      </w:r>
      <w:r w:rsidRPr="00F12208">
        <w:rPr>
          <w:rFonts w:cs="Arial"/>
          <w:sz w:val="16"/>
          <w:szCs w:val="16"/>
          <w:lang w:val="es-ES"/>
        </w:rPr>
        <w:t xml:space="preserve"> </w:t>
      </w:r>
      <w:r w:rsidR="004C3FBB" w:rsidRPr="00F12208">
        <w:rPr>
          <w:rFonts w:cs="Arial"/>
          <w:sz w:val="16"/>
          <w:szCs w:val="16"/>
          <w:lang w:val="es-ES"/>
        </w:rPr>
        <w:t>Plataforma Intergubernamental Científico-Normativa sobre Diversidad Biológica y Servicios de los Ecosistemas</w:t>
      </w:r>
    </w:p>
  </w:footnote>
  <w:footnote w:id="8">
    <w:p w14:paraId="1F8B7908" w14:textId="05444D3A" w:rsidR="00F41D5C" w:rsidRPr="00F12208" w:rsidRDefault="00F41D5C" w:rsidP="005D6F79">
      <w:pPr>
        <w:pStyle w:val="FootnoteText"/>
        <w:jc w:val="both"/>
        <w:rPr>
          <w:rFonts w:cs="Arial"/>
          <w:sz w:val="16"/>
          <w:szCs w:val="16"/>
          <w:lang w:val="es-ES"/>
        </w:rPr>
      </w:pPr>
      <w:r w:rsidRPr="00F12208">
        <w:rPr>
          <w:rStyle w:val="FootnoteReference"/>
          <w:rFonts w:cs="Arial"/>
          <w:sz w:val="16"/>
          <w:szCs w:val="16"/>
          <w:vertAlign w:val="superscript"/>
          <w:lang w:val="es-ES"/>
        </w:rPr>
        <w:footnoteRef/>
      </w:r>
      <w:r w:rsidRPr="00F12208">
        <w:rPr>
          <w:rFonts w:cs="Arial"/>
          <w:sz w:val="16"/>
          <w:szCs w:val="16"/>
          <w:vertAlign w:val="superscript"/>
          <w:lang w:val="es-ES"/>
        </w:rPr>
        <w:t xml:space="preserve"> </w:t>
      </w:r>
      <w:r w:rsidR="00786FAB" w:rsidRPr="00F12208">
        <w:rPr>
          <w:rFonts w:cs="Arial"/>
          <w:sz w:val="16"/>
          <w:szCs w:val="16"/>
          <w:lang w:val="es-ES"/>
        </w:rPr>
        <w:t>Organización Marítima Internacional</w:t>
      </w:r>
    </w:p>
  </w:footnote>
  <w:footnote w:id="9">
    <w:p w14:paraId="44AEFC80" w14:textId="3D41A229" w:rsidR="00F41D5C" w:rsidRPr="00F12208" w:rsidRDefault="00F41D5C" w:rsidP="005D6F79">
      <w:pPr>
        <w:pStyle w:val="FootnoteText"/>
        <w:jc w:val="both"/>
        <w:rPr>
          <w:sz w:val="16"/>
          <w:szCs w:val="16"/>
          <w:lang w:val="es-ES"/>
        </w:rPr>
      </w:pPr>
      <w:r w:rsidRPr="00F12208">
        <w:rPr>
          <w:rStyle w:val="FootnoteReference"/>
          <w:rFonts w:cs="Arial"/>
          <w:color w:val="000000" w:themeColor="text1"/>
          <w:sz w:val="16"/>
          <w:szCs w:val="16"/>
          <w:vertAlign w:val="superscript"/>
          <w:lang w:val="es-ES"/>
        </w:rPr>
        <w:footnoteRef/>
      </w:r>
      <w:r w:rsidRPr="00F12208">
        <w:rPr>
          <w:rFonts w:cs="Arial"/>
          <w:color w:val="000000" w:themeColor="text1"/>
          <w:sz w:val="16"/>
          <w:szCs w:val="16"/>
          <w:lang w:val="es-ES"/>
        </w:rPr>
        <w:t xml:space="preserve"> </w:t>
      </w:r>
      <w:r w:rsidR="00786FAB" w:rsidRPr="00F12208">
        <w:rPr>
          <w:rFonts w:cs="Arial"/>
          <w:sz w:val="16"/>
          <w:szCs w:val="16"/>
          <w:lang w:val="es-ES"/>
        </w:rPr>
        <w:t>Convenio sobre la prevención de la contaminación marina causada por vertidos de desechos y otras materias (Convenio de Londres) y su Protocolo de Londres, y el Convenio internacional para prevenir la contaminación por los buques (MARPOL).</w:t>
      </w:r>
    </w:p>
  </w:footnote>
  <w:footnote w:id="10">
    <w:p w14:paraId="6CE1107A" w14:textId="382DE900" w:rsidR="00192E92" w:rsidRPr="00F12208" w:rsidRDefault="00192E92" w:rsidP="00DD5784">
      <w:pPr>
        <w:pStyle w:val="FootnoteText"/>
        <w:jc w:val="both"/>
        <w:rPr>
          <w:rFonts w:cs="Arial"/>
          <w:sz w:val="16"/>
          <w:szCs w:val="16"/>
          <w:lang w:val="es-ES"/>
        </w:rPr>
      </w:pPr>
      <w:r w:rsidRPr="00F12208">
        <w:rPr>
          <w:rStyle w:val="FootnoteReference"/>
          <w:rFonts w:cs="Arial"/>
          <w:sz w:val="16"/>
          <w:szCs w:val="16"/>
          <w:vertAlign w:val="superscript"/>
          <w:lang w:val="es-ES"/>
        </w:rPr>
        <w:footnoteRef/>
      </w:r>
      <w:r w:rsidRPr="00F12208">
        <w:rPr>
          <w:rFonts w:cs="Arial"/>
          <w:sz w:val="16"/>
          <w:szCs w:val="16"/>
          <w:lang w:val="es-ES"/>
        </w:rPr>
        <w:t xml:space="preserve"> A</w:t>
      </w:r>
      <w:r w:rsidR="00DD5784" w:rsidRPr="00F12208">
        <w:rPr>
          <w:rFonts w:cs="Arial"/>
          <w:sz w:val="16"/>
          <w:szCs w:val="16"/>
          <w:lang w:val="es-ES"/>
        </w:rPr>
        <w:t>cuerdo relativo a la Diversidad Biológica Marina de las Zonas Situadas Fuera de la Jurisdicción Nacional</w:t>
      </w:r>
    </w:p>
  </w:footnote>
  <w:footnote w:id="11">
    <w:p w14:paraId="1BC0E37D" w14:textId="34A137C0" w:rsidR="00192E92" w:rsidRPr="00F12208" w:rsidRDefault="00192E92" w:rsidP="00DD5784">
      <w:pPr>
        <w:pStyle w:val="FootnoteText"/>
        <w:jc w:val="both"/>
        <w:rPr>
          <w:rFonts w:cs="Arial"/>
          <w:sz w:val="16"/>
          <w:szCs w:val="16"/>
          <w:lang w:val="es-ES"/>
        </w:rPr>
      </w:pPr>
      <w:r w:rsidRPr="00F12208">
        <w:rPr>
          <w:rStyle w:val="FootnoteReference"/>
          <w:rFonts w:cs="Arial"/>
          <w:sz w:val="16"/>
          <w:szCs w:val="16"/>
          <w:vertAlign w:val="superscript"/>
          <w:lang w:val="es-ES"/>
        </w:rPr>
        <w:footnoteRef/>
      </w:r>
      <w:r w:rsidRPr="00F12208">
        <w:rPr>
          <w:rFonts w:cs="Arial"/>
          <w:sz w:val="16"/>
          <w:szCs w:val="16"/>
          <w:lang w:val="es-ES"/>
        </w:rPr>
        <w:t xml:space="preserve"> </w:t>
      </w:r>
      <w:r w:rsidR="00DD5784" w:rsidRPr="00F12208">
        <w:rPr>
          <w:rFonts w:cs="Arial"/>
          <w:iCs/>
          <w:sz w:val="16"/>
          <w:szCs w:val="16"/>
          <w:lang w:val="es-ES"/>
        </w:rPr>
        <w:t>Convenio sobre la Diversidad Biológica</w:t>
      </w:r>
    </w:p>
  </w:footnote>
  <w:footnote w:id="12">
    <w:p w14:paraId="0DD4C0C4" w14:textId="398C1E07" w:rsidR="00192E92" w:rsidRPr="00F12208" w:rsidRDefault="00192E92" w:rsidP="00DD5784">
      <w:pPr>
        <w:pStyle w:val="FootnoteText"/>
        <w:jc w:val="both"/>
        <w:rPr>
          <w:rFonts w:cs="Arial"/>
          <w:sz w:val="16"/>
          <w:szCs w:val="16"/>
          <w:lang w:val="es-ES"/>
        </w:rPr>
      </w:pPr>
      <w:r w:rsidRPr="00F12208">
        <w:rPr>
          <w:rStyle w:val="FootnoteReference"/>
          <w:rFonts w:cs="Arial"/>
          <w:sz w:val="16"/>
          <w:szCs w:val="16"/>
          <w:vertAlign w:val="superscript"/>
          <w:lang w:val="es-ES"/>
        </w:rPr>
        <w:footnoteRef/>
      </w:r>
      <w:r w:rsidRPr="00F12208">
        <w:rPr>
          <w:rFonts w:cs="Arial"/>
          <w:sz w:val="16"/>
          <w:szCs w:val="16"/>
          <w:lang w:val="es-ES"/>
        </w:rPr>
        <w:t xml:space="preserve"> </w:t>
      </w:r>
      <w:r w:rsidR="00DD5784" w:rsidRPr="00F12208">
        <w:rPr>
          <w:rFonts w:cs="Arial"/>
          <w:iCs/>
          <w:sz w:val="16"/>
          <w:szCs w:val="16"/>
          <w:lang w:val="es-ES"/>
        </w:rPr>
        <w:t>Convenio de Estocolmo sobre Contaminantes Orgánicos Persistentes</w:t>
      </w:r>
    </w:p>
  </w:footnote>
  <w:footnote w:id="13">
    <w:p w14:paraId="73C9BD87" w14:textId="70EFCF4F" w:rsidR="00192E92" w:rsidRPr="00F12208" w:rsidRDefault="00192E92" w:rsidP="00DD5784">
      <w:pPr>
        <w:pStyle w:val="FootnoteText"/>
        <w:jc w:val="both"/>
        <w:rPr>
          <w:rFonts w:cs="Arial"/>
          <w:sz w:val="16"/>
          <w:szCs w:val="16"/>
          <w:lang w:val="es-ES"/>
        </w:rPr>
      </w:pPr>
      <w:r w:rsidRPr="00F12208">
        <w:rPr>
          <w:rStyle w:val="FootnoteReference"/>
          <w:rFonts w:cs="Arial"/>
          <w:sz w:val="16"/>
          <w:szCs w:val="16"/>
          <w:vertAlign w:val="superscript"/>
          <w:lang w:val="es-ES"/>
        </w:rPr>
        <w:footnoteRef/>
      </w:r>
      <w:r w:rsidRPr="00F12208">
        <w:rPr>
          <w:rFonts w:cs="Arial"/>
          <w:sz w:val="16"/>
          <w:szCs w:val="16"/>
          <w:lang w:val="es-ES"/>
        </w:rPr>
        <w:t xml:space="preserve"> </w:t>
      </w:r>
      <w:r w:rsidR="00DD5784" w:rsidRPr="00F12208">
        <w:rPr>
          <w:rFonts w:cs="Arial"/>
          <w:iCs/>
          <w:sz w:val="16"/>
          <w:szCs w:val="16"/>
          <w:lang w:val="es-ES"/>
        </w:rPr>
        <w:t>Convenio de Basilea sobre el Control de los Movimientos Transfronterizos de los Desechos Peligrosos y su Eliminación</w:t>
      </w:r>
    </w:p>
  </w:footnote>
  <w:footnote w:id="14">
    <w:p w14:paraId="1961AC32" w14:textId="4443C99F" w:rsidR="00192E92" w:rsidRPr="00F12208" w:rsidRDefault="00192E92" w:rsidP="00DD5784">
      <w:pPr>
        <w:pStyle w:val="FootnoteText"/>
        <w:jc w:val="both"/>
        <w:rPr>
          <w:sz w:val="16"/>
          <w:szCs w:val="16"/>
          <w:lang w:val="es-ES"/>
        </w:rPr>
      </w:pPr>
      <w:r w:rsidRPr="00F12208">
        <w:rPr>
          <w:rStyle w:val="FootnoteReference"/>
          <w:rFonts w:cs="Arial"/>
          <w:sz w:val="16"/>
          <w:szCs w:val="16"/>
          <w:vertAlign w:val="superscript"/>
          <w:lang w:val="es-ES"/>
        </w:rPr>
        <w:footnoteRef/>
      </w:r>
      <w:r w:rsidRPr="00F12208">
        <w:rPr>
          <w:rFonts w:cs="Arial"/>
          <w:sz w:val="16"/>
          <w:szCs w:val="16"/>
          <w:lang w:val="es-ES"/>
        </w:rPr>
        <w:t xml:space="preserve"> </w:t>
      </w:r>
      <w:r w:rsidR="00DD5784" w:rsidRPr="00F12208">
        <w:rPr>
          <w:rFonts w:cs="Arial"/>
          <w:iCs/>
          <w:sz w:val="16"/>
          <w:szCs w:val="16"/>
          <w:lang w:val="es-ES"/>
        </w:rPr>
        <w:t>Convenio de Minamata sobre el Mercurio</w:t>
      </w:r>
    </w:p>
  </w:footnote>
  <w:footnote w:id="15">
    <w:p w14:paraId="3509869F" w14:textId="70DCFB9E" w:rsidR="00192E92" w:rsidRPr="00F12208" w:rsidRDefault="00192E92" w:rsidP="00DD5784">
      <w:pPr>
        <w:pStyle w:val="FootnoteText"/>
        <w:jc w:val="both"/>
        <w:rPr>
          <w:rFonts w:cs="Arial"/>
          <w:sz w:val="16"/>
          <w:szCs w:val="16"/>
          <w:lang w:val="es-ES"/>
        </w:rPr>
      </w:pPr>
      <w:r w:rsidRPr="00F12208">
        <w:rPr>
          <w:rStyle w:val="FootnoteReference"/>
          <w:rFonts w:cs="Arial"/>
          <w:sz w:val="16"/>
          <w:szCs w:val="16"/>
          <w:vertAlign w:val="superscript"/>
          <w:lang w:val="es-ES"/>
        </w:rPr>
        <w:footnoteRef/>
      </w:r>
      <w:r w:rsidRPr="00F12208">
        <w:rPr>
          <w:rFonts w:cs="Arial"/>
          <w:sz w:val="16"/>
          <w:szCs w:val="16"/>
          <w:vertAlign w:val="superscript"/>
          <w:lang w:val="es-ES"/>
        </w:rPr>
        <w:t xml:space="preserve"> </w:t>
      </w:r>
      <w:r w:rsidR="00DD5784" w:rsidRPr="00F12208">
        <w:rPr>
          <w:rFonts w:cs="Arial"/>
          <w:sz w:val="16"/>
          <w:szCs w:val="16"/>
          <w:lang w:val="es-ES"/>
        </w:rPr>
        <w:t>Plataforma Intergubernamental Científico-Normativa sobre Diversidad Biológica y Servicios de los Ecosistemas</w:t>
      </w:r>
    </w:p>
  </w:footnote>
  <w:footnote w:id="16">
    <w:p w14:paraId="37934C8F" w14:textId="6B8BDB0D" w:rsidR="00192E92" w:rsidRPr="00F12208" w:rsidRDefault="00192E92" w:rsidP="00DD5784">
      <w:pPr>
        <w:pStyle w:val="FootnoteText"/>
        <w:jc w:val="both"/>
        <w:rPr>
          <w:rFonts w:cs="Arial"/>
          <w:sz w:val="16"/>
          <w:szCs w:val="16"/>
          <w:lang w:val="es-ES"/>
        </w:rPr>
      </w:pPr>
      <w:r w:rsidRPr="00F12208">
        <w:rPr>
          <w:rStyle w:val="FootnoteReference"/>
          <w:rFonts w:cs="Arial"/>
          <w:sz w:val="16"/>
          <w:szCs w:val="16"/>
          <w:vertAlign w:val="superscript"/>
          <w:lang w:val="es-ES"/>
        </w:rPr>
        <w:footnoteRef/>
      </w:r>
      <w:r w:rsidRPr="00F12208">
        <w:rPr>
          <w:rFonts w:cs="Arial"/>
          <w:sz w:val="16"/>
          <w:szCs w:val="16"/>
          <w:vertAlign w:val="superscript"/>
          <w:lang w:val="es-ES"/>
        </w:rPr>
        <w:t xml:space="preserve"> </w:t>
      </w:r>
      <w:r w:rsidR="00DD5784" w:rsidRPr="00F12208">
        <w:rPr>
          <w:rFonts w:cs="Arial"/>
          <w:sz w:val="16"/>
          <w:szCs w:val="16"/>
          <w:lang w:val="es-ES"/>
        </w:rPr>
        <w:t>Organización Marítima Internacional</w:t>
      </w:r>
    </w:p>
  </w:footnote>
  <w:footnote w:id="17">
    <w:p w14:paraId="29E212C2" w14:textId="17C658F4" w:rsidR="00192E92" w:rsidRPr="00F12208" w:rsidRDefault="00192E92" w:rsidP="00DD5784">
      <w:pPr>
        <w:pStyle w:val="FootnoteText"/>
        <w:jc w:val="both"/>
        <w:rPr>
          <w:sz w:val="16"/>
          <w:szCs w:val="16"/>
          <w:lang w:val="es-ES"/>
        </w:rPr>
      </w:pPr>
      <w:r w:rsidRPr="00F12208">
        <w:rPr>
          <w:rStyle w:val="FootnoteReference"/>
          <w:rFonts w:cs="Arial"/>
          <w:sz w:val="16"/>
          <w:szCs w:val="16"/>
          <w:vertAlign w:val="superscript"/>
          <w:lang w:val="es-ES"/>
        </w:rPr>
        <w:footnoteRef/>
      </w:r>
      <w:r w:rsidRPr="00F12208">
        <w:rPr>
          <w:rFonts w:cs="Arial"/>
          <w:sz w:val="16"/>
          <w:szCs w:val="16"/>
          <w:lang w:val="es-ES"/>
        </w:rPr>
        <w:t xml:space="preserve"> </w:t>
      </w:r>
      <w:r w:rsidR="00DD5784" w:rsidRPr="00F12208">
        <w:rPr>
          <w:rFonts w:cs="Arial"/>
          <w:sz w:val="16"/>
          <w:szCs w:val="16"/>
          <w:lang w:val="es-ES"/>
        </w:rPr>
        <w:t>Convenio sobre la prevención de la contaminación marina causada por vertidos de desechos y otras materias (Convenio de Londres) y su Protocolo de Londres, y el Convenio internacional para prevenir la contaminación por los buques (MARPOL).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025F" w14:textId="77777777" w:rsidR="00D85D5B" w:rsidRPr="00D85D5B" w:rsidRDefault="00D85D5B" w:rsidP="00D85D5B">
    <w:pPr>
      <w:pBdr>
        <w:bottom w:val="single" w:sz="4" w:space="1" w:color="auto"/>
      </w:pBdr>
      <w:tabs>
        <w:tab w:val="left" w:pos="5040"/>
        <w:tab w:val="left" w:pos="5760"/>
        <w:tab w:val="left" w:pos="6008"/>
        <w:tab w:val="left" w:pos="6480"/>
        <w:tab w:val="left" w:pos="7200"/>
        <w:tab w:val="left" w:pos="7920"/>
        <w:tab w:val="left" w:pos="8640"/>
      </w:tabs>
      <w:rPr>
        <w:sz w:val="18"/>
        <w:szCs w:val="18"/>
        <w:lang w:val="pt-PT"/>
      </w:rPr>
    </w:pPr>
    <w:r w:rsidRPr="00D85D5B">
      <w:rPr>
        <w:rFonts w:ascii="Arial" w:hAnsi="Arial" w:cs="Arial"/>
        <w:bCs/>
        <w:i/>
        <w:iCs/>
        <w:sz w:val="18"/>
        <w:szCs w:val="18"/>
        <w:lang w:val="pt-PT"/>
      </w:rPr>
      <w:t>UNEP/CMS/COP15/CRP.25.2.1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B455" w14:textId="77777777" w:rsidR="00D85D5B" w:rsidRPr="00D85D5B" w:rsidRDefault="00D85D5B" w:rsidP="00D85D5B">
    <w:pPr>
      <w:pBdr>
        <w:bottom w:val="single" w:sz="4" w:space="1" w:color="auto"/>
      </w:pBdr>
      <w:tabs>
        <w:tab w:val="left" w:pos="5040"/>
        <w:tab w:val="left" w:pos="5760"/>
        <w:tab w:val="left" w:pos="6008"/>
        <w:tab w:val="left" w:pos="6480"/>
        <w:tab w:val="left" w:pos="7200"/>
        <w:tab w:val="left" w:pos="7920"/>
        <w:tab w:val="left" w:pos="8640"/>
      </w:tabs>
      <w:ind w:firstLine="536"/>
      <w:jc w:val="right"/>
      <w:rPr>
        <w:sz w:val="18"/>
        <w:szCs w:val="18"/>
        <w:lang w:val="pt-PT"/>
      </w:rPr>
    </w:pPr>
    <w:r w:rsidRPr="00D85D5B">
      <w:rPr>
        <w:rFonts w:ascii="Arial" w:hAnsi="Arial" w:cs="Arial"/>
        <w:bCs/>
        <w:i/>
        <w:iCs/>
        <w:sz w:val="18"/>
        <w:szCs w:val="18"/>
        <w:lang w:val="pt-PT"/>
      </w:rPr>
      <w:t>UNEP/CMS/COP15/CRP.25.2.1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DD52" w14:textId="77777777" w:rsidR="00D85D5B" w:rsidRPr="00D85D5B" w:rsidRDefault="00D85D5B" w:rsidP="00D85D5B">
    <w:pPr>
      <w:pBdr>
        <w:bottom w:val="single" w:sz="4" w:space="1" w:color="auto"/>
      </w:pBdr>
      <w:tabs>
        <w:tab w:val="left" w:pos="5040"/>
        <w:tab w:val="left" w:pos="5760"/>
        <w:tab w:val="left" w:pos="6008"/>
        <w:tab w:val="left" w:pos="6480"/>
        <w:tab w:val="left" w:pos="7200"/>
        <w:tab w:val="left" w:pos="7920"/>
        <w:tab w:val="left" w:pos="8640"/>
      </w:tabs>
      <w:ind w:firstLine="536"/>
      <w:jc w:val="right"/>
      <w:rPr>
        <w:sz w:val="18"/>
        <w:szCs w:val="18"/>
        <w:lang w:val="pt-PT"/>
      </w:rPr>
    </w:pPr>
    <w:r w:rsidRPr="00D85D5B">
      <w:rPr>
        <w:rFonts w:ascii="Arial" w:hAnsi="Arial" w:cs="Arial"/>
        <w:bCs/>
        <w:i/>
        <w:iCs/>
        <w:sz w:val="18"/>
        <w:szCs w:val="18"/>
        <w:lang w:val="pt-PT"/>
      </w:rPr>
      <w:t>UNEP/CMS/COP15/CRP.25.2.1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C515" w14:textId="77777777" w:rsidR="00D85D5B" w:rsidRPr="00D85D5B" w:rsidRDefault="00D85D5B" w:rsidP="00D85D5B">
    <w:pPr>
      <w:pBdr>
        <w:bottom w:val="single" w:sz="4" w:space="1" w:color="auto"/>
      </w:pBdr>
      <w:tabs>
        <w:tab w:val="left" w:pos="5040"/>
        <w:tab w:val="left" w:pos="5760"/>
        <w:tab w:val="left" w:pos="6008"/>
        <w:tab w:val="left" w:pos="6480"/>
        <w:tab w:val="left" w:pos="7200"/>
        <w:tab w:val="left" w:pos="7920"/>
        <w:tab w:val="left" w:pos="8640"/>
      </w:tabs>
      <w:rPr>
        <w:sz w:val="18"/>
        <w:szCs w:val="18"/>
        <w:lang w:val="pt-PT"/>
      </w:rPr>
    </w:pPr>
    <w:r w:rsidRPr="00D85D5B">
      <w:rPr>
        <w:rFonts w:ascii="Arial" w:hAnsi="Arial" w:cs="Arial"/>
        <w:bCs/>
        <w:i/>
        <w:iCs/>
        <w:sz w:val="18"/>
        <w:szCs w:val="18"/>
        <w:lang w:val="pt-PT"/>
      </w:rPr>
      <w:t>UNEP/CMS/COP15/CRP.25.2.1</w:t>
    </w:r>
  </w:p>
  <w:p w14:paraId="4CCC8C59" w14:textId="77777777" w:rsidR="00D85D5B" w:rsidRPr="00D85D5B" w:rsidRDefault="00D85D5B" w:rsidP="00D85D5B">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6EC14FA9" w:rsidR="0041439A"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en-GB"/>
      </w:rPr>
    </w:pPr>
    <w:r>
      <w:rPr>
        <w:rFonts w:ascii="Arial" w:hAnsi="Arial" w:cs="Arial"/>
        <w:i/>
        <w:szCs w:val="20"/>
        <w:lang w:val="en-GB"/>
      </w:rPr>
      <w:t>UNEP/CMS/COP1</w:t>
    </w:r>
    <w:r w:rsidR="00AB5285">
      <w:rPr>
        <w:rFonts w:ascii="Arial" w:hAnsi="Arial" w:cs="Arial"/>
        <w:i/>
        <w:szCs w:val="20"/>
        <w:lang w:val="en-GB"/>
      </w:rPr>
      <w:t>5</w:t>
    </w:r>
    <w:r>
      <w:rPr>
        <w:rFonts w:ascii="Arial" w:hAnsi="Arial" w:cs="Arial"/>
        <w:i/>
        <w:szCs w:val="20"/>
        <w:lang w:val="en-GB"/>
      </w:rPr>
      <w:t>/CRP(Nº)</w:t>
    </w:r>
  </w:p>
  <w:p w14:paraId="75025A37" w14:textId="77777777" w:rsidR="0041439A" w:rsidRDefault="004143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2C5DB004" w:rsidR="007A1066" w:rsidRPr="00CB498E"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CB498E">
      <w:rPr>
        <w:rFonts w:ascii="Arial" w:hAnsi="Arial" w:cs="Arial"/>
        <w:bCs/>
        <w:i/>
        <w:iCs/>
        <w:sz w:val="18"/>
        <w:szCs w:val="18"/>
        <w:lang w:val="en-GB"/>
      </w:rPr>
      <w:t>UNEP/CMS/COP1</w:t>
    </w:r>
    <w:r w:rsidR="00AB5285" w:rsidRPr="00CB498E">
      <w:rPr>
        <w:rFonts w:ascii="Arial" w:hAnsi="Arial" w:cs="Arial"/>
        <w:bCs/>
        <w:i/>
        <w:iCs/>
        <w:sz w:val="18"/>
        <w:szCs w:val="18"/>
        <w:lang w:val="en-GB"/>
      </w:rPr>
      <w:t>5</w:t>
    </w:r>
    <w:r w:rsidRPr="00CB498E">
      <w:rPr>
        <w:rFonts w:ascii="Arial" w:hAnsi="Arial" w:cs="Arial"/>
        <w:bCs/>
        <w:i/>
        <w:iCs/>
        <w:sz w:val="18"/>
        <w:szCs w:val="18"/>
        <w:lang w:val="en-GB"/>
      </w:rPr>
      <w:t>/CRP</w:t>
    </w:r>
    <w:r w:rsidR="00D85D5B">
      <w:rPr>
        <w:rFonts w:ascii="Arial" w:hAnsi="Arial" w:cs="Arial"/>
        <w:bCs/>
        <w:i/>
        <w:iCs/>
        <w:sz w:val="18"/>
        <w:szCs w:val="18"/>
        <w:lang w:val="en-GB"/>
      </w:rPr>
      <w:t>25.2.1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E98"/>
    <w:multiLevelType w:val="hybridMultilevel"/>
    <w:tmpl w:val="73F05EDA"/>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76A45"/>
    <w:multiLevelType w:val="hybridMultilevel"/>
    <w:tmpl w:val="4E8479D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DFB178C"/>
    <w:multiLevelType w:val="hybridMultilevel"/>
    <w:tmpl w:val="15F47A26"/>
    <w:lvl w:ilvl="0" w:tplc="FFFFFFFF">
      <w:start w:val="1"/>
      <w:numFmt w:val="decimal"/>
      <w:lvlText w:val="%1."/>
      <w:lvlJc w:val="left"/>
      <w:pPr>
        <w:ind w:left="720" w:hanging="360"/>
      </w:pPr>
    </w:lvl>
    <w:lvl w:ilvl="1" w:tplc="2000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DF48E4"/>
    <w:multiLevelType w:val="hybridMultilevel"/>
    <w:tmpl w:val="055E681E"/>
    <w:lvl w:ilvl="0" w:tplc="20000017">
      <w:start w:val="1"/>
      <w:numFmt w:val="lowerLett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15:restartNumberingAfterBreak="0">
    <w:nsid w:val="3BC82A81"/>
    <w:multiLevelType w:val="hybridMultilevel"/>
    <w:tmpl w:val="AB14BA26"/>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200771"/>
    <w:multiLevelType w:val="hybridMultilevel"/>
    <w:tmpl w:val="99362684"/>
    <w:lvl w:ilvl="0" w:tplc="08090017">
      <w:start w:val="1"/>
      <w:numFmt w:val="lowerLetter"/>
      <w:lvlText w:val="%1)"/>
      <w:lvlJc w:val="left"/>
      <w:pPr>
        <w:ind w:left="720" w:hanging="360"/>
      </w:pPr>
    </w:lvl>
    <w:lvl w:ilvl="1" w:tplc="FE5EF57C">
      <w:start w:val="1"/>
      <w:numFmt w:val="lowerRoman"/>
      <w:lvlText w:val="%2."/>
      <w:lvlJc w:val="left"/>
      <w:pPr>
        <w:ind w:left="1440" w:hanging="360"/>
      </w:pPr>
      <w:rPr>
        <w:rFonts w:ascii="Arial" w:eastAsiaTheme="minorHAnsi" w:hAnsi="Arial"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0D97761"/>
    <w:multiLevelType w:val="hybridMultilevel"/>
    <w:tmpl w:val="5942CF10"/>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F2B3F2A"/>
    <w:multiLevelType w:val="hybridMultilevel"/>
    <w:tmpl w:val="474CB85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6B23627B"/>
    <w:multiLevelType w:val="hybridMultilevel"/>
    <w:tmpl w:val="B2945D16"/>
    <w:lvl w:ilvl="0" w:tplc="FFFFFFFF">
      <w:start w:val="1"/>
      <w:numFmt w:val="decimal"/>
      <w:lvlText w:val="%1."/>
      <w:lvlJc w:val="left"/>
      <w:pPr>
        <w:ind w:left="720" w:hanging="360"/>
      </w:pPr>
    </w:lvl>
    <w:lvl w:ilvl="1" w:tplc="2000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F251232"/>
    <w:multiLevelType w:val="hybridMultilevel"/>
    <w:tmpl w:val="82EC130C"/>
    <w:lvl w:ilvl="0" w:tplc="FE1038C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95959">
    <w:abstractNumId w:val="3"/>
  </w:num>
  <w:num w:numId="2" w16cid:durableId="1925451750">
    <w:abstractNumId w:val="8"/>
  </w:num>
  <w:num w:numId="3" w16cid:durableId="1398281104">
    <w:abstractNumId w:val="0"/>
  </w:num>
  <w:num w:numId="4" w16cid:durableId="614749703">
    <w:abstractNumId w:val="6"/>
  </w:num>
  <w:num w:numId="5" w16cid:durableId="1676301984">
    <w:abstractNumId w:val="10"/>
  </w:num>
  <w:num w:numId="6" w16cid:durableId="249891323">
    <w:abstractNumId w:val="2"/>
  </w:num>
  <w:num w:numId="7" w16cid:durableId="1194420139">
    <w:abstractNumId w:val="4"/>
  </w:num>
  <w:num w:numId="8" w16cid:durableId="1549026654">
    <w:abstractNumId w:val="9"/>
  </w:num>
  <w:num w:numId="9" w16cid:durableId="543445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572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8385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1125D7"/>
    <w:rsid w:val="00117CCE"/>
    <w:rsid w:val="00164D92"/>
    <w:rsid w:val="00192E92"/>
    <w:rsid w:val="002243FE"/>
    <w:rsid w:val="00227282"/>
    <w:rsid w:val="002E5A0F"/>
    <w:rsid w:val="00373E69"/>
    <w:rsid w:val="003C4A61"/>
    <w:rsid w:val="003F1AD8"/>
    <w:rsid w:val="0040289C"/>
    <w:rsid w:val="00413CD4"/>
    <w:rsid w:val="0041439A"/>
    <w:rsid w:val="0043102F"/>
    <w:rsid w:val="0046244E"/>
    <w:rsid w:val="00496D8D"/>
    <w:rsid w:val="004A726A"/>
    <w:rsid w:val="004C2284"/>
    <w:rsid w:val="004C3FBB"/>
    <w:rsid w:val="004F2482"/>
    <w:rsid w:val="005645C4"/>
    <w:rsid w:val="00576D26"/>
    <w:rsid w:val="0058757D"/>
    <w:rsid w:val="005D1038"/>
    <w:rsid w:val="005D43E4"/>
    <w:rsid w:val="005D6F79"/>
    <w:rsid w:val="005F0639"/>
    <w:rsid w:val="00603BA3"/>
    <w:rsid w:val="006F024C"/>
    <w:rsid w:val="00702B35"/>
    <w:rsid w:val="0076566B"/>
    <w:rsid w:val="00786FAB"/>
    <w:rsid w:val="007A1066"/>
    <w:rsid w:val="007A3AAE"/>
    <w:rsid w:val="0085400E"/>
    <w:rsid w:val="009B37FD"/>
    <w:rsid w:val="009E2B43"/>
    <w:rsid w:val="00A01E12"/>
    <w:rsid w:val="00AA138B"/>
    <w:rsid w:val="00AB5285"/>
    <w:rsid w:val="00AF45F6"/>
    <w:rsid w:val="00B11994"/>
    <w:rsid w:val="00B351AB"/>
    <w:rsid w:val="00B55947"/>
    <w:rsid w:val="00B91802"/>
    <w:rsid w:val="00B91D4A"/>
    <w:rsid w:val="00BE5872"/>
    <w:rsid w:val="00C0249B"/>
    <w:rsid w:val="00C60BE9"/>
    <w:rsid w:val="00CB498E"/>
    <w:rsid w:val="00CF0385"/>
    <w:rsid w:val="00D50F95"/>
    <w:rsid w:val="00D61140"/>
    <w:rsid w:val="00D82C56"/>
    <w:rsid w:val="00D85D5B"/>
    <w:rsid w:val="00DA251E"/>
    <w:rsid w:val="00DB2EEB"/>
    <w:rsid w:val="00DC4070"/>
    <w:rsid w:val="00DC6588"/>
    <w:rsid w:val="00DD5784"/>
    <w:rsid w:val="00E40137"/>
    <w:rsid w:val="00E45B44"/>
    <w:rsid w:val="00E829C9"/>
    <w:rsid w:val="00E90C89"/>
    <w:rsid w:val="00EB528F"/>
    <w:rsid w:val="00F12208"/>
    <w:rsid w:val="00F2012E"/>
    <w:rsid w:val="00F41D5C"/>
    <w:rsid w:val="00F75BFB"/>
    <w:rsid w:val="00F97B12"/>
    <w:rsid w:val="00FD2360"/>
    <w:rsid w:val="00FE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D85D5B"/>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34"/>
    <w:rsid w:val="00D85D5B"/>
    <w:rPr>
      <w:rFonts w:eastAsiaTheme="minorHAnsi" w:cstheme="minorBidi"/>
    </w:rPr>
  </w:style>
  <w:style w:type="character" w:styleId="FootnoteReference">
    <w:name w:val="footnote reference"/>
    <w:uiPriority w:val="99"/>
    <w:semiHidden/>
    <w:rsid w:val="00D85D5B"/>
    <w:rPr>
      <w:rFonts w:cs="Times New Roman"/>
    </w:rPr>
  </w:style>
  <w:style w:type="paragraph" w:customStyle="1" w:styleId="Secondnumbering">
    <w:name w:val="Second numbering"/>
    <w:basedOn w:val="Normal"/>
    <w:link w:val="SecondnumberingChar"/>
    <w:qFormat/>
    <w:rsid w:val="00D85D5B"/>
    <w:pPr>
      <w:widowControl/>
      <w:suppressAutoHyphens w:val="0"/>
      <w:autoSpaceDE/>
      <w:autoSpaceDN/>
      <w:textAlignment w:val="auto"/>
    </w:pPr>
    <w:rPr>
      <w:rFonts w:ascii="Arial" w:eastAsiaTheme="minorHAnsi" w:hAnsi="Arial" w:cstheme="minorBidi"/>
      <w:sz w:val="22"/>
      <w:szCs w:val="22"/>
      <w:lang w:val="en-GB"/>
    </w:rPr>
  </w:style>
  <w:style w:type="character" w:customStyle="1" w:styleId="SecondnumberingChar">
    <w:name w:val="Second numbering Char"/>
    <w:basedOn w:val="DefaultParagraphFont"/>
    <w:link w:val="Secondnumbering"/>
    <w:rsid w:val="00D85D5B"/>
    <w:rPr>
      <w:rFonts w:eastAsiaTheme="minorHAnsi" w:cstheme="minorBidi"/>
      <w:lang w:val="en-GB"/>
    </w:rPr>
  </w:style>
  <w:style w:type="paragraph" w:styleId="FootnoteText">
    <w:name w:val="footnote text"/>
    <w:basedOn w:val="Normal"/>
    <w:link w:val="FootnoteTextChar"/>
    <w:uiPriority w:val="99"/>
    <w:semiHidden/>
    <w:unhideWhenUsed/>
    <w:rsid w:val="00D85D5B"/>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basedOn w:val="DefaultParagraphFont"/>
    <w:link w:val="FootnoteText"/>
    <w:uiPriority w:val="99"/>
    <w:semiHidden/>
    <w:rsid w:val="00D85D5B"/>
    <w:rPr>
      <w:rFonts w:eastAsiaTheme="minorHAnsi" w:cstheme="minorBid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9bc1cafe4360f20b5afaadcb79868c66">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9a5c408459f1deb54f1dd1f0ce43320"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936AD1F3-4D1D-426B-A5CA-69B496EC77FC}">
  <ds:schemaRefs>
    <ds:schemaRef ds:uri="http://schemas.openxmlformats.org/officeDocument/2006/bibliography"/>
  </ds:schemaRefs>
</ds:datastoreItem>
</file>

<file path=customXml/itemProps3.xml><?xml version="1.0" encoding="utf-8"?>
<ds:datastoreItem xmlns:ds="http://schemas.openxmlformats.org/officeDocument/2006/customXml" ds:itemID="{A3B4B8BB-5893-4EDE-9D6A-2DDA127D9856}"/>
</file>

<file path=customXml/itemProps4.xml><?xml version="1.0" encoding="utf-8"?>
<ds:datastoreItem xmlns:ds="http://schemas.openxmlformats.org/officeDocument/2006/customXml" ds:itemID="{380EFE9A-7770-47CD-95C8-BC8150516BE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110</TotalTime>
  <Pages>6</Pages>
  <Words>2052</Words>
  <Characters>11697</Characters>
  <Application>Microsoft Office Word</Application>
  <DocSecurity>0</DocSecurity>
  <Lines>97</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42</cp:revision>
  <cp:lastPrinted>2020-02-03T15:02:00Z</cp:lastPrinted>
  <dcterms:created xsi:type="dcterms:W3CDTF">2026-03-10T12:52:00Z</dcterms:created>
  <dcterms:modified xsi:type="dcterms:W3CDTF">2026-03-27T00:09:00Z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