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0FAF" w14:textId="0BF98E2B" w:rsidR="00AB5285" w:rsidRPr="00A719DC" w:rsidRDefault="007F5A3E" w:rsidP="00E829C9">
      <w:pPr>
        <w:jc w:val="center"/>
        <w:rPr>
          <w:rFonts w:ascii="Arial" w:hAnsi="Arial" w:cs="Arial"/>
          <w:b/>
          <w:bCs/>
          <w:iCs/>
          <w:sz w:val="22"/>
          <w:szCs w:val="22"/>
          <w:lang w:val="fr-CH"/>
        </w:rPr>
      </w:pPr>
      <w:r w:rsidRPr="00A719DC">
        <w:rPr>
          <w:rFonts w:ascii="Arial" w:hAnsi="Arial" w:cs="Arial"/>
          <w:b/>
          <w:bCs/>
          <w:iCs/>
          <w:sz w:val="22"/>
          <w:szCs w:val="22"/>
          <w:lang w:val="fr-CH"/>
        </w:rPr>
        <w:t>POLLUTION MARINE</w:t>
      </w:r>
    </w:p>
    <w:p w14:paraId="5ECB0571" w14:textId="77777777" w:rsidR="007F5A3E" w:rsidRPr="00A719DC" w:rsidRDefault="007F5A3E" w:rsidP="00E829C9">
      <w:pPr>
        <w:jc w:val="center"/>
        <w:rPr>
          <w:rFonts w:ascii="Arial" w:hAnsi="Arial" w:cs="Arial"/>
          <w:b/>
          <w:sz w:val="22"/>
          <w:szCs w:val="22"/>
          <w:lang w:val="fr-CH"/>
        </w:rPr>
      </w:pPr>
    </w:p>
    <w:p w14:paraId="77BA811D" w14:textId="7E6A30A0" w:rsidR="00D82C56" w:rsidRPr="00A719DC" w:rsidRDefault="005D43E4" w:rsidP="00AB5285">
      <w:pPr>
        <w:spacing w:after="120"/>
        <w:jc w:val="center"/>
        <w:rPr>
          <w:rFonts w:ascii="Arial" w:hAnsi="Arial" w:cs="Arial"/>
          <w:sz w:val="22"/>
          <w:szCs w:val="22"/>
          <w:lang w:val="fr-CH"/>
        </w:rPr>
      </w:pPr>
      <w:r w:rsidRPr="00A719DC">
        <w:rPr>
          <w:rFonts w:ascii="Arial" w:hAnsi="Arial" w:cs="Arial"/>
          <w:sz w:val="22"/>
          <w:szCs w:val="22"/>
          <w:lang w:val="fr-CH"/>
        </w:rPr>
        <w:t>UNEP/CMS/COP1</w:t>
      </w:r>
      <w:r w:rsidR="00950DA4" w:rsidRPr="00A719DC">
        <w:rPr>
          <w:rFonts w:ascii="Arial" w:hAnsi="Arial" w:cs="Arial"/>
          <w:sz w:val="22"/>
          <w:szCs w:val="22"/>
          <w:lang w:val="fr-CH"/>
        </w:rPr>
        <w:t>5</w:t>
      </w:r>
      <w:r w:rsidRPr="00A719DC">
        <w:rPr>
          <w:rFonts w:ascii="Arial" w:hAnsi="Arial" w:cs="Arial"/>
          <w:sz w:val="22"/>
          <w:szCs w:val="22"/>
          <w:lang w:val="fr-CH"/>
        </w:rPr>
        <w:t>/Doc.</w:t>
      </w:r>
      <w:r w:rsidR="006821C9" w:rsidRPr="00A719DC">
        <w:rPr>
          <w:rFonts w:ascii="Arial" w:hAnsi="Arial" w:cs="Arial"/>
          <w:sz w:val="22"/>
          <w:szCs w:val="22"/>
          <w:lang w:val="fr-CH"/>
        </w:rPr>
        <w:t>25.</w:t>
      </w:r>
      <w:r w:rsidR="00BA50A1" w:rsidRPr="00A719DC">
        <w:rPr>
          <w:rFonts w:ascii="Arial" w:hAnsi="Arial" w:cs="Arial"/>
          <w:sz w:val="22"/>
          <w:szCs w:val="22"/>
          <w:lang w:val="fr-CH"/>
        </w:rPr>
        <w:t>2.1/Rev.1</w:t>
      </w:r>
    </w:p>
    <w:p w14:paraId="73A89732" w14:textId="5FD87F1D" w:rsidR="00D82C56" w:rsidRPr="00A719DC" w:rsidRDefault="005D43E4" w:rsidP="00E829C9">
      <w:pPr>
        <w:jc w:val="center"/>
        <w:rPr>
          <w:rFonts w:ascii="Arial" w:hAnsi="Arial" w:cs="Arial"/>
          <w:i/>
          <w:sz w:val="22"/>
          <w:szCs w:val="22"/>
          <w:lang w:val="fr-CH"/>
        </w:rPr>
      </w:pPr>
      <w:r w:rsidRPr="00A719DC">
        <w:rPr>
          <w:rFonts w:ascii="Arial" w:hAnsi="Arial" w:cs="Arial"/>
          <w:i/>
          <w:sz w:val="22"/>
          <w:szCs w:val="22"/>
          <w:lang w:val="fr-CH"/>
        </w:rPr>
        <w:t>(Pr</w:t>
      </w:r>
      <w:r w:rsidR="00DD5974" w:rsidRPr="00A719DC">
        <w:rPr>
          <w:rFonts w:ascii="Arial" w:hAnsi="Arial" w:cs="Arial"/>
          <w:i/>
          <w:sz w:val="22"/>
          <w:szCs w:val="22"/>
          <w:lang w:val="fr-CH"/>
        </w:rPr>
        <w:t>é</w:t>
      </w:r>
      <w:r w:rsidRPr="00A719DC">
        <w:rPr>
          <w:rFonts w:ascii="Arial" w:hAnsi="Arial" w:cs="Arial"/>
          <w:i/>
          <w:sz w:val="22"/>
          <w:szCs w:val="22"/>
          <w:lang w:val="fr-CH"/>
        </w:rPr>
        <w:t>pa</w:t>
      </w:r>
      <w:r w:rsidR="00EF2BC5" w:rsidRPr="00A719DC">
        <w:rPr>
          <w:rFonts w:ascii="Arial" w:hAnsi="Arial" w:cs="Arial"/>
          <w:i/>
          <w:sz w:val="22"/>
          <w:szCs w:val="22"/>
          <w:lang w:val="fr-CH"/>
        </w:rPr>
        <w:t>ré par</w:t>
      </w:r>
      <w:r w:rsidR="00FD2360" w:rsidRPr="00A719DC">
        <w:rPr>
          <w:rFonts w:ascii="Arial" w:hAnsi="Arial" w:cs="Arial"/>
          <w:i/>
          <w:sz w:val="22"/>
          <w:szCs w:val="22"/>
          <w:lang w:val="fr-CH"/>
        </w:rPr>
        <w:t xml:space="preserve"> </w:t>
      </w:r>
      <w:r w:rsidR="00DD5974" w:rsidRPr="00A719DC">
        <w:rPr>
          <w:rFonts w:ascii="Arial" w:hAnsi="Arial" w:cs="Arial"/>
          <w:i/>
          <w:sz w:val="22"/>
          <w:szCs w:val="22"/>
          <w:lang w:val="fr-CH"/>
        </w:rPr>
        <w:t>le Groupe de travail sur les espèces aquatiques</w:t>
      </w:r>
      <w:r w:rsidRPr="00A719DC">
        <w:rPr>
          <w:rFonts w:ascii="Arial" w:hAnsi="Arial" w:cs="Arial"/>
          <w:i/>
          <w:sz w:val="22"/>
          <w:szCs w:val="22"/>
          <w:lang w:val="fr-CH"/>
        </w:rPr>
        <w:t>)</w:t>
      </w:r>
    </w:p>
    <w:p w14:paraId="25BD5BFE" w14:textId="77777777" w:rsidR="00D82C56" w:rsidRPr="00122ED1" w:rsidRDefault="00D82C56" w:rsidP="00122ED1">
      <w:pPr>
        <w:jc w:val="both"/>
        <w:rPr>
          <w:rFonts w:ascii="Arial" w:hAnsi="Arial" w:cs="Arial"/>
          <w:sz w:val="22"/>
          <w:szCs w:val="22"/>
          <w:lang w:val="fr-CH"/>
        </w:rPr>
      </w:pPr>
    </w:p>
    <w:p w14:paraId="635C01A3" w14:textId="77777777" w:rsidR="0057441D" w:rsidRPr="00122ED1" w:rsidRDefault="0057441D" w:rsidP="00122ED1">
      <w:pPr>
        <w:pBdr>
          <w:top w:val="single" w:sz="6" w:space="0" w:color="FFFFFF"/>
          <w:left w:val="single" w:sz="6" w:space="0" w:color="FFFFFF"/>
          <w:bottom w:val="single" w:sz="6" w:space="0" w:color="FFFFFF"/>
          <w:right w:val="single" w:sz="6" w:space="0" w:color="FFFFFF"/>
        </w:pBdr>
        <w:outlineLvl w:val="1"/>
        <w:rPr>
          <w:rFonts w:ascii="Arial" w:hAnsi="Arial" w:cs="Arial"/>
          <w:b/>
          <w:bCs/>
          <w:sz w:val="22"/>
          <w:szCs w:val="22"/>
          <w:lang w:val="fr-CH"/>
        </w:rPr>
      </w:pPr>
    </w:p>
    <w:p w14:paraId="2465BB2F" w14:textId="4F19AF11" w:rsidR="009268CE" w:rsidRPr="00122ED1" w:rsidRDefault="009268CE" w:rsidP="00122ED1">
      <w:pPr>
        <w:adjustRightInd w:val="0"/>
        <w:jc w:val="center"/>
        <w:rPr>
          <w:rFonts w:ascii="Arial" w:hAnsi="Arial" w:cs="Arial"/>
          <w:sz w:val="22"/>
          <w:szCs w:val="22"/>
          <w:lang w:val="fr-CH"/>
        </w:rPr>
      </w:pPr>
      <w:r w:rsidRPr="00122ED1">
        <w:rPr>
          <w:rFonts w:ascii="Arial" w:hAnsi="Arial" w:cs="Arial"/>
          <w:sz w:val="22"/>
          <w:szCs w:val="22"/>
          <w:lang w:val="fr-CH"/>
        </w:rPr>
        <w:t>PROJET DE RÉSOLUTION</w:t>
      </w:r>
    </w:p>
    <w:p w14:paraId="2DA35162" w14:textId="77777777" w:rsidR="00DD5974" w:rsidRPr="00122ED1" w:rsidRDefault="00DD5974" w:rsidP="001D1BA6">
      <w:pPr>
        <w:adjustRightInd w:val="0"/>
        <w:rPr>
          <w:rFonts w:ascii="Arial" w:hAnsi="Arial" w:cs="Arial"/>
          <w:sz w:val="22"/>
          <w:szCs w:val="22"/>
          <w:lang w:val="fr-CH"/>
        </w:rPr>
      </w:pPr>
    </w:p>
    <w:p w14:paraId="25B46672" w14:textId="77777777" w:rsidR="001D1BA6" w:rsidRPr="00122ED1" w:rsidRDefault="001D1BA6" w:rsidP="00122ED1">
      <w:pPr>
        <w:jc w:val="both"/>
        <w:rPr>
          <w:rFonts w:ascii="Arial" w:hAnsi="Arial" w:cs="Arial"/>
          <w:i/>
          <w:iCs/>
          <w:sz w:val="22"/>
          <w:szCs w:val="22"/>
          <w:lang w:val="fr-CH"/>
        </w:rPr>
      </w:pPr>
    </w:p>
    <w:p w14:paraId="7A6BC775" w14:textId="7C1F341E" w:rsidR="009268CE" w:rsidRPr="00122ED1" w:rsidRDefault="009268CE" w:rsidP="00122ED1">
      <w:pPr>
        <w:jc w:val="both"/>
        <w:rPr>
          <w:rFonts w:ascii="Arial" w:hAnsi="Arial" w:cs="Arial"/>
          <w:i/>
          <w:iCs/>
          <w:sz w:val="22"/>
          <w:szCs w:val="22"/>
          <w:lang w:val="fr-CH"/>
        </w:rPr>
      </w:pPr>
      <w:r w:rsidRPr="00122ED1">
        <w:rPr>
          <w:rFonts w:ascii="Arial" w:hAnsi="Arial" w:cs="Arial"/>
          <w:i/>
          <w:iCs/>
          <w:sz w:val="22"/>
          <w:szCs w:val="22"/>
          <w:lang w:val="fr-CH"/>
        </w:rPr>
        <w:t>Reconnaissant</w:t>
      </w:r>
      <w:r w:rsidRPr="00122ED1">
        <w:rPr>
          <w:rFonts w:ascii="Arial" w:hAnsi="Arial" w:cs="Arial"/>
          <w:sz w:val="22"/>
          <w:szCs w:val="22"/>
          <w:lang w:val="fr-CH"/>
        </w:rPr>
        <w:t xml:space="preserve"> que les espèces migratrices sont confrontées à de multiples menaces, </w:t>
      </w:r>
      <w:r w:rsidR="00DD5974" w:rsidRPr="00122ED1">
        <w:rPr>
          <w:rFonts w:ascii="Arial" w:hAnsi="Arial" w:cs="Arial"/>
          <w:sz w:val="22"/>
          <w:szCs w:val="22"/>
          <w:lang w:val="fr-CH"/>
        </w:rPr>
        <w:t>susceptibles d’interagir, de se cumuler ou d’avoir des effets de synergie</w:t>
      </w:r>
      <w:r w:rsidRPr="00122ED1">
        <w:rPr>
          <w:rFonts w:ascii="Arial" w:hAnsi="Arial" w:cs="Arial"/>
          <w:sz w:val="22"/>
          <w:szCs w:val="22"/>
          <w:lang w:val="fr-CH"/>
        </w:rPr>
        <w:t xml:space="preserve">, causées par la pollution </w:t>
      </w:r>
      <w:r w:rsidR="00DD5974" w:rsidRPr="00122ED1">
        <w:rPr>
          <w:rFonts w:ascii="Arial" w:hAnsi="Arial" w:cs="Arial"/>
          <w:sz w:val="22"/>
          <w:szCs w:val="22"/>
          <w:lang w:val="fr-CH"/>
        </w:rPr>
        <w:t xml:space="preserve">marine, y compris la pollution </w:t>
      </w:r>
      <w:r w:rsidRPr="00122ED1">
        <w:rPr>
          <w:rFonts w:ascii="Arial" w:hAnsi="Arial" w:cs="Arial"/>
          <w:sz w:val="22"/>
          <w:szCs w:val="22"/>
          <w:lang w:val="fr-CH"/>
        </w:rPr>
        <w:t>chimique et d’autres formes de pollu</w:t>
      </w:r>
      <w:r w:rsidR="00DD5974" w:rsidRPr="00122ED1">
        <w:rPr>
          <w:rFonts w:ascii="Arial" w:hAnsi="Arial" w:cs="Arial"/>
          <w:sz w:val="22"/>
          <w:szCs w:val="22"/>
          <w:lang w:val="fr-CH"/>
        </w:rPr>
        <w:t>ants</w:t>
      </w:r>
      <w:r w:rsidRPr="00122ED1">
        <w:rPr>
          <w:rFonts w:ascii="Arial" w:hAnsi="Arial" w:cs="Arial"/>
          <w:sz w:val="22"/>
          <w:szCs w:val="22"/>
          <w:lang w:val="fr-CH"/>
        </w:rPr>
        <w:t>, dont les effets potentiels peuvent s’étendre sur de vastes zones,</w:t>
      </w:r>
    </w:p>
    <w:p w14:paraId="13CFC4B9" w14:textId="77777777" w:rsidR="009268CE" w:rsidRPr="00122ED1" w:rsidRDefault="009268CE" w:rsidP="00122ED1">
      <w:pPr>
        <w:jc w:val="both"/>
        <w:rPr>
          <w:rFonts w:ascii="Arial" w:hAnsi="Arial" w:cs="Arial"/>
          <w:sz w:val="22"/>
          <w:szCs w:val="22"/>
          <w:lang w:val="fr-CH"/>
        </w:rPr>
      </w:pPr>
    </w:p>
    <w:p w14:paraId="24BAB25E" w14:textId="3E795635" w:rsidR="009268CE" w:rsidRPr="00122ED1" w:rsidRDefault="009268CE" w:rsidP="00122ED1">
      <w:pPr>
        <w:jc w:val="both"/>
        <w:rPr>
          <w:rFonts w:ascii="Arial" w:hAnsi="Arial" w:cs="Arial"/>
          <w:sz w:val="22"/>
          <w:szCs w:val="22"/>
          <w:lang w:val="fr-CH"/>
        </w:rPr>
      </w:pPr>
      <w:r w:rsidRPr="00122ED1">
        <w:rPr>
          <w:rFonts w:ascii="Arial" w:hAnsi="Arial" w:cs="Arial"/>
          <w:i/>
          <w:iCs/>
          <w:sz w:val="22"/>
          <w:szCs w:val="22"/>
          <w:lang w:val="fr-CH"/>
        </w:rPr>
        <w:t>Consciente</w:t>
      </w:r>
      <w:r w:rsidRPr="00122ED1">
        <w:rPr>
          <w:rFonts w:ascii="Arial" w:hAnsi="Arial" w:cs="Arial"/>
          <w:sz w:val="22"/>
          <w:szCs w:val="22"/>
          <w:lang w:val="fr-CH"/>
        </w:rPr>
        <w:t xml:space="preserve"> du fait que la pollution est reconnue par les Nations Unies comme l’une des crise</w:t>
      </w:r>
      <w:r w:rsidR="00DD5974" w:rsidRPr="00122ED1">
        <w:rPr>
          <w:rFonts w:ascii="Arial" w:hAnsi="Arial" w:cs="Arial"/>
          <w:sz w:val="22"/>
          <w:szCs w:val="22"/>
          <w:lang w:val="fr-CH"/>
        </w:rPr>
        <w:t>s multiples</w:t>
      </w:r>
      <w:r w:rsidRPr="00122ED1">
        <w:rPr>
          <w:rFonts w:ascii="Arial" w:hAnsi="Arial" w:cs="Arial"/>
          <w:sz w:val="22"/>
          <w:szCs w:val="22"/>
          <w:lang w:val="fr-CH"/>
        </w:rPr>
        <w:t xml:space="preserve"> qui affecte</w:t>
      </w:r>
      <w:r w:rsidR="00DD5974" w:rsidRPr="00122ED1">
        <w:rPr>
          <w:rFonts w:ascii="Arial" w:hAnsi="Arial" w:cs="Arial"/>
          <w:sz w:val="22"/>
          <w:szCs w:val="22"/>
          <w:lang w:val="fr-CH"/>
        </w:rPr>
        <w:t>nt</w:t>
      </w:r>
      <w:r w:rsidRPr="00122ED1">
        <w:rPr>
          <w:rFonts w:ascii="Arial" w:hAnsi="Arial" w:cs="Arial"/>
          <w:sz w:val="22"/>
          <w:szCs w:val="22"/>
          <w:lang w:val="fr-CH"/>
        </w:rPr>
        <w:t xml:space="preserve"> gravement notre planète et ses espèces sauvages,</w:t>
      </w:r>
    </w:p>
    <w:p w14:paraId="29598CBA" w14:textId="77777777" w:rsidR="009268CE" w:rsidRPr="00122ED1" w:rsidRDefault="009268CE" w:rsidP="00122ED1">
      <w:pPr>
        <w:jc w:val="both"/>
        <w:rPr>
          <w:rFonts w:ascii="Arial" w:hAnsi="Arial" w:cs="Arial"/>
          <w:sz w:val="22"/>
          <w:szCs w:val="22"/>
          <w:lang w:val="fr-CH"/>
        </w:rPr>
      </w:pPr>
    </w:p>
    <w:p w14:paraId="6B788778" w14:textId="4800E94A" w:rsidR="009268CE" w:rsidRPr="00122ED1" w:rsidRDefault="009268CE" w:rsidP="00122ED1">
      <w:pPr>
        <w:jc w:val="both"/>
        <w:rPr>
          <w:rFonts w:ascii="Arial" w:hAnsi="Arial" w:cs="Arial"/>
          <w:sz w:val="22"/>
          <w:szCs w:val="22"/>
          <w:lang w:val="fr-CH"/>
        </w:rPr>
      </w:pPr>
      <w:r w:rsidRPr="00122ED1">
        <w:rPr>
          <w:rFonts w:ascii="Arial" w:hAnsi="Arial" w:cs="Arial"/>
          <w:i/>
          <w:iCs/>
          <w:sz w:val="22"/>
          <w:szCs w:val="22"/>
          <w:lang w:val="fr-CH"/>
        </w:rPr>
        <w:t>Notant avec préoccupation</w:t>
      </w:r>
      <w:r w:rsidRPr="00122ED1">
        <w:rPr>
          <w:rFonts w:ascii="Arial" w:hAnsi="Arial" w:cs="Arial"/>
          <w:sz w:val="22"/>
          <w:szCs w:val="22"/>
          <w:lang w:val="fr-CH"/>
        </w:rPr>
        <w:t xml:space="preserve"> la présence généralisée et les répercussions de la pollution chimique, notamment les polluants organiques persistants</w:t>
      </w:r>
      <w:r w:rsidR="004A6194" w:rsidRPr="00122ED1">
        <w:rPr>
          <w:rFonts w:ascii="Arial" w:hAnsi="Arial" w:cs="Arial"/>
          <w:sz w:val="22"/>
          <w:szCs w:val="22"/>
          <w:lang w:val="fr-CH"/>
        </w:rPr>
        <w:t xml:space="preserve"> (POP)</w:t>
      </w:r>
      <w:r w:rsidRPr="00122ED1">
        <w:rPr>
          <w:rFonts w:ascii="Arial" w:hAnsi="Arial" w:cs="Arial"/>
          <w:sz w:val="22"/>
          <w:szCs w:val="22"/>
          <w:lang w:val="fr-CH"/>
        </w:rPr>
        <w:t xml:space="preserve">, les métaux toxiques, les antibiotiques, les pesticides, les produits pharmaceutiques et les produits </w:t>
      </w:r>
      <w:r w:rsidR="004A6194" w:rsidRPr="00122ED1">
        <w:rPr>
          <w:rFonts w:ascii="Arial" w:hAnsi="Arial" w:cs="Arial"/>
          <w:sz w:val="22"/>
          <w:szCs w:val="22"/>
          <w:lang w:val="fr-CH"/>
        </w:rPr>
        <w:t>d’hygiène</w:t>
      </w:r>
      <w:r w:rsidRPr="00122ED1">
        <w:rPr>
          <w:rFonts w:ascii="Arial" w:hAnsi="Arial" w:cs="Arial"/>
          <w:sz w:val="22"/>
          <w:szCs w:val="22"/>
          <w:lang w:val="fr-CH"/>
        </w:rPr>
        <w:t xml:space="preserve"> personnel</w:t>
      </w:r>
      <w:r w:rsidR="004A6194" w:rsidRPr="00122ED1">
        <w:rPr>
          <w:rFonts w:ascii="Arial" w:hAnsi="Arial" w:cs="Arial"/>
          <w:sz w:val="22"/>
          <w:szCs w:val="22"/>
          <w:lang w:val="fr-CH"/>
        </w:rPr>
        <w:t>le</w:t>
      </w:r>
      <w:r w:rsidRPr="00122ED1">
        <w:rPr>
          <w:rFonts w:ascii="Arial" w:hAnsi="Arial" w:cs="Arial"/>
          <w:sz w:val="22"/>
          <w:szCs w:val="22"/>
          <w:lang w:val="fr-CH"/>
        </w:rPr>
        <w:t xml:space="preserve">, </w:t>
      </w:r>
      <w:r w:rsidR="004A6194" w:rsidRPr="00122ED1">
        <w:rPr>
          <w:rFonts w:ascii="Arial" w:hAnsi="Arial" w:cs="Arial"/>
          <w:sz w:val="22"/>
          <w:szCs w:val="22"/>
          <w:lang w:val="fr-CH"/>
        </w:rPr>
        <w:t xml:space="preserve">la pollution plastique </w:t>
      </w:r>
      <w:r w:rsidRPr="00122ED1">
        <w:rPr>
          <w:rFonts w:ascii="Arial" w:hAnsi="Arial" w:cs="Arial"/>
          <w:sz w:val="22"/>
          <w:szCs w:val="22"/>
          <w:lang w:val="fr-CH"/>
        </w:rPr>
        <w:t xml:space="preserve">ainsi que la pollution due aux nutriments, </w:t>
      </w:r>
      <w:r w:rsidR="004A6194" w:rsidRPr="00122ED1">
        <w:rPr>
          <w:rFonts w:ascii="Arial" w:hAnsi="Arial" w:cs="Arial"/>
          <w:sz w:val="22"/>
          <w:szCs w:val="22"/>
          <w:lang w:val="fr-CH"/>
        </w:rPr>
        <w:t>la libération de contaminants issus des</w:t>
      </w:r>
      <w:r w:rsidRPr="00122ED1">
        <w:rPr>
          <w:rFonts w:ascii="Arial" w:hAnsi="Arial" w:cs="Arial"/>
          <w:sz w:val="22"/>
          <w:szCs w:val="22"/>
          <w:lang w:val="fr-CH"/>
        </w:rPr>
        <w:t xml:space="preserve"> sédiments, </w:t>
      </w:r>
      <w:r w:rsidR="004A6194" w:rsidRPr="00122ED1">
        <w:rPr>
          <w:rFonts w:ascii="Arial" w:hAnsi="Arial" w:cs="Arial"/>
          <w:sz w:val="22"/>
          <w:szCs w:val="22"/>
          <w:lang w:val="fr-CH"/>
        </w:rPr>
        <w:t>des</w:t>
      </w:r>
      <w:r w:rsidRPr="00122ED1">
        <w:rPr>
          <w:rFonts w:ascii="Arial" w:hAnsi="Arial" w:cs="Arial"/>
          <w:sz w:val="22"/>
          <w:szCs w:val="22"/>
          <w:lang w:val="fr-CH"/>
        </w:rPr>
        <w:t xml:space="preserve"> eaux usées ou </w:t>
      </w:r>
      <w:r w:rsidR="004A6194" w:rsidRPr="00122ED1">
        <w:rPr>
          <w:rFonts w:ascii="Arial" w:hAnsi="Arial" w:cs="Arial"/>
          <w:sz w:val="22"/>
          <w:szCs w:val="22"/>
          <w:lang w:val="fr-CH"/>
        </w:rPr>
        <w:t xml:space="preserve">des </w:t>
      </w:r>
      <w:r w:rsidRPr="00122ED1">
        <w:rPr>
          <w:rFonts w:ascii="Arial" w:hAnsi="Arial" w:cs="Arial"/>
          <w:sz w:val="22"/>
          <w:szCs w:val="22"/>
          <w:lang w:val="fr-CH"/>
        </w:rPr>
        <w:t xml:space="preserve">égouts, </w:t>
      </w:r>
      <w:r w:rsidR="004A6194" w:rsidRPr="00122ED1">
        <w:rPr>
          <w:rFonts w:ascii="Arial" w:hAnsi="Arial" w:cs="Arial"/>
          <w:sz w:val="22"/>
          <w:szCs w:val="22"/>
          <w:lang w:val="fr-CH"/>
        </w:rPr>
        <w:t xml:space="preserve">les </w:t>
      </w:r>
      <w:r w:rsidRPr="00122ED1">
        <w:rPr>
          <w:rFonts w:ascii="Arial" w:hAnsi="Arial" w:cs="Arial"/>
          <w:sz w:val="22"/>
          <w:szCs w:val="22"/>
          <w:lang w:val="fr-CH"/>
        </w:rPr>
        <w:t xml:space="preserve">substances radioactives, </w:t>
      </w:r>
      <w:r w:rsidR="004A6194" w:rsidRPr="00122ED1">
        <w:rPr>
          <w:rFonts w:ascii="Arial" w:hAnsi="Arial" w:cs="Arial"/>
          <w:sz w:val="22"/>
          <w:szCs w:val="22"/>
          <w:lang w:val="fr-CH"/>
        </w:rPr>
        <w:t xml:space="preserve">les </w:t>
      </w:r>
      <w:r w:rsidRPr="00122ED1">
        <w:rPr>
          <w:rFonts w:ascii="Arial" w:hAnsi="Arial" w:cs="Arial"/>
          <w:sz w:val="22"/>
          <w:szCs w:val="22"/>
          <w:lang w:val="fr-CH"/>
        </w:rPr>
        <w:t xml:space="preserve">radionucléides anthropiques, </w:t>
      </w:r>
      <w:r w:rsidR="004A6194" w:rsidRPr="00122ED1">
        <w:rPr>
          <w:rFonts w:ascii="Arial" w:hAnsi="Arial" w:cs="Arial"/>
          <w:sz w:val="22"/>
          <w:szCs w:val="22"/>
          <w:lang w:val="fr-CH"/>
        </w:rPr>
        <w:t xml:space="preserve">les </w:t>
      </w:r>
      <w:r w:rsidRPr="00122ED1">
        <w:rPr>
          <w:rFonts w:ascii="Arial" w:hAnsi="Arial" w:cs="Arial"/>
          <w:sz w:val="22"/>
          <w:szCs w:val="22"/>
          <w:lang w:val="fr-CH"/>
        </w:rPr>
        <w:t xml:space="preserve">munitions non explosées et </w:t>
      </w:r>
      <w:r w:rsidR="004A6194" w:rsidRPr="00122ED1">
        <w:rPr>
          <w:rFonts w:ascii="Arial" w:hAnsi="Arial" w:cs="Arial"/>
          <w:sz w:val="22"/>
          <w:szCs w:val="22"/>
          <w:lang w:val="fr-CH"/>
        </w:rPr>
        <w:t xml:space="preserve">les </w:t>
      </w:r>
      <w:r w:rsidRPr="00122ED1">
        <w:rPr>
          <w:rFonts w:ascii="Arial" w:hAnsi="Arial" w:cs="Arial"/>
          <w:sz w:val="22"/>
          <w:szCs w:val="22"/>
          <w:lang w:val="fr-CH"/>
        </w:rPr>
        <w:t xml:space="preserve">épaves, et, potentiellement, </w:t>
      </w:r>
      <w:r w:rsidR="004A6194" w:rsidRPr="00122ED1">
        <w:rPr>
          <w:rFonts w:ascii="Arial" w:hAnsi="Arial" w:cs="Arial"/>
          <w:sz w:val="22"/>
          <w:szCs w:val="22"/>
          <w:lang w:val="fr-CH"/>
        </w:rPr>
        <w:t xml:space="preserve">les </w:t>
      </w:r>
      <w:r w:rsidRPr="00122ED1">
        <w:rPr>
          <w:rFonts w:ascii="Arial" w:hAnsi="Arial" w:cs="Arial"/>
          <w:sz w:val="22"/>
          <w:szCs w:val="22"/>
          <w:lang w:val="fr-CH"/>
        </w:rPr>
        <w:t>activités de géo-ingénierie marine et d’exploitation minière,</w:t>
      </w:r>
    </w:p>
    <w:p w14:paraId="09F206E0" w14:textId="77777777" w:rsidR="009268CE" w:rsidRPr="00122ED1" w:rsidRDefault="009268CE" w:rsidP="00122ED1">
      <w:pPr>
        <w:jc w:val="both"/>
        <w:rPr>
          <w:rFonts w:ascii="Arial" w:hAnsi="Arial" w:cs="Arial"/>
          <w:sz w:val="22"/>
          <w:szCs w:val="22"/>
          <w:lang w:val="fr-CH"/>
        </w:rPr>
      </w:pPr>
    </w:p>
    <w:p w14:paraId="24FE71A7" w14:textId="77777777" w:rsidR="009268CE" w:rsidRPr="00122ED1" w:rsidRDefault="009268CE" w:rsidP="00122ED1">
      <w:pPr>
        <w:jc w:val="both"/>
        <w:rPr>
          <w:rFonts w:ascii="Arial" w:hAnsi="Arial" w:cs="Arial"/>
          <w:sz w:val="22"/>
          <w:szCs w:val="22"/>
          <w:lang w:val="fr-CH"/>
        </w:rPr>
      </w:pPr>
      <w:r w:rsidRPr="00122ED1">
        <w:rPr>
          <w:rFonts w:ascii="Arial" w:hAnsi="Arial" w:cs="Arial"/>
          <w:i/>
          <w:iCs/>
          <w:sz w:val="22"/>
          <w:szCs w:val="22"/>
          <w:lang w:val="fr-CH"/>
        </w:rPr>
        <w:t>Rappelant</w:t>
      </w:r>
      <w:r w:rsidRPr="00122ED1">
        <w:rPr>
          <w:rFonts w:ascii="Arial" w:hAnsi="Arial" w:cs="Arial"/>
          <w:sz w:val="22"/>
          <w:szCs w:val="22"/>
          <w:lang w:val="fr-CH"/>
        </w:rPr>
        <w:t xml:space="preserve"> le texte de la Cible 3.3 du Plan stratégique de Samarcande</w:t>
      </w:r>
      <w:r w:rsidRPr="00122ED1">
        <w:rPr>
          <w:rFonts w:ascii="Arial" w:hAnsi="Arial" w:cs="Arial"/>
          <w:i/>
          <w:iCs/>
          <w:sz w:val="22"/>
          <w:szCs w:val="22"/>
          <w:lang w:val="fr-CH"/>
        </w:rPr>
        <w:t xml:space="preserve"> </w:t>
      </w:r>
      <w:r w:rsidRPr="00122ED1">
        <w:rPr>
          <w:rFonts w:ascii="Arial" w:hAnsi="Arial" w:cs="Arial"/>
          <w:sz w:val="22"/>
          <w:szCs w:val="22"/>
          <w:lang w:val="fr-CH"/>
        </w:rPr>
        <w:t>pour les espèces migratrices</w:t>
      </w:r>
      <w:r w:rsidRPr="00122ED1">
        <w:rPr>
          <w:rFonts w:ascii="Arial" w:hAnsi="Arial" w:cs="Arial"/>
          <w:i/>
          <w:iCs/>
          <w:sz w:val="22"/>
          <w:szCs w:val="22"/>
          <w:lang w:val="fr-CH"/>
        </w:rPr>
        <w:t> </w:t>
      </w:r>
      <w:r w:rsidRPr="00122ED1">
        <w:rPr>
          <w:rFonts w:ascii="Arial" w:hAnsi="Arial" w:cs="Arial"/>
          <w:sz w:val="22"/>
          <w:szCs w:val="22"/>
          <w:lang w:val="fr-CH"/>
        </w:rPr>
        <w:t>2024-2032 : « D’ici 2032, les effets négatifs de la pollution, notamment les effets transfrontaliers, et les effets de l’empoisonnement sur les espèces migratrices et leurs habitats sont ramenés à des niveaux qui ne nuisent pas à la viabilité des espèces »,</w:t>
      </w:r>
    </w:p>
    <w:p w14:paraId="505AE8F0" w14:textId="77777777" w:rsidR="009268CE" w:rsidRPr="00122ED1" w:rsidRDefault="009268CE" w:rsidP="00122ED1">
      <w:pPr>
        <w:jc w:val="both"/>
        <w:rPr>
          <w:rFonts w:ascii="Arial" w:hAnsi="Arial" w:cs="Arial"/>
          <w:sz w:val="22"/>
          <w:szCs w:val="22"/>
          <w:lang w:val="fr-CH"/>
        </w:rPr>
      </w:pPr>
    </w:p>
    <w:p w14:paraId="4AA70DC9" w14:textId="0BA6F259" w:rsidR="009268CE" w:rsidRPr="00122ED1" w:rsidRDefault="004A6194" w:rsidP="00122ED1">
      <w:pPr>
        <w:jc w:val="both"/>
        <w:rPr>
          <w:rFonts w:ascii="Arial" w:hAnsi="Arial" w:cs="Arial"/>
          <w:sz w:val="22"/>
          <w:szCs w:val="22"/>
          <w:lang w:val="fr-CH"/>
        </w:rPr>
      </w:pPr>
      <w:r w:rsidRPr="00122ED1">
        <w:rPr>
          <w:rFonts w:ascii="Arial" w:hAnsi="Arial" w:cs="Arial"/>
          <w:i/>
          <w:sz w:val="22"/>
          <w:szCs w:val="22"/>
          <w:lang w:val="fr-CH"/>
        </w:rPr>
        <w:t xml:space="preserve">Considérant </w:t>
      </w:r>
      <w:r w:rsidR="009268CE" w:rsidRPr="00122ED1">
        <w:rPr>
          <w:rFonts w:ascii="Arial" w:hAnsi="Arial" w:cs="Arial"/>
          <w:sz w:val="22"/>
          <w:szCs w:val="22"/>
          <w:lang w:val="fr-CH"/>
        </w:rPr>
        <w:t xml:space="preserve">d’autres résolutions connexes de la CMS, notamment la Résolution 12.20 </w:t>
      </w:r>
      <w:r w:rsidR="009268CE" w:rsidRPr="00122ED1">
        <w:rPr>
          <w:rFonts w:ascii="Arial" w:hAnsi="Arial" w:cs="Arial"/>
          <w:i/>
          <w:iCs/>
          <w:sz w:val="22"/>
          <w:szCs w:val="22"/>
          <w:lang w:val="fr-CH"/>
        </w:rPr>
        <w:t>Gestion des débris marins</w:t>
      </w:r>
      <w:r w:rsidR="009268CE" w:rsidRPr="00122ED1">
        <w:rPr>
          <w:rFonts w:ascii="Arial" w:hAnsi="Arial" w:cs="Arial"/>
          <w:sz w:val="22"/>
          <w:szCs w:val="22"/>
          <w:lang w:val="fr-CH"/>
        </w:rPr>
        <w:t xml:space="preserve">, ainsi que la Résolution 7.3 (Rev. COP12) </w:t>
      </w:r>
      <w:r w:rsidR="009268CE" w:rsidRPr="00122ED1">
        <w:rPr>
          <w:rFonts w:ascii="Arial" w:hAnsi="Arial" w:cs="Arial"/>
          <w:i/>
          <w:iCs/>
          <w:sz w:val="22"/>
          <w:szCs w:val="22"/>
          <w:lang w:val="fr-CH"/>
        </w:rPr>
        <w:t>Marées noires et espèces migratrices</w:t>
      </w:r>
      <w:r w:rsidR="009268CE" w:rsidRPr="00122ED1">
        <w:rPr>
          <w:rFonts w:ascii="Arial" w:hAnsi="Arial" w:cs="Arial"/>
          <w:sz w:val="22"/>
          <w:szCs w:val="22"/>
          <w:lang w:val="fr-CH"/>
        </w:rPr>
        <w:t xml:space="preserve">, la Résolution 12.14 </w:t>
      </w:r>
      <w:r w:rsidR="009268CE" w:rsidRPr="00122ED1">
        <w:rPr>
          <w:rFonts w:ascii="Arial" w:hAnsi="Arial" w:cs="Arial"/>
          <w:i/>
          <w:iCs/>
          <w:sz w:val="22"/>
          <w:szCs w:val="22"/>
          <w:lang w:val="fr-CH"/>
        </w:rPr>
        <w:t xml:space="preserve">Impacts négatifs des bruits anthropiques sur les cétacés et d’autres espèces migratrices, </w:t>
      </w:r>
      <w:r w:rsidR="009268CE" w:rsidRPr="00122ED1">
        <w:rPr>
          <w:rFonts w:ascii="Arial" w:hAnsi="Arial" w:cs="Arial"/>
          <w:sz w:val="22"/>
          <w:szCs w:val="22"/>
          <w:lang w:val="fr-CH"/>
        </w:rPr>
        <w:t xml:space="preserve">la Résolution 13.5 (Rev. COP14) </w:t>
      </w:r>
      <w:r w:rsidR="009268CE" w:rsidRPr="00122ED1">
        <w:rPr>
          <w:rFonts w:ascii="Arial" w:hAnsi="Arial" w:cs="Arial"/>
          <w:i/>
          <w:iCs/>
          <w:sz w:val="22"/>
          <w:szCs w:val="22"/>
          <w:lang w:val="fr-CH"/>
        </w:rPr>
        <w:t>Lignes directrices internationales de la CMS relatives à la pollution lumineuse dont sont victimes les espèces migratrices,</w:t>
      </w:r>
      <w:r w:rsidRPr="00122ED1">
        <w:rPr>
          <w:rFonts w:ascii="Arial" w:hAnsi="Arial" w:cs="Arial"/>
          <w:i/>
          <w:iCs/>
          <w:sz w:val="22"/>
          <w:szCs w:val="22"/>
          <w:lang w:val="fr-CH"/>
        </w:rPr>
        <w:t xml:space="preserve"> </w:t>
      </w:r>
      <w:r w:rsidRPr="00122ED1">
        <w:rPr>
          <w:rFonts w:ascii="Arial" w:hAnsi="Arial" w:cs="Arial"/>
          <w:sz w:val="22"/>
          <w:szCs w:val="22"/>
          <w:lang w:val="fr-CH"/>
        </w:rPr>
        <w:t xml:space="preserve">et la Résolution 14.6 </w:t>
      </w:r>
      <w:r w:rsidR="000374EE" w:rsidRPr="00122ED1">
        <w:rPr>
          <w:rFonts w:ascii="Arial" w:hAnsi="Arial" w:cs="Arial"/>
          <w:i/>
          <w:iCs/>
          <w:sz w:val="22"/>
          <w:szCs w:val="22"/>
          <w:lang w:val="fr-CH"/>
        </w:rPr>
        <w:t>Activité</w:t>
      </w:r>
      <w:r w:rsidR="007C43A4" w:rsidRPr="00122ED1">
        <w:rPr>
          <w:rFonts w:ascii="Arial" w:hAnsi="Arial" w:cs="Arial"/>
          <w:i/>
          <w:iCs/>
          <w:sz w:val="22"/>
          <w:szCs w:val="22"/>
          <w:lang w:val="fr-CH"/>
        </w:rPr>
        <w:t>s</w:t>
      </w:r>
      <w:r w:rsidR="000374EE" w:rsidRPr="00122ED1">
        <w:rPr>
          <w:rFonts w:ascii="Arial" w:hAnsi="Arial" w:cs="Arial"/>
          <w:i/>
          <w:iCs/>
          <w:sz w:val="22"/>
          <w:szCs w:val="22"/>
          <w:lang w:val="fr-CH"/>
        </w:rPr>
        <w:t xml:space="preserve"> d’exploitation minière des grands fonds marins et espèces migratrices,</w:t>
      </w:r>
    </w:p>
    <w:p w14:paraId="05C8C69E" w14:textId="77777777" w:rsidR="009268CE" w:rsidRPr="00122ED1" w:rsidRDefault="009268CE" w:rsidP="00122ED1">
      <w:pPr>
        <w:jc w:val="both"/>
        <w:rPr>
          <w:rFonts w:ascii="Arial" w:hAnsi="Arial" w:cs="Arial"/>
          <w:i/>
          <w:sz w:val="22"/>
          <w:szCs w:val="22"/>
          <w:lang w:val="fr-CH"/>
        </w:rPr>
      </w:pPr>
    </w:p>
    <w:p w14:paraId="027852C6" w14:textId="72F7404C" w:rsidR="009268CE" w:rsidRPr="00122ED1" w:rsidRDefault="000374EE" w:rsidP="00122ED1">
      <w:pPr>
        <w:jc w:val="both"/>
        <w:rPr>
          <w:rFonts w:ascii="Arial" w:hAnsi="Arial" w:cs="Arial"/>
          <w:sz w:val="22"/>
          <w:szCs w:val="22"/>
          <w:lang w:val="fr-CH"/>
        </w:rPr>
      </w:pPr>
      <w:r w:rsidRPr="00122ED1">
        <w:rPr>
          <w:rFonts w:ascii="Arial" w:hAnsi="Arial" w:cs="Arial"/>
          <w:i/>
          <w:iCs/>
          <w:sz w:val="22"/>
          <w:szCs w:val="22"/>
          <w:lang w:val="fr-CH"/>
        </w:rPr>
        <w:t xml:space="preserve">Considérant </w:t>
      </w:r>
      <w:r w:rsidR="009268CE" w:rsidRPr="00122ED1">
        <w:rPr>
          <w:rFonts w:ascii="Arial" w:hAnsi="Arial" w:cs="Arial"/>
          <w:sz w:val="22"/>
          <w:szCs w:val="22"/>
          <w:lang w:val="fr-CH"/>
        </w:rPr>
        <w:t xml:space="preserve">également </w:t>
      </w:r>
      <w:r w:rsidRPr="00122ED1">
        <w:rPr>
          <w:rFonts w:ascii="Arial" w:hAnsi="Arial" w:cs="Arial"/>
          <w:sz w:val="22"/>
          <w:szCs w:val="22"/>
          <w:lang w:val="fr-CH"/>
        </w:rPr>
        <w:t xml:space="preserve">d’autres </w:t>
      </w:r>
      <w:r w:rsidR="009268CE" w:rsidRPr="00122ED1">
        <w:rPr>
          <w:rFonts w:ascii="Arial" w:hAnsi="Arial" w:cs="Arial"/>
          <w:sz w:val="22"/>
          <w:szCs w:val="22"/>
          <w:lang w:val="fr-CH"/>
        </w:rPr>
        <w:t xml:space="preserve">résolutions connexes adoptées par les accords issus de la CMS, </w:t>
      </w:r>
      <w:r w:rsidRPr="00122ED1">
        <w:rPr>
          <w:rFonts w:ascii="Arial" w:hAnsi="Arial" w:cs="Arial"/>
          <w:sz w:val="22"/>
          <w:szCs w:val="22"/>
          <w:lang w:val="fr-CH"/>
        </w:rPr>
        <w:t>dont</w:t>
      </w:r>
      <w:r w:rsidR="009268CE" w:rsidRPr="00122ED1">
        <w:rPr>
          <w:rFonts w:ascii="Arial" w:hAnsi="Arial" w:cs="Arial"/>
          <w:sz w:val="22"/>
          <w:szCs w:val="22"/>
          <w:lang w:val="fr-CH"/>
        </w:rPr>
        <w:t xml:space="preserve"> </w:t>
      </w:r>
      <w:r w:rsidRPr="00122ED1">
        <w:rPr>
          <w:rFonts w:ascii="Arial" w:hAnsi="Arial" w:cs="Arial"/>
          <w:sz w:val="22"/>
          <w:szCs w:val="22"/>
          <w:lang w:val="fr-CH"/>
        </w:rPr>
        <w:t xml:space="preserve">la Résolution 9.18 </w:t>
      </w:r>
      <w:r w:rsidRPr="00122ED1">
        <w:rPr>
          <w:rFonts w:ascii="Arial" w:hAnsi="Arial" w:cs="Arial"/>
          <w:i/>
          <w:iCs/>
          <w:sz w:val="22"/>
          <w:szCs w:val="22"/>
          <w:lang w:val="fr-CH"/>
        </w:rPr>
        <w:t xml:space="preserve">Déchets marins </w:t>
      </w:r>
      <w:r w:rsidRPr="00122ED1">
        <w:rPr>
          <w:rFonts w:ascii="Arial" w:hAnsi="Arial" w:cs="Arial"/>
          <w:sz w:val="22"/>
          <w:szCs w:val="22"/>
          <w:lang w:val="fr-CH"/>
        </w:rPr>
        <w:t>de l’ACCOBAMS</w:t>
      </w:r>
      <w:r w:rsidRPr="00122ED1">
        <w:rPr>
          <w:rFonts w:ascii="Arial" w:hAnsi="Arial" w:cs="Arial"/>
          <w:i/>
          <w:iCs/>
          <w:sz w:val="22"/>
          <w:szCs w:val="22"/>
          <w:lang w:val="fr-CH"/>
        </w:rPr>
        <w:t xml:space="preserve">, </w:t>
      </w:r>
      <w:r w:rsidR="009268CE" w:rsidRPr="00122ED1">
        <w:rPr>
          <w:rFonts w:ascii="Arial" w:hAnsi="Arial" w:cs="Arial"/>
          <w:sz w:val="22"/>
          <w:szCs w:val="22"/>
          <w:lang w:val="fr-CH"/>
        </w:rPr>
        <w:t xml:space="preserve">la Résolution 8.20 de l’ACCOBAMS </w:t>
      </w:r>
      <w:r w:rsidR="009268CE" w:rsidRPr="00122ED1">
        <w:rPr>
          <w:rFonts w:ascii="Arial" w:hAnsi="Arial" w:cs="Arial"/>
          <w:i/>
          <w:iCs/>
          <w:sz w:val="22"/>
          <w:szCs w:val="22"/>
          <w:lang w:val="fr-CH"/>
        </w:rPr>
        <w:t xml:space="preserve">Déchets marins et pollution chimique, </w:t>
      </w:r>
      <w:r w:rsidR="009268CE" w:rsidRPr="00122ED1">
        <w:rPr>
          <w:rFonts w:ascii="Arial" w:hAnsi="Arial" w:cs="Arial"/>
          <w:sz w:val="22"/>
          <w:szCs w:val="22"/>
          <w:lang w:val="fr-CH"/>
        </w:rPr>
        <w:t>la</w:t>
      </w:r>
      <w:r w:rsidR="009268CE" w:rsidRPr="00122ED1">
        <w:rPr>
          <w:rFonts w:ascii="Arial" w:hAnsi="Arial" w:cs="Arial"/>
          <w:i/>
          <w:iCs/>
          <w:sz w:val="22"/>
          <w:szCs w:val="22"/>
          <w:lang w:val="fr-CH"/>
        </w:rPr>
        <w:t xml:space="preserve"> </w:t>
      </w:r>
      <w:r w:rsidR="009268CE" w:rsidRPr="00122ED1">
        <w:rPr>
          <w:rFonts w:ascii="Arial" w:hAnsi="Arial" w:cs="Arial"/>
          <w:sz w:val="22"/>
          <w:szCs w:val="22"/>
          <w:lang w:val="fr-CH"/>
        </w:rPr>
        <w:t xml:space="preserve">Résolution 7.4 de </w:t>
      </w:r>
      <w:r w:rsidRPr="00122ED1">
        <w:rPr>
          <w:rFonts w:ascii="Arial" w:hAnsi="Arial" w:cs="Arial"/>
          <w:sz w:val="22"/>
          <w:szCs w:val="22"/>
          <w:lang w:val="fr-CH"/>
        </w:rPr>
        <w:t>l’ACCOBAMS</w:t>
      </w:r>
      <w:r w:rsidRPr="00122ED1" w:rsidDel="000374EE">
        <w:rPr>
          <w:rFonts w:ascii="Arial" w:hAnsi="Arial" w:cs="Arial"/>
          <w:sz w:val="22"/>
          <w:szCs w:val="22"/>
          <w:lang w:val="fr-CH"/>
        </w:rPr>
        <w:t xml:space="preserve"> </w:t>
      </w:r>
      <w:r w:rsidR="009268CE" w:rsidRPr="00122ED1">
        <w:rPr>
          <w:rFonts w:ascii="Arial" w:hAnsi="Arial" w:cs="Arial"/>
          <w:i/>
          <w:iCs/>
          <w:sz w:val="22"/>
          <w:szCs w:val="22"/>
          <w:lang w:val="fr-CH"/>
        </w:rPr>
        <w:t>Impacts de la pollution chimique sur les petits cétacés</w:t>
      </w:r>
      <w:r w:rsidR="009268CE" w:rsidRPr="00122ED1">
        <w:rPr>
          <w:rFonts w:ascii="Arial" w:hAnsi="Arial" w:cs="Arial"/>
          <w:sz w:val="22"/>
          <w:szCs w:val="22"/>
          <w:lang w:val="fr-CH"/>
        </w:rPr>
        <w:t xml:space="preserve">, la Résolution 8.7 de </w:t>
      </w:r>
      <w:r w:rsidRPr="00122ED1">
        <w:rPr>
          <w:rFonts w:ascii="Arial" w:hAnsi="Arial" w:cs="Arial"/>
          <w:sz w:val="22"/>
          <w:szCs w:val="22"/>
          <w:lang w:val="fr-CH"/>
        </w:rPr>
        <w:t>l’ACCOBAMS</w:t>
      </w:r>
      <w:r w:rsidRPr="00122ED1" w:rsidDel="000374EE">
        <w:rPr>
          <w:rFonts w:ascii="Arial" w:hAnsi="Arial" w:cs="Arial"/>
          <w:sz w:val="22"/>
          <w:szCs w:val="22"/>
          <w:lang w:val="fr-CH"/>
        </w:rPr>
        <w:t xml:space="preserve"> </w:t>
      </w:r>
      <w:r w:rsidR="009268CE" w:rsidRPr="00122ED1">
        <w:rPr>
          <w:rFonts w:ascii="Arial" w:hAnsi="Arial" w:cs="Arial"/>
          <w:i/>
          <w:iCs/>
          <w:sz w:val="22"/>
          <w:szCs w:val="22"/>
          <w:lang w:val="fr-CH"/>
        </w:rPr>
        <w:t>Impacts des biphényles polychlorés (PCB)</w:t>
      </w:r>
      <w:r w:rsidR="009268CE" w:rsidRPr="00122ED1">
        <w:rPr>
          <w:rFonts w:ascii="Arial" w:hAnsi="Arial" w:cs="Arial"/>
          <w:sz w:val="22"/>
          <w:szCs w:val="22"/>
          <w:lang w:val="fr-CH"/>
        </w:rPr>
        <w:t xml:space="preserve">, la Résolution 8.8 de </w:t>
      </w:r>
      <w:r w:rsidRPr="00122ED1">
        <w:rPr>
          <w:rFonts w:ascii="Arial" w:hAnsi="Arial" w:cs="Arial"/>
          <w:sz w:val="22"/>
          <w:szCs w:val="22"/>
          <w:lang w:val="fr-CH"/>
        </w:rPr>
        <w:t>l’ACCOBAMS</w:t>
      </w:r>
      <w:r w:rsidRPr="00122ED1" w:rsidDel="000374EE">
        <w:rPr>
          <w:rFonts w:ascii="Arial" w:hAnsi="Arial" w:cs="Arial"/>
          <w:sz w:val="22"/>
          <w:szCs w:val="22"/>
          <w:lang w:val="fr-CH"/>
        </w:rPr>
        <w:t xml:space="preserve"> </w:t>
      </w:r>
      <w:r w:rsidR="009268CE" w:rsidRPr="00122ED1">
        <w:rPr>
          <w:rFonts w:ascii="Arial" w:hAnsi="Arial" w:cs="Arial"/>
          <w:i/>
          <w:iCs/>
          <w:sz w:val="22"/>
          <w:szCs w:val="22"/>
          <w:lang w:val="fr-CH"/>
        </w:rPr>
        <w:t>Traitement des menaces issues des munitions sous-marines</w:t>
      </w:r>
      <w:r w:rsidR="009268CE" w:rsidRPr="00122ED1">
        <w:rPr>
          <w:rFonts w:ascii="Arial" w:hAnsi="Arial" w:cs="Arial"/>
          <w:sz w:val="22"/>
          <w:szCs w:val="22"/>
          <w:lang w:val="fr-CH"/>
        </w:rPr>
        <w:t xml:space="preserve">, la Résolution 9.3 de </w:t>
      </w:r>
      <w:r w:rsidRPr="00122ED1">
        <w:rPr>
          <w:rFonts w:ascii="Arial" w:hAnsi="Arial" w:cs="Arial"/>
          <w:sz w:val="22"/>
          <w:szCs w:val="22"/>
          <w:lang w:val="fr-CH"/>
        </w:rPr>
        <w:t>l’ACCOBAMS</w:t>
      </w:r>
      <w:r w:rsidRPr="00122ED1" w:rsidDel="000374EE">
        <w:rPr>
          <w:rFonts w:ascii="Arial" w:hAnsi="Arial" w:cs="Arial"/>
          <w:sz w:val="22"/>
          <w:szCs w:val="22"/>
          <w:lang w:val="fr-CH"/>
        </w:rPr>
        <w:t xml:space="preserve"> </w:t>
      </w:r>
      <w:r w:rsidR="009268CE" w:rsidRPr="00122ED1">
        <w:rPr>
          <w:rFonts w:ascii="Arial" w:hAnsi="Arial" w:cs="Arial"/>
          <w:i/>
          <w:iCs/>
          <w:sz w:val="22"/>
          <w:szCs w:val="22"/>
          <w:lang w:val="fr-CH"/>
        </w:rPr>
        <w:t xml:space="preserve">Débris marins, </w:t>
      </w:r>
      <w:r w:rsidR="009268CE" w:rsidRPr="00122ED1">
        <w:rPr>
          <w:rFonts w:ascii="Arial" w:hAnsi="Arial" w:cs="Arial"/>
          <w:sz w:val="22"/>
          <w:szCs w:val="22"/>
          <w:lang w:val="fr-CH"/>
        </w:rPr>
        <w:t>la</w:t>
      </w:r>
      <w:r w:rsidR="009268CE" w:rsidRPr="00122ED1">
        <w:rPr>
          <w:rFonts w:ascii="Arial" w:hAnsi="Arial" w:cs="Arial"/>
          <w:i/>
          <w:iCs/>
          <w:sz w:val="22"/>
          <w:szCs w:val="22"/>
          <w:lang w:val="fr-CH"/>
        </w:rPr>
        <w:t xml:space="preserve"> </w:t>
      </w:r>
      <w:r w:rsidR="009268CE" w:rsidRPr="00122ED1">
        <w:rPr>
          <w:rFonts w:ascii="Arial" w:hAnsi="Arial" w:cs="Arial"/>
          <w:sz w:val="22"/>
          <w:szCs w:val="22"/>
          <w:lang w:val="fr-CH"/>
        </w:rPr>
        <w:t>Résolution </w:t>
      </w:r>
      <w:r w:rsidRPr="00122ED1">
        <w:rPr>
          <w:rFonts w:ascii="Arial" w:hAnsi="Arial" w:cs="Arial"/>
          <w:sz w:val="22"/>
          <w:szCs w:val="22"/>
          <w:lang w:val="fr-CH"/>
        </w:rPr>
        <w:t xml:space="preserve">9.15 </w:t>
      </w:r>
      <w:r w:rsidR="009268CE" w:rsidRPr="00122ED1">
        <w:rPr>
          <w:rFonts w:ascii="Arial" w:hAnsi="Arial" w:cs="Arial"/>
          <w:sz w:val="22"/>
          <w:szCs w:val="22"/>
          <w:lang w:val="fr-CH"/>
        </w:rPr>
        <w:t xml:space="preserve">de l’ACCOBAMS </w:t>
      </w:r>
      <w:r w:rsidRPr="00122ED1">
        <w:rPr>
          <w:rFonts w:ascii="Arial" w:hAnsi="Arial" w:cs="Arial"/>
          <w:i/>
          <w:iCs/>
          <w:sz w:val="22"/>
          <w:szCs w:val="22"/>
          <w:lang w:val="fr-CH"/>
        </w:rPr>
        <w:t>Bruit sous-marin d’origine anthropique</w:t>
      </w:r>
      <w:r w:rsidR="009268CE" w:rsidRPr="00122ED1">
        <w:rPr>
          <w:rFonts w:ascii="Arial" w:hAnsi="Arial" w:cs="Arial"/>
          <w:i/>
          <w:iCs/>
          <w:sz w:val="22"/>
          <w:szCs w:val="22"/>
          <w:lang w:val="fr-CH"/>
        </w:rPr>
        <w:t xml:space="preserve"> </w:t>
      </w:r>
      <w:r w:rsidR="009268CE" w:rsidRPr="00122ED1">
        <w:rPr>
          <w:rFonts w:ascii="Arial" w:hAnsi="Arial" w:cs="Arial"/>
          <w:sz w:val="22"/>
          <w:szCs w:val="22"/>
          <w:lang w:val="fr-CH"/>
        </w:rPr>
        <w:t>et ses prédécesseurs,</w:t>
      </w:r>
    </w:p>
    <w:p w14:paraId="5D0C3252" w14:textId="77777777" w:rsidR="009268CE" w:rsidRPr="00122ED1" w:rsidRDefault="009268CE" w:rsidP="00122ED1">
      <w:pPr>
        <w:jc w:val="both"/>
        <w:rPr>
          <w:rFonts w:ascii="Arial" w:hAnsi="Arial" w:cs="Arial"/>
          <w:sz w:val="22"/>
          <w:szCs w:val="22"/>
          <w:lang w:val="fr-CH"/>
        </w:rPr>
      </w:pPr>
    </w:p>
    <w:p w14:paraId="37F35D11" w14:textId="77777777" w:rsidR="009268CE" w:rsidRPr="00122ED1" w:rsidRDefault="009268CE" w:rsidP="00122ED1">
      <w:pPr>
        <w:jc w:val="both"/>
        <w:rPr>
          <w:rFonts w:ascii="Arial" w:hAnsi="Arial" w:cs="Arial"/>
          <w:sz w:val="22"/>
          <w:szCs w:val="22"/>
          <w:lang w:val="fr-CH"/>
        </w:rPr>
      </w:pPr>
      <w:r w:rsidRPr="00122ED1">
        <w:rPr>
          <w:rFonts w:ascii="Arial" w:hAnsi="Arial" w:cs="Arial"/>
          <w:i/>
          <w:iCs/>
          <w:sz w:val="22"/>
          <w:szCs w:val="22"/>
          <w:lang w:val="fr-CH"/>
        </w:rPr>
        <w:t xml:space="preserve">Rappelant </w:t>
      </w:r>
      <w:r w:rsidRPr="00122ED1">
        <w:rPr>
          <w:rFonts w:ascii="Arial" w:hAnsi="Arial" w:cs="Arial"/>
          <w:sz w:val="22"/>
          <w:szCs w:val="22"/>
          <w:lang w:val="fr-CH"/>
        </w:rPr>
        <w:t xml:space="preserve">que la Résolution A/RES/79/314 de l’Assemblée générale des Nations Unies </w:t>
      </w:r>
      <w:r w:rsidRPr="00122ED1">
        <w:rPr>
          <w:rFonts w:ascii="Arial" w:hAnsi="Arial" w:cs="Arial"/>
          <w:i/>
          <w:iCs/>
          <w:sz w:val="22"/>
          <w:szCs w:val="22"/>
          <w:lang w:val="fr-CH"/>
        </w:rPr>
        <w:t>Notre océan, notre avenir : unis pour une action urgente</w:t>
      </w:r>
      <w:r w:rsidRPr="00122ED1">
        <w:rPr>
          <w:rFonts w:ascii="Arial" w:hAnsi="Arial" w:cs="Arial"/>
          <w:sz w:val="22"/>
          <w:szCs w:val="22"/>
          <w:lang w:val="fr-CH"/>
        </w:rPr>
        <w:t xml:space="preserve"> « réaffirm[e] notre engagement commun de hâter l’action visant à prévenir, à réduire nettement et à maîtriser la pollution marine de tous types »,</w:t>
      </w:r>
    </w:p>
    <w:p w14:paraId="0E462786" w14:textId="164F7743" w:rsidR="001D1BA6" w:rsidRDefault="001D1BA6" w:rsidP="00122ED1">
      <w:pPr>
        <w:jc w:val="both"/>
        <w:rPr>
          <w:rFonts w:ascii="Arial" w:hAnsi="Arial" w:cs="Arial"/>
          <w:sz w:val="22"/>
          <w:szCs w:val="22"/>
          <w:lang w:val="fr-CH"/>
        </w:rPr>
      </w:pPr>
      <w:r>
        <w:rPr>
          <w:rFonts w:ascii="Arial" w:hAnsi="Arial" w:cs="Arial"/>
          <w:sz w:val="22"/>
          <w:szCs w:val="22"/>
          <w:lang w:val="fr-CH"/>
        </w:rPr>
        <w:br w:type="page"/>
      </w:r>
    </w:p>
    <w:p w14:paraId="34670B0F" w14:textId="77777777" w:rsidR="009268CE" w:rsidRPr="00122ED1" w:rsidRDefault="009268CE" w:rsidP="00122ED1">
      <w:pPr>
        <w:jc w:val="both"/>
        <w:rPr>
          <w:rFonts w:ascii="Arial" w:hAnsi="Arial" w:cs="Arial"/>
          <w:sz w:val="22"/>
          <w:szCs w:val="22"/>
          <w:lang w:val="fr-CH"/>
        </w:rPr>
      </w:pPr>
      <w:r w:rsidRPr="00122ED1">
        <w:rPr>
          <w:rFonts w:ascii="Arial" w:hAnsi="Arial" w:cs="Arial"/>
          <w:i/>
          <w:iCs/>
          <w:sz w:val="22"/>
          <w:szCs w:val="22"/>
          <w:lang w:val="fr-CH"/>
        </w:rPr>
        <w:lastRenderedPageBreak/>
        <w:t xml:space="preserve">Préoccupée </w:t>
      </w:r>
      <w:r w:rsidRPr="00122ED1">
        <w:rPr>
          <w:rFonts w:ascii="Arial" w:hAnsi="Arial" w:cs="Arial"/>
          <w:sz w:val="22"/>
          <w:szCs w:val="22"/>
          <w:lang w:val="fr-CH"/>
        </w:rPr>
        <w:t>par les nombreux effets négatifs documentés de la pollution marine sur les espèces migratrices, notamment en ce qui concerne leur santé, leur survie et leurs systèmes reproductifs, endocriniens et immunologiques, ainsi que leur conservation et leur bien-être,</w:t>
      </w:r>
    </w:p>
    <w:p w14:paraId="70200DF2" w14:textId="77777777" w:rsidR="009268CE" w:rsidRPr="00122ED1" w:rsidRDefault="009268CE" w:rsidP="00122ED1">
      <w:pPr>
        <w:jc w:val="both"/>
        <w:rPr>
          <w:rFonts w:ascii="Arial" w:hAnsi="Arial" w:cs="Arial"/>
          <w:sz w:val="22"/>
          <w:szCs w:val="22"/>
          <w:lang w:val="fr-CH"/>
        </w:rPr>
      </w:pPr>
    </w:p>
    <w:p w14:paraId="18C3F268" w14:textId="1FA559B0" w:rsidR="009268CE" w:rsidRPr="00122ED1" w:rsidRDefault="009268CE" w:rsidP="00122ED1">
      <w:pPr>
        <w:jc w:val="both"/>
        <w:rPr>
          <w:rFonts w:ascii="Arial" w:hAnsi="Arial" w:cs="Arial"/>
          <w:sz w:val="22"/>
          <w:szCs w:val="22"/>
          <w:lang w:val="fr-CH"/>
        </w:rPr>
      </w:pPr>
      <w:r w:rsidRPr="00122ED1">
        <w:rPr>
          <w:rFonts w:ascii="Arial" w:hAnsi="Arial" w:cs="Arial"/>
          <w:i/>
          <w:iCs/>
          <w:sz w:val="22"/>
          <w:szCs w:val="22"/>
          <w:lang w:val="fr-CH"/>
        </w:rPr>
        <w:t>Alarmée</w:t>
      </w:r>
      <w:r w:rsidRPr="00122ED1">
        <w:rPr>
          <w:rFonts w:ascii="Arial" w:hAnsi="Arial" w:cs="Arial"/>
          <w:sz w:val="22"/>
          <w:szCs w:val="22"/>
          <w:lang w:val="fr-CH"/>
        </w:rPr>
        <w:t xml:space="preserve"> par </w:t>
      </w:r>
      <w:r w:rsidR="000374EE" w:rsidRPr="00122ED1">
        <w:rPr>
          <w:rFonts w:ascii="Arial" w:hAnsi="Arial" w:cs="Arial"/>
          <w:sz w:val="22"/>
          <w:szCs w:val="22"/>
          <w:lang w:val="fr-CH"/>
        </w:rPr>
        <w:t>le fait que les</w:t>
      </w:r>
      <w:r w:rsidRPr="00122ED1">
        <w:rPr>
          <w:rFonts w:ascii="Arial" w:hAnsi="Arial" w:cs="Arial"/>
          <w:sz w:val="22"/>
          <w:szCs w:val="22"/>
          <w:lang w:val="fr-CH"/>
        </w:rPr>
        <w:t xml:space="preserve"> changements climatiques </w:t>
      </w:r>
      <w:r w:rsidR="000374EE" w:rsidRPr="00122ED1">
        <w:rPr>
          <w:rFonts w:ascii="Arial" w:hAnsi="Arial" w:cs="Arial"/>
          <w:sz w:val="22"/>
          <w:szCs w:val="22"/>
          <w:lang w:val="fr-CH"/>
        </w:rPr>
        <w:t>sont susceptibles d’</w:t>
      </w:r>
      <w:r w:rsidRPr="00122ED1">
        <w:rPr>
          <w:rFonts w:ascii="Arial" w:hAnsi="Arial" w:cs="Arial"/>
          <w:sz w:val="22"/>
          <w:szCs w:val="22"/>
          <w:lang w:val="fr-CH"/>
        </w:rPr>
        <w:t>accroître les taux de remobilisation et de libération de produits chimiques anciens dans l’environnement marin, ainsi que de renforcer d’autres mécanismes de toxicité,</w:t>
      </w:r>
    </w:p>
    <w:p w14:paraId="32E748C3" w14:textId="77777777" w:rsidR="000374EE" w:rsidRPr="00122ED1" w:rsidRDefault="000374EE" w:rsidP="00122ED1">
      <w:pPr>
        <w:jc w:val="both"/>
        <w:rPr>
          <w:rFonts w:ascii="Arial" w:hAnsi="Arial" w:cs="Arial"/>
          <w:sz w:val="22"/>
          <w:szCs w:val="22"/>
          <w:lang w:val="fr-CH"/>
        </w:rPr>
      </w:pPr>
    </w:p>
    <w:p w14:paraId="4FA24910" w14:textId="256E856A" w:rsidR="009268CE" w:rsidRPr="00122ED1" w:rsidRDefault="009268CE" w:rsidP="00122ED1">
      <w:pPr>
        <w:jc w:val="both"/>
        <w:rPr>
          <w:rFonts w:ascii="Arial" w:hAnsi="Arial" w:cs="Arial"/>
          <w:sz w:val="22"/>
          <w:szCs w:val="22"/>
          <w:lang w:val="fr-CH"/>
        </w:rPr>
      </w:pPr>
      <w:r w:rsidRPr="00122ED1">
        <w:rPr>
          <w:rFonts w:ascii="Arial" w:hAnsi="Arial" w:cs="Arial"/>
          <w:i/>
          <w:iCs/>
          <w:sz w:val="22"/>
          <w:szCs w:val="22"/>
          <w:lang w:val="fr-CH"/>
        </w:rPr>
        <w:t>Reconnaissant</w:t>
      </w:r>
      <w:r w:rsidRPr="00122ED1">
        <w:rPr>
          <w:rFonts w:ascii="Arial" w:hAnsi="Arial" w:cs="Arial"/>
          <w:sz w:val="22"/>
          <w:szCs w:val="22"/>
          <w:lang w:val="fr-CH"/>
        </w:rPr>
        <w:t xml:space="preserve"> que les polluants chimiques et les métaux toxiques ne sont pas seulement liés à la pollution industrielle historique, mais </w:t>
      </w:r>
      <w:r w:rsidR="00261F90" w:rsidRPr="00122ED1">
        <w:rPr>
          <w:rFonts w:ascii="Arial" w:hAnsi="Arial" w:cs="Arial"/>
          <w:sz w:val="22"/>
          <w:szCs w:val="22"/>
          <w:lang w:val="fr-CH"/>
        </w:rPr>
        <w:t xml:space="preserve">qu’ils </w:t>
      </w:r>
      <w:r w:rsidRPr="00122ED1">
        <w:rPr>
          <w:rFonts w:ascii="Arial" w:hAnsi="Arial" w:cs="Arial"/>
          <w:sz w:val="22"/>
          <w:szCs w:val="22"/>
          <w:lang w:val="fr-CH"/>
        </w:rPr>
        <w:t xml:space="preserve">sont également remobilisés en raison de processus tels que le dégel du pergélisol, l’intensification des incendies de forêt et les altérations du cycle biochimique dans </w:t>
      </w:r>
      <w:r w:rsidR="00261F90" w:rsidRPr="00122ED1">
        <w:rPr>
          <w:rFonts w:ascii="Arial" w:hAnsi="Arial" w:cs="Arial"/>
          <w:sz w:val="22"/>
          <w:szCs w:val="22"/>
          <w:lang w:val="fr-CH"/>
        </w:rPr>
        <w:t>d</w:t>
      </w:r>
      <w:r w:rsidRPr="00122ED1">
        <w:rPr>
          <w:rFonts w:ascii="Arial" w:hAnsi="Arial" w:cs="Arial"/>
          <w:sz w:val="22"/>
          <w:szCs w:val="22"/>
          <w:lang w:val="fr-CH"/>
        </w:rPr>
        <w:t>es océans qui se réchauffent, et que ces phénomènes peuvent intensifier les risques d’exposition pour les espèces migratrices à longue durée de vie dans les régions polaires et de basses latitudes,</w:t>
      </w:r>
    </w:p>
    <w:p w14:paraId="1FD9D031" w14:textId="77777777" w:rsidR="009268CE" w:rsidRPr="00122ED1" w:rsidRDefault="009268CE" w:rsidP="00122ED1">
      <w:pPr>
        <w:jc w:val="both"/>
        <w:rPr>
          <w:rFonts w:ascii="Arial" w:hAnsi="Arial" w:cs="Arial"/>
          <w:sz w:val="22"/>
          <w:szCs w:val="22"/>
          <w:lang w:val="fr-CH"/>
        </w:rPr>
      </w:pPr>
    </w:p>
    <w:p w14:paraId="0214B86D" w14:textId="77777777" w:rsidR="009268CE" w:rsidRPr="00122ED1" w:rsidRDefault="009268CE" w:rsidP="00122ED1">
      <w:pPr>
        <w:jc w:val="both"/>
        <w:rPr>
          <w:rFonts w:ascii="Arial" w:hAnsi="Arial" w:cs="Arial"/>
          <w:sz w:val="22"/>
          <w:szCs w:val="22"/>
          <w:lang w:val="fr-CH"/>
        </w:rPr>
      </w:pPr>
    </w:p>
    <w:p w14:paraId="7C9DCA16" w14:textId="77777777" w:rsidR="009268CE" w:rsidRPr="00122ED1" w:rsidRDefault="009268CE" w:rsidP="00122ED1">
      <w:pPr>
        <w:jc w:val="center"/>
        <w:rPr>
          <w:rFonts w:ascii="Arial" w:hAnsi="Arial" w:cs="Arial"/>
          <w:i/>
          <w:sz w:val="22"/>
          <w:szCs w:val="22"/>
          <w:lang w:val="fr-CH"/>
        </w:rPr>
      </w:pPr>
      <w:r w:rsidRPr="00122ED1">
        <w:rPr>
          <w:rFonts w:ascii="Arial" w:hAnsi="Arial" w:cs="Arial"/>
          <w:i/>
          <w:sz w:val="22"/>
          <w:szCs w:val="22"/>
          <w:lang w:val="fr-CH"/>
        </w:rPr>
        <w:t>La Conférence des Parties à la</w:t>
      </w:r>
      <w:r w:rsidRPr="00122ED1">
        <w:rPr>
          <w:rFonts w:ascii="Arial" w:hAnsi="Arial" w:cs="Arial"/>
          <w:i/>
          <w:sz w:val="22"/>
          <w:szCs w:val="22"/>
          <w:lang w:val="fr-CH"/>
        </w:rPr>
        <w:br/>
        <w:t xml:space="preserve"> Convention sur la conservation des espèces migratrices appartenant à la faune sauvage</w:t>
      </w:r>
    </w:p>
    <w:p w14:paraId="4C5EB1F1" w14:textId="77777777" w:rsidR="009268CE" w:rsidRDefault="009268CE" w:rsidP="00122ED1">
      <w:pPr>
        <w:jc w:val="center"/>
        <w:rPr>
          <w:rFonts w:ascii="Arial" w:hAnsi="Arial" w:cs="Arial"/>
          <w:i/>
          <w:sz w:val="22"/>
          <w:szCs w:val="22"/>
          <w:lang w:val="fr-CH"/>
        </w:rPr>
      </w:pPr>
      <w:r w:rsidRPr="00122ED1">
        <w:rPr>
          <w:rFonts w:ascii="Arial" w:hAnsi="Arial" w:cs="Arial"/>
          <w:i/>
          <w:sz w:val="22"/>
          <w:szCs w:val="22"/>
          <w:lang w:val="fr-CH"/>
        </w:rPr>
        <w:t xml:space="preserve"> </w:t>
      </w:r>
    </w:p>
    <w:p w14:paraId="1DB7D7A6" w14:textId="77777777" w:rsidR="001D1BA6" w:rsidRPr="00122ED1" w:rsidRDefault="001D1BA6" w:rsidP="00122ED1">
      <w:pPr>
        <w:jc w:val="center"/>
        <w:rPr>
          <w:rFonts w:ascii="Arial" w:hAnsi="Arial" w:cs="Arial"/>
          <w:i/>
          <w:sz w:val="22"/>
          <w:szCs w:val="22"/>
          <w:lang w:val="fr-CH"/>
        </w:rPr>
      </w:pPr>
    </w:p>
    <w:p w14:paraId="67DD3F71" w14:textId="56A35424" w:rsidR="009268CE" w:rsidRPr="00122ED1" w:rsidRDefault="00261F90" w:rsidP="00122ED1">
      <w:pPr>
        <w:pStyle w:val="ListParagraph"/>
        <w:numPr>
          <w:ilvl w:val="0"/>
          <w:numId w:val="11"/>
        </w:numPr>
        <w:ind w:left="567" w:hanging="567"/>
        <w:contextualSpacing w:val="0"/>
        <w:rPr>
          <w:rFonts w:cs="Arial"/>
          <w:lang w:val="fr-CH"/>
        </w:rPr>
      </w:pPr>
      <w:r w:rsidRPr="00122ED1">
        <w:rPr>
          <w:rFonts w:cs="Arial"/>
          <w:i/>
          <w:iCs/>
          <w:lang w:val="fr-CH"/>
        </w:rPr>
        <w:t>Prie instamment</w:t>
      </w:r>
      <w:r w:rsidRPr="00122ED1">
        <w:rPr>
          <w:rFonts w:cs="Arial"/>
          <w:lang w:val="fr-CH"/>
        </w:rPr>
        <w:t xml:space="preserve"> </w:t>
      </w:r>
      <w:r w:rsidR="009268CE" w:rsidRPr="00122ED1">
        <w:rPr>
          <w:rFonts w:cs="Arial"/>
          <w:lang w:val="fr-CH"/>
        </w:rPr>
        <w:t xml:space="preserve">les Parties </w:t>
      </w:r>
      <w:r w:rsidRPr="00122ED1">
        <w:rPr>
          <w:rFonts w:cs="Arial"/>
          <w:lang w:val="fr-CH"/>
        </w:rPr>
        <w:t>d’</w:t>
      </w:r>
      <w:r w:rsidR="009268CE" w:rsidRPr="00122ED1">
        <w:rPr>
          <w:rFonts w:cs="Arial"/>
          <w:lang w:val="fr-CH"/>
        </w:rPr>
        <w:t>aborder les questions urgentes suivantes, en raison de leur incidence significative et, une fois résolues, de</w:t>
      </w:r>
      <w:r w:rsidRPr="00122ED1">
        <w:rPr>
          <w:rFonts w:cs="Arial"/>
          <w:lang w:val="fr-CH"/>
        </w:rPr>
        <w:t xml:space="preserve"> leur</w:t>
      </w:r>
      <w:r w:rsidR="009268CE" w:rsidRPr="00122ED1">
        <w:rPr>
          <w:rFonts w:cs="Arial"/>
          <w:lang w:val="fr-CH"/>
        </w:rPr>
        <w:t>s bénéfices immédiats pour la conservation :</w:t>
      </w:r>
    </w:p>
    <w:p w14:paraId="2DD7CA89" w14:textId="77777777" w:rsidR="009268CE" w:rsidRPr="00122ED1" w:rsidRDefault="009268CE" w:rsidP="00122ED1">
      <w:pPr>
        <w:pStyle w:val="ListParagraph"/>
        <w:rPr>
          <w:rFonts w:cs="Arial"/>
          <w:lang w:val="fr-CH"/>
        </w:rPr>
      </w:pPr>
    </w:p>
    <w:p w14:paraId="4A81C69B" w14:textId="66364EE5" w:rsidR="009268CE" w:rsidRPr="00122ED1" w:rsidRDefault="009268CE" w:rsidP="00122ED1">
      <w:pPr>
        <w:pStyle w:val="ListParagraph"/>
        <w:numPr>
          <w:ilvl w:val="1"/>
          <w:numId w:val="12"/>
        </w:numPr>
        <w:spacing w:after="120"/>
        <w:ind w:left="964" w:hanging="397"/>
        <w:contextualSpacing w:val="0"/>
        <w:rPr>
          <w:rFonts w:cs="Arial"/>
          <w:lang w:val="fr-CH"/>
        </w:rPr>
      </w:pPr>
      <w:r w:rsidRPr="00122ED1">
        <w:rPr>
          <w:rFonts w:cs="Arial"/>
          <w:lang w:val="fr-CH"/>
        </w:rPr>
        <w:t xml:space="preserve">la sécurisation des sources terrestres de pollution (par exemple, les décharges contrôlées, les décharges sauvages, les sites contaminés) contre les inondations causées par les submersions côtières et </w:t>
      </w:r>
      <w:r w:rsidR="00261F90" w:rsidRPr="00122ED1">
        <w:rPr>
          <w:rFonts w:cs="Arial"/>
          <w:lang w:val="fr-CH"/>
        </w:rPr>
        <w:t xml:space="preserve">les </w:t>
      </w:r>
      <w:r w:rsidRPr="00122ED1">
        <w:rPr>
          <w:rFonts w:cs="Arial"/>
          <w:lang w:val="fr-CH"/>
        </w:rPr>
        <w:t xml:space="preserve">ondes de tempête, les tempêtes extrêmes et </w:t>
      </w:r>
      <w:r w:rsidR="00261F90" w:rsidRPr="00122ED1">
        <w:rPr>
          <w:rFonts w:cs="Arial"/>
          <w:lang w:val="fr-CH"/>
        </w:rPr>
        <w:t xml:space="preserve">les </w:t>
      </w:r>
      <w:r w:rsidRPr="00122ED1">
        <w:rPr>
          <w:rFonts w:cs="Arial"/>
          <w:lang w:val="fr-CH"/>
        </w:rPr>
        <w:t>précipitations intenses et l’élévation du niveau de la mer ;</w:t>
      </w:r>
    </w:p>
    <w:p w14:paraId="6FAD042B" w14:textId="4FE1D65F" w:rsidR="009268CE" w:rsidRPr="00122ED1" w:rsidRDefault="009268CE" w:rsidP="00122ED1">
      <w:pPr>
        <w:pStyle w:val="ListParagraph"/>
        <w:numPr>
          <w:ilvl w:val="1"/>
          <w:numId w:val="12"/>
        </w:numPr>
        <w:spacing w:after="120"/>
        <w:ind w:left="964" w:hanging="397"/>
        <w:contextualSpacing w:val="0"/>
        <w:rPr>
          <w:rFonts w:cs="Arial"/>
          <w:lang w:val="fr-CH"/>
        </w:rPr>
      </w:pPr>
      <w:r w:rsidRPr="00122ED1">
        <w:rPr>
          <w:rFonts w:cs="Arial"/>
          <w:lang w:val="fr-CH"/>
        </w:rPr>
        <w:t xml:space="preserve">la prévention et </w:t>
      </w:r>
      <w:r w:rsidR="00261F90" w:rsidRPr="00122ED1">
        <w:rPr>
          <w:rFonts w:cs="Arial"/>
          <w:lang w:val="fr-CH"/>
        </w:rPr>
        <w:t xml:space="preserve">la réduction </w:t>
      </w:r>
      <w:r w:rsidRPr="00122ED1">
        <w:rPr>
          <w:rFonts w:cs="Arial"/>
          <w:lang w:val="fr-CH"/>
        </w:rPr>
        <w:t xml:space="preserve">des rejets de nutriments, </w:t>
      </w:r>
      <w:r w:rsidR="00261F90" w:rsidRPr="00122ED1">
        <w:rPr>
          <w:rFonts w:cs="Arial"/>
          <w:lang w:val="fr-CH"/>
        </w:rPr>
        <w:t xml:space="preserve">de la libération de contaminants stockés dans </w:t>
      </w:r>
      <w:r w:rsidRPr="00122ED1">
        <w:rPr>
          <w:rFonts w:cs="Arial"/>
          <w:lang w:val="fr-CH"/>
        </w:rPr>
        <w:t>de</w:t>
      </w:r>
      <w:r w:rsidR="00261F90" w:rsidRPr="00122ED1">
        <w:rPr>
          <w:rFonts w:cs="Arial"/>
          <w:lang w:val="fr-CH"/>
        </w:rPr>
        <w:t>s</w:t>
      </w:r>
      <w:r w:rsidRPr="00122ED1">
        <w:rPr>
          <w:rFonts w:cs="Arial"/>
          <w:lang w:val="fr-CH"/>
        </w:rPr>
        <w:t xml:space="preserve"> sédiments et </w:t>
      </w:r>
      <w:r w:rsidR="00261F90" w:rsidRPr="00122ED1">
        <w:rPr>
          <w:rFonts w:cs="Arial"/>
          <w:lang w:val="fr-CH"/>
        </w:rPr>
        <w:t xml:space="preserve">des </w:t>
      </w:r>
      <w:r w:rsidRPr="00122ED1">
        <w:rPr>
          <w:rFonts w:cs="Arial"/>
          <w:lang w:val="fr-CH"/>
        </w:rPr>
        <w:t xml:space="preserve">effluents </w:t>
      </w:r>
      <w:r w:rsidR="00261F90" w:rsidRPr="00122ED1">
        <w:rPr>
          <w:rFonts w:cs="Arial"/>
          <w:lang w:val="fr-CH"/>
        </w:rPr>
        <w:t xml:space="preserve">(par exemple, industriels ou individuels) </w:t>
      </w:r>
      <w:r w:rsidRPr="00122ED1">
        <w:rPr>
          <w:rFonts w:cs="Arial"/>
          <w:lang w:val="fr-CH"/>
        </w:rPr>
        <w:t>dans le milieu marin via les rivières, les estuaires</w:t>
      </w:r>
      <w:r w:rsidR="00261F90" w:rsidRPr="00122ED1">
        <w:rPr>
          <w:rFonts w:cs="Arial"/>
          <w:lang w:val="fr-CH"/>
        </w:rPr>
        <w:t xml:space="preserve">, les eaux soumises à l’action des marées et d’autres étendues d’eau similaires, </w:t>
      </w:r>
      <w:r w:rsidRPr="00122ED1">
        <w:rPr>
          <w:rFonts w:cs="Arial"/>
          <w:lang w:val="fr-CH"/>
        </w:rPr>
        <w:t>ou de manière directe ;</w:t>
      </w:r>
    </w:p>
    <w:p w14:paraId="5B85D9FC" w14:textId="17DD42DA" w:rsidR="009268CE" w:rsidRPr="00122ED1" w:rsidRDefault="009268CE" w:rsidP="00122ED1">
      <w:pPr>
        <w:pStyle w:val="ListParagraph"/>
        <w:numPr>
          <w:ilvl w:val="1"/>
          <w:numId w:val="12"/>
        </w:numPr>
        <w:spacing w:after="120"/>
        <w:ind w:left="964" w:hanging="397"/>
        <w:contextualSpacing w:val="0"/>
        <w:rPr>
          <w:rFonts w:cs="Arial"/>
          <w:lang w:val="fr-CH"/>
        </w:rPr>
      </w:pPr>
      <w:r w:rsidRPr="00122ED1">
        <w:rPr>
          <w:rFonts w:cs="Arial"/>
          <w:lang w:val="fr-CH"/>
        </w:rPr>
        <w:t xml:space="preserve">la prévention et </w:t>
      </w:r>
      <w:r w:rsidR="00261F90" w:rsidRPr="00122ED1">
        <w:rPr>
          <w:rFonts w:cs="Arial"/>
          <w:lang w:val="fr-CH"/>
        </w:rPr>
        <w:t xml:space="preserve">la réduction </w:t>
      </w:r>
      <w:r w:rsidRPr="00122ED1">
        <w:rPr>
          <w:rFonts w:cs="Arial"/>
          <w:lang w:val="fr-CH"/>
        </w:rPr>
        <w:t>des émissions, des déversements</w:t>
      </w:r>
      <w:r w:rsidR="00261F90" w:rsidRPr="00122ED1">
        <w:rPr>
          <w:rFonts w:cs="Arial"/>
          <w:lang w:val="fr-CH"/>
        </w:rPr>
        <w:t>,</w:t>
      </w:r>
      <w:r w:rsidRPr="00122ED1">
        <w:rPr>
          <w:rFonts w:cs="Arial"/>
          <w:lang w:val="fr-CH"/>
        </w:rPr>
        <w:t xml:space="preserve"> des fuites </w:t>
      </w:r>
      <w:r w:rsidR="00261F90" w:rsidRPr="00122ED1">
        <w:rPr>
          <w:rFonts w:cs="Arial"/>
          <w:lang w:val="fr-CH"/>
        </w:rPr>
        <w:t xml:space="preserve">et des rejets </w:t>
      </w:r>
      <w:r w:rsidRPr="00122ED1">
        <w:rPr>
          <w:rFonts w:cs="Arial"/>
          <w:lang w:val="fr-CH"/>
        </w:rPr>
        <w:t xml:space="preserve">provenant des industries côtières (par exemple, les industries pétrochimiques et de raffinage, </w:t>
      </w:r>
      <w:r w:rsidR="00454D05" w:rsidRPr="00122ED1">
        <w:rPr>
          <w:rFonts w:cs="Arial"/>
          <w:lang w:val="fr-CH"/>
        </w:rPr>
        <w:t xml:space="preserve">y compris les activités minières terrestres, </w:t>
      </w:r>
      <w:r w:rsidRPr="00122ED1">
        <w:rPr>
          <w:rFonts w:cs="Arial"/>
          <w:lang w:val="fr-CH"/>
        </w:rPr>
        <w:t xml:space="preserve">les oléoducs, les stations de transfert, les pétroliers), notamment lors des transferts de matériel, ainsi que des bases militaires abandonnées en tant que sources d’hydrocarbures aromatiques pétrogéniques et de polluants organiques persistants </w:t>
      </w:r>
      <w:r w:rsidRPr="00122ED1">
        <w:rPr>
          <w:rFonts w:eastAsia="Aptos" w:cs="Arial"/>
          <w:lang w:val="fr-CH"/>
        </w:rPr>
        <w:t>(</w:t>
      </w:r>
      <w:r w:rsidRPr="00122ED1">
        <w:rPr>
          <w:rFonts w:cs="Arial"/>
          <w:lang w:val="fr-CH"/>
        </w:rPr>
        <w:t xml:space="preserve">POP), comprenant principalement les </w:t>
      </w:r>
      <w:r w:rsidRPr="00122ED1">
        <w:rPr>
          <w:rFonts w:eastAsia="Aptos" w:cs="Arial"/>
          <w:lang w:val="fr-CH"/>
        </w:rPr>
        <w:t>polychlorobiphényles (</w:t>
      </w:r>
      <w:r w:rsidRPr="00122ED1">
        <w:rPr>
          <w:rFonts w:cs="Arial"/>
          <w:lang w:val="fr-CH"/>
        </w:rPr>
        <w:t>PCB) et les retardateurs de flamme (polybromodiphényléthers et substances per- et polyfluoroalkylées</w:t>
      </w:r>
      <w:r w:rsidRPr="00122ED1">
        <w:rPr>
          <w:rFonts w:eastAsia="Aptos" w:cs="Arial"/>
          <w:lang w:val="fr-CH"/>
        </w:rPr>
        <w:t xml:space="preserve"> [</w:t>
      </w:r>
      <w:r w:rsidRPr="00122ED1">
        <w:rPr>
          <w:rFonts w:cs="Arial"/>
          <w:lang w:val="fr-CH"/>
        </w:rPr>
        <w:t>SPFA</w:t>
      </w:r>
      <w:r w:rsidRPr="00122ED1">
        <w:rPr>
          <w:rFonts w:cs="Arial"/>
          <w:color w:val="000000" w:themeColor="text1"/>
          <w:lang w:val="fr-CH"/>
        </w:rPr>
        <w:t>]) ;</w:t>
      </w:r>
    </w:p>
    <w:p w14:paraId="390875D5" w14:textId="0B9849B2" w:rsidR="009268CE" w:rsidRPr="00122ED1" w:rsidRDefault="009268CE" w:rsidP="00122ED1">
      <w:pPr>
        <w:pStyle w:val="ListParagraph"/>
        <w:numPr>
          <w:ilvl w:val="1"/>
          <w:numId w:val="12"/>
        </w:numPr>
        <w:spacing w:after="120"/>
        <w:ind w:left="964" w:hanging="397"/>
        <w:contextualSpacing w:val="0"/>
        <w:rPr>
          <w:rFonts w:cs="Arial"/>
          <w:lang w:val="fr-CH"/>
        </w:rPr>
      </w:pPr>
      <w:r w:rsidRPr="00122ED1">
        <w:rPr>
          <w:rFonts w:cs="Arial"/>
          <w:lang w:val="fr-CH"/>
        </w:rPr>
        <w:t xml:space="preserve">la prévention et </w:t>
      </w:r>
      <w:r w:rsidR="00454D05" w:rsidRPr="00122ED1">
        <w:rPr>
          <w:rFonts w:cs="Arial"/>
          <w:lang w:val="fr-CH"/>
        </w:rPr>
        <w:t xml:space="preserve">la réduction </w:t>
      </w:r>
      <w:r w:rsidRPr="00122ED1">
        <w:rPr>
          <w:rFonts w:cs="Arial"/>
          <w:lang w:val="fr-CH"/>
        </w:rPr>
        <w:t>des déversements</w:t>
      </w:r>
      <w:r w:rsidR="00454D05" w:rsidRPr="00122ED1">
        <w:rPr>
          <w:rFonts w:cs="Arial"/>
          <w:lang w:val="fr-CH"/>
        </w:rPr>
        <w:t>,</w:t>
      </w:r>
      <w:r w:rsidRPr="00122ED1">
        <w:rPr>
          <w:rFonts w:cs="Arial"/>
          <w:lang w:val="fr-CH"/>
        </w:rPr>
        <w:t xml:space="preserve"> des pertes </w:t>
      </w:r>
      <w:r w:rsidR="00454D05" w:rsidRPr="00122ED1">
        <w:rPr>
          <w:rFonts w:cs="Arial"/>
          <w:lang w:val="fr-CH"/>
        </w:rPr>
        <w:t xml:space="preserve">et des rejets </w:t>
      </w:r>
      <w:r w:rsidRPr="00122ED1">
        <w:rPr>
          <w:rFonts w:cs="Arial"/>
          <w:lang w:val="fr-CH"/>
        </w:rPr>
        <w:t>de matières (premières) des navires pendant le transport et les transferts dans les ports, ainsi qu’à la suite d’accidents (par exemple, les déversements de granulés de plastique et d’autres types de plastiques, de carburant et d’hydrocarbures) ;</w:t>
      </w:r>
    </w:p>
    <w:p w14:paraId="149D4BB1" w14:textId="4DE30119" w:rsidR="009268CE" w:rsidRPr="00122ED1" w:rsidRDefault="009268CE" w:rsidP="00122ED1">
      <w:pPr>
        <w:pStyle w:val="ListParagraph"/>
        <w:numPr>
          <w:ilvl w:val="1"/>
          <w:numId w:val="12"/>
        </w:numPr>
        <w:spacing w:after="120"/>
        <w:ind w:left="964" w:hanging="397"/>
        <w:contextualSpacing w:val="0"/>
        <w:rPr>
          <w:rFonts w:cs="Arial"/>
          <w:lang w:val="fr-CH"/>
        </w:rPr>
      </w:pPr>
      <w:r w:rsidRPr="00122ED1">
        <w:rPr>
          <w:rFonts w:cs="Arial"/>
          <w:lang w:val="fr-CH"/>
        </w:rPr>
        <w:t>l</w:t>
      </w:r>
      <w:r w:rsidR="00454D05" w:rsidRPr="00122ED1">
        <w:rPr>
          <w:rFonts w:cs="Arial"/>
          <w:lang w:val="fr-CH"/>
        </w:rPr>
        <w:t xml:space="preserve">’intervention </w:t>
      </w:r>
      <w:r w:rsidRPr="00122ED1">
        <w:rPr>
          <w:rFonts w:cs="Arial"/>
          <w:lang w:val="fr-CH"/>
        </w:rPr>
        <w:t xml:space="preserve">rapide </w:t>
      </w:r>
      <w:r w:rsidR="00454D05" w:rsidRPr="00122ED1">
        <w:rPr>
          <w:rFonts w:cs="Arial"/>
          <w:lang w:val="fr-CH"/>
        </w:rPr>
        <w:t>concernant les polluants chimiques néfastes pour les espèces migrat</w:t>
      </w:r>
      <w:r w:rsidR="007C43A4" w:rsidRPr="00122ED1">
        <w:rPr>
          <w:rFonts w:cs="Arial"/>
          <w:lang w:val="fr-CH"/>
        </w:rPr>
        <w:t>rices</w:t>
      </w:r>
      <w:r w:rsidR="00454D05" w:rsidRPr="00122ED1">
        <w:rPr>
          <w:rFonts w:cs="Arial"/>
          <w:lang w:val="fr-CH"/>
        </w:rPr>
        <w:t>, notamment par la voie de la coopération avec les Conventions de Bâle, de Rotterdam et de Stockholm sur les produits chimiques interdits ou strictement limités par celles-ci </w:t>
      </w:r>
      <w:r w:rsidRPr="00122ED1">
        <w:rPr>
          <w:rFonts w:cs="Arial"/>
          <w:lang w:val="fr-CH"/>
        </w:rPr>
        <w:t>;</w:t>
      </w:r>
    </w:p>
    <w:p w14:paraId="716D7A92" w14:textId="18ADF7B9" w:rsidR="009268CE" w:rsidRPr="00122ED1" w:rsidRDefault="009268CE" w:rsidP="00122ED1">
      <w:pPr>
        <w:pStyle w:val="ListParagraph"/>
        <w:numPr>
          <w:ilvl w:val="1"/>
          <w:numId w:val="12"/>
        </w:numPr>
        <w:spacing w:after="120"/>
        <w:ind w:left="964" w:hanging="397"/>
        <w:contextualSpacing w:val="0"/>
        <w:rPr>
          <w:rFonts w:cs="Arial"/>
          <w:lang w:val="fr-CH"/>
        </w:rPr>
      </w:pPr>
      <w:r w:rsidRPr="00122ED1">
        <w:rPr>
          <w:rFonts w:cs="Arial"/>
          <w:lang w:val="fr-CH"/>
        </w:rPr>
        <w:t xml:space="preserve">la reconnaissance des SPFA en tant que menace transfrontalière émergente, désormais largement détectés chez les superprédateurs, et </w:t>
      </w:r>
      <w:r w:rsidR="00454D05" w:rsidRPr="00122ED1">
        <w:rPr>
          <w:rFonts w:cs="Arial"/>
          <w:lang w:val="fr-CH"/>
        </w:rPr>
        <w:t>toujours à l’examen et en partie réglementé</w:t>
      </w:r>
      <w:r w:rsidR="007C43A4" w:rsidRPr="00122ED1">
        <w:rPr>
          <w:rFonts w:cs="Arial"/>
          <w:lang w:val="fr-CH"/>
        </w:rPr>
        <w:t>s</w:t>
      </w:r>
      <w:r w:rsidR="00454D05" w:rsidRPr="00122ED1">
        <w:rPr>
          <w:rFonts w:cs="Arial"/>
          <w:lang w:val="fr-CH"/>
        </w:rPr>
        <w:t xml:space="preserve"> au titre des conventions de Bâle, de Rotterdam et de Stockholm</w:t>
      </w:r>
      <w:r w:rsidRPr="00122ED1">
        <w:rPr>
          <w:rFonts w:cs="Arial"/>
          <w:lang w:val="fr-CH"/>
        </w:rPr>
        <w:t>, notamment :</w:t>
      </w:r>
    </w:p>
    <w:p w14:paraId="100438DD" w14:textId="32120E0A" w:rsidR="009268CE" w:rsidRPr="00122ED1" w:rsidRDefault="009268CE" w:rsidP="00122ED1">
      <w:pPr>
        <w:pStyle w:val="ListParagraph"/>
        <w:numPr>
          <w:ilvl w:val="2"/>
          <w:numId w:val="11"/>
        </w:numPr>
        <w:spacing w:after="80"/>
        <w:ind w:left="1315" w:hanging="181"/>
        <w:contextualSpacing w:val="0"/>
        <w:rPr>
          <w:rFonts w:cs="Arial"/>
          <w:lang w:val="fr-CH"/>
        </w:rPr>
      </w:pPr>
      <w:r w:rsidRPr="00122ED1">
        <w:rPr>
          <w:rFonts w:cs="Arial"/>
          <w:lang w:val="fr-CH"/>
        </w:rPr>
        <w:lastRenderedPageBreak/>
        <w:t>en préconisant une action sur les SPFA connus pour leur persistance, leur potentiel de bioaccumulation</w:t>
      </w:r>
      <w:r w:rsidR="00340E45" w:rsidRPr="00122ED1">
        <w:rPr>
          <w:rFonts w:cs="Arial"/>
          <w:lang w:val="fr-CH"/>
        </w:rPr>
        <w:t>, leur toxicité</w:t>
      </w:r>
      <w:r w:rsidRPr="00122ED1">
        <w:rPr>
          <w:rFonts w:cs="Arial"/>
          <w:lang w:val="fr-CH"/>
        </w:rPr>
        <w:t xml:space="preserve"> et leur détection </w:t>
      </w:r>
      <w:r w:rsidR="00340E45" w:rsidRPr="00122ED1">
        <w:rPr>
          <w:rFonts w:cs="Arial"/>
          <w:lang w:val="fr-CH"/>
        </w:rPr>
        <w:t>chez</w:t>
      </w:r>
      <w:r w:rsidRPr="00122ED1">
        <w:rPr>
          <w:rFonts w:cs="Arial"/>
          <w:lang w:val="fr-CH"/>
        </w:rPr>
        <w:t xml:space="preserve"> les espèces migratrices ;</w:t>
      </w:r>
    </w:p>
    <w:p w14:paraId="42DE5418" w14:textId="77777777" w:rsidR="009268CE" w:rsidRPr="00122ED1" w:rsidRDefault="009268CE" w:rsidP="006A0F74">
      <w:pPr>
        <w:pStyle w:val="ListParagraph"/>
        <w:numPr>
          <w:ilvl w:val="2"/>
          <w:numId w:val="11"/>
        </w:numPr>
        <w:spacing w:after="120"/>
        <w:ind w:left="1315" w:hanging="181"/>
        <w:contextualSpacing w:val="0"/>
        <w:rPr>
          <w:rFonts w:cs="Arial"/>
          <w:lang w:val="fr-CH"/>
        </w:rPr>
      </w:pPr>
      <w:r w:rsidRPr="00122ED1">
        <w:rPr>
          <w:rFonts w:cs="Arial"/>
          <w:lang w:val="fr-CH"/>
        </w:rPr>
        <w:t>en appelant à une surveillance harmonisée des SPFA chez les espèces migratrices ;</w:t>
      </w:r>
    </w:p>
    <w:p w14:paraId="664CFECC" w14:textId="36E0393A" w:rsidR="009268CE" w:rsidRPr="00122ED1" w:rsidRDefault="009268CE" w:rsidP="00122ED1">
      <w:pPr>
        <w:pStyle w:val="ListParagraph"/>
        <w:numPr>
          <w:ilvl w:val="1"/>
          <w:numId w:val="12"/>
        </w:numPr>
        <w:ind w:left="964" w:hanging="397"/>
        <w:contextualSpacing w:val="0"/>
        <w:rPr>
          <w:rFonts w:cs="Arial"/>
          <w:lang w:val="fr-CH"/>
        </w:rPr>
      </w:pPr>
      <w:r w:rsidRPr="00122ED1">
        <w:rPr>
          <w:rFonts w:cs="Arial"/>
          <w:lang w:val="fr-CH"/>
        </w:rPr>
        <w:t>la réglementation et la diminution de la pollution engendrée par la pêche et le trafic maritime, notamment les engins de pêche abandonnés, perdus ou rejetés et autres formes de pollution provenant de</w:t>
      </w:r>
      <w:r w:rsidR="00ED0DEE" w:rsidRPr="00122ED1">
        <w:rPr>
          <w:rFonts w:cs="Arial"/>
          <w:lang w:val="fr-CH"/>
        </w:rPr>
        <w:t xml:space="preserve"> navires, notamment le rejet de déchets et de détritus, les rejets des laveurs de gaz chimique, les produits chimiques toxiques ou les microplastiques utilisés dans les peintures pour bateaux, les effets physiques et d’autre nature tels que le bruit, l’air et la pollution lumineuse, compte tenu des besoins et des circonstances particulières de ceux qui pratiquent la pêche artisanale et les petits pêcheurs, et conformément aux engagements internationaux respectifs</w:t>
      </w:r>
      <w:r w:rsidRPr="00122ED1">
        <w:rPr>
          <w:rFonts w:cs="Arial"/>
          <w:lang w:val="fr-CH"/>
        </w:rPr>
        <w:t> ;</w:t>
      </w:r>
    </w:p>
    <w:p w14:paraId="32D7CF65" w14:textId="77777777" w:rsidR="009268CE" w:rsidRPr="00122ED1" w:rsidRDefault="009268CE" w:rsidP="00122ED1">
      <w:pPr>
        <w:pStyle w:val="ListParagraph"/>
        <w:ind w:left="1440"/>
        <w:contextualSpacing w:val="0"/>
        <w:rPr>
          <w:rFonts w:cs="Arial"/>
          <w:lang w:val="fr-CH"/>
        </w:rPr>
      </w:pPr>
    </w:p>
    <w:p w14:paraId="1C3C3620" w14:textId="599EDD63" w:rsidR="009268CE" w:rsidRPr="00122ED1" w:rsidRDefault="009268CE" w:rsidP="00122ED1">
      <w:pPr>
        <w:pStyle w:val="ListParagraph"/>
        <w:numPr>
          <w:ilvl w:val="0"/>
          <w:numId w:val="11"/>
        </w:numPr>
        <w:ind w:left="567" w:hanging="567"/>
        <w:contextualSpacing w:val="0"/>
        <w:rPr>
          <w:rFonts w:cs="Arial"/>
          <w:lang w:val="fr-CH"/>
        </w:rPr>
      </w:pPr>
      <w:r w:rsidRPr="00122ED1">
        <w:rPr>
          <w:rFonts w:cs="Arial"/>
          <w:i/>
          <w:iCs/>
          <w:lang w:val="fr-CH"/>
        </w:rPr>
        <w:t>Prie instamment</w:t>
      </w:r>
      <w:r w:rsidRPr="00122ED1">
        <w:rPr>
          <w:rFonts w:cs="Arial"/>
          <w:lang w:val="fr-CH"/>
        </w:rPr>
        <w:t xml:space="preserve"> </w:t>
      </w:r>
      <w:r w:rsidR="00ED0DEE" w:rsidRPr="00122ED1">
        <w:rPr>
          <w:rFonts w:cs="Arial"/>
          <w:lang w:val="fr-CH"/>
        </w:rPr>
        <w:t xml:space="preserve">également </w:t>
      </w:r>
      <w:r w:rsidRPr="00122ED1">
        <w:rPr>
          <w:rFonts w:cs="Arial"/>
          <w:lang w:val="fr-CH"/>
        </w:rPr>
        <w:t>les Parties d’élaborer des stratégies de conservation pour les animaux migrateurs afin de s’attaquer à la pollution, notamment pendant les étapes particulièrement vulnérables du cycle migratoire, notamment dans les zones de recherche de nourriture et d’alimentation, dans les zones où la reproduction a lieu, dans les corridors de migration (notamment le long des côtes) et les corridors biologiques régionaux, et, le cas échéant, pendant les étapes de vie océanique (par exemple, dans le cas des tortues de mer) ;</w:t>
      </w:r>
    </w:p>
    <w:p w14:paraId="4CF53AB2" w14:textId="77777777" w:rsidR="009268CE" w:rsidRPr="00122ED1" w:rsidRDefault="009268CE" w:rsidP="00122ED1">
      <w:pPr>
        <w:pStyle w:val="ListParagraph"/>
        <w:ind w:left="567" w:hanging="567"/>
        <w:contextualSpacing w:val="0"/>
        <w:rPr>
          <w:rFonts w:cs="Arial"/>
          <w:lang w:val="fr-CH"/>
        </w:rPr>
      </w:pPr>
    </w:p>
    <w:p w14:paraId="76D9AD08" w14:textId="5A9163EB" w:rsidR="009268CE" w:rsidRPr="00122ED1" w:rsidRDefault="009268CE" w:rsidP="00122ED1">
      <w:pPr>
        <w:pStyle w:val="ListParagraph"/>
        <w:numPr>
          <w:ilvl w:val="0"/>
          <w:numId w:val="11"/>
        </w:numPr>
        <w:ind w:left="567" w:hanging="567"/>
        <w:contextualSpacing w:val="0"/>
        <w:rPr>
          <w:rFonts w:cs="Arial"/>
          <w:lang w:val="fr-CH"/>
        </w:rPr>
      </w:pPr>
      <w:r w:rsidRPr="00122ED1">
        <w:rPr>
          <w:rFonts w:cs="Arial"/>
          <w:i/>
          <w:lang w:val="fr-CH"/>
        </w:rPr>
        <w:t xml:space="preserve">Invite </w:t>
      </w:r>
      <w:r w:rsidRPr="00122ED1">
        <w:rPr>
          <w:rFonts w:cs="Arial"/>
          <w:iCs/>
          <w:lang w:val="fr-CH"/>
        </w:rPr>
        <w:t>les</w:t>
      </w:r>
      <w:r w:rsidRPr="00122ED1">
        <w:rPr>
          <w:rFonts w:cs="Arial"/>
          <w:lang w:val="fr-CH"/>
        </w:rPr>
        <w:t xml:space="preserve"> Parties à accorder la priorité à </w:t>
      </w:r>
      <w:r w:rsidR="00ED0DEE" w:rsidRPr="00122ED1">
        <w:rPr>
          <w:rFonts w:cs="Arial"/>
          <w:lang w:val="fr-CH"/>
        </w:rPr>
        <w:t>l’adoption</w:t>
      </w:r>
      <w:r w:rsidRPr="00122ED1">
        <w:rPr>
          <w:rFonts w:cs="Arial"/>
          <w:lang w:val="fr-CH"/>
        </w:rPr>
        <w:t xml:space="preserve"> de mesures </w:t>
      </w:r>
      <w:r w:rsidR="00ED0DEE" w:rsidRPr="00122ED1">
        <w:rPr>
          <w:rFonts w:cs="Arial"/>
          <w:lang w:val="fr-CH"/>
        </w:rPr>
        <w:t>efficaces</w:t>
      </w:r>
      <w:r w:rsidRPr="00122ED1">
        <w:rPr>
          <w:rFonts w:cs="Arial"/>
          <w:lang w:val="fr-CH"/>
        </w:rPr>
        <w:t xml:space="preserve"> et durables dans les zones où les habitats critiques se chevauchent avec les points chauds de la pollution, y compris :</w:t>
      </w:r>
    </w:p>
    <w:p w14:paraId="17CFFB1A" w14:textId="77777777" w:rsidR="009268CE" w:rsidRPr="00122ED1" w:rsidRDefault="009268CE" w:rsidP="00122ED1">
      <w:pPr>
        <w:pStyle w:val="ListParagraph"/>
        <w:contextualSpacing w:val="0"/>
        <w:rPr>
          <w:rFonts w:cs="Arial"/>
          <w:lang w:val="fr-CH"/>
        </w:rPr>
      </w:pPr>
    </w:p>
    <w:p w14:paraId="20E0DD34" w14:textId="6FD2B451" w:rsidR="009268CE" w:rsidRPr="00122ED1" w:rsidRDefault="009268CE" w:rsidP="00122ED1">
      <w:pPr>
        <w:pStyle w:val="ListParagraph"/>
        <w:numPr>
          <w:ilvl w:val="1"/>
          <w:numId w:val="14"/>
        </w:numPr>
        <w:spacing w:after="120"/>
        <w:ind w:left="964" w:hanging="397"/>
        <w:contextualSpacing w:val="0"/>
        <w:rPr>
          <w:rFonts w:cs="Arial"/>
          <w:lang w:val="fr-CH"/>
        </w:rPr>
      </w:pPr>
      <w:r w:rsidRPr="00122ED1">
        <w:rPr>
          <w:rFonts w:cs="Arial"/>
          <w:lang w:val="fr-CH"/>
        </w:rPr>
        <w:t xml:space="preserve">les zones côtières, notamment à proximité des zones industrielles, des villes et des sources de pollution, et en ce qui concerne les macroplastiques, les métaux-traces, les produits pharmaceutiques et </w:t>
      </w:r>
      <w:r w:rsidR="00ED0DEE" w:rsidRPr="00122ED1">
        <w:rPr>
          <w:rFonts w:cs="Arial"/>
          <w:lang w:val="fr-CH"/>
        </w:rPr>
        <w:t>d’hygiène</w:t>
      </w:r>
      <w:r w:rsidRPr="00122ED1">
        <w:rPr>
          <w:rFonts w:cs="Arial"/>
          <w:lang w:val="fr-CH"/>
        </w:rPr>
        <w:t xml:space="preserve"> personnel</w:t>
      </w:r>
      <w:r w:rsidR="00ED0DEE" w:rsidRPr="00122ED1">
        <w:rPr>
          <w:rFonts w:cs="Arial"/>
          <w:lang w:val="fr-CH"/>
        </w:rPr>
        <w:t>le</w:t>
      </w:r>
      <w:r w:rsidRPr="00122ED1">
        <w:rPr>
          <w:rFonts w:cs="Arial"/>
          <w:lang w:val="fr-CH"/>
        </w:rPr>
        <w:t>, la pollution chimique et la pollution lumineuse ;</w:t>
      </w:r>
    </w:p>
    <w:p w14:paraId="6D92D5AD" w14:textId="77777777" w:rsidR="009268CE" w:rsidRPr="00122ED1" w:rsidRDefault="009268CE" w:rsidP="00122ED1">
      <w:pPr>
        <w:pStyle w:val="ListParagraph"/>
        <w:numPr>
          <w:ilvl w:val="1"/>
          <w:numId w:val="14"/>
        </w:numPr>
        <w:spacing w:after="120"/>
        <w:ind w:left="964" w:hanging="397"/>
        <w:contextualSpacing w:val="0"/>
        <w:rPr>
          <w:rFonts w:cs="Arial"/>
          <w:lang w:val="fr-CH"/>
        </w:rPr>
      </w:pPr>
      <w:r w:rsidRPr="00122ED1">
        <w:rPr>
          <w:rFonts w:cs="Arial"/>
          <w:lang w:val="fr-CH"/>
        </w:rPr>
        <w:t>les grands gyres océaniques, ainsi que d’autres « pièges écologiques » possibles, notamment les zones frontales ;</w:t>
      </w:r>
    </w:p>
    <w:p w14:paraId="351C3A1F" w14:textId="77777777" w:rsidR="009268CE" w:rsidRPr="00122ED1" w:rsidRDefault="009268CE" w:rsidP="00122ED1">
      <w:pPr>
        <w:pStyle w:val="ListParagraph"/>
        <w:numPr>
          <w:ilvl w:val="1"/>
          <w:numId w:val="14"/>
        </w:numPr>
        <w:spacing w:after="120"/>
        <w:ind w:left="964" w:hanging="397"/>
        <w:contextualSpacing w:val="0"/>
        <w:rPr>
          <w:rFonts w:cs="Arial"/>
          <w:lang w:val="fr-CH"/>
        </w:rPr>
      </w:pPr>
      <w:r w:rsidRPr="00122ED1">
        <w:rPr>
          <w:rFonts w:cs="Arial"/>
          <w:lang w:val="fr-CH"/>
        </w:rPr>
        <w:t>les zones de haute mer où se superposent les activités de nourrissage, la forte productivité, la biodiversité et la pollution plastique ;</w:t>
      </w:r>
    </w:p>
    <w:p w14:paraId="16EE7CDF" w14:textId="77777777" w:rsidR="009268CE" w:rsidRPr="00122ED1" w:rsidRDefault="009268CE" w:rsidP="00122ED1">
      <w:pPr>
        <w:pStyle w:val="ListParagraph"/>
        <w:numPr>
          <w:ilvl w:val="1"/>
          <w:numId w:val="14"/>
        </w:numPr>
        <w:spacing w:after="120"/>
        <w:ind w:left="964" w:hanging="397"/>
        <w:contextualSpacing w:val="0"/>
        <w:rPr>
          <w:rFonts w:cs="Arial"/>
          <w:lang w:val="fr-CH"/>
        </w:rPr>
      </w:pPr>
      <w:r w:rsidRPr="00122ED1">
        <w:rPr>
          <w:rFonts w:cs="Arial"/>
          <w:lang w:val="fr-CH"/>
        </w:rPr>
        <w:t>les corridors migratoires, notamment le long des côtes (en notant que certains itinéraires migratoires évoluent déjà en raison des changements climatiques) et les corridors migratoires des paysages marins océaniques (par exemple, le Corridor marin du Pacifique tropical oriental) ;</w:t>
      </w:r>
    </w:p>
    <w:p w14:paraId="56394709" w14:textId="015C84C9" w:rsidR="009268CE" w:rsidRPr="00122ED1" w:rsidRDefault="009268CE" w:rsidP="00122ED1">
      <w:pPr>
        <w:pStyle w:val="ListParagraph"/>
        <w:numPr>
          <w:ilvl w:val="1"/>
          <w:numId w:val="14"/>
        </w:numPr>
        <w:spacing w:after="120"/>
        <w:ind w:left="964" w:hanging="397"/>
        <w:contextualSpacing w:val="0"/>
        <w:rPr>
          <w:rFonts w:cs="Arial"/>
          <w:lang w:val="fr-CH"/>
        </w:rPr>
      </w:pPr>
      <w:r w:rsidRPr="00122ED1">
        <w:rPr>
          <w:rFonts w:cs="Arial"/>
          <w:lang w:val="fr-CH"/>
        </w:rPr>
        <w:t>la zone de Clarion-Clipperton ;</w:t>
      </w:r>
    </w:p>
    <w:p w14:paraId="6E66FDCE" w14:textId="77777777" w:rsidR="009268CE" w:rsidRPr="00122ED1" w:rsidRDefault="009268CE" w:rsidP="00122ED1">
      <w:pPr>
        <w:pStyle w:val="ListParagraph"/>
        <w:numPr>
          <w:ilvl w:val="1"/>
          <w:numId w:val="14"/>
        </w:numPr>
        <w:spacing w:after="120"/>
        <w:ind w:left="964" w:hanging="397"/>
        <w:contextualSpacing w:val="0"/>
        <w:rPr>
          <w:rFonts w:cs="Arial"/>
          <w:lang w:val="fr-CH"/>
        </w:rPr>
      </w:pPr>
      <w:r w:rsidRPr="00122ED1">
        <w:rPr>
          <w:rFonts w:cs="Arial"/>
          <w:lang w:val="fr-CH"/>
        </w:rPr>
        <w:t>la mer Méditerranée ;</w:t>
      </w:r>
    </w:p>
    <w:p w14:paraId="0023CA5E" w14:textId="77777777" w:rsidR="009268CE" w:rsidRPr="00122ED1" w:rsidRDefault="009268CE" w:rsidP="00122ED1">
      <w:pPr>
        <w:pStyle w:val="ListParagraph"/>
        <w:numPr>
          <w:ilvl w:val="1"/>
          <w:numId w:val="14"/>
        </w:numPr>
        <w:spacing w:after="120"/>
        <w:ind w:left="964" w:hanging="397"/>
        <w:contextualSpacing w:val="0"/>
        <w:rPr>
          <w:rFonts w:cs="Arial"/>
          <w:lang w:val="fr-CH"/>
        </w:rPr>
      </w:pPr>
      <w:r w:rsidRPr="00122ED1">
        <w:rPr>
          <w:rFonts w:cs="Arial"/>
          <w:lang w:val="fr-CH"/>
        </w:rPr>
        <w:t>les océans Pacifique Nord et Atlantique Nord ;</w:t>
      </w:r>
    </w:p>
    <w:p w14:paraId="78171571" w14:textId="77777777" w:rsidR="009268CE" w:rsidRPr="00122ED1" w:rsidRDefault="009268CE" w:rsidP="00122ED1">
      <w:pPr>
        <w:pStyle w:val="ListParagraph"/>
        <w:numPr>
          <w:ilvl w:val="1"/>
          <w:numId w:val="14"/>
        </w:numPr>
        <w:ind w:left="964" w:hanging="397"/>
        <w:contextualSpacing w:val="0"/>
        <w:rPr>
          <w:rFonts w:cs="Arial"/>
          <w:lang w:val="fr-CH"/>
        </w:rPr>
      </w:pPr>
      <w:r w:rsidRPr="00122ED1">
        <w:rPr>
          <w:rFonts w:cs="Arial"/>
          <w:lang w:val="fr-CH"/>
        </w:rPr>
        <w:t>l’océan Indien oriental et l’Asie du Sud-Est ;</w:t>
      </w:r>
    </w:p>
    <w:p w14:paraId="289E9115" w14:textId="77777777" w:rsidR="009268CE" w:rsidRPr="00122ED1" w:rsidRDefault="009268CE" w:rsidP="00122ED1">
      <w:pPr>
        <w:jc w:val="both"/>
        <w:rPr>
          <w:rFonts w:ascii="Arial" w:hAnsi="Arial" w:cs="Arial"/>
          <w:color w:val="000000" w:themeColor="text1"/>
          <w:sz w:val="22"/>
          <w:szCs w:val="22"/>
          <w:lang w:val="fr-CH"/>
        </w:rPr>
      </w:pPr>
    </w:p>
    <w:p w14:paraId="66308C3F" w14:textId="7821FD74" w:rsidR="009268CE" w:rsidRPr="00122ED1" w:rsidRDefault="009268CE" w:rsidP="00122ED1">
      <w:pPr>
        <w:pStyle w:val="ListParagraph"/>
        <w:numPr>
          <w:ilvl w:val="0"/>
          <w:numId w:val="11"/>
        </w:numPr>
        <w:ind w:left="567" w:hanging="567"/>
        <w:contextualSpacing w:val="0"/>
        <w:rPr>
          <w:rFonts w:cs="Arial"/>
          <w:color w:val="000000" w:themeColor="text1"/>
          <w:lang w:val="fr-CH"/>
        </w:rPr>
      </w:pPr>
      <w:r w:rsidRPr="00122ED1">
        <w:rPr>
          <w:rFonts w:cs="Arial"/>
          <w:i/>
          <w:iCs/>
          <w:color w:val="000000" w:themeColor="text1"/>
          <w:lang w:val="fr-CH"/>
        </w:rPr>
        <w:t>Prie instamment</w:t>
      </w:r>
      <w:r w:rsidRPr="00122ED1">
        <w:rPr>
          <w:rFonts w:cs="Arial"/>
          <w:color w:val="000000" w:themeColor="text1"/>
          <w:lang w:val="fr-CH"/>
        </w:rPr>
        <w:t xml:space="preserve"> les Parties de veiller à ce que </w:t>
      </w:r>
      <w:r w:rsidR="00D80CF4" w:rsidRPr="00122ED1">
        <w:rPr>
          <w:rFonts w:cs="Arial"/>
          <w:color w:val="000000" w:themeColor="text1"/>
          <w:lang w:val="fr-CH"/>
        </w:rPr>
        <w:t>la pollution n’entraîne pas le déplacement d</w:t>
      </w:r>
      <w:r w:rsidRPr="00122ED1">
        <w:rPr>
          <w:rFonts w:cs="Arial"/>
          <w:color w:val="000000" w:themeColor="text1"/>
          <w:lang w:val="fr-CH"/>
        </w:rPr>
        <w:t xml:space="preserve">es espèces migratrices </w:t>
      </w:r>
      <w:r w:rsidR="00D80CF4" w:rsidRPr="00122ED1">
        <w:rPr>
          <w:rFonts w:cs="Arial"/>
          <w:color w:val="000000" w:themeColor="text1"/>
          <w:lang w:val="fr-CH"/>
        </w:rPr>
        <w:t>d’</w:t>
      </w:r>
      <w:r w:rsidRPr="00122ED1">
        <w:rPr>
          <w:rFonts w:cs="Arial"/>
          <w:color w:val="000000" w:themeColor="text1"/>
          <w:lang w:val="fr-CH"/>
        </w:rPr>
        <w:t>habitats critiques</w:t>
      </w:r>
      <w:r w:rsidR="00D80CF4" w:rsidRPr="00122ED1">
        <w:rPr>
          <w:rFonts w:cs="Arial"/>
          <w:color w:val="000000" w:themeColor="text1"/>
          <w:lang w:val="fr-CH"/>
        </w:rPr>
        <w:t xml:space="preserve"> ni n’ai</w:t>
      </w:r>
      <w:r w:rsidR="00AB1EEE" w:rsidRPr="00122ED1">
        <w:rPr>
          <w:rFonts w:cs="Arial"/>
          <w:color w:val="000000" w:themeColor="text1"/>
          <w:lang w:val="fr-CH"/>
        </w:rPr>
        <w:t>t</w:t>
      </w:r>
      <w:r w:rsidR="00D80CF4" w:rsidRPr="00122ED1">
        <w:rPr>
          <w:rFonts w:cs="Arial"/>
          <w:color w:val="000000" w:themeColor="text1"/>
          <w:lang w:val="fr-CH"/>
        </w:rPr>
        <w:t xml:space="preserve"> des effets néfastes sur le long terme sur les comportements naturels ou les processus biologiques</w:t>
      </w:r>
      <w:r w:rsidR="007C43A4" w:rsidRPr="00122ED1">
        <w:rPr>
          <w:rFonts w:cs="Arial"/>
          <w:color w:val="000000" w:themeColor="text1"/>
          <w:lang w:val="fr-CH"/>
        </w:rPr>
        <w:t>,</w:t>
      </w:r>
      <w:r w:rsidRPr="00122ED1">
        <w:rPr>
          <w:rFonts w:cs="Arial"/>
          <w:color w:val="000000" w:themeColor="text1"/>
          <w:lang w:val="fr-CH"/>
        </w:rPr>
        <w:t xml:space="preserve"> tels que la recherche de nourriture, la reproduction et la migration ;</w:t>
      </w:r>
    </w:p>
    <w:p w14:paraId="6F8140E0" w14:textId="16F4DBD4" w:rsidR="006A0F74" w:rsidRDefault="006A0F74" w:rsidP="00122ED1">
      <w:pPr>
        <w:jc w:val="both"/>
        <w:rPr>
          <w:rFonts w:ascii="Arial" w:hAnsi="Arial" w:cs="Arial"/>
          <w:color w:val="000000" w:themeColor="text1"/>
          <w:sz w:val="22"/>
          <w:szCs w:val="22"/>
          <w:lang w:val="fr-CH"/>
        </w:rPr>
      </w:pPr>
      <w:r>
        <w:rPr>
          <w:rFonts w:ascii="Arial" w:hAnsi="Arial" w:cs="Arial"/>
          <w:color w:val="000000" w:themeColor="text1"/>
          <w:sz w:val="22"/>
          <w:szCs w:val="22"/>
          <w:lang w:val="fr-CH"/>
        </w:rPr>
        <w:br w:type="page"/>
      </w:r>
    </w:p>
    <w:p w14:paraId="4CA2B21B" w14:textId="3786A239" w:rsidR="009268CE" w:rsidRPr="00122ED1" w:rsidRDefault="009268CE" w:rsidP="00122ED1">
      <w:pPr>
        <w:pStyle w:val="ListParagraph"/>
        <w:numPr>
          <w:ilvl w:val="0"/>
          <w:numId w:val="11"/>
        </w:numPr>
        <w:ind w:left="567" w:hanging="567"/>
        <w:contextualSpacing w:val="0"/>
        <w:rPr>
          <w:rFonts w:cs="Arial"/>
          <w:lang w:val="fr-CH"/>
        </w:rPr>
      </w:pPr>
      <w:r w:rsidRPr="00122ED1">
        <w:rPr>
          <w:rFonts w:cs="Arial"/>
          <w:i/>
          <w:iCs/>
          <w:lang w:val="fr-CH"/>
        </w:rPr>
        <w:lastRenderedPageBreak/>
        <w:t xml:space="preserve">Encourage </w:t>
      </w:r>
      <w:r w:rsidRPr="00122ED1">
        <w:rPr>
          <w:rFonts w:cs="Arial"/>
          <w:lang w:val="fr-CH"/>
        </w:rPr>
        <w:t xml:space="preserve">les Parties à reconnaître et à élaborer des plans de conservation dédiés (tels que des plans d’action spécifiques à une </w:t>
      </w:r>
      <w:r w:rsidR="00D80CF4" w:rsidRPr="00122ED1">
        <w:rPr>
          <w:rFonts w:cs="Arial"/>
          <w:lang w:val="fr-CH"/>
        </w:rPr>
        <w:t xml:space="preserve">ou à plusieurs </w:t>
      </w:r>
      <w:r w:rsidRPr="00122ED1">
        <w:rPr>
          <w:rFonts w:cs="Arial"/>
          <w:lang w:val="fr-CH"/>
        </w:rPr>
        <w:t>espèce</w:t>
      </w:r>
      <w:r w:rsidR="00D80CF4" w:rsidRPr="00122ED1">
        <w:rPr>
          <w:rFonts w:cs="Arial"/>
          <w:lang w:val="fr-CH"/>
        </w:rPr>
        <w:t>s et les plans de gestion de la conservation</w:t>
      </w:r>
      <w:r w:rsidRPr="00122ED1">
        <w:rPr>
          <w:rFonts w:cs="Arial"/>
          <w:lang w:val="fr-CH"/>
        </w:rPr>
        <w:t>) afin d’atténuer la vulnérabilité des espèces migratrices face aux menaces combinées des polluants chimiques et des perturbations des repères de migration</w:t>
      </w:r>
      <w:r w:rsidR="00D80CF4" w:rsidRPr="00122ED1">
        <w:rPr>
          <w:rFonts w:cs="Arial"/>
          <w:lang w:val="fr-CH"/>
        </w:rPr>
        <w:t>, ainsi que d’autres pressions exercées à l’échelle mondiale</w:t>
      </w:r>
      <w:r w:rsidRPr="00122ED1">
        <w:rPr>
          <w:rFonts w:cs="Arial"/>
          <w:lang w:val="fr-CH"/>
        </w:rPr>
        <w:t> ;</w:t>
      </w:r>
    </w:p>
    <w:p w14:paraId="1897A2D5" w14:textId="77777777" w:rsidR="009268CE" w:rsidRPr="00122ED1" w:rsidRDefault="009268CE" w:rsidP="00122ED1">
      <w:pPr>
        <w:pStyle w:val="ListParagraph"/>
        <w:ind w:left="567" w:hanging="567"/>
        <w:contextualSpacing w:val="0"/>
        <w:rPr>
          <w:rFonts w:cs="Arial"/>
          <w:lang w:val="fr-CH"/>
        </w:rPr>
      </w:pPr>
    </w:p>
    <w:p w14:paraId="3B25C838" w14:textId="7C550D94" w:rsidR="009268CE" w:rsidRPr="00122ED1" w:rsidRDefault="009268CE" w:rsidP="00122ED1">
      <w:pPr>
        <w:pStyle w:val="ListParagraph"/>
        <w:numPr>
          <w:ilvl w:val="0"/>
          <w:numId w:val="11"/>
        </w:numPr>
        <w:ind w:left="567" w:hanging="567"/>
        <w:contextualSpacing w:val="0"/>
        <w:rPr>
          <w:rFonts w:cs="Arial"/>
          <w:lang w:val="fr-CH"/>
        </w:rPr>
      </w:pPr>
      <w:r w:rsidRPr="00122ED1">
        <w:rPr>
          <w:rFonts w:cs="Arial"/>
          <w:i/>
          <w:iCs/>
          <w:lang w:val="fr-CH"/>
        </w:rPr>
        <w:t xml:space="preserve">Incite </w:t>
      </w:r>
      <w:r w:rsidRPr="00122ED1">
        <w:rPr>
          <w:rFonts w:cs="Arial"/>
          <w:lang w:val="fr-CH"/>
        </w:rPr>
        <w:t>les Parties et</w:t>
      </w:r>
      <w:r w:rsidRPr="00122ED1">
        <w:rPr>
          <w:rFonts w:cs="Arial"/>
          <w:i/>
          <w:iCs/>
          <w:lang w:val="fr-CH"/>
        </w:rPr>
        <w:t xml:space="preserve"> invite</w:t>
      </w:r>
      <w:r w:rsidRPr="00122ED1">
        <w:rPr>
          <w:rFonts w:cs="Arial"/>
          <w:lang w:val="fr-CH"/>
        </w:rPr>
        <w:t xml:space="preserve"> les non-Parties à intégrer explicitement l</w:t>
      </w:r>
      <w:r w:rsidR="00D80CF4" w:rsidRPr="00122ED1">
        <w:rPr>
          <w:rFonts w:cs="Arial"/>
          <w:lang w:val="fr-CH"/>
        </w:rPr>
        <w:t>e fait que les</w:t>
      </w:r>
      <w:r w:rsidRPr="00122ED1">
        <w:rPr>
          <w:rFonts w:cs="Arial"/>
          <w:lang w:val="fr-CH"/>
        </w:rPr>
        <w:t xml:space="preserve"> menaces anthropiques pesant sur les espèces migratrices </w:t>
      </w:r>
      <w:r w:rsidR="00D80CF4" w:rsidRPr="00122ED1">
        <w:rPr>
          <w:rFonts w:cs="Arial"/>
          <w:lang w:val="fr-CH"/>
        </w:rPr>
        <w:t xml:space="preserve">se cumulent, ont des effets de synergie et interagissent </w:t>
      </w:r>
      <w:r w:rsidRPr="00122ED1">
        <w:rPr>
          <w:rFonts w:cs="Arial"/>
          <w:lang w:val="fr-CH"/>
        </w:rPr>
        <w:t>(notamment entre la pollution marine et le changement climatique) dans leurs analyses de risque, leurs évaluations d’impact et leurs plans de conservation ;</w:t>
      </w:r>
    </w:p>
    <w:p w14:paraId="337EEDC0" w14:textId="77777777" w:rsidR="009268CE" w:rsidRPr="00122ED1" w:rsidRDefault="009268CE" w:rsidP="00122ED1">
      <w:pPr>
        <w:pStyle w:val="ListParagraph"/>
        <w:ind w:left="567" w:hanging="567"/>
        <w:contextualSpacing w:val="0"/>
        <w:rPr>
          <w:rFonts w:cs="Arial"/>
          <w:lang w:val="fr-CH"/>
        </w:rPr>
      </w:pPr>
    </w:p>
    <w:p w14:paraId="2773BDB0" w14:textId="77777777" w:rsidR="009268CE" w:rsidRDefault="009268CE" w:rsidP="00122ED1">
      <w:pPr>
        <w:pStyle w:val="ListParagraph"/>
        <w:numPr>
          <w:ilvl w:val="0"/>
          <w:numId w:val="11"/>
        </w:numPr>
        <w:ind w:left="567" w:hanging="567"/>
        <w:contextualSpacing w:val="0"/>
        <w:rPr>
          <w:rFonts w:cs="Arial"/>
          <w:lang w:val="fr-CH"/>
        </w:rPr>
      </w:pPr>
      <w:r w:rsidRPr="00122ED1">
        <w:rPr>
          <w:rFonts w:cs="Arial"/>
          <w:i/>
          <w:iCs/>
          <w:lang w:val="fr-CH"/>
        </w:rPr>
        <w:t xml:space="preserve">Encourage </w:t>
      </w:r>
      <w:r w:rsidRPr="00122ED1">
        <w:rPr>
          <w:rFonts w:cs="Arial"/>
          <w:lang w:val="fr-CH"/>
        </w:rPr>
        <w:t>les Parties à favoriser l’adoption de cadres de surveillance qui dépassent les seuils de concentration chimique traditionnels, pour se concentrer sur les effets biologiques des mélanges de polluants sur les espèces migratrices ;</w:t>
      </w:r>
    </w:p>
    <w:p w14:paraId="67FB1B84" w14:textId="77777777" w:rsidR="006A0F74" w:rsidRPr="00122ED1" w:rsidRDefault="006A0F74" w:rsidP="006A0F74">
      <w:pPr>
        <w:pStyle w:val="ListParagraph"/>
        <w:ind w:left="567"/>
        <w:contextualSpacing w:val="0"/>
        <w:rPr>
          <w:rFonts w:cs="Arial"/>
          <w:lang w:val="fr-CH"/>
        </w:rPr>
      </w:pPr>
    </w:p>
    <w:p w14:paraId="35551700" w14:textId="5395F353" w:rsidR="009268CE" w:rsidRPr="00122ED1" w:rsidRDefault="009268CE" w:rsidP="00122ED1">
      <w:pPr>
        <w:pStyle w:val="ListParagraph"/>
        <w:numPr>
          <w:ilvl w:val="0"/>
          <w:numId w:val="11"/>
        </w:numPr>
        <w:ind w:left="567" w:hanging="567"/>
        <w:contextualSpacing w:val="0"/>
        <w:rPr>
          <w:rFonts w:cs="Arial"/>
          <w:lang w:val="fr-CH"/>
        </w:rPr>
      </w:pPr>
      <w:r w:rsidRPr="00122ED1">
        <w:rPr>
          <w:rFonts w:cs="Arial"/>
          <w:i/>
          <w:lang w:val="fr-CH"/>
        </w:rPr>
        <w:t xml:space="preserve">Encourage </w:t>
      </w:r>
      <w:r w:rsidRPr="00122ED1">
        <w:rPr>
          <w:rFonts w:cs="Arial"/>
          <w:lang w:val="fr-CH"/>
        </w:rPr>
        <w:t>les Parties</w:t>
      </w:r>
      <w:r w:rsidRPr="00122ED1">
        <w:rPr>
          <w:rFonts w:cs="Arial"/>
          <w:i/>
          <w:iCs/>
          <w:lang w:val="fr-CH"/>
        </w:rPr>
        <w:t xml:space="preserve"> </w:t>
      </w:r>
      <w:r w:rsidRPr="00122ED1">
        <w:rPr>
          <w:rFonts w:cs="Arial"/>
          <w:lang w:val="fr-CH"/>
        </w:rPr>
        <w:t>à renforcer la coopération inter</w:t>
      </w:r>
      <w:r w:rsidR="007C43A4" w:rsidRPr="00122ED1">
        <w:rPr>
          <w:rFonts w:cs="Arial"/>
          <w:lang w:val="fr-CH"/>
        </w:rPr>
        <w:t>institutions</w:t>
      </w:r>
      <w:r w:rsidRPr="00122ED1">
        <w:rPr>
          <w:rFonts w:cs="Arial"/>
          <w:lang w:val="fr-CH"/>
        </w:rPr>
        <w:t xml:space="preserve"> afin de promouvoir la reconnaissance et l’utilisation stratégique des enquêtes sur les échouages comme une méthode précieuse, rentable et éthique d’évaluation de la santé des espèces migratrices, et :</w:t>
      </w:r>
    </w:p>
    <w:p w14:paraId="1C601C57" w14:textId="77777777" w:rsidR="009268CE" w:rsidRPr="00122ED1" w:rsidRDefault="009268CE" w:rsidP="00122ED1">
      <w:pPr>
        <w:pStyle w:val="ListParagraph"/>
        <w:contextualSpacing w:val="0"/>
        <w:rPr>
          <w:rFonts w:cs="Arial"/>
          <w:lang w:val="fr-CH"/>
        </w:rPr>
      </w:pPr>
    </w:p>
    <w:p w14:paraId="2E2BF811" w14:textId="46C8D169" w:rsidR="009268CE" w:rsidRPr="00122ED1" w:rsidRDefault="009268CE" w:rsidP="00122ED1">
      <w:pPr>
        <w:pStyle w:val="ListParagraph"/>
        <w:numPr>
          <w:ilvl w:val="1"/>
          <w:numId w:val="13"/>
        </w:numPr>
        <w:spacing w:after="120"/>
        <w:ind w:left="964" w:hanging="397"/>
        <w:contextualSpacing w:val="0"/>
        <w:rPr>
          <w:rFonts w:cs="Arial"/>
          <w:lang w:val="fr-CH"/>
        </w:rPr>
      </w:pPr>
      <w:r w:rsidRPr="00122ED1">
        <w:rPr>
          <w:rFonts w:cs="Arial"/>
          <w:lang w:val="fr-CH"/>
        </w:rPr>
        <w:t xml:space="preserve">à encourager l’élaboration </w:t>
      </w:r>
      <w:r w:rsidR="00D80CF4" w:rsidRPr="00122ED1">
        <w:rPr>
          <w:rFonts w:cs="Arial"/>
          <w:lang w:val="fr-CH"/>
        </w:rPr>
        <w:t xml:space="preserve">et l’utilisation </w:t>
      </w:r>
      <w:r w:rsidRPr="00122ED1">
        <w:rPr>
          <w:rFonts w:cs="Arial"/>
          <w:lang w:val="fr-CH"/>
        </w:rPr>
        <w:t>de protocoles normalisés pour la collecte et l’archivage de données et d’échantillons biologiques, toxicologiques et pathologiques entre les Parties,</w:t>
      </w:r>
    </w:p>
    <w:p w14:paraId="67D8826F" w14:textId="77777777" w:rsidR="009268CE" w:rsidRPr="00122ED1" w:rsidRDefault="009268CE" w:rsidP="00122ED1">
      <w:pPr>
        <w:pStyle w:val="ListParagraph"/>
        <w:numPr>
          <w:ilvl w:val="1"/>
          <w:numId w:val="13"/>
        </w:numPr>
        <w:spacing w:after="120"/>
        <w:ind w:left="964" w:hanging="397"/>
        <w:contextualSpacing w:val="0"/>
        <w:rPr>
          <w:rFonts w:cs="Arial"/>
          <w:lang w:val="fr-CH"/>
        </w:rPr>
      </w:pPr>
      <w:r w:rsidRPr="00122ED1">
        <w:rPr>
          <w:rFonts w:cs="Arial"/>
          <w:lang w:val="fr-CH"/>
        </w:rPr>
        <w:t>à soutenir la collaboration internationale pour intégrer les données dans les réseaux de surveillance sanitaire à long terme pour les espèces migratrices, et</w:t>
      </w:r>
    </w:p>
    <w:p w14:paraId="7810C97E" w14:textId="77777777" w:rsidR="009268CE" w:rsidRPr="00122ED1" w:rsidRDefault="009268CE" w:rsidP="00122ED1">
      <w:pPr>
        <w:pStyle w:val="ListParagraph"/>
        <w:numPr>
          <w:ilvl w:val="1"/>
          <w:numId w:val="13"/>
        </w:numPr>
        <w:ind w:left="964" w:hanging="397"/>
        <w:contextualSpacing w:val="0"/>
        <w:rPr>
          <w:rFonts w:cs="Arial"/>
          <w:lang w:val="fr-CH"/>
        </w:rPr>
      </w:pPr>
      <w:r w:rsidRPr="00122ED1">
        <w:rPr>
          <w:rFonts w:cs="Arial"/>
          <w:lang w:val="fr-CH"/>
        </w:rPr>
        <w:t>à reconnaître les individus échoués comme des sentinelles de la santé des océans, fournissant un aperçu des effets cumulatifs et de synergie de la pollution, des maladies et d’autres facteurs de stress ;</w:t>
      </w:r>
    </w:p>
    <w:p w14:paraId="370ED990" w14:textId="77777777" w:rsidR="009268CE" w:rsidRPr="00122ED1" w:rsidRDefault="009268CE" w:rsidP="00122ED1">
      <w:pPr>
        <w:pStyle w:val="ListParagraph"/>
        <w:ind w:left="1440"/>
        <w:rPr>
          <w:rFonts w:cs="Arial"/>
          <w:lang w:val="fr-CH"/>
        </w:rPr>
      </w:pPr>
    </w:p>
    <w:p w14:paraId="4FBD4DA4" w14:textId="55EDF154" w:rsidR="009268CE" w:rsidRPr="00122ED1" w:rsidRDefault="00D80CF4" w:rsidP="00122ED1">
      <w:pPr>
        <w:pStyle w:val="ListParagraph"/>
        <w:numPr>
          <w:ilvl w:val="0"/>
          <w:numId w:val="11"/>
        </w:numPr>
        <w:ind w:left="567" w:hanging="567"/>
        <w:contextualSpacing w:val="0"/>
        <w:rPr>
          <w:rFonts w:cs="Arial"/>
          <w:lang w:val="fr-CH"/>
        </w:rPr>
      </w:pPr>
      <w:r w:rsidRPr="00122ED1">
        <w:rPr>
          <w:rFonts w:cs="Arial"/>
          <w:i/>
          <w:lang w:val="fr-CH"/>
        </w:rPr>
        <w:t xml:space="preserve">Rappelle </w:t>
      </w:r>
      <w:r w:rsidRPr="00122ED1">
        <w:rPr>
          <w:rFonts w:cs="Arial"/>
          <w:lang w:val="fr-CH"/>
        </w:rPr>
        <w:t>aux</w:t>
      </w:r>
      <w:r w:rsidR="009268CE" w:rsidRPr="00122ED1">
        <w:rPr>
          <w:rFonts w:cs="Arial"/>
          <w:lang w:val="fr-CH"/>
        </w:rPr>
        <w:t xml:space="preserve"> Parties </w:t>
      </w:r>
      <w:r w:rsidRPr="00122ED1">
        <w:rPr>
          <w:rFonts w:cs="Arial"/>
          <w:lang w:val="fr-CH"/>
        </w:rPr>
        <w:t xml:space="preserve">de mettre en œuvre </w:t>
      </w:r>
      <w:r w:rsidR="009268CE" w:rsidRPr="00122ED1">
        <w:rPr>
          <w:rFonts w:cs="Arial"/>
          <w:lang w:val="fr-CH"/>
        </w:rPr>
        <w:t xml:space="preserve">la Résolution 14.6 </w:t>
      </w:r>
      <w:r w:rsidR="009268CE" w:rsidRPr="00122ED1">
        <w:rPr>
          <w:rFonts w:cs="Arial"/>
          <w:i/>
          <w:iCs/>
          <w:lang w:val="fr-CH"/>
        </w:rPr>
        <w:t>Activités d’exploitation minière des grands fonds marins et espèces migratrices</w:t>
      </w:r>
      <w:r w:rsidRPr="00122ED1">
        <w:rPr>
          <w:rFonts w:cs="Arial"/>
          <w:lang w:val="fr-CH"/>
        </w:rPr>
        <w:t>, en considérant les effets potentiellement néfastes de ces activités</w:t>
      </w:r>
      <w:r w:rsidR="009268CE" w:rsidRPr="00122ED1">
        <w:rPr>
          <w:rFonts w:cs="Arial"/>
          <w:lang w:val="fr-CH"/>
        </w:rPr>
        <w:t>.</w:t>
      </w:r>
    </w:p>
    <w:p w14:paraId="68D75761" w14:textId="77777777" w:rsidR="00470DC4" w:rsidRPr="00122ED1" w:rsidRDefault="00470DC4" w:rsidP="00122ED1">
      <w:pPr>
        <w:pStyle w:val="ListParagraph"/>
        <w:ind w:left="0"/>
        <w:contextualSpacing w:val="0"/>
        <w:rPr>
          <w:rFonts w:cs="Arial"/>
          <w:lang w:val="fr-CH"/>
        </w:rPr>
      </w:pPr>
    </w:p>
    <w:p w14:paraId="686BB0E5" w14:textId="77777777" w:rsidR="00505DEA" w:rsidRPr="00122ED1" w:rsidRDefault="00505DEA" w:rsidP="00122ED1">
      <w:pPr>
        <w:rPr>
          <w:rFonts w:ascii="Arial" w:hAnsi="Arial" w:cs="Arial"/>
          <w:sz w:val="22"/>
          <w:szCs w:val="22"/>
          <w:lang w:val="fr-CH"/>
        </w:rPr>
      </w:pPr>
    </w:p>
    <w:p w14:paraId="6B985C4C" w14:textId="77777777" w:rsidR="003967C6" w:rsidRPr="00122ED1" w:rsidRDefault="003967C6" w:rsidP="00122ED1">
      <w:pPr>
        <w:widowControl/>
        <w:suppressAutoHyphens w:val="0"/>
        <w:autoSpaceDE/>
        <w:spacing w:after="160"/>
        <w:rPr>
          <w:rFonts w:ascii="Arial" w:hAnsi="Arial" w:cs="Arial"/>
          <w:sz w:val="22"/>
          <w:szCs w:val="22"/>
          <w:lang w:val="fr-CH"/>
        </w:rPr>
      </w:pPr>
      <w:r w:rsidRPr="00122ED1">
        <w:rPr>
          <w:rFonts w:ascii="Arial" w:hAnsi="Arial" w:cs="Arial"/>
          <w:sz w:val="22"/>
          <w:szCs w:val="22"/>
          <w:lang w:val="fr-CH"/>
        </w:rPr>
        <w:br w:type="page"/>
      </w:r>
    </w:p>
    <w:p w14:paraId="066E3E53" w14:textId="24500EAA" w:rsidR="00505DEA" w:rsidRPr="00122ED1" w:rsidRDefault="00505DEA" w:rsidP="00122ED1">
      <w:pPr>
        <w:jc w:val="center"/>
        <w:rPr>
          <w:rFonts w:ascii="Arial" w:hAnsi="Arial" w:cs="Arial"/>
          <w:sz w:val="22"/>
          <w:szCs w:val="22"/>
          <w:lang w:val="fr-CH"/>
        </w:rPr>
      </w:pPr>
      <w:r w:rsidRPr="00122ED1">
        <w:rPr>
          <w:rFonts w:ascii="Arial" w:hAnsi="Arial" w:cs="Arial"/>
          <w:sz w:val="22"/>
          <w:szCs w:val="22"/>
          <w:lang w:val="fr-CH"/>
        </w:rPr>
        <w:lastRenderedPageBreak/>
        <w:t>PROJET DE DÉCISION</w:t>
      </w:r>
      <w:r w:rsidR="009202BC" w:rsidRPr="00122ED1">
        <w:rPr>
          <w:rFonts w:ascii="Arial" w:hAnsi="Arial" w:cs="Arial"/>
          <w:sz w:val="22"/>
          <w:szCs w:val="22"/>
          <w:lang w:val="fr-CH"/>
        </w:rPr>
        <w:t>S</w:t>
      </w:r>
      <w:r w:rsidRPr="00122ED1">
        <w:rPr>
          <w:rFonts w:ascii="Arial" w:hAnsi="Arial" w:cs="Arial"/>
          <w:sz w:val="22"/>
          <w:szCs w:val="22"/>
          <w:lang w:val="fr-CH"/>
        </w:rPr>
        <w:t xml:space="preserve"> </w:t>
      </w:r>
    </w:p>
    <w:p w14:paraId="4E59B6AA" w14:textId="77777777" w:rsidR="00505DEA" w:rsidRPr="00122ED1" w:rsidRDefault="00505DEA" w:rsidP="00122ED1">
      <w:pPr>
        <w:jc w:val="center"/>
        <w:rPr>
          <w:rFonts w:ascii="Arial" w:hAnsi="Arial" w:cs="Arial"/>
          <w:sz w:val="22"/>
          <w:szCs w:val="22"/>
          <w:lang w:val="fr-CH"/>
        </w:rPr>
      </w:pPr>
    </w:p>
    <w:p w14:paraId="4D0FDE8E" w14:textId="77777777" w:rsidR="003967C6" w:rsidRPr="00122ED1" w:rsidRDefault="003967C6" w:rsidP="00122ED1">
      <w:pPr>
        <w:jc w:val="center"/>
        <w:rPr>
          <w:rFonts w:ascii="Arial" w:hAnsi="Arial" w:cs="Arial"/>
          <w:b/>
          <w:bCs/>
          <w:iCs/>
          <w:sz w:val="22"/>
          <w:szCs w:val="22"/>
          <w:lang w:val="fr-CH"/>
        </w:rPr>
      </w:pPr>
      <w:r w:rsidRPr="00122ED1">
        <w:rPr>
          <w:rFonts w:ascii="Arial" w:hAnsi="Arial" w:cs="Arial"/>
          <w:b/>
          <w:bCs/>
          <w:iCs/>
          <w:sz w:val="22"/>
          <w:szCs w:val="22"/>
          <w:lang w:val="fr-CH"/>
        </w:rPr>
        <w:t>POLLUTION MARINE</w:t>
      </w:r>
    </w:p>
    <w:p w14:paraId="06DC50AE" w14:textId="77777777" w:rsidR="003967C6" w:rsidRPr="00122ED1" w:rsidRDefault="003967C6" w:rsidP="00087A1C">
      <w:pPr>
        <w:rPr>
          <w:rFonts w:ascii="Arial" w:hAnsi="Arial" w:cs="Arial"/>
          <w:sz w:val="22"/>
          <w:szCs w:val="22"/>
          <w:lang w:val="fr-CH"/>
        </w:rPr>
      </w:pPr>
    </w:p>
    <w:p w14:paraId="34719243" w14:textId="77777777" w:rsidR="00505DEA" w:rsidRPr="00122ED1" w:rsidRDefault="00505DEA" w:rsidP="00122ED1">
      <w:pPr>
        <w:jc w:val="both"/>
        <w:rPr>
          <w:rFonts w:ascii="Arial" w:hAnsi="Arial" w:cs="Arial"/>
          <w:i/>
          <w:sz w:val="22"/>
          <w:szCs w:val="22"/>
          <w:lang w:val="fr-CH"/>
        </w:rPr>
      </w:pPr>
    </w:p>
    <w:p w14:paraId="0404D708" w14:textId="2E4F5FDC" w:rsidR="00505DEA" w:rsidRPr="00122ED1" w:rsidRDefault="00505DEA" w:rsidP="00122ED1">
      <w:pPr>
        <w:jc w:val="both"/>
        <w:rPr>
          <w:rFonts w:ascii="Arial" w:hAnsi="Arial" w:cs="Arial"/>
          <w:b/>
          <w:i/>
          <w:sz w:val="22"/>
          <w:szCs w:val="22"/>
          <w:lang w:val="fr-CH"/>
        </w:rPr>
      </w:pPr>
      <w:r w:rsidRPr="00122ED1">
        <w:rPr>
          <w:rFonts w:ascii="Arial" w:hAnsi="Arial" w:cs="Arial"/>
          <w:b/>
          <w:i/>
          <w:sz w:val="22"/>
          <w:szCs w:val="22"/>
          <w:lang w:val="fr-CH"/>
        </w:rPr>
        <w:t>À l’adresse des Parties</w:t>
      </w:r>
    </w:p>
    <w:p w14:paraId="48B9F458" w14:textId="77777777" w:rsidR="00505DEA" w:rsidRPr="00122ED1" w:rsidRDefault="00505DEA" w:rsidP="00122ED1">
      <w:pPr>
        <w:jc w:val="both"/>
        <w:rPr>
          <w:rFonts w:ascii="Arial" w:hAnsi="Arial" w:cs="Arial"/>
          <w:sz w:val="22"/>
          <w:szCs w:val="22"/>
          <w:lang w:val="fr-CH"/>
        </w:rPr>
      </w:pPr>
    </w:p>
    <w:p w14:paraId="20DFB4C7" w14:textId="77777777" w:rsidR="00505DEA" w:rsidRPr="00122ED1" w:rsidRDefault="00505DEA" w:rsidP="00122ED1">
      <w:pPr>
        <w:ind w:left="851" w:hanging="851"/>
        <w:jc w:val="both"/>
        <w:rPr>
          <w:rFonts w:ascii="Arial" w:hAnsi="Arial" w:cs="Arial"/>
          <w:iCs/>
          <w:sz w:val="22"/>
          <w:szCs w:val="22"/>
          <w:lang w:val="fr-CH"/>
        </w:rPr>
      </w:pPr>
      <w:r w:rsidRPr="00122ED1">
        <w:rPr>
          <w:rFonts w:ascii="Arial" w:hAnsi="Arial" w:cs="Arial"/>
          <w:sz w:val="22"/>
          <w:szCs w:val="22"/>
          <w:lang w:val="fr-CH"/>
        </w:rPr>
        <w:t>15.AA</w:t>
      </w:r>
      <w:r w:rsidRPr="00122ED1">
        <w:rPr>
          <w:rFonts w:ascii="Arial" w:hAnsi="Arial" w:cs="Arial"/>
          <w:sz w:val="22"/>
          <w:szCs w:val="22"/>
          <w:lang w:val="fr-CH"/>
        </w:rPr>
        <w:tab/>
      </w:r>
      <w:r w:rsidRPr="00122ED1">
        <w:rPr>
          <w:rFonts w:ascii="Arial" w:hAnsi="Arial" w:cs="Arial"/>
          <w:iCs/>
          <w:sz w:val="22"/>
          <w:szCs w:val="22"/>
          <w:lang w:val="fr-CH"/>
        </w:rPr>
        <w:t xml:space="preserve">Les Parties sont encouragées à </w:t>
      </w:r>
    </w:p>
    <w:p w14:paraId="412703D8" w14:textId="77777777" w:rsidR="00505DEA" w:rsidRPr="00122ED1" w:rsidRDefault="00505DEA" w:rsidP="00122ED1">
      <w:pPr>
        <w:jc w:val="both"/>
        <w:rPr>
          <w:rFonts w:ascii="Arial" w:hAnsi="Arial" w:cs="Arial"/>
          <w:iCs/>
          <w:sz w:val="22"/>
          <w:szCs w:val="22"/>
          <w:lang w:val="fr-CH"/>
        </w:rPr>
      </w:pPr>
    </w:p>
    <w:p w14:paraId="10CB4F3C" w14:textId="77777777" w:rsidR="00505DEA" w:rsidRPr="00122ED1" w:rsidRDefault="00505DEA" w:rsidP="00087A1C">
      <w:pPr>
        <w:pStyle w:val="ListParagraph"/>
        <w:numPr>
          <w:ilvl w:val="0"/>
          <w:numId w:val="16"/>
        </w:numPr>
        <w:ind w:left="1418" w:hanging="567"/>
        <w:contextualSpacing w:val="0"/>
        <w:rPr>
          <w:rFonts w:cs="Arial"/>
          <w:lang w:val="fr-CH"/>
        </w:rPr>
      </w:pPr>
      <w:r w:rsidRPr="00122ED1">
        <w:rPr>
          <w:rFonts w:cs="Arial"/>
          <w:iCs/>
          <w:lang w:val="fr-CH"/>
        </w:rPr>
        <w:t xml:space="preserve">appliquer les recommandations du </w:t>
      </w:r>
      <w:r w:rsidRPr="00122ED1">
        <w:rPr>
          <w:rFonts w:cs="Arial"/>
          <w:i/>
          <w:iCs/>
          <w:lang w:val="fr-CH"/>
        </w:rPr>
        <w:t>Rapport de l’atelier sur la pollution marine de la CMS</w:t>
      </w:r>
      <w:r w:rsidRPr="00122ED1">
        <w:rPr>
          <w:rFonts w:cs="Arial"/>
          <w:iCs/>
          <w:lang w:val="fr-CH"/>
        </w:rPr>
        <w:t xml:space="preserve"> figurant à l’annexe 1 du document UNEP/CMS/</w:t>
      </w:r>
      <w:r w:rsidRPr="00122ED1">
        <w:rPr>
          <w:rFonts w:cs="Arial"/>
          <w:lang w:val="fr-CH"/>
        </w:rPr>
        <w:t>COP15/Doc.</w:t>
      </w:r>
      <w:r w:rsidRPr="00122ED1">
        <w:rPr>
          <w:rFonts w:cs="Arial"/>
          <w:iCs/>
          <w:lang w:val="fr-CH"/>
        </w:rPr>
        <w:t>25.2.1, et</w:t>
      </w:r>
    </w:p>
    <w:p w14:paraId="62AB7B80" w14:textId="77777777" w:rsidR="00505DEA" w:rsidRPr="00122ED1" w:rsidRDefault="00505DEA" w:rsidP="00087A1C">
      <w:pPr>
        <w:pStyle w:val="ListParagraph"/>
        <w:ind w:left="1418" w:hanging="567"/>
        <w:contextualSpacing w:val="0"/>
        <w:rPr>
          <w:rFonts w:cs="Arial"/>
          <w:lang w:val="fr-CH"/>
        </w:rPr>
      </w:pPr>
    </w:p>
    <w:p w14:paraId="67ADBB02" w14:textId="6CD142CD" w:rsidR="00505DEA" w:rsidRPr="00122ED1" w:rsidRDefault="00505DEA" w:rsidP="00087A1C">
      <w:pPr>
        <w:pStyle w:val="ListParagraph"/>
        <w:numPr>
          <w:ilvl w:val="0"/>
          <w:numId w:val="16"/>
        </w:numPr>
        <w:ind w:left="1418" w:hanging="567"/>
        <w:contextualSpacing w:val="0"/>
        <w:rPr>
          <w:rFonts w:cs="Arial"/>
          <w:lang w:val="fr-CH"/>
        </w:rPr>
      </w:pPr>
      <w:r w:rsidRPr="00122ED1">
        <w:rPr>
          <w:rFonts w:cs="Arial"/>
          <w:lang w:val="fr-CH"/>
        </w:rPr>
        <w:t xml:space="preserve">faciliter la collaboration entre la CMS </w:t>
      </w:r>
      <w:r w:rsidR="009202BC" w:rsidRPr="00122ED1">
        <w:rPr>
          <w:rFonts w:cs="Arial"/>
          <w:lang w:val="fr-CH"/>
        </w:rPr>
        <w:t xml:space="preserve">et d’autres organismes concernés, dont l’IWC </w:t>
      </w:r>
      <w:r w:rsidRPr="00122ED1">
        <w:rPr>
          <w:rFonts w:cs="Arial"/>
          <w:lang w:val="fr-CH"/>
        </w:rPr>
        <w:t>et l'Accord BBNJ</w:t>
      </w:r>
      <w:r w:rsidRPr="00122ED1">
        <w:rPr>
          <w:rStyle w:val="FootnoteReference"/>
          <w:rFonts w:cs="Arial"/>
          <w:lang w:val="fr-CH"/>
        </w:rPr>
        <w:footnoteReference w:id="2"/>
      </w:r>
      <w:r w:rsidRPr="00122ED1">
        <w:rPr>
          <w:rFonts w:cs="Arial"/>
          <w:lang w:val="fr-CH"/>
        </w:rPr>
        <w:t>, la CDB</w:t>
      </w:r>
      <w:r w:rsidRPr="00122ED1">
        <w:rPr>
          <w:rStyle w:val="FootnoteReference"/>
          <w:rFonts w:cs="Arial"/>
          <w:lang w:val="fr-CH"/>
        </w:rPr>
        <w:footnoteReference w:id="3"/>
      </w:r>
      <w:r w:rsidRPr="00122ED1">
        <w:rPr>
          <w:rFonts w:cs="Arial"/>
          <w:lang w:val="fr-CH"/>
        </w:rPr>
        <w:t>, les Conventions de Stockholm</w:t>
      </w:r>
      <w:r w:rsidRPr="00122ED1">
        <w:rPr>
          <w:rStyle w:val="FootnoteReference"/>
          <w:rFonts w:cs="Arial"/>
          <w:lang w:val="fr-CH"/>
        </w:rPr>
        <w:footnoteReference w:id="4"/>
      </w:r>
      <w:r w:rsidRPr="00122ED1">
        <w:rPr>
          <w:rFonts w:cs="Arial"/>
          <w:lang w:val="fr-CH"/>
        </w:rPr>
        <w:t>, de Bâle</w:t>
      </w:r>
      <w:r w:rsidRPr="00122ED1">
        <w:rPr>
          <w:rStyle w:val="FootnoteReference"/>
          <w:rFonts w:cs="Arial"/>
          <w:lang w:val="fr-CH"/>
        </w:rPr>
        <w:footnoteReference w:id="5"/>
      </w:r>
      <w:r w:rsidRPr="00122ED1">
        <w:rPr>
          <w:rFonts w:cs="Arial"/>
          <w:lang w:val="fr-CH"/>
        </w:rPr>
        <w:t xml:space="preserve"> et de Minamata</w:t>
      </w:r>
      <w:r w:rsidRPr="00122ED1">
        <w:rPr>
          <w:rStyle w:val="FootnoteReference"/>
          <w:rFonts w:cs="Arial"/>
          <w:lang w:val="fr-CH"/>
        </w:rPr>
        <w:footnoteReference w:id="6"/>
      </w:r>
      <w:r w:rsidRPr="00122ED1">
        <w:rPr>
          <w:rFonts w:cs="Arial"/>
          <w:lang w:val="fr-CH"/>
        </w:rPr>
        <w:t xml:space="preserve">, le Groupe intergouvernemental scientifique et politique sur les produits chimiques, les déchets et la pollution, </w:t>
      </w:r>
      <w:r w:rsidR="009202BC" w:rsidRPr="00122ED1">
        <w:rPr>
          <w:rFonts w:cs="Arial"/>
          <w:lang w:val="fr-CH"/>
        </w:rPr>
        <w:t>l’</w:t>
      </w:r>
      <w:r w:rsidR="009202BC" w:rsidRPr="00122ED1">
        <w:rPr>
          <w:rStyle w:val="normaltextrun"/>
          <w:rFonts w:cs="Arial"/>
          <w:lang w:val="fr-CH"/>
        </w:rPr>
        <w:t>IPBES</w:t>
      </w:r>
      <w:r w:rsidR="009202BC" w:rsidRPr="00122ED1">
        <w:rPr>
          <w:rStyle w:val="FootnoteReference"/>
          <w:rFonts w:cs="Arial"/>
          <w:lang w:val="fr-CH"/>
        </w:rPr>
        <w:footnoteReference w:id="7"/>
      </w:r>
      <w:r w:rsidR="009202BC" w:rsidRPr="00122ED1">
        <w:rPr>
          <w:rStyle w:val="normaltextrun"/>
          <w:rFonts w:cs="Arial"/>
          <w:lang w:val="fr-CH"/>
        </w:rPr>
        <w:t>, l’OMI</w:t>
      </w:r>
      <w:r w:rsidR="009202BC" w:rsidRPr="00122ED1">
        <w:rPr>
          <w:rStyle w:val="FootnoteReference"/>
          <w:rFonts w:cs="Arial"/>
          <w:lang w:val="fr-CH"/>
        </w:rPr>
        <w:footnoteReference w:id="8"/>
      </w:r>
      <w:r w:rsidR="009202BC" w:rsidRPr="00122ED1">
        <w:rPr>
          <w:rStyle w:val="normaltextrun"/>
          <w:rFonts w:cs="Arial"/>
          <w:lang w:val="fr-CH"/>
        </w:rPr>
        <w:t xml:space="preserve"> et ses traités sur la prévention de la pollution marine</w:t>
      </w:r>
      <w:r w:rsidR="009202BC" w:rsidRPr="00122ED1">
        <w:rPr>
          <w:rStyle w:val="FootnoteReference"/>
          <w:rFonts w:cs="Arial"/>
          <w:lang w:val="fr-CH"/>
        </w:rPr>
        <w:footnoteReference w:id="9"/>
      </w:r>
      <w:r w:rsidR="009202BC" w:rsidRPr="00122ED1">
        <w:rPr>
          <w:rStyle w:val="normaltextrun"/>
          <w:rFonts w:cs="Arial"/>
          <w:lang w:val="fr-CH"/>
        </w:rPr>
        <w:t xml:space="preserve">, </w:t>
      </w:r>
      <w:r w:rsidRPr="00122ED1">
        <w:rPr>
          <w:rFonts w:cs="Arial"/>
          <w:lang w:val="fr-CH"/>
        </w:rPr>
        <w:t>le Cadre mondial sur les produits chimiques</w:t>
      </w:r>
      <w:r w:rsidR="009202BC" w:rsidRPr="00122ED1">
        <w:rPr>
          <w:rFonts w:cs="Arial"/>
          <w:lang w:val="fr-CH"/>
        </w:rPr>
        <w:t>, le</w:t>
      </w:r>
      <w:r w:rsidR="002872DA" w:rsidRPr="00122ED1">
        <w:rPr>
          <w:rFonts w:cs="Arial"/>
          <w:lang w:val="fr-CH"/>
        </w:rPr>
        <w:t>s c</w:t>
      </w:r>
      <w:r w:rsidR="009202BC" w:rsidRPr="00122ED1">
        <w:rPr>
          <w:rStyle w:val="normaltextrun"/>
          <w:rFonts w:cs="Arial"/>
          <w:lang w:val="fr-CH"/>
        </w:rPr>
        <w:t xml:space="preserve">onventions et les plans d’action </w:t>
      </w:r>
      <w:r w:rsidR="00AB1EEE" w:rsidRPr="00122ED1">
        <w:rPr>
          <w:rStyle w:val="normaltextrun"/>
          <w:rFonts w:cs="Arial"/>
          <w:lang w:val="fr-CH"/>
        </w:rPr>
        <w:t>concernant des mers régionales</w:t>
      </w:r>
      <w:r w:rsidR="009202BC" w:rsidRPr="00122ED1">
        <w:rPr>
          <w:rStyle w:val="normaltextrun"/>
          <w:rFonts w:cs="Arial"/>
          <w:lang w:val="fr-CH"/>
        </w:rPr>
        <w:t>, les organismes régionaux sur la pêche, le cas échéant, et le</w:t>
      </w:r>
      <w:r w:rsidRPr="00122ED1">
        <w:rPr>
          <w:rFonts w:cs="Arial"/>
          <w:lang w:val="fr-CH"/>
        </w:rPr>
        <w:t xml:space="preserve"> futur </w:t>
      </w:r>
      <w:r w:rsidR="009202BC" w:rsidRPr="00122ED1">
        <w:rPr>
          <w:rFonts w:cs="Arial"/>
          <w:lang w:val="fr-CH"/>
        </w:rPr>
        <w:t xml:space="preserve">instrument juridiquement contraignant </w:t>
      </w:r>
      <w:r w:rsidRPr="00122ED1">
        <w:rPr>
          <w:rFonts w:cs="Arial"/>
          <w:lang w:val="fr-CH"/>
        </w:rPr>
        <w:t>sur l</w:t>
      </w:r>
      <w:r w:rsidR="009202BC" w:rsidRPr="00122ED1">
        <w:rPr>
          <w:rFonts w:cs="Arial"/>
          <w:lang w:val="fr-CH"/>
        </w:rPr>
        <w:t>a pollution</w:t>
      </w:r>
      <w:r w:rsidRPr="00122ED1">
        <w:rPr>
          <w:rFonts w:cs="Arial"/>
          <w:lang w:val="fr-CH"/>
        </w:rPr>
        <w:t xml:space="preserve"> plastique, afin de mieux lutter contre les risques de pollution marine pour les espèces migratrices.</w:t>
      </w:r>
    </w:p>
    <w:p w14:paraId="15F7FFD4" w14:textId="77777777" w:rsidR="00505DEA" w:rsidRPr="00122ED1" w:rsidRDefault="00505DEA" w:rsidP="00122ED1">
      <w:pPr>
        <w:jc w:val="both"/>
        <w:rPr>
          <w:rFonts w:ascii="Arial" w:hAnsi="Arial" w:cs="Arial"/>
          <w:b/>
          <w:i/>
          <w:sz w:val="22"/>
          <w:szCs w:val="22"/>
          <w:lang w:val="fr-CH"/>
        </w:rPr>
      </w:pPr>
    </w:p>
    <w:p w14:paraId="661E223C" w14:textId="77777777" w:rsidR="00505DEA" w:rsidRPr="00122ED1" w:rsidRDefault="00505DEA" w:rsidP="00122ED1">
      <w:pPr>
        <w:jc w:val="both"/>
        <w:rPr>
          <w:rFonts w:ascii="Arial" w:hAnsi="Arial" w:cs="Arial"/>
          <w:sz w:val="22"/>
          <w:szCs w:val="22"/>
          <w:lang w:val="fr-CH"/>
        </w:rPr>
      </w:pPr>
      <w:r w:rsidRPr="00122ED1">
        <w:rPr>
          <w:rFonts w:ascii="Arial" w:hAnsi="Arial" w:cs="Arial"/>
          <w:b/>
          <w:i/>
          <w:sz w:val="22"/>
          <w:szCs w:val="22"/>
          <w:lang w:val="fr-CH"/>
        </w:rPr>
        <w:t xml:space="preserve">À l’adresse du Conseil scientifique </w:t>
      </w:r>
    </w:p>
    <w:p w14:paraId="2D1436CF" w14:textId="77777777" w:rsidR="00505DEA" w:rsidRPr="00122ED1" w:rsidRDefault="00505DEA" w:rsidP="00122ED1">
      <w:pPr>
        <w:jc w:val="both"/>
        <w:rPr>
          <w:rFonts w:ascii="Arial" w:hAnsi="Arial" w:cs="Arial"/>
          <w:sz w:val="22"/>
          <w:szCs w:val="22"/>
          <w:lang w:val="fr-CH"/>
        </w:rPr>
      </w:pPr>
    </w:p>
    <w:p w14:paraId="7B8762F6" w14:textId="77777777" w:rsidR="00505DEA" w:rsidRPr="00122ED1" w:rsidRDefault="00505DEA" w:rsidP="00122ED1">
      <w:pPr>
        <w:ind w:left="851" w:hanging="851"/>
        <w:jc w:val="both"/>
        <w:rPr>
          <w:rFonts w:ascii="Arial" w:hAnsi="Arial" w:cs="Arial"/>
          <w:sz w:val="22"/>
          <w:szCs w:val="22"/>
          <w:lang w:val="fr-CH"/>
        </w:rPr>
      </w:pPr>
      <w:r w:rsidRPr="00122ED1">
        <w:rPr>
          <w:rFonts w:ascii="Arial" w:hAnsi="Arial" w:cs="Arial"/>
          <w:sz w:val="22"/>
          <w:szCs w:val="22"/>
          <w:lang w:val="fr-CH"/>
        </w:rPr>
        <w:t>15.BB</w:t>
      </w:r>
      <w:r w:rsidRPr="00122ED1">
        <w:rPr>
          <w:rFonts w:ascii="Arial" w:hAnsi="Arial" w:cs="Arial"/>
          <w:sz w:val="22"/>
          <w:szCs w:val="22"/>
          <w:lang w:val="fr-CH"/>
        </w:rPr>
        <w:tab/>
        <w:t>Le Conseil scientifique est prié, sous réserve de la disponibilité des ressources :</w:t>
      </w:r>
    </w:p>
    <w:p w14:paraId="13EC6750" w14:textId="77777777" w:rsidR="00505DEA" w:rsidRPr="00122ED1" w:rsidRDefault="00505DEA" w:rsidP="00122ED1">
      <w:pPr>
        <w:jc w:val="both"/>
        <w:rPr>
          <w:rFonts w:ascii="Arial" w:hAnsi="Arial" w:cs="Arial"/>
          <w:sz w:val="22"/>
          <w:szCs w:val="22"/>
          <w:lang w:val="fr-CH"/>
        </w:rPr>
      </w:pPr>
    </w:p>
    <w:p w14:paraId="6F4429EC" w14:textId="77777777" w:rsidR="00505DEA" w:rsidRPr="00122ED1" w:rsidRDefault="00505DEA" w:rsidP="00122ED1">
      <w:pPr>
        <w:numPr>
          <w:ilvl w:val="0"/>
          <w:numId w:val="15"/>
        </w:numPr>
        <w:suppressAutoHyphens w:val="0"/>
        <w:adjustRightInd w:val="0"/>
        <w:ind w:left="1418" w:hanging="567"/>
        <w:jc w:val="both"/>
        <w:textAlignment w:val="auto"/>
        <w:rPr>
          <w:rFonts w:ascii="Arial" w:hAnsi="Arial" w:cs="Arial"/>
          <w:sz w:val="22"/>
          <w:szCs w:val="22"/>
          <w:lang w:val="fr-CH"/>
        </w:rPr>
      </w:pPr>
      <w:r w:rsidRPr="00122ED1">
        <w:rPr>
          <w:rFonts w:ascii="Arial" w:hAnsi="Arial" w:cs="Arial"/>
          <w:sz w:val="22"/>
          <w:szCs w:val="22"/>
          <w:lang w:val="fr-CH"/>
        </w:rPr>
        <w:t>de créer un groupe de travail à composition non limitée sur la pollution marine (en mettant l’accent sur la pollution chimique) ;</w:t>
      </w:r>
    </w:p>
    <w:p w14:paraId="250935FA" w14:textId="77777777" w:rsidR="00505DEA" w:rsidRPr="00122ED1" w:rsidRDefault="00505DEA" w:rsidP="00122ED1">
      <w:pPr>
        <w:adjustRightInd w:val="0"/>
        <w:ind w:left="1418"/>
        <w:jc w:val="both"/>
        <w:rPr>
          <w:rFonts w:ascii="Arial" w:hAnsi="Arial" w:cs="Arial"/>
          <w:sz w:val="22"/>
          <w:szCs w:val="22"/>
          <w:lang w:val="fr-CH"/>
        </w:rPr>
      </w:pPr>
    </w:p>
    <w:p w14:paraId="6D687961" w14:textId="77777777" w:rsidR="00505DEA" w:rsidRPr="00122ED1" w:rsidRDefault="00505DEA" w:rsidP="00122ED1">
      <w:pPr>
        <w:numPr>
          <w:ilvl w:val="0"/>
          <w:numId w:val="15"/>
        </w:numPr>
        <w:suppressAutoHyphens w:val="0"/>
        <w:adjustRightInd w:val="0"/>
        <w:spacing w:after="80"/>
        <w:ind w:left="1418" w:hanging="567"/>
        <w:jc w:val="both"/>
        <w:textAlignment w:val="auto"/>
        <w:rPr>
          <w:rFonts w:ascii="Arial" w:hAnsi="Arial" w:cs="Arial"/>
          <w:sz w:val="22"/>
          <w:szCs w:val="22"/>
          <w:lang w:val="fr-CH"/>
        </w:rPr>
      </w:pPr>
      <w:r w:rsidRPr="00122ED1">
        <w:rPr>
          <w:rFonts w:ascii="Arial" w:hAnsi="Arial" w:cs="Arial"/>
          <w:sz w:val="22"/>
          <w:szCs w:val="22"/>
          <w:lang w:val="fr-CH"/>
        </w:rPr>
        <w:t>de recenser et d’évaluer :</w:t>
      </w:r>
    </w:p>
    <w:p w14:paraId="5C057BF7" w14:textId="77777777" w:rsidR="00505DEA" w:rsidRPr="00122ED1" w:rsidRDefault="00505DEA" w:rsidP="00122ED1">
      <w:pPr>
        <w:pStyle w:val="ListParagraph"/>
        <w:widowControl w:val="0"/>
        <w:numPr>
          <w:ilvl w:val="2"/>
          <w:numId w:val="15"/>
        </w:numPr>
        <w:autoSpaceDE w:val="0"/>
        <w:autoSpaceDN w:val="0"/>
        <w:adjustRightInd w:val="0"/>
        <w:spacing w:after="80"/>
        <w:ind w:left="1843" w:hanging="283"/>
        <w:contextualSpacing w:val="0"/>
        <w:rPr>
          <w:rFonts w:cs="Arial"/>
          <w:lang w:val="fr-CH"/>
        </w:rPr>
      </w:pPr>
      <w:r w:rsidRPr="00122ED1">
        <w:rPr>
          <w:rFonts w:cs="Arial"/>
          <w:lang w:val="fr-CH"/>
        </w:rPr>
        <w:t>les espèces et les populations, les habitats et les étapes migratoires ou de la vie les plus menacés, en tenant compte de la liste préliminaire référencée dans l’annexe 1 du document UNEP/CMS/COP15/Doc.25.2.1, et</w:t>
      </w:r>
    </w:p>
    <w:p w14:paraId="5971AB24" w14:textId="77777777" w:rsidR="00505DEA" w:rsidRPr="00122ED1" w:rsidRDefault="00505DEA" w:rsidP="00122ED1">
      <w:pPr>
        <w:pStyle w:val="ListParagraph"/>
        <w:widowControl w:val="0"/>
        <w:numPr>
          <w:ilvl w:val="2"/>
          <w:numId w:val="15"/>
        </w:numPr>
        <w:autoSpaceDE w:val="0"/>
        <w:autoSpaceDN w:val="0"/>
        <w:adjustRightInd w:val="0"/>
        <w:ind w:left="1843" w:hanging="283"/>
        <w:rPr>
          <w:rFonts w:cs="Arial"/>
          <w:lang w:val="fr-CH"/>
        </w:rPr>
      </w:pPr>
      <w:r w:rsidRPr="00122ED1">
        <w:rPr>
          <w:rFonts w:cs="Arial"/>
          <w:lang w:val="fr-CH"/>
        </w:rPr>
        <w:t>les zones sensibles à l’échelle mondiale dans lesquelles la pollution marine et l’habitat critique des espèces migratrices se chevauchent ;</w:t>
      </w:r>
    </w:p>
    <w:p w14:paraId="78BF59F1" w14:textId="77777777" w:rsidR="00505DEA" w:rsidRPr="00122ED1" w:rsidRDefault="00505DEA" w:rsidP="00122ED1">
      <w:pPr>
        <w:adjustRightInd w:val="0"/>
        <w:jc w:val="both"/>
        <w:rPr>
          <w:rFonts w:ascii="Arial" w:hAnsi="Arial" w:cs="Arial"/>
          <w:sz w:val="22"/>
          <w:szCs w:val="22"/>
          <w:lang w:val="fr-CH"/>
        </w:rPr>
      </w:pPr>
    </w:p>
    <w:p w14:paraId="5FEA78E5" w14:textId="77777777" w:rsidR="00505DEA" w:rsidRPr="00122ED1" w:rsidRDefault="00505DEA" w:rsidP="00122ED1">
      <w:pPr>
        <w:numPr>
          <w:ilvl w:val="0"/>
          <w:numId w:val="15"/>
        </w:numPr>
        <w:suppressAutoHyphens w:val="0"/>
        <w:adjustRightInd w:val="0"/>
        <w:ind w:left="1418" w:hanging="567"/>
        <w:jc w:val="both"/>
        <w:textAlignment w:val="auto"/>
        <w:rPr>
          <w:rFonts w:ascii="Arial" w:hAnsi="Arial" w:cs="Arial"/>
          <w:sz w:val="22"/>
          <w:szCs w:val="22"/>
          <w:lang w:val="fr-CH"/>
        </w:rPr>
      </w:pPr>
      <w:r w:rsidRPr="00122ED1">
        <w:rPr>
          <w:rFonts w:ascii="Arial" w:hAnsi="Arial" w:cs="Arial"/>
          <w:sz w:val="22"/>
          <w:szCs w:val="22"/>
          <w:lang w:val="fr-CH"/>
        </w:rPr>
        <w:t>d’envisager l’application d’une « matrice de vulnérabilité » qui intègre la sensibilité, l’exposition et la capacité d’adaptation des espèces à la fois à la pollution marine et aux changements climatiques, afin d’aider à hiérarchiser les actions de conservation dans le cadre des futurs scénarios environnementaux ;</w:t>
      </w:r>
    </w:p>
    <w:p w14:paraId="412CDD41" w14:textId="77777777" w:rsidR="00505DEA" w:rsidRPr="00122ED1" w:rsidRDefault="00505DEA" w:rsidP="00122ED1">
      <w:pPr>
        <w:adjustRightInd w:val="0"/>
        <w:ind w:left="1418"/>
        <w:jc w:val="both"/>
        <w:rPr>
          <w:rFonts w:ascii="Arial" w:hAnsi="Arial" w:cs="Arial"/>
          <w:sz w:val="22"/>
          <w:szCs w:val="22"/>
          <w:lang w:val="fr-CH"/>
        </w:rPr>
      </w:pPr>
    </w:p>
    <w:p w14:paraId="7130EE50" w14:textId="77777777" w:rsidR="00505DEA" w:rsidRPr="00122ED1" w:rsidRDefault="00505DEA" w:rsidP="00122ED1">
      <w:pPr>
        <w:numPr>
          <w:ilvl w:val="0"/>
          <w:numId w:val="15"/>
        </w:numPr>
        <w:suppressAutoHyphens w:val="0"/>
        <w:adjustRightInd w:val="0"/>
        <w:ind w:left="1418" w:hanging="567"/>
        <w:jc w:val="both"/>
        <w:textAlignment w:val="auto"/>
        <w:rPr>
          <w:rFonts w:ascii="Arial" w:hAnsi="Arial" w:cs="Arial"/>
          <w:sz w:val="22"/>
          <w:szCs w:val="22"/>
          <w:lang w:val="fr-CH"/>
        </w:rPr>
      </w:pPr>
      <w:r w:rsidRPr="00122ED1">
        <w:rPr>
          <w:rFonts w:ascii="Arial" w:hAnsi="Arial" w:cs="Arial"/>
          <w:sz w:val="22"/>
          <w:szCs w:val="22"/>
          <w:lang w:val="fr-CH"/>
        </w:rPr>
        <w:t>d’accorder une attention accrue à l’incidence de la pollution sur les oiseaux marins, y compris potentiellement au moyen d’un atelier spécialisé.</w:t>
      </w:r>
    </w:p>
    <w:p w14:paraId="427FA7B8" w14:textId="73DCC940" w:rsidR="006C41E6" w:rsidRDefault="006C41E6" w:rsidP="00122ED1">
      <w:pPr>
        <w:jc w:val="both"/>
        <w:rPr>
          <w:rFonts w:ascii="Arial" w:hAnsi="Arial" w:cs="Arial"/>
          <w:b/>
          <w:i/>
          <w:sz w:val="22"/>
          <w:szCs w:val="22"/>
          <w:lang w:val="fr-CH"/>
        </w:rPr>
      </w:pPr>
      <w:r>
        <w:rPr>
          <w:rFonts w:ascii="Arial" w:hAnsi="Arial" w:cs="Arial"/>
          <w:b/>
          <w:i/>
          <w:sz w:val="22"/>
          <w:szCs w:val="22"/>
          <w:lang w:val="fr-CH"/>
        </w:rPr>
        <w:br w:type="page"/>
      </w:r>
    </w:p>
    <w:p w14:paraId="3658F1CD" w14:textId="59F260FD" w:rsidR="00505DEA" w:rsidRPr="00122ED1" w:rsidRDefault="00505DEA" w:rsidP="00122ED1">
      <w:pPr>
        <w:jc w:val="both"/>
        <w:rPr>
          <w:rFonts w:ascii="Arial" w:hAnsi="Arial" w:cs="Arial"/>
          <w:b/>
          <w:i/>
          <w:sz w:val="22"/>
          <w:szCs w:val="22"/>
          <w:lang w:val="fr-CH"/>
        </w:rPr>
      </w:pPr>
      <w:r w:rsidRPr="00122ED1">
        <w:rPr>
          <w:rFonts w:ascii="Arial" w:hAnsi="Arial" w:cs="Arial"/>
          <w:b/>
          <w:i/>
          <w:sz w:val="22"/>
          <w:szCs w:val="22"/>
          <w:lang w:val="fr-CH"/>
        </w:rPr>
        <w:lastRenderedPageBreak/>
        <w:t>À l’adresse du Secrétariat</w:t>
      </w:r>
    </w:p>
    <w:p w14:paraId="0D411354" w14:textId="77777777" w:rsidR="00505DEA" w:rsidRPr="00122ED1" w:rsidRDefault="00505DEA" w:rsidP="00122ED1">
      <w:pPr>
        <w:jc w:val="both"/>
        <w:rPr>
          <w:rFonts w:ascii="Arial" w:hAnsi="Arial" w:cs="Arial"/>
          <w:sz w:val="22"/>
          <w:szCs w:val="22"/>
          <w:lang w:val="fr-CH"/>
        </w:rPr>
      </w:pPr>
    </w:p>
    <w:p w14:paraId="782737B8" w14:textId="0BAB95A5" w:rsidR="00505DEA" w:rsidRPr="00122ED1" w:rsidRDefault="00505DEA" w:rsidP="00122ED1">
      <w:pPr>
        <w:ind w:left="851" w:hanging="851"/>
        <w:jc w:val="both"/>
        <w:rPr>
          <w:rFonts w:ascii="Arial" w:hAnsi="Arial" w:cs="Arial"/>
          <w:sz w:val="22"/>
          <w:szCs w:val="22"/>
          <w:u w:val="single"/>
          <w:lang w:val="fr-CH"/>
        </w:rPr>
      </w:pPr>
      <w:r w:rsidRPr="00122ED1">
        <w:rPr>
          <w:rFonts w:ascii="Arial" w:hAnsi="Arial" w:cs="Arial"/>
          <w:sz w:val="22"/>
          <w:szCs w:val="22"/>
          <w:lang w:val="fr-CH"/>
        </w:rPr>
        <w:t>15.CC</w:t>
      </w:r>
      <w:r w:rsidRPr="00122ED1">
        <w:rPr>
          <w:rFonts w:ascii="Arial" w:hAnsi="Arial" w:cs="Arial"/>
          <w:sz w:val="22"/>
          <w:szCs w:val="22"/>
          <w:lang w:val="fr-CH"/>
        </w:rPr>
        <w:tab/>
        <w:t>Le Secrétariat est chargé, sous réserve de la disponibilité de ressources</w:t>
      </w:r>
      <w:r w:rsidR="00AB1EEE" w:rsidRPr="00122ED1">
        <w:rPr>
          <w:rFonts w:ascii="Arial" w:hAnsi="Arial" w:cs="Arial"/>
          <w:sz w:val="22"/>
          <w:szCs w:val="22"/>
          <w:lang w:val="fr-CH"/>
        </w:rPr>
        <w:t xml:space="preserve">, </w:t>
      </w:r>
      <w:r w:rsidRPr="00122ED1">
        <w:rPr>
          <w:rFonts w:ascii="Arial" w:hAnsi="Arial" w:cs="Arial"/>
          <w:sz w:val="22"/>
          <w:szCs w:val="22"/>
          <w:lang w:val="fr-CH"/>
        </w:rPr>
        <w:t>d’œuvrer au renforcement de la coopération entre la</w:t>
      </w:r>
      <w:r w:rsidR="00AB1EEE" w:rsidRPr="00122ED1">
        <w:rPr>
          <w:rFonts w:ascii="Arial" w:hAnsi="Arial" w:cs="Arial"/>
          <w:sz w:val="22"/>
          <w:szCs w:val="22"/>
          <w:lang w:val="fr-CH"/>
        </w:rPr>
        <w:t xml:space="preserve"> </w:t>
      </w:r>
      <w:r w:rsidRPr="00122ED1">
        <w:rPr>
          <w:rFonts w:ascii="Arial" w:hAnsi="Arial" w:cs="Arial"/>
          <w:sz w:val="22"/>
          <w:szCs w:val="22"/>
          <w:lang w:val="fr-CH"/>
        </w:rPr>
        <w:t xml:space="preserve">CMS et </w:t>
      </w:r>
      <w:r w:rsidR="009202BC" w:rsidRPr="00122ED1">
        <w:rPr>
          <w:rFonts w:ascii="Arial" w:hAnsi="Arial" w:cs="Arial"/>
          <w:sz w:val="22"/>
          <w:szCs w:val="22"/>
          <w:lang w:val="fr-CH"/>
        </w:rPr>
        <w:t>d’autres organismes concernés, dont l’IWC et l'Accord BBNJ</w:t>
      </w:r>
      <w:r w:rsidR="009202BC" w:rsidRPr="00122ED1">
        <w:rPr>
          <w:rStyle w:val="FootnoteReference"/>
          <w:rFonts w:ascii="Arial" w:hAnsi="Arial" w:cs="Arial"/>
          <w:sz w:val="22"/>
          <w:szCs w:val="22"/>
          <w:lang w:val="fr-CH"/>
        </w:rPr>
        <w:footnoteReference w:id="10"/>
      </w:r>
      <w:r w:rsidR="009202BC" w:rsidRPr="00122ED1">
        <w:rPr>
          <w:rFonts w:ascii="Arial" w:hAnsi="Arial" w:cs="Arial"/>
          <w:sz w:val="22"/>
          <w:szCs w:val="22"/>
          <w:lang w:val="fr-CH"/>
        </w:rPr>
        <w:t>, la CDB</w:t>
      </w:r>
      <w:r w:rsidR="009202BC" w:rsidRPr="00122ED1">
        <w:rPr>
          <w:rStyle w:val="FootnoteReference"/>
          <w:rFonts w:ascii="Arial" w:hAnsi="Arial" w:cs="Arial"/>
          <w:sz w:val="22"/>
          <w:szCs w:val="22"/>
          <w:lang w:val="fr-CH"/>
        </w:rPr>
        <w:footnoteReference w:id="11"/>
      </w:r>
      <w:r w:rsidR="009202BC" w:rsidRPr="00122ED1">
        <w:rPr>
          <w:rFonts w:ascii="Arial" w:hAnsi="Arial" w:cs="Arial"/>
          <w:sz w:val="22"/>
          <w:szCs w:val="22"/>
          <w:lang w:val="fr-CH"/>
        </w:rPr>
        <w:t>, les Conventions de Stockholm</w:t>
      </w:r>
      <w:r w:rsidR="009202BC" w:rsidRPr="00122ED1">
        <w:rPr>
          <w:rStyle w:val="FootnoteReference"/>
          <w:rFonts w:ascii="Arial" w:hAnsi="Arial" w:cs="Arial"/>
          <w:sz w:val="22"/>
          <w:szCs w:val="22"/>
          <w:lang w:val="fr-CH"/>
        </w:rPr>
        <w:footnoteReference w:id="12"/>
      </w:r>
      <w:r w:rsidR="009202BC" w:rsidRPr="00122ED1">
        <w:rPr>
          <w:rFonts w:ascii="Arial" w:hAnsi="Arial" w:cs="Arial"/>
          <w:sz w:val="22"/>
          <w:szCs w:val="22"/>
          <w:lang w:val="fr-CH"/>
        </w:rPr>
        <w:t>, de Bâle</w:t>
      </w:r>
      <w:r w:rsidR="009202BC" w:rsidRPr="00122ED1">
        <w:rPr>
          <w:rStyle w:val="FootnoteReference"/>
          <w:rFonts w:ascii="Arial" w:hAnsi="Arial" w:cs="Arial"/>
          <w:sz w:val="22"/>
          <w:szCs w:val="22"/>
          <w:lang w:val="fr-CH"/>
        </w:rPr>
        <w:footnoteReference w:id="13"/>
      </w:r>
      <w:r w:rsidR="009202BC" w:rsidRPr="00122ED1">
        <w:rPr>
          <w:rFonts w:ascii="Arial" w:hAnsi="Arial" w:cs="Arial"/>
          <w:sz w:val="22"/>
          <w:szCs w:val="22"/>
          <w:lang w:val="fr-CH"/>
        </w:rPr>
        <w:t xml:space="preserve"> et de Minamata</w:t>
      </w:r>
      <w:r w:rsidR="009202BC" w:rsidRPr="00122ED1">
        <w:rPr>
          <w:rStyle w:val="FootnoteReference"/>
          <w:rFonts w:ascii="Arial" w:hAnsi="Arial" w:cs="Arial"/>
          <w:sz w:val="22"/>
          <w:szCs w:val="22"/>
          <w:lang w:val="fr-CH"/>
        </w:rPr>
        <w:footnoteReference w:id="14"/>
      </w:r>
      <w:r w:rsidR="009202BC" w:rsidRPr="00122ED1">
        <w:rPr>
          <w:rFonts w:ascii="Arial" w:hAnsi="Arial" w:cs="Arial"/>
          <w:sz w:val="22"/>
          <w:szCs w:val="22"/>
          <w:lang w:val="fr-CH"/>
        </w:rPr>
        <w:t>, le Groupe intergouvernemental scientifique et politique sur les produits chimiques, les déchets et la pollution, l’</w:t>
      </w:r>
      <w:r w:rsidR="009202BC" w:rsidRPr="00122ED1">
        <w:rPr>
          <w:rStyle w:val="normaltextrun"/>
          <w:rFonts w:ascii="Arial" w:hAnsi="Arial" w:cs="Arial"/>
          <w:sz w:val="22"/>
          <w:szCs w:val="22"/>
          <w:lang w:val="fr-CH"/>
        </w:rPr>
        <w:t>IPBES</w:t>
      </w:r>
      <w:r w:rsidR="009202BC" w:rsidRPr="00122ED1">
        <w:rPr>
          <w:rStyle w:val="FootnoteReference"/>
          <w:rFonts w:ascii="Arial" w:hAnsi="Arial" w:cs="Arial"/>
          <w:sz w:val="22"/>
          <w:szCs w:val="22"/>
          <w:lang w:val="fr-CH"/>
        </w:rPr>
        <w:footnoteReference w:id="15"/>
      </w:r>
      <w:r w:rsidR="009202BC" w:rsidRPr="00122ED1">
        <w:rPr>
          <w:rStyle w:val="normaltextrun"/>
          <w:rFonts w:ascii="Arial" w:hAnsi="Arial" w:cs="Arial"/>
          <w:sz w:val="22"/>
          <w:szCs w:val="22"/>
          <w:lang w:val="fr-CH"/>
        </w:rPr>
        <w:t>, l’OMI</w:t>
      </w:r>
      <w:r w:rsidR="009202BC" w:rsidRPr="00122ED1">
        <w:rPr>
          <w:rStyle w:val="FootnoteReference"/>
          <w:rFonts w:ascii="Arial" w:hAnsi="Arial" w:cs="Arial"/>
          <w:sz w:val="22"/>
          <w:szCs w:val="22"/>
          <w:lang w:val="fr-CH"/>
        </w:rPr>
        <w:footnoteReference w:id="16"/>
      </w:r>
      <w:r w:rsidR="009202BC" w:rsidRPr="00122ED1">
        <w:rPr>
          <w:rStyle w:val="normaltextrun"/>
          <w:rFonts w:ascii="Arial" w:hAnsi="Arial" w:cs="Arial"/>
          <w:sz w:val="22"/>
          <w:szCs w:val="22"/>
          <w:lang w:val="fr-CH"/>
        </w:rPr>
        <w:t xml:space="preserve"> et ses traités sur la prévention de la pollution marine</w:t>
      </w:r>
      <w:r w:rsidR="009202BC" w:rsidRPr="00122ED1">
        <w:rPr>
          <w:rStyle w:val="FootnoteReference"/>
          <w:rFonts w:ascii="Arial" w:hAnsi="Arial" w:cs="Arial"/>
          <w:sz w:val="22"/>
          <w:szCs w:val="22"/>
          <w:lang w:val="fr-CH"/>
        </w:rPr>
        <w:footnoteReference w:id="17"/>
      </w:r>
      <w:r w:rsidR="009202BC" w:rsidRPr="00122ED1">
        <w:rPr>
          <w:rStyle w:val="normaltextrun"/>
          <w:rFonts w:ascii="Arial" w:hAnsi="Arial" w:cs="Arial"/>
          <w:sz w:val="22"/>
          <w:szCs w:val="22"/>
          <w:lang w:val="fr-CH"/>
        </w:rPr>
        <w:t xml:space="preserve">, </w:t>
      </w:r>
      <w:r w:rsidR="009202BC" w:rsidRPr="00122ED1">
        <w:rPr>
          <w:rFonts w:ascii="Arial" w:hAnsi="Arial" w:cs="Arial"/>
          <w:sz w:val="22"/>
          <w:szCs w:val="22"/>
          <w:lang w:val="fr-CH"/>
        </w:rPr>
        <w:t xml:space="preserve">le Cadre mondial sur les produits chimiques, </w:t>
      </w:r>
      <w:r w:rsidR="00AB1EEE" w:rsidRPr="00122ED1">
        <w:rPr>
          <w:rFonts w:ascii="Arial" w:hAnsi="Arial" w:cs="Arial"/>
          <w:sz w:val="22"/>
          <w:szCs w:val="22"/>
          <w:lang w:val="fr-CH"/>
        </w:rPr>
        <w:t>les conventions et les plans d’action concernant des mers régionales</w:t>
      </w:r>
      <w:r w:rsidR="009202BC" w:rsidRPr="00122ED1">
        <w:rPr>
          <w:rStyle w:val="normaltextrun"/>
          <w:rFonts w:ascii="Arial" w:hAnsi="Arial" w:cs="Arial"/>
          <w:sz w:val="22"/>
          <w:szCs w:val="22"/>
          <w:lang w:val="fr-CH"/>
        </w:rPr>
        <w:t>, les organismes régionaux sur la pêche, le cas échéant, et le</w:t>
      </w:r>
      <w:r w:rsidR="009202BC" w:rsidRPr="00122ED1">
        <w:rPr>
          <w:rFonts w:ascii="Arial" w:hAnsi="Arial" w:cs="Arial"/>
          <w:sz w:val="22"/>
          <w:szCs w:val="22"/>
          <w:lang w:val="fr-CH"/>
        </w:rPr>
        <w:t xml:space="preserve"> futur instrument juridiquement contraignant sur la pollution plastique, afin de mieux lutter contre les risques de pollution marine pour les espèces migratrices</w:t>
      </w:r>
      <w:r w:rsidR="00E5108D" w:rsidRPr="00122ED1">
        <w:rPr>
          <w:rFonts w:ascii="Arial" w:hAnsi="Arial" w:cs="Arial"/>
          <w:sz w:val="22"/>
          <w:szCs w:val="22"/>
          <w:lang w:val="fr-CH"/>
        </w:rPr>
        <w:t>.</w:t>
      </w:r>
    </w:p>
    <w:p w14:paraId="139173F9" w14:textId="77777777" w:rsidR="00505DEA" w:rsidRPr="00122ED1" w:rsidRDefault="00505DEA" w:rsidP="00122ED1">
      <w:pPr>
        <w:ind w:left="1418"/>
        <w:jc w:val="both"/>
        <w:rPr>
          <w:rFonts w:ascii="Arial" w:hAnsi="Arial" w:cs="Arial"/>
          <w:sz w:val="22"/>
          <w:szCs w:val="22"/>
          <w:lang w:val="fr-CH"/>
        </w:rPr>
      </w:pPr>
    </w:p>
    <w:p w14:paraId="783ADE36" w14:textId="77777777" w:rsidR="00505DEA" w:rsidRPr="00122ED1" w:rsidRDefault="00505DEA" w:rsidP="00122ED1">
      <w:pPr>
        <w:adjustRightInd w:val="0"/>
        <w:jc w:val="both"/>
        <w:rPr>
          <w:rFonts w:ascii="Arial" w:hAnsi="Arial" w:cs="Arial"/>
          <w:sz w:val="22"/>
          <w:szCs w:val="22"/>
          <w:lang w:val="fr-CH"/>
        </w:rPr>
      </w:pPr>
    </w:p>
    <w:p w14:paraId="3B3C68D7" w14:textId="77777777" w:rsidR="00470DC4" w:rsidRPr="00122ED1" w:rsidRDefault="00470DC4" w:rsidP="00122ED1">
      <w:pPr>
        <w:rPr>
          <w:rFonts w:ascii="Arial" w:hAnsi="Arial" w:cs="Arial"/>
          <w:sz w:val="22"/>
          <w:szCs w:val="22"/>
          <w:lang w:val="fr-CH"/>
        </w:rPr>
      </w:pPr>
    </w:p>
    <w:sectPr w:rsidR="00470DC4" w:rsidRPr="00122ED1" w:rsidSect="00AB5285">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D026" w14:textId="77777777" w:rsidR="00DA4013" w:rsidRDefault="00DA4013">
      <w:r>
        <w:separator/>
      </w:r>
    </w:p>
  </w:endnote>
  <w:endnote w:type="continuationSeparator" w:id="0">
    <w:p w14:paraId="5A6205BC" w14:textId="77777777" w:rsidR="00DA4013" w:rsidRDefault="00DA4013">
      <w:r>
        <w:continuationSeparator/>
      </w:r>
    </w:p>
  </w:endnote>
  <w:endnote w:type="continuationNotice" w:id="1">
    <w:p w14:paraId="23F0B86F" w14:textId="77777777" w:rsidR="00DA4013" w:rsidRDefault="00DA4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9676" w14:textId="77777777" w:rsidR="00DA4013" w:rsidRDefault="00DA4013">
      <w:r>
        <w:rPr>
          <w:color w:val="000000"/>
        </w:rPr>
        <w:separator/>
      </w:r>
    </w:p>
  </w:footnote>
  <w:footnote w:type="continuationSeparator" w:id="0">
    <w:p w14:paraId="487CCE9D" w14:textId="77777777" w:rsidR="00DA4013" w:rsidRDefault="00DA4013">
      <w:r>
        <w:continuationSeparator/>
      </w:r>
    </w:p>
  </w:footnote>
  <w:footnote w:type="continuationNotice" w:id="1">
    <w:p w14:paraId="1DDB7F7F" w14:textId="77777777" w:rsidR="00DA4013" w:rsidRDefault="00DA4013"/>
  </w:footnote>
  <w:footnote w:id="2">
    <w:p w14:paraId="056BC52B" w14:textId="69706F06" w:rsidR="00505DEA" w:rsidRPr="00505DEA" w:rsidRDefault="00505DEA" w:rsidP="00505DEA">
      <w:pPr>
        <w:pStyle w:val="FootnoteText"/>
        <w:rPr>
          <w:rFonts w:ascii="Arial" w:hAnsi="Arial" w:cs="Arial"/>
          <w:sz w:val="16"/>
          <w:szCs w:val="16"/>
          <w:lang w:val="fr-FR"/>
        </w:rPr>
      </w:pPr>
      <w:r w:rsidRPr="00505DEA">
        <w:rPr>
          <w:rStyle w:val="FootnoteReference"/>
          <w:rFonts w:ascii="Arial" w:hAnsi="Arial" w:cs="Arial"/>
          <w:sz w:val="16"/>
          <w:szCs w:val="16"/>
        </w:rPr>
        <w:footnoteRef/>
      </w:r>
      <w:r w:rsidRPr="00505DEA">
        <w:rPr>
          <w:rFonts w:ascii="Arial" w:hAnsi="Arial" w:cs="Arial"/>
          <w:sz w:val="16"/>
          <w:szCs w:val="16"/>
          <w:lang w:val="fr-FR"/>
        </w:rPr>
        <w:t xml:space="preserve"> Accord sur la diversité biologique marine des zones ne relevant pas de la juridiction nationale</w:t>
      </w:r>
      <w:r w:rsidR="007C43A4">
        <w:rPr>
          <w:rFonts w:ascii="Arial" w:hAnsi="Arial" w:cs="Arial"/>
          <w:sz w:val="16"/>
          <w:szCs w:val="16"/>
          <w:lang w:val="fr-FR"/>
        </w:rPr>
        <w:t>.</w:t>
      </w:r>
    </w:p>
  </w:footnote>
  <w:footnote w:id="3">
    <w:p w14:paraId="1277A65D" w14:textId="69143E00" w:rsidR="00505DEA" w:rsidRPr="00505DEA" w:rsidRDefault="00505DEA" w:rsidP="00505DEA">
      <w:pPr>
        <w:pStyle w:val="FootnoteText"/>
        <w:rPr>
          <w:rFonts w:ascii="Arial" w:hAnsi="Arial" w:cs="Arial"/>
          <w:sz w:val="16"/>
          <w:szCs w:val="16"/>
          <w:lang w:val="fr-FR"/>
        </w:rPr>
      </w:pPr>
      <w:r w:rsidRPr="00505DEA">
        <w:rPr>
          <w:rStyle w:val="FootnoteReference"/>
          <w:rFonts w:ascii="Arial" w:hAnsi="Arial" w:cs="Arial"/>
          <w:sz w:val="16"/>
          <w:szCs w:val="16"/>
        </w:rPr>
        <w:footnoteRef/>
      </w:r>
      <w:r w:rsidRPr="00505DEA">
        <w:rPr>
          <w:rFonts w:ascii="Arial" w:hAnsi="Arial" w:cs="Arial"/>
          <w:sz w:val="16"/>
          <w:szCs w:val="16"/>
          <w:lang w:val="fr-FR"/>
        </w:rPr>
        <w:t xml:space="preserve"> Convention sur la diversité biologique</w:t>
      </w:r>
      <w:r w:rsidR="007C43A4">
        <w:rPr>
          <w:rFonts w:ascii="Arial" w:hAnsi="Arial" w:cs="Arial"/>
          <w:sz w:val="16"/>
          <w:szCs w:val="16"/>
          <w:lang w:val="fr-FR"/>
        </w:rPr>
        <w:t>.</w:t>
      </w:r>
    </w:p>
  </w:footnote>
  <w:footnote w:id="4">
    <w:p w14:paraId="133609EA" w14:textId="18ECD1B3" w:rsidR="00505DEA" w:rsidRPr="00505DEA" w:rsidRDefault="00505DEA" w:rsidP="00505DEA">
      <w:pPr>
        <w:pStyle w:val="FootnoteText"/>
        <w:rPr>
          <w:rFonts w:ascii="Arial" w:hAnsi="Arial" w:cs="Arial"/>
          <w:sz w:val="16"/>
          <w:szCs w:val="16"/>
          <w:lang w:val="fr-FR"/>
        </w:rPr>
      </w:pPr>
      <w:r w:rsidRPr="00505DEA">
        <w:rPr>
          <w:rStyle w:val="FootnoteReference"/>
          <w:rFonts w:ascii="Arial" w:hAnsi="Arial" w:cs="Arial"/>
          <w:sz w:val="16"/>
          <w:szCs w:val="16"/>
        </w:rPr>
        <w:footnoteRef/>
      </w:r>
      <w:r w:rsidRPr="00505DEA">
        <w:rPr>
          <w:rFonts w:ascii="Arial" w:hAnsi="Arial" w:cs="Arial"/>
          <w:sz w:val="16"/>
          <w:szCs w:val="16"/>
          <w:lang w:val="fr-FR"/>
        </w:rPr>
        <w:t xml:space="preserve"> Convention de Stockholm sur les polluants organiques persistants</w:t>
      </w:r>
      <w:r w:rsidR="007C43A4">
        <w:rPr>
          <w:rFonts w:ascii="Arial" w:hAnsi="Arial" w:cs="Arial"/>
          <w:sz w:val="16"/>
          <w:szCs w:val="16"/>
          <w:lang w:val="fr-FR"/>
        </w:rPr>
        <w:t>.</w:t>
      </w:r>
    </w:p>
  </w:footnote>
  <w:footnote w:id="5">
    <w:p w14:paraId="1B271E77" w14:textId="239E2F2A" w:rsidR="00505DEA" w:rsidRPr="00505DEA" w:rsidRDefault="00505DEA" w:rsidP="00505DEA">
      <w:pPr>
        <w:pStyle w:val="FootnoteText"/>
        <w:rPr>
          <w:rFonts w:ascii="Arial" w:hAnsi="Arial" w:cs="Arial"/>
          <w:sz w:val="16"/>
          <w:szCs w:val="16"/>
          <w:lang w:val="fr-FR"/>
        </w:rPr>
      </w:pPr>
      <w:r w:rsidRPr="00505DEA">
        <w:rPr>
          <w:rStyle w:val="FootnoteReference"/>
          <w:rFonts w:ascii="Arial" w:hAnsi="Arial" w:cs="Arial"/>
          <w:sz w:val="16"/>
          <w:szCs w:val="16"/>
        </w:rPr>
        <w:footnoteRef/>
      </w:r>
      <w:r w:rsidRPr="00505DEA">
        <w:rPr>
          <w:rFonts w:ascii="Arial" w:hAnsi="Arial" w:cs="Arial"/>
          <w:sz w:val="16"/>
          <w:szCs w:val="16"/>
          <w:lang w:val="fr-FR"/>
        </w:rPr>
        <w:t xml:space="preserve"> Convention de Bâle sur le contrôle des mouvements transfrontières de déchets dangereux et de leur élimination</w:t>
      </w:r>
      <w:r w:rsidR="007C43A4">
        <w:rPr>
          <w:rFonts w:ascii="Arial" w:hAnsi="Arial" w:cs="Arial"/>
          <w:sz w:val="16"/>
          <w:szCs w:val="16"/>
          <w:lang w:val="fr-FR"/>
        </w:rPr>
        <w:t>.</w:t>
      </w:r>
    </w:p>
  </w:footnote>
  <w:footnote w:id="6">
    <w:p w14:paraId="46C88782" w14:textId="36DF52FA" w:rsidR="00505DEA" w:rsidRPr="00505DEA" w:rsidRDefault="00505DEA" w:rsidP="00505DEA">
      <w:pPr>
        <w:pStyle w:val="FootnoteText"/>
        <w:rPr>
          <w:rFonts w:ascii="Arial" w:hAnsi="Arial" w:cs="Arial"/>
          <w:sz w:val="16"/>
          <w:szCs w:val="16"/>
          <w:lang w:val="fr-FR"/>
        </w:rPr>
      </w:pPr>
      <w:r w:rsidRPr="00505DEA">
        <w:rPr>
          <w:rStyle w:val="FootnoteReference"/>
          <w:rFonts w:ascii="Arial" w:hAnsi="Arial" w:cs="Arial"/>
          <w:sz w:val="16"/>
          <w:szCs w:val="16"/>
        </w:rPr>
        <w:footnoteRef/>
      </w:r>
      <w:r w:rsidRPr="00505DEA">
        <w:rPr>
          <w:rFonts w:ascii="Arial" w:hAnsi="Arial" w:cs="Arial"/>
          <w:sz w:val="16"/>
          <w:szCs w:val="16"/>
          <w:lang w:val="fr-FR"/>
        </w:rPr>
        <w:t xml:space="preserve"> Convention de Minamata sur le mercure</w:t>
      </w:r>
      <w:r w:rsidR="007C43A4">
        <w:rPr>
          <w:rFonts w:ascii="Arial" w:hAnsi="Arial" w:cs="Arial"/>
          <w:sz w:val="16"/>
          <w:szCs w:val="16"/>
          <w:lang w:val="fr-FR"/>
        </w:rPr>
        <w:t>.</w:t>
      </w:r>
    </w:p>
  </w:footnote>
  <w:footnote w:id="7">
    <w:p w14:paraId="0CD1103E" w14:textId="283643DE" w:rsidR="009202BC" w:rsidRPr="00A719DC" w:rsidRDefault="009202BC" w:rsidP="009202BC">
      <w:pPr>
        <w:pStyle w:val="FootnoteText"/>
        <w:rPr>
          <w:rFonts w:ascii="Arial" w:hAnsi="Arial" w:cs="Arial"/>
          <w:sz w:val="16"/>
          <w:szCs w:val="16"/>
          <w:lang w:val="fr-CH"/>
        </w:rPr>
      </w:pPr>
      <w:r w:rsidRPr="00331E07">
        <w:rPr>
          <w:rStyle w:val="FootnoteReference"/>
          <w:rFonts w:ascii="Arial" w:hAnsi="Arial" w:cs="Arial"/>
          <w:sz w:val="16"/>
          <w:szCs w:val="16"/>
        </w:rPr>
        <w:footnoteRef/>
      </w:r>
      <w:r w:rsidRPr="00122ED1">
        <w:rPr>
          <w:rFonts w:ascii="Arial" w:hAnsi="Arial" w:cs="Arial"/>
          <w:sz w:val="16"/>
          <w:szCs w:val="16"/>
          <w:lang w:val="fr-FR"/>
        </w:rPr>
        <w:t xml:space="preserve"> </w:t>
      </w:r>
      <w:r w:rsidRPr="00A719DC">
        <w:rPr>
          <w:rFonts w:ascii="Arial" w:hAnsi="Arial" w:cs="Arial"/>
          <w:sz w:val="16"/>
          <w:szCs w:val="16"/>
          <w:lang w:val="fr-CH"/>
        </w:rPr>
        <w:t>Plateforme intergouvernementale scientifique et politique sur la biodiversité et les services écosystémiques.</w:t>
      </w:r>
    </w:p>
  </w:footnote>
  <w:footnote w:id="8">
    <w:p w14:paraId="4B68CE00" w14:textId="5B6E6803" w:rsidR="009202BC" w:rsidRPr="00A719DC" w:rsidRDefault="009202BC" w:rsidP="009202BC">
      <w:pPr>
        <w:pStyle w:val="FootnoteText"/>
        <w:rPr>
          <w:rFonts w:ascii="Arial" w:hAnsi="Arial" w:cs="Arial"/>
          <w:sz w:val="16"/>
          <w:szCs w:val="16"/>
          <w:lang w:val="fr-CH"/>
        </w:rPr>
      </w:pPr>
      <w:r w:rsidRPr="00A719DC">
        <w:rPr>
          <w:rStyle w:val="FootnoteReference"/>
          <w:rFonts w:ascii="Arial" w:hAnsi="Arial" w:cs="Arial"/>
          <w:sz w:val="16"/>
          <w:szCs w:val="16"/>
          <w:lang w:val="fr-CH"/>
        </w:rPr>
        <w:footnoteRef/>
      </w:r>
      <w:r w:rsidRPr="00A719DC">
        <w:rPr>
          <w:rFonts w:ascii="Arial" w:hAnsi="Arial" w:cs="Arial"/>
          <w:sz w:val="16"/>
          <w:szCs w:val="16"/>
          <w:vertAlign w:val="superscript"/>
          <w:lang w:val="fr-CH"/>
        </w:rPr>
        <w:t xml:space="preserve"> </w:t>
      </w:r>
      <w:r w:rsidRPr="00A719DC">
        <w:rPr>
          <w:rFonts w:ascii="Arial" w:hAnsi="Arial" w:cs="Arial"/>
          <w:sz w:val="16"/>
          <w:szCs w:val="16"/>
          <w:lang w:val="fr-CH"/>
        </w:rPr>
        <w:t>Organisation maritime internationale.</w:t>
      </w:r>
    </w:p>
  </w:footnote>
  <w:footnote w:id="9">
    <w:p w14:paraId="64E84DE9" w14:textId="76FD732B" w:rsidR="009202BC" w:rsidRPr="00A719DC" w:rsidRDefault="009202BC" w:rsidP="009202BC">
      <w:pPr>
        <w:pStyle w:val="FootnoteText"/>
        <w:rPr>
          <w:lang w:val="fr-CH"/>
        </w:rPr>
      </w:pPr>
      <w:r w:rsidRPr="00A719DC">
        <w:rPr>
          <w:rStyle w:val="FootnoteReference"/>
          <w:rFonts w:ascii="Arial" w:hAnsi="Arial" w:cs="Arial"/>
          <w:sz w:val="16"/>
          <w:szCs w:val="16"/>
          <w:lang w:val="fr-CH"/>
        </w:rPr>
        <w:footnoteRef/>
      </w:r>
      <w:r w:rsidRPr="00A719DC">
        <w:rPr>
          <w:rFonts w:ascii="Arial" w:hAnsi="Arial" w:cs="Arial"/>
          <w:sz w:val="16"/>
          <w:szCs w:val="16"/>
          <w:lang w:val="fr-CH"/>
        </w:rPr>
        <w:t xml:space="preserve"> </w:t>
      </w:r>
      <w:r w:rsidR="007C43A4" w:rsidRPr="00A719DC">
        <w:rPr>
          <w:rFonts w:ascii="Arial" w:hAnsi="Arial" w:cs="Arial"/>
          <w:sz w:val="16"/>
          <w:szCs w:val="16"/>
          <w:lang w:val="fr-CH"/>
        </w:rPr>
        <w:t>Convention sur la prévention de la pollution des mers résultant de l'immersion de déchets (Convention de Londres) et son Protocole de Londres, et la Convention internationale pour la prévention de la pollution par les navires (MARPOL</w:t>
      </w:r>
      <w:r w:rsidRPr="00A719DC">
        <w:rPr>
          <w:rFonts w:ascii="Arial" w:hAnsi="Arial" w:cs="Arial"/>
          <w:sz w:val="16"/>
          <w:szCs w:val="16"/>
          <w:lang w:val="fr-CH"/>
        </w:rPr>
        <w:t>).</w:t>
      </w:r>
    </w:p>
  </w:footnote>
  <w:footnote w:id="10">
    <w:p w14:paraId="055BD8D4" w14:textId="4DB0E3E5" w:rsidR="009202BC" w:rsidRPr="00505DEA" w:rsidRDefault="009202BC" w:rsidP="009202BC">
      <w:pPr>
        <w:pStyle w:val="FootnoteText"/>
        <w:rPr>
          <w:rFonts w:ascii="Arial" w:hAnsi="Arial" w:cs="Arial"/>
          <w:sz w:val="16"/>
          <w:szCs w:val="16"/>
          <w:lang w:val="fr-FR"/>
        </w:rPr>
      </w:pPr>
      <w:r w:rsidRPr="00505DEA">
        <w:rPr>
          <w:rStyle w:val="FootnoteReference"/>
          <w:rFonts w:ascii="Arial" w:hAnsi="Arial" w:cs="Arial"/>
          <w:sz w:val="16"/>
          <w:szCs w:val="16"/>
        </w:rPr>
        <w:footnoteRef/>
      </w:r>
      <w:r w:rsidRPr="00505DEA">
        <w:rPr>
          <w:rFonts w:ascii="Arial" w:hAnsi="Arial" w:cs="Arial"/>
          <w:sz w:val="16"/>
          <w:szCs w:val="16"/>
          <w:lang w:val="fr-FR"/>
        </w:rPr>
        <w:t xml:space="preserve"> Accord sur la diversité biologique marine des zones ne relevant pas de la juridiction nationale</w:t>
      </w:r>
      <w:r>
        <w:rPr>
          <w:rFonts w:ascii="Arial" w:hAnsi="Arial" w:cs="Arial"/>
          <w:sz w:val="16"/>
          <w:szCs w:val="16"/>
          <w:lang w:val="fr-FR"/>
        </w:rPr>
        <w:t>.</w:t>
      </w:r>
    </w:p>
  </w:footnote>
  <w:footnote w:id="11">
    <w:p w14:paraId="2F99F37D" w14:textId="700219BF" w:rsidR="009202BC" w:rsidRPr="00505DEA" w:rsidRDefault="009202BC" w:rsidP="009202BC">
      <w:pPr>
        <w:pStyle w:val="FootnoteText"/>
        <w:rPr>
          <w:rFonts w:ascii="Arial" w:hAnsi="Arial" w:cs="Arial"/>
          <w:sz w:val="16"/>
          <w:szCs w:val="16"/>
          <w:lang w:val="fr-FR"/>
        </w:rPr>
      </w:pPr>
      <w:r w:rsidRPr="00505DEA">
        <w:rPr>
          <w:rStyle w:val="FootnoteReference"/>
          <w:rFonts w:ascii="Arial" w:hAnsi="Arial" w:cs="Arial"/>
          <w:sz w:val="16"/>
          <w:szCs w:val="16"/>
        </w:rPr>
        <w:footnoteRef/>
      </w:r>
      <w:r w:rsidRPr="00505DEA">
        <w:rPr>
          <w:rFonts w:ascii="Arial" w:hAnsi="Arial" w:cs="Arial"/>
          <w:sz w:val="16"/>
          <w:szCs w:val="16"/>
          <w:lang w:val="fr-FR"/>
        </w:rPr>
        <w:t xml:space="preserve"> Convention sur la diversité biologique</w:t>
      </w:r>
      <w:r>
        <w:rPr>
          <w:rFonts w:ascii="Arial" w:hAnsi="Arial" w:cs="Arial"/>
          <w:sz w:val="16"/>
          <w:szCs w:val="16"/>
          <w:lang w:val="fr-FR"/>
        </w:rPr>
        <w:t>.</w:t>
      </w:r>
    </w:p>
  </w:footnote>
  <w:footnote w:id="12">
    <w:p w14:paraId="401EDE46" w14:textId="32AD8370" w:rsidR="009202BC" w:rsidRPr="00505DEA" w:rsidRDefault="009202BC" w:rsidP="009202BC">
      <w:pPr>
        <w:pStyle w:val="FootnoteText"/>
        <w:rPr>
          <w:rFonts w:ascii="Arial" w:hAnsi="Arial" w:cs="Arial"/>
          <w:sz w:val="16"/>
          <w:szCs w:val="16"/>
          <w:lang w:val="fr-FR"/>
        </w:rPr>
      </w:pPr>
      <w:r w:rsidRPr="00505DEA">
        <w:rPr>
          <w:rStyle w:val="FootnoteReference"/>
          <w:rFonts w:ascii="Arial" w:hAnsi="Arial" w:cs="Arial"/>
          <w:sz w:val="16"/>
          <w:szCs w:val="16"/>
        </w:rPr>
        <w:footnoteRef/>
      </w:r>
      <w:r w:rsidRPr="00505DEA">
        <w:rPr>
          <w:rFonts w:ascii="Arial" w:hAnsi="Arial" w:cs="Arial"/>
          <w:sz w:val="16"/>
          <w:szCs w:val="16"/>
          <w:lang w:val="fr-FR"/>
        </w:rPr>
        <w:t xml:space="preserve"> Convention de Stockholm sur les polluants organiques persistants</w:t>
      </w:r>
      <w:r>
        <w:rPr>
          <w:rFonts w:ascii="Arial" w:hAnsi="Arial" w:cs="Arial"/>
          <w:sz w:val="16"/>
          <w:szCs w:val="16"/>
          <w:lang w:val="fr-FR"/>
        </w:rPr>
        <w:t>.</w:t>
      </w:r>
    </w:p>
  </w:footnote>
  <w:footnote w:id="13">
    <w:p w14:paraId="7B41F16D" w14:textId="69DCF623" w:rsidR="009202BC" w:rsidRPr="00A719DC" w:rsidRDefault="009202BC" w:rsidP="009202BC">
      <w:pPr>
        <w:pStyle w:val="FootnoteText"/>
        <w:rPr>
          <w:rFonts w:ascii="Arial" w:hAnsi="Arial" w:cs="Arial"/>
          <w:sz w:val="16"/>
          <w:szCs w:val="16"/>
          <w:lang w:val="fr-CH"/>
        </w:rPr>
      </w:pPr>
      <w:r w:rsidRPr="00505DEA">
        <w:rPr>
          <w:rStyle w:val="FootnoteReference"/>
          <w:rFonts w:ascii="Arial" w:hAnsi="Arial" w:cs="Arial"/>
          <w:sz w:val="16"/>
          <w:szCs w:val="16"/>
        </w:rPr>
        <w:footnoteRef/>
      </w:r>
      <w:r w:rsidRPr="00505DEA">
        <w:rPr>
          <w:rFonts w:ascii="Arial" w:hAnsi="Arial" w:cs="Arial"/>
          <w:sz w:val="16"/>
          <w:szCs w:val="16"/>
          <w:lang w:val="fr-FR"/>
        </w:rPr>
        <w:t xml:space="preserve"> Convention </w:t>
      </w:r>
      <w:r w:rsidRPr="00A719DC">
        <w:rPr>
          <w:rFonts w:ascii="Arial" w:hAnsi="Arial" w:cs="Arial"/>
          <w:sz w:val="16"/>
          <w:szCs w:val="16"/>
          <w:lang w:val="fr-CH"/>
        </w:rPr>
        <w:t>de Bâle sur le contrôle des mouvements transfrontières de déchets dangereux et de leur élimination.</w:t>
      </w:r>
    </w:p>
  </w:footnote>
  <w:footnote w:id="14">
    <w:p w14:paraId="2BD7E62C" w14:textId="4D34A0F0" w:rsidR="009202BC" w:rsidRPr="00A719DC" w:rsidRDefault="009202BC" w:rsidP="009202BC">
      <w:pPr>
        <w:pStyle w:val="FootnoteText"/>
        <w:rPr>
          <w:rFonts w:ascii="Arial" w:hAnsi="Arial" w:cs="Arial"/>
          <w:sz w:val="16"/>
          <w:szCs w:val="16"/>
          <w:lang w:val="fr-CH"/>
        </w:rPr>
      </w:pPr>
      <w:r w:rsidRPr="00A719DC">
        <w:rPr>
          <w:rStyle w:val="FootnoteReference"/>
          <w:rFonts w:ascii="Arial" w:hAnsi="Arial" w:cs="Arial"/>
          <w:sz w:val="16"/>
          <w:szCs w:val="16"/>
          <w:lang w:val="fr-CH"/>
        </w:rPr>
        <w:footnoteRef/>
      </w:r>
      <w:r w:rsidRPr="00A719DC">
        <w:rPr>
          <w:rFonts w:ascii="Arial" w:hAnsi="Arial" w:cs="Arial"/>
          <w:sz w:val="16"/>
          <w:szCs w:val="16"/>
          <w:lang w:val="fr-CH"/>
        </w:rPr>
        <w:t xml:space="preserve"> Convention de Minamata sur le mercure.</w:t>
      </w:r>
    </w:p>
  </w:footnote>
  <w:footnote w:id="15">
    <w:p w14:paraId="14A5FE54" w14:textId="556991FA" w:rsidR="009202BC" w:rsidRPr="00A719DC" w:rsidRDefault="009202BC" w:rsidP="009202BC">
      <w:pPr>
        <w:pStyle w:val="FootnoteText"/>
        <w:rPr>
          <w:rFonts w:ascii="Arial" w:hAnsi="Arial" w:cs="Arial"/>
          <w:sz w:val="16"/>
          <w:szCs w:val="16"/>
          <w:lang w:val="fr-CH"/>
        </w:rPr>
      </w:pPr>
      <w:r w:rsidRPr="00A719DC">
        <w:rPr>
          <w:rStyle w:val="FootnoteReference"/>
          <w:rFonts w:ascii="Arial" w:hAnsi="Arial" w:cs="Arial"/>
          <w:sz w:val="16"/>
          <w:szCs w:val="16"/>
          <w:lang w:val="fr-CH"/>
        </w:rPr>
        <w:footnoteRef/>
      </w:r>
      <w:r w:rsidRPr="00A719DC">
        <w:rPr>
          <w:rFonts w:ascii="Arial" w:hAnsi="Arial" w:cs="Arial"/>
          <w:sz w:val="16"/>
          <w:szCs w:val="16"/>
          <w:lang w:val="fr-CH"/>
        </w:rPr>
        <w:t xml:space="preserve"> Plateforme intergouvernementale scientifique et politique sur la biodiversité et les services écosystémiques.</w:t>
      </w:r>
    </w:p>
  </w:footnote>
  <w:footnote w:id="16">
    <w:p w14:paraId="3F1A95E9" w14:textId="69B92191" w:rsidR="009202BC" w:rsidRPr="00A719DC" w:rsidRDefault="009202BC" w:rsidP="009202BC">
      <w:pPr>
        <w:pStyle w:val="FootnoteText"/>
        <w:rPr>
          <w:rFonts w:ascii="Arial" w:hAnsi="Arial" w:cs="Arial"/>
          <w:sz w:val="16"/>
          <w:szCs w:val="16"/>
          <w:lang w:val="fr-CH"/>
        </w:rPr>
      </w:pPr>
      <w:r w:rsidRPr="00A719DC">
        <w:rPr>
          <w:rStyle w:val="FootnoteReference"/>
          <w:rFonts w:ascii="Arial" w:hAnsi="Arial" w:cs="Arial"/>
          <w:sz w:val="16"/>
          <w:szCs w:val="16"/>
          <w:lang w:val="fr-CH"/>
        </w:rPr>
        <w:footnoteRef/>
      </w:r>
      <w:r w:rsidRPr="00A719DC">
        <w:rPr>
          <w:rFonts w:ascii="Arial" w:hAnsi="Arial" w:cs="Arial"/>
          <w:sz w:val="16"/>
          <w:szCs w:val="16"/>
          <w:vertAlign w:val="superscript"/>
          <w:lang w:val="fr-CH"/>
        </w:rPr>
        <w:t xml:space="preserve"> </w:t>
      </w:r>
      <w:r w:rsidRPr="00A719DC">
        <w:rPr>
          <w:rFonts w:ascii="Arial" w:hAnsi="Arial" w:cs="Arial"/>
          <w:sz w:val="16"/>
          <w:szCs w:val="16"/>
          <w:lang w:val="fr-CH"/>
        </w:rPr>
        <w:t>Organisation maritime internationale.</w:t>
      </w:r>
    </w:p>
  </w:footnote>
  <w:footnote w:id="17">
    <w:p w14:paraId="79F5EABA" w14:textId="3D7D80D0" w:rsidR="009202BC" w:rsidRPr="00122ED1" w:rsidRDefault="009202BC" w:rsidP="009202BC">
      <w:pPr>
        <w:pStyle w:val="FootnoteText"/>
        <w:rPr>
          <w:lang w:val="fr-FR"/>
        </w:rPr>
      </w:pPr>
      <w:r w:rsidRPr="00A719DC">
        <w:rPr>
          <w:rStyle w:val="FootnoteReference"/>
          <w:rFonts w:ascii="Arial" w:hAnsi="Arial" w:cs="Arial"/>
          <w:sz w:val="16"/>
          <w:szCs w:val="16"/>
          <w:lang w:val="fr-CH"/>
        </w:rPr>
        <w:footnoteRef/>
      </w:r>
      <w:r w:rsidRPr="00A719DC">
        <w:rPr>
          <w:rFonts w:ascii="Arial" w:hAnsi="Arial" w:cs="Arial"/>
          <w:sz w:val="16"/>
          <w:szCs w:val="16"/>
          <w:lang w:val="fr-CH"/>
        </w:rPr>
        <w:t xml:space="preserve"> Convention sur la prévention de la pollution des mers résultant de l'immersion de déchets (Convention de Londres) </w:t>
      </w:r>
      <w:r w:rsidR="007C43A4" w:rsidRPr="00A719DC">
        <w:rPr>
          <w:rFonts w:ascii="Arial" w:hAnsi="Arial" w:cs="Arial"/>
          <w:sz w:val="16"/>
          <w:szCs w:val="16"/>
          <w:lang w:val="fr-CH"/>
        </w:rPr>
        <w:t>et son Protocole de Londres</w:t>
      </w:r>
      <w:r w:rsidRPr="00A719DC">
        <w:rPr>
          <w:rFonts w:ascii="Arial" w:hAnsi="Arial" w:cs="Arial"/>
          <w:sz w:val="16"/>
          <w:szCs w:val="16"/>
          <w:lang w:val="fr-CH"/>
        </w:rPr>
        <w:t xml:space="preserve">, </w:t>
      </w:r>
      <w:r w:rsidR="007C43A4" w:rsidRPr="00A719DC">
        <w:rPr>
          <w:rFonts w:ascii="Arial" w:hAnsi="Arial" w:cs="Arial"/>
          <w:sz w:val="16"/>
          <w:szCs w:val="16"/>
          <w:lang w:val="fr-CH"/>
        </w:rPr>
        <w:t>et la</w:t>
      </w:r>
      <w:r w:rsidRPr="00A719DC">
        <w:rPr>
          <w:rFonts w:ascii="Arial" w:hAnsi="Arial" w:cs="Arial"/>
          <w:sz w:val="16"/>
          <w:szCs w:val="16"/>
          <w:lang w:val="fr-CH"/>
        </w:rPr>
        <w:t xml:space="preserve"> Convention </w:t>
      </w:r>
      <w:r w:rsidR="007C43A4" w:rsidRPr="00A719DC">
        <w:rPr>
          <w:rFonts w:ascii="Arial" w:hAnsi="Arial" w:cs="Arial"/>
          <w:sz w:val="16"/>
          <w:szCs w:val="16"/>
          <w:lang w:val="fr-CH"/>
        </w:rPr>
        <w:t xml:space="preserve">internationale pour la prévention de la pollution par les navires </w:t>
      </w:r>
      <w:r w:rsidRPr="00A719DC">
        <w:rPr>
          <w:rFonts w:ascii="Arial" w:hAnsi="Arial" w:cs="Arial"/>
          <w:sz w:val="16"/>
          <w:szCs w:val="16"/>
          <w:lang w:val="fr-CH"/>
        </w:rPr>
        <w:t>(MARPOL).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24FFE7CD" w:rsidR="0041439A" w:rsidRPr="00C00052"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C00052">
      <w:rPr>
        <w:rFonts w:ascii="Arial" w:hAnsi="Arial" w:cs="Arial"/>
        <w:i/>
        <w:sz w:val="18"/>
        <w:szCs w:val="18"/>
        <w:lang w:val="pt-PT"/>
      </w:rPr>
      <w:t>UNEP/CMS/COP1</w:t>
    </w:r>
    <w:r w:rsidR="00AB5285" w:rsidRPr="00C00052">
      <w:rPr>
        <w:rFonts w:ascii="Arial" w:hAnsi="Arial" w:cs="Arial"/>
        <w:i/>
        <w:sz w:val="18"/>
        <w:szCs w:val="18"/>
        <w:lang w:val="pt-PT"/>
      </w:rPr>
      <w:t>5</w:t>
    </w:r>
    <w:r w:rsidRPr="00C00052">
      <w:rPr>
        <w:rFonts w:ascii="Arial" w:hAnsi="Arial" w:cs="Arial"/>
        <w:i/>
        <w:sz w:val="18"/>
        <w:szCs w:val="18"/>
        <w:lang w:val="pt-PT"/>
      </w:rPr>
      <w:t>/CRP</w:t>
    </w:r>
    <w:r w:rsidR="00D507D8" w:rsidRPr="00C00052">
      <w:rPr>
        <w:rFonts w:ascii="Arial" w:hAnsi="Arial" w:cs="Arial"/>
        <w:i/>
        <w:sz w:val="18"/>
        <w:szCs w:val="18"/>
        <w:lang w:val="pt-PT"/>
      </w:rPr>
      <w:t>25.2.1</w:t>
    </w:r>
  </w:p>
  <w:p w14:paraId="50B9F4CC" w14:textId="77777777" w:rsidR="0041439A" w:rsidRPr="00C00052" w:rsidRDefault="0041439A">
    <w:pPr>
      <w:pStyle w:val="Header"/>
      <w:rPr>
        <w:sz w:val="18"/>
        <w:szCs w:val="18"/>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F4AF8D4" w:rsidR="0041439A" w:rsidRPr="00D26C57"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D26C57">
      <w:rPr>
        <w:rFonts w:ascii="Arial" w:hAnsi="Arial" w:cs="Arial"/>
        <w:i/>
        <w:sz w:val="18"/>
        <w:szCs w:val="18"/>
        <w:lang w:val="pt-PT"/>
      </w:rPr>
      <w:t>UNEP/CMS/COP1</w:t>
    </w:r>
    <w:r w:rsidR="00AB5285" w:rsidRPr="00D26C57">
      <w:rPr>
        <w:rFonts w:ascii="Arial" w:hAnsi="Arial" w:cs="Arial"/>
        <w:i/>
        <w:sz w:val="18"/>
        <w:szCs w:val="18"/>
        <w:lang w:val="pt-PT"/>
      </w:rPr>
      <w:t>5</w:t>
    </w:r>
    <w:r w:rsidRPr="00D26C57">
      <w:rPr>
        <w:rFonts w:ascii="Arial" w:hAnsi="Arial" w:cs="Arial"/>
        <w:i/>
        <w:sz w:val="18"/>
        <w:szCs w:val="18"/>
        <w:lang w:val="pt-PT"/>
      </w:rPr>
      <w:t>/CRP</w:t>
    </w:r>
    <w:r w:rsidR="00620BD8" w:rsidRPr="00D26C57">
      <w:rPr>
        <w:rFonts w:ascii="Arial" w:hAnsi="Arial" w:cs="Arial"/>
        <w:i/>
        <w:sz w:val="18"/>
        <w:szCs w:val="18"/>
        <w:lang w:val="pt-PT"/>
      </w:rPr>
      <w:t>25.</w:t>
    </w:r>
    <w:r w:rsidR="00544B01" w:rsidRPr="00D26C57">
      <w:rPr>
        <w:rFonts w:ascii="Arial" w:hAnsi="Arial" w:cs="Arial"/>
        <w:i/>
        <w:sz w:val="18"/>
        <w:szCs w:val="18"/>
        <w:lang w:val="pt-PT"/>
      </w:rPr>
      <w:t>2.1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266F" w14:textId="522472D3" w:rsidR="007A1066" w:rsidRPr="00D507D8" w:rsidRDefault="007A1066" w:rsidP="00D507D8">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F52A55">
      <w:rPr>
        <w:rFonts w:ascii="Arial" w:hAnsi="Arial" w:cs="Arial"/>
        <w:bCs/>
        <w:i/>
        <w:iCs/>
        <w:sz w:val="18"/>
        <w:szCs w:val="18"/>
        <w:lang w:val="pt-PT"/>
      </w:rPr>
      <w:t>UNEP/CMS/COP1</w:t>
    </w:r>
    <w:r w:rsidR="00AB5285" w:rsidRPr="00F52A55">
      <w:rPr>
        <w:rFonts w:ascii="Arial" w:hAnsi="Arial" w:cs="Arial"/>
        <w:bCs/>
        <w:i/>
        <w:iCs/>
        <w:sz w:val="18"/>
        <w:szCs w:val="18"/>
        <w:lang w:val="pt-PT"/>
      </w:rPr>
      <w:t>5</w:t>
    </w:r>
    <w:r w:rsidRPr="00F52A55">
      <w:rPr>
        <w:rFonts w:ascii="Arial" w:hAnsi="Arial" w:cs="Arial"/>
        <w:bCs/>
        <w:i/>
        <w:iCs/>
        <w:sz w:val="18"/>
        <w:szCs w:val="18"/>
        <w:lang w:val="pt-PT"/>
      </w:rPr>
      <w:t>/CRP</w:t>
    </w:r>
    <w:r w:rsidR="009736D7">
      <w:rPr>
        <w:rFonts w:ascii="Arial" w:hAnsi="Arial" w:cs="Arial"/>
        <w:bCs/>
        <w:i/>
        <w:iCs/>
        <w:sz w:val="18"/>
        <w:szCs w:val="18"/>
        <w:lang w:val="pt-PT"/>
      </w:rPr>
      <w:t>25.2.1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E98"/>
    <w:multiLevelType w:val="hybridMultilevel"/>
    <w:tmpl w:val="73F05EDA"/>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FB178C"/>
    <w:multiLevelType w:val="hybridMultilevel"/>
    <w:tmpl w:val="15F47A2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3DF48E4"/>
    <w:multiLevelType w:val="hybridMultilevel"/>
    <w:tmpl w:val="055E681E"/>
    <w:lvl w:ilvl="0" w:tplc="20000017">
      <w:start w:val="1"/>
      <w:numFmt w:val="lowerLett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3BC82A81"/>
    <w:multiLevelType w:val="hybridMultilevel"/>
    <w:tmpl w:val="AB14BA26"/>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200771"/>
    <w:multiLevelType w:val="hybridMultilevel"/>
    <w:tmpl w:val="99362684"/>
    <w:lvl w:ilvl="0" w:tplc="08090017">
      <w:start w:val="1"/>
      <w:numFmt w:val="lowerLetter"/>
      <w:lvlText w:val="%1)"/>
      <w:lvlJc w:val="left"/>
      <w:pPr>
        <w:ind w:left="720" w:hanging="360"/>
      </w:pPr>
    </w:lvl>
    <w:lvl w:ilvl="1" w:tplc="FE5EF57C">
      <w:start w:val="1"/>
      <w:numFmt w:val="lowerRoman"/>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0D97761"/>
    <w:multiLevelType w:val="hybridMultilevel"/>
    <w:tmpl w:val="5942CF10"/>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9" w15:restartNumberingAfterBreak="0">
    <w:nsid w:val="4FEF4EB4"/>
    <w:multiLevelType w:val="hybridMultilevel"/>
    <w:tmpl w:val="2CCCF7E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F2B3F2A"/>
    <w:multiLevelType w:val="hybridMultilevel"/>
    <w:tmpl w:val="474CB8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6B23627B"/>
    <w:multiLevelType w:val="hybridMultilevel"/>
    <w:tmpl w:val="B2945D1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51232"/>
    <w:multiLevelType w:val="hybridMultilevel"/>
    <w:tmpl w:val="82EC130C"/>
    <w:lvl w:ilvl="0" w:tplc="FE1038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6528537">
    <w:abstractNumId w:val="11"/>
  </w:num>
  <w:num w:numId="2" w16cid:durableId="574051727">
    <w:abstractNumId w:val="14"/>
  </w:num>
  <w:num w:numId="3" w16cid:durableId="6077332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8"/>
  </w:num>
  <w:num w:numId="5" w16cid:durableId="599720149">
    <w:abstractNumId w:val="2"/>
  </w:num>
  <w:num w:numId="6" w16cid:durableId="1796025329">
    <w:abstractNumId w:val="4"/>
  </w:num>
  <w:num w:numId="7" w16cid:durableId="23095959">
    <w:abstractNumId w:val="3"/>
  </w:num>
  <w:num w:numId="8" w16cid:durableId="1925451750">
    <w:abstractNumId w:val="12"/>
  </w:num>
  <w:num w:numId="9" w16cid:durableId="1398281104">
    <w:abstractNumId w:val="0"/>
  </w:num>
  <w:num w:numId="10" w16cid:durableId="614749703">
    <w:abstractNumId w:val="7"/>
  </w:num>
  <w:num w:numId="11" w16cid:durableId="1676301984">
    <w:abstractNumId w:val="15"/>
  </w:num>
  <w:num w:numId="12" w16cid:durableId="249891323">
    <w:abstractNumId w:val="1"/>
  </w:num>
  <w:num w:numId="13" w16cid:durableId="1194420139">
    <w:abstractNumId w:val="5"/>
  </w:num>
  <w:num w:numId="14" w16cid:durableId="1549026654">
    <w:abstractNumId w:val="13"/>
  </w:num>
  <w:num w:numId="15" w16cid:durableId="543445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747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374EE"/>
    <w:rsid w:val="00087A1C"/>
    <w:rsid w:val="000B0D60"/>
    <w:rsid w:val="000C4ABD"/>
    <w:rsid w:val="001125D7"/>
    <w:rsid w:val="00122ED1"/>
    <w:rsid w:val="001352BB"/>
    <w:rsid w:val="00142859"/>
    <w:rsid w:val="00164D92"/>
    <w:rsid w:val="001D1BA6"/>
    <w:rsid w:val="001F4E59"/>
    <w:rsid w:val="002243FE"/>
    <w:rsid w:val="00227282"/>
    <w:rsid w:val="00261F90"/>
    <w:rsid w:val="0027066C"/>
    <w:rsid w:val="00276113"/>
    <w:rsid w:val="002872DA"/>
    <w:rsid w:val="002B6DE7"/>
    <w:rsid w:val="002C5F42"/>
    <w:rsid w:val="0033796E"/>
    <w:rsid w:val="00340E45"/>
    <w:rsid w:val="00374549"/>
    <w:rsid w:val="003967C6"/>
    <w:rsid w:val="003F1AD8"/>
    <w:rsid w:val="0041439A"/>
    <w:rsid w:val="0043102F"/>
    <w:rsid w:val="00454D05"/>
    <w:rsid w:val="00470DC4"/>
    <w:rsid w:val="00481874"/>
    <w:rsid w:val="004A6194"/>
    <w:rsid w:val="004B364B"/>
    <w:rsid w:val="004C2389"/>
    <w:rsid w:val="00505DEA"/>
    <w:rsid w:val="00544B01"/>
    <w:rsid w:val="005645C4"/>
    <w:rsid w:val="0057441D"/>
    <w:rsid w:val="0058757D"/>
    <w:rsid w:val="005D43E4"/>
    <w:rsid w:val="005D574F"/>
    <w:rsid w:val="005F0639"/>
    <w:rsid w:val="00620BD8"/>
    <w:rsid w:val="006821C9"/>
    <w:rsid w:val="00687331"/>
    <w:rsid w:val="006A0F74"/>
    <w:rsid w:val="006C41E6"/>
    <w:rsid w:val="006D020E"/>
    <w:rsid w:val="007103C8"/>
    <w:rsid w:val="00751AAD"/>
    <w:rsid w:val="007A1066"/>
    <w:rsid w:val="007A5544"/>
    <w:rsid w:val="007C43A4"/>
    <w:rsid w:val="007F5A3E"/>
    <w:rsid w:val="00803AFB"/>
    <w:rsid w:val="008144FC"/>
    <w:rsid w:val="00857813"/>
    <w:rsid w:val="009070BD"/>
    <w:rsid w:val="009202BC"/>
    <w:rsid w:val="009268CE"/>
    <w:rsid w:val="00950DA4"/>
    <w:rsid w:val="00960B8C"/>
    <w:rsid w:val="0096699F"/>
    <w:rsid w:val="009736D7"/>
    <w:rsid w:val="009B03FC"/>
    <w:rsid w:val="00A719DC"/>
    <w:rsid w:val="00A8579B"/>
    <w:rsid w:val="00AA138B"/>
    <w:rsid w:val="00AB1EEE"/>
    <w:rsid w:val="00AB5285"/>
    <w:rsid w:val="00AE39EA"/>
    <w:rsid w:val="00AE590E"/>
    <w:rsid w:val="00B11095"/>
    <w:rsid w:val="00B91802"/>
    <w:rsid w:val="00BA50A1"/>
    <w:rsid w:val="00C00052"/>
    <w:rsid w:val="00C30C58"/>
    <w:rsid w:val="00C31E29"/>
    <w:rsid w:val="00CC3E98"/>
    <w:rsid w:val="00D26C57"/>
    <w:rsid w:val="00D416B7"/>
    <w:rsid w:val="00D47217"/>
    <w:rsid w:val="00D507D8"/>
    <w:rsid w:val="00D50F95"/>
    <w:rsid w:val="00D61140"/>
    <w:rsid w:val="00D80CF4"/>
    <w:rsid w:val="00D82C56"/>
    <w:rsid w:val="00DA4013"/>
    <w:rsid w:val="00DB2EEB"/>
    <w:rsid w:val="00DD5974"/>
    <w:rsid w:val="00E1532C"/>
    <w:rsid w:val="00E45B44"/>
    <w:rsid w:val="00E5108D"/>
    <w:rsid w:val="00E829C9"/>
    <w:rsid w:val="00ED0DEE"/>
    <w:rsid w:val="00ED53A4"/>
    <w:rsid w:val="00EF2BC5"/>
    <w:rsid w:val="00F52A55"/>
    <w:rsid w:val="00F56104"/>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DD5974"/>
    <w:pPr>
      <w:autoSpaceDN/>
      <w:spacing w:after="0" w:line="240" w:lineRule="auto"/>
      <w:textAlignment w:val="auto"/>
    </w:pPr>
    <w:rPr>
      <w:rFonts w:ascii="Times New Roman" w:eastAsia="Times New Roman" w:hAnsi="Times New Roman"/>
      <w:sz w:val="20"/>
      <w:szCs w:val="24"/>
    </w:rPr>
  </w:style>
  <w:style w:type="character" w:customStyle="1" w:styleId="normaltextrun">
    <w:name w:val="normaltextrun"/>
    <w:basedOn w:val="DefaultParagraphFont"/>
    <w:rsid w:val="00920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B2552A51-85BB-4DDB-986C-E50EB7F7086B}">
  <ds:schemaRefs>
    <ds:schemaRef ds:uri="http://schemas.openxmlformats.org/officeDocument/2006/bibliography"/>
  </ds:schemaRefs>
</ds:datastoreItem>
</file>

<file path=customXml/itemProps4.xml><?xml version="1.0" encoding="utf-8"?>
<ds:datastoreItem xmlns:ds="http://schemas.openxmlformats.org/officeDocument/2006/customXml" ds:itemID="{2CAA37C8-2CEE-4987-8A5D-E02CD91A6292}"/>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95</TotalTime>
  <Pages>6</Pages>
  <Words>2149</Words>
  <Characters>12250</Characters>
  <Application>Microsoft Office Word</Application>
  <DocSecurity>0</DocSecurity>
  <Lines>102</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15</cp:revision>
  <cp:lastPrinted>2020-02-03T15:02:00Z</cp:lastPrinted>
  <dcterms:created xsi:type="dcterms:W3CDTF">2026-03-26T21:47:00Z</dcterms:created>
  <dcterms:modified xsi:type="dcterms:W3CDTF">2026-03-26T23:41:00Z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fr</vt:lpwstr>
  </property>
</Properties>
</file>