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67D1" w14:textId="32BCA07F" w:rsidR="005345CB" w:rsidRPr="00A67414" w:rsidRDefault="005345CB" w:rsidP="005345CB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A67414">
        <w:rPr>
          <w:rFonts w:ascii="Arial" w:hAnsi="Arial" w:cs="Arial"/>
          <w:b/>
          <w:bCs/>
          <w:sz w:val="22"/>
          <w:szCs w:val="22"/>
          <w:lang w:val="fr-FR"/>
        </w:rPr>
        <w:t>DISPOSITIFS DE CONCENTRATION DE POISSONS</w:t>
      </w:r>
    </w:p>
    <w:p w14:paraId="60C50FAF" w14:textId="77777777" w:rsidR="00AB5285" w:rsidRPr="007A5544" w:rsidRDefault="00AB5285" w:rsidP="005345CB">
      <w:pPr>
        <w:rPr>
          <w:rFonts w:ascii="Arial" w:hAnsi="Arial" w:cs="Arial"/>
          <w:b/>
          <w:sz w:val="22"/>
          <w:szCs w:val="22"/>
          <w:lang w:val="fr-FR"/>
        </w:rPr>
      </w:pPr>
    </w:p>
    <w:p w14:paraId="77BA811D" w14:textId="04393ECF" w:rsidR="00D82C56" w:rsidRPr="007A5544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fr-FR"/>
        </w:rPr>
      </w:pPr>
      <w:r w:rsidRPr="007A5544">
        <w:rPr>
          <w:rFonts w:ascii="Arial" w:hAnsi="Arial" w:cs="Arial"/>
          <w:sz w:val="22"/>
          <w:szCs w:val="22"/>
          <w:lang w:val="fr-FR"/>
        </w:rPr>
        <w:t>UNEP/CMS/COP1</w:t>
      </w:r>
      <w:r w:rsidR="00950DA4" w:rsidRPr="007A5544">
        <w:rPr>
          <w:rFonts w:ascii="Arial" w:hAnsi="Arial" w:cs="Arial"/>
          <w:sz w:val="22"/>
          <w:szCs w:val="22"/>
          <w:lang w:val="fr-FR"/>
        </w:rPr>
        <w:t>5</w:t>
      </w:r>
      <w:r w:rsidRPr="007A5544">
        <w:rPr>
          <w:rFonts w:ascii="Arial" w:hAnsi="Arial" w:cs="Arial"/>
          <w:sz w:val="22"/>
          <w:szCs w:val="22"/>
          <w:lang w:val="fr-FR"/>
        </w:rPr>
        <w:t>/Doc.</w:t>
      </w:r>
      <w:r w:rsidR="006821C9">
        <w:rPr>
          <w:rFonts w:ascii="Arial" w:hAnsi="Arial" w:cs="Arial"/>
          <w:sz w:val="22"/>
          <w:szCs w:val="22"/>
          <w:lang w:val="fr-FR"/>
        </w:rPr>
        <w:t>25.1.</w:t>
      </w:r>
      <w:r w:rsidR="005345CB">
        <w:rPr>
          <w:rFonts w:ascii="Arial" w:hAnsi="Arial" w:cs="Arial"/>
          <w:sz w:val="22"/>
          <w:szCs w:val="22"/>
          <w:lang w:val="fr-FR"/>
        </w:rPr>
        <w:t>3</w:t>
      </w:r>
    </w:p>
    <w:p w14:paraId="73A89732" w14:textId="474EB3E7" w:rsidR="00D82C56" w:rsidRPr="007A5544" w:rsidRDefault="005D43E4" w:rsidP="00E829C9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7A5544">
        <w:rPr>
          <w:rFonts w:ascii="Arial" w:hAnsi="Arial" w:cs="Arial"/>
          <w:i/>
          <w:sz w:val="22"/>
          <w:szCs w:val="22"/>
          <w:lang w:val="fr-FR"/>
        </w:rPr>
        <w:t>(</w:t>
      </w:r>
      <w:proofErr w:type="spellStart"/>
      <w:r w:rsidRPr="007A5544">
        <w:rPr>
          <w:rFonts w:ascii="Arial" w:hAnsi="Arial" w:cs="Arial"/>
          <w:i/>
          <w:sz w:val="22"/>
          <w:szCs w:val="22"/>
          <w:lang w:val="fr-FR"/>
        </w:rPr>
        <w:t>Prepa</w:t>
      </w:r>
      <w:r w:rsidR="00EF2BC5" w:rsidRPr="007A5544">
        <w:rPr>
          <w:rFonts w:ascii="Arial" w:hAnsi="Arial" w:cs="Arial"/>
          <w:i/>
          <w:sz w:val="22"/>
          <w:szCs w:val="22"/>
          <w:lang w:val="fr-FR"/>
        </w:rPr>
        <w:t>ré</w:t>
      </w:r>
      <w:proofErr w:type="spellEnd"/>
      <w:r w:rsidR="00EF2BC5" w:rsidRPr="007A5544">
        <w:rPr>
          <w:rFonts w:ascii="Arial" w:hAnsi="Arial" w:cs="Arial"/>
          <w:i/>
          <w:sz w:val="22"/>
          <w:szCs w:val="22"/>
          <w:lang w:val="fr-FR"/>
        </w:rPr>
        <w:t xml:space="preserve"> par</w:t>
      </w:r>
      <w:r w:rsidR="00FD2360" w:rsidRPr="007A5544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E841E5">
        <w:rPr>
          <w:rFonts w:ascii="Arial" w:hAnsi="Arial" w:cs="Arial"/>
          <w:i/>
          <w:sz w:val="22"/>
          <w:szCs w:val="22"/>
          <w:lang w:val="fr-FR"/>
        </w:rPr>
        <w:t>le groupe de travail sur les espèces aquatiques</w:t>
      </w:r>
      <w:r w:rsidRPr="007A5544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25BD5BFE" w14:textId="77777777" w:rsidR="00D82C56" w:rsidRDefault="00D82C56" w:rsidP="00A8579B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5D88C494" w14:textId="77777777" w:rsidR="007103C8" w:rsidRPr="007A5544" w:rsidRDefault="007103C8" w:rsidP="00A8579B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15734B73" w14:textId="2BE10CCA" w:rsidR="00A67414" w:rsidRPr="00A67414" w:rsidRDefault="00A67414" w:rsidP="00A67414">
      <w:pPr>
        <w:adjustRightInd w:val="0"/>
        <w:jc w:val="center"/>
        <w:rPr>
          <w:rFonts w:ascii="Arial" w:hAnsi="Arial" w:cs="Arial"/>
          <w:sz w:val="22"/>
          <w:szCs w:val="22"/>
          <w:lang w:val="fr-FR"/>
        </w:rPr>
      </w:pPr>
      <w:r w:rsidRPr="00A67414">
        <w:rPr>
          <w:rFonts w:ascii="Arial" w:hAnsi="Arial" w:cs="Arial"/>
          <w:sz w:val="22"/>
          <w:szCs w:val="22"/>
          <w:lang w:val="fr-FR"/>
        </w:rPr>
        <w:t>PROJET DE DÉCISION</w:t>
      </w:r>
      <w:r w:rsidR="00C82B7D">
        <w:rPr>
          <w:rFonts w:ascii="Arial" w:hAnsi="Arial" w:cs="Arial"/>
          <w:sz w:val="22"/>
          <w:szCs w:val="22"/>
          <w:lang w:val="fr-FR"/>
        </w:rPr>
        <w:t>S</w:t>
      </w:r>
    </w:p>
    <w:p w14:paraId="03222F4E" w14:textId="77777777" w:rsidR="00A67414" w:rsidRPr="00A67414" w:rsidRDefault="00A67414" w:rsidP="00A67414">
      <w:pPr>
        <w:adjustRightInd w:val="0"/>
        <w:jc w:val="center"/>
        <w:rPr>
          <w:rFonts w:ascii="Arial" w:hAnsi="Arial" w:cs="Arial"/>
          <w:sz w:val="22"/>
          <w:szCs w:val="22"/>
          <w:lang w:val="fr-FR"/>
        </w:rPr>
      </w:pPr>
    </w:p>
    <w:p w14:paraId="73BA64B5" w14:textId="77777777" w:rsidR="00A67414" w:rsidRPr="00A67414" w:rsidRDefault="00A67414" w:rsidP="00A67414">
      <w:pPr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50B6783A" w14:textId="77777777" w:rsidR="00A67414" w:rsidRPr="00A67414" w:rsidRDefault="00A67414" w:rsidP="00A67414">
      <w:pPr>
        <w:jc w:val="both"/>
        <w:rPr>
          <w:rFonts w:ascii="Arial" w:hAnsi="Arial" w:cs="Arial"/>
          <w:b/>
          <w:i/>
          <w:sz w:val="22"/>
          <w:szCs w:val="22"/>
          <w:lang w:val="fr-FR"/>
        </w:rPr>
      </w:pPr>
      <w:r w:rsidRPr="00A67414">
        <w:rPr>
          <w:rFonts w:ascii="Arial" w:hAnsi="Arial" w:cs="Arial"/>
          <w:b/>
          <w:i/>
          <w:sz w:val="22"/>
          <w:szCs w:val="22"/>
          <w:lang w:val="fr-FR"/>
        </w:rPr>
        <w:t xml:space="preserve">À l’adresse des Parties </w:t>
      </w:r>
    </w:p>
    <w:p w14:paraId="032F284F" w14:textId="77777777" w:rsidR="00A67414" w:rsidRPr="00A67414" w:rsidRDefault="00A67414" w:rsidP="00A67414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C343068" w14:textId="5A70F0FF" w:rsidR="00A67414" w:rsidRPr="00C82B7D" w:rsidRDefault="00A67414" w:rsidP="00C82B7D">
      <w:pPr>
        <w:ind w:left="900" w:hanging="900"/>
        <w:jc w:val="both"/>
        <w:rPr>
          <w:rFonts w:ascii="Arial" w:hAnsi="Arial" w:cs="Arial"/>
          <w:iCs/>
          <w:sz w:val="22"/>
          <w:szCs w:val="22"/>
          <w:lang w:val="fr-FR"/>
        </w:rPr>
      </w:pPr>
      <w:r w:rsidRPr="00A67414">
        <w:rPr>
          <w:rFonts w:ascii="Arial" w:hAnsi="Arial" w:cs="Arial"/>
          <w:sz w:val="22"/>
          <w:szCs w:val="22"/>
          <w:lang w:val="fr-FR"/>
        </w:rPr>
        <w:t>15.AA</w:t>
      </w:r>
      <w:r w:rsidRPr="00A67414">
        <w:rPr>
          <w:rFonts w:ascii="Arial" w:hAnsi="Arial" w:cs="Arial"/>
          <w:sz w:val="22"/>
          <w:szCs w:val="22"/>
          <w:lang w:val="fr-FR"/>
        </w:rPr>
        <w:tab/>
      </w:r>
      <w:r w:rsidRPr="00A67414">
        <w:rPr>
          <w:rFonts w:ascii="Arial" w:hAnsi="Arial" w:cs="Arial"/>
          <w:iCs/>
          <w:sz w:val="22"/>
          <w:szCs w:val="22"/>
          <w:lang w:val="fr-FR"/>
        </w:rPr>
        <w:t>Les Parties sont encouragées à </w:t>
      </w:r>
      <w:r w:rsidRPr="00C82B7D">
        <w:rPr>
          <w:rFonts w:ascii="Arial" w:hAnsi="Arial" w:cs="Arial"/>
          <w:iCs/>
          <w:sz w:val="22"/>
          <w:szCs w:val="22"/>
          <w:lang w:val="fr-FR"/>
        </w:rPr>
        <w:t>appliquer les recommandations figurant à l’Annexe 1 du document</w:t>
      </w:r>
      <w:r w:rsidR="00C82B7D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r w:rsidRPr="00C82B7D">
        <w:rPr>
          <w:rFonts w:ascii="Arial" w:hAnsi="Arial" w:cs="Arial"/>
          <w:iCs/>
          <w:sz w:val="22"/>
          <w:szCs w:val="22"/>
          <w:lang w:val="fr-FR"/>
        </w:rPr>
        <w:t>UNEP/CMS/COP15/Doc.25.1.3</w:t>
      </w:r>
      <w:r w:rsidR="00E841E5" w:rsidRPr="00C82B7D">
        <w:rPr>
          <w:rFonts w:ascii="Arial" w:hAnsi="Arial" w:cs="Arial"/>
          <w:iCs/>
          <w:sz w:val="22"/>
          <w:szCs w:val="22"/>
          <w:lang w:val="fr-FR"/>
        </w:rPr>
        <w:t>.</w:t>
      </w:r>
    </w:p>
    <w:p w14:paraId="6BEFF429" w14:textId="77777777" w:rsidR="00FF2E92" w:rsidRPr="00A67414" w:rsidRDefault="00FF2E92" w:rsidP="00A67414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D5EDA43" w14:textId="77777777" w:rsidR="00A67414" w:rsidRPr="00A67414" w:rsidRDefault="00A67414" w:rsidP="00A67414">
      <w:pPr>
        <w:jc w:val="both"/>
        <w:rPr>
          <w:rFonts w:ascii="Arial" w:hAnsi="Arial" w:cs="Arial"/>
          <w:b/>
          <w:i/>
          <w:sz w:val="22"/>
          <w:szCs w:val="22"/>
          <w:lang w:val="fr-FR"/>
        </w:rPr>
      </w:pPr>
      <w:r w:rsidRPr="00A67414">
        <w:rPr>
          <w:rFonts w:ascii="Arial" w:hAnsi="Arial" w:cs="Arial"/>
          <w:b/>
          <w:i/>
          <w:sz w:val="22"/>
          <w:szCs w:val="22"/>
          <w:lang w:val="fr-FR"/>
        </w:rPr>
        <w:t xml:space="preserve">À l’adresse du Conseil scientifique </w:t>
      </w:r>
    </w:p>
    <w:p w14:paraId="3AE82EAE" w14:textId="77777777" w:rsidR="00A67414" w:rsidRPr="00A67414" w:rsidRDefault="00A67414" w:rsidP="00A67414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853AA3D" w14:textId="31B67FD9" w:rsidR="00A67414" w:rsidRPr="00A67414" w:rsidRDefault="00A67414" w:rsidP="00012373">
      <w:pPr>
        <w:ind w:left="851" w:hanging="851"/>
        <w:jc w:val="both"/>
        <w:rPr>
          <w:rFonts w:ascii="Arial" w:hAnsi="Arial" w:cs="Arial"/>
          <w:iCs/>
          <w:sz w:val="22"/>
          <w:szCs w:val="22"/>
          <w:lang w:val="fr-FR"/>
        </w:rPr>
      </w:pPr>
      <w:r w:rsidRPr="00A67414">
        <w:rPr>
          <w:rFonts w:ascii="Arial" w:hAnsi="Arial" w:cs="Arial"/>
          <w:sz w:val="22"/>
          <w:szCs w:val="22"/>
          <w:lang w:val="fr-FR"/>
        </w:rPr>
        <w:t>15.BB</w:t>
      </w:r>
      <w:r w:rsidRPr="00A67414">
        <w:rPr>
          <w:rFonts w:ascii="Arial" w:hAnsi="Arial" w:cs="Arial"/>
          <w:sz w:val="22"/>
          <w:szCs w:val="22"/>
          <w:lang w:val="fr-FR"/>
        </w:rPr>
        <w:tab/>
      </w:r>
      <w:r w:rsidRPr="00A67414">
        <w:rPr>
          <w:rFonts w:ascii="Arial" w:hAnsi="Arial" w:cs="Arial"/>
          <w:iCs/>
          <w:sz w:val="22"/>
          <w:szCs w:val="22"/>
          <w:lang w:val="fr-FR"/>
        </w:rPr>
        <w:t>Le Conseil scientifique est prié :</w:t>
      </w:r>
    </w:p>
    <w:p w14:paraId="3CB6EEFB" w14:textId="77777777" w:rsidR="00A67414" w:rsidRPr="00A67414" w:rsidRDefault="00A67414" w:rsidP="00A67414">
      <w:pPr>
        <w:ind w:left="851" w:hanging="851"/>
        <w:jc w:val="both"/>
        <w:rPr>
          <w:rFonts w:ascii="Arial" w:hAnsi="Arial" w:cs="Arial"/>
          <w:iCs/>
          <w:sz w:val="22"/>
          <w:szCs w:val="22"/>
          <w:lang w:val="fr-FR"/>
        </w:rPr>
      </w:pPr>
    </w:p>
    <w:p w14:paraId="50FAE0BC" w14:textId="4222D25F" w:rsidR="00A67414" w:rsidRPr="00A67414" w:rsidRDefault="00C82B7D" w:rsidP="00012373">
      <w:pPr>
        <w:pStyle w:val="ListParagraph"/>
        <w:numPr>
          <w:ilvl w:val="1"/>
          <w:numId w:val="8"/>
        </w:numPr>
        <w:ind w:left="1441" w:hanging="590"/>
        <w:contextualSpacing w:val="0"/>
        <w:rPr>
          <w:rFonts w:cs="Arial"/>
          <w:iCs/>
          <w:lang w:val="fr-FR"/>
        </w:rPr>
      </w:pPr>
      <w:r>
        <w:rPr>
          <w:rFonts w:cs="Arial"/>
          <w:iCs/>
          <w:lang w:val="fr-FR"/>
        </w:rPr>
        <w:t>d’</w:t>
      </w:r>
      <w:r w:rsidR="00A67414" w:rsidRPr="00A67414">
        <w:rPr>
          <w:rFonts w:cs="Arial"/>
          <w:iCs/>
          <w:lang w:val="fr-FR"/>
        </w:rPr>
        <w:t xml:space="preserve">utiliser, dans le cadre de travaux connexes, le résumé et les recommandations du rapport </w:t>
      </w:r>
      <w:r w:rsidR="00A67414" w:rsidRPr="00A67414">
        <w:rPr>
          <w:rFonts w:eastAsia="Times New Roman" w:cs="Arial"/>
          <w:i/>
          <w:iCs/>
          <w:lang w:val="fr-FR"/>
        </w:rPr>
        <w:t xml:space="preserve">Relation entre les dispositifs de concentration de poissons (DCP) et les débris marins en </w:t>
      </w:r>
      <w:proofErr w:type="gramStart"/>
      <w:r w:rsidR="00A67414" w:rsidRPr="00A67414">
        <w:rPr>
          <w:rFonts w:eastAsia="Times New Roman" w:cs="Arial"/>
          <w:i/>
          <w:iCs/>
          <w:lang w:val="fr-FR"/>
        </w:rPr>
        <w:t>Méditerranée </w:t>
      </w:r>
      <w:r w:rsidR="00A67414" w:rsidRPr="00A67414">
        <w:rPr>
          <w:rFonts w:cs="Arial"/>
          <w:lang w:val="fr-FR"/>
        </w:rPr>
        <w:t xml:space="preserve"> figurant</w:t>
      </w:r>
      <w:proofErr w:type="gramEnd"/>
      <w:r w:rsidR="00A67414" w:rsidRPr="00A67414">
        <w:rPr>
          <w:rFonts w:cs="Arial"/>
          <w:lang w:val="fr-FR"/>
        </w:rPr>
        <w:t xml:space="preserve"> à l’Annexe 1 du document UNEP/CMS/COP15/Doc.25.1.3;</w:t>
      </w:r>
    </w:p>
    <w:p w14:paraId="438C6610" w14:textId="77777777" w:rsidR="00A67414" w:rsidRPr="00A67414" w:rsidRDefault="00A67414" w:rsidP="00A67414">
      <w:pPr>
        <w:pStyle w:val="ListParagraph"/>
        <w:ind w:left="1440" w:hanging="540"/>
        <w:contextualSpacing w:val="0"/>
        <w:rPr>
          <w:rFonts w:cs="Arial"/>
          <w:iCs/>
          <w:lang w:val="fr-FR"/>
        </w:rPr>
      </w:pPr>
    </w:p>
    <w:p w14:paraId="7C343E83" w14:textId="6438DE86" w:rsidR="00A67414" w:rsidRPr="00A67414" w:rsidRDefault="00C82B7D" w:rsidP="00A67414">
      <w:pPr>
        <w:pStyle w:val="ListParagraph"/>
        <w:numPr>
          <w:ilvl w:val="1"/>
          <w:numId w:val="8"/>
        </w:numPr>
        <w:ind w:left="1440" w:hanging="540"/>
        <w:contextualSpacing w:val="0"/>
        <w:rPr>
          <w:rFonts w:cs="Arial"/>
          <w:iCs/>
          <w:lang w:val="fr-FR"/>
        </w:rPr>
      </w:pPr>
      <w:r>
        <w:rPr>
          <w:rFonts w:cs="Arial"/>
          <w:lang w:val="fr-FR"/>
        </w:rPr>
        <w:t xml:space="preserve">de </w:t>
      </w:r>
      <w:r w:rsidR="00A67414" w:rsidRPr="00A67414">
        <w:rPr>
          <w:rFonts w:cs="Arial"/>
          <w:lang w:val="fr-FR"/>
        </w:rPr>
        <w:t>continuer à surveiller les DCP en tant que source de pollution plastique, dans le cadre du volet « pollution marine » du Conseil scientifique.</w:t>
      </w:r>
    </w:p>
    <w:p w14:paraId="7B4F2B76" w14:textId="77777777" w:rsidR="00A67414" w:rsidRPr="00A67414" w:rsidRDefault="00A67414" w:rsidP="00A67414">
      <w:pPr>
        <w:pStyle w:val="Secondnumbering"/>
        <w:rPr>
          <w:rFonts w:cs="Arial"/>
          <w:lang w:val="fr-FR"/>
        </w:rPr>
      </w:pPr>
    </w:p>
    <w:p w14:paraId="1826D918" w14:textId="7F97B26A" w:rsidR="00E841E5" w:rsidRPr="00C82B7D" w:rsidRDefault="00E841E5" w:rsidP="00C82B7D">
      <w:pPr>
        <w:rPr>
          <w:rFonts w:cs="Arial"/>
          <w:b/>
          <w:bCs/>
          <w:lang w:val="fr-FR"/>
        </w:rPr>
      </w:pPr>
      <w:r w:rsidRPr="00C82B7D">
        <w:rPr>
          <w:rFonts w:ascii="Arial" w:eastAsiaTheme="minorHAnsi" w:hAnsi="Arial" w:cs="Arial"/>
          <w:b/>
          <w:bCs/>
          <w:sz w:val="22"/>
          <w:szCs w:val="22"/>
          <w:lang w:val="fr-FR"/>
        </w:rPr>
        <w:t>À l</w:t>
      </w:r>
      <w:r w:rsidR="00200DFC">
        <w:rPr>
          <w:rFonts w:ascii="Arial" w:eastAsiaTheme="minorHAnsi" w:hAnsi="Arial" w:cs="Arial"/>
          <w:b/>
          <w:bCs/>
          <w:sz w:val="22"/>
          <w:szCs w:val="22"/>
          <w:lang w:val="fr-FR"/>
        </w:rPr>
        <w:t>’</w:t>
      </w:r>
      <w:r w:rsidRPr="00C82B7D">
        <w:rPr>
          <w:rFonts w:ascii="Arial" w:eastAsiaTheme="minorHAnsi" w:hAnsi="Arial" w:cs="Arial"/>
          <w:b/>
          <w:bCs/>
          <w:sz w:val="22"/>
          <w:szCs w:val="22"/>
          <w:lang w:val="fr-FR"/>
        </w:rPr>
        <w:t>adresse du Secrétariat</w:t>
      </w:r>
    </w:p>
    <w:p w14:paraId="2563198B" w14:textId="77777777" w:rsidR="00E841E5" w:rsidRPr="00E841E5" w:rsidRDefault="00E841E5" w:rsidP="00E841E5">
      <w:pPr>
        <w:pStyle w:val="ListParagraph"/>
        <w:rPr>
          <w:rFonts w:cs="Arial"/>
          <w:lang w:val="fr-FR"/>
        </w:rPr>
      </w:pPr>
      <w:r w:rsidRPr="00E841E5">
        <w:rPr>
          <w:rFonts w:cs="Arial"/>
          <w:lang w:val="fr-FR"/>
        </w:rPr>
        <w:t xml:space="preserve"> </w:t>
      </w:r>
    </w:p>
    <w:p w14:paraId="72E9C54B" w14:textId="6032B7D5" w:rsidR="007A5544" w:rsidRPr="00A67414" w:rsidRDefault="00E841E5" w:rsidP="00012373">
      <w:pPr>
        <w:pStyle w:val="ListParagraph"/>
        <w:ind w:left="851" w:hanging="851"/>
        <w:contextualSpacing w:val="0"/>
        <w:rPr>
          <w:rFonts w:cs="Arial"/>
          <w:lang w:val="fr-FR"/>
        </w:rPr>
      </w:pPr>
      <w:r w:rsidRPr="00E841E5">
        <w:rPr>
          <w:rFonts w:cs="Arial"/>
          <w:lang w:val="fr-FR"/>
        </w:rPr>
        <w:t>15.CC</w:t>
      </w:r>
      <w:r w:rsidR="00012373">
        <w:rPr>
          <w:rFonts w:cs="Arial"/>
          <w:lang w:val="fr-FR"/>
        </w:rPr>
        <w:tab/>
      </w:r>
      <w:r w:rsidRPr="00E841E5">
        <w:rPr>
          <w:rFonts w:cs="Arial"/>
          <w:lang w:val="fr-FR"/>
        </w:rPr>
        <w:t xml:space="preserve">Le Secrétariat, en collaboration avec la CBI, </w:t>
      </w:r>
      <w:r>
        <w:rPr>
          <w:rFonts w:cs="Arial"/>
          <w:lang w:val="fr-FR"/>
        </w:rPr>
        <w:t xml:space="preserve">compile lorsqu’il y a lieu </w:t>
      </w:r>
      <w:r w:rsidRPr="00E841E5">
        <w:rPr>
          <w:rFonts w:cs="Arial"/>
          <w:lang w:val="fr-FR"/>
        </w:rPr>
        <w:t xml:space="preserve">des informations </w:t>
      </w:r>
      <w:proofErr w:type="spellStart"/>
      <w:r>
        <w:rPr>
          <w:rFonts w:cs="Arial"/>
          <w:lang w:val="fr-FR"/>
        </w:rPr>
        <w:t>reccueillies</w:t>
      </w:r>
      <w:proofErr w:type="spellEnd"/>
      <w:r>
        <w:rPr>
          <w:rFonts w:cs="Arial"/>
          <w:lang w:val="fr-FR"/>
        </w:rPr>
        <w:t xml:space="preserve"> </w:t>
      </w:r>
      <w:r w:rsidRPr="00E841E5">
        <w:rPr>
          <w:rFonts w:cs="Arial"/>
          <w:lang w:val="fr-FR"/>
        </w:rPr>
        <w:t>auprès des ORGP concernées sur la gestion et la mise en œuvre des mesures visant à réglementer l</w:t>
      </w:r>
      <w:r w:rsidR="00200DFC">
        <w:rPr>
          <w:rFonts w:cs="Arial"/>
          <w:lang w:val="fr-FR"/>
        </w:rPr>
        <w:t>’</w:t>
      </w:r>
      <w:r w:rsidRPr="00E841E5">
        <w:rPr>
          <w:rFonts w:cs="Arial"/>
          <w:lang w:val="fr-FR"/>
        </w:rPr>
        <w:t xml:space="preserve">utilisation des dispositifs de concentration de poissons (DCP), </w:t>
      </w:r>
      <w:r w:rsidR="004B124E">
        <w:rPr>
          <w:rFonts w:cs="Arial"/>
          <w:lang w:val="fr-FR"/>
        </w:rPr>
        <w:t xml:space="preserve">qui limitent </w:t>
      </w:r>
      <w:r w:rsidRPr="00E841E5">
        <w:rPr>
          <w:rFonts w:cs="Arial"/>
          <w:lang w:val="fr-FR"/>
        </w:rPr>
        <w:t>notamment leur nombre,</w:t>
      </w:r>
      <w:r w:rsidR="004B124E">
        <w:rPr>
          <w:rFonts w:cs="Arial"/>
          <w:lang w:val="fr-FR"/>
        </w:rPr>
        <w:t xml:space="preserve"> </w:t>
      </w:r>
      <w:r w:rsidRPr="00E841E5">
        <w:rPr>
          <w:rFonts w:cs="Arial"/>
          <w:lang w:val="fr-FR"/>
        </w:rPr>
        <w:t>amélior</w:t>
      </w:r>
      <w:r w:rsidR="004B124E">
        <w:rPr>
          <w:rFonts w:cs="Arial"/>
          <w:lang w:val="fr-FR"/>
        </w:rPr>
        <w:t>e</w:t>
      </w:r>
      <w:r w:rsidRPr="00E841E5">
        <w:rPr>
          <w:rFonts w:cs="Arial"/>
          <w:lang w:val="fr-FR"/>
        </w:rPr>
        <w:t>nt leur conception afin de réduire leur</w:t>
      </w:r>
      <w:r w:rsidR="00200DFC">
        <w:rPr>
          <w:rFonts w:cs="Arial"/>
          <w:lang w:val="fr-FR"/>
        </w:rPr>
        <w:t>s effets néfastes</w:t>
      </w:r>
      <w:r w:rsidRPr="00E841E5">
        <w:rPr>
          <w:rFonts w:cs="Arial"/>
          <w:lang w:val="fr-FR"/>
        </w:rPr>
        <w:t xml:space="preserve">, </w:t>
      </w:r>
      <w:r w:rsidR="004B124E">
        <w:rPr>
          <w:rFonts w:cs="Arial"/>
          <w:lang w:val="fr-FR"/>
        </w:rPr>
        <w:t>assurent</w:t>
      </w:r>
      <w:r w:rsidRPr="00E841E5">
        <w:rPr>
          <w:rFonts w:cs="Arial"/>
          <w:lang w:val="fr-FR"/>
        </w:rPr>
        <w:t xml:space="preserve"> le suivi de leurs déplacements et </w:t>
      </w:r>
      <w:r w:rsidR="00200DFC">
        <w:rPr>
          <w:rFonts w:cs="Arial"/>
          <w:lang w:val="fr-FR"/>
        </w:rPr>
        <w:t>mett</w:t>
      </w:r>
      <w:r w:rsidR="004B124E">
        <w:rPr>
          <w:rFonts w:cs="Arial"/>
          <w:lang w:val="fr-FR"/>
        </w:rPr>
        <w:t>e</w:t>
      </w:r>
      <w:r w:rsidR="00200DFC">
        <w:rPr>
          <w:rFonts w:cs="Arial"/>
          <w:lang w:val="fr-FR"/>
        </w:rPr>
        <w:t>nt à l’essai</w:t>
      </w:r>
      <w:r w:rsidRPr="00E841E5">
        <w:rPr>
          <w:rFonts w:cs="Arial"/>
          <w:lang w:val="fr-FR"/>
        </w:rPr>
        <w:t xml:space="preserve"> de nouveaux modèles de DCP.</w:t>
      </w:r>
    </w:p>
    <w:sectPr w:rsidR="007A5544" w:rsidRPr="00A67414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B0EC" w14:textId="77777777" w:rsidR="00384B1F" w:rsidRDefault="00384B1F">
      <w:r>
        <w:separator/>
      </w:r>
    </w:p>
  </w:endnote>
  <w:endnote w:type="continuationSeparator" w:id="0">
    <w:p w14:paraId="3E825D1B" w14:textId="77777777" w:rsidR="00384B1F" w:rsidRDefault="00384B1F">
      <w:r>
        <w:continuationSeparator/>
      </w:r>
    </w:p>
  </w:endnote>
  <w:endnote w:type="continuationNotice" w:id="1">
    <w:p w14:paraId="2A5EB00E" w14:textId="77777777" w:rsidR="00384B1F" w:rsidRDefault="00384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A02" w14:textId="688BA726" w:rsidR="009B03FC" w:rsidRPr="009B03FC" w:rsidRDefault="009B03FC" w:rsidP="009B03FC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D589" w14:textId="77777777" w:rsidR="00384B1F" w:rsidRDefault="00384B1F">
      <w:r>
        <w:rPr>
          <w:color w:val="000000"/>
        </w:rPr>
        <w:separator/>
      </w:r>
    </w:p>
  </w:footnote>
  <w:footnote w:type="continuationSeparator" w:id="0">
    <w:p w14:paraId="76F53C61" w14:textId="77777777" w:rsidR="00384B1F" w:rsidRDefault="00384B1F">
      <w:r>
        <w:continuationSeparator/>
      </w:r>
    </w:p>
  </w:footnote>
  <w:footnote w:type="continuationNotice" w:id="1">
    <w:p w14:paraId="3E530F94" w14:textId="77777777" w:rsidR="00384B1F" w:rsidRDefault="00384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Pr="00F52A55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pt-PT"/>
      </w:rPr>
    </w:pPr>
    <w:r w:rsidRPr="00F52A55">
      <w:rPr>
        <w:rFonts w:ascii="Arial" w:hAnsi="Arial" w:cs="Arial"/>
        <w:i/>
        <w:szCs w:val="20"/>
        <w:lang w:val="pt-PT"/>
      </w:rPr>
      <w:t>UNEP/CMS/COP1</w:t>
    </w:r>
    <w:r w:rsidR="00AB5285" w:rsidRPr="00F52A55">
      <w:rPr>
        <w:rFonts w:ascii="Arial" w:hAnsi="Arial" w:cs="Arial"/>
        <w:i/>
        <w:szCs w:val="20"/>
        <w:lang w:val="pt-PT"/>
      </w:rPr>
      <w:t>5</w:t>
    </w:r>
    <w:r w:rsidRPr="00F52A55">
      <w:rPr>
        <w:rFonts w:ascii="Arial" w:hAnsi="Arial" w:cs="Arial"/>
        <w:i/>
        <w:szCs w:val="20"/>
        <w:lang w:val="pt-PT"/>
      </w:rPr>
      <w:t>/CRP(Nº)</w:t>
    </w:r>
  </w:p>
  <w:p w14:paraId="50B9F4CC" w14:textId="77777777" w:rsidR="0041439A" w:rsidRPr="00F52A55" w:rsidRDefault="0041439A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55EC042D" w:rsidR="0041439A" w:rsidRPr="00F52A55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F52A55">
      <w:rPr>
        <w:rFonts w:ascii="Arial" w:hAnsi="Arial" w:cs="Arial"/>
        <w:i/>
        <w:szCs w:val="20"/>
        <w:lang w:val="pt-PT"/>
      </w:rPr>
      <w:t>UNEP/CMS/COP1</w:t>
    </w:r>
    <w:r w:rsidR="00AB5285" w:rsidRPr="00F52A55">
      <w:rPr>
        <w:rFonts w:ascii="Arial" w:hAnsi="Arial" w:cs="Arial"/>
        <w:i/>
        <w:szCs w:val="20"/>
        <w:lang w:val="pt-PT"/>
      </w:rPr>
      <w:t>5</w:t>
    </w:r>
    <w:r w:rsidRPr="00F52A55">
      <w:rPr>
        <w:rFonts w:ascii="Arial" w:hAnsi="Arial" w:cs="Arial"/>
        <w:i/>
        <w:szCs w:val="20"/>
        <w:lang w:val="pt-PT"/>
      </w:rPr>
      <w:t>/CRP</w:t>
    </w:r>
    <w:r w:rsidR="00620BD8">
      <w:rPr>
        <w:rFonts w:ascii="Arial" w:hAnsi="Arial" w:cs="Arial"/>
        <w:i/>
        <w:szCs w:val="20"/>
        <w:lang w:val="pt-PT"/>
      </w:rPr>
      <w:t>25.1.1</w:t>
    </w:r>
  </w:p>
  <w:p w14:paraId="75025A37" w14:textId="77777777" w:rsidR="0041439A" w:rsidRPr="00F52A55" w:rsidRDefault="0041439A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76E2CD2B" w:rsidR="007A1066" w:rsidRPr="00F52A55" w:rsidRDefault="007A1066" w:rsidP="00751AAD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F52A55">
      <w:rPr>
        <w:rFonts w:ascii="Arial" w:hAnsi="Arial" w:cs="Arial"/>
        <w:bCs/>
        <w:i/>
        <w:iCs/>
        <w:sz w:val="18"/>
        <w:szCs w:val="18"/>
        <w:lang w:val="pt-PT"/>
      </w:rPr>
      <w:t>UNEP/CMS/COP1</w:t>
    </w:r>
    <w:r w:rsidR="00AB5285" w:rsidRPr="00F52A55">
      <w:rPr>
        <w:rFonts w:ascii="Arial" w:hAnsi="Arial" w:cs="Arial"/>
        <w:bCs/>
        <w:i/>
        <w:iCs/>
        <w:sz w:val="18"/>
        <w:szCs w:val="18"/>
        <w:lang w:val="pt-PT"/>
      </w:rPr>
      <w:t>5</w:t>
    </w:r>
    <w:r w:rsidRPr="00F52A55">
      <w:rPr>
        <w:rFonts w:ascii="Arial" w:hAnsi="Arial" w:cs="Arial"/>
        <w:bCs/>
        <w:i/>
        <w:iCs/>
        <w:sz w:val="18"/>
        <w:szCs w:val="18"/>
        <w:lang w:val="pt-PT"/>
      </w:rPr>
      <w:t>/CRP</w:t>
    </w:r>
    <w:r w:rsidR="00B628A6">
      <w:rPr>
        <w:rFonts w:ascii="Arial" w:hAnsi="Arial" w:cs="Arial"/>
        <w:bCs/>
        <w:i/>
        <w:iCs/>
        <w:sz w:val="18"/>
        <w:szCs w:val="18"/>
        <w:lang w:val="pt-PT"/>
      </w:rPr>
      <w:t>25.1.3</w:t>
    </w:r>
  </w:p>
  <w:p w14:paraId="117A266F" w14:textId="77777777" w:rsidR="007A1066" w:rsidRPr="00F52A55" w:rsidRDefault="007A1066">
    <w:pPr>
      <w:pStyle w:val="Header"/>
      <w:rPr>
        <w:sz w:val="18"/>
        <w:szCs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2600"/>
    <w:multiLevelType w:val="hybridMultilevel"/>
    <w:tmpl w:val="6974169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04F45"/>
    <w:multiLevelType w:val="hybridMultilevel"/>
    <w:tmpl w:val="77741488"/>
    <w:lvl w:ilvl="0" w:tplc="C916D2B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74" w:hanging="360"/>
      </w:pPr>
    </w:lvl>
    <w:lvl w:ilvl="2" w:tplc="0C00001B" w:tentative="1">
      <w:start w:val="1"/>
      <w:numFmt w:val="lowerRoman"/>
      <w:lvlText w:val="%3."/>
      <w:lvlJc w:val="right"/>
      <w:pPr>
        <w:ind w:left="2594" w:hanging="180"/>
      </w:pPr>
    </w:lvl>
    <w:lvl w:ilvl="3" w:tplc="0C00000F" w:tentative="1">
      <w:start w:val="1"/>
      <w:numFmt w:val="decimal"/>
      <w:lvlText w:val="%4."/>
      <w:lvlJc w:val="left"/>
      <w:pPr>
        <w:ind w:left="3314" w:hanging="360"/>
      </w:pPr>
    </w:lvl>
    <w:lvl w:ilvl="4" w:tplc="0C000019" w:tentative="1">
      <w:start w:val="1"/>
      <w:numFmt w:val="lowerLetter"/>
      <w:lvlText w:val="%5."/>
      <w:lvlJc w:val="left"/>
      <w:pPr>
        <w:ind w:left="4034" w:hanging="360"/>
      </w:pPr>
    </w:lvl>
    <w:lvl w:ilvl="5" w:tplc="0C00001B" w:tentative="1">
      <w:start w:val="1"/>
      <w:numFmt w:val="lowerRoman"/>
      <w:lvlText w:val="%6."/>
      <w:lvlJc w:val="right"/>
      <w:pPr>
        <w:ind w:left="4754" w:hanging="180"/>
      </w:pPr>
    </w:lvl>
    <w:lvl w:ilvl="6" w:tplc="0C00000F" w:tentative="1">
      <w:start w:val="1"/>
      <w:numFmt w:val="decimal"/>
      <w:lvlText w:val="%7."/>
      <w:lvlJc w:val="left"/>
      <w:pPr>
        <w:ind w:left="5474" w:hanging="360"/>
      </w:pPr>
    </w:lvl>
    <w:lvl w:ilvl="7" w:tplc="0C000019" w:tentative="1">
      <w:start w:val="1"/>
      <w:numFmt w:val="lowerLetter"/>
      <w:lvlText w:val="%8."/>
      <w:lvlJc w:val="left"/>
      <w:pPr>
        <w:ind w:left="6194" w:hanging="360"/>
      </w:pPr>
    </w:lvl>
    <w:lvl w:ilvl="8" w:tplc="0C00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27E06F81"/>
    <w:multiLevelType w:val="hybridMultilevel"/>
    <w:tmpl w:val="A82ACDC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54791"/>
    <w:multiLevelType w:val="hybridMultilevel"/>
    <w:tmpl w:val="E65E5768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809001B">
      <w:start w:val="1"/>
      <w:numFmt w:val="lowerRoman"/>
      <w:lvlText w:val="%2."/>
      <w:lvlJc w:val="right"/>
      <w:pPr>
        <w:ind w:left="1837" w:hanging="360"/>
      </w:pPr>
    </w:lvl>
    <w:lvl w:ilvl="2" w:tplc="FFFFFFFF">
      <w:start w:val="1"/>
      <w:numFmt w:val="lowerRoman"/>
      <w:lvlText w:val="%3."/>
      <w:lvlJc w:val="right"/>
      <w:pPr>
        <w:ind w:left="2557" w:hanging="180"/>
      </w:pPr>
    </w:lvl>
    <w:lvl w:ilvl="3" w:tplc="FFFFFFFF">
      <w:start w:val="1"/>
      <w:numFmt w:val="decimal"/>
      <w:lvlText w:val="%4."/>
      <w:lvlJc w:val="left"/>
      <w:pPr>
        <w:ind w:left="3277" w:hanging="360"/>
      </w:pPr>
    </w:lvl>
    <w:lvl w:ilvl="4" w:tplc="FFFFFFFF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>
      <w:start w:val="1"/>
      <w:numFmt w:val="decimal"/>
      <w:lvlText w:val="%7."/>
      <w:lvlJc w:val="left"/>
      <w:pPr>
        <w:ind w:left="5437" w:hanging="360"/>
      </w:pPr>
    </w:lvl>
    <w:lvl w:ilvl="7" w:tplc="FFFFFFFF">
      <w:start w:val="1"/>
      <w:numFmt w:val="lowerLetter"/>
      <w:lvlText w:val="%8."/>
      <w:lvlJc w:val="left"/>
      <w:pPr>
        <w:ind w:left="6157" w:hanging="360"/>
      </w:pPr>
    </w:lvl>
    <w:lvl w:ilvl="8" w:tplc="FFFFFFFF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514A4CF1"/>
    <w:multiLevelType w:val="hybridMultilevel"/>
    <w:tmpl w:val="C0700E7C"/>
    <w:lvl w:ilvl="0" w:tplc="509E5122">
      <w:start w:val="1"/>
      <w:numFmt w:val="lowerLetter"/>
      <w:lvlText w:val="(%1)"/>
      <w:lvlJc w:val="left"/>
      <w:pPr>
        <w:ind w:left="1514" w:hanging="360"/>
      </w:pPr>
      <w:rPr>
        <w:rFonts w:hint="default"/>
      </w:rPr>
    </w:lvl>
    <w:lvl w:ilvl="1" w:tplc="20000017">
      <w:start w:val="1"/>
      <w:numFmt w:val="lowerLetter"/>
      <w:lvlText w:val="%2)"/>
      <w:lvlJc w:val="left"/>
      <w:pPr>
        <w:ind w:left="2234" w:hanging="360"/>
      </w:pPr>
    </w:lvl>
    <w:lvl w:ilvl="2" w:tplc="0C00001B" w:tentative="1">
      <w:start w:val="1"/>
      <w:numFmt w:val="lowerRoman"/>
      <w:lvlText w:val="%3."/>
      <w:lvlJc w:val="right"/>
      <w:pPr>
        <w:ind w:left="2954" w:hanging="180"/>
      </w:pPr>
    </w:lvl>
    <w:lvl w:ilvl="3" w:tplc="0C00000F" w:tentative="1">
      <w:start w:val="1"/>
      <w:numFmt w:val="decimal"/>
      <w:lvlText w:val="%4."/>
      <w:lvlJc w:val="left"/>
      <w:pPr>
        <w:ind w:left="3674" w:hanging="360"/>
      </w:pPr>
    </w:lvl>
    <w:lvl w:ilvl="4" w:tplc="0C000019" w:tentative="1">
      <w:start w:val="1"/>
      <w:numFmt w:val="lowerLetter"/>
      <w:lvlText w:val="%5."/>
      <w:lvlJc w:val="left"/>
      <w:pPr>
        <w:ind w:left="4394" w:hanging="360"/>
      </w:pPr>
    </w:lvl>
    <w:lvl w:ilvl="5" w:tplc="0C00001B" w:tentative="1">
      <w:start w:val="1"/>
      <w:numFmt w:val="lowerRoman"/>
      <w:lvlText w:val="%6."/>
      <w:lvlJc w:val="right"/>
      <w:pPr>
        <w:ind w:left="5114" w:hanging="180"/>
      </w:pPr>
    </w:lvl>
    <w:lvl w:ilvl="6" w:tplc="0C00000F" w:tentative="1">
      <w:start w:val="1"/>
      <w:numFmt w:val="decimal"/>
      <w:lvlText w:val="%7."/>
      <w:lvlJc w:val="left"/>
      <w:pPr>
        <w:ind w:left="5834" w:hanging="360"/>
      </w:pPr>
    </w:lvl>
    <w:lvl w:ilvl="7" w:tplc="0C000019" w:tentative="1">
      <w:start w:val="1"/>
      <w:numFmt w:val="lowerLetter"/>
      <w:lvlText w:val="%8."/>
      <w:lvlJc w:val="left"/>
      <w:pPr>
        <w:ind w:left="6554" w:hanging="360"/>
      </w:pPr>
    </w:lvl>
    <w:lvl w:ilvl="8" w:tplc="0C00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349B"/>
    <w:multiLevelType w:val="hybridMultilevel"/>
    <w:tmpl w:val="78BC5F3A"/>
    <w:lvl w:ilvl="0" w:tplc="D1EE0D7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8537">
    <w:abstractNumId w:val="6"/>
  </w:num>
  <w:num w:numId="2" w16cid:durableId="574051727">
    <w:abstractNumId w:val="7"/>
  </w:num>
  <w:num w:numId="3" w16cid:durableId="607733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118589">
    <w:abstractNumId w:val="3"/>
  </w:num>
  <w:num w:numId="5" w16cid:durableId="599720149">
    <w:abstractNumId w:val="0"/>
  </w:num>
  <w:num w:numId="6" w16cid:durableId="1796025329">
    <w:abstractNumId w:val="2"/>
  </w:num>
  <w:num w:numId="7" w16cid:durableId="1475874768">
    <w:abstractNumId w:val="1"/>
  </w:num>
  <w:num w:numId="8" w16cid:durableId="498160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1452"/>
    <w:rsid w:val="00012373"/>
    <w:rsid w:val="000B0D60"/>
    <w:rsid w:val="001125D7"/>
    <w:rsid w:val="001352BB"/>
    <w:rsid w:val="00142859"/>
    <w:rsid w:val="00164D92"/>
    <w:rsid w:val="00200DFC"/>
    <w:rsid w:val="00220C0C"/>
    <w:rsid w:val="00223337"/>
    <w:rsid w:val="002243FE"/>
    <w:rsid w:val="00227282"/>
    <w:rsid w:val="0027066C"/>
    <w:rsid w:val="00276113"/>
    <w:rsid w:val="002B6DE7"/>
    <w:rsid w:val="0033796E"/>
    <w:rsid w:val="00384B1F"/>
    <w:rsid w:val="003F1AD8"/>
    <w:rsid w:val="0041439A"/>
    <w:rsid w:val="0043102F"/>
    <w:rsid w:val="004B124E"/>
    <w:rsid w:val="005345CB"/>
    <w:rsid w:val="005645C4"/>
    <w:rsid w:val="0058757D"/>
    <w:rsid w:val="005D43E4"/>
    <w:rsid w:val="005D574F"/>
    <w:rsid w:val="005F0639"/>
    <w:rsid w:val="00620BD8"/>
    <w:rsid w:val="006821C9"/>
    <w:rsid w:val="00687331"/>
    <w:rsid w:val="006D020E"/>
    <w:rsid w:val="007103C8"/>
    <w:rsid w:val="00751AAD"/>
    <w:rsid w:val="007A1066"/>
    <w:rsid w:val="007A5544"/>
    <w:rsid w:val="00857813"/>
    <w:rsid w:val="00943DF1"/>
    <w:rsid w:val="00950DA4"/>
    <w:rsid w:val="00960B8C"/>
    <w:rsid w:val="0096699F"/>
    <w:rsid w:val="009B03FC"/>
    <w:rsid w:val="00A67414"/>
    <w:rsid w:val="00A80F58"/>
    <w:rsid w:val="00A8579B"/>
    <w:rsid w:val="00AA138B"/>
    <w:rsid w:val="00AB5285"/>
    <w:rsid w:val="00AE39EA"/>
    <w:rsid w:val="00AE590E"/>
    <w:rsid w:val="00B13FA4"/>
    <w:rsid w:val="00B628A6"/>
    <w:rsid w:val="00B91802"/>
    <w:rsid w:val="00C30C58"/>
    <w:rsid w:val="00C31E29"/>
    <w:rsid w:val="00C82B7D"/>
    <w:rsid w:val="00C91132"/>
    <w:rsid w:val="00D416B7"/>
    <w:rsid w:val="00D50F95"/>
    <w:rsid w:val="00D61140"/>
    <w:rsid w:val="00D82C56"/>
    <w:rsid w:val="00DB2EEB"/>
    <w:rsid w:val="00E1532C"/>
    <w:rsid w:val="00E45B44"/>
    <w:rsid w:val="00E829C9"/>
    <w:rsid w:val="00E841E5"/>
    <w:rsid w:val="00EF2BC5"/>
    <w:rsid w:val="00F52A55"/>
    <w:rsid w:val="00F56104"/>
    <w:rsid w:val="00F950C9"/>
    <w:rsid w:val="00FD0BD8"/>
    <w:rsid w:val="00FD2360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57813"/>
    <w:pPr>
      <w:widowControl/>
      <w:suppressAutoHyphens w:val="0"/>
      <w:autoSpaceDE/>
      <w:autoSpaceDN/>
      <w:ind w:left="720"/>
      <w:contextualSpacing/>
      <w:jc w:val="both"/>
      <w:textAlignment w:val="auto"/>
    </w:pPr>
    <w:rPr>
      <w:rFonts w:ascii="Arial" w:eastAsiaTheme="minorHAnsi" w:hAnsi="Arial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57813"/>
    <w:rPr>
      <w:rFonts w:eastAsiaTheme="minorHAnsi" w:cstheme="minorBidi"/>
    </w:rPr>
  </w:style>
  <w:style w:type="character" w:styleId="FootnoteReference">
    <w:name w:val="footnote reference"/>
    <w:aliases w:val="stylish"/>
    <w:basedOn w:val="DefaultParagraphFont"/>
    <w:uiPriority w:val="99"/>
    <w:unhideWhenUsed/>
    <w:rsid w:val="008578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57813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A5544"/>
    <w:pPr>
      <w:suppressAutoHyphens w:val="0"/>
      <w:adjustRightInd w:val="0"/>
      <w:jc w:val="both"/>
      <w:textAlignment w:val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544"/>
    <w:rPr>
      <w:rFonts w:ascii="Times New Roman" w:eastAsia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5544"/>
    <w:rPr>
      <w:b/>
      <w:bCs/>
    </w:rPr>
  </w:style>
  <w:style w:type="paragraph" w:customStyle="1" w:styleId="Firstnumbering">
    <w:name w:val="First numbering"/>
    <w:basedOn w:val="ListParagraph"/>
    <w:link w:val="FirstnumberingChar"/>
    <w:qFormat/>
    <w:rsid w:val="007A5544"/>
    <w:pPr>
      <w:numPr>
        <w:numId w:val="2"/>
      </w:numPr>
      <w:ind w:left="567" w:hanging="567"/>
      <w:contextualSpacing w:val="0"/>
      <w:jc w:val="left"/>
    </w:pPr>
    <w:rPr>
      <w:lang w:val="en-GB"/>
    </w:rPr>
  </w:style>
  <w:style w:type="paragraph" w:customStyle="1" w:styleId="Secondnumbering">
    <w:name w:val="Second numbering"/>
    <w:basedOn w:val="Firstnumbering"/>
    <w:link w:val="SecondnumberingChar"/>
    <w:qFormat/>
    <w:rsid w:val="007A5544"/>
    <w:pPr>
      <w:numPr>
        <w:numId w:val="0"/>
      </w:numPr>
    </w:pPr>
  </w:style>
  <w:style w:type="character" w:customStyle="1" w:styleId="FirstnumberingChar">
    <w:name w:val="First numbering Char"/>
    <w:basedOn w:val="ListParagraphChar"/>
    <w:link w:val="Firstnumbering"/>
    <w:rsid w:val="007A5544"/>
    <w:rPr>
      <w:rFonts w:eastAsiaTheme="minorHAnsi" w:cstheme="minorBidi"/>
      <w:lang w:val="en-GB"/>
    </w:rPr>
  </w:style>
  <w:style w:type="character" w:customStyle="1" w:styleId="SecondnumberingChar">
    <w:name w:val="Second numbering Char"/>
    <w:basedOn w:val="FirstnumberingChar"/>
    <w:link w:val="Secondnumbering"/>
    <w:rsid w:val="007A5544"/>
    <w:rPr>
      <w:rFonts w:eastAsiaTheme="minorHAnsi" w:cstheme="minorBidi"/>
      <w:lang w:val="en-GB"/>
    </w:rPr>
  </w:style>
  <w:style w:type="paragraph" w:styleId="Revision">
    <w:name w:val="Revision"/>
    <w:hidden/>
    <w:uiPriority w:val="99"/>
    <w:semiHidden/>
    <w:rsid w:val="00E841E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245F40F1-1495-47B7-ADA0-63984F7E3815}"/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11</cp:revision>
  <cp:lastPrinted>2020-02-03T15:02:00Z</cp:lastPrinted>
  <dcterms:created xsi:type="dcterms:W3CDTF">2026-03-11T08:53:00Z</dcterms:created>
  <dcterms:modified xsi:type="dcterms:W3CDTF">2026-03-26T03:32:00Z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