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5F861" w14:textId="77777777" w:rsidR="006821C9" w:rsidRPr="00BD44E7" w:rsidRDefault="006821C9" w:rsidP="005E607A">
      <w:pPr>
        <w:jc w:val="center"/>
        <w:rPr>
          <w:rFonts w:ascii="Arial" w:hAnsi="Arial" w:cs="Arial"/>
          <w:b/>
          <w:bCs/>
          <w:sz w:val="22"/>
          <w:szCs w:val="22"/>
          <w:lang w:val="fr-FR"/>
        </w:rPr>
      </w:pPr>
      <w:r w:rsidRPr="00BD44E7">
        <w:rPr>
          <w:rFonts w:ascii="Arial" w:hAnsi="Arial" w:cs="Arial"/>
          <w:b/>
          <w:bCs/>
          <w:sz w:val="22"/>
          <w:szCs w:val="22"/>
          <w:lang w:val="fr-FR"/>
        </w:rPr>
        <w:t>PRISES ACCESSOIRES ET AUTRES FORMES DE MORTALITÉ DÛES A LA PÊCHE</w:t>
      </w:r>
    </w:p>
    <w:p w14:paraId="60C50FAF" w14:textId="77777777" w:rsidR="00AB5285" w:rsidRPr="00BD44E7" w:rsidRDefault="00AB5285" w:rsidP="005E607A">
      <w:pPr>
        <w:jc w:val="center"/>
        <w:rPr>
          <w:rFonts w:ascii="Arial" w:hAnsi="Arial" w:cs="Arial"/>
          <w:b/>
          <w:sz w:val="22"/>
          <w:szCs w:val="22"/>
          <w:lang w:val="fr-FR"/>
        </w:rPr>
      </w:pPr>
    </w:p>
    <w:p w14:paraId="77BA811D" w14:textId="0E381BEA" w:rsidR="00D82C56" w:rsidRPr="005E607A" w:rsidRDefault="005D43E4" w:rsidP="005E607A">
      <w:pPr>
        <w:spacing w:after="120"/>
        <w:jc w:val="center"/>
        <w:rPr>
          <w:rFonts w:ascii="Arial" w:hAnsi="Arial" w:cs="Arial"/>
          <w:sz w:val="22"/>
          <w:szCs w:val="22"/>
          <w:lang w:val="en-GB"/>
        </w:rPr>
      </w:pPr>
      <w:r w:rsidRPr="005E607A">
        <w:rPr>
          <w:rFonts w:ascii="Arial" w:hAnsi="Arial" w:cs="Arial"/>
          <w:sz w:val="22"/>
          <w:szCs w:val="22"/>
          <w:lang w:val="en-GB"/>
        </w:rPr>
        <w:t>UNEP/CMS/COP1</w:t>
      </w:r>
      <w:r w:rsidR="00950DA4" w:rsidRPr="005E607A">
        <w:rPr>
          <w:rFonts w:ascii="Arial" w:hAnsi="Arial" w:cs="Arial"/>
          <w:sz w:val="22"/>
          <w:szCs w:val="22"/>
          <w:lang w:val="en-GB"/>
        </w:rPr>
        <w:t>5</w:t>
      </w:r>
      <w:r w:rsidRPr="005E607A">
        <w:rPr>
          <w:rFonts w:ascii="Arial" w:hAnsi="Arial" w:cs="Arial"/>
          <w:sz w:val="22"/>
          <w:szCs w:val="22"/>
          <w:lang w:val="en-GB"/>
        </w:rPr>
        <w:t>/Doc.</w:t>
      </w:r>
      <w:r w:rsidR="006821C9" w:rsidRPr="005E607A">
        <w:rPr>
          <w:rFonts w:ascii="Arial" w:hAnsi="Arial" w:cs="Arial"/>
          <w:sz w:val="22"/>
          <w:szCs w:val="22"/>
          <w:lang w:val="en-GB"/>
        </w:rPr>
        <w:t>25.1.1</w:t>
      </w:r>
      <w:r w:rsidR="00CA6A2B" w:rsidRPr="005E607A">
        <w:rPr>
          <w:rFonts w:ascii="Arial" w:hAnsi="Arial" w:cs="Arial"/>
          <w:sz w:val="22"/>
          <w:szCs w:val="22"/>
          <w:lang w:val="en-GB"/>
        </w:rPr>
        <w:t>/Rev.1</w:t>
      </w:r>
    </w:p>
    <w:p w14:paraId="73A89732" w14:textId="1FE31287" w:rsidR="00D82C56" w:rsidRPr="00BD44E7" w:rsidRDefault="005D43E4" w:rsidP="005E607A">
      <w:pPr>
        <w:jc w:val="center"/>
        <w:rPr>
          <w:rFonts w:ascii="Arial" w:hAnsi="Arial" w:cs="Arial"/>
          <w:i/>
          <w:sz w:val="22"/>
          <w:szCs w:val="22"/>
          <w:lang w:val="fr-FR"/>
        </w:rPr>
      </w:pPr>
      <w:r w:rsidRPr="00BD44E7">
        <w:rPr>
          <w:rFonts w:ascii="Arial" w:hAnsi="Arial" w:cs="Arial"/>
          <w:i/>
          <w:sz w:val="22"/>
          <w:szCs w:val="22"/>
          <w:lang w:val="fr-FR"/>
        </w:rPr>
        <w:t>(Pr</w:t>
      </w:r>
      <w:r w:rsidR="001551ED" w:rsidRPr="00BD44E7">
        <w:rPr>
          <w:rFonts w:ascii="Arial" w:hAnsi="Arial" w:cs="Arial"/>
          <w:i/>
          <w:sz w:val="22"/>
          <w:szCs w:val="22"/>
          <w:lang w:val="fr-FR"/>
        </w:rPr>
        <w:t>é</w:t>
      </w:r>
      <w:r w:rsidRPr="00BD44E7">
        <w:rPr>
          <w:rFonts w:ascii="Arial" w:hAnsi="Arial" w:cs="Arial"/>
          <w:i/>
          <w:sz w:val="22"/>
          <w:szCs w:val="22"/>
          <w:lang w:val="fr-FR"/>
        </w:rPr>
        <w:t>pa</w:t>
      </w:r>
      <w:r w:rsidR="00EF2BC5" w:rsidRPr="00BD44E7">
        <w:rPr>
          <w:rFonts w:ascii="Arial" w:hAnsi="Arial" w:cs="Arial"/>
          <w:i/>
          <w:sz w:val="22"/>
          <w:szCs w:val="22"/>
          <w:lang w:val="fr-FR"/>
        </w:rPr>
        <w:t>ré par</w:t>
      </w:r>
      <w:r w:rsidR="001551ED" w:rsidRPr="00BD44E7">
        <w:rPr>
          <w:rFonts w:ascii="Arial" w:hAnsi="Arial" w:cs="Arial"/>
          <w:i/>
          <w:sz w:val="22"/>
          <w:szCs w:val="22"/>
          <w:lang w:val="fr-FR"/>
        </w:rPr>
        <w:t xml:space="preserve"> le </w:t>
      </w:r>
      <w:r w:rsidR="00CA6A2B">
        <w:rPr>
          <w:rFonts w:ascii="Arial" w:hAnsi="Arial" w:cs="Arial"/>
          <w:i/>
          <w:sz w:val="22"/>
          <w:szCs w:val="22"/>
          <w:lang w:val="fr-FR"/>
        </w:rPr>
        <w:t>Comité plénier</w:t>
      </w:r>
      <w:r w:rsidR="001551ED" w:rsidRPr="00BD44E7">
        <w:rPr>
          <w:rFonts w:ascii="Arial" w:hAnsi="Arial" w:cs="Arial"/>
          <w:i/>
          <w:sz w:val="22"/>
          <w:szCs w:val="22"/>
          <w:lang w:val="fr-FR"/>
        </w:rPr>
        <w:t>)</w:t>
      </w:r>
    </w:p>
    <w:p w14:paraId="25BD5BFE" w14:textId="77777777" w:rsidR="00D82C56" w:rsidRPr="00BD44E7" w:rsidRDefault="00D82C56" w:rsidP="005E607A">
      <w:pPr>
        <w:jc w:val="both"/>
        <w:rPr>
          <w:rFonts w:ascii="Arial" w:hAnsi="Arial" w:cs="Arial"/>
          <w:sz w:val="22"/>
          <w:szCs w:val="22"/>
          <w:lang w:val="fr-FR"/>
        </w:rPr>
      </w:pPr>
    </w:p>
    <w:p w14:paraId="5D88C494" w14:textId="77777777" w:rsidR="007103C8" w:rsidRPr="00BD44E7" w:rsidRDefault="007103C8" w:rsidP="005E607A">
      <w:pPr>
        <w:jc w:val="both"/>
        <w:rPr>
          <w:rFonts w:ascii="Arial" w:hAnsi="Arial" w:cs="Arial"/>
          <w:sz w:val="22"/>
          <w:szCs w:val="22"/>
          <w:lang w:val="fr-FR"/>
        </w:rPr>
      </w:pPr>
    </w:p>
    <w:p w14:paraId="27FFBAD8" w14:textId="798F24FB" w:rsidR="007A5544" w:rsidRPr="00BD44E7" w:rsidRDefault="00E24525" w:rsidP="005E607A">
      <w:pPr>
        <w:jc w:val="center"/>
        <w:rPr>
          <w:rFonts w:ascii="Arial" w:hAnsi="Arial" w:cs="Arial"/>
          <w:iCs/>
          <w:sz w:val="22"/>
          <w:szCs w:val="22"/>
          <w:lang w:val="fr-FR"/>
        </w:rPr>
      </w:pPr>
      <w:r w:rsidRPr="00BD44E7">
        <w:rPr>
          <w:rFonts w:ascii="Arial" w:hAnsi="Arial" w:cs="Arial"/>
          <w:iCs/>
          <w:sz w:val="22"/>
          <w:szCs w:val="22"/>
          <w:lang w:val="fr-FR"/>
        </w:rPr>
        <w:t>PROJET DE RÉSOLUTION</w:t>
      </w:r>
    </w:p>
    <w:p w14:paraId="68ADFC31" w14:textId="77777777" w:rsidR="007A5544" w:rsidRDefault="007A5544" w:rsidP="005E607A">
      <w:pPr>
        <w:rPr>
          <w:rFonts w:ascii="Arial" w:hAnsi="Arial" w:cs="Arial"/>
          <w:sz w:val="22"/>
          <w:szCs w:val="22"/>
          <w:lang w:val="fr-FR"/>
        </w:rPr>
      </w:pPr>
    </w:p>
    <w:p w14:paraId="7B3F9C66" w14:textId="77777777" w:rsidR="00763B67" w:rsidRPr="00BD44E7" w:rsidRDefault="00763B67" w:rsidP="005E607A">
      <w:pPr>
        <w:rPr>
          <w:rFonts w:ascii="Arial" w:hAnsi="Arial" w:cs="Arial"/>
          <w:sz w:val="22"/>
          <w:szCs w:val="22"/>
          <w:lang w:val="fr-FR"/>
        </w:rPr>
      </w:pPr>
    </w:p>
    <w:p w14:paraId="75B0D444" w14:textId="1ACB6398" w:rsidR="007A5544" w:rsidRPr="00BD44E7" w:rsidRDefault="007A5544" w:rsidP="005E607A">
      <w:pPr>
        <w:jc w:val="both"/>
        <w:rPr>
          <w:rFonts w:ascii="Arial" w:hAnsi="Arial" w:cs="Arial"/>
          <w:sz w:val="22"/>
          <w:szCs w:val="22"/>
          <w:lang w:val="fr-FR"/>
        </w:rPr>
      </w:pPr>
      <w:r w:rsidRPr="00BD44E7">
        <w:rPr>
          <w:rFonts w:ascii="Arial" w:hAnsi="Arial" w:cs="Arial"/>
          <w:i/>
          <w:sz w:val="22"/>
          <w:szCs w:val="22"/>
          <w:lang w:val="fr-FR"/>
        </w:rPr>
        <w:t>Préoccupée</w:t>
      </w:r>
      <w:r w:rsidRPr="00BD44E7">
        <w:rPr>
          <w:rFonts w:ascii="Arial" w:hAnsi="Arial" w:cs="Arial"/>
          <w:sz w:val="22"/>
          <w:szCs w:val="22"/>
          <w:lang w:val="fr-FR"/>
        </w:rPr>
        <w:t xml:space="preserve"> </w:t>
      </w:r>
      <w:r w:rsidR="001551ED" w:rsidRPr="00BD44E7">
        <w:rPr>
          <w:rFonts w:ascii="Arial" w:hAnsi="Arial" w:cs="Arial"/>
          <w:sz w:val="22"/>
          <w:szCs w:val="22"/>
          <w:lang w:val="fr-FR"/>
        </w:rPr>
        <w:t xml:space="preserve">par le </w:t>
      </w:r>
      <w:r w:rsidRPr="00BD44E7">
        <w:rPr>
          <w:rFonts w:ascii="Arial" w:hAnsi="Arial" w:cs="Arial"/>
          <w:sz w:val="22"/>
          <w:szCs w:val="22"/>
          <w:lang w:val="fr-FR"/>
        </w:rPr>
        <w:t xml:space="preserve">fait qu’en dépit de progrès considérables </w:t>
      </w:r>
      <w:r w:rsidR="001551ED" w:rsidRPr="00BD44E7">
        <w:rPr>
          <w:rFonts w:ascii="Arial" w:hAnsi="Arial" w:cs="Arial"/>
          <w:sz w:val="22"/>
          <w:szCs w:val="22"/>
          <w:lang w:val="fr-FR"/>
        </w:rPr>
        <w:t>dans</w:t>
      </w:r>
      <w:r w:rsidRPr="00BD44E7">
        <w:rPr>
          <w:rFonts w:ascii="Arial" w:hAnsi="Arial" w:cs="Arial"/>
          <w:sz w:val="22"/>
          <w:szCs w:val="22"/>
          <w:lang w:val="fr-FR"/>
        </w:rPr>
        <w:t xml:space="preserve"> la mise en œuvre de mesures </w:t>
      </w:r>
      <w:r w:rsidR="001551ED" w:rsidRPr="00BD44E7">
        <w:rPr>
          <w:rFonts w:ascii="Arial" w:hAnsi="Arial" w:cs="Arial"/>
          <w:sz w:val="22"/>
          <w:szCs w:val="22"/>
          <w:lang w:val="fr-FR"/>
        </w:rPr>
        <w:t>visant à réduire</w:t>
      </w:r>
      <w:r w:rsidRPr="00BD44E7">
        <w:rPr>
          <w:rFonts w:ascii="Arial" w:hAnsi="Arial" w:cs="Arial"/>
          <w:sz w:val="22"/>
          <w:szCs w:val="22"/>
          <w:lang w:val="fr-FR"/>
        </w:rPr>
        <w:t xml:space="preserve"> </w:t>
      </w:r>
      <w:r w:rsidR="001551ED" w:rsidRPr="00BD44E7">
        <w:rPr>
          <w:rFonts w:ascii="Arial" w:hAnsi="Arial" w:cs="Arial"/>
          <w:sz w:val="22"/>
          <w:szCs w:val="22"/>
          <w:lang w:val="fr-FR"/>
        </w:rPr>
        <w:t>l</w:t>
      </w:r>
      <w:r w:rsidRPr="00BD44E7">
        <w:rPr>
          <w:rFonts w:ascii="Arial" w:hAnsi="Arial" w:cs="Arial"/>
          <w:sz w:val="22"/>
          <w:szCs w:val="22"/>
          <w:lang w:val="fr-FR"/>
        </w:rPr>
        <w:t xml:space="preserve">es prises accessoires </w:t>
      </w:r>
      <w:r w:rsidR="001551ED" w:rsidRPr="00BD44E7">
        <w:rPr>
          <w:rFonts w:ascii="Arial" w:hAnsi="Arial" w:cs="Arial"/>
          <w:sz w:val="22"/>
          <w:szCs w:val="22"/>
          <w:lang w:val="fr-FR"/>
        </w:rPr>
        <w:t>pour atténuer</w:t>
      </w:r>
      <w:r w:rsidRPr="00BD44E7">
        <w:rPr>
          <w:rFonts w:ascii="Arial" w:hAnsi="Arial" w:cs="Arial"/>
          <w:sz w:val="22"/>
          <w:szCs w:val="22"/>
          <w:lang w:val="fr-FR"/>
        </w:rPr>
        <w:t xml:space="preserve"> les </w:t>
      </w:r>
      <w:r w:rsidR="001551ED" w:rsidRPr="00BD44E7">
        <w:rPr>
          <w:rFonts w:ascii="Arial" w:hAnsi="Arial" w:cs="Arial"/>
          <w:sz w:val="22"/>
          <w:szCs w:val="22"/>
          <w:lang w:val="fr-FR"/>
        </w:rPr>
        <w:t>effets néfastes</w:t>
      </w:r>
      <w:r w:rsidRPr="00BD44E7">
        <w:rPr>
          <w:rFonts w:ascii="Arial" w:hAnsi="Arial" w:cs="Arial"/>
          <w:sz w:val="22"/>
          <w:szCs w:val="22"/>
          <w:lang w:val="fr-FR"/>
        </w:rPr>
        <w:t xml:space="preserve"> de la pêche sur des espèces inscrites aux Annexes de la CMS, les prises accessoires restent une des </w:t>
      </w:r>
      <w:r w:rsidR="001551ED" w:rsidRPr="00BD44E7">
        <w:rPr>
          <w:rFonts w:ascii="Arial" w:hAnsi="Arial" w:cs="Arial"/>
          <w:sz w:val="22"/>
          <w:szCs w:val="22"/>
          <w:lang w:val="fr-FR"/>
        </w:rPr>
        <w:t xml:space="preserve">principales </w:t>
      </w:r>
      <w:r w:rsidRPr="00BD44E7">
        <w:rPr>
          <w:rFonts w:ascii="Arial" w:hAnsi="Arial" w:cs="Arial"/>
          <w:sz w:val="22"/>
          <w:szCs w:val="22"/>
          <w:lang w:val="fr-FR"/>
        </w:rPr>
        <w:t>causes de mortalité des espèces migratrices,</w:t>
      </w:r>
    </w:p>
    <w:p w14:paraId="1BCC2732" w14:textId="77777777" w:rsidR="007A5544" w:rsidRPr="00BD44E7" w:rsidRDefault="007A5544" w:rsidP="005E607A">
      <w:pPr>
        <w:jc w:val="both"/>
        <w:rPr>
          <w:rFonts w:ascii="Arial" w:hAnsi="Arial" w:cs="Arial"/>
          <w:sz w:val="22"/>
          <w:szCs w:val="22"/>
          <w:lang w:val="fr-FR"/>
        </w:rPr>
      </w:pPr>
    </w:p>
    <w:p w14:paraId="020871A0" w14:textId="77777777" w:rsidR="007A5544" w:rsidRPr="00BD44E7" w:rsidRDefault="007A5544" w:rsidP="005E607A">
      <w:pPr>
        <w:jc w:val="both"/>
        <w:rPr>
          <w:rFonts w:ascii="Arial" w:hAnsi="Arial" w:cs="Arial"/>
          <w:color w:val="000000" w:themeColor="text1"/>
          <w:sz w:val="22"/>
          <w:szCs w:val="22"/>
          <w:lang w:val="fr-FR"/>
        </w:rPr>
      </w:pPr>
      <w:r w:rsidRPr="00BD44E7">
        <w:rPr>
          <w:rFonts w:ascii="Arial" w:hAnsi="Arial" w:cs="Arial"/>
          <w:i/>
          <w:iCs/>
          <w:color w:val="000000" w:themeColor="text1"/>
          <w:sz w:val="22"/>
          <w:szCs w:val="22"/>
          <w:lang w:val="fr-FR"/>
        </w:rPr>
        <w:t>Constatant</w:t>
      </w:r>
      <w:r w:rsidRPr="00BD44E7">
        <w:rPr>
          <w:rFonts w:ascii="Arial" w:hAnsi="Arial" w:cs="Arial"/>
          <w:color w:val="000000" w:themeColor="text1"/>
          <w:sz w:val="22"/>
          <w:szCs w:val="22"/>
          <w:lang w:val="fr-FR"/>
        </w:rPr>
        <w:t xml:space="preserve"> que des efforts supplémentaires importants s’imposent pour empêcher les prises accessoires d'espèces inscrites à l'Annexe I et pour réduire les prises accessoires à des niveaux ne constituant pas une menace pour l'état de conservation des espèces inscrites à l'Annexe II,</w:t>
      </w:r>
    </w:p>
    <w:p w14:paraId="18FBAD0B" w14:textId="77777777" w:rsidR="007A5544" w:rsidRPr="00BD44E7" w:rsidRDefault="007A5544" w:rsidP="005E607A">
      <w:pPr>
        <w:jc w:val="both"/>
        <w:rPr>
          <w:rFonts w:ascii="Arial" w:hAnsi="Arial" w:cs="Arial"/>
          <w:color w:val="000000" w:themeColor="text1"/>
          <w:sz w:val="22"/>
          <w:szCs w:val="22"/>
          <w:lang w:val="fr-FR"/>
        </w:rPr>
      </w:pPr>
    </w:p>
    <w:p w14:paraId="0A2A2F08" w14:textId="77777777" w:rsidR="007A5544" w:rsidRPr="00BD44E7" w:rsidRDefault="007A5544" w:rsidP="005E607A">
      <w:pPr>
        <w:jc w:val="both"/>
        <w:rPr>
          <w:rFonts w:ascii="Arial" w:hAnsi="Arial" w:cs="Arial"/>
          <w:sz w:val="22"/>
          <w:szCs w:val="22"/>
          <w:lang w:val="fr-FR"/>
        </w:rPr>
      </w:pPr>
      <w:r w:rsidRPr="00BD44E7">
        <w:rPr>
          <w:rFonts w:ascii="Arial" w:hAnsi="Arial" w:cs="Arial"/>
          <w:i/>
          <w:sz w:val="22"/>
          <w:szCs w:val="22"/>
          <w:lang w:val="fr-FR"/>
        </w:rPr>
        <w:t>Rappelant</w:t>
      </w:r>
      <w:r w:rsidRPr="00BD44E7">
        <w:rPr>
          <w:rFonts w:ascii="Arial" w:hAnsi="Arial" w:cs="Arial"/>
          <w:sz w:val="22"/>
          <w:szCs w:val="22"/>
          <w:lang w:val="fr-FR"/>
        </w:rPr>
        <w:t xml:space="preserve"> que l'article II de la Convention exige que toutes les Parties prennent des mesures pour éviter qu'une espèce migratrice ne soit mise en danger et, en particulier, s'efforcent d'accorder une protection immédiate aux espèces migratrices inscrites à l'Annexe I de la Convention et de conclure des Accords portant sur la conservation et la gestion des espèces migratrices inscrites à l'Annexe II,</w:t>
      </w:r>
    </w:p>
    <w:p w14:paraId="0F5AFA96" w14:textId="77777777" w:rsidR="007A5544" w:rsidRPr="00BD44E7" w:rsidRDefault="007A5544" w:rsidP="005E607A">
      <w:pPr>
        <w:jc w:val="both"/>
        <w:rPr>
          <w:rFonts w:ascii="Arial" w:hAnsi="Arial" w:cs="Arial"/>
          <w:sz w:val="22"/>
          <w:szCs w:val="22"/>
          <w:lang w:val="fr-FR"/>
        </w:rPr>
      </w:pPr>
    </w:p>
    <w:p w14:paraId="304BF435" w14:textId="5E4C8E1A" w:rsidR="007A5544" w:rsidRPr="00BD44E7" w:rsidRDefault="007A5544" w:rsidP="005E607A">
      <w:pPr>
        <w:jc w:val="both"/>
        <w:rPr>
          <w:rFonts w:ascii="Arial" w:hAnsi="Arial" w:cs="Arial"/>
          <w:sz w:val="22"/>
          <w:szCs w:val="22"/>
          <w:lang w:val="fr-FR"/>
        </w:rPr>
      </w:pPr>
      <w:r w:rsidRPr="00BD44E7">
        <w:rPr>
          <w:rFonts w:ascii="Arial" w:hAnsi="Arial" w:cs="Arial"/>
          <w:i/>
          <w:iCs/>
          <w:sz w:val="22"/>
          <w:szCs w:val="22"/>
          <w:lang w:val="fr-FR"/>
        </w:rPr>
        <w:t>Rappelant</w:t>
      </w:r>
      <w:r w:rsidRPr="00BD44E7">
        <w:rPr>
          <w:rFonts w:ascii="Arial" w:hAnsi="Arial" w:cs="Arial"/>
          <w:sz w:val="22"/>
          <w:szCs w:val="22"/>
          <w:lang w:val="fr-FR"/>
        </w:rPr>
        <w:t xml:space="preserve"> l’Art. III 4.c) de la Convention, qui demande aux Parties</w:t>
      </w:r>
      <w:r w:rsidR="00A73BA9" w:rsidRPr="00BD44E7">
        <w:rPr>
          <w:rFonts w:ascii="Arial" w:hAnsi="Arial" w:cs="Arial"/>
          <w:sz w:val="22"/>
          <w:szCs w:val="22"/>
          <w:lang w:val="fr-FR"/>
        </w:rPr>
        <w:t xml:space="preserve">  qui sont des </w:t>
      </w:r>
      <w:r w:rsidRPr="00BD44E7">
        <w:rPr>
          <w:rFonts w:ascii="Arial" w:hAnsi="Arial" w:cs="Arial"/>
          <w:sz w:val="22"/>
          <w:szCs w:val="22"/>
          <w:lang w:val="fr-FR"/>
        </w:rPr>
        <w:t>États de l’aire de répartition des espèces migratrices inscrites à l’Annexe I, de prévenir, réduire ou contrôler, lorsque cela est possible et approprié, les facteurs qui mettent en danger ou risquent de mettre davantage en danger ces espèces,</w:t>
      </w:r>
    </w:p>
    <w:p w14:paraId="6CE45311" w14:textId="77777777" w:rsidR="007A5544" w:rsidRPr="00BD44E7" w:rsidRDefault="007A5544" w:rsidP="005E607A">
      <w:pPr>
        <w:jc w:val="both"/>
        <w:rPr>
          <w:rFonts w:ascii="Arial" w:hAnsi="Arial" w:cs="Arial"/>
          <w:sz w:val="22"/>
          <w:szCs w:val="22"/>
          <w:lang w:val="fr-FR"/>
        </w:rPr>
      </w:pPr>
    </w:p>
    <w:p w14:paraId="0E53ADC3" w14:textId="073F19BF" w:rsidR="007A5544" w:rsidRPr="00BD44E7" w:rsidRDefault="007A5544" w:rsidP="005E607A">
      <w:pPr>
        <w:jc w:val="both"/>
        <w:rPr>
          <w:rFonts w:ascii="Arial" w:hAnsi="Arial" w:cs="Arial"/>
          <w:sz w:val="22"/>
          <w:szCs w:val="22"/>
          <w:lang w:val="fr-FR"/>
        </w:rPr>
      </w:pPr>
      <w:r w:rsidRPr="00BD44E7">
        <w:rPr>
          <w:rFonts w:ascii="Arial" w:hAnsi="Arial" w:cs="Arial"/>
          <w:i/>
          <w:iCs/>
          <w:sz w:val="22"/>
          <w:szCs w:val="22"/>
          <w:lang w:val="fr-FR"/>
        </w:rPr>
        <w:t>Rappelant en outre</w:t>
      </w:r>
      <w:r w:rsidRPr="00BD44E7">
        <w:rPr>
          <w:rFonts w:ascii="Arial" w:hAnsi="Arial" w:cs="Arial"/>
          <w:sz w:val="22"/>
          <w:szCs w:val="22"/>
          <w:lang w:val="fr-FR"/>
        </w:rPr>
        <w:t xml:space="preserve"> l’Art. III 5) de la Convention, qui oblige les États de l’aire de répartition des espèces migratrices inscrites à l’Annexe I à interdire le prélèvement d’animaux appartenant à ces espèces, sauf à des fins spécifiques et limitées, à savoir la recherche scientifique, l’amélioration de la propagation ou de la survie, l’utilisation traditionnelle à des fins de subsistance, ou dans des circonstances exceptionnelles, ces dérogations étant précises quant à leur contenu et limitées dans l’espace et dans le temps, et en veillant à ce qu’un tel prélèvement ne porte pas préjudice à l’espèce,</w:t>
      </w:r>
    </w:p>
    <w:p w14:paraId="3B3DCB9C" w14:textId="77777777" w:rsidR="007A5544" w:rsidRPr="00BD44E7" w:rsidRDefault="007A5544" w:rsidP="005E607A">
      <w:pPr>
        <w:jc w:val="both"/>
        <w:rPr>
          <w:rFonts w:ascii="Arial" w:hAnsi="Arial" w:cs="Arial"/>
          <w:sz w:val="22"/>
          <w:szCs w:val="22"/>
          <w:lang w:val="fr-FR"/>
        </w:rPr>
      </w:pPr>
    </w:p>
    <w:p w14:paraId="4CB8FB3C" w14:textId="4F087BF2" w:rsidR="007A5544" w:rsidRPr="00BD44E7" w:rsidRDefault="007A5544" w:rsidP="005E607A">
      <w:pPr>
        <w:jc w:val="both"/>
        <w:rPr>
          <w:rFonts w:ascii="Arial" w:hAnsi="Arial" w:cs="Arial"/>
          <w:sz w:val="22"/>
          <w:szCs w:val="22"/>
          <w:lang w:val="fr-FR"/>
        </w:rPr>
      </w:pPr>
      <w:r w:rsidRPr="00BD44E7">
        <w:rPr>
          <w:rFonts w:ascii="Arial" w:hAnsi="Arial" w:cs="Arial"/>
          <w:i/>
          <w:iCs/>
          <w:sz w:val="22"/>
          <w:szCs w:val="22"/>
          <w:lang w:val="fr-FR"/>
        </w:rPr>
        <w:t xml:space="preserve">Affirmant </w:t>
      </w:r>
      <w:r w:rsidRPr="00BD44E7">
        <w:rPr>
          <w:rFonts w:ascii="Arial" w:hAnsi="Arial" w:cs="Arial"/>
          <w:sz w:val="22"/>
          <w:szCs w:val="22"/>
          <w:lang w:val="fr-FR"/>
        </w:rPr>
        <w:t>que la présente Résolution s’applique aux pêcheries situées tant dans les eaux nationales que dans les zones économiques exclusives</w:t>
      </w:r>
      <w:r w:rsidRPr="00BD44E7">
        <w:rPr>
          <w:rFonts w:ascii="Arial" w:hAnsi="Arial" w:cs="Arial"/>
          <w:color w:val="000000" w:themeColor="text1"/>
          <w:sz w:val="22"/>
          <w:szCs w:val="22"/>
          <w:lang w:val="fr-FR"/>
        </w:rPr>
        <w:t>,</w:t>
      </w:r>
      <w:r w:rsidRPr="00BD44E7">
        <w:rPr>
          <w:rFonts w:ascii="Arial" w:hAnsi="Arial" w:cs="Arial"/>
          <w:color w:val="EE0000"/>
          <w:sz w:val="22"/>
          <w:szCs w:val="22"/>
          <w:lang w:val="fr-FR"/>
        </w:rPr>
        <w:t xml:space="preserve"> </w:t>
      </w:r>
      <w:r w:rsidRPr="00BD44E7">
        <w:rPr>
          <w:rFonts w:ascii="Arial" w:hAnsi="Arial" w:cs="Arial"/>
          <w:sz w:val="22"/>
          <w:szCs w:val="22"/>
          <w:lang w:val="fr-FR"/>
        </w:rPr>
        <w:t>ainsi qu’aux navires battant pavillon opérant dans les zones situées au-delà de la juridiction nationale conformément à l’Art. I 1.h), qui dispose qu’un « État de l’aire de répartition signifie, pour une espèce migratrice donnée, tout État (et, le cas échéant, toute autre Partie visée au sous-paragraphe k) ci-dessous) qui exerce sa juridiction sur une partie quelconque de l’aire de répartition de cette espèce migratrice, ou encore un État dont les navires battant son pavillon procèdent à des prélèvements sur cette espèce en dehors des limites de juridiction nationale »,</w:t>
      </w:r>
    </w:p>
    <w:p w14:paraId="6F8B0549" w14:textId="77777777" w:rsidR="007A5544" w:rsidRPr="00BD44E7" w:rsidRDefault="007A5544" w:rsidP="005E607A">
      <w:pPr>
        <w:jc w:val="both"/>
        <w:rPr>
          <w:rFonts w:ascii="Arial" w:hAnsi="Arial" w:cs="Arial"/>
          <w:sz w:val="22"/>
          <w:szCs w:val="22"/>
          <w:lang w:val="fr-FR"/>
        </w:rPr>
      </w:pPr>
    </w:p>
    <w:p w14:paraId="4356AF37" w14:textId="77777777" w:rsidR="007A5544" w:rsidRPr="00BD44E7" w:rsidRDefault="007A5544" w:rsidP="005E607A">
      <w:pPr>
        <w:jc w:val="both"/>
        <w:rPr>
          <w:rFonts w:ascii="Arial" w:hAnsi="Arial" w:cs="Arial"/>
          <w:color w:val="000000" w:themeColor="text1"/>
          <w:sz w:val="22"/>
          <w:szCs w:val="22"/>
          <w:lang w:val="fr-FR"/>
        </w:rPr>
      </w:pPr>
      <w:r w:rsidRPr="00BD44E7">
        <w:rPr>
          <w:rFonts w:ascii="Arial" w:hAnsi="Arial" w:cs="Arial"/>
          <w:i/>
          <w:iCs/>
          <w:color w:val="000000" w:themeColor="text1"/>
          <w:sz w:val="22"/>
          <w:szCs w:val="22"/>
          <w:lang w:val="fr-FR"/>
        </w:rPr>
        <w:t>Reconnaissant</w:t>
      </w:r>
      <w:r w:rsidRPr="00BD44E7">
        <w:rPr>
          <w:rFonts w:ascii="Arial" w:hAnsi="Arial" w:cs="Arial"/>
          <w:color w:val="000000" w:themeColor="text1"/>
          <w:sz w:val="22"/>
          <w:szCs w:val="22"/>
          <w:lang w:val="fr-FR"/>
        </w:rPr>
        <w:t xml:space="preserve"> l'importance des peuples autochtones et des communautés locales dans la lutte contre les prises accessoires, en particulier dans les communautés qui dépendent fortement de la pêche,</w:t>
      </w:r>
    </w:p>
    <w:p w14:paraId="6F8CA7D2" w14:textId="48F0BFCF" w:rsidR="00D416B7" w:rsidRPr="00BD44E7" w:rsidRDefault="00D416B7" w:rsidP="005E607A">
      <w:pPr>
        <w:jc w:val="both"/>
        <w:rPr>
          <w:rFonts w:ascii="Arial" w:hAnsi="Arial" w:cs="Arial"/>
          <w:color w:val="000000" w:themeColor="text1"/>
          <w:sz w:val="22"/>
          <w:szCs w:val="22"/>
          <w:lang w:val="fr-FR"/>
        </w:rPr>
      </w:pPr>
      <w:r w:rsidRPr="00BD44E7">
        <w:rPr>
          <w:rFonts w:ascii="Arial" w:hAnsi="Arial" w:cs="Arial"/>
          <w:color w:val="000000" w:themeColor="text1"/>
          <w:sz w:val="22"/>
          <w:szCs w:val="22"/>
          <w:lang w:val="fr-FR"/>
        </w:rPr>
        <w:br w:type="page"/>
      </w:r>
    </w:p>
    <w:p w14:paraId="020F1123" w14:textId="1121E38E" w:rsidR="007A5544" w:rsidRPr="00BD44E7" w:rsidRDefault="007A5544" w:rsidP="005E607A">
      <w:pPr>
        <w:jc w:val="both"/>
        <w:rPr>
          <w:rFonts w:ascii="Arial" w:hAnsi="Arial" w:cs="Arial"/>
          <w:sz w:val="22"/>
          <w:szCs w:val="22"/>
          <w:lang w:val="fr-FR"/>
        </w:rPr>
      </w:pPr>
      <w:r w:rsidRPr="00BD44E7">
        <w:rPr>
          <w:rFonts w:ascii="Arial" w:hAnsi="Arial" w:cs="Arial"/>
          <w:i/>
          <w:sz w:val="22"/>
          <w:szCs w:val="22"/>
          <w:lang w:val="fr-FR"/>
        </w:rPr>
        <w:lastRenderedPageBreak/>
        <w:t>Reconnaissant</w:t>
      </w:r>
      <w:r w:rsidRPr="00BD44E7">
        <w:rPr>
          <w:rFonts w:ascii="Arial" w:hAnsi="Arial" w:cs="Arial"/>
          <w:sz w:val="22"/>
          <w:szCs w:val="22"/>
          <w:lang w:val="fr-FR"/>
        </w:rPr>
        <w:t xml:space="preserve"> que de nombreuses techniques d’atténuation ont été mises au point pour différents taxons, pêcheries et régions et qu’elles fournissent des solutions techniques et améliore</w:t>
      </w:r>
      <w:r w:rsidR="00911724" w:rsidRPr="00BD44E7">
        <w:rPr>
          <w:rFonts w:ascii="Arial" w:hAnsi="Arial" w:cs="Arial"/>
          <w:sz w:val="22"/>
          <w:szCs w:val="22"/>
          <w:lang w:val="fr-FR"/>
        </w:rPr>
        <w:t>nt</w:t>
      </w:r>
      <w:r w:rsidRPr="00BD44E7">
        <w:rPr>
          <w:rFonts w:ascii="Arial" w:hAnsi="Arial" w:cs="Arial"/>
          <w:sz w:val="22"/>
          <w:szCs w:val="22"/>
          <w:lang w:val="fr-FR"/>
        </w:rPr>
        <w:t xml:space="preserve"> les pratiques </w:t>
      </w:r>
      <w:r w:rsidR="00911724" w:rsidRPr="00BD44E7">
        <w:rPr>
          <w:rFonts w:ascii="Arial" w:hAnsi="Arial" w:cs="Arial"/>
          <w:sz w:val="22"/>
          <w:szCs w:val="22"/>
          <w:lang w:val="fr-FR"/>
        </w:rPr>
        <w:t>en matière de</w:t>
      </w:r>
      <w:r w:rsidRPr="00BD44E7">
        <w:rPr>
          <w:rFonts w:ascii="Arial" w:hAnsi="Arial" w:cs="Arial"/>
          <w:sz w:val="22"/>
          <w:szCs w:val="22"/>
          <w:lang w:val="fr-FR"/>
        </w:rPr>
        <w:t xml:space="preserve"> prises accessoire</w:t>
      </w:r>
      <w:r w:rsidR="0045067E" w:rsidRPr="00BD44E7">
        <w:rPr>
          <w:rFonts w:ascii="Arial" w:hAnsi="Arial" w:cs="Arial"/>
          <w:sz w:val="22"/>
          <w:szCs w:val="22"/>
          <w:lang w:val="fr-FR"/>
        </w:rPr>
        <w:t>s</w:t>
      </w:r>
      <w:r w:rsidR="004036B0" w:rsidRPr="00BD44E7">
        <w:rPr>
          <w:rFonts w:ascii="Arial" w:hAnsi="Arial" w:cs="Arial"/>
          <w:sz w:val="22"/>
          <w:szCs w:val="22"/>
          <w:lang w:val="fr-FR"/>
        </w:rPr>
        <w:t xml:space="preserve"> qui</w:t>
      </w:r>
      <w:r w:rsidRPr="00BD44E7">
        <w:rPr>
          <w:rFonts w:ascii="Arial" w:hAnsi="Arial" w:cs="Arial"/>
          <w:sz w:val="22"/>
          <w:szCs w:val="22"/>
          <w:lang w:val="fr-FR"/>
        </w:rPr>
        <w:t xml:space="preserve"> pourrai</w:t>
      </w:r>
      <w:r w:rsidR="0045067E" w:rsidRPr="00BD44E7">
        <w:rPr>
          <w:rFonts w:ascii="Arial" w:hAnsi="Arial" w:cs="Arial"/>
          <w:sz w:val="22"/>
          <w:szCs w:val="22"/>
          <w:lang w:val="fr-FR"/>
        </w:rPr>
        <w:t>ent</w:t>
      </w:r>
      <w:r w:rsidR="004036B0" w:rsidRPr="00BD44E7">
        <w:rPr>
          <w:rFonts w:ascii="Arial" w:hAnsi="Arial" w:cs="Arial"/>
          <w:sz w:val="22"/>
          <w:szCs w:val="22"/>
          <w:lang w:val="fr-FR"/>
        </w:rPr>
        <w:t xml:space="preserve"> </w:t>
      </w:r>
      <w:r w:rsidRPr="00BD44E7">
        <w:rPr>
          <w:rFonts w:ascii="Arial" w:hAnsi="Arial" w:cs="Arial"/>
          <w:sz w:val="22"/>
          <w:szCs w:val="22"/>
          <w:lang w:val="fr-FR"/>
        </w:rPr>
        <w:t xml:space="preserve">considérablement </w:t>
      </w:r>
      <w:r w:rsidR="004036B0" w:rsidRPr="00BD44E7">
        <w:rPr>
          <w:rFonts w:ascii="Arial" w:hAnsi="Arial" w:cs="Arial"/>
          <w:sz w:val="22"/>
          <w:szCs w:val="22"/>
          <w:lang w:val="fr-FR"/>
        </w:rPr>
        <w:t xml:space="preserve">renforcer </w:t>
      </w:r>
      <w:r w:rsidRPr="00BD44E7">
        <w:rPr>
          <w:rFonts w:ascii="Arial" w:hAnsi="Arial" w:cs="Arial"/>
          <w:sz w:val="22"/>
          <w:szCs w:val="22"/>
          <w:lang w:val="fr-FR"/>
        </w:rPr>
        <w:t>la conservation de nombreuses populations d’espèces,</w:t>
      </w:r>
    </w:p>
    <w:p w14:paraId="3D1CCEA9" w14:textId="77777777" w:rsidR="007103C8" w:rsidRPr="00BD44E7" w:rsidRDefault="007103C8" w:rsidP="005E607A">
      <w:pPr>
        <w:rPr>
          <w:rFonts w:ascii="Arial" w:hAnsi="Arial" w:cs="Arial"/>
          <w:i/>
          <w:sz w:val="22"/>
          <w:szCs w:val="22"/>
          <w:lang w:val="fr-FR"/>
        </w:rPr>
      </w:pPr>
    </w:p>
    <w:p w14:paraId="7BA7D72F" w14:textId="47F719DC" w:rsidR="000B61C5" w:rsidRPr="00BD44E7" w:rsidRDefault="000B61C5" w:rsidP="005E607A">
      <w:pPr>
        <w:jc w:val="both"/>
        <w:rPr>
          <w:rFonts w:ascii="Arial" w:hAnsi="Arial" w:cs="Arial"/>
          <w:iCs/>
          <w:sz w:val="22"/>
          <w:szCs w:val="22"/>
          <w:lang w:val="fr-FR"/>
        </w:rPr>
      </w:pPr>
      <w:r w:rsidRPr="00BD44E7">
        <w:rPr>
          <w:rFonts w:ascii="Arial" w:hAnsi="Arial" w:cs="Arial"/>
          <w:i/>
          <w:sz w:val="22"/>
          <w:szCs w:val="22"/>
          <w:lang w:val="fr-FR"/>
        </w:rPr>
        <w:t>Consciente</w:t>
      </w:r>
      <w:r w:rsidRPr="00BD44E7">
        <w:rPr>
          <w:rFonts w:ascii="Arial" w:hAnsi="Arial" w:cs="Arial"/>
          <w:iCs/>
          <w:sz w:val="22"/>
          <w:szCs w:val="22"/>
          <w:lang w:val="fr-FR"/>
        </w:rPr>
        <w:t xml:space="preserve"> que certaines techniques et pratiques d'atténuation ne sont efficaces que dans le cadre </w:t>
      </w:r>
      <w:r w:rsidR="00192FFF" w:rsidRPr="00BD44E7">
        <w:rPr>
          <w:rFonts w:ascii="Arial" w:hAnsi="Arial" w:cs="Arial"/>
          <w:iCs/>
          <w:sz w:val="22"/>
          <w:szCs w:val="22"/>
          <w:lang w:val="fr-FR"/>
        </w:rPr>
        <w:t>d’activités de pêche</w:t>
      </w:r>
      <w:r w:rsidRPr="00BD44E7">
        <w:rPr>
          <w:rFonts w:ascii="Arial" w:hAnsi="Arial" w:cs="Arial"/>
          <w:iCs/>
          <w:sz w:val="22"/>
          <w:szCs w:val="22"/>
          <w:lang w:val="fr-FR"/>
        </w:rPr>
        <w:t xml:space="preserve"> bien précises et qu'il est nécessaire de mener d'importants travaux de recherche et de développement pour établir l'efficacité de ces mesures d'atténuation dans </w:t>
      </w:r>
      <w:r w:rsidR="00192FFF" w:rsidRPr="00BD44E7">
        <w:rPr>
          <w:rFonts w:ascii="Arial" w:hAnsi="Arial" w:cs="Arial"/>
          <w:iCs/>
          <w:sz w:val="22"/>
          <w:szCs w:val="22"/>
          <w:lang w:val="fr-FR"/>
        </w:rPr>
        <w:t>le cadre d’activités de pêche données</w:t>
      </w:r>
      <w:r w:rsidR="00F83F51" w:rsidRPr="00BD44E7">
        <w:rPr>
          <w:rFonts w:ascii="Arial" w:hAnsi="Arial" w:cs="Arial"/>
          <w:iCs/>
          <w:sz w:val="22"/>
          <w:szCs w:val="22"/>
          <w:lang w:val="fr-FR"/>
        </w:rPr>
        <w:t>,</w:t>
      </w:r>
    </w:p>
    <w:p w14:paraId="1191862C" w14:textId="77777777" w:rsidR="007A5544" w:rsidRPr="00BD44E7" w:rsidRDefault="007A5544" w:rsidP="005E607A">
      <w:pPr>
        <w:jc w:val="both"/>
        <w:rPr>
          <w:rFonts w:ascii="Arial" w:hAnsi="Arial" w:cs="Arial"/>
          <w:sz w:val="22"/>
          <w:szCs w:val="22"/>
          <w:lang w:val="fr-FR"/>
        </w:rPr>
      </w:pPr>
    </w:p>
    <w:p w14:paraId="16D4F5DE" w14:textId="5C2383E5" w:rsidR="007A5544" w:rsidRPr="00BD44E7" w:rsidRDefault="007A5544" w:rsidP="005E607A">
      <w:pPr>
        <w:jc w:val="both"/>
        <w:rPr>
          <w:rFonts w:ascii="Arial" w:hAnsi="Arial" w:cs="Arial"/>
          <w:sz w:val="22"/>
          <w:szCs w:val="22"/>
          <w:lang w:val="fr-FR"/>
        </w:rPr>
      </w:pPr>
      <w:r w:rsidRPr="00BD44E7">
        <w:rPr>
          <w:rFonts w:ascii="Arial" w:hAnsi="Arial" w:cs="Arial"/>
          <w:i/>
          <w:iCs/>
          <w:sz w:val="22"/>
          <w:szCs w:val="22"/>
          <w:lang w:val="fr-FR"/>
        </w:rPr>
        <w:t>Reconnaissant</w:t>
      </w:r>
      <w:r w:rsidR="00FC1284" w:rsidRPr="00BD44E7">
        <w:rPr>
          <w:rFonts w:ascii="Arial" w:hAnsi="Arial" w:cs="Arial"/>
          <w:i/>
          <w:iCs/>
          <w:sz w:val="22"/>
          <w:szCs w:val="22"/>
          <w:lang w:val="fr-FR"/>
        </w:rPr>
        <w:t xml:space="preserve"> également</w:t>
      </w:r>
      <w:r w:rsidRPr="00BD44E7">
        <w:rPr>
          <w:rFonts w:ascii="Arial" w:hAnsi="Arial" w:cs="Arial"/>
          <w:i/>
          <w:iCs/>
          <w:sz w:val="22"/>
          <w:szCs w:val="22"/>
          <w:lang w:val="fr-FR"/>
        </w:rPr>
        <w:t xml:space="preserve"> </w:t>
      </w:r>
      <w:r w:rsidRPr="00BD44E7">
        <w:rPr>
          <w:rFonts w:ascii="Arial" w:hAnsi="Arial" w:cs="Arial"/>
          <w:sz w:val="22"/>
          <w:szCs w:val="22"/>
          <w:lang w:val="fr-FR"/>
        </w:rPr>
        <w:t xml:space="preserve">le rôle important </w:t>
      </w:r>
      <w:r w:rsidR="009048BE" w:rsidRPr="00BD44E7">
        <w:rPr>
          <w:rFonts w:ascii="Arial" w:hAnsi="Arial" w:cs="Arial"/>
          <w:sz w:val="22"/>
          <w:szCs w:val="22"/>
          <w:lang w:val="fr-FR"/>
        </w:rPr>
        <w:t>joué par</w:t>
      </w:r>
      <w:r w:rsidRPr="00BD44E7">
        <w:rPr>
          <w:rFonts w:ascii="Arial" w:hAnsi="Arial" w:cs="Arial"/>
          <w:sz w:val="22"/>
          <w:szCs w:val="22"/>
          <w:lang w:val="fr-FR"/>
        </w:rPr>
        <w:t xml:space="preserve"> la FAO et</w:t>
      </w:r>
      <w:r w:rsidR="009048BE" w:rsidRPr="00BD44E7">
        <w:rPr>
          <w:rFonts w:ascii="Arial" w:hAnsi="Arial" w:cs="Arial"/>
          <w:sz w:val="22"/>
          <w:szCs w:val="22"/>
          <w:lang w:val="fr-FR"/>
        </w:rPr>
        <w:t>, le cas échéant,</w:t>
      </w:r>
      <w:r w:rsidRPr="00BD44E7">
        <w:rPr>
          <w:rFonts w:ascii="Arial" w:hAnsi="Arial" w:cs="Arial"/>
          <w:sz w:val="22"/>
          <w:szCs w:val="22"/>
          <w:lang w:val="fr-FR"/>
        </w:rPr>
        <w:t xml:space="preserve"> </w:t>
      </w:r>
      <w:r w:rsidR="009048BE" w:rsidRPr="00BD44E7">
        <w:rPr>
          <w:rFonts w:ascii="Arial" w:hAnsi="Arial" w:cs="Arial"/>
          <w:sz w:val="22"/>
          <w:szCs w:val="22"/>
          <w:lang w:val="fr-FR"/>
        </w:rPr>
        <w:t xml:space="preserve">par les </w:t>
      </w:r>
      <w:r w:rsidRPr="00BD44E7">
        <w:rPr>
          <w:rFonts w:ascii="Arial" w:hAnsi="Arial" w:cs="Arial"/>
          <w:sz w:val="22"/>
          <w:szCs w:val="22"/>
          <w:lang w:val="fr-FR"/>
        </w:rPr>
        <w:t xml:space="preserve">organes régionaux des pêches (ORP) </w:t>
      </w:r>
      <w:r w:rsidR="009048BE" w:rsidRPr="00BD44E7">
        <w:rPr>
          <w:rFonts w:ascii="Arial" w:hAnsi="Arial" w:cs="Arial"/>
          <w:sz w:val="22"/>
          <w:szCs w:val="22"/>
          <w:lang w:val="fr-FR"/>
        </w:rPr>
        <w:t>dans la réduction d</w:t>
      </w:r>
      <w:r w:rsidRPr="00BD44E7">
        <w:rPr>
          <w:rFonts w:ascii="Arial" w:hAnsi="Arial" w:cs="Arial"/>
          <w:sz w:val="22"/>
          <w:szCs w:val="22"/>
          <w:lang w:val="fr-FR"/>
        </w:rPr>
        <w:t xml:space="preserve">es prises accessoires d’espèces inscrites aux annexes </w:t>
      </w:r>
      <w:r w:rsidR="009048BE" w:rsidRPr="00BD44E7">
        <w:rPr>
          <w:rFonts w:ascii="Arial" w:hAnsi="Arial" w:cs="Arial"/>
          <w:sz w:val="22"/>
          <w:szCs w:val="22"/>
          <w:lang w:val="fr-FR"/>
        </w:rPr>
        <w:t>de la CMS et d'autres espèces non ciblées,</w:t>
      </w:r>
    </w:p>
    <w:p w14:paraId="65531BF5" w14:textId="77777777" w:rsidR="00FC1284" w:rsidRPr="00BD44E7" w:rsidRDefault="00FC1284" w:rsidP="005E607A">
      <w:pPr>
        <w:jc w:val="both"/>
        <w:rPr>
          <w:rFonts w:ascii="Arial" w:hAnsi="Arial" w:cs="Arial"/>
          <w:sz w:val="22"/>
          <w:szCs w:val="22"/>
          <w:lang w:val="fr-FR"/>
        </w:rPr>
      </w:pPr>
    </w:p>
    <w:p w14:paraId="668F89B3" w14:textId="67AF02DC" w:rsidR="00FC1284" w:rsidRPr="00BD44E7" w:rsidRDefault="00FC1284" w:rsidP="005E607A">
      <w:pPr>
        <w:jc w:val="both"/>
        <w:rPr>
          <w:rFonts w:ascii="Arial" w:hAnsi="Arial" w:cs="Arial"/>
          <w:sz w:val="22"/>
          <w:szCs w:val="22"/>
          <w:lang w:val="fr-FR"/>
        </w:rPr>
      </w:pPr>
      <w:r w:rsidRPr="00BD44E7">
        <w:rPr>
          <w:rFonts w:ascii="Arial" w:hAnsi="Arial" w:cs="Arial"/>
          <w:i/>
          <w:iCs/>
          <w:sz w:val="22"/>
          <w:szCs w:val="22"/>
          <w:lang w:val="fr-FR"/>
        </w:rPr>
        <w:t>Consciente</w:t>
      </w:r>
      <w:r w:rsidRPr="00BD44E7">
        <w:rPr>
          <w:rFonts w:ascii="Arial" w:hAnsi="Arial" w:cs="Arial"/>
          <w:sz w:val="22"/>
          <w:szCs w:val="22"/>
          <w:lang w:val="fr-FR"/>
        </w:rPr>
        <w:t xml:space="preserve"> </w:t>
      </w:r>
      <w:r w:rsidRPr="00BD44E7">
        <w:rPr>
          <w:rFonts w:ascii="Arial" w:hAnsi="Arial" w:cs="Arial"/>
          <w:i/>
          <w:iCs/>
          <w:sz w:val="22"/>
          <w:szCs w:val="22"/>
          <w:lang w:val="fr-FR"/>
        </w:rPr>
        <w:t>également</w:t>
      </w:r>
      <w:r w:rsidRPr="00BD44E7">
        <w:rPr>
          <w:rFonts w:ascii="Arial" w:hAnsi="Arial" w:cs="Arial"/>
          <w:sz w:val="22"/>
          <w:szCs w:val="22"/>
          <w:lang w:val="fr-FR"/>
        </w:rPr>
        <w:t xml:space="preserve"> de</w:t>
      </w:r>
      <w:r w:rsidR="001F787C" w:rsidRPr="00BD44E7">
        <w:rPr>
          <w:rFonts w:ascii="Arial" w:hAnsi="Arial" w:cs="Arial"/>
          <w:sz w:val="22"/>
          <w:szCs w:val="22"/>
          <w:lang w:val="fr-FR"/>
        </w:rPr>
        <w:t xml:space="preserve"> la crainte de plus en plus marquée que </w:t>
      </w:r>
      <w:r w:rsidRPr="00BD44E7">
        <w:rPr>
          <w:rFonts w:ascii="Arial" w:hAnsi="Arial" w:cs="Arial"/>
          <w:sz w:val="22"/>
          <w:szCs w:val="22"/>
          <w:lang w:val="fr-FR"/>
        </w:rPr>
        <w:t>la pêche destinée à satisfaire la demande mondiale croissante en vessies natatoires a</w:t>
      </w:r>
      <w:r w:rsidR="001F787C" w:rsidRPr="00BD44E7">
        <w:rPr>
          <w:rFonts w:ascii="Arial" w:hAnsi="Arial" w:cs="Arial"/>
          <w:sz w:val="22"/>
          <w:szCs w:val="22"/>
          <w:lang w:val="fr-FR"/>
        </w:rPr>
        <w:t xml:space="preserve">it </w:t>
      </w:r>
      <w:r w:rsidRPr="00BD44E7">
        <w:rPr>
          <w:rFonts w:ascii="Arial" w:hAnsi="Arial" w:cs="Arial"/>
          <w:sz w:val="22"/>
          <w:szCs w:val="22"/>
          <w:lang w:val="fr-FR"/>
        </w:rPr>
        <w:t>de</w:t>
      </w:r>
      <w:r w:rsidR="00380BA5" w:rsidRPr="00BD44E7">
        <w:rPr>
          <w:rFonts w:ascii="Arial" w:hAnsi="Arial" w:cs="Arial"/>
          <w:sz w:val="22"/>
          <w:szCs w:val="22"/>
          <w:lang w:val="fr-FR"/>
        </w:rPr>
        <w:t xml:space="preserve"> grave</w:t>
      </w:r>
      <w:r w:rsidRPr="00BD44E7">
        <w:rPr>
          <w:rFonts w:ascii="Arial" w:hAnsi="Arial" w:cs="Arial"/>
          <w:sz w:val="22"/>
          <w:szCs w:val="22"/>
          <w:lang w:val="fr-FR"/>
        </w:rPr>
        <w:t>s répercussions</w:t>
      </w:r>
      <w:r w:rsidR="00380BA5" w:rsidRPr="00BD44E7">
        <w:rPr>
          <w:rFonts w:ascii="Arial" w:hAnsi="Arial" w:cs="Arial"/>
          <w:sz w:val="22"/>
          <w:szCs w:val="22"/>
          <w:lang w:val="fr-FR"/>
        </w:rPr>
        <w:t xml:space="preserve"> </w:t>
      </w:r>
      <w:r w:rsidRPr="00BD44E7">
        <w:rPr>
          <w:rFonts w:ascii="Arial" w:hAnsi="Arial" w:cs="Arial"/>
          <w:sz w:val="22"/>
          <w:szCs w:val="22"/>
          <w:lang w:val="fr-FR"/>
        </w:rPr>
        <w:t xml:space="preserve">sur les espèces marines, y compris les espèces inscrites </w:t>
      </w:r>
      <w:r w:rsidR="00380BA5" w:rsidRPr="00BD44E7">
        <w:rPr>
          <w:rFonts w:ascii="Arial" w:hAnsi="Arial" w:cs="Arial"/>
          <w:sz w:val="22"/>
          <w:szCs w:val="22"/>
          <w:lang w:val="fr-FR"/>
        </w:rPr>
        <w:t>aux Annexes de</w:t>
      </w:r>
      <w:r w:rsidRPr="00BD44E7">
        <w:rPr>
          <w:rFonts w:ascii="Arial" w:hAnsi="Arial" w:cs="Arial"/>
          <w:sz w:val="22"/>
          <w:szCs w:val="22"/>
          <w:lang w:val="fr-FR"/>
        </w:rPr>
        <w:t xml:space="preserve"> la CMS </w:t>
      </w:r>
      <w:r w:rsidR="0045067E" w:rsidRPr="00BD44E7">
        <w:rPr>
          <w:rFonts w:ascii="Arial" w:hAnsi="Arial" w:cs="Arial"/>
          <w:sz w:val="22"/>
          <w:szCs w:val="22"/>
          <w:lang w:val="fr-FR"/>
        </w:rPr>
        <w:t>prélevées</w:t>
      </w:r>
      <w:r w:rsidRPr="00BD44E7">
        <w:rPr>
          <w:rFonts w:ascii="Arial" w:hAnsi="Arial" w:cs="Arial"/>
          <w:sz w:val="22"/>
          <w:szCs w:val="22"/>
          <w:lang w:val="fr-FR"/>
        </w:rPr>
        <w:t xml:space="preserve"> accidentellement, et de l’importance de la </w:t>
      </w:r>
      <w:r w:rsidR="00DD0B0F" w:rsidRPr="00BD44E7">
        <w:rPr>
          <w:rFonts w:ascii="Arial" w:hAnsi="Arial" w:cs="Arial"/>
          <w:sz w:val="22"/>
          <w:szCs w:val="22"/>
          <w:lang w:val="fr-FR"/>
        </w:rPr>
        <w:t xml:space="preserve">poursuite de la </w:t>
      </w:r>
      <w:r w:rsidRPr="00BD44E7">
        <w:rPr>
          <w:rFonts w:ascii="Arial" w:hAnsi="Arial" w:cs="Arial"/>
          <w:sz w:val="22"/>
          <w:szCs w:val="22"/>
          <w:lang w:val="fr-FR"/>
        </w:rPr>
        <w:t>collaboration</w:t>
      </w:r>
      <w:r w:rsidR="00DD0B0F" w:rsidRPr="00BD44E7">
        <w:rPr>
          <w:rFonts w:ascii="Arial" w:hAnsi="Arial" w:cs="Arial"/>
          <w:sz w:val="22"/>
          <w:szCs w:val="22"/>
          <w:lang w:val="fr-FR"/>
        </w:rPr>
        <w:t xml:space="preserve"> </w:t>
      </w:r>
      <w:r w:rsidRPr="00BD44E7">
        <w:rPr>
          <w:rFonts w:ascii="Arial" w:hAnsi="Arial" w:cs="Arial"/>
          <w:sz w:val="22"/>
          <w:szCs w:val="22"/>
          <w:lang w:val="fr-FR"/>
        </w:rPr>
        <w:t xml:space="preserve">entre la CMS, la CBI, la CITES et d’autres organisations, Parties et parties prenantes concernées pour </w:t>
      </w:r>
      <w:r w:rsidR="001F787C" w:rsidRPr="00BD44E7">
        <w:rPr>
          <w:rFonts w:ascii="Arial" w:hAnsi="Arial" w:cs="Arial"/>
          <w:sz w:val="22"/>
          <w:szCs w:val="22"/>
          <w:lang w:val="fr-FR"/>
        </w:rPr>
        <w:t xml:space="preserve">lutter contre ce phénomène et </w:t>
      </w:r>
      <w:r w:rsidR="00DD0B0F" w:rsidRPr="00BD44E7">
        <w:rPr>
          <w:rFonts w:ascii="Arial" w:hAnsi="Arial" w:cs="Arial"/>
          <w:sz w:val="22"/>
          <w:szCs w:val="22"/>
          <w:lang w:val="fr-FR"/>
        </w:rPr>
        <w:t xml:space="preserve">en </w:t>
      </w:r>
      <w:r w:rsidRPr="00BD44E7">
        <w:rPr>
          <w:rFonts w:ascii="Arial" w:hAnsi="Arial" w:cs="Arial"/>
          <w:sz w:val="22"/>
          <w:szCs w:val="22"/>
          <w:lang w:val="fr-FR"/>
        </w:rPr>
        <w:t xml:space="preserve">atténuer </w:t>
      </w:r>
      <w:r w:rsidR="00DD0B0F" w:rsidRPr="00BD44E7">
        <w:rPr>
          <w:rFonts w:ascii="Arial" w:hAnsi="Arial" w:cs="Arial"/>
          <w:sz w:val="22"/>
          <w:szCs w:val="22"/>
          <w:lang w:val="fr-FR"/>
        </w:rPr>
        <w:t>les effets.</w:t>
      </w:r>
    </w:p>
    <w:p w14:paraId="02E8FBC0" w14:textId="77777777" w:rsidR="007A5544" w:rsidRPr="00BD44E7" w:rsidRDefault="007A5544" w:rsidP="005E607A">
      <w:pPr>
        <w:rPr>
          <w:rFonts w:ascii="Arial" w:hAnsi="Arial" w:cs="Arial"/>
          <w:sz w:val="22"/>
          <w:szCs w:val="22"/>
          <w:lang w:val="fr-FR"/>
        </w:rPr>
      </w:pPr>
    </w:p>
    <w:p w14:paraId="08B68E17" w14:textId="77777777" w:rsidR="00D877F0" w:rsidRPr="00BD44E7" w:rsidRDefault="00D877F0" w:rsidP="005E607A">
      <w:pPr>
        <w:rPr>
          <w:rFonts w:ascii="Arial" w:hAnsi="Arial" w:cs="Arial"/>
          <w:sz w:val="22"/>
          <w:szCs w:val="22"/>
          <w:lang w:val="fr-FR"/>
        </w:rPr>
      </w:pPr>
    </w:p>
    <w:p w14:paraId="3F0EADC5" w14:textId="77777777" w:rsidR="007A5544" w:rsidRPr="00BD44E7" w:rsidRDefault="007A5544" w:rsidP="005E607A">
      <w:pPr>
        <w:spacing w:before="40" w:after="40"/>
        <w:jc w:val="center"/>
        <w:rPr>
          <w:rFonts w:ascii="Arial" w:hAnsi="Arial" w:cs="Arial"/>
          <w:i/>
          <w:sz w:val="22"/>
          <w:szCs w:val="22"/>
          <w:lang w:val="fr-FR"/>
        </w:rPr>
      </w:pPr>
      <w:r w:rsidRPr="00BD44E7">
        <w:rPr>
          <w:rFonts w:ascii="Arial" w:hAnsi="Arial" w:cs="Arial"/>
          <w:i/>
          <w:sz w:val="22"/>
          <w:szCs w:val="22"/>
          <w:lang w:val="fr-FR"/>
        </w:rPr>
        <w:t>La Conférence des Parties à la Convention sur la conservation des espèces migratrices appartenant à la faune sauvage</w:t>
      </w:r>
    </w:p>
    <w:p w14:paraId="5C337C09" w14:textId="77777777" w:rsidR="007A5544" w:rsidRDefault="007A5544" w:rsidP="005E607A">
      <w:pPr>
        <w:jc w:val="both"/>
        <w:rPr>
          <w:rFonts w:ascii="Arial" w:hAnsi="Arial" w:cs="Arial"/>
          <w:sz w:val="22"/>
          <w:szCs w:val="22"/>
          <w:lang w:val="fr-FR"/>
        </w:rPr>
      </w:pPr>
    </w:p>
    <w:p w14:paraId="0C0DDD7C" w14:textId="77777777" w:rsidR="00763B67" w:rsidRPr="00BD44E7" w:rsidRDefault="00763B67" w:rsidP="005E607A">
      <w:pPr>
        <w:jc w:val="both"/>
        <w:rPr>
          <w:rFonts w:ascii="Arial" w:hAnsi="Arial" w:cs="Arial"/>
          <w:sz w:val="22"/>
          <w:szCs w:val="22"/>
          <w:lang w:val="fr-FR"/>
        </w:rPr>
      </w:pPr>
    </w:p>
    <w:p w14:paraId="256A682C" w14:textId="59BD2E51" w:rsidR="00D55F6B" w:rsidRPr="00BD44E7" w:rsidRDefault="007A5544" w:rsidP="005E607A">
      <w:pPr>
        <w:pStyle w:val="ListParagraph"/>
        <w:numPr>
          <w:ilvl w:val="0"/>
          <w:numId w:val="5"/>
        </w:numPr>
        <w:suppressAutoHyphens/>
        <w:ind w:left="567" w:hanging="567"/>
        <w:rPr>
          <w:rFonts w:cs="Arial"/>
          <w:lang w:val="fr-FR"/>
        </w:rPr>
      </w:pPr>
      <w:r w:rsidRPr="00BD44E7">
        <w:rPr>
          <w:rFonts w:cs="Arial"/>
          <w:i/>
          <w:lang w:val="fr-FR"/>
        </w:rPr>
        <w:t>Réaffirme</w:t>
      </w:r>
      <w:r w:rsidRPr="00BD44E7">
        <w:rPr>
          <w:rFonts w:cs="Arial"/>
          <w:lang w:val="fr-FR"/>
        </w:rPr>
        <w:t xml:space="preserve"> que toutes les Parties ont l'obligation de protéger les espèces migratrices </w:t>
      </w:r>
      <w:r w:rsidR="00D55F6B" w:rsidRPr="00BD44E7">
        <w:rPr>
          <w:rFonts w:cs="Arial"/>
          <w:lang w:val="fr-FR"/>
        </w:rPr>
        <w:t>inscrites aux Annexes de la CMS contre les prises accessoires, en application de la Convention ;</w:t>
      </w:r>
    </w:p>
    <w:p w14:paraId="5F869AE1" w14:textId="77777777" w:rsidR="00D877F0" w:rsidRPr="00BD44E7" w:rsidRDefault="00D877F0" w:rsidP="005E607A">
      <w:pPr>
        <w:pStyle w:val="ListParagraph"/>
        <w:suppressAutoHyphens/>
        <w:ind w:left="567"/>
        <w:rPr>
          <w:rFonts w:cs="Arial"/>
          <w:lang w:val="fr-FR"/>
        </w:rPr>
      </w:pPr>
    </w:p>
    <w:p w14:paraId="0CA4F3CF" w14:textId="64BA125C" w:rsidR="00D877F0" w:rsidRPr="00BD44E7" w:rsidRDefault="00267030" w:rsidP="005E607A">
      <w:pPr>
        <w:pStyle w:val="ListParagraph"/>
        <w:numPr>
          <w:ilvl w:val="0"/>
          <w:numId w:val="5"/>
        </w:numPr>
        <w:suppressAutoHyphens/>
        <w:ind w:left="567" w:hanging="567"/>
        <w:rPr>
          <w:rFonts w:cs="Arial"/>
          <w:lang w:val="fr-FR"/>
        </w:rPr>
      </w:pPr>
      <w:r w:rsidRPr="00BD44E7">
        <w:rPr>
          <w:rFonts w:cs="Arial"/>
          <w:i/>
          <w:iCs/>
          <w:lang w:val="fr-FR"/>
        </w:rPr>
        <w:t>Exhorte</w:t>
      </w:r>
      <w:r w:rsidR="00D877F0" w:rsidRPr="00BD44E7">
        <w:rPr>
          <w:rFonts w:cs="Arial"/>
          <w:lang w:val="fr-FR"/>
        </w:rPr>
        <w:t xml:space="preserve"> les Parties </w:t>
      </w:r>
      <w:r w:rsidR="0045067E" w:rsidRPr="00BD44E7">
        <w:rPr>
          <w:rFonts w:cs="Arial"/>
          <w:lang w:val="fr-FR"/>
        </w:rPr>
        <w:t>à</w:t>
      </w:r>
      <w:r w:rsidR="00D877F0" w:rsidRPr="00BD44E7">
        <w:rPr>
          <w:rFonts w:cs="Arial"/>
          <w:lang w:val="fr-FR"/>
        </w:rPr>
        <w:t xml:space="preserve"> prendre des mesures de précaution lorsque peu d’informations sont disponibles sur les prises accessoires </w:t>
      </w:r>
      <w:r w:rsidRPr="00BD44E7">
        <w:rPr>
          <w:rFonts w:cs="Arial"/>
          <w:lang w:val="fr-FR"/>
        </w:rPr>
        <w:t>ou</w:t>
      </w:r>
      <w:r w:rsidR="00D877F0" w:rsidRPr="00BD44E7">
        <w:rPr>
          <w:rFonts w:cs="Arial"/>
          <w:lang w:val="fr-FR"/>
        </w:rPr>
        <w:t xml:space="preserve"> leur volume ;</w:t>
      </w:r>
    </w:p>
    <w:p w14:paraId="74F7D006" w14:textId="77777777" w:rsidR="007A5544" w:rsidRPr="00BD44E7" w:rsidRDefault="007A5544" w:rsidP="005E607A">
      <w:pPr>
        <w:ind w:left="567" w:hanging="567"/>
        <w:jc w:val="both"/>
        <w:rPr>
          <w:rFonts w:ascii="Arial" w:hAnsi="Arial" w:cs="Arial"/>
          <w:sz w:val="22"/>
          <w:szCs w:val="22"/>
          <w:lang w:val="fr-FR"/>
        </w:rPr>
      </w:pPr>
    </w:p>
    <w:p w14:paraId="783818E6" w14:textId="0967DF45" w:rsidR="007A5544" w:rsidRPr="00BD44E7" w:rsidRDefault="00267030" w:rsidP="005E607A">
      <w:pPr>
        <w:pStyle w:val="ListParagraph"/>
        <w:numPr>
          <w:ilvl w:val="0"/>
          <w:numId w:val="5"/>
        </w:numPr>
        <w:suppressAutoHyphens/>
        <w:ind w:left="567" w:hanging="567"/>
        <w:rPr>
          <w:rFonts w:cs="Arial"/>
          <w:lang w:val="fr-FR"/>
        </w:rPr>
      </w:pPr>
      <w:r w:rsidRPr="00BD44E7">
        <w:rPr>
          <w:rFonts w:cs="Arial"/>
          <w:i/>
          <w:iCs/>
          <w:lang w:val="fr-FR"/>
        </w:rPr>
        <w:t>Exhorte également</w:t>
      </w:r>
      <w:r w:rsidRPr="00BD44E7">
        <w:rPr>
          <w:rFonts w:cs="Arial"/>
          <w:lang w:val="fr-FR"/>
        </w:rPr>
        <w:t xml:space="preserve"> les Parties à mettre en œuvre les mesures applicables aux espèces inscrites à l'Annexe I afin de prévenir activement, d'atténuer et, dans la mesure du possible, d</w:t>
      </w:r>
      <w:r w:rsidR="00FA2BCA" w:rsidRPr="00BD44E7">
        <w:rPr>
          <w:rFonts w:cs="Arial"/>
          <w:lang w:val="fr-FR"/>
        </w:rPr>
        <w:t>e supprimer</w:t>
      </w:r>
      <w:r w:rsidRPr="00BD44E7">
        <w:rPr>
          <w:rFonts w:cs="Arial"/>
          <w:lang w:val="fr-FR"/>
        </w:rPr>
        <w:t xml:space="preserve"> les prises accessoires</w:t>
      </w:r>
      <w:r w:rsidR="00FA2BCA" w:rsidRPr="00BD44E7">
        <w:rPr>
          <w:rFonts w:cs="Arial"/>
          <w:lang w:val="fr-FR"/>
        </w:rPr>
        <w:t>,</w:t>
      </w:r>
      <w:r w:rsidRPr="00BD44E7">
        <w:rPr>
          <w:rFonts w:cs="Arial"/>
          <w:lang w:val="fr-FR"/>
        </w:rPr>
        <w:t xml:space="preserve"> à veiller à ce que tout spécimen d'espèce inscrite à l'Annexe I capturé soit enregistré, signalé, manipulé de manière sûre et sans cruauté, et relâché immédiatement s'il est vivant, et à ce qu'aucun spécimen ne soit conservé à bord, transbordé, débarqué ou utilisé comme appât, sauf si cela est conforme à la Convention et à la législation nationale ;</w:t>
      </w:r>
    </w:p>
    <w:p w14:paraId="482AD7A3" w14:textId="77777777" w:rsidR="00267030" w:rsidRPr="00BD44E7" w:rsidRDefault="00267030" w:rsidP="005E607A">
      <w:pPr>
        <w:pStyle w:val="ListParagraph"/>
        <w:suppressAutoHyphens/>
        <w:ind w:left="567"/>
        <w:rPr>
          <w:rFonts w:cs="Arial"/>
          <w:lang w:val="fr-FR"/>
        </w:rPr>
      </w:pPr>
    </w:p>
    <w:p w14:paraId="67DF7E39" w14:textId="0A7C324D" w:rsidR="00FA2BCA" w:rsidRPr="00BD44E7" w:rsidRDefault="00FA2BCA" w:rsidP="005E607A">
      <w:pPr>
        <w:pStyle w:val="ListParagraph"/>
        <w:numPr>
          <w:ilvl w:val="0"/>
          <w:numId w:val="5"/>
        </w:numPr>
        <w:suppressAutoHyphens/>
        <w:ind w:left="567" w:hanging="567"/>
        <w:rPr>
          <w:rFonts w:cs="Arial"/>
          <w:lang w:val="fr-FR"/>
        </w:rPr>
      </w:pPr>
      <w:r w:rsidRPr="00BD44E7">
        <w:rPr>
          <w:rFonts w:cs="Arial"/>
          <w:i/>
          <w:iCs/>
          <w:lang w:val="fr-FR"/>
        </w:rPr>
        <w:t>Convient que</w:t>
      </w:r>
      <w:r w:rsidRPr="00BD44E7">
        <w:rPr>
          <w:rFonts w:cs="Arial"/>
          <w:lang w:val="fr-FR"/>
        </w:rPr>
        <w:t xml:space="preserve">, s’agissant des espèces inscrites à l'Annexe II, des mesures doivent être prises dans le but de ramener les prises accessoires à des niveaux qui ne compromettent pas la conservation de ces espèces et, dans la mesure du possible, </w:t>
      </w:r>
      <w:r w:rsidR="0045067E" w:rsidRPr="00BD44E7">
        <w:rPr>
          <w:rFonts w:cs="Arial"/>
          <w:lang w:val="fr-FR"/>
        </w:rPr>
        <w:t xml:space="preserve">dans le but </w:t>
      </w:r>
      <w:r w:rsidRPr="00BD44E7">
        <w:rPr>
          <w:rFonts w:cs="Arial"/>
          <w:lang w:val="fr-FR"/>
        </w:rPr>
        <w:t>de supprimer les prises accessoires ;</w:t>
      </w:r>
    </w:p>
    <w:p w14:paraId="3A093780" w14:textId="77777777" w:rsidR="007A5544" w:rsidRPr="00BD44E7" w:rsidRDefault="007A5544" w:rsidP="005E607A">
      <w:pPr>
        <w:pStyle w:val="ListParagraph"/>
        <w:suppressAutoHyphens/>
        <w:ind w:left="567"/>
        <w:rPr>
          <w:rFonts w:cs="Arial"/>
          <w:lang w:val="fr-FR"/>
        </w:rPr>
      </w:pPr>
    </w:p>
    <w:p w14:paraId="0EA3072A" w14:textId="77777777" w:rsidR="007A5544" w:rsidRPr="00BD44E7" w:rsidRDefault="007A5544" w:rsidP="005E607A">
      <w:pPr>
        <w:pStyle w:val="ListParagraph"/>
        <w:numPr>
          <w:ilvl w:val="0"/>
          <w:numId w:val="5"/>
        </w:numPr>
        <w:suppressAutoHyphens/>
        <w:ind w:left="567" w:hanging="567"/>
        <w:rPr>
          <w:rFonts w:cs="Arial"/>
          <w:lang w:val="fr-FR"/>
        </w:rPr>
      </w:pPr>
      <w:r w:rsidRPr="00BD44E7">
        <w:rPr>
          <w:rFonts w:cs="Arial"/>
          <w:i/>
          <w:lang w:val="fr-FR"/>
        </w:rPr>
        <w:t xml:space="preserve">Prie instamment </w:t>
      </w:r>
      <w:r w:rsidRPr="00BD44E7">
        <w:rPr>
          <w:rFonts w:cs="Arial"/>
          <w:lang w:val="fr-FR"/>
        </w:rPr>
        <w:t>les Parties d’inclure des dispositions relatives aux prises accessoires dans leur législation nationale afin de mettre en œuvre la Convention et les dispositions de la présente Résolution ;</w:t>
      </w:r>
    </w:p>
    <w:p w14:paraId="1F568BAF" w14:textId="77777777" w:rsidR="007A5544" w:rsidRPr="00BD44E7" w:rsidRDefault="007A5544" w:rsidP="005E607A">
      <w:pPr>
        <w:ind w:left="567" w:hanging="567"/>
        <w:jc w:val="both"/>
        <w:rPr>
          <w:rFonts w:ascii="Arial" w:hAnsi="Arial" w:cs="Arial"/>
          <w:sz w:val="22"/>
          <w:szCs w:val="22"/>
          <w:lang w:val="fr-FR"/>
        </w:rPr>
      </w:pPr>
    </w:p>
    <w:p w14:paraId="56397F9B" w14:textId="508627DA" w:rsidR="007A5544" w:rsidRPr="00BD44E7" w:rsidRDefault="007A5544" w:rsidP="005E607A">
      <w:pPr>
        <w:pStyle w:val="ListParagraph"/>
        <w:numPr>
          <w:ilvl w:val="0"/>
          <w:numId w:val="5"/>
        </w:numPr>
        <w:suppressAutoHyphens/>
        <w:ind w:left="567" w:hanging="567"/>
        <w:rPr>
          <w:rFonts w:cs="Arial"/>
          <w:lang w:val="fr-FR"/>
        </w:rPr>
      </w:pPr>
      <w:r w:rsidRPr="00BD44E7">
        <w:rPr>
          <w:rFonts w:cs="Arial"/>
          <w:i/>
          <w:lang w:val="fr-FR"/>
        </w:rPr>
        <w:lastRenderedPageBreak/>
        <w:t>Encourage</w:t>
      </w:r>
      <w:r w:rsidRPr="00BD44E7">
        <w:rPr>
          <w:rFonts w:cs="Arial"/>
          <w:lang w:val="fr-FR"/>
        </w:rPr>
        <w:t xml:space="preserve"> les Parties à appliquer </w:t>
      </w:r>
      <w:r w:rsidR="00056208" w:rsidRPr="00BD44E7">
        <w:rPr>
          <w:rFonts w:cs="Arial"/>
          <w:lang w:val="fr-FR"/>
        </w:rPr>
        <w:t>le principe de la h</w:t>
      </w:r>
      <w:r w:rsidRPr="00BD44E7">
        <w:rPr>
          <w:rFonts w:cs="Arial"/>
          <w:lang w:val="fr-FR"/>
        </w:rPr>
        <w:t xml:space="preserve">iérarchie </w:t>
      </w:r>
      <w:r w:rsidR="00056208" w:rsidRPr="00BD44E7">
        <w:rPr>
          <w:rFonts w:cs="Arial"/>
          <w:lang w:val="fr-FR"/>
        </w:rPr>
        <w:t xml:space="preserve">des mesures </w:t>
      </w:r>
      <w:r w:rsidRPr="00BD44E7">
        <w:rPr>
          <w:rFonts w:cs="Arial"/>
          <w:lang w:val="fr-FR"/>
        </w:rPr>
        <w:t>d’atténuation</w:t>
      </w:r>
      <w:r w:rsidR="00056208" w:rsidRPr="00BD44E7">
        <w:rPr>
          <w:rStyle w:val="FootnoteReference"/>
          <w:lang w:val="fr-FR"/>
        </w:rPr>
        <w:footnoteReference w:id="2"/>
      </w:r>
      <w:r w:rsidR="00056208" w:rsidRPr="00BD44E7">
        <w:rPr>
          <w:rFonts w:cs="Arial"/>
          <w:lang w:val="fr-FR"/>
        </w:rPr>
        <w:t xml:space="preserve">, </w:t>
      </w:r>
      <w:r w:rsidR="000E4BEE" w:rsidRPr="00BD44E7">
        <w:rPr>
          <w:rFonts w:cs="Arial"/>
          <w:lang w:val="fr-FR"/>
        </w:rPr>
        <w:t>en</w:t>
      </w:r>
      <w:r w:rsidR="00056208" w:rsidRPr="00BD44E7">
        <w:rPr>
          <w:rFonts w:cs="Arial"/>
          <w:lang w:val="fr-FR"/>
        </w:rPr>
        <w:t xml:space="preserve"> privilégi</w:t>
      </w:r>
      <w:r w:rsidR="000E4BEE" w:rsidRPr="00BD44E7">
        <w:rPr>
          <w:rFonts w:cs="Arial"/>
          <w:lang w:val="fr-FR"/>
        </w:rPr>
        <w:t>ant</w:t>
      </w:r>
      <w:r w:rsidR="00056208" w:rsidRPr="00BD44E7">
        <w:rPr>
          <w:rFonts w:cs="Arial"/>
          <w:lang w:val="fr-FR"/>
        </w:rPr>
        <w:t xml:space="preserve"> la prévention,</w:t>
      </w:r>
      <w:r w:rsidRPr="00BD44E7">
        <w:rPr>
          <w:rFonts w:cs="Arial"/>
          <w:lang w:val="fr-FR"/>
        </w:rPr>
        <w:t xml:space="preserve"> </w:t>
      </w:r>
      <w:r w:rsidR="00056208" w:rsidRPr="00BD44E7">
        <w:rPr>
          <w:rFonts w:cs="Arial"/>
          <w:lang w:val="fr-FR"/>
        </w:rPr>
        <w:t>afin d’</w:t>
      </w:r>
      <w:r w:rsidRPr="00BD44E7">
        <w:rPr>
          <w:rFonts w:cs="Arial"/>
          <w:lang w:val="fr-FR"/>
        </w:rPr>
        <w:t xml:space="preserve">identifier et </w:t>
      </w:r>
      <w:r w:rsidR="00056208" w:rsidRPr="00BD44E7">
        <w:rPr>
          <w:rFonts w:cs="Arial"/>
          <w:lang w:val="fr-FR"/>
        </w:rPr>
        <w:t xml:space="preserve">de </w:t>
      </w:r>
      <w:r w:rsidRPr="00BD44E7">
        <w:rPr>
          <w:rFonts w:cs="Arial"/>
          <w:lang w:val="fr-FR"/>
        </w:rPr>
        <w:t xml:space="preserve">mettre en œuvre des mesures efficaces </w:t>
      </w:r>
      <w:r w:rsidR="00056208" w:rsidRPr="00BD44E7">
        <w:rPr>
          <w:rFonts w:cs="Arial"/>
          <w:lang w:val="fr-FR"/>
        </w:rPr>
        <w:t>de réducti</w:t>
      </w:r>
      <w:r w:rsidRPr="00BD44E7">
        <w:rPr>
          <w:rFonts w:cs="Arial"/>
          <w:lang w:val="fr-FR"/>
        </w:rPr>
        <w:t>on des prises accessoires ;</w:t>
      </w:r>
    </w:p>
    <w:p w14:paraId="76E13EA3" w14:textId="77777777" w:rsidR="007A5544" w:rsidRPr="00BD44E7" w:rsidRDefault="007A5544" w:rsidP="005E607A">
      <w:pPr>
        <w:ind w:left="567" w:hanging="567"/>
        <w:jc w:val="both"/>
        <w:rPr>
          <w:rFonts w:ascii="Arial" w:hAnsi="Arial" w:cs="Arial"/>
          <w:sz w:val="22"/>
          <w:szCs w:val="22"/>
          <w:lang w:val="fr-FR"/>
        </w:rPr>
      </w:pPr>
    </w:p>
    <w:p w14:paraId="3A2CF18B" w14:textId="6FBF7B00" w:rsidR="007A5544" w:rsidRPr="00BD44E7" w:rsidRDefault="007A5544" w:rsidP="005E607A">
      <w:pPr>
        <w:pStyle w:val="ListParagraph"/>
        <w:numPr>
          <w:ilvl w:val="0"/>
          <w:numId w:val="5"/>
        </w:numPr>
        <w:suppressAutoHyphens/>
        <w:ind w:left="567" w:hanging="567"/>
        <w:rPr>
          <w:rFonts w:eastAsia="Times New Roman" w:cs="Arial"/>
          <w:lang w:val="fr-FR"/>
        </w:rPr>
      </w:pPr>
      <w:r w:rsidRPr="00BD44E7">
        <w:rPr>
          <w:rFonts w:cs="Arial"/>
          <w:i/>
          <w:iCs/>
          <w:lang w:val="fr-FR"/>
        </w:rPr>
        <w:t xml:space="preserve">Encourage </w:t>
      </w:r>
      <w:r w:rsidR="00056208" w:rsidRPr="00BD44E7">
        <w:rPr>
          <w:rFonts w:cs="Arial"/>
          <w:i/>
          <w:iCs/>
          <w:lang w:val="fr-FR"/>
        </w:rPr>
        <w:t>également</w:t>
      </w:r>
      <w:r w:rsidRPr="00BD44E7">
        <w:rPr>
          <w:rFonts w:cs="Arial"/>
          <w:i/>
          <w:iCs/>
          <w:lang w:val="fr-FR"/>
        </w:rPr>
        <w:t xml:space="preserve"> </w:t>
      </w:r>
      <w:r w:rsidRPr="00BD44E7">
        <w:rPr>
          <w:rFonts w:cs="Arial"/>
          <w:lang w:val="fr-FR"/>
        </w:rPr>
        <w:t xml:space="preserve">les Parties à mettre en œuvre les bonnes pratiques et les procédures </w:t>
      </w:r>
      <w:r w:rsidR="000E4BEE" w:rsidRPr="00BD44E7">
        <w:rPr>
          <w:rFonts w:cs="Arial"/>
          <w:lang w:val="fr-FR"/>
        </w:rPr>
        <w:t>énoncées</w:t>
      </w:r>
      <w:r w:rsidRPr="00BD44E7">
        <w:rPr>
          <w:rFonts w:cs="Arial"/>
          <w:lang w:val="fr-FR"/>
        </w:rPr>
        <w:t xml:space="preserve"> dans l’Annexe 1 de la présente résolution et à élaborer et à mettre en œuvre des plans d’action nationaux conformément aux plans d’action internationaux (</w:t>
      </w:r>
      <w:r w:rsidRPr="00BD44E7">
        <w:rPr>
          <w:rFonts w:eastAsia="Times New Roman" w:cs="Arial"/>
          <w:lang w:val="fr-FR"/>
        </w:rPr>
        <w:t xml:space="preserve">PAI) correspondants de </w:t>
      </w:r>
      <w:r w:rsidRPr="00BD44E7">
        <w:rPr>
          <w:rFonts w:cs="Arial"/>
          <w:lang w:val="fr-FR"/>
        </w:rPr>
        <w:t>l’Organisation des Nations Unies pour l’alimentation et l’agriculture (FAO)</w:t>
      </w:r>
      <w:r w:rsidR="00056208" w:rsidRPr="00BD44E7">
        <w:rPr>
          <w:rFonts w:cs="Arial"/>
          <w:lang w:val="fr-FR"/>
        </w:rPr>
        <w:t xml:space="preserve"> </w:t>
      </w:r>
      <w:r w:rsidRPr="00BD44E7">
        <w:rPr>
          <w:rFonts w:eastAsia="Times New Roman" w:cs="Arial"/>
          <w:lang w:val="fr-FR"/>
        </w:rPr>
        <w:t>;</w:t>
      </w:r>
    </w:p>
    <w:p w14:paraId="693B44EC" w14:textId="77777777" w:rsidR="007A5544" w:rsidRPr="00BD44E7" w:rsidRDefault="007A5544" w:rsidP="005E607A">
      <w:pPr>
        <w:ind w:left="567" w:hanging="567"/>
        <w:jc w:val="both"/>
        <w:rPr>
          <w:rFonts w:ascii="Arial" w:hAnsi="Arial" w:cs="Arial"/>
          <w:sz w:val="22"/>
          <w:szCs w:val="22"/>
          <w:lang w:val="fr-FR"/>
        </w:rPr>
      </w:pPr>
    </w:p>
    <w:p w14:paraId="21D0135D" w14:textId="162D82DC" w:rsidR="007A5544" w:rsidRPr="00BD44E7" w:rsidRDefault="00056208" w:rsidP="005E607A">
      <w:pPr>
        <w:pStyle w:val="ListParagraph"/>
        <w:numPr>
          <w:ilvl w:val="0"/>
          <w:numId w:val="5"/>
        </w:numPr>
        <w:suppressAutoHyphens/>
        <w:spacing w:after="80"/>
        <w:ind w:left="567" w:hanging="567"/>
        <w:rPr>
          <w:rFonts w:cs="Arial"/>
          <w:lang w:val="fr-FR"/>
        </w:rPr>
      </w:pPr>
      <w:r w:rsidRPr="00BD44E7">
        <w:rPr>
          <w:rFonts w:cs="Arial"/>
          <w:i/>
          <w:lang w:val="fr-FR"/>
        </w:rPr>
        <w:t>Prie instamment</w:t>
      </w:r>
      <w:r w:rsidR="007A5544" w:rsidRPr="00BD44E7">
        <w:rPr>
          <w:rFonts w:cs="Arial"/>
          <w:i/>
          <w:lang w:val="fr-FR"/>
        </w:rPr>
        <w:t xml:space="preserve"> </w:t>
      </w:r>
      <w:r w:rsidR="007A5544" w:rsidRPr="00BD44E7">
        <w:rPr>
          <w:rFonts w:cs="Arial"/>
          <w:lang w:val="fr-FR"/>
        </w:rPr>
        <w:t>les Parties, et</w:t>
      </w:r>
      <w:r w:rsidR="007A5544" w:rsidRPr="00BD44E7">
        <w:rPr>
          <w:rFonts w:cs="Arial"/>
          <w:i/>
          <w:lang w:val="fr-FR"/>
        </w:rPr>
        <w:t xml:space="preserve"> encourage</w:t>
      </w:r>
      <w:r w:rsidR="007A5544" w:rsidRPr="00BD44E7">
        <w:rPr>
          <w:rFonts w:cs="Arial"/>
          <w:lang w:val="fr-FR"/>
        </w:rPr>
        <w:t xml:space="preserve"> les non-Parties, la FAO, les ORGP, d’autres organismes concernés et le secteur privé,</w:t>
      </w:r>
      <w:r w:rsidRPr="00BD44E7">
        <w:rPr>
          <w:rFonts w:cs="Arial"/>
          <w:lang w:val="fr-FR"/>
        </w:rPr>
        <w:t xml:space="preserve"> à mettre en œuvre simultanément des mesures efficaces de réduction des prises accessoires, tout en renforçant la surveillance</w:t>
      </w:r>
      <w:r w:rsidR="007A5544" w:rsidRPr="00BD44E7">
        <w:rPr>
          <w:rFonts w:cs="Arial"/>
          <w:lang w:val="fr-FR"/>
        </w:rPr>
        <w:t xml:space="preserve">, la </w:t>
      </w:r>
      <w:r w:rsidR="000C24ED" w:rsidRPr="00BD44E7">
        <w:rPr>
          <w:rFonts w:cs="Arial"/>
          <w:lang w:val="fr-FR"/>
        </w:rPr>
        <w:t>collecte de</w:t>
      </w:r>
      <w:r w:rsidR="007A5544" w:rsidRPr="00BD44E7">
        <w:rPr>
          <w:rFonts w:cs="Arial"/>
          <w:lang w:val="fr-FR"/>
        </w:rPr>
        <w:t xml:space="preserve"> données et la recherche sur les prises accessoires d</w:t>
      </w:r>
      <w:r w:rsidR="000C24ED" w:rsidRPr="00BD44E7">
        <w:rPr>
          <w:rFonts w:cs="Arial"/>
          <w:lang w:val="fr-FR"/>
        </w:rPr>
        <w:t>’</w:t>
      </w:r>
      <w:r w:rsidR="007A5544" w:rsidRPr="00BD44E7">
        <w:rPr>
          <w:rFonts w:cs="Arial"/>
          <w:lang w:val="fr-FR"/>
        </w:rPr>
        <w:t xml:space="preserve">espèces inscrites aux Annexes de la CMS, et </w:t>
      </w:r>
      <w:r w:rsidR="000C24ED" w:rsidRPr="00BD44E7">
        <w:rPr>
          <w:rFonts w:cs="Arial"/>
          <w:lang w:val="fr-FR"/>
        </w:rPr>
        <w:t xml:space="preserve">à s’appuyer sur </w:t>
      </w:r>
      <w:r w:rsidR="000E4BEE" w:rsidRPr="00BD44E7">
        <w:rPr>
          <w:rFonts w:cs="Arial"/>
          <w:lang w:val="fr-FR"/>
        </w:rPr>
        <w:t>l</w:t>
      </w:r>
      <w:r w:rsidR="000C24ED" w:rsidRPr="00BD44E7">
        <w:rPr>
          <w:rFonts w:cs="Arial"/>
          <w:lang w:val="fr-FR"/>
        </w:rPr>
        <w:t xml:space="preserve">es résultats </w:t>
      </w:r>
      <w:r w:rsidR="000E4BEE" w:rsidRPr="00BD44E7">
        <w:rPr>
          <w:rFonts w:cs="Arial"/>
          <w:lang w:val="fr-FR"/>
        </w:rPr>
        <w:t xml:space="preserve">obtenus </w:t>
      </w:r>
      <w:r w:rsidR="000C24ED" w:rsidRPr="00BD44E7">
        <w:rPr>
          <w:rFonts w:cs="Arial"/>
          <w:lang w:val="fr-FR"/>
        </w:rPr>
        <w:t xml:space="preserve">pour améliorer en permanence la mise en œuvre des mesures de réduction des prises accessoires, notamment </w:t>
      </w:r>
      <w:r w:rsidR="000E4BEE" w:rsidRPr="00BD44E7">
        <w:rPr>
          <w:rFonts w:cs="Arial"/>
          <w:lang w:val="fr-FR"/>
        </w:rPr>
        <w:t>de la manière suivante</w:t>
      </w:r>
      <w:r w:rsidR="007A5544" w:rsidRPr="00BD44E7">
        <w:rPr>
          <w:rFonts w:cs="Arial"/>
          <w:lang w:val="fr-FR"/>
        </w:rPr>
        <w:t xml:space="preserve"> :</w:t>
      </w:r>
    </w:p>
    <w:p w14:paraId="46839367" w14:textId="6C9AEB4A" w:rsidR="007A5544" w:rsidRPr="00BD44E7" w:rsidRDefault="007A5544" w:rsidP="005E607A">
      <w:pPr>
        <w:spacing w:after="80"/>
        <w:ind w:left="1134" w:hanging="567"/>
        <w:jc w:val="both"/>
        <w:rPr>
          <w:rFonts w:ascii="Arial" w:hAnsi="Arial" w:cs="Arial"/>
          <w:i/>
          <w:sz w:val="22"/>
          <w:szCs w:val="22"/>
          <w:lang w:val="fr-FR"/>
        </w:rPr>
      </w:pPr>
      <w:r w:rsidRPr="00BD44E7">
        <w:rPr>
          <w:rFonts w:ascii="Arial" w:hAnsi="Arial" w:cs="Arial"/>
          <w:iCs/>
          <w:sz w:val="22"/>
          <w:szCs w:val="22"/>
          <w:lang w:val="fr-FR"/>
        </w:rPr>
        <w:t>a)</w:t>
      </w:r>
      <w:r w:rsidRPr="00BD44E7">
        <w:rPr>
          <w:rFonts w:ascii="Arial" w:hAnsi="Arial" w:cs="Arial"/>
          <w:i/>
          <w:sz w:val="22"/>
          <w:szCs w:val="22"/>
          <w:lang w:val="fr-FR"/>
        </w:rPr>
        <w:t xml:space="preserve"> </w:t>
      </w:r>
      <w:r w:rsidRPr="00BD44E7">
        <w:rPr>
          <w:rFonts w:ascii="Arial" w:hAnsi="Arial" w:cs="Arial"/>
          <w:i/>
          <w:sz w:val="22"/>
          <w:szCs w:val="22"/>
          <w:lang w:val="fr-FR"/>
        </w:rPr>
        <w:tab/>
      </w:r>
      <w:r w:rsidRPr="00BD44E7">
        <w:rPr>
          <w:rFonts w:ascii="Arial" w:hAnsi="Arial" w:cs="Arial"/>
          <w:sz w:val="22"/>
          <w:szCs w:val="22"/>
          <w:lang w:val="fr-FR"/>
        </w:rPr>
        <w:t xml:space="preserve">évaluer les risques et mettre en œuvre des programmes de surveillance, </w:t>
      </w:r>
      <w:r w:rsidR="000C24ED" w:rsidRPr="00BD44E7">
        <w:rPr>
          <w:rFonts w:ascii="Arial" w:hAnsi="Arial" w:cs="Arial"/>
          <w:sz w:val="22"/>
          <w:szCs w:val="22"/>
          <w:lang w:val="fr-FR"/>
        </w:rPr>
        <w:t>y compris</w:t>
      </w:r>
      <w:r w:rsidRPr="00BD44E7">
        <w:rPr>
          <w:rFonts w:ascii="Arial" w:hAnsi="Arial" w:cs="Arial"/>
          <w:sz w:val="22"/>
          <w:szCs w:val="22"/>
          <w:lang w:val="fr-FR"/>
        </w:rPr>
        <w:t xml:space="preserve">, le cas échéant, des observateurs à bord ou une surveillance électronique, afin de </w:t>
      </w:r>
      <w:r w:rsidR="000B589E" w:rsidRPr="00BD44E7">
        <w:rPr>
          <w:rFonts w:ascii="Arial" w:hAnsi="Arial" w:cs="Arial"/>
          <w:sz w:val="22"/>
          <w:szCs w:val="22"/>
          <w:lang w:val="fr-FR"/>
        </w:rPr>
        <w:t>cerner</w:t>
      </w:r>
      <w:r w:rsidRPr="00BD44E7">
        <w:rPr>
          <w:rFonts w:ascii="Arial" w:hAnsi="Arial" w:cs="Arial"/>
          <w:sz w:val="22"/>
          <w:szCs w:val="22"/>
          <w:lang w:val="fr-FR"/>
        </w:rPr>
        <w:t xml:space="preserve"> les conséquences des prises accessoires dans les </w:t>
      </w:r>
      <w:r w:rsidR="00C85E6D" w:rsidRPr="00BD44E7">
        <w:rPr>
          <w:rFonts w:ascii="Arial" w:hAnsi="Arial" w:cs="Arial"/>
          <w:sz w:val="22"/>
          <w:szCs w:val="22"/>
          <w:lang w:val="fr-FR"/>
        </w:rPr>
        <w:t>activités de pêche</w:t>
      </w:r>
      <w:r w:rsidRPr="00BD44E7">
        <w:rPr>
          <w:rFonts w:ascii="Arial" w:hAnsi="Arial" w:cs="Arial"/>
          <w:sz w:val="22"/>
          <w:szCs w:val="22"/>
          <w:lang w:val="fr-FR"/>
        </w:rPr>
        <w:t xml:space="preserve"> et d’y remédier ;</w:t>
      </w:r>
    </w:p>
    <w:p w14:paraId="40BAAE3C" w14:textId="7EB250EE" w:rsidR="007A5544" w:rsidRPr="00BD44E7" w:rsidRDefault="007A5544" w:rsidP="005E607A">
      <w:pPr>
        <w:spacing w:after="80"/>
        <w:ind w:left="1134" w:hanging="567"/>
        <w:jc w:val="both"/>
        <w:rPr>
          <w:rFonts w:ascii="Arial" w:hAnsi="Arial" w:cs="Arial"/>
          <w:sz w:val="22"/>
          <w:szCs w:val="22"/>
          <w:lang w:val="fr-FR"/>
        </w:rPr>
      </w:pPr>
      <w:r w:rsidRPr="00BD44E7">
        <w:rPr>
          <w:rFonts w:ascii="Arial" w:hAnsi="Arial" w:cs="Arial"/>
          <w:sz w:val="22"/>
          <w:szCs w:val="22"/>
          <w:lang w:val="fr-FR"/>
        </w:rPr>
        <w:t xml:space="preserve">b) </w:t>
      </w:r>
      <w:r w:rsidRPr="00BD44E7">
        <w:rPr>
          <w:rFonts w:ascii="Arial" w:hAnsi="Arial" w:cs="Arial"/>
          <w:sz w:val="22"/>
          <w:szCs w:val="22"/>
          <w:lang w:val="fr-FR"/>
        </w:rPr>
        <w:tab/>
        <w:t>appliquer des mesures d’atténuation fondées sur les bonnes pratiques et sur les résultats de la surveillance</w:t>
      </w:r>
      <w:r w:rsidR="00C85E6D" w:rsidRPr="00BD44E7">
        <w:rPr>
          <w:lang w:val="fr-FR"/>
        </w:rPr>
        <w:t xml:space="preserve"> </w:t>
      </w:r>
      <w:r w:rsidR="00C85E6D" w:rsidRPr="00BD44E7">
        <w:rPr>
          <w:rFonts w:ascii="Arial" w:hAnsi="Arial" w:cs="Arial"/>
          <w:sz w:val="22"/>
          <w:szCs w:val="22"/>
          <w:lang w:val="fr-FR"/>
        </w:rPr>
        <w:t xml:space="preserve">et/ou de la recherche, et en réévaluer et en affiner régulièrement l'efficacité </w:t>
      </w:r>
      <w:r w:rsidRPr="00BD44E7">
        <w:rPr>
          <w:rFonts w:ascii="Arial" w:hAnsi="Arial" w:cs="Arial"/>
          <w:sz w:val="22"/>
          <w:szCs w:val="22"/>
          <w:lang w:val="fr-FR"/>
        </w:rPr>
        <w:t>;</w:t>
      </w:r>
    </w:p>
    <w:p w14:paraId="54BB0924" w14:textId="353DD44E" w:rsidR="007A5544" w:rsidRPr="00BD44E7" w:rsidRDefault="007A5544" w:rsidP="005E607A">
      <w:pPr>
        <w:spacing w:after="80"/>
        <w:ind w:left="1134" w:hanging="567"/>
        <w:jc w:val="both"/>
        <w:rPr>
          <w:rFonts w:ascii="Arial" w:hAnsi="Arial" w:cs="Arial"/>
          <w:sz w:val="22"/>
          <w:szCs w:val="22"/>
          <w:lang w:val="fr-FR"/>
        </w:rPr>
      </w:pPr>
      <w:r w:rsidRPr="00BD44E7">
        <w:rPr>
          <w:rFonts w:ascii="Arial" w:hAnsi="Arial" w:cs="Arial"/>
          <w:sz w:val="22"/>
          <w:szCs w:val="22"/>
          <w:lang w:val="fr-FR"/>
        </w:rPr>
        <w:t xml:space="preserve">c) </w:t>
      </w:r>
      <w:r w:rsidRPr="00BD44E7">
        <w:rPr>
          <w:rFonts w:ascii="Arial" w:hAnsi="Arial" w:cs="Arial"/>
          <w:sz w:val="22"/>
          <w:szCs w:val="22"/>
          <w:lang w:val="fr-FR"/>
        </w:rPr>
        <w:tab/>
        <w:t xml:space="preserve">faciliter la collecte et le partage de données sur les prises accessoires </w:t>
      </w:r>
      <w:r w:rsidR="00C85E6D" w:rsidRPr="00BD44E7">
        <w:rPr>
          <w:rFonts w:ascii="Arial" w:hAnsi="Arial" w:cs="Arial"/>
          <w:sz w:val="22"/>
          <w:szCs w:val="22"/>
          <w:lang w:val="fr-FR"/>
        </w:rPr>
        <w:t>par</w:t>
      </w:r>
      <w:r w:rsidRPr="00BD44E7">
        <w:rPr>
          <w:rFonts w:ascii="Arial" w:hAnsi="Arial" w:cs="Arial"/>
          <w:sz w:val="22"/>
          <w:szCs w:val="22"/>
          <w:lang w:val="fr-FR"/>
        </w:rPr>
        <w:t xml:space="preserve"> espèce, y compris des informations sur les blessures causées par les activités de pêche, afin de soutenir la mise au point d’outils techniques et d’approches de gestion visant à réduire la mortalité après la remise à l’eau ;</w:t>
      </w:r>
    </w:p>
    <w:p w14:paraId="59240BDB" w14:textId="77777777" w:rsidR="006C4A17" w:rsidRPr="00BD44E7" w:rsidRDefault="007A5544" w:rsidP="005E607A">
      <w:pPr>
        <w:spacing w:after="80"/>
        <w:ind w:left="1134" w:hanging="567"/>
        <w:jc w:val="both"/>
        <w:rPr>
          <w:rFonts w:ascii="Arial" w:hAnsi="Arial" w:cs="Arial"/>
          <w:sz w:val="22"/>
          <w:szCs w:val="22"/>
          <w:lang w:val="fr-FR"/>
        </w:rPr>
      </w:pPr>
      <w:r w:rsidRPr="00BD44E7">
        <w:rPr>
          <w:rFonts w:ascii="Arial" w:hAnsi="Arial" w:cs="Arial"/>
          <w:sz w:val="22"/>
          <w:szCs w:val="22"/>
          <w:lang w:val="fr-FR"/>
        </w:rPr>
        <w:t xml:space="preserve">d) </w:t>
      </w:r>
      <w:r w:rsidRPr="00BD44E7">
        <w:rPr>
          <w:rFonts w:ascii="Arial" w:hAnsi="Arial" w:cs="Arial"/>
          <w:sz w:val="22"/>
          <w:szCs w:val="22"/>
          <w:lang w:val="fr-FR"/>
        </w:rPr>
        <w:tab/>
      </w:r>
      <w:r w:rsidR="00C85E6D" w:rsidRPr="00BD44E7">
        <w:rPr>
          <w:rFonts w:ascii="Arial" w:hAnsi="Arial" w:cs="Arial"/>
          <w:sz w:val="22"/>
          <w:szCs w:val="22"/>
          <w:lang w:val="fr-FR"/>
        </w:rPr>
        <w:t>évaluer et réduire au minimum les effets néfastes des prises accessoires sur le bien-être et la conservation, y compris les effets sublétaux liés aux blessures et au stress, ainsi que leurs effets en matière de conservation</w:t>
      </w:r>
      <w:r w:rsidR="006C4A17" w:rsidRPr="00BD44E7">
        <w:rPr>
          <w:rFonts w:ascii="Arial" w:hAnsi="Arial" w:cs="Arial"/>
          <w:sz w:val="22"/>
          <w:szCs w:val="22"/>
          <w:lang w:val="fr-FR"/>
        </w:rPr>
        <w:t> ;</w:t>
      </w:r>
      <w:r w:rsidR="00C85E6D" w:rsidRPr="00BD44E7">
        <w:rPr>
          <w:rFonts w:ascii="Arial" w:hAnsi="Arial" w:cs="Arial"/>
          <w:sz w:val="22"/>
          <w:szCs w:val="22"/>
          <w:lang w:val="fr-FR"/>
        </w:rPr>
        <w:t xml:space="preserve"> et</w:t>
      </w:r>
    </w:p>
    <w:p w14:paraId="50A4FA73" w14:textId="72226B4E" w:rsidR="006C4A17" w:rsidRPr="00BD44E7" w:rsidRDefault="006C4A17" w:rsidP="005E607A">
      <w:pPr>
        <w:spacing w:after="80"/>
        <w:ind w:left="1134" w:hanging="567"/>
        <w:jc w:val="both"/>
        <w:rPr>
          <w:rFonts w:ascii="Arial" w:hAnsi="Arial" w:cs="Arial"/>
          <w:sz w:val="22"/>
          <w:szCs w:val="22"/>
          <w:lang w:val="fr-FR"/>
        </w:rPr>
      </w:pPr>
      <w:r w:rsidRPr="00BD44E7">
        <w:rPr>
          <w:rFonts w:ascii="Arial" w:hAnsi="Arial" w:cs="Arial"/>
          <w:sz w:val="22"/>
          <w:szCs w:val="22"/>
          <w:lang w:val="fr-FR"/>
        </w:rPr>
        <w:t>e)</w:t>
      </w:r>
      <w:r w:rsidRPr="00BD44E7">
        <w:rPr>
          <w:rFonts w:ascii="Arial" w:hAnsi="Arial" w:cs="Arial"/>
          <w:sz w:val="22"/>
          <w:szCs w:val="22"/>
          <w:lang w:val="fr-FR"/>
        </w:rPr>
        <w:tab/>
      </w:r>
      <w:r w:rsidR="007A5544" w:rsidRPr="00BD44E7">
        <w:rPr>
          <w:rFonts w:ascii="Arial" w:hAnsi="Arial" w:cs="Arial"/>
          <w:sz w:val="22"/>
          <w:szCs w:val="22"/>
          <w:lang w:val="fr-FR"/>
        </w:rPr>
        <w:t>financer, soutenir et entreprendre des recherches indépendantes afin d’identifier, d’évaluer et d’améliorer les mesures d</w:t>
      </w:r>
      <w:r w:rsidR="00C85E6D" w:rsidRPr="00BD44E7">
        <w:rPr>
          <w:rFonts w:ascii="Arial" w:hAnsi="Arial" w:cs="Arial"/>
          <w:sz w:val="22"/>
          <w:szCs w:val="22"/>
          <w:lang w:val="fr-FR"/>
        </w:rPr>
        <w:t>e réduc</w:t>
      </w:r>
      <w:r w:rsidR="007A5544" w:rsidRPr="00BD44E7">
        <w:rPr>
          <w:rFonts w:ascii="Arial" w:hAnsi="Arial" w:cs="Arial"/>
          <w:sz w:val="22"/>
          <w:szCs w:val="22"/>
          <w:lang w:val="fr-FR"/>
        </w:rPr>
        <w:t xml:space="preserve">tion des prises accessoires, y compris la conception </w:t>
      </w:r>
      <w:r w:rsidRPr="00BD44E7">
        <w:rPr>
          <w:rFonts w:ascii="Arial" w:hAnsi="Arial" w:cs="Arial"/>
          <w:sz w:val="22"/>
          <w:szCs w:val="22"/>
          <w:lang w:val="fr-FR"/>
        </w:rPr>
        <w:t>et la promotion d'engins et de méthodes de pêche alternatifs</w:t>
      </w:r>
      <w:r w:rsidR="007A5544" w:rsidRPr="00BD44E7">
        <w:rPr>
          <w:rFonts w:ascii="Arial" w:hAnsi="Arial" w:cs="Arial"/>
          <w:sz w:val="22"/>
          <w:szCs w:val="22"/>
          <w:lang w:val="fr-FR"/>
        </w:rPr>
        <w:t xml:space="preserve">, en particulier en ce qui concerne les engins non sélectifs </w:t>
      </w:r>
      <w:r w:rsidRPr="00BD44E7">
        <w:rPr>
          <w:rFonts w:ascii="Arial" w:hAnsi="Arial" w:cs="Arial"/>
          <w:sz w:val="22"/>
          <w:szCs w:val="22"/>
          <w:lang w:val="fr-FR"/>
        </w:rPr>
        <w:t xml:space="preserve">qui présentent un risque particulièrement élevé pour plusieurs espèces inscrites aux Annexes de la CMS, et aider les pêcheurs à adopter et à améliorer en permanence ces mesures de réduction grâce à des initiatives de mobilisation et de collaboration, à des actions de sensibilisation et à des programmes éducatifs </w:t>
      </w:r>
      <w:r w:rsidR="002300E4" w:rsidRPr="00BD44E7">
        <w:rPr>
          <w:rFonts w:ascii="Arial" w:hAnsi="Arial" w:cs="Arial"/>
          <w:sz w:val="22"/>
          <w:szCs w:val="22"/>
          <w:lang w:val="fr-FR"/>
        </w:rPr>
        <w:t>concernant</w:t>
      </w:r>
      <w:r w:rsidRPr="00BD44E7">
        <w:rPr>
          <w:rFonts w:ascii="Arial" w:hAnsi="Arial" w:cs="Arial"/>
          <w:sz w:val="22"/>
          <w:szCs w:val="22"/>
          <w:lang w:val="fr-FR"/>
        </w:rPr>
        <w:t xml:space="preserve"> tous les types de pêche, y compris, mais </w:t>
      </w:r>
      <w:r w:rsidR="002300E4" w:rsidRPr="00BD44E7">
        <w:rPr>
          <w:rFonts w:ascii="Arial" w:hAnsi="Arial" w:cs="Arial"/>
          <w:sz w:val="22"/>
          <w:szCs w:val="22"/>
          <w:lang w:val="fr-FR"/>
        </w:rPr>
        <w:t>pas exclusivement</w:t>
      </w:r>
      <w:r w:rsidRPr="00BD44E7">
        <w:rPr>
          <w:rFonts w:ascii="Arial" w:hAnsi="Arial" w:cs="Arial"/>
          <w:sz w:val="22"/>
          <w:szCs w:val="22"/>
          <w:lang w:val="fr-FR"/>
        </w:rPr>
        <w:t xml:space="preserve">, la pêche artisanale et à petite échelle, </w:t>
      </w:r>
      <w:r w:rsidR="002300E4" w:rsidRPr="00BD44E7">
        <w:rPr>
          <w:rFonts w:ascii="Arial" w:hAnsi="Arial" w:cs="Arial"/>
          <w:sz w:val="22"/>
          <w:szCs w:val="22"/>
          <w:lang w:val="fr-FR"/>
        </w:rPr>
        <w:t>en cas de</w:t>
      </w:r>
      <w:r w:rsidRPr="00BD44E7">
        <w:rPr>
          <w:rFonts w:ascii="Arial" w:hAnsi="Arial" w:cs="Arial"/>
          <w:sz w:val="22"/>
          <w:szCs w:val="22"/>
          <w:lang w:val="fr-FR"/>
        </w:rPr>
        <w:t xml:space="preserve"> ressources limitées</w:t>
      </w:r>
      <w:r w:rsidR="002300E4" w:rsidRPr="00BD44E7">
        <w:rPr>
          <w:rFonts w:ascii="Arial" w:hAnsi="Arial" w:cs="Arial"/>
          <w:sz w:val="22"/>
          <w:szCs w:val="22"/>
          <w:lang w:val="fr-FR"/>
        </w:rPr>
        <w:t> ;</w:t>
      </w:r>
    </w:p>
    <w:p w14:paraId="3BF20B9E" w14:textId="77777777" w:rsidR="007A5544" w:rsidRPr="00BD44E7" w:rsidRDefault="007A5544" w:rsidP="005E607A">
      <w:pPr>
        <w:jc w:val="both"/>
        <w:rPr>
          <w:rFonts w:ascii="Arial" w:hAnsi="Arial" w:cs="Arial"/>
          <w:sz w:val="22"/>
          <w:szCs w:val="22"/>
          <w:lang w:val="fr-FR"/>
        </w:rPr>
      </w:pPr>
    </w:p>
    <w:p w14:paraId="18192FA3" w14:textId="3E99D2E8" w:rsidR="001345E6" w:rsidRPr="00BD44E7" w:rsidRDefault="001345E6" w:rsidP="005E607A">
      <w:pPr>
        <w:pStyle w:val="ListParagraph"/>
        <w:numPr>
          <w:ilvl w:val="0"/>
          <w:numId w:val="5"/>
        </w:numPr>
        <w:suppressAutoHyphens/>
        <w:ind w:left="567" w:hanging="567"/>
        <w:rPr>
          <w:rFonts w:cs="Arial"/>
          <w:lang w:val="fr-FR"/>
        </w:rPr>
      </w:pPr>
      <w:r w:rsidRPr="00BD44E7">
        <w:rPr>
          <w:rFonts w:cs="Arial"/>
          <w:bCs/>
          <w:i/>
          <w:iCs/>
          <w:lang w:val="fr-FR"/>
        </w:rPr>
        <w:t>Exhorte</w:t>
      </w:r>
      <w:r w:rsidR="007A5544" w:rsidRPr="00BD44E7">
        <w:rPr>
          <w:rFonts w:cs="Arial"/>
          <w:bCs/>
          <w:i/>
          <w:iCs/>
          <w:lang w:val="fr-FR"/>
        </w:rPr>
        <w:t xml:space="preserve"> </w:t>
      </w:r>
      <w:r w:rsidR="007A5544" w:rsidRPr="00BD44E7">
        <w:rPr>
          <w:rFonts w:cs="Arial"/>
          <w:bCs/>
          <w:lang w:val="fr-FR"/>
        </w:rPr>
        <w:t>les Parties</w:t>
      </w:r>
      <w:r w:rsidRPr="00BD44E7">
        <w:rPr>
          <w:rFonts w:cs="Arial"/>
          <w:bCs/>
          <w:lang w:val="fr-FR"/>
        </w:rPr>
        <w:t xml:space="preserve"> à élaborer et à mettre en œuvre des mesures efficaces visant à réduire la quantité d'engins de pêche abandonnés, perdus ou rejetés de quelque manière que ce soit, tant à l'intérieur qu'au-delà de leurs zones de juridiction nationale, et à réduire au minimum ce</w:t>
      </w:r>
      <w:r w:rsidR="000B589E" w:rsidRPr="00BD44E7">
        <w:rPr>
          <w:rFonts w:cs="Arial"/>
          <w:bCs/>
          <w:lang w:val="fr-FR"/>
        </w:rPr>
        <w:t>s types de</w:t>
      </w:r>
      <w:r w:rsidRPr="00BD44E7">
        <w:rPr>
          <w:rFonts w:cs="Arial"/>
          <w:bCs/>
          <w:lang w:val="fr-FR"/>
        </w:rPr>
        <w:t xml:space="preserve"> perte </w:t>
      </w:r>
      <w:r w:rsidR="000B589E" w:rsidRPr="00BD44E7">
        <w:rPr>
          <w:rFonts w:cs="Arial"/>
          <w:bCs/>
          <w:lang w:val="fr-FR"/>
        </w:rPr>
        <w:t>à partir de</w:t>
      </w:r>
      <w:r w:rsidRPr="00BD44E7">
        <w:rPr>
          <w:rFonts w:cs="Arial"/>
          <w:bCs/>
          <w:lang w:val="fr-FR"/>
        </w:rPr>
        <w:t>s navires battant leur pavillon ;</w:t>
      </w:r>
    </w:p>
    <w:p w14:paraId="5C5D9A85" w14:textId="77777777" w:rsidR="007A5544" w:rsidRPr="00BD44E7" w:rsidRDefault="007A5544" w:rsidP="005E607A">
      <w:pPr>
        <w:jc w:val="both"/>
        <w:rPr>
          <w:rFonts w:ascii="Arial" w:hAnsi="Arial" w:cs="Arial"/>
          <w:sz w:val="22"/>
          <w:szCs w:val="22"/>
          <w:lang w:val="fr-FR"/>
        </w:rPr>
      </w:pPr>
    </w:p>
    <w:p w14:paraId="0DFDC3E6" w14:textId="7275C2EB" w:rsidR="007A5544" w:rsidRPr="00BD44E7" w:rsidRDefault="007A5544" w:rsidP="005E607A">
      <w:pPr>
        <w:pStyle w:val="ListParagraph"/>
        <w:numPr>
          <w:ilvl w:val="0"/>
          <w:numId w:val="5"/>
        </w:numPr>
        <w:suppressAutoHyphens/>
        <w:ind w:left="567" w:hanging="567"/>
        <w:rPr>
          <w:rFonts w:cs="Arial"/>
          <w:lang w:val="fr-FR"/>
        </w:rPr>
      </w:pPr>
      <w:r w:rsidRPr="00BD44E7">
        <w:rPr>
          <w:rStyle w:val="Strong"/>
          <w:rFonts w:cs="Arial"/>
          <w:b w:val="0"/>
          <w:bCs w:val="0"/>
          <w:i/>
          <w:lang w:val="fr-FR"/>
        </w:rPr>
        <w:t xml:space="preserve">Invite les </w:t>
      </w:r>
      <w:r w:rsidRPr="00BD44E7">
        <w:rPr>
          <w:rStyle w:val="Strong"/>
          <w:rFonts w:cs="Arial"/>
          <w:b w:val="0"/>
          <w:bCs w:val="0"/>
          <w:lang w:val="fr-FR"/>
        </w:rPr>
        <w:t xml:space="preserve">Parties à prendre en considération les effets potentiels sur d’autres taxons lors de l’élaboration ou de l’adoption de mesures </w:t>
      </w:r>
      <w:r w:rsidR="001345E6" w:rsidRPr="00BD44E7">
        <w:rPr>
          <w:rStyle w:val="Strong"/>
          <w:rFonts w:cs="Arial"/>
          <w:b w:val="0"/>
          <w:bCs w:val="0"/>
          <w:lang w:val="fr-FR"/>
        </w:rPr>
        <w:t>de réduc</w:t>
      </w:r>
      <w:r w:rsidRPr="00BD44E7">
        <w:rPr>
          <w:rStyle w:val="Strong"/>
          <w:rFonts w:cs="Arial"/>
          <w:b w:val="0"/>
          <w:bCs w:val="0"/>
          <w:lang w:val="fr-FR"/>
        </w:rPr>
        <w:t>tion</w:t>
      </w:r>
      <w:r w:rsidRPr="00BD44E7">
        <w:rPr>
          <w:rStyle w:val="Strong"/>
          <w:rFonts w:cs="Arial"/>
          <w:lang w:val="fr-FR"/>
        </w:rPr>
        <w:t xml:space="preserve">, </w:t>
      </w:r>
      <w:r w:rsidRPr="00BD44E7">
        <w:rPr>
          <w:rFonts w:cs="Arial"/>
          <w:lang w:val="fr-FR"/>
        </w:rPr>
        <w:t xml:space="preserve">afin d’éviter </w:t>
      </w:r>
      <w:r w:rsidR="001345E6" w:rsidRPr="00BD44E7">
        <w:rPr>
          <w:rFonts w:cs="Arial"/>
          <w:lang w:val="fr-FR"/>
        </w:rPr>
        <w:t>toute incidence</w:t>
      </w:r>
      <w:r w:rsidRPr="00BD44E7">
        <w:rPr>
          <w:rFonts w:cs="Arial"/>
          <w:lang w:val="fr-FR"/>
        </w:rPr>
        <w:t xml:space="preserve"> négati</w:t>
      </w:r>
      <w:r w:rsidR="001345E6" w:rsidRPr="00BD44E7">
        <w:rPr>
          <w:rFonts w:cs="Arial"/>
          <w:lang w:val="fr-FR"/>
        </w:rPr>
        <w:t>ve</w:t>
      </w:r>
      <w:r w:rsidRPr="00BD44E7">
        <w:rPr>
          <w:rFonts w:cs="Arial"/>
          <w:lang w:val="fr-FR"/>
        </w:rPr>
        <w:t xml:space="preserve"> involontaire ;</w:t>
      </w:r>
    </w:p>
    <w:p w14:paraId="2427AEED" w14:textId="722E9898" w:rsidR="001345E6" w:rsidRPr="00BD44E7" w:rsidRDefault="007A5544" w:rsidP="005E607A">
      <w:pPr>
        <w:pStyle w:val="ListParagraph"/>
        <w:numPr>
          <w:ilvl w:val="0"/>
          <w:numId w:val="5"/>
        </w:numPr>
        <w:suppressAutoHyphens/>
        <w:ind w:left="567" w:hanging="567"/>
        <w:rPr>
          <w:rFonts w:cs="Arial"/>
          <w:lang w:val="fr-FR"/>
        </w:rPr>
      </w:pPr>
      <w:r w:rsidRPr="00BD44E7">
        <w:rPr>
          <w:rFonts w:cs="Arial"/>
          <w:i/>
          <w:lang w:val="fr-FR"/>
        </w:rPr>
        <w:lastRenderedPageBreak/>
        <w:t xml:space="preserve">Exhorte </w:t>
      </w:r>
      <w:r w:rsidR="001345E6" w:rsidRPr="00BD44E7">
        <w:rPr>
          <w:rFonts w:cs="Arial"/>
          <w:i/>
          <w:lang w:val="fr-FR"/>
        </w:rPr>
        <w:t>également</w:t>
      </w:r>
      <w:r w:rsidRPr="00BD44E7">
        <w:rPr>
          <w:rFonts w:cs="Arial"/>
          <w:i/>
          <w:lang w:val="fr-FR"/>
        </w:rPr>
        <w:t xml:space="preserve"> les Parties </w:t>
      </w:r>
      <w:r w:rsidRPr="00BD44E7">
        <w:rPr>
          <w:rFonts w:cs="Arial"/>
          <w:lang w:val="fr-FR"/>
        </w:rPr>
        <w:t xml:space="preserve">à coopérer activement avec les organismes nationaux, régionaux et internationaux compétents en matière de gestion des pêches, et à </w:t>
      </w:r>
      <w:r w:rsidR="005860C1" w:rsidRPr="00BD44E7">
        <w:rPr>
          <w:rFonts w:cs="Arial"/>
          <w:lang w:val="fr-FR"/>
        </w:rPr>
        <w:t xml:space="preserve">agir </w:t>
      </w:r>
      <w:r w:rsidRPr="00BD44E7">
        <w:rPr>
          <w:rFonts w:cs="Arial"/>
          <w:lang w:val="fr-FR"/>
        </w:rPr>
        <w:t xml:space="preserve">par leur intermédiaire, conformément aux orientations </w:t>
      </w:r>
      <w:r w:rsidR="005860C1" w:rsidRPr="00BD44E7">
        <w:rPr>
          <w:rFonts w:cs="Arial"/>
          <w:lang w:val="fr-FR"/>
        </w:rPr>
        <w:t>énoncées</w:t>
      </w:r>
      <w:r w:rsidRPr="00BD44E7">
        <w:rPr>
          <w:rFonts w:cs="Arial"/>
          <w:lang w:val="fr-FR"/>
        </w:rPr>
        <w:t xml:space="preserve"> à l’Annexe 1 de la présente Résolution, afin d’améliorer la conservation des espèces migratrices </w:t>
      </w:r>
      <w:r w:rsidR="005860C1" w:rsidRPr="00BD44E7">
        <w:rPr>
          <w:rFonts w:cs="Arial"/>
          <w:lang w:val="fr-FR"/>
        </w:rPr>
        <w:t>touchées</w:t>
      </w:r>
      <w:r w:rsidRPr="00BD44E7">
        <w:rPr>
          <w:rFonts w:cs="Arial"/>
          <w:lang w:val="fr-FR"/>
        </w:rPr>
        <w:t xml:space="preserve"> par les prises accessoires et de promouvoir la mise en œuvre coordonnée de mesures </w:t>
      </w:r>
      <w:r w:rsidR="005860C1" w:rsidRPr="00BD44E7">
        <w:rPr>
          <w:rFonts w:cs="Arial"/>
          <w:lang w:val="fr-FR"/>
        </w:rPr>
        <w:t>de réduction</w:t>
      </w:r>
      <w:r w:rsidRPr="00BD44E7">
        <w:rPr>
          <w:rFonts w:cs="Arial"/>
          <w:lang w:val="fr-FR"/>
        </w:rPr>
        <w:t xml:space="preserve"> efficaces ;</w:t>
      </w:r>
    </w:p>
    <w:p w14:paraId="5149D8BE" w14:textId="77777777" w:rsidR="007A5544" w:rsidRPr="00BD44E7" w:rsidRDefault="007A5544" w:rsidP="005E607A">
      <w:pPr>
        <w:ind w:left="567" w:hanging="567"/>
        <w:jc w:val="both"/>
        <w:rPr>
          <w:rFonts w:ascii="Arial" w:hAnsi="Arial" w:cs="Arial"/>
          <w:sz w:val="22"/>
          <w:szCs w:val="22"/>
          <w:lang w:val="fr-FR"/>
        </w:rPr>
      </w:pPr>
    </w:p>
    <w:p w14:paraId="71D19C9E" w14:textId="08AA13D3" w:rsidR="005860C1" w:rsidRPr="00BD44E7" w:rsidRDefault="007A5544" w:rsidP="005E607A">
      <w:pPr>
        <w:pStyle w:val="ListParagraph"/>
        <w:numPr>
          <w:ilvl w:val="0"/>
          <w:numId w:val="5"/>
        </w:numPr>
        <w:suppressAutoHyphens/>
        <w:ind w:left="567" w:hanging="567"/>
        <w:rPr>
          <w:rFonts w:cs="Arial"/>
          <w:lang w:val="fr-FR"/>
        </w:rPr>
      </w:pPr>
      <w:r w:rsidRPr="00BD44E7">
        <w:rPr>
          <w:rFonts w:cs="Arial"/>
          <w:i/>
          <w:lang w:val="fr-FR"/>
        </w:rPr>
        <w:t>Encourage</w:t>
      </w:r>
      <w:r w:rsidRPr="00BD44E7">
        <w:rPr>
          <w:rFonts w:cs="Arial"/>
          <w:lang w:val="fr-FR"/>
        </w:rPr>
        <w:t xml:space="preserve"> les Parties qui sont </w:t>
      </w:r>
      <w:r w:rsidR="005860C1" w:rsidRPr="00BD44E7">
        <w:rPr>
          <w:rFonts w:cs="Arial"/>
          <w:lang w:val="fr-FR"/>
        </w:rPr>
        <w:t>des États</w:t>
      </w:r>
      <w:r w:rsidRPr="00BD44E7">
        <w:rPr>
          <w:rFonts w:cs="Arial"/>
          <w:lang w:val="fr-FR"/>
        </w:rPr>
        <w:t xml:space="preserve"> d</w:t>
      </w:r>
      <w:r w:rsidR="005860C1" w:rsidRPr="00BD44E7">
        <w:rPr>
          <w:rFonts w:cs="Arial"/>
          <w:lang w:val="fr-FR"/>
        </w:rPr>
        <w:t>e</w:t>
      </w:r>
      <w:r w:rsidRPr="00BD44E7">
        <w:rPr>
          <w:rFonts w:cs="Arial"/>
          <w:lang w:val="fr-FR"/>
        </w:rPr>
        <w:t xml:space="preserve"> l'aire de répartition d</w:t>
      </w:r>
      <w:r w:rsidR="005860C1" w:rsidRPr="00BD44E7">
        <w:rPr>
          <w:rFonts w:cs="Arial"/>
          <w:lang w:val="fr-FR"/>
        </w:rPr>
        <w:t>’</w:t>
      </w:r>
      <w:r w:rsidRPr="00BD44E7">
        <w:rPr>
          <w:rFonts w:cs="Arial"/>
          <w:lang w:val="fr-FR"/>
        </w:rPr>
        <w:t xml:space="preserve">espèces inscrites aux Annexes </w:t>
      </w:r>
      <w:r w:rsidR="005860C1" w:rsidRPr="00BD44E7">
        <w:rPr>
          <w:rFonts w:cs="Arial"/>
          <w:lang w:val="fr-FR"/>
        </w:rPr>
        <w:t xml:space="preserve">de la CMS </w:t>
      </w:r>
      <w:r w:rsidRPr="00BD44E7">
        <w:rPr>
          <w:rFonts w:cs="Arial"/>
          <w:lang w:val="fr-FR"/>
        </w:rPr>
        <w:t xml:space="preserve">à coopérer entre elles et avec les États de l’aire de répartition non-Parties par </w:t>
      </w:r>
      <w:r w:rsidR="005860C1" w:rsidRPr="00BD44E7">
        <w:rPr>
          <w:rFonts w:cs="Arial"/>
          <w:lang w:val="fr-FR"/>
        </w:rPr>
        <w:t>le biais d’</w:t>
      </w:r>
      <w:r w:rsidR="000B589E" w:rsidRPr="00BD44E7">
        <w:rPr>
          <w:rFonts w:cs="Arial"/>
          <w:lang w:val="fr-FR"/>
        </w:rPr>
        <w:t xml:space="preserve">un </w:t>
      </w:r>
      <w:r w:rsidRPr="00BD44E7">
        <w:rPr>
          <w:rFonts w:cs="Arial"/>
          <w:lang w:val="fr-FR"/>
        </w:rPr>
        <w:t>échange d’informations</w:t>
      </w:r>
      <w:r w:rsidR="005860C1" w:rsidRPr="00BD44E7">
        <w:rPr>
          <w:rFonts w:cs="Arial"/>
          <w:lang w:val="fr-FR"/>
        </w:rPr>
        <w:t xml:space="preserve"> et de la </w:t>
      </w:r>
      <w:r w:rsidR="00F97C73" w:rsidRPr="00BD44E7">
        <w:rPr>
          <w:rFonts w:cs="Arial"/>
          <w:lang w:val="fr-FR"/>
        </w:rPr>
        <w:t xml:space="preserve">poursuite de la </w:t>
      </w:r>
      <w:r w:rsidR="005860C1" w:rsidRPr="00BD44E7">
        <w:rPr>
          <w:rFonts w:cs="Arial"/>
          <w:lang w:val="fr-FR"/>
        </w:rPr>
        <w:t>mise au point de mesures et/ou de dispositifs pratiques et efficaces visant à réduire les prises accessoires ;</w:t>
      </w:r>
    </w:p>
    <w:p w14:paraId="1914A5E0" w14:textId="77777777" w:rsidR="007A5544" w:rsidRPr="00BD44E7" w:rsidRDefault="007A5544" w:rsidP="005E607A">
      <w:pPr>
        <w:ind w:left="567" w:hanging="567"/>
        <w:jc w:val="both"/>
        <w:rPr>
          <w:rFonts w:ascii="Arial" w:hAnsi="Arial" w:cs="Arial"/>
          <w:sz w:val="22"/>
          <w:szCs w:val="22"/>
          <w:lang w:val="fr-FR"/>
        </w:rPr>
      </w:pPr>
    </w:p>
    <w:p w14:paraId="20577E37" w14:textId="6ED49CFF" w:rsidR="0008138C" w:rsidRPr="00BD44E7" w:rsidRDefault="007A5544" w:rsidP="005E607A">
      <w:pPr>
        <w:pStyle w:val="ListParagraph"/>
        <w:numPr>
          <w:ilvl w:val="0"/>
          <w:numId w:val="5"/>
        </w:numPr>
        <w:suppressAutoHyphens/>
        <w:ind w:left="567" w:hanging="567"/>
        <w:rPr>
          <w:rFonts w:cs="Arial"/>
          <w:lang w:val="fr-FR"/>
        </w:rPr>
      </w:pPr>
      <w:r w:rsidRPr="00BD44E7">
        <w:rPr>
          <w:rFonts w:cs="Arial"/>
          <w:i/>
          <w:lang w:val="fr-FR"/>
        </w:rPr>
        <w:t xml:space="preserve">Invite </w:t>
      </w:r>
      <w:r w:rsidRPr="00BD44E7">
        <w:rPr>
          <w:rFonts w:cs="Arial"/>
          <w:lang w:val="fr-FR"/>
        </w:rPr>
        <w:t>les Parties œuvrant</w:t>
      </w:r>
      <w:r w:rsidR="0008138C" w:rsidRPr="00BD44E7">
        <w:rPr>
          <w:rFonts w:cs="Arial"/>
          <w:lang w:val="fr-FR"/>
        </w:rPr>
        <w:t>, le cas échéant,</w:t>
      </w:r>
      <w:r w:rsidRPr="00BD44E7">
        <w:rPr>
          <w:rFonts w:cs="Arial"/>
          <w:lang w:val="fr-FR"/>
        </w:rPr>
        <w:t xml:space="preserve"> par l’intermédiaire d</w:t>
      </w:r>
      <w:r w:rsidR="00CA7342" w:rsidRPr="00BD44E7">
        <w:rPr>
          <w:rFonts w:cs="Arial"/>
          <w:lang w:val="fr-FR"/>
        </w:rPr>
        <w:t>’</w:t>
      </w:r>
      <w:r w:rsidRPr="00BD44E7">
        <w:rPr>
          <w:rFonts w:cs="Arial"/>
          <w:lang w:val="fr-FR"/>
        </w:rPr>
        <w:t>ORP,</w:t>
      </w:r>
      <w:r w:rsidR="0008138C" w:rsidRPr="00BD44E7">
        <w:rPr>
          <w:rFonts w:cs="Arial"/>
          <w:lang w:val="fr-FR"/>
        </w:rPr>
        <w:t xml:space="preserve"> à soulever au sein de ces instances la question grave et persistante des prises accessoires d'espèces inscrites </w:t>
      </w:r>
      <w:r w:rsidR="00CA7342" w:rsidRPr="00BD44E7">
        <w:rPr>
          <w:rFonts w:cs="Arial"/>
          <w:lang w:val="fr-FR"/>
        </w:rPr>
        <w:t>aux Annexes de</w:t>
      </w:r>
      <w:r w:rsidR="0008138C" w:rsidRPr="00BD44E7">
        <w:rPr>
          <w:rFonts w:cs="Arial"/>
          <w:lang w:val="fr-FR"/>
        </w:rPr>
        <w:t xml:space="preserve"> la CMS, afin de favoriser l'élaboration et l'adoption de mesures appropriées pour y remédier ;</w:t>
      </w:r>
    </w:p>
    <w:p w14:paraId="66289AB0" w14:textId="77777777" w:rsidR="007A5544" w:rsidRPr="00BD44E7" w:rsidRDefault="007A5544" w:rsidP="005E607A">
      <w:pPr>
        <w:ind w:left="567" w:hanging="567"/>
        <w:jc w:val="both"/>
        <w:rPr>
          <w:rFonts w:ascii="Arial" w:hAnsi="Arial" w:cs="Arial"/>
          <w:sz w:val="22"/>
          <w:szCs w:val="22"/>
          <w:lang w:val="fr-FR"/>
        </w:rPr>
      </w:pPr>
    </w:p>
    <w:p w14:paraId="119A7943" w14:textId="474DFFA8" w:rsidR="00CA7342" w:rsidRPr="00BD44E7" w:rsidRDefault="00CA7342" w:rsidP="005E607A">
      <w:pPr>
        <w:pStyle w:val="ListParagraph"/>
        <w:numPr>
          <w:ilvl w:val="0"/>
          <w:numId w:val="5"/>
        </w:numPr>
        <w:suppressAutoHyphens/>
        <w:ind w:left="567" w:hanging="567"/>
        <w:rPr>
          <w:rFonts w:cs="Arial"/>
          <w:lang w:val="fr-FR"/>
        </w:rPr>
      </w:pPr>
      <w:r w:rsidRPr="00BD44E7">
        <w:rPr>
          <w:rFonts w:cs="Arial"/>
          <w:i/>
          <w:iCs/>
          <w:lang w:val="fr-FR"/>
        </w:rPr>
        <w:t xml:space="preserve">Demande </w:t>
      </w:r>
      <w:r w:rsidRPr="00BD44E7">
        <w:rPr>
          <w:rFonts w:cs="Arial"/>
          <w:lang w:val="fr-FR"/>
        </w:rPr>
        <w:t>au Secrétariat, au Conseil scientifique et aux Parties de poursuivre et d'intensifier leurs efforts de collaboration avec d'autres instances internationales compétentes et, le cas échéant, avec les ORP, afin d'éviter les doubles emplois et de renforcer les synergies ;</w:t>
      </w:r>
    </w:p>
    <w:p w14:paraId="64DFD002" w14:textId="77777777" w:rsidR="007A5544" w:rsidRPr="00BD44E7" w:rsidRDefault="007A5544" w:rsidP="005E607A">
      <w:pPr>
        <w:pStyle w:val="ListParagraph"/>
        <w:suppressAutoHyphens/>
        <w:ind w:left="567"/>
        <w:rPr>
          <w:rFonts w:cs="Arial"/>
          <w:lang w:val="fr-FR"/>
        </w:rPr>
      </w:pPr>
    </w:p>
    <w:p w14:paraId="793BD00A" w14:textId="1B6199C4" w:rsidR="007A5544" w:rsidRPr="00BD44E7" w:rsidRDefault="00CA7342" w:rsidP="005E607A">
      <w:pPr>
        <w:pStyle w:val="ListParagraph"/>
        <w:numPr>
          <w:ilvl w:val="0"/>
          <w:numId w:val="5"/>
        </w:numPr>
        <w:suppressAutoHyphens/>
        <w:ind w:left="567" w:hanging="567"/>
        <w:rPr>
          <w:rFonts w:cs="Arial"/>
          <w:lang w:val="fr-FR"/>
        </w:rPr>
      </w:pPr>
      <w:r w:rsidRPr="00BD44E7">
        <w:rPr>
          <w:rFonts w:cs="Arial"/>
          <w:i/>
          <w:iCs/>
          <w:lang w:val="fr-FR"/>
        </w:rPr>
        <w:t>Encourage</w:t>
      </w:r>
      <w:r w:rsidRPr="00BD44E7">
        <w:rPr>
          <w:rFonts w:cs="Arial"/>
          <w:lang w:val="fr-FR"/>
        </w:rPr>
        <w:t xml:space="preserve"> les Parties à recourir au Fonds du Cadre mondial pour la biodiversité (GBFF) du FEM pour offrir un soutien financier et une assistance technique à la mise en œuvre de la présente Résolution ; et</w:t>
      </w:r>
    </w:p>
    <w:p w14:paraId="06A8FE61" w14:textId="77777777" w:rsidR="007A5544" w:rsidRPr="00BD44E7" w:rsidRDefault="007A5544" w:rsidP="005E607A">
      <w:pPr>
        <w:jc w:val="both"/>
        <w:rPr>
          <w:rFonts w:ascii="Arial" w:hAnsi="Arial" w:cs="Arial"/>
          <w:sz w:val="22"/>
          <w:szCs w:val="22"/>
          <w:lang w:val="fr-FR"/>
        </w:rPr>
      </w:pPr>
    </w:p>
    <w:p w14:paraId="1C3394B3" w14:textId="77777777" w:rsidR="007A5544" w:rsidRPr="00BD44E7" w:rsidRDefault="007A5544" w:rsidP="005E607A">
      <w:pPr>
        <w:pStyle w:val="ListParagraph"/>
        <w:numPr>
          <w:ilvl w:val="0"/>
          <w:numId w:val="5"/>
        </w:numPr>
        <w:suppressAutoHyphens/>
        <w:spacing w:after="80"/>
        <w:ind w:left="567" w:hanging="567"/>
        <w:contextualSpacing w:val="0"/>
        <w:rPr>
          <w:rFonts w:cs="Arial"/>
          <w:lang w:val="fr-FR"/>
        </w:rPr>
      </w:pPr>
      <w:r w:rsidRPr="00BD44E7">
        <w:rPr>
          <w:rFonts w:cs="Arial"/>
          <w:i/>
          <w:lang w:val="fr-FR"/>
        </w:rPr>
        <w:t>Abroge :</w:t>
      </w:r>
    </w:p>
    <w:p w14:paraId="01DC591E" w14:textId="41D89860" w:rsidR="007A5544" w:rsidRPr="00BD44E7" w:rsidRDefault="007A5544" w:rsidP="005E607A">
      <w:pPr>
        <w:pStyle w:val="ListParagraph"/>
        <w:numPr>
          <w:ilvl w:val="0"/>
          <w:numId w:val="6"/>
        </w:numPr>
        <w:suppressAutoHyphens/>
        <w:autoSpaceDN w:val="0"/>
        <w:spacing w:after="80"/>
        <w:ind w:left="993" w:hanging="426"/>
        <w:contextualSpacing w:val="0"/>
        <w:rPr>
          <w:rFonts w:cs="Arial"/>
          <w:i/>
          <w:lang w:val="fr-FR"/>
        </w:rPr>
      </w:pPr>
      <w:r w:rsidRPr="00BD44E7">
        <w:rPr>
          <w:rFonts w:cs="Arial"/>
          <w:lang w:val="fr-FR"/>
        </w:rPr>
        <w:t xml:space="preserve">la Résolution 6.2 </w:t>
      </w:r>
      <w:r w:rsidRPr="00BD44E7">
        <w:rPr>
          <w:rFonts w:cs="Arial"/>
          <w:i/>
          <w:lang w:val="fr-FR"/>
        </w:rPr>
        <w:t>Prises accidentelles</w:t>
      </w:r>
      <w:r w:rsidR="00AA75B2" w:rsidRPr="00BD44E7">
        <w:rPr>
          <w:rFonts w:cs="Arial"/>
          <w:i/>
          <w:lang w:val="fr-FR"/>
        </w:rPr>
        <w:t xml:space="preserve"> </w:t>
      </w:r>
      <w:r w:rsidRPr="00BD44E7">
        <w:rPr>
          <w:rFonts w:cs="Arial"/>
          <w:i/>
          <w:lang w:val="fr-FR"/>
        </w:rPr>
        <w:t>;</w:t>
      </w:r>
    </w:p>
    <w:p w14:paraId="7D538F50" w14:textId="5069DA00" w:rsidR="007A5544" w:rsidRPr="00BD44E7" w:rsidRDefault="007A5544" w:rsidP="005E607A">
      <w:pPr>
        <w:pStyle w:val="ListParagraph"/>
        <w:numPr>
          <w:ilvl w:val="0"/>
          <w:numId w:val="6"/>
        </w:numPr>
        <w:suppressAutoHyphens/>
        <w:autoSpaceDN w:val="0"/>
        <w:spacing w:after="80"/>
        <w:ind w:left="993" w:hanging="426"/>
        <w:contextualSpacing w:val="0"/>
        <w:rPr>
          <w:rFonts w:cs="Arial"/>
          <w:i/>
          <w:lang w:val="fr-FR"/>
        </w:rPr>
      </w:pPr>
      <w:r w:rsidRPr="00BD44E7">
        <w:rPr>
          <w:rFonts w:cs="Arial"/>
          <w:lang w:val="fr-FR"/>
        </w:rPr>
        <w:t xml:space="preserve">la Recommandation 7.2 </w:t>
      </w:r>
      <w:r w:rsidRPr="00BD44E7">
        <w:rPr>
          <w:rFonts w:cs="Arial"/>
          <w:i/>
          <w:lang w:val="fr-FR"/>
        </w:rPr>
        <w:t>Application de la Résolution 6.2 sur les prises accidentelles</w:t>
      </w:r>
      <w:r w:rsidR="00AA75B2" w:rsidRPr="00BD44E7">
        <w:rPr>
          <w:rFonts w:cs="Arial"/>
          <w:i/>
          <w:lang w:val="fr-FR"/>
        </w:rPr>
        <w:t> </w:t>
      </w:r>
      <w:r w:rsidRPr="00BD44E7">
        <w:rPr>
          <w:rFonts w:cs="Arial"/>
          <w:i/>
          <w:lang w:val="fr-FR"/>
        </w:rPr>
        <w:t xml:space="preserve">; </w:t>
      </w:r>
    </w:p>
    <w:p w14:paraId="09ADF1D8" w14:textId="24E35FA2" w:rsidR="007A5544" w:rsidRPr="00BD44E7" w:rsidRDefault="007A5544" w:rsidP="005E607A">
      <w:pPr>
        <w:pStyle w:val="ListParagraph"/>
        <w:numPr>
          <w:ilvl w:val="0"/>
          <w:numId w:val="6"/>
        </w:numPr>
        <w:suppressAutoHyphens/>
        <w:autoSpaceDN w:val="0"/>
        <w:spacing w:after="80"/>
        <w:ind w:left="993" w:hanging="426"/>
        <w:contextualSpacing w:val="0"/>
        <w:rPr>
          <w:rFonts w:cs="Arial"/>
          <w:i/>
          <w:lang w:val="fr-FR"/>
        </w:rPr>
      </w:pPr>
      <w:r w:rsidRPr="00BD44E7">
        <w:rPr>
          <w:rFonts w:cs="Arial"/>
          <w:lang w:val="fr-FR"/>
        </w:rPr>
        <w:t xml:space="preserve">la Résolution 8.14 </w:t>
      </w:r>
      <w:r w:rsidRPr="00BD44E7">
        <w:rPr>
          <w:rFonts w:cs="Arial"/>
          <w:i/>
          <w:lang w:val="fr-FR"/>
        </w:rPr>
        <w:t xml:space="preserve">Prises </w:t>
      </w:r>
      <w:r w:rsidR="00AA75B2" w:rsidRPr="00BD44E7">
        <w:rPr>
          <w:rFonts w:cs="Arial"/>
          <w:i/>
          <w:lang w:val="fr-FR"/>
        </w:rPr>
        <w:t xml:space="preserve">accidentelles </w:t>
      </w:r>
      <w:r w:rsidRPr="00BD44E7">
        <w:rPr>
          <w:rFonts w:cs="Arial"/>
          <w:i/>
          <w:lang w:val="fr-FR"/>
        </w:rPr>
        <w:t>;</w:t>
      </w:r>
    </w:p>
    <w:p w14:paraId="7123A6BC" w14:textId="07DD1F2D" w:rsidR="007A5544" w:rsidRPr="00BD44E7" w:rsidRDefault="007A5544" w:rsidP="005E607A">
      <w:pPr>
        <w:pStyle w:val="ListParagraph"/>
        <w:numPr>
          <w:ilvl w:val="0"/>
          <w:numId w:val="6"/>
        </w:numPr>
        <w:suppressAutoHyphens/>
        <w:autoSpaceDN w:val="0"/>
        <w:spacing w:after="80"/>
        <w:ind w:left="993" w:hanging="426"/>
        <w:contextualSpacing w:val="0"/>
        <w:rPr>
          <w:rFonts w:cs="Arial"/>
          <w:lang w:val="fr-FR"/>
        </w:rPr>
      </w:pPr>
      <w:r w:rsidRPr="00BD44E7">
        <w:rPr>
          <w:rFonts w:cs="Arial"/>
          <w:lang w:val="fr-FR"/>
        </w:rPr>
        <w:t xml:space="preserve">la Résolution 9.18 </w:t>
      </w:r>
      <w:r w:rsidRPr="00BD44E7">
        <w:rPr>
          <w:rFonts w:cs="Arial"/>
          <w:i/>
          <w:lang w:val="fr-FR"/>
        </w:rPr>
        <w:t>Prises accidentelles</w:t>
      </w:r>
      <w:r w:rsidR="00AA75B2" w:rsidRPr="00BD44E7">
        <w:rPr>
          <w:rFonts w:cs="Arial"/>
          <w:i/>
          <w:lang w:val="fr-FR"/>
        </w:rPr>
        <w:t> </w:t>
      </w:r>
      <w:r w:rsidRPr="00BD44E7">
        <w:rPr>
          <w:rFonts w:cs="Arial"/>
          <w:i/>
          <w:lang w:val="fr-FR"/>
        </w:rPr>
        <w:t>;</w:t>
      </w:r>
      <w:r w:rsidRPr="00BD44E7">
        <w:rPr>
          <w:rFonts w:cs="Arial"/>
          <w:lang w:val="fr-FR"/>
        </w:rPr>
        <w:t xml:space="preserve"> et</w:t>
      </w:r>
    </w:p>
    <w:p w14:paraId="7FC06E22" w14:textId="77777777" w:rsidR="007A5544" w:rsidRPr="00BD44E7" w:rsidRDefault="007A5544" w:rsidP="005E607A">
      <w:pPr>
        <w:pStyle w:val="ListParagraph"/>
        <w:numPr>
          <w:ilvl w:val="0"/>
          <w:numId w:val="6"/>
        </w:numPr>
        <w:suppressAutoHyphens/>
        <w:autoSpaceDN w:val="0"/>
        <w:spacing w:before="40" w:after="40"/>
        <w:ind w:left="993" w:hanging="426"/>
        <w:contextualSpacing w:val="0"/>
        <w:rPr>
          <w:rFonts w:cs="Arial"/>
          <w:lang w:val="fr-FR"/>
        </w:rPr>
      </w:pPr>
      <w:r w:rsidRPr="00BD44E7">
        <w:rPr>
          <w:rFonts w:cs="Arial"/>
          <w:lang w:val="fr-FR"/>
        </w:rPr>
        <w:t xml:space="preserve">la Résolution 10.14 </w:t>
      </w:r>
      <w:r w:rsidRPr="00BD44E7">
        <w:rPr>
          <w:rFonts w:cs="Arial"/>
          <w:i/>
          <w:lang w:val="fr-FR"/>
        </w:rPr>
        <w:t>Prises accidentelles d’espèces inscrites aux annexes de la CMS dans la pêche aux filets maillants.</w:t>
      </w:r>
    </w:p>
    <w:p w14:paraId="13E2EBA5" w14:textId="39F18A1B" w:rsidR="00AA75B2" w:rsidRPr="00BD44E7" w:rsidRDefault="00AA75B2" w:rsidP="005E607A">
      <w:pPr>
        <w:widowControl/>
        <w:autoSpaceDE/>
        <w:spacing w:after="160"/>
        <w:rPr>
          <w:rFonts w:ascii="Arial" w:hAnsi="Arial" w:cs="Arial"/>
          <w:b/>
          <w:color w:val="000000" w:themeColor="text1"/>
          <w:sz w:val="22"/>
          <w:szCs w:val="22"/>
          <w:lang w:val="fr-FR"/>
        </w:rPr>
      </w:pPr>
      <w:r w:rsidRPr="00BD44E7">
        <w:rPr>
          <w:rFonts w:ascii="Arial" w:hAnsi="Arial" w:cs="Arial"/>
          <w:b/>
          <w:color w:val="000000" w:themeColor="text1"/>
          <w:sz w:val="22"/>
          <w:szCs w:val="22"/>
          <w:lang w:val="fr-FR"/>
        </w:rPr>
        <w:br w:type="page"/>
      </w:r>
    </w:p>
    <w:p w14:paraId="144E07AA" w14:textId="1A35E4CF" w:rsidR="007A5544" w:rsidRPr="00BD44E7" w:rsidRDefault="007A5544" w:rsidP="005E607A">
      <w:pPr>
        <w:adjustRightInd w:val="0"/>
        <w:jc w:val="right"/>
        <w:rPr>
          <w:rFonts w:ascii="Arial" w:hAnsi="Arial" w:cs="Arial"/>
          <w:b/>
          <w:bCs/>
          <w:color w:val="000000" w:themeColor="text1"/>
          <w:sz w:val="22"/>
          <w:szCs w:val="22"/>
          <w:lang w:val="fr-FR"/>
        </w:rPr>
      </w:pPr>
      <w:r w:rsidRPr="00BD44E7">
        <w:rPr>
          <w:rFonts w:ascii="Arial" w:hAnsi="Arial" w:cs="Arial"/>
          <w:b/>
          <w:color w:val="000000" w:themeColor="text1"/>
          <w:sz w:val="22"/>
          <w:szCs w:val="22"/>
          <w:lang w:val="fr-FR"/>
        </w:rPr>
        <w:lastRenderedPageBreak/>
        <w:t>A</w:t>
      </w:r>
      <w:r w:rsidR="003F663E">
        <w:rPr>
          <w:rFonts w:ascii="Arial" w:hAnsi="Arial" w:cs="Arial"/>
          <w:b/>
          <w:color w:val="000000" w:themeColor="text1"/>
          <w:sz w:val="22"/>
          <w:szCs w:val="22"/>
          <w:lang w:val="fr-FR"/>
        </w:rPr>
        <w:t>nnexe</w:t>
      </w:r>
      <w:r w:rsidRPr="00BD44E7">
        <w:rPr>
          <w:rFonts w:ascii="Arial" w:hAnsi="Arial" w:cs="Arial"/>
          <w:b/>
          <w:color w:val="000000" w:themeColor="text1"/>
          <w:sz w:val="22"/>
          <w:szCs w:val="22"/>
          <w:lang w:val="fr-FR"/>
        </w:rPr>
        <w:t xml:space="preserve"> 1 de la Résolution</w:t>
      </w:r>
    </w:p>
    <w:p w14:paraId="1088BB3C" w14:textId="77777777" w:rsidR="007A5544" w:rsidRPr="00BD44E7" w:rsidRDefault="007A5544" w:rsidP="005E607A">
      <w:pPr>
        <w:adjustRightInd w:val="0"/>
        <w:rPr>
          <w:rFonts w:ascii="Arial" w:hAnsi="Arial" w:cs="Arial"/>
          <w:b/>
          <w:bCs/>
          <w:color w:val="000000" w:themeColor="text1"/>
          <w:sz w:val="22"/>
          <w:szCs w:val="22"/>
          <w:lang w:val="fr-FR"/>
        </w:rPr>
      </w:pPr>
    </w:p>
    <w:p w14:paraId="6883A24B" w14:textId="77777777" w:rsidR="007A5544" w:rsidRPr="00BD44E7" w:rsidRDefault="007A5544" w:rsidP="005E607A">
      <w:pPr>
        <w:adjustRightInd w:val="0"/>
        <w:jc w:val="center"/>
        <w:rPr>
          <w:rFonts w:ascii="Arial" w:hAnsi="Arial" w:cs="Arial"/>
          <w:b/>
          <w:bCs/>
          <w:color w:val="000000" w:themeColor="text1"/>
          <w:sz w:val="22"/>
          <w:szCs w:val="22"/>
          <w:lang w:val="fr-FR"/>
        </w:rPr>
      </w:pPr>
      <w:r w:rsidRPr="00BD44E7">
        <w:rPr>
          <w:rFonts w:ascii="Arial" w:hAnsi="Arial" w:cs="Arial"/>
          <w:b/>
          <w:bCs/>
          <w:color w:val="000000" w:themeColor="text1"/>
          <w:sz w:val="22"/>
          <w:szCs w:val="22"/>
          <w:lang w:val="fr-FR"/>
        </w:rPr>
        <w:t>ORIENTATIONS SUR L’ATTÉNUATION ET LA GESTION DES PRISES ACCESSOIRES DANS LES PÊCHERIES</w:t>
      </w:r>
    </w:p>
    <w:p w14:paraId="1CF60B9D" w14:textId="77777777" w:rsidR="007A5544" w:rsidRPr="00BD44E7" w:rsidRDefault="007A5544" w:rsidP="005E607A">
      <w:pPr>
        <w:rPr>
          <w:rFonts w:ascii="Arial" w:eastAsia="MS Mincho" w:hAnsi="Arial" w:cs="Arial"/>
          <w:strike/>
          <w:color w:val="000000"/>
          <w:sz w:val="22"/>
          <w:szCs w:val="22"/>
          <w:lang w:val="fr-FR"/>
        </w:rPr>
      </w:pPr>
    </w:p>
    <w:p w14:paraId="26283CE2" w14:textId="77777777" w:rsidR="007A5544" w:rsidRPr="00BD44E7" w:rsidRDefault="007A5544" w:rsidP="005E607A">
      <w:pPr>
        <w:rPr>
          <w:rFonts w:ascii="Arial" w:eastAsia="MS Mincho" w:hAnsi="Arial" w:cs="Arial"/>
          <w:b/>
          <w:bCs/>
          <w:color w:val="000000"/>
          <w:sz w:val="22"/>
          <w:szCs w:val="22"/>
          <w:u w:val="single"/>
          <w:lang w:val="fr-FR"/>
        </w:rPr>
      </w:pPr>
      <w:r w:rsidRPr="00BD44E7">
        <w:rPr>
          <w:rFonts w:ascii="Arial" w:eastAsia="MS Mincho" w:hAnsi="Arial" w:cs="Arial"/>
          <w:b/>
          <w:bCs/>
          <w:color w:val="000000"/>
          <w:sz w:val="22"/>
          <w:szCs w:val="22"/>
          <w:u w:val="single"/>
          <w:lang w:val="fr-FR"/>
        </w:rPr>
        <w:t>Généralités</w:t>
      </w:r>
    </w:p>
    <w:p w14:paraId="70B48270" w14:textId="77777777" w:rsidR="007A5544" w:rsidRPr="00BD44E7" w:rsidRDefault="007A5544" w:rsidP="005E607A">
      <w:pPr>
        <w:rPr>
          <w:rFonts w:ascii="Arial" w:eastAsia="MS Mincho" w:hAnsi="Arial" w:cs="Arial"/>
          <w:b/>
          <w:bCs/>
          <w:color w:val="000000"/>
          <w:sz w:val="22"/>
          <w:szCs w:val="22"/>
          <w:u w:val="single"/>
          <w:lang w:val="fr-FR"/>
        </w:rPr>
      </w:pPr>
    </w:p>
    <w:p w14:paraId="57FD08CF" w14:textId="77777777" w:rsidR="007A5544" w:rsidRPr="00BD44E7" w:rsidRDefault="007A5544" w:rsidP="005E607A">
      <w:pPr>
        <w:jc w:val="both"/>
        <w:rPr>
          <w:rFonts w:ascii="Arial" w:hAnsi="Arial" w:cs="Arial"/>
          <w:sz w:val="22"/>
          <w:szCs w:val="22"/>
          <w:lang w:val="fr-FR"/>
        </w:rPr>
      </w:pPr>
      <w:r w:rsidRPr="00BD44E7">
        <w:rPr>
          <w:rFonts w:ascii="Arial" w:eastAsia="MS Mincho" w:hAnsi="Arial" w:cs="Arial"/>
          <w:color w:val="000000" w:themeColor="text1"/>
          <w:sz w:val="22"/>
          <w:szCs w:val="22"/>
          <w:lang w:val="fr-FR"/>
        </w:rPr>
        <w:t>CIEM (2020). Feuille de route du CIEM pour les conseils sur les prises accessoires concernant les espèces protégées, en danger et menacées (2020). Lignes directrices techniques du CIEM. Rapport.</w:t>
      </w:r>
      <w:r w:rsidRPr="00BD44E7">
        <w:rPr>
          <w:rFonts w:ascii="Arial" w:eastAsia="MS Mincho" w:hAnsi="Arial" w:cs="Arial"/>
          <w:color w:val="000000" w:themeColor="text1"/>
          <w:sz w:val="22"/>
          <w:szCs w:val="22"/>
          <w:u w:val="single"/>
          <w:lang w:val="fr-FR"/>
        </w:rPr>
        <w:t xml:space="preserve"> </w:t>
      </w:r>
      <w:hyperlink r:id="rId10" w:history="1">
        <w:r w:rsidRPr="00BD44E7">
          <w:rPr>
            <w:rStyle w:val="Hyperlink"/>
            <w:rFonts w:ascii="Arial" w:eastAsia="MS Mincho" w:hAnsi="Arial" w:cs="Arial"/>
            <w:sz w:val="22"/>
            <w:szCs w:val="22"/>
            <w:lang w:val="fr-FR"/>
          </w:rPr>
          <w:t>https://doi.org/10.17895/ices.advice.6022</w:t>
        </w:r>
      </w:hyperlink>
    </w:p>
    <w:p w14:paraId="2147CC6F" w14:textId="77777777" w:rsidR="007A5544" w:rsidRPr="00BD44E7" w:rsidRDefault="007A5544" w:rsidP="005E607A">
      <w:pPr>
        <w:jc w:val="both"/>
        <w:rPr>
          <w:rFonts w:ascii="Arial" w:eastAsia="MS Mincho" w:hAnsi="Arial" w:cs="Arial"/>
          <w:color w:val="000000" w:themeColor="text1"/>
          <w:sz w:val="22"/>
          <w:szCs w:val="22"/>
          <w:u w:val="single"/>
          <w:lang w:val="fr-FR"/>
        </w:rPr>
      </w:pPr>
    </w:p>
    <w:p w14:paraId="5A7A92FE" w14:textId="77777777" w:rsidR="007A5544" w:rsidRPr="00013AAB" w:rsidRDefault="007A5544" w:rsidP="005E607A">
      <w:pPr>
        <w:jc w:val="both"/>
        <w:rPr>
          <w:rFonts w:ascii="Arial" w:eastAsia="Arial" w:hAnsi="Arial" w:cs="Arial"/>
          <w:sz w:val="22"/>
          <w:szCs w:val="22"/>
        </w:rPr>
      </w:pPr>
      <w:r w:rsidRPr="00BD44E7">
        <w:rPr>
          <w:rFonts w:ascii="Arial" w:eastAsia="MS Mincho" w:hAnsi="Arial" w:cs="Arial"/>
          <w:color w:val="000000" w:themeColor="text1"/>
          <w:sz w:val="22"/>
          <w:szCs w:val="22"/>
          <w:lang w:val="fr-FR"/>
        </w:rPr>
        <w:t>FAO (2011). Directives internationales sur la gestion des prises accessoires et la réduction des rejets en mer.</w:t>
      </w:r>
      <w:r w:rsidRPr="00BD44E7">
        <w:rPr>
          <w:rFonts w:ascii="Arial" w:eastAsia="MS Mincho" w:hAnsi="Arial" w:cs="Arial"/>
          <w:color w:val="000000" w:themeColor="text1"/>
          <w:sz w:val="22"/>
          <w:szCs w:val="22"/>
          <w:u w:val="single"/>
          <w:lang w:val="fr-FR"/>
        </w:rPr>
        <w:t xml:space="preserve"> </w:t>
      </w:r>
      <w:hyperlink r:id="rId11" w:history="1">
        <w:r w:rsidRPr="00013AAB">
          <w:rPr>
            <w:rStyle w:val="Hyperlink"/>
            <w:rFonts w:ascii="Arial" w:eastAsia="Arial" w:hAnsi="Arial" w:cs="Arial"/>
            <w:sz w:val="22"/>
            <w:szCs w:val="22"/>
          </w:rPr>
          <w:t>https://openknowledge.fao.org/server/api/core/bitstreams/d47172a3-731b-49b7-9c59-bbda0b328ee7/content</w:t>
        </w:r>
      </w:hyperlink>
      <w:r w:rsidRPr="00013AAB">
        <w:rPr>
          <w:rFonts w:ascii="Arial" w:eastAsia="Arial" w:hAnsi="Arial" w:cs="Arial"/>
          <w:sz w:val="22"/>
          <w:szCs w:val="22"/>
        </w:rPr>
        <w:t xml:space="preserve"> </w:t>
      </w:r>
    </w:p>
    <w:p w14:paraId="2B65FDDB" w14:textId="77777777" w:rsidR="007A5544" w:rsidRPr="00013AAB" w:rsidRDefault="007A5544" w:rsidP="005E607A">
      <w:pPr>
        <w:jc w:val="both"/>
        <w:rPr>
          <w:rFonts w:ascii="Arial" w:eastAsia="MS Mincho" w:hAnsi="Arial" w:cs="Arial"/>
          <w:color w:val="000000" w:themeColor="text1"/>
          <w:sz w:val="22"/>
          <w:szCs w:val="22"/>
          <w:u w:val="single"/>
        </w:rPr>
      </w:pPr>
    </w:p>
    <w:p w14:paraId="02C87D66" w14:textId="2BC1B01F" w:rsidR="007A5544" w:rsidRPr="00013AAB" w:rsidRDefault="007A5544" w:rsidP="005E607A">
      <w:pPr>
        <w:jc w:val="both"/>
        <w:rPr>
          <w:rFonts w:ascii="Arial" w:eastAsia="MS Mincho" w:hAnsi="Arial" w:cs="Arial"/>
          <w:color w:val="000000"/>
          <w:sz w:val="22"/>
          <w:szCs w:val="22"/>
        </w:rPr>
      </w:pPr>
      <w:r w:rsidRPr="00BD44E7">
        <w:rPr>
          <w:rFonts w:ascii="Arial" w:eastAsia="MS Mincho" w:hAnsi="Arial" w:cs="Arial"/>
          <w:color w:val="000000"/>
          <w:sz w:val="22"/>
          <w:szCs w:val="22"/>
          <w:lang w:val="fr-FR"/>
        </w:rPr>
        <w:t>Clarke, Sato, Small, Sullivan, Inoue &amp; Ochi (2014). Prises accessoires dans les pêcheries à la palangre pour le thon et les espèces apparentées au thon : une analyse mondiale de la situation et des mesures d’atténuation. FAO Document technique sur les pêches et l’aquaculture nº</w:t>
      </w:r>
      <w:r w:rsidR="008433E6">
        <w:rPr>
          <w:rFonts w:ascii="Arial" w:eastAsia="MS Mincho" w:hAnsi="Arial" w:cs="Arial"/>
          <w:color w:val="000000"/>
          <w:sz w:val="22"/>
          <w:szCs w:val="22"/>
          <w:lang w:val="fr-FR"/>
        </w:rPr>
        <w:t> </w:t>
      </w:r>
      <w:r w:rsidRPr="00BD44E7">
        <w:rPr>
          <w:rFonts w:ascii="Arial" w:eastAsia="MS Mincho" w:hAnsi="Arial" w:cs="Arial"/>
          <w:color w:val="000000"/>
          <w:sz w:val="22"/>
          <w:szCs w:val="22"/>
          <w:lang w:val="fr-FR"/>
        </w:rPr>
        <w:t xml:space="preserve">588. Rome, FAO. </w:t>
      </w:r>
      <w:hyperlink r:id="rId12" w:history="1">
        <w:r w:rsidRPr="00013AAB">
          <w:rPr>
            <w:rStyle w:val="Hyperlink"/>
            <w:rFonts w:ascii="Arial" w:eastAsia="MS Mincho" w:hAnsi="Arial" w:cs="Arial"/>
            <w:sz w:val="22"/>
            <w:szCs w:val="22"/>
          </w:rPr>
          <w:t>https://www.fao.org/responsible-fishing/resources/detail/fr/c/1315947/</w:t>
        </w:r>
      </w:hyperlink>
      <w:r w:rsidRPr="00013AAB">
        <w:rPr>
          <w:rFonts w:ascii="Arial" w:eastAsia="MS Mincho" w:hAnsi="Arial" w:cs="Arial"/>
          <w:color w:val="000000"/>
          <w:sz w:val="22"/>
          <w:szCs w:val="22"/>
        </w:rPr>
        <w:t xml:space="preserve"> </w:t>
      </w:r>
    </w:p>
    <w:p w14:paraId="607F666E" w14:textId="77777777" w:rsidR="007A5544" w:rsidRPr="00013AAB" w:rsidRDefault="007A5544" w:rsidP="005E607A">
      <w:pPr>
        <w:jc w:val="both"/>
        <w:rPr>
          <w:rFonts w:ascii="Arial" w:eastAsia="MS Mincho" w:hAnsi="Arial" w:cs="Arial"/>
          <w:color w:val="000000"/>
          <w:sz w:val="22"/>
          <w:szCs w:val="22"/>
        </w:rPr>
      </w:pPr>
    </w:p>
    <w:p w14:paraId="12896288" w14:textId="77777777" w:rsidR="007A5544" w:rsidRPr="00013AAB" w:rsidRDefault="007A5544" w:rsidP="005E607A">
      <w:pPr>
        <w:jc w:val="both"/>
        <w:rPr>
          <w:rFonts w:ascii="Arial" w:eastAsia="MS Mincho" w:hAnsi="Arial" w:cs="Arial"/>
          <w:color w:val="000000"/>
          <w:sz w:val="22"/>
          <w:szCs w:val="22"/>
          <w:lang w:val="en-GB"/>
        </w:rPr>
      </w:pPr>
      <w:r w:rsidRPr="00BD44E7">
        <w:rPr>
          <w:rFonts w:ascii="Arial" w:eastAsia="MS Mincho" w:hAnsi="Arial" w:cs="Arial"/>
          <w:color w:val="000000"/>
          <w:sz w:val="22"/>
          <w:szCs w:val="22"/>
          <w:lang w:val="fr-FR"/>
        </w:rPr>
        <w:t xml:space="preserve">Eayrs &amp; Fuentevilla (2021). </w:t>
      </w:r>
      <w:r w:rsidRPr="008433E6">
        <w:rPr>
          <w:rFonts w:ascii="Arial" w:eastAsia="MS Mincho" w:hAnsi="Arial" w:cs="Arial"/>
          <w:iCs/>
          <w:color w:val="000000"/>
          <w:sz w:val="22"/>
          <w:szCs w:val="22"/>
          <w:lang w:val="fr-FR"/>
        </w:rPr>
        <w:t>Progrès et meilleures pratiques en matière de réduction des prises accessoires dans les pêcheries tropicales de crevettes au chalut</w:t>
      </w:r>
      <w:r w:rsidRPr="00BD44E7">
        <w:rPr>
          <w:rFonts w:ascii="Arial" w:eastAsia="MS Mincho" w:hAnsi="Arial" w:cs="Arial"/>
          <w:color w:val="000000"/>
          <w:sz w:val="22"/>
          <w:szCs w:val="22"/>
          <w:lang w:val="fr-FR"/>
        </w:rPr>
        <w:t xml:space="preserve">. FAO Document technique sur les pêches et l’aquaculture nº 678. Rome, FAO. </w:t>
      </w:r>
      <w:hyperlink r:id="rId13" w:history="1">
        <w:r w:rsidRPr="00013AAB">
          <w:rPr>
            <w:rStyle w:val="Hyperlink"/>
            <w:rFonts w:ascii="Arial" w:eastAsia="MS Mincho" w:hAnsi="Arial" w:cs="Arial"/>
            <w:sz w:val="22"/>
            <w:szCs w:val="22"/>
            <w:lang w:val="en-GB"/>
          </w:rPr>
          <w:t>https://doi.org/10.4060/cb6635en</w:t>
        </w:r>
      </w:hyperlink>
      <w:r w:rsidRPr="00013AAB">
        <w:rPr>
          <w:rFonts w:ascii="Arial" w:eastAsia="MS Mincho" w:hAnsi="Arial" w:cs="Arial"/>
          <w:color w:val="000000"/>
          <w:sz w:val="22"/>
          <w:szCs w:val="22"/>
          <w:lang w:val="en-GB"/>
        </w:rPr>
        <w:t xml:space="preserve"> </w:t>
      </w:r>
    </w:p>
    <w:p w14:paraId="3B95BA59" w14:textId="77777777" w:rsidR="007A5544" w:rsidRPr="00013AAB" w:rsidRDefault="007A5544" w:rsidP="005E607A">
      <w:pPr>
        <w:jc w:val="both"/>
        <w:rPr>
          <w:rFonts w:ascii="Arial" w:eastAsia="MS Mincho" w:hAnsi="Arial" w:cs="Arial"/>
          <w:color w:val="000000"/>
          <w:sz w:val="22"/>
          <w:szCs w:val="22"/>
          <w:lang w:val="en-GB"/>
        </w:rPr>
      </w:pPr>
    </w:p>
    <w:p w14:paraId="7A1AB1FC" w14:textId="77777777" w:rsidR="007A5544" w:rsidRPr="00013AAB" w:rsidRDefault="007A5544" w:rsidP="005E607A">
      <w:pPr>
        <w:jc w:val="both"/>
        <w:rPr>
          <w:rFonts w:ascii="Arial" w:eastAsia="MS Mincho" w:hAnsi="Arial" w:cs="Arial"/>
          <w:color w:val="000000"/>
          <w:sz w:val="22"/>
          <w:szCs w:val="22"/>
        </w:rPr>
      </w:pPr>
      <w:r w:rsidRPr="00013AAB">
        <w:rPr>
          <w:rFonts w:ascii="Arial" w:eastAsia="MS Mincho" w:hAnsi="Arial" w:cs="Arial"/>
          <w:color w:val="000000"/>
          <w:sz w:val="22"/>
          <w:szCs w:val="22"/>
          <w:lang w:val="en-GB"/>
        </w:rPr>
        <w:t xml:space="preserve">ISSF (2019). Non-Entangling &amp; Biodegradable FADs Guide. </w:t>
      </w:r>
      <w:r w:rsidRPr="00BD44E7">
        <w:rPr>
          <w:rFonts w:ascii="Arial" w:eastAsia="MS Mincho" w:hAnsi="Arial" w:cs="Arial"/>
          <w:color w:val="000000"/>
          <w:sz w:val="22"/>
          <w:szCs w:val="22"/>
          <w:lang w:val="fr-FR"/>
        </w:rPr>
        <w:t xml:space="preserve">Meilleures pratiques pour les pêcheurs, les ORGP, les pouvoirs publics et les armateurs. </w:t>
      </w:r>
      <w:hyperlink r:id="rId14" w:history="1">
        <w:r w:rsidRPr="00013AAB">
          <w:rPr>
            <w:rStyle w:val="Hyperlink"/>
            <w:rFonts w:ascii="Arial" w:eastAsia="MS Mincho" w:hAnsi="Arial" w:cs="Arial"/>
            <w:sz w:val="22"/>
            <w:szCs w:val="22"/>
          </w:rPr>
          <w:t>https://www.iss-foundation.org/about-issf/what-we-publish/issf-documents/non-entangling-and-biodegradable-fads-guide-english/</w:t>
        </w:r>
      </w:hyperlink>
    </w:p>
    <w:p w14:paraId="6D2AFF97" w14:textId="77777777" w:rsidR="007A5544" w:rsidRPr="00013AAB" w:rsidRDefault="007A5544" w:rsidP="005E607A">
      <w:pPr>
        <w:jc w:val="both"/>
        <w:rPr>
          <w:rFonts w:ascii="Arial" w:eastAsia="MS Mincho" w:hAnsi="Arial" w:cs="Arial"/>
          <w:b/>
          <w:color w:val="000000"/>
          <w:sz w:val="22"/>
          <w:szCs w:val="22"/>
          <w:u w:val="single"/>
        </w:rPr>
      </w:pPr>
    </w:p>
    <w:p w14:paraId="259C2530" w14:textId="77777777" w:rsidR="007A5544" w:rsidRPr="00BD44E7" w:rsidRDefault="007A5544" w:rsidP="005E607A">
      <w:pPr>
        <w:jc w:val="both"/>
        <w:rPr>
          <w:rFonts w:ascii="Arial" w:eastAsia="MS Mincho" w:hAnsi="Arial" w:cs="Arial"/>
          <w:b/>
          <w:color w:val="000000" w:themeColor="text1"/>
          <w:sz w:val="22"/>
          <w:szCs w:val="22"/>
          <w:u w:val="single"/>
          <w:lang w:val="fr-FR"/>
        </w:rPr>
      </w:pPr>
      <w:r w:rsidRPr="00BD44E7">
        <w:rPr>
          <w:rFonts w:ascii="Arial" w:eastAsia="MS Mincho" w:hAnsi="Arial" w:cs="Arial"/>
          <w:b/>
          <w:color w:val="000000" w:themeColor="text1"/>
          <w:sz w:val="22"/>
          <w:szCs w:val="22"/>
          <w:u w:val="single"/>
          <w:lang w:val="fr-FR"/>
        </w:rPr>
        <w:t>Mammifères marins</w:t>
      </w:r>
    </w:p>
    <w:p w14:paraId="724B7A7A" w14:textId="77777777" w:rsidR="007A5544" w:rsidRPr="00BD44E7" w:rsidRDefault="007A5544" w:rsidP="005E607A">
      <w:pPr>
        <w:jc w:val="both"/>
        <w:rPr>
          <w:rFonts w:ascii="Arial" w:eastAsia="MS Mincho" w:hAnsi="Arial" w:cs="Arial"/>
          <w:b/>
          <w:color w:val="000000" w:themeColor="text1"/>
          <w:sz w:val="22"/>
          <w:szCs w:val="22"/>
          <w:u w:val="single"/>
          <w:lang w:val="fr-FR"/>
        </w:rPr>
      </w:pPr>
    </w:p>
    <w:p w14:paraId="54A68491" w14:textId="77777777" w:rsidR="007A5544" w:rsidRPr="00013AAB" w:rsidRDefault="007A5544" w:rsidP="005E607A">
      <w:pPr>
        <w:jc w:val="both"/>
        <w:rPr>
          <w:rFonts w:ascii="Arial" w:hAnsi="Arial" w:cs="Arial"/>
          <w:sz w:val="22"/>
          <w:szCs w:val="22"/>
          <w:lang w:val="en-GB"/>
        </w:rPr>
      </w:pPr>
      <w:r w:rsidRPr="00BD44E7">
        <w:rPr>
          <w:rFonts w:ascii="Arial" w:eastAsia="MS Mincho" w:hAnsi="Arial" w:cs="Arial"/>
          <w:color w:val="000000" w:themeColor="text1"/>
          <w:sz w:val="22"/>
          <w:szCs w:val="22"/>
          <w:lang w:val="fr-FR"/>
        </w:rPr>
        <w:t xml:space="preserve">Hamilton et Baker, 2019. </w:t>
      </w:r>
      <w:r w:rsidRPr="008433E6">
        <w:rPr>
          <w:rFonts w:ascii="Arial" w:eastAsia="MS Mincho" w:hAnsi="Arial" w:cs="Arial"/>
          <w:iCs/>
          <w:color w:val="000000" w:themeColor="text1"/>
          <w:sz w:val="22"/>
          <w:szCs w:val="22"/>
          <w:lang w:val="fr-FR"/>
        </w:rPr>
        <w:t>Mesures techniques d’atténuation visant à réduire les prises accessoires et les enchevêtrements des mammifères marins dans les engins de pêche commerciale : enseignements tirés et perspectives.</w:t>
      </w:r>
      <w:r w:rsidRPr="00BD44E7">
        <w:rPr>
          <w:rFonts w:ascii="Arial" w:eastAsia="MS Mincho" w:hAnsi="Arial" w:cs="Arial"/>
          <w:color w:val="000000" w:themeColor="text1"/>
          <w:sz w:val="22"/>
          <w:szCs w:val="22"/>
          <w:lang w:val="fr-FR"/>
        </w:rPr>
        <w:t xml:space="preserve"> </w:t>
      </w:r>
      <w:r w:rsidRPr="00013AAB">
        <w:rPr>
          <w:rFonts w:ascii="Arial" w:eastAsia="MS Mincho" w:hAnsi="Arial" w:cs="Arial"/>
          <w:color w:val="000000" w:themeColor="text1"/>
          <w:sz w:val="22"/>
          <w:szCs w:val="22"/>
          <w:lang w:val="en-GB"/>
        </w:rPr>
        <w:t xml:space="preserve">Rev Fish Biol Fisheries 29, 223–247. </w:t>
      </w:r>
      <w:hyperlink r:id="rId15" w:history="1">
        <w:r w:rsidRPr="00013AAB">
          <w:rPr>
            <w:rStyle w:val="Hyperlink"/>
            <w:rFonts w:ascii="Arial" w:eastAsia="MS Mincho" w:hAnsi="Arial" w:cs="Arial"/>
            <w:sz w:val="22"/>
            <w:szCs w:val="22"/>
            <w:lang w:val="en-GB"/>
          </w:rPr>
          <w:t>https://doi.org/10.1007/s11160-019-09550-6</w:t>
        </w:r>
      </w:hyperlink>
      <w:r w:rsidRPr="00013AAB">
        <w:rPr>
          <w:rFonts w:ascii="Arial" w:eastAsia="MS Mincho" w:hAnsi="Arial" w:cs="Arial"/>
          <w:color w:val="000000" w:themeColor="text1"/>
          <w:sz w:val="22"/>
          <w:szCs w:val="22"/>
          <w:lang w:val="en-GB"/>
        </w:rPr>
        <w:t xml:space="preserve"> et </w:t>
      </w:r>
      <w:hyperlink r:id="rId16" w:history="1">
        <w:r w:rsidRPr="00013AAB">
          <w:rPr>
            <w:rStyle w:val="Hyperlink"/>
            <w:rFonts w:ascii="Arial" w:eastAsia="MS Mincho" w:hAnsi="Arial" w:cs="Arial"/>
            <w:sz w:val="22"/>
            <w:szCs w:val="22"/>
            <w:lang w:val="en-GB"/>
          </w:rPr>
          <w:t>UNEP/CMS/COP13/Inf.11</w:t>
        </w:r>
      </w:hyperlink>
    </w:p>
    <w:p w14:paraId="13389E66" w14:textId="77777777" w:rsidR="007A5544" w:rsidRPr="00013AAB" w:rsidRDefault="007A5544" w:rsidP="005E607A">
      <w:pPr>
        <w:jc w:val="both"/>
        <w:rPr>
          <w:rFonts w:ascii="Arial" w:eastAsia="MS Mincho" w:hAnsi="Arial" w:cs="Arial"/>
          <w:color w:val="000000" w:themeColor="text1"/>
          <w:sz w:val="22"/>
          <w:szCs w:val="22"/>
          <w:lang w:val="en-GB"/>
        </w:rPr>
      </w:pPr>
    </w:p>
    <w:p w14:paraId="7E215BDC" w14:textId="66408C6C" w:rsidR="007A5544" w:rsidRPr="00BD44E7" w:rsidRDefault="007A5544" w:rsidP="005E607A">
      <w:pPr>
        <w:jc w:val="both"/>
        <w:rPr>
          <w:rFonts w:ascii="Arial" w:eastAsia="MS Mincho" w:hAnsi="Arial" w:cs="Arial"/>
          <w:bCs/>
          <w:i/>
          <w:iCs/>
          <w:color w:val="000000" w:themeColor="text1"/>
          <w:sz w:val="22"/>
          <w:szCs w:val="22"/>
          <w:lang w:val="fr-FR"/>
        </w:rPr>
      </w:pPr>
      <w:r w:rsidRPr="00013AAB">
        <w:rPr>
          <w:rFonts w:ascii="Arial" w:eastAsia="MS Mincho" w:hAnsi="Arial" w:cs="Arial"/>
          <w:bCs/>
          <w:color w:val="000000" w:themeColor="text1"/>
          <w:sz w:val="22"/>
          <w:szCs w:val="22"/>
          <w:lang w:val="en-GB"/>
        </w:rPr>
        <w:t>FAO (2021).</w:t>
      </w:r>
      <w:r w:rsidRPr="00013AAB">
        <w:rPr>
          <w:rFonts w:ascii="Arial" w:eastAsia="MS Mincho" w:hAnsi="Arial" w:cs="Arial"/>
          <w:bCs/>
          <w:i/>
          <w:iCs/>
          <w:color w:val="000000" w:themeColor="text1"/>
          <w:sz w:val="22"/>
          <w:szCs w:val="22"/>
          <w:lang w:val="en-GB"/>
        </w:rPr>
        <w:t xml:space="preserve"> </w:t>
      </w:r>
      <w:r w:rsidRPr="00BD44E7">
        <w:rPr>
          <w:rFonts w:ascii="Arial" w:eastAsia="MS Mincho" w:hAnsi="Arial" w:cs="Arial"/>
          <w:bCs/>
          <w:color w:val="000000" w:themeColor="text1"/>
          <w:sz w:val="22"/>
          <w:szCs w:val="22"/>
          <w:lang w:val="fr-FR"/>
        </w:rPr>
        <w:t>Opérations de pêche. Lignes directrices pour prévenir et réduire les prises accessoires de mammifères marins dans les pêcheries de capture. FAO Directives techniques pour une pêche responsable nº</w:t>
      </w:r>
      <w:r w:rsidR="008433E6">
        <w:rPr>
          <w:rFonts w:ascii="Arial" w:eastAsia="MS Mincho" w:hAnsi="Arial" w:cs="Arial"/>
          <w:bCs/>
          <w:color w:val="000000" w:themeColor="text1"/>
          <w:sz w:val="22"/>
          <w:szCs w:val="22"/>
          <w:lang w:val="fr-FR"/>
        </w:rPr>
        <w:t> </w:t>
      </w:r>
      <w:r w:rsidRPr="00BD44E7">
        <w:rPr>
          <w:rFonts w:ascii="Arial" w:eastAsia="MS Mincho" w:hAnsi="Arial" w:cs="Arial"/>
          <w:bCs/>
          <w:color w:val="000000" w:themeColor="text1"/>
          <w:sz w:val="22"/>
          <w:szCs w:val="22"/>
          <w:lang w:val="fr-FR"/>
        </w:rPr>
        <w:t>1, Suppl.</w:t>
      </w:r>
      <w:r w:rsidR="008433E6">
        <w:rPr>
          <w:rFonts w:ascii="Arial" w:eastAsia="MS Mincho" w:hAnsi="Arial" w:cs="Arial"/>
          <w:bCs/>
          <w:color w:val="000000" w:themeColor="text1"/>
          <w:sz w:val="22"/>
          <w:szCs w:val="22"/>
          <w:lang w:val="fr-FR"/>
        </w:rPr>
        <w:t> </w:t>
      </w:r>
      <w:r w:rsidRPr="00BD44E7">
        <w:rPr>
          <w:rFonts w:ascii="Arial" w:eastAsia="MS Mincho" w:hAnsi="Arial" w:cs="Arial"/>
          <w:bCs/>
          <w:color w:val="000000" w:themeColor="text1"/>
          <w:sz w:val="22"/>
          <w:szCs w:val="22"/>
          <w:lang w:val="fr-FR"/>
        </w:rPr>
        <w:t>4) Rome. </w:t>
      </w:r>
      <w:hyperlink r:id="rId17" w:history="1">
        <w:r w:rsidRPr="00BD44E7">
          <w:rPr>
            <w:rStyle w:val="Hyperlink"/>
            <w:rFonts w:ascii="Arial" w:eastAsia="MS Mincho" w:hAnsi="Arial" w:cs="Arial"/>
            <w:bCs/>
            <w:sz w:val="22"/>
            <w:szCs w:val="22"/>
            <w:lang w:val="fr-FR"/>
          </w:rPr>
          <w:t>https://doi.org/10.4060/cb2887en</w:t>
        </w:r>
      </w:hyperlink>
    </w:p>
    <w:p w14:paraId="60CDF896" w14:textId="77777777" w:rsidR="007A5544" w:rsidRPr="00BD44E7" w:rsidRDefault="007A5544" w:rsidP="005E607A">
      <w:pPr>
        <w:jc w:val="both"/>
        <w:rPr>
          <w:rFonts w:ascii="Arial" w:eastAsia="MS Mincho" w:hAnsi="Arial" w:cs="Arial"/>
          <w:bCs/>
          <w:color w:val="000000" w:themeColor="text1"/>
          <w:sz w:val="22"/>
          <w:szCs w:val="22"/>
          <w:lang w:val="fr-FR"/>
        </w:rPr>
      </w:pPr>
    </w:p>
    <w:p w14:paraId="58C68176" w14:textId="77777777" w:rsidR="007A5544" w:rsidRPr="00BD44E7" w:rsidRDefault="007A5544" w:rsidP="005E607A">
      <w:pPr>
        <w:jc w:val="both"/>
        <w:rPr>
          <w:rFonts w:ascii="Arial" w:eastAsia="MS Mincho" w:hAnsi="Arial" w:cs="Arial"/>
          <w:bCs/>
          <w:i/>
          <w:iCs/>
          <w:color w:val="000000" w:themeColor="text1"/>
          <w:sz w:val="22"/>
          <w:szCs w:val="22"/>
          <w:lang w:val="fr-FR"/>
        </w:rPr>
      </w:pPr>
      <w:r w:rsidRPr="00BD44E7">
        <w:rPr>
          <w:rFonts w:ascii="Arial" w:eastAsia="MS Mincho" w:hAnsi="Arial" w:cs="Arial"/>
          <w:bCs/>
          <w:i/>
          <w:iCs/>
          <w:color w:val="000000" w:themeColor="text1"/>
          <w:sz w:val="22"/>
          <w:szCs w:val="22"/>
          <w:lang w:val="fr-FR"/>
        </w:rPr>
        <w:t>Cétacés</w:t>
      </w:r>
    </w:p>
    <w:p w14:paraId="52616614" w14:textId="77777777" w:rsidR="007A5544" w:rsidRPr="00BD44E7" w:rsidRDefault="007A5544" w:rsidP="005E607A">
      <w:pPr>
        <w:jc w:val="both"/>
        <w:rPr>
          <w:rFonts w:ascii="Arial" w:eastAsia="MS Mincho" w:hAnsi="Arial" w:cs="Arial"/>
          <w:bCs/>
          <w:color w:val="000000" w:themeColor="text1"/>
          <w:sz w:val="22"/>
          <w:szCs w:val="22"/>
          <w:lang w:val="fr-FR"/>
        </w:rPr>
      </w:pPr>
    </w:p>
    <w:p w14:paraId="7D9601C7" w14:textId="32ADD11A" w:rsidR="007A5544" w:rsidRPr="00013AAB" w:rsidRDefault="007A5544" w:rsidP="005E607A">
      <w:pPr>
        <w:jc w:val="both"/>
        <w:rPr>
          <w:rFonts w:ascii="Arial" w:eastAsia="MS Mincho" w:hAnsi="Arial" w:cs="Arial"/>
          <w:color w:val="000000" w:themeColor="text1"/>
          <w:sz w:val="22"/>
          <w:szCs w:val="22"/>
        </w:rPr>
      </w:pPr>
      <w:r w:rsidRPr="00BD44E7">
        <w:rPr>
          <w:rFonts w:ascii="Arial" w:eastAsia="MS Mincho" w:hAnsi="Arial" w:cs="Arial"/>
          <w:bCs/>
          <w:color w:val="000000" w:themeColor="text1"/>
          <w:sz w:val="22"/>
          <w:szCs w:val="22"/>
          <w:lang w:val="fr-FR"/>
        </w:rPr>
        <w:t xml:space="preserve">CMS (2018). </w:t>
      </w:r>
      <w:r w:rsidRPr="00BD44E7">
        <w:rPr>
          <w:rFonts w:ascii="Arial" w:eastAsia="MS Mincho" w:hAnsi="Arial" w:cs="Arial"/>
          <w:color w:val="000000" w:themeColor="text1"/>
          <w:sz w:val="22"/>
          <w:szCs w:val="22"/>
          <w:lang w:val="fr-FR"/>
        </w:rPr>
        <w:t>Examen des méthodes utilisées pour réduire les risques de prises accessoires et d’enchevêtrement des cétacés (CMS Série technique nº</w:t>
      </w:r>
      <w:r w:rsidR="008433E6">
        <w:rPr>
          <w:rFonts w:ascii="Arial" w:eastAsia="MS Mincho" w:hAnsi="Arial" w:cs="Arial"/>
          <w:color w:val="000000" w:themeColor="text1"/>
          <w:sz w:val="22"/>
          <w:szCs w:val="22"/>
          <w:lang w:val="fr-FR"/>
        </w:rPr>
        <w:t> </w:t>
      </w:r>
      <w:r w:rsidRPr="00BD44E7">
        <w:rPr>
          <w:rFonts w:ascii="Arial" w:eastAsia="MS Mincho" w:hAnsi="Arial" w:cs="Arial"/>
          <w:color w:val="000000" w:themeColor="text1"/>
          <w:sz w:val="22"/>
          <w:szCs w:val="22"/>
          <w:lang w:val="fr-FR"/>
        </w:rPr>
        <w:t xml:space="preserve">38). </w:t>
      </w:r>
      <w:hyperlink r:id="rId18" w:history="1">
        <w:r w:rsidRPr="00013AAB">
          <w:rPr>
            <w:rStyle w:val="Hyperlink"/>
            <w:rFonts w:ascii="Arial" w:eastAsia="MS Mincho" w:hAnsi="Arial" w:cs="Arial"/>
            <w:sz w:val="22"/>
            <w:szCs w:val="22"/>
          </w:rPr>
          <w:t>https://www.cms.int/en/publication/review-methods-used-reduce-risks-cetacean-bycatch-and-entanglements-cms-technical-series</w:t>
        </w:r>
      </w:hyperlink>
    </w:p>
    <w:p w14:paraId="617CE78B" w14:textId="77777777" w:rsidR="00AA75B2" w:rsidRPr="00013AAB" w:rsidRDefault="00AA75B2" w:rsidP="005E607A">
      <w:pPr>
        <w:jc w:val="both"/>
        <w:rPr>
          <w:rFonts w:ascii="Arial" w:eastAsia="MS Mincho" w:hAnsi="Arial" w:cs="Arial"/>
          <w:bCs/>
          <w:color w:val="000000" w:themeColor="text1"/>
          <w:sz w:val="22"/>
          <w:szCs w:val="22"/>
        </w:rPr>
      </w:pPr>
    </w:p>
    <w:p w14:paraId="6A36314C" w14:textId="7816CC28" w:rsidR="007A5544" w:rsidRPr="00013AAB" w:rsidRDefault="007A5544" w:rsidP="005E607A">
      <w:pPr>
        <w:jc w:val="both"/>
        <w:rPr>
          <w:rFonts w:ascii="Arial" w:eastAsia="MS Mincho" w:hAnsi="Arial" w:cs="Arial"/>
          <w:color w:val="000000" w:themeColor="text1"/>
          <w:sz w:val="22"/>
          <w:szCs w:val="22"/>
        </w:rPr>
      </w:pPr>
      <w:r w:rsidRPr="00BD44E7">
        <w:rPr>
          <w:rFonts w:ascii="Arial" w:eastAsia="MS Mincho" w:hAnsi="Arial" w:cs="Arial"/>
          <w:bCs/>
          <w:color w:val="000000" w:themeColor="text1"/>
          <w:sz w:val="22"/>
          <w:szCs w:val="22"/>
          <w:lang w:val="fr-FR"/>
        </w:rPr>
        <w:t xml:space="preserve">ASCOBANS (2021). </w:t>
      </w:r>
      <w:r w:rsidRPr="00BD44E7">
        <w:rPr>
          <w:rFonts w:ascii="Arial" w:eastAsia="MS Mincho" w:hAnsi="Arial" w:cs="Arial"/>
          <w:color w:val="000000" w:themeColor="text1"/>
          <w:sz w:val="22"/>
          <w:szCs w:val="22"/>
          <w:lang w:val="fr-FR"/>
        </w:rPr>
        <w:t>Surveillance de la prise accessoire de cétacés : une analyse des différentes méthodes à bord des navires de pêche commerciale – ASCOBANS Série technique nº</w:t>
      </w:r>
      <w:r w:rsidR="008433E6">
        <w:rPr>
          <w:rFonts w:ascii="Arial" w:eastAsia="MS Mincho" w:hAnsi="Arial" w:cs="Arial"/>
          <w:color w:val="000000" w:themeColor="text1"/>
          <w:sz w:val="22"/>
          <w:szCs w:val="22"/>
          <w:lang w:val="fr-FR"/>
        </w:rPr>
        <w:t> </w:t>
      </w:r>
      <w:r w:rsidRPr="00BD44E7">
        <w:rPr>
          <w:rFonts w:ascii="Arial" w:eastAsia="MS Mincho" w:hAnsi="Arial" w:cs="Arial"/>
          <w:color w:val="000000" w:themeColor="text1"/>
          <w:sz w:val="22"/>
          <w:szCs w:val="22"/>
          <w:lang w:val="fr-FR"/>
        </w:rPr>
        <w:t xml:space="preserve">1. </w:t>
      </w:r>
      <w:hyperlink r:id="rId19" w:history="1">
        <w:r w:rsidRPr="00013AAB">
          <w:rPr>
            <w:rStyle w:val="Hyperlink"/>
            <w:rFonts w:ascii="Arial" w:eastAsia="MS Mincho" w:hAnsi="Arial" w:cs="Arial"/>
            <w:sz w:val="22"/>
            <w:szCs w:val="22"/>
          </w:rPr>
          <w:t>https://www.ascobans.org/en/publication/monitoring-cetacean-bycatch-analysis-different-methods-aboard-commercial-fishing-vessels</w:t>
        </w:r>
      </w:hyperlink>
    </w:p>
    <w:p w14:paraId="3C0E1F21" w14:textId="4D96BFF0" w:rsidR="004132F2" w:rsidRDefault="004132F2" w:rsidP="005E607A">
      <w:pPr>
        <w:jc w:val="both"/>
        <w:rPr>
          <w:rFonts w:ascii="Arial" w:eastAsia="MS Mincho" w:hAnsi="Arial" w:cs="Arial"/>
          <w:color w:val="000000" w:themeColor="text1"/>
          <w:sz w:val="22"/>
          <w:szCs w:val="22"/>
        </w:rPr>
      </w:pPr>
      <w:r>
        <w:rPr>
          <w:rFonts w:ascii="Arial" w:eastAsia="MS Mincho" w:hAnsi="Arial" w:cs="Arial"/>
          <w:color w:val="000000" w:themeColor="text1"/>
          <w:sz w:val="22"/>
          <w:szCs w:val="22"/>
        </w:rPr>
        <w:br w:type="page"/>
      </w:r>
    </w:p>
    <w:p w14:paraId="04CD0BC2" w14:textId="12E9CB35" w:rsidR="007A5544" w:rsidRPr="00013AAB" w:rsidRDefault="007A5544" w:rsidP="005E607A">
      <w:pPr>
        <w:jc w:val="both"/>
        <w:rPr>
          <w:rFonts w:ascii="Arial" w:eastAsia="MS Mincho" w:hAnsi="Arial" w:cs="Arial"/>
          <w:color w:val="000000" w:themeColor="text1"/>
          <w:sz w:val="22"/>
          <w:szCs w:val="22"/>
        </w:rPr>
      </w:pPr>
      <w:r w:rsidRPr="00BD44E7">
        <w:rPr>
          <w:rFonts w:ascii="Arial" w:eastAsia="MS Mincho" w:hAnsi="Arial" w:cs="Arial"/>
          <w:bCs/>
          <w:color w:val="000000" w:themeColor="text1"/>
          <w:sz w:val="22"/>
          <w:szCs w:val="22"/>
          <w:lang w:val="fr-FR"/>
        </w:rPr>
        <w:lastRenderedPageBreak/>
        <w:t xml:space="preserve">ASCOBANS (2021). </w:t>
      </w:r>
      <w:r w:rsidRPr="00BD44E7">
        <w:rPr>
          <w:rFonts w:ascii="Arial" w:eastAsia="MS Mincho" w:hAnsi="Arial" w:cs="Arial"/>
          <w:color w:val="000000" w:themeColor="text1"/>
          <w:sz w:val="22"/>
          <w:szCs w:val="22"/>
          <w:lang w:val="fr-FR"/>
        </w:rPr>
        <w:t>Analyse coût-bénéfice des mesures d’atténuation dans les pêcheries à prises accessoires élevées – ASCOBANS Série technique nº</w:t>
      </w:r>
      <w:r w:rsidR="008433E6">
        <w:rPr>
          <w:rFonts w:ascii="Arial" w:eastAsia="MS Mincho" w:hAnsi="Arial" w:cs="Arial"/>
          <w:color w:val="000000" w:themeColor="text1"/>
          <w:sz w:val="22"/>
          <w:szCs w:val="22"/>
          <w:lang w:val="fr-FR"/>
        </w:rPr>
        <w:t> </w:t>
      </w:r>
      <w:r w:rsidRPr="00BD44E7">
        <w:rPr>
          <w:rFonts w:ascii="Arial" w:eastAsia="MS Mincho" w:hAnsi="Arial" w:cs="Arial"/>
          <w:color w:val="000000" w:themeColor="text1"/>
          <w:sz w:val="22"/>
          <w:szCs w:val="22"/>
          <w:lang w:val="fr-FR"/>
        </w:rPr>
        <w:t xml:space="preserve">2. </w:t>
      </w:r>
      <w:hyperlink r:id="rId20" w:history="1">
        <w:r w:rsidRPr="00013AAB">
          <w:rPr>
            <w:rStyle w:val="Hyperlink"/>
            <w:rFonts w:ascii="Arial" w:eastAsia="MS Mincho" w:hAnsi="Arial" w:cs="Arial"/>
            <w:sz w:val="22"/>
            <w:szCs w:val="22"/>
          </w:rPr>
          <w:t>https://www.ascobans.org/en/publication/cost-benefit-analysis-mitigation-measures-fisheries-high-bycatch</w:t>
        </w:r>
      </w:hyperlink>
    </w:p>
    <w:p w14:paraId="4948D1FD" w14:textId="77777777" w:rsidR="007A5544" w:rsidRPr="00013AAB" w:rsidRDefault="007A5544" w:rsidP="005E607A">
      <w:pPr>
        <w:jc w:val="both"/>
        <w:rPr>
          <w:rFonts w:ascii="Arial" w:eastAsia="MS Mincho" w:hAnsi="Arial" w:cs="Arial"/>
          <w:b/>
          <w:color w:val="000000"/>
          <w:sz w:val="22"/>
          <w:szCs w:val="22"/>
          <w:u w:val="single"/>
        </w:rPr>
      </w:pPr>
    </w:p>
    <w:p w14:paraId="12E9E826" w14:textId="2D886C64" w:rsidR="00A80A8B" w:rsidRPr="00BD44E7" w:rsidRDefault="00A80A8B" w:rsidP="005E607A">
      <w:pPr>
        <w:widowControl/>
        <w:autoSpaceDE/>
        <w:autoSpaceDN/>
        <w:jc w:val="both"/>
        <w:textAlignment w:val="auto"/>
        <w:rPr>
          <w:rFonts w:ascii="Arial" w:eastAsiaTheme="minorHAnsi" w:hAnsi="Arial" w:cs="Arial"/>
          <w:sz w:val="22"/>
          <w:szCs w:val="22"/>
          <w:lang w:val="fr-FR"/>
        </w:rPr>
      </w:pPr>
      <w:r w:rsidRPr="00013AAB">
        <w:rPr>
          <w:rFonts w:ascii="Arial" w:eastAsiaTheme="minorHAnsi" w:hAnsi="Arial" w:cs="Arial"/>
          <w:sz w:val="22"/>
          <w:szCs w:val="22"/>
          <w:lang w:val="es-ES"/>
        </w:rPr>
        <w:t xml:space="preserve">Hamer, D.J., Minton, G., 2020. </w:t>
      </w:r>
      <w:r w:rsidR="0069058F" w:rsidRPr="00BD44E7">
        <w:rPr>
          <w:rFonts w:ascii="Arial" w:eastAsiaTheme="minorHAnsi" w:hAnsi="Arial" w:cs="Arial"/>
          <w:sz w:val="22"/>
          <w:szCs w:val="22"/>
          <w:lang w:val="fr-FR"/>
        </w:rPr>
        <w:t>Lignes directrices pour la manipulation et la remise à l'eau en toute sécurité et sans cruauté des petits cétacés capturés accidentellement dans les engins de pêche</w:t>
      </w:r>
      <w:r w:rsidRPr="00BD44E7">
        <w:rPr>
          <w:rFonts w:ascii="Arial" w:eastAsiaTheme="minorHAnsi" w:hAnsi="Arial" w:cs="Arial"/>
          <w:sz w:val="22"/>
          <w:szCs w:val="22"/>
          <w:lang w:val="fr-FR"/>
        </w:rPr>
        <w:t>, In: Secretariat, U.C. (Ed.),</w:t>
      </w:r>
      <w:r w:rsidR="004A433E">
        <w:rPr>
          <w:rFonts w:ascii="Arial" w:eastAsiaTheme="minorHAnsi" w:hAnsi="Arial" w:cs="Arial"/>
          <w:sz w:val="22"/>
          <w:szCs w:val="22"/>
          <w:lang w:val="fr-FR"/>
        </w:rPr>
        <w:t xml:space="preserve"> </w:t>
      </w:r>
      <w:r w:rsidR="008433E6">
        <w:rPr>
          <w:rFonts w:ascii="Arial" w:eastAsiaTheme="minorHAnsi" w:hAnsi="Arial" w:cs="Arial"/>
          <w:sz w:val="22"/>
          <w:szCs w:val="22"/>
          <w:lang w:val="fr-FR"/>
        </w:rPr>
        <w:t xml:space="preserve">CMS </w:t>
      </w:r>
      <w:r w:rsidR="0069058F" w:rsidRPr="00BD44E7">
        <w:rPr>
          <w:rFonts w:ascii="Arial" w:eastAsiaTheme="minorHAnsi" w:hAnsi="Arial" w:cs="Arial"/>
          <w:sz w:val="22"/>
          <w:szCs w:val="22"/>
          <w:lang w:val="fr-FR"/>
        </w:rPr>
        <w:t>Série technique</w:t>
      </w:r>
      <w:r w:rsidRPr="00BD44E7">
        <w:rPr>
          <w:rFonts w:ascii="Arial" w:eastAsiaTheme="minorHAnsi" w:hAnsi="Arial" w:cs="Arial"/>
          <w:sz w:val="22"/>
          <w:szCs w:val="22"/>
          <w:lang w:val="fr-FR"/>
        </w:rPr>
        <w:t xml:space="preserve">, Bonn, </w:t>
      </w:r>
      <w:r w:rsidR="0069058F" w:rsidRPr="00BD44E7">
        <w:rPr>
          <w:rFonts w:ascii="Arial" w:eastAsiaTheme="minorHAnsi" w:hAnsi="Arial" w:cs="Arial"/>
          <w:sz w:val="22"/>
          <w:szCs w:val="22"/>
          <w:lang w:val="fr-FR"/>
        </w:rPr>
        <w:t>Allemagne</w:t>
      </w:r>
      <w:r w:rsidRPr="00BD44E7">
        <w:rPr>
          <w:rFonts w:ascii="Arial" w:eastAsiaTheme="minorHAnsi" w:hAnsi="Arial" w:cs="Arial"/>
          <w:sz w:val="22"/>
          <w:szCs w:val="22"/>
          <w:lang w:val="fr-FR"/>
        </w:rPr>
        <w:t xml:space="preserve">, p. 50. </w:t>
      </w:r>
      <w:r w:rsidR="0069058F" w:rsidRPr="00BD44E7">
        <w:rPr>
          <w:rFonts w:ascii="Arial" w:eastAsiaTheme="minorHAnsi" w:hAnsi="Arial" w:cs="Arial"/>
          <w:sz w:val="22"/>
          <w:szCs w:val="22"/>
          <w:lang w:val="fr-FR"/>
        </w:rPr>
        <w:t>Disponible à l’adresse </w:t>
      </w:r>
      <w:r w:rsidRPr="00BD44E7">
        <w:rPr>
          <w:rFonts w:ascii="Arial" w:eastAsiaTheme="minorHAnsi" w:hAnsi="Arial" w:cs="Arial"/>
          <w:sz w:val="22"/>
          <w:szCs w:val="22"/>
          <w:lang w:val="fr-FR"/>
        </w:rPr>
        <w:t xml:space="preserve">: </w:t>
      </w:r>
      <w:hyperlink r:id="rId21" w:history="1">
        <w:r w:rsidRPr="00BD44E7">
          <w:rPr>
            <w:rStyle w:val="Hyperlink"/>
            <w:rFonts w:ascii="Arial" w:eastAsiaTheme="minorHAnsi" w:hAnsi="Arial" w:cs="Arial"/>
            <w:sz w:val="22"/>
            <w:szCs w:val="22"/>
            <w:lang w:val="fr-FR"/>
          </w:rPr>
          <w:t>https://www.cms.int/publication/guidelines-safe-and-humane-handling-and-release-bycaught-small-cetaceans-fishing-gear</w:t>
        </w:r>
      </w:hyperlink>
      <w:r w:rsidRPr="00BD44E7">
        <w:rPr>
          <w:rFonts w:ascii="Arial" w:eastAsiaTheme="minorHAnsi" w:hAnsi="Arial" w:cs="Arial"/>
          <w:sz w:val="22"/>
          <w:szCs w:val="22"/>
          <w:lang w:val="fr-FR"/>
        </w:rPr>
        <w:t xml:space="preserve">   </w:t>
      </w:r>
    </w:p>
    <w:p w14:paraId="327BAE7B" w14:textId="77777777" w:rsidR="00A80A8B" w:rsidRPr="00BD44E7" w:rsidRDefault="00A80A8B" w:rsidP="005E607A">
      <w:pPr>
        <w:widowControl/>
        <w:autoSpaceDE/>
        <w:autoSpaceDN/>
        <w:jc w:val="both"/>
        <w:textAlignment w:val="auto"/>
        <w:rPr>
          <w:rFonts w:ascii="Arial" w:eastAsiaTheme="minorHAnsi" w:hAnsi="Arial" w:cs="Arial"/>
          <w:sz w:val="22"/>
          <w:szCs w:val="22"/>
          <w:lang w:val="fr-FR"/>
        </w:rPr>
      </w:pPr>
    </w:p>
    <w:p w14:paraId="4DE172C2" w14:textId="738EC3F7" w:rsidR="00A80A8B" w:rsidRPr="00013AAB" w:rsidRDefault="0069058F" w:rsidP="005E607A">
      <w:pPr>
        <w:widowControl/>
        <w:autoSpaceDE/>
        <w:autoSpaceDN/>
        <w:jc w:val="both"/>
        <w:textAlignment w:val="auto"/>
        <w:rPr>
          <w:rFonts w:ascii="Arial" w:eastAsiaTheme="minorHAnsi" w:hAnsi="Arial" w:cs="Arial"/>
          <w:sz w:val="22"/>
          <w:szCs w:val="22"/>
          <w:lang w:val="en-GB"/>
        </w:rPr>
      </w:pPr>
      <w:r w:rsidRPr="00BD44E7">
        <w:rPr>
          <w:rFonts w:ascii="Arial" w:eastAsiaTheme="minorHAnsi" w:hAnsi="Arial" w:cs="Arial"/>
          <w:sz w:val="22"/>
          <w:szCs w:val="22"/>
          <w:lang w:val="fr-FR"/>
        </w:rPr>
        <w:t>Commission baleinière internationale</w:t>
      </w:r>
      <w:r w:rsidR="00A80A8B" w:rsidRPr="00BD44E7">
        <w:rPr>
          <w:rFonts w:ascii="Arial" w:eastAsiaTheme="minorHAnsi" w:hAnsi="Arial" w:cs="Arial"/>
          <w:sz w:val="22"/>
          <w:szCs w:val="22"/>
          <w:lang w:val="fr-FR"/>
        </w:rPr>
        <w:t xml:space="preserve">, 2024, </w:t>
      </w:r>
      <w:r w:rsidR="00BD44E7" w:rsidRPr="00BD44E7">
        <w:rPr>
          <w:rFonts w:ascii="Arial" w:eastAsiaTheme="minorHAnsi" w:hAnsi="Arial" w:cs="Arial"/>
          <w:sz w:val="22"/>
          <w:szCs w:val="22"/>
          <w:lang w:val="fr-FR"/>
        </w:rPr>
        <w:t>Meilleures pratiques pour le désenchevêtrement de cétacés en liberté</w:t>
      </w:r>
      <w:r w:rsidR="00A80A8B" w:rsidRPr="00BD44E7">
        <w:rPr>
          <w:rFonts w:ascii="Arial" w:eastAsiaTheme="minorHAnsi" w:hAnsi="Arial" w:cs="Arial"/>
          <w:sz w:val="22"/>
          <w:szCs w:val="22"/>
          <w:lang w:val="fr-FR"/>
        </w:rPr>
        <w:t>.</w:t>
      </w:r>
      <w:r w:rsidR="00BD44E7">
        <w:rPr>
          <w:rFonts w:ascii="Arial" w:eastAsiaTheme="minorHAnsi" w:hAnsi="Arial" w:cs="Arial"/>
          <w:sz w:val="22"/>
          <w:szCs w:val="22"/>
          <w:lang w:val="fr-FR"/>
        </w:rPr>
        <w:t xml:space="preserve"> </w:t>
      </w:r>
      <w:r w:rsidR="00BD44E7" w:rsidRPr="00BD44E7">
        <w:rPr>
          <w:rFonts w:ascii="Arial" w:eastAsiaTheme="minorHAnsi" w:hAnsi="Arial" w:cs="Arial"/>
          <w:sz w:val="22"/>
          <w:szCs w:val="22"/>
          <w:lang w:val="fr-FR"/>
        </w:rPr>
        <w:t>Adapté des pratiques mises au point pour l'Agence américaine d'observation océanique et atmosphérique (NOAA) et approuvé par le Comité scientifique de la Commission baleinière internationale</w:t>
      </w:r>
      <w:r w:rsidR="00A80A8B" w:rsidRPr="00BD44E7">
        <w:rPr>
          <w:rFonts w:ascii="Arial" w:eastAsiaTheme="minorHAnsi" w:hAnsi="Arial" w:cs="Arial"/>
          <w:sz w:val="22"/>
          <w:szCs w:val="22"/>
          <w:lang w:val="fr-FR"/>
        </w:rPr>
        <w:t xml:space="preserve">. </w:t>
      </w:r>
      <w:r w:rsidR="00BD44E7" w:rsidRPr="00013AAB">
        <w:rPr>
          <w:rFonts w:ascii="Arial" w:eastAsiaTheme="minorHAnsi" w:hAnsi="Arial" w:cs="Arial"/>
          <w:sz w:val="22"/>
          <w:szCs w:val="22"/>
          <w:lang w:val="en-GB"/>
        </w:rPr>
        <w:t>Disponible à l’adresse </w:t>
      </w:r>
      <w:r w:rsidR="00A80A8B" w:rsidRPr="00013AAB">
        <w:rPr>
          <w:rFonts w:ascii="Arial" w:eastAsiaTheme="minorHAnsi" w:hAnsi="Arial" w:cs="Arial"/>
          <w:sz w:val="22"/>
          <w:szCs w:val="22"/>
          <w:lang w:val="en-GB"/>
        </w:rPr>
        <w:t xml:space="preserve">: </w:t>
      </w:r>
      <w:hyperlink r:id="rId22" w:history="1">
        <w:r w:rsidR="00A80A8B" w:rsidRPr="00013AAB">
          <w:rPr>
            <w:rStyle w:val="Hyperlink"/>
            <w:rFonts w:ascii="Arial" w:eastAsiaTheme="minorHAnsi" w:hAnsi="Arial" w:cs="Arial"/>
            <w:sz w:val="22"/>
            <w:szCs w:val="22"/>
            <w:lang w:val="en-GB"/>
          </w:rPr>
          <w:t>https://iwc.int/public/documents/v4UwJ/Adaptation-of-NOAA-Best-practices-for disentanglement-of-free-swimming-small-cetaceans_IWC-SC-Endorsed.pdf</w:t>
        </w:r>
      </w:hyperlink>
      <w:r w:rsidR="00A80A8B" w:rsidRPr="00013AAB">
        <w:rPr>
          <w:rFonts w:ascii="Arial" w:eastAsiaTheme="minorHAnsi" w:hAnsi="Arial" w:cs="Arial"/>
          <w:sz w:val="22"/>
          <w:szCs w:val="22"/>
          <w:lang w:val="en-GB"/>
        </w:rPr>
        <w:t xml:space="preserve"> </w:t>
      </w:r>
    </w:p>
    <w:p w14:paraId="5CFC60A7" w14:textId="77777777" w:rsidR="00A80A8B" w:rsidRPr="00013AAB" w:rsidRDefault="00A80A8B" w:rsidP="005E607A">
      <w:pPr>
        <w:widowControl/>
        <w:autoSpaceDE/>
        <w:autoSpaceDN/>
        <w:jc w:val="both"/>
        <w:textAlignment w:val="auto"/>
        <w:rPr>
          <w:rFonts w:ascii="Arial" w:eastAsiaTheme="minorHAnsi" w:hAnsi="Arial" w:cs="Arial"/>
          <w:sz w:val="22"/>
          <w:szCs w:val="22"/>
          <w:lang w:val="en-GB"/>
        </w:rPr>
      </w:pPr>
    </w:p>
    <w:p w14:paraId="5914E140" w14:textId="4A056B35" w:rsidR="00A80A8B" w:rsidRPr="00BD44E7" w:rsidRDefault="00BD44E7" w:rsidP="005E607A">
      <w:pPr>
        <w:widowControl/>
        <w:autoSpaceDE/>
        <w:autoSpaceDN/>
        <w:jc w:val="both"/>
        <w:textAlignment w:val="auto"/>
        <w:rPr>
          <w:rFonts w:ascii="Arial" w:eastAsiaTheme="minorHAnsi" w:hAnsi="Arial" w:cs="Arial"/>
          <w:sz w:val="22"/>
          <w:szCs w:val="22"/>
          <w:lang w:val="fr-FR"/>
        </w:rPr>
      </w:pPr>
      <w:r w:rsidRPr="00BD44E7">
        <w:rPr>
          <w:rFonts w:ascii="Arial" w:eastAsiaTheme="minorHAnsi" w:hAnsi="Arial" w:cs="Arial"/>
          <w:sz w:val="22"/>
          <w:szCs w:val="22"/>
          <w:lang w:val="fr-FR"/>
        </w:rPr>
        <w:t xml:space="preserve">Réseau d'intervention en cas d'enchevêtrement </w:t>
      </w:r>
      <w:r w:rsidR="00E6184B">
        <w:rPr>
          <w:rFonts w:ascii="Arial" w:eastAsiaTheme="minorHAnsi" w:hAnsi="Arial" w:cs="Arial"/>
          <w:sz w:val="22"/>
          <w:szCs w:val="22"/>
          <w:lang w:val="fr-FR"/>
        </w:rPr>
        <w:t>des</w:t>
      </w:r>
      <w:r w:rsidRPr="00BD44E7">
        <w:rPr>
          <w:rFonts w:ascii="Arial" w:eastAsiaTheme="minorHAnsi" w:hAnsi="Arial" w:cs="Arial"/>
          <w:sz w:val="22"/>
          <w:szCs w:val="22"/>
          <w:lang w:val="fr-FR"/>
        </w:rPr>
        <w:t xml:space="preserve"> baleines de </w:t>
      </w:r>
      <w:r>
        <w:rPr>
          <w:rFonts w:ascii="Arial" w:eastAsiaTheme="minorHAnsi" w:hAnsi="Arial" w:cs="Arial"/>
          <w:sz w:val="22"/>
          <w:szCs w:val="22"/>
          <w:lang w:val="fr-FR"/>
        </w:rPr>
        <w:t xml:space="preserve">la CBI </w:t>
      </w:r>
      <w:r w:rsidR="00A80A8B" w:rsidRPr="00BD44E7">
        <w:rPr>
          <w:rFonts w:ascii="Arial" w:eastAsiaTheme="minorHAnsi" w:hAnsi="Arial" w:cs="Arial"/>
          <w:sz w:val="22"/>
          <w:szCs w:val="22"/>
          <w:lang w:val="fr-FR"/>
        </w:rPr>
        <w:t xml:space="preserve">: </w:t>
      </w:r>
      <w:hyperlink r:id="rId23" w:history="1">
        <w:r w:rsidR="00A80A8B" w:rsidRPr="00BD44E7">
          <w:rPr>
            <w:rStyle w:val="Hyperlink"/>
            <w:rFonts w:ascii="Arial" w:eastAsiaTheme="minorHAnsi" w:hAnsi="Arial" w:cs="Arial"/>
            <w:sz w:val="22"/>
            <w:szCs w:val="22"/>
            <w:lang w:val="fr-FR"/>
          </w:rPr>
          <w:t>https://iwc.int/management-and-conservation/bycatch-and-entanglement-of-cetaceans-in-fishing/entanglement</w:t>
        </w:r>
      </w:hyperlink>
    </w:p>
    <w:p w14:paraId="6CE084AA" w14:textId="77777777" w:rsidR="00A80A8B" w:rsidRPr="00BD44E7" w:rsidRDefault="00A80A8B" w:rsidP="005E607A">
      <w:pPr>
        <w:jc w:val="both"/>
        <w:rPr>
          <w:rFonts w:ascii="Arial" w:eastAsia="MS Mincho" w:hAnsi="Arial" w:cs="Arial"/>
          <w:b/>
          <w:color w:val="000000"/>
          <w:sz w:val="22"/>
          <w:szCs w:val="22"/>
          <w:u w:val="single"/>
          <w:lang w:val="fr-FR"/>
        </w:rPr>
      </w:pPr>
    </w:p>
    <w:p w14:paraId="09ACBFD0" w14:textId="77777777" w:rsidR="007A5544" w:rsidRPr="00BD44E7" w:rsidRDefault="007A5544" w:rsidP="005E607A">
      <w:pPr>
        <w:jc w:val="both"/>
        <w:rPr>
          <w:rFonts w:ascii="Arial" w:eastAsia="MS Mincho" w:hAnsi="Arial" w:cs="Arial"/>
          <w:b/>
          <w:bCs/>
          <w:color w:val="000000"/>
          <w:sz w:val="22"/>
          <w:szCs w:val="22"/>
          <w:u w:val="single"/>
          <w:lang w:val="fr-FR"/>
        </w:rPr>
      </w:pPr>
      <w:r w:rsidRPr="00BD44E7">
        <w:rPr>
          <w:rFonts w:ascii="Arial" w:eastAsia="MS Mincho" w:hAnsi="Arial" w:cs="Arial"/>
          <w:b/>
          <w:bCs/>
          <w:color w:val="000000"/>
          <w:sz w:val="22"/>
          <w:szCs w:val="22"/>
          <w:u w:val="single"/>
          <w:lang w:val="fr-FR"/>
        </w:rPr>
        <w:t>Requins et raies</w:t>
      </w:r>
    </w:p>
    <w:p w14:paraId="43474D6D" w14:textId="77777777" w:rsidR="007A5544" w:rsidRPr="00BD44E7" w:rsidRDefault="007A5544" w:rsidP="005E607A">
      <w:pPr>
        <w:jc w:val="both"/>
        <w:rPr>
          <w:rFonts w:ascii="Arial" w:eastAsia="MS Mincho" w:hAnsi="Arial" w:cs="Arial"/>
          <w:b/>
          <w:bCs/>
          <w:color w:val="000000"/>
          <w:sz w:val="22"/>
          <w:szCs w:val="22"/>
          <w:u w:val="single"/>
          <w:lang w:val="fr-FR"/>
        </w:rPr>
      </w:pPr>
    </w:p>
    <w:p w14:paraId="217237A6" w14:textId="5F5CD934" w:rsidR="007A5544" w:rsidRPr="00BD44E7" w:rsidRDefault="007A5544" w:rsidP="005E607A">
      <w:pPr>
        <w:jc w:val="both"/>
        <w:rPr>
          <w:rFonts w:ascii="Arial" w:hAnsi="Arial" w:cs="Arial"/>
          <w:sz w:val="22"/>
          <w:szCs w:val="22"/>
          <w:lang w:val="fr-FR"/>
        </w:rPr>
      </w:pPr>
      <w:r w:rsidRPr="00BD44E7">
        <w:rPr>
          <w:rFonts w:ascii="Arial" w:hAnsi="Arial" w:cs="Arial"/>
          <w:sz w:val="22"/>
          <w:szCs w:val="22"/>
          <w:lang w:val="fr-FR"/>
        </w:rPr>
        <w:t>Drynan D.A.D., Baker G.B., Garnett S.T., Kyne, P.M. (2025). Techniques d’atténuation visant à réduire les prises accessoires de requins – Il n’y a pas de solution miracle</w:t>
      </w:r>
      <w:r w:rsidR="00E6184B">
        <w:rPr>
          <w:rFonts w:ascii="Arial" w:hAnsi="Arial" w:cs="Arial"/>
          <w:sz w:val="22"/>
          <w:szCs w:val="22"/>
          <w:lang w:val="fr-FR"/>
        </w:rPr>
        <w:t>.</w:t>
      </w:r>
    </w:p>
    <w:p w14:paraId="35CDA81B" w14:textId="77777777" w:rsidR="007A5544" w:rsidRPr="00BD44E7" w:rsidRDefault="007A5544" w:rsidP="005E607A">
      <w:pPr>
        <w:jc w:val="both"/>
        <w:rPr>
          <w:rFonts w:ascii="Arial" w:eastAsia="MS Mincho" w:hAnsi="Arial" w:cs="Arial"/>
          <w:b/>
          <w:color w:val="000000"/>
          <w:sz w:val="22"/>
          <w:szCs w:val="22"/>
          <w:u w:val="single"/>
          <w:lang w:val="fr-FR"/>
        </w:rPr>
      </w:pPr>
    </w:p>
    <w:p w14:paraId="2DB6F49E" w14:textId="77777777" w:rsidR="007A5544" w:rsidRPr="00BD44E7" w:rsidRDefault="007A5544" w:rsidP="005E607A">
      <w:pPr>
        <w:jc w:val="both"/>
        <w:rPr>
          <w:rFonts w:ascii="Arial" w:eastAsia="MS Mincho" w:hAnsi="Arial" w:cs="Arial"/>
          <w:b/>
          <w:bCs/>
          <w:color w:val="000000"/>
          <w:sz w:val="22"/>
          <w:szCs w:val="22"/>
          <w:u w:val="single"/>
          <w:lang w:val="fr-FR"/>
        </w:rPr>
      </w:pPr>
      <w:r w:rsidRPr="00BD44E7">
        <w:rPr>
          <w:rFonts w:ascii="Arial" w:eastAsia="MS Mincho" w:hAnsi="Arial" w:cs="Arial"/>
          <w:b/>
          <w:bCs/>
          <w:color w:val="000000"/>
          <w:sz w:val="22"/>
          <w:szCs w:val="22"/>
          <w:u w:val="single"/>
          <w:lang w:val="fr-FR"/>
        </w:rPr>
        <w:t>Tortues</w:t>
      </w:r>
    </w:p>
    <w:p w14:paraId="5ED31EF3" w14:textId="77777777" w:rsidR="007A5544" w:rsidRPr="00BD44E7" w:rsidRDefault="007A5544" w:rsidP="005E607A">
      <w:pPr>
        <w:jc w:val="both"/>
        <w:rPr>
          <w:rFonts w:ascii="Arial" w:eastAsia="MS Mincho" w:hAnsi="Arial" w:cs="Arial"/>
          <w:b/>
          <w:bCs/>
          <w:color w:val="000000"/>
          <w:sz w:val="22"/>
          <w:szCs w:val="22"/>
          <w:u w:val="single"/>
          <w:lang w:val="fr-FR"/>
        </w:rPr>
      </w:pPr>
    </w:p>
    <w:p w14:paraId="64572A0A" w14:textId="77777777" w:rsidR="007A5544" w:rsidRPr="00BD44E7" w:rsidRDefault="007A5544" w:rsidP="005E607A">
      <w:pPr>
        <w:jc w:val="both"/>
        <w:rPr>
          <w:rFonts w:ascii="Arial" w:eastAsia="MS Mincho" w:hAnsi="Arial" w:cs="Arial"/>
          <w:color w:val="000000"/>
          <w:sz w:val="22"/>
          <w:szCs w:val="22"/>
          <w:lang w:val="fr-FR"/>
        </w:rPr>
      </w:pPr>
      <w:r w:rsidRPr="00BD44E7">
        <w:rPr>
          <w:rFonts w:ascii="Arial" w:eastAsia="MS Mincho" w:hAnsi="Arial" w:cs="Arial"/>
          <w:color w:val="000000"/>
          <w:sz w:val="22"/>
          <w:szCs w:val="22"/>
          <w:lang w:val="fr-FR"/>
        </w:rPr>
        <w:t>CMS (2025). Un examen des mesures techniques et opérationnelles visant à atténuer les prises accessoires de tortues marines dans les pêcheries commerciales.</w:t>
      </w:r>
      <w:hyperlink r:id="rId24" w:history="1">
        <w:r w:rsidRPr="00BD44E7">
          <w:rPr>
            <w:rStyle w:val="Hyperlink"/>
            <w:rFonts w:ascii="Arial" w:eastAsia="MS Mincho" w:hAnsi="Arial" w:cs="Arial"/>
            <w:sz w:val="22"/>
            <w:szCs w:val="22"/>
            <w:lang w:val="fr-FR"/>
          </w:rPr>
          <w:t xml:space="preserve"> UNEP/CMS/COP15/Inf.25.1.1</w:t>
        </w:r>
      </w:hyperlink>
    </w:p>
    <w:p w14:paraId="7EF4B2B2" w14:textId="77777777" w:rsidR="007A5544" w:rsidRPr="00BD44E7" w:rsidRDefault="007A5544" w:rsidP="005E607A">
      <w:pPr>
        <w:jc w:val="both"/>
        <w:rPr>
          <w:rFonts w:ascii="Arial" w:eastAsia="MS Mincho" w:hAnsi="Arial" w:cs="Arial"/>
          <w:color w:val="000000"/>
          <w:sz w:val="22"/>
          <w:szCs w:val="22"/>
          <w:lang w:val="fr-FR"/>
        </w:rPr>
      </w:pPr>
    </w:p>
    <w:p w14:paraId="0C785A8B" w14:textId="77777777" w:rsidR="007A5544" w:rsidRPr="00013AAB" w:rsidRDefault="007A5544" w:rsidP="005E607A">
      <w:pPr>
        <w:jc w:val="both"/>
        <w:rPr>
          <w:rFonts w:ascii="Arial" w:eastAsia="MS Mincho" w:hAnsi="Arial" w:cs="Arial"/>
          <w:color w:val="000000"/>
          <w:sz w:val="22"/>
          <w:szCs w:val="22"/>
        </w:rPr>
      </w:pPr>
      <w:r w:rsidRPr="00BD44E7">
        <w:rPr>
          <w:rFonts w:ascii="Arial" w:eastAsia="MS Mincho" w:hAnsi="Arial" w:cs="Arial"/>
          <w:color w:val="000000"/>
          <w:sz w:val="22"/>
          <w:szCs w:val="22"/>
          <w:lang w:val="fr-FR"/>
        </w:rPr>
        <w:t xml:space="preserve">ISSF (2024). Guide de construction du Jelly-FAD. Construire des dispositifs de concentration de poissons sans filet et biodégradables pour une pêche au thon durable. </w:t>
      </w:r>
      <w:hyperlink r:id="rId25" w:history="1">
        <w:r w:rsidRPr="00013AAB">
          <w:rPr>
            <w:rStyle w:val="Hyperlink"/>
            <w:rFonts w:ascii="Arial" w:eastAsia="MS Mincho" w:hAnsi="Arial" w:cs="Arial"/>
            <w:sz w:val="22"/>
            <w:szCs w:val="22"/>
          </w:rPr>
          <w:t>https://www.iss-foundation.org/about-issf/what-we-publish/issf-documents/jelly-fad-construction-guide/</w:t>
        </w:r>
      </w:hyperlink>
    </w:p>
    <w:p w14:paraId="00362DFD" w14:textId="77777777" w:rsidR="007A5544" w:rsidRPr="00013AAB" w:rsidRDefault="007A5544" w:rsidP="005E607A">
      <w:pPr>
        <w:jc w:val="both"/>
        <w:rPr>
          <w:rFonts w:ascii="Arial" w:eastAsia="MS Mincho" w:hAnsi="Arial" w:cs="Arial"/>
          <w:color w:val="000000"/>
          <w:sz w:val="22"/>
          <w:szCs w:val="22"/>
        </w:rPr>
      </w:pPr>
    </w:p>
    <w:p w14:paraId="398EEBD2" w14:textId="77777777" w:rsidR="007A5544" w:rsidRPr="00BD44E7" w:rsidRDefault="007A5544" w:rsidP="005E607A">
      <w:pPr>
        <w:jc w:val="both"/>
        <w:rPr>
          <w:rFonts w:ascii="Arial" w:eastAsia="MS Mincho" w:hAnsi="Arial" w:cs="Arial"/>
          <w:b/>
          <w:bCs/>
          <w:color w:val="000000"/>
          <w:sz w:val="22"/>
          <w:szCs w:val="22"/>
          <w:u w:val="single"/>
          <w:lang w:val="fr-FR"/>
        </w:rPr>
      </w:pPr>
      <w:r w:rsidRPr="00BD44E7">
        <w:rPr>
          <w:rFonts w:ascii="Arial" w:eastAsia="MS Mincho" w:hAnsi="Arial" w:cs="Arial"/>
          <w:b/>
          <w:bCs/>
          <w:color w:val="000000"/>
          <w:sz w:val="22"/>
          <w:szCs w:val="22"/>
          <w:u w:val="single"/>
          <w:lang w:val="fr-FR"/>
        </w:rPr>
        <w:t>Oiseaux de mer</w:t>
      </w:r>
    </w:p>
    <w:p w14:paraId="3AF9B7E0" w14:textId="77777777" w:rsidR="007A5544" w:rsidRPr="00BD44E7" w:rsidRDefault="007A5544" w:rsidP="005E607A">
      <w:pPr>
        <w:jc w:val="both"/>
        <w:rPr>
          <w:rFonts w:ascii="Arial" w:eastAsia="MS Mincho" w:hAnsi="Arial" w:cs="Arial"/>
          <w:b/>
          <w:bCs/>
          <w:color w:val="000000"/>
          <w:sz w:val="22"/>
          <w:szCs w:val="22"/>
          <w:u w:val="single"/>
          <w:lang w:val="fr-FR"/>
        </w:rPr>
      </w:pPr>
    </w:p>
    <w:p w14:paraId="190FD369" w14:textId="77777777" w:rsidR="007A5544" w:rsidRPr="00BD44E7" w:rsidRDefault="007A5544" w:rsidP="005E607A">
      <w:pPr>
        <w:jc w:val="both"/>
        <w:rPr>
          <w:rFonts w:ascii="Arial" w:eastAsia="MS Mincho" w:hAnsi="Arial" w:cs="Arial"/>
          <w:color w:val="000000"/>
          <w:sz w:val="22"/>
          <w:szCs w:val="22"/>
          <w:lang w:val="fr-FR"/>
        </w:rPr>
      </w:pPr>
      <w:r w:rsidRPr="00BD44E7">
        <w:rPr>
          <w:rFonts w:ascii="Arial" w:eastAsia="MS Mincho" w:hAnsi="Arial" w:cs="Arial"/>
          <w:color w:val="000000"/>
          <w:sz w:val="22"/>
          <w:szCs w:val="22"/>
          <w:lang w:val="fr-FR"/>
        </w:rPr>
        <w:t xml:space="preserve">Accord sur la conservation des albatros et des pétrels (ACAP). </w:t>
      </w:r>
      <w:r w:rsidRPr="00BD44E7">
        <w:rPr>
          <w:rFonts w:ascii="Arial" w:eastAsia="MS Mincho" w:hAnsi="Arial" w:cs="Arial"/>
          <w:color w:val="000000" w:themeColor="text1"/>
          <w:sz w:val="22"/>
          <w:szCs w:val="22"/>
          <w:lang w:val="fr-FR"/>
        </w:rPr>
        <w:t xml:space="preserve">Conseils pour l’atténuation des prises accessoires. </w:t>
      </w:r>
      <w:hyperlink r:id="rId26" w:history="1">
        <w:r w:rsidRPr="00BD44E7">
          <w:rPr>
            <w:rStyle w:val="Hyperlink"/>
            <w:rFonts w:ascii="Arial" w:eastAsia="MS Mincho" w:hAnsi="Arial" w:cs="Arial"/>
            <w:sz w:val="22"/>
            <w:szCs w:val="22"/>
            <w:lang w:val="fr-FR"/>
          </w:rPr>
          <w:t>https://www.acap.aq/fr/ressources/captures-accessoires</w:t>
        </w:r>
      </w:hyperlink>
    </w:p>
    <w:p w14:paraId="0F2E1E1E" w14:textId="77777777" w:rsidR="007A5544" w:rsidRPr="00BD44E7" w:rsidRDefault="007A5544" w:rsidP="005E607A">
      <w:pPr>
        <w:pStyle w:val="ListParagraph"/>
        <w:suppressAutoHyphens/>
        <w:ind w:left="0"/>
        <w:contextualSpacing w:val="0"/>
        <w:rPr>
          <w:rFonts w:cs="Arial"/>
          <w:lang w:val="fr-FR"/>
        </w:rPr>
      </w:pPr>
    </w:p>
    <w:p w14:paraId="7746167F" w14:textId="77777777" w:rsidR="007A5544" w:rsidRPr="00BD44E7" w:rsidRDefault="007A5544" w:rsidP="005E607A">
      <w:pPr>
        <w:pStyle w:val="ListParagraph"/>
        <w:suppressAutoHyphens/>
        <w:ind w:left="0"/>
        <w:contextualSpacing w:val="0"/>
        <w:rPr>
          <w:rFonts w:cs="Arial"/>
          <w:lang w:val="fr-FR"/>
        </w:rPr>
        <w:sectPr w:rsidR="007A5544" w:rsidRPr="00BD44E7" w:rsidSect="007A5544">
          <w:headerReference w:type="even" r:id="rId27"/>
          <w:headerReference w:type="default" r:id="rId28"/>
          <w:footerReference w:type="even" r:id="rId29"/>
          <w:footerReference w:type="default" r:id="rId30"/>
          <w:headerReference w:type="first" r:id="rId31"/>
          <w:pgSz w:w="11906" w:h="16838" w:code="9"/>
          <w:pgMar w:top="1440" w:right="1440" w:bottom="1440" w:left="1440" w:header="568" w:footer="720" w:gutter="0"/>
          <w:cols w:space="720"/>
          <w:titlePg/>
          <w:docGrid w:linePitch="360"/>
        </w:sectPr>
      </w:pPr>
    </w:p>
    <w:p w14:paraId="38EE36BD" w14:textId="77777777" w:rsidR="007A5544" w:rsidRPr="00BD44E7" w:rsidRDefault="007A5544" w:rsidP="005E607A">
      <w:pPr>
        <w:jc w:val="center"/>
        <w:rPr>
          <w:rFonts w:ascii="Arial" w:hAnsi="Arial" w:cs="Arial"/>
          <w:sz w:val="22"/>
          <w:szCs w:val="22"/>
          <w:lang w:val="fr-FR"/>
        </w:rPr>
      </w:pPr>
      <w:r w:rsidRPr="00BD44E7">
        <w:rPr>
          <w:rFonts w:ascii="Arial" w:hAnsi="Arial" w:cs="Arial"/>
          <w:sz w:val="22"/>
          <w:szCs w:val="22"/>
          <w:lang w:val="fr-FR"/>
        </w:rPr>
        <w:lastRenderedPageBreak/>
        <w:t>PROJET DE DÉCISIONS</w:t>
      </w:r>
    </w:p>
    <w:p w14:paraId="25B6CD6C" w14:textId="77777777" w:rsidR="007A5544" w:rsidRPr="00BD44E7" w:rsidRDefault="007A5544" w:rsidP="005E607A">
      <w:pPr>
        <w:jc w:val="center"/>
        <w:rPr>
          <w:rFonts w:ascii="Arial" w:hAnsi="Arial" w:cs="Arial"/>
          <w:sz w:val="22"/>
          <w:szCs w:val="22"/>
          <w:lang w:val="fr-FR"/>
        </w:rPr>
      </w:pPr>
    </w:p>
    <w:p w14:paraId="70F37D20" w14:textId="77777777" w:rsidR="007A5544" w:rsidRPr="00BD44E7" w:rsidRDefault="007A5544" w:rsidP="005E607A">
      <w:pPr>
        <w:pBdr>
          <w:top w:val="single" w:sz="6" w:space="0" w:color="FFFFFF"/>
          <w:left w:val="single" w:sz="6" w:space="0" w:color="FFFFFF"/>
          <w:bottom w:val="single" w:sz="6" w:space="0" w:color="FFFFFF"/>
          <w:right w:val="single" w:sz="6" w:space="0" w:color="FFFFFF"/>
        </w:pBdr>
        <w:spacing w:after="120"/>
        <w:ind w:left="-86" w:right="-360"/>
        <w:jc w:val="center"/>
        <w:outlineLvl w:val="1"/>
        <w:rPr>
          <w:rFonts w:ascii="Arial" w:hAnsi="Arial" w:cs="Arial"/>
          <w:b/>
          <w:bCs/>
          <w:sz w:val="22"/>
          <w:szCs w:val="22"/>
          <w:lang w:val="fr-FR"/>
        </w:rPr>
      </w:pPr>
      <w:r w:rsidRPr="00BD44E7">
        <w:rPr>
          <w:rFonts w:ascii="Arial" w:hAnsi="Arial" w:cs="Arial"/>
          <w:b/>
          <w:bCs/>
          <w:sz w:val="22"/>
          <w:szCs w:val="22"/>
          <w:lang w:val="fr-FR"/>
        </w:rPr>
        <w:t>PRISES ACCESSOIRES ET AUTRES FORMES DE MORTALITÉ DUES À LA PÊCHE</w:t>
      </w:r>
    </w:p>
    <w:p w14:paraId="48142D1C" w14:textId="77777777" w:rsidR="007A5544" w:rsidRPr="00BD44E7" w:rsidRDefault="007A5544" w:rsidP="005E607A">
      <w:pPr>
        <w:jc w:val="center"/>
        <w:rPr>
          <w:rFonts w:ascii="Arial" w:hAnsi="Arial" w:cs="Arial"/>
          <w:b/>
          <w:bCs/>
          <w:sz w:val="22"/>
          <w:szCs w:val="22"/>
          <w:lang w:val="fr-FR"/>
        </w:rPr>
      </w:pPr>
    </w:p>
    <w:p w14:paraId="49136802" w14:textId="77777777" w:rsidR="007A5544" w:rsidRPr="00BD44E7" w:rsidRDefault="007A5544" w:rsidP="005E607A">
      <w:pPr>
        <w:rPr>
          <w:rFonts w:ascii="Arial" w:hAnsi="Arial" w:cs="Arial"/>
          <w:b/>
          <w:i/>
          <w:sz w:val="22"/>
          <w:szCs w:val="22"/>
          <w:lang w:val="fr-FR"/>
        </w:rPr>
      </w:pPr>
      <w:r w:rsidRPr="00BD44E7">
        <w:rPr>
          <w:rFonts w:ascii="Arial" w:hAnsi="Arial" w:cs="Arial"/>
          <w:b/>
          <w:i/>
          <w:sz w:val="22"/>
          <w:szCs w:val="22"/>
          <w:lang w:val="fr-FR"/>
        </w:rPr>
        <w:t xml:space="preserve">À l’adresse des Parties </w:t>
      </w:r>
    </w:p>
    <w:p w14:paraId="0889F098" w14:textId="77777777" w:rsidR="007A5544" w:rsidRPr="00BD44E7" w:rsidRDefault="007A5544" w:rsidP="005E607A">
      <w:pPr>
        <w:jc w:val="both"/>
        <w:rPr>
          <w:rFonts w:ascii="Arial" w:hAnsi="Arial" w:cs="Arial"/>
          <w:b/>
          <w:i/>
          <w:sz w:val="22"/>
          <w:szCs w:val="22"/>
          <w:lang w:val="fr-FR"/>
        </w:rPr>
      </w:pPr>
    </w:p>
    <w:p w14:paraId="29B8441D" w14:textId="77777777" w:rsidR="00223431" w:rsidRPr="00BD44E7" w:rsidRDefault="007A5544" w:rsidP="005E607A">
      <w:pPr>
        <w:ind w:left="851" w:hanging="851"/>
        <w:jc w:val="both"/>
        <w:rPr>
          <w:rFonts w:ascii="Arial" w:hAnsi="Arial" w:cs="Arial"/>
          <w:iCs/>
          <w:sz w:val="22"/>
          <w:szCs w:val="22"/>
          <w:lang w:val="fr-FR"/>
        </w:rPr>
      </w:pPr>
      <w:r w:rsidRPr="00BD44E7">
        <w:rPr>
          <w:rFonts w:ascii="Arial" w:hAnsi="Arial" w:cs="Arial"/>
          <w:sz w:val="22"/>
          <w:szCs w:val="22"/>
          <w:lang w:val="fr-FR"/>
        </w:rPr>
        <w:t>15.AA</w:t>
      </w:r>
      <w:r w:rsidRPr="00BD44E7">
        <w:rPr>
          <w:rFonts w:ascii="Arial" w:hAnsi="Arial" w:cs="Arial"/>
          <w:sz w:val="22"/>
          <w:szCs w:val="22"/>
          <w:lang w:val="fr-FR"/>
        </w:rPr>
        <w:tab/>
      </w:r>
      <w:r w:rsidRPr="00BD44E7">
        <w:rPr>
          <w:rFonts w:ascii="Arial" w:hAnsi="Arial" w:cs="Arial"/>
          <w:iCs/>
          <w:sz w:val="22"/>
          <w:szCs w:val="22"/>
          <w:lang w:val="fr-FR"/>
        </w:rPr>
        <w:t>Les Parties sont priées d</w:t>
      </w:r>
      <w:r w:rsidR="00223431" w:rsidRPr="00BD44E7">
        <w:rPr>
          <w:rFonts w:ascii="Arial" w:hAnsi="Arial" w:cs="Arial"/>
          <w:iCs/>
          <w:sz w:val="22"/>
          <w:szCs w:val="22"/>
          <w:lang w:val="fr-FR"/>
        </w:rPr>
        <w:t>e :</w:t>
      </w:r>
    </w:p>
    <w:p w14:paraId="46411266" w14:textId="77777777" w:rsidR="00223431" w:rsidRPr="00BD44E7" w:rsidRDefault="00223431" w:rsidP="005E607A">
      <w:pPr>
        <w:ind w:left="851" w:hanging="851"/>
        <w:jc w:val="both"/>
        <w:rPr>
          <w:rFonts w:ascii="Arial" w:hAnsi="Arial" w:cs="Arial"/>
          <w:iCs/>
          <w:sz w:val="22"/>
          <w:szCs w:val="22"/>
          <w:lang w:val="fr-FR"/>
        </w:rPr>
      </w:pPr>
    </w:p>
    <w:p w14:paraId="2EDF9EDB" w14:textId="457005CB" w:rsidR="007A5544" w:rsidRPr="00BD44E7" w:rsidRDefault="00223431" w:rsidP="005E607A">
      <w:pPr>
        <w:ind w:left="1439" w:hanging="588"/>
        <w:jc w:val="both"/>
        <w:rPr>
          <w:rFonts w:ascii="Arial" w:hAnsi="Arial" w:cs="Arial"/>
          <w:sz w:val="22"/>
          <w:szCs w:val="22"/>
          <w:lang w:val="fr-FR"/>
        </w:rPr>
      </w:pPr>
      <w:r w:rsidRPr="00BD44E7">
        <w:rPr>
          <w:rFonts w:ascii="Arial" w:hAnsi="Arial" w:cs="Arial"/>
          <w:sz w:val="22"/>
          <w:szCs w:val="22"/>
          <w:lang w:val="fr-FR"/>
        </w:rPr>
        <w:t>a)</w:t>
      </w:r>
      <w:r w:rsidRPr="00BD44E7">
        <w:rPr>
          <w:rFonts w:ascii="Arial" w:hAnsi="Arial" w:cs="Arial"/>
          <w:sz w:val="22"/>
          <w:szCs w:val="22"/>
          <w:lang w:val="fr-FR"/>
        </w:rPr>
        <w:tab/>
      </w:r>
      <w:r w:rsidR="007A5544" w:rsidRPr="00BD44E7">
        <w:rPr>
          <w:rFonts w:ascii="Arial" w:hAnsi="Arial" w:cs="Arial"/>
          <w:sz w:val="22"/>
          <w:szCs w:val="22"/>
          <w:lang w:val="fr-FR"/>
        </w:rPr>
        <w:t>appliquer les recommandations de Breimann et Baker</w:t>
      </w:r>
      <w:r w:rsidR="007A5544" w:rsidRPr="00BD44E7">
        <w:rPr>
          <w:rFonts w:ascii="Arial" w:hAnsi="Arial" w:cs="Arial"/>
          <w:i/>
          <w:sz w:val="22"/>
          <w:szCs w:val="22"/>
          <w:lang w:val="fr-FR"/>
        </w:rPr>
        <w:t xml:space="preserve"> </w:t>
      </w:r>
      <w:r w:rsidR="007A5544" w:rsidRPr="00BD44E7">
        <w:rPr>
          <w:rFonts w:ascii="Arial" w:hAnsi="Arial" w:cs="Arial"/>
          <w:sz w:val="22"/>
          <w:szCs w:val="22"/>
          <w:lang w:val="fr-FR"/>
        </w:rPr>
        <w:t xml:space="preserve">(2025) </w:t>
      </w:r>
      <w:r w:rsidRPr="00BD44E7">
        <w:rPr>
          <w:rFonts w:ascii="Arial" w:hAnsi="Arial" w:cs="Arial"/>
          <w:sz w:val="22"/>
          <w:szCs w:val="22"/>
          <w:lang w:val="fr-FR"/>
        </w:rPr>
        <w:t xml:space="preserve">sur la réduction </w:t>
      </w:r>
      <w:r w:rsidR="007A5544" w:rsidRPr="00BD44E7">
        <w:rPr>
          <w:rFonts w:ascii="Arial" w:hAnsi="Arial" w:cs="Arial"/>
          <w:sz w:val="22"/>
          <w:szCs w:val="22"/>
          <w:lang w:val="fr-FR"/>
        </w:rPr>
        <w:t xml:space="preserve">des prises accessoires de tortues marines </w:t>
      </w:r>
      <w:r w:rsidRPr="00BD44E7">
        <w:rPr>
          <w:rFonts w:ascii="Arial" w:hAnsi="Arial" w:cs="Arial"/>
          <w:sz w:val="22"/>
          <w:szCs w:val="22"/>
          <w:lang w:val="fr-FR"/>
        </w:rPr>
        <w:t>figurant</w:t>
      </w:r>
      <w:r w:rsidR="007A5544" w:rsidRPr="00BD44E7">
        <w:rPr>
          <w:rFonts w:ascii="Arial" w:hAnsi="Arial" w:cs="Arial"/>
          <w:sz w:val="22"/>
          <w:szCs w:val="22"/>
          <w:lang w:val="fr-FR"/>
        </w:rPr>
        <w:t xml:space="preserve"> dans l’Annexe 1</w:t>
      </w:r>
      <w:r w:rsidRPr="00BD44E7">
        <w:rPr>
          <w:rFonts w:ascii="Arial" w:hAnsi="Arial" w:cs="Arial"/>
          <w:sz w:val="22"/>
          <w:szCs w:val="22"/>
          <w:lang w:val="fr-FR"/>
        </w:rPr>
        <w:t> ; et</w:t>
      </w:r>
    </w:p>
    <w:p w14:paraId="36EFFDBE" w14:textId="77777777" w:rsidR="00223431" w:rsidRPr="00BD44E7" w:rsidRDefault="00223431" w:rsidP="005E607A">
      <w:pPr>
        <w:ind w:left="1439" w:hanging="588"/>
        <w:jc w:val="both"/>
        <w:rPr>
          <w:rFonts w:ascii="Arial" w:hAnsi="Arial" w:cs="Arial"/>
          <w:sz w:val="22"/>
          <w:szCs w:val="22"/>
          <w:lang w:val="fr-FR"/>
        </w:rPr>
      </w:pPr>
    </w:p>
    <w:p w14:paraId="2C9695D9" w14:textId="5788B0AC" w:rsidR="00223431" w:rsidRPr="00BD44E7" w:rsidRDefault="00223431" w:rsidP="005E607A">
      <w:pPr>
        <w:ind w:left="1439" w:hanging="588"/>
        <w:jc w:val="both"/>
        <w:rPr>
          <w:rFonts w:ascii="Arial" w:hAnsi="Arial" w:cs="Arial"/>
          <w:sz w:val="22"/>
          <w:szCs w:val="22"/>
          <w:lang w:val="fr-FR"/>
        </w:rPr>
      </w:pPr>
      <w:r w:rsidRPr="00BD44E7">
        <w:rPr>
          <w:rFonts w:ascii="Arial" w:hAnsi="Arial" w:cs="Arial"/>
          <w:sz w:val="22"/>
          <w:szCs w:val="22"/>
          <w:lang w:val="fr-FR"/>
        </w:rPr>
        <w:t>b)</w:t>
      </w:r>
      <w:r w:rsidRPr="00BD44E7">
        <w:rPr>
          <w:rFonts w:ascii="Arial" w:hAnsi="Arial" w:cs="Arial"/>
          <w:sz w:val="22"/>
          <w:szCs w:val="22"/>
          <w:lang w:val="fr-FR"/>
        </w:rPr>
        <w:tab/>
        <w:t xml:space="preserve">encourager les organes régionaux des pêches (ORP) et les autres organismes compétents à réaliser des évaluations de population </w:t>
      </w:r>
      <w:r w:rsidR="00EB2027" w:rsidRPr="00BD44E7">
        <w:rPr>
          <w:rFonts w:ascii="Arial" w:hAnsi="Arial" w:cs="Arial"/>
          <w:sz w:val="22"/>
          <w:szCs w:val="22"/>
          <w:lang w:val="fr-FR"/>
        </w:rPr>
        <w:t>portant sur les</w:t>
      </w:r>
      <w:r w:rsidRPr="00BD44E7">
        <w:rPr>
          <w:rFonts w:ascii="Arial" w:hAnsi="Arial" w:cs="Arial"/>
          <w:sz w:val="22"/>
          <w:szCs w:val="22"/>
          <w:lang w:val="fr-FR"/>
        </w:rPr>
        <w:t xml:space="preserve"> espèces inscrites aux </w:t>
      </w:r>
      <w:r w:rsidR="00EB2027" w:rsidRPr="00BD44E7">
        <w:rPr>
          <w:rFonts w:ascii="Arial" w:hAnsi="Arial" w:cs="Arial"/>
          <w:sz w:val="22"/>
          <w:szCs w:val="22"/>
          <w:lang w:val="fr-FR"/>
        </w:rPr>
        <w:t>A</w:t>
      </w:r>
      <w:r w:rsidRPr="00BD44E7">
        <w:rPr>
          <w:rFonts w:ascii="Arial" w:hAnsi="Arial" w:cs="Arial"/>
          <w:sz w:val="22"/>
          <w:szCs w:val="22"/>
          <w:lang w:val="fr-FR"/>
        </w:rPr>
        <w:t xml:space="preserve">nnexes de la CMS afin de </w:t>
      </w:r>
      <w:r w:rsidR="00EB2027" w:rsidRPr="00BD44E7">
        <w:rPr>
          <w:rFonts w:ascii="Arial" w:hAnsi="Arial" w:cs="Arial"/>
          <w:sz w:val="22"/>
          <w:szCs w:val="22"/>
          <w:lang w:val="fr-FR"/>
        </w:rPr>
        <w:t>mieux cerner</w:t>
      </w:r>
      <w:r w:rsidRPr="00BD44E7">
        <w:rPr>
          <w:rFonts w:ascii="Arial" w:hAnsi="Arial" w:cs="Arial"/>
          <w:sz w:val="22"/>
          <w:szCs w:val="22"/>
          <w:lang w:val="fr-FR"/>
        </w:rPr>
        <w:t xml:space="preserve"> l'état actuel de ces taxons</w:t>
      </w:r>
      <w:r w:rsidR="00EB2027" w:rsidRPr="00BD44E7">
        <w:rPr>
          <w:rFonts w:ascii="Arial" w:hAnsi="Arial" w:cs="Arial"/>
          <w:sz w:val="22"/>
          <w:szCs w:val="22"/>
          <w:lang w:val="fr-FR"/>
        </w:rPr>
        <w:t xml:space="preserve"> et l’évolution de leur population</w:t>
      </w:r>
      <w:r w:rsidRPr="00BD44E7">
        <w:rPr>
          <w:rFonts w:ascii="Arial" w:hAnsi="Arial" w:cs="Arial"/>
          <w:sz w:val="22"/>
          <w:szCs w:val="22"/>
          <w:lang w:val="fr-FR"/>
        </w:rPr>
        <w:t>. Ces analyses devr</w:t>
      </w:r>
      <w:r w:rsidR="00EB2027" w:rsidRPr="00BD44E7">
        <w:rPr>
          <w:rFonts w:ascii="Arial" w:hAnsi="Arial" w:cs="Arial"/>
          <w:sz w:val="22"/>
          <w:szCs w:val="22"/>
          <w:lang w:val="fr-FR"/>
        </w:rPr>
        <w:t>o</w:t>
      </w:r>
      <w:r w:rsidRPr="00BD44E7">
        <w:rPr>
          <w:rFonts w:ascii="Arial" w:hAnsi="Arial" w:cs="Arial"/>
          <w:sz w:val="22"/>
          <w:szCs w:val="22"/>
          <w:lang w:val="fr-FR"/>
        </w:rPr>
        <w:t>nt être menées au niveau de l'espèce</w:t>
      </w:r>
      <w:r w:rsidR="00EB2027" w:rsidRPr="00BD44E7">
        <w:rPr>
          <w:rFonts w:ascii="Arial" w:hAnsi="Arial" w:cs="Arial"/>
          <w:sz w:val="22"/>
          <w:szCs w:val="22"/>
          <w:lang w:val="fr-FR"/>
        </w:rPr>
        <w:t>,</w:t>
      </w:r>
      <w:r w:rsidRPr="00BD44E7">
        <w:rPr>
          <w:rFonts w:ascii="Arial" w:hAnsi="Arial" w:cs="Arial"/>
          <w:sz w:val="22"/>
          <w:szCs w:val="22"/>
          <w:lang w:val="fr-FR"/>
        </w:rPr>
        <w:t xml:space="preserve"> lorsque cela </w:t>
      </w:r>
      <w:r w:rsidR="00EB2027" w:rsidRPr="00BD44E7">
        <w:rPr>
          <w:rFonts w:ascii="Arial" w:hAnsi="Arial" w:cs="Arial"/>
          <w:sz w:val="22"/>
          <w:szCs w:val="22"/>
          <w:lang w:val="fr-FR"/>
        </w:rPr>
        <w:t>sera</w:t>
      </w:r>
      <w:r w:rsidRPr="00BD44E7">
        <w:rPr>
          <w:rFonts w:ascii="Arial" w:hAnsi="Arial" w:cs="Arial"/>
          <w:sz w:val="22"/>
          <w:szCs w:val="22"/>
          <w:lang w:val="fr-FR"/>
        </w:rPr>
        <w:t xml:space="preserve"> possible</w:t>
      </w:r>
      <w:r w:rsidR="00EB2027" w:rsidRPr="00BD44E7">
        <w:rPr>
          <w:rFonts w:ascii="Arial" w:hAnsi="Arial" w:cs="Arial"/>
          <w:sz w:val="22"/>
          <w:szCs w:val="22"/>
          <w:lang w:val="fr-FR"/>
        </w:rPr>
        <w:t>,</w:t>
      </w:r>
      <w:r w:rsidRPr="00BD44E7">
        <w:rPr>
          <w:rFonts w:ascii="Arial" w:hAnsi="Arial" w:cs="Arial"/>
          <w:sz w:val="22"/>
          <w:szCs w:val="22"/>
          <w:lang w:val="fr-FR"/>
        </w:rPr>
        <w:t xml:space="preserve"> </w:t>
      </w:r>
      <w:r w:rsidR="00EB2027" w:rsidRPr="00BD44E7">
        <w:rPr>
          <w:rFonts w:ascii="Arial" w:hAnsi="Arial" w:cs="Arial"/>
          <w:sz w:val="22"/>
          <w:szCs w:val="22"/>
          <w:lang w:val="fr-FR"/>
        </w:rPr>
        <w:t>dans des zones</w:t>
      </w:r>
      <w:r w:rsidRPr="00BD44E7">
        <w:rPr>
          <w:rFonts w:ascii="Arial" w:hAnsi="Arial" w:cs="Arial"/>
          <w:sz w:val="22"/>
          <w:szCs w:val="22"/>
          <w:lang w:val="fr-FR"/>
        </w:rPr>
        <w:t xml:space="preserve"> d'étude </w:t>
      </w:r>
      <w:r w:rsidR="00EB2027" w:rsidRPr="00BD44E7">
        <w:rPr>
          <w:rFonts w:ascii="Arial" w:hAnsi="Arial" w:cs="Arial"/>
          <w:sz w:val="22"/>
          <w:szCs w:val="22"/>
          <w:lang w:val="fr-FR"/>
        </w:rPr>
        <w:t>précises</w:t>
      </w:r>
      <w:r w:rsidRPr="00BD44E7">
        <w:rPr>
          <w:rFonts w:ascii="Arial" w:hAnsi="Arial" w:cs="Arial"/>
          <w:sz w:val="22"/>
          <w:szCs w:val="22"/>
          <w:lang w:val="fr-FR"/>
        </w:rPr>
        <w:t xml:space="preserve">. Si les données </w:t>
      </w:r>
      <w:r w:rsidR="00EB2027" w:rsidRPr="00BD44E7">
        <w:rPr>
          <w:rFonts w:ascii="Arial" w:hAnsi="Arial" w:cs="Arial"/>
          <w:sz w:val="22"/>
          <w:szCs w:val="22"/>
          <w:lang w:val="fr-FR"/>
        </w:rPr>
        <w:t>par</w:t>
      </w:r>
      <w:r w:rsidRPr="00BD44E7">
        <w:rPr>
          <w:rFonts w:ascii="Arial" w:hAnsi="Arial" w:cs="Arial"/>
          <w:sz w:val="22"/>
          <w:szCs w:val="22"/>
          <w:lang w:val="fr-FR"/>
        </w:rPr>
        <w:t xml:space="preserve"> espèce sont insuffisantes pour une zone donnée, </w:t>
      </w:r>
      <w:r w:rsidR="00D51038" w:rsidRPr="00BD44E7">
        <w:rPr>
          <w:rFonts w:ascii="Arial" w:hAnsi="Arial" w:cs="Arial"/>
          <w:sz w:val="22"/>
          <w:szCs w:val="22"/>
          <w:lang w:val="fr-FR"/>
        </w:rPr>
        <w:t xml:space="preserve">alors </w:t>
      </w:r>
      <w:r w:rsidRPr="00BD44E7">
        <w:rPr>
          <w:rFonts w:ascii="Arial" w:hAnsi="Arial" w:cs="Arial"/>
          <w:sz w:val="22"/>
          <w:szCs w:val="22"/>
          <w:lang w:val="fr-FR"/>
        </w:rPr>
        <w:t>les analyses pour</w:t>
      </w:r>
      <w:r w:rsidR="00EB2027" w:rsidRPr="00BD44E7">
        <w:rPr>
          <w:rFonts w:ascii="Arial" w:hAnsi="Arial" w:cs="Arial"/>
          <w:sz w:val="22"/>
          <w:szCs w:val="22"/>
          <w:lang w:val="fr-FR"/>
        </w:rPr>
        <w:t>ro</w:t>
      </w:r>
      <w:r w:rsidRPr="00BD44E7">
        <w:rPr>
          <w:rFonts w:ascii="Arial" w:hAnsi="Arial" w:cs="Arial"/>
          <w:sz w:val="22"/>
          <w:szCs w:val="22"/>
          <w:lang w:val="fr-FR"/>
        </w:rPr>
        <w:t xml:space="preserve">nt être menées au niveau du genre. </w:t>
      </w:r>
      <w:r w:rsidR="00D51038" w:rsidRPr="00BD44E7">
        <w:rPr>
          <w:rFonts w:ascii="Arial" w:hAnsi="Arial" w:cs="Arial"/>
          <w:sz w:val="22"/>
          <w:szCs w:val="22"/>
          <w:lang w:val="fr-FR"/>
        </w:rPr>
        <w:t>En cas</w:t>
      </w:r>
      <w:r w:rsidRPr="00BD44E7">
        <w:rPr>
          <w:rFonts w:ascii="Arial" w:hAnsi="Arial" w:cs="Arial"/>
          <w:sz w:val="22"/>
          <w:szCs w:val="22"/>
          <w:lang w:val="fr-FR"/>
        </w:rPr>
        <w:t xml:space="preserve"> </w:t>
      </w:r>
      <w:r w:rsidR="00D51038" w:rsidRPr="00BD44E7">
        <w:rPr>
          <w:rFonts w:ascii="Arial" w:hAnsi="Arial" w:cs="Arial"/>
          <w:sz w:val="22"/>
          <w:szCs w:val="22"/>
          <w:lang w:val="fr-FR"/>
        </w:rPr>
        <w:t>d’</w:t>
      </w:r>
      <w:r w:rsidRPr="00BD44E7">
        <w:rPr>
          <w:rFonts w:ascii="Arial" w:hAnsi="Arial" w:cs="Arial"/>
          <w:sz w:val="22"/>
          <w:szCs w:val="22"/>
          <w:lang w:val="fr-FR"/>
        </w:rPr>
        <w:t xml:space="preserve">analyses menées au niveau du genre, </w:t>
      </w:r>
      <w:r w:rsidR="00D51038" w:rsidRPr="00BD44E7">
        <w:rPr>
          <w:rFonts w:ascii="Arial" w:hAnsi="Arial" w:cs="Arial"/>
          <w:sz w:val="22"/>
          <w:szCs w:val="22"/>
          <w:lang w:val="fr-FR"/>
        </w:rPr>
        <w:t>il pourra être utile de mettre à disposition des</w:t>
      </w:r>
      <w:r w:rsidRPr="00BD44E7">
        <w:rPr>
          <w:rFonts w:ascii="Arial" w:hAnsi="Arial" w:cs="Arial"/>
          <w:sz w:val="22"/>
          <w:szCs w:val="22"/>
          <w:lang w:val="fr-FR"/>
        </w:rPr>
        <w:t xml:space="preserve"> ensembles de données pertinents </w:t>
      </w:r>
      <w:r w:rsidR="00D51038" w:rsidRPr="00BD44E7">
        <w:rPr>
          <w:rFonts w:ascii="Arial" w:hAnsi="Arial" w:cs="Arial"/>
          <w:sz w:val="22"/>
          <w:szCs w:val="22"/>
          <w:lang w:val="fr-FR"/>
        </w:rPr>
        <w:t>susceptibles de fournir des informations sur les</w:t>
      </w:r>
      <w:r w:rsidRPr="00BD44E7">
        <w:rPr>
          <w:rFonts w:ascii="Arial" w:hAnsi="Arial" w:cs="Arial"/>
          <w:sz w:val="22"/>
          <w:szCs w:val="22"/>
          <w:lang w:val="fr-FR"/>
        </w:rPr>
        <w:t xml:space="preserve"> espèces </w:t>
      </w:r>
      <w:r w:rsidR="00D51038" w:rsidRPr="00BD44E7">
        <w:rPr>
          <w:rFonts w:ascii="Arial" w:hAnsi="Arial" w:cs="Arial"/>
          <w:sz w:val="22"/>
          <w:szCs w:val="22"/>
          <w:lang w:val="fr-FR"/>
        </w:rPr>
        <w:t>présentes dans</w:t>
      </w:r>
      <w:r w:rsidRPr="00BD44E7">
        <w:rPr>
          <w:rFonts w:ascii="Arial" w:hAnsi="Arial" w:cs="Arial"/>
          <w:sz w:val="22"/>
          <w:szCs w:val="22"/>
          <w:lang w:val="fr-FR"/>
        </w:rPr>
        <w:t xml:space="preserve"> la zone (ou </w:t>
      </w:r>
      <w:r w:rsidR="00925711" w:rsidRPr="00BD44E7">
        <w:rPr>
          <w:rFonts w:ascii="Arial" w:hAnsi="Arial" w:cs="Arial"/>
          <w:sz w:val="22"/>
          <w:szCs w:val="22"/>
          <w:lang w:val="fr-FR"/>
        </w:rPr>
        <w:t>concernant</w:t>
      </w:r>
      <w:r w:rsidRPr="00BD44E7">
        <w:rPr>
          <w:rFonts w:ascii="Arial" w:hAnsi="Arial" w:cs="Arial"/>
          <w:sz w:val="22"/>
          <w:szCs w:val="22"/>
          <w:lang w:val="fr-FR"/>
        </w:rPr>
        <w:t xml:space="preserve"> la ou les flottes concernées).</w:t>
      </w:r>
      <w:r w:rsidR="00D51038" w:rsidRPr="00BD44E7">
        <w:rPr>
          <w:rFonts w:ascii="Arial" w:hAnsi="Arial" w:cs="Arial"/>
          <w:sz w:val="22"/>
          <w:szCs w:val="22"/>
          <w:lang w:val="fr-FR"/>
        </w:rPr>
        <w:t xml:space="preserve"> </w:t>
      </w:r>
    </w:p>
    <w:p w14:paraId="40EA9C42" w14:textId="77777777" w:rsidR="00223431" w:rsidRPr="00BD44E7" w:rsidRDefault="00223431" w:rsidP="005E607A">
      <w:pPr>
        <w:rPr>
          <w:rFonts w:ascii="Arial" w:hAnsi="Arial" w:cs="Arial"/>
          <w:sz w:val="22"/>
          <w:szCs w:val="22"/>
          <w:lang w:val="fr-FR"/>
        </w:rPr>
      </w:pPr>
    </w:p>
    <w:p w14:paraId="73AF3AFB" w14:textId="72A43251" w:rsidR="00D02C99" w:rsidRPr="00BD44E7" w:rsidRDefault="00D02C99" w:rsidP="005E607A">
      <w:pPr>
        <w:ind w:left="851" w:hanging="851"/>
        <w:jc w:val="both"/>
        <w:rPr>
          <w:rFonts w:ascii="Arial" w:hAnsi="Arial" w:cs="Arial"/>
          <w:sz w:val="22"/>
          <w:szCs w:val="22"/>
          <w:lang w:val="fr-FR"/>
        </w:rPr>
      </w:pPr>
      <w:r w:rsidRPr="00BD44E7">
        <w:rPr>
          <w:rFonts w:ascii="Arial" w:hAnsi="Arial" w:cs="Arial"/>
          <w:sz w:val="22"/>
          <w:szCs w:val="22"/>
          <w:lang w:val="fr-FR"/>
        </w:rPr>
        <w:t>15.BB</w:t>
      </w:r>
      <w:r w:rsidRPr="00BD44E7">
        <w:rPr>
          <w:rFonts w:ascii="Arial" w:hAnsi="Arial" w:cs="Arial"/>
          <w:sz w:val="22"/>
          <w:szCs w:val="22"/>
          <w:lang w:val="fr-FR"/>
        </w:rPr>
        <w:tab/>
        <w:t xml:space="preserve">Les Parties sont invitées à revoir leur législation nationale en vigueur et à adopter, si nécessaire, de nouvelles dispositions législatives afin de mettre en œuvre l'interdiction de </w:t>
      </w:r>
      <w:r w:rsidR="006C14F4" w:rsidRPr="00BD44E7">
        <w:rPr>
          <w:rFonts w:ascii="Arial" w:hAnsi="Arial" w:cs="Arial"/>
          <w:sz w:val="22"/>
          <w:szCs w:val="22"/>
          <w:lang w:val="fr-FR"/>
        </w:rPr>
        <w:t xml:space="preserve">prélèvement </w:t>
      </w:r>
      <w:r w:rsidR="00AF2883" w:rsidRPr="00BD44E7">
        <w:rPr>
          <w:rFonts w:ascii="Arial" w:hAnsi="Arial" w:cs="Arial"/>
          <w:sz w:val="22"/>
          <w:szCs w:val="22"/>
          <w:lang w:val="fr-FR"/>
        </w:rPr>
        <w:t xml:space="preserve">concernant </w:t>
      </w:r>
      <w:r w:rsidRPr="00BD44E7">
        <w:rPr>
          <w:rFonts w:ascii="Arial" w:hAnsi="Arial" w:cs="Arial"/>
          <w:sz w:val="22"/>
          <w:szCs w:val="22"/>
          <w:lang w:val="fr-FR"/>
        </w:rPr>
        <w:t xml:space="preserve">les espèces de </w:t>
      </w:r>
      <w:r w:rsidR="00AF2883" w:rsidRPr="00BD44E7">
        <w:rPr>
          <w:rFonts w:ascii="Arial" w:hAnsi="Arial" w:cs="Arial"/>
          <w:sz w:val="22"/>
          <w:szCs w:val="22"/>
          <w:lang w:val="fr-FR"/>
        </w:rPr>
        <w:t>poissons cartilagineux</w:t>
      </w:r>
      <w:r w:rsidRPr="00BD44E7">
        <w:rPr>
          <w:rFonts w:ascii="Arial" w:hAnsi="Arial" w:cs="Arial"/>
          <w:sz w:val="22"/>
          <w:szCs w:val="22"/>
          <w:lang w:val="fr-FR"/>
        </w:rPr>
        <w:t xml:space="preserve"> inscrites à l'Annexe I.</w:t>
      </w:r>
    </w:p>
    <w:p w14:paraId="53DE14C5" w14:textId="77777777" w:rsidR="007A5544" w:rsidRPr="00BD44E7" w:rsidRDefault="007A5544" w:rsidP="005E607A">
      <w:pPr>
        <w:pStyle w:val="Firstnumbering"/>
        <w:numPr>
          <w:ilvl w:val="0"/>
          <w:numId w:val="0"/>
        </w:numPr>
        <w:suppressAutoHyphens/>
        <w:rPr>
          <w:rFonts w:cs="Arial"/>
          <w:lang w:val="fr-FR"/>
        </w:rPr>
      </w:pPr>
    </w:p>
    <w:p w14:paraId="09CFA1E9" w14:textId="77777777" w:rsidR="007A5544" w:rsidRPr="00BD44E7" w:rsidRDefault="007A5544" w:rsidP="005E607A">
      <w:pPr>
        <w:rPr>
          <w:rFonts w:ascii="Arial" w:hAnsi="Arial" w:cs="Arial"/>
          <w:sz w:val="22"/>
          <w:szCs w:val="22"/>
          <w:lang w:val="fr-FR"/>
        </w:rPr>
      </w:pPr>
      <w:r w:rsidRPr="00BD44E7">
        <w:rPr>
          <w:rFonts w:ascii="Arial" w:hAnsi="Arial" w:cs="Arial"/>
          <w:b/>
          <w:i/>
          <w:sz w:val="22"/>
          <w:szCs w:val="22"/>
          <w:lang w:val="fr-FR"/>
        </w:rPr>
        <w:t xml:space="preserve">À l’adresse du Conseil scientifique </w:t>
      </w:r>
    </w:p>
    <w:p w14:paraId="7D832109" w14:textId="77777777" w:rsidR="007A5544" w:rsidRPr="00BD44E7" w:rsidRDefault="007A5544" w:rsidP="005E607A">
      <w:pPr>
        <w:rPr>
          <w:rFonts w:ascii="Arial" w:hAnsi="Arial" w:cs="Arial"/>
          <w:sz w:val="22"/>
          <w:szCs w:val="22"/>
          <w:lang w:val="fr-FR"/>
        </w:rPr>
      </w:pPr>
    </w:p>
    <w:p w14:paraId="2A975BB8" w14:textId="3D169EC0" w:rsidR="007A5544" w:rsidRPr="00BD44E7" w:rsidRDefault="007A5544" w:rsidP="005E607A">
      <w:pPr>
        <w:ind w:left="851" w:hanging="851"/>
        <w:rPr>
          <w:rFonts w:ascii="Arial" w:hAnsi="Arial" w:cs="Arial"/>
          <w:sz w:val="22"/>
          <w:szCs w:val="22"/>
          <w:lang w:val="fr-FR"/>
        </w:rPr>
      </w:pPr>
      <w:r w:rsidRPr="00BD44E7">
        <w:rPr>
          <w:rFonts w:ascii="Arial" w:hAnsi="Arial" w:cs="Arial"/>
          <w:sz w:val="22"/>
          <w:szCs w:val="22"/>
          <w:lang w:val="fr-FR"/>
        </w:rPr>
        <w:t>15.</w:t>
      </w:r>
      <w:r w:rsidR="00AF2883" w:rsidRPr="00BD44E7">
        <w:rPr>
          <w:rFonts w:ascii="Arial" w:hAnsi="Arial" w:cs="Arial"/>
          <w:sz w:val="22"/>
          <w:szCs w:val="22"/>
          <w:lang w:val="fr-FR"/>
        </w:rPr>
        <w:t>CC</w:t>
      </w:r>
      <w:r w:rsidRPr="00BD44E7">
        <w:rPr>
          <w:rFonts w:ascii="Arial" w:hAnsi="Arial" w:cs="Arial"/>
          <w:sz w:val="22"/>
          <w:szCs w:val="22"/>
          <w:lang w:val="fr-FR"/>
        </w:rPr>
        <w:tab/>
        <w:t>Le Conseil scientifique, sous réserve de la disponibilité des ressources, est invité à</w:t>
      </w:r>
      <w:r w:rsidR="00223431" w:rsidRPr="00BD44E7">
        <w:rPr>
          <w:rFonts w:ascii="Arial" w:hAnsi="Arial" w:cs="Arial"/>
          <w:sz w:val="22"/>
          <w:szCs w:val="22"/>
          <w:lang w:val="fr-FR"/>
        </w:rPr>
        <w:t> </w:t>
      </w:r>
      <w:r w:rsidRPr="00BD44E7">
        <w:rPr>
          <w:rFonts w:ascii="Arial" w:hAnsi="Arial" w:cs="Arial"/>
          <w:sz w:val="22"/>
          <w:szCs w:val="22"/>
          <w:lang w:val="fr-FR"/>
        </w:rPr>
        <w:t>:</w:t>
      </w:r>
    </w:p>
    <w:p w14:paraId="0BA668A8" w14:textId="77777777" w:rsidR="007A5544" w:rsidRPr="00BD44E7" w:rsidRDefault="007A5544" w:rsidP="005E607A">
      <w:pPr>
        <w:ind w:left="720" w:hanging="720"/>
        <w:rPr>
          <w:rFonts w:ascii="Arial" w:hAnsi="Arial" w:cs="Arial"/>
          <w:sz w:val="22"/>
          <w:szCs w:val="22"/>
          <w:lang w:val="fr-FR"/>
        </w:rPr>
      </w:pPr>
    </w:p>
    <w:p w14:paraId="0A099B19" w14:textId="77777777" w:rsidR="007A5544" w:rsidRPr="00BD44E7" w:rsidRDefault="007A5544" w:rsidP="005E607A">
      <w:pPr>
        <w:pStyle w:val="Secondnumbering"/>
        <w:numPr>
          <w:ilvl w:val="0"/>
          <w:numId w:val="4"/>
        </w:numPr>
        <w:suppressAutoHyphens/>
        <w:spacing w:after="80"/>
        <w:ind w:left="1418" w:hanging="567"/>
        <w:jc w:val="both"/>
        <w:rPr>
          <w:rFonts w:cs="Arial"/>
          <w:lang w:val="fr-FR"/>
        </w:rPr>
      </w:pPr>
      <w:r w:rsidRPr="00BD44E7">
        <w:rPr>
          <w:rFonts w:cs="Arial"/>
          <w:lang w:val="fr-FR"/>
        </w:rPr>
        <w:t>en ce qui concerne les prises accessoires d’espèces de mammifères marins et de tortues marines inscrites aux Annexes de la CMS :</w:t>
      </w:r>
    </w:p>
    <w:p w14:paraId="2D8FCC0D" w14:textId="77777777" w:rsidR="007A5544" w:rsidRPr="00BD44E7" w:rsidRDefault="007A5544" w:rsidP="005E607A">
      <w:pPr>
        <w:pStyle w:val="Secondnumbering"/>
        <w:numPr>
          <w:ilvl w:val="1"/>
          <w:numId w:val="4"/>
        </w:numPr>
        <w:suppressAutoHyphens/>
        <w:spacing w:after="80"/>
        <w:jc w:val="both"/>
        <w:rPr>
          <w:rFonts w:cs="Arial"/>
          <w:lang w:val="fr-FR"/>
        </w:rPr>
      </w:pPr>
      <w:r w:rsidRPr="00BD44E7">
        <w:rPr>
          <w:rFonts w:cs="Arial"/>
          <w:lang w:val="fr-FR"/>
        </w:rPr>
        <w:t xml:space="preserve">identifier les régions où l’examen des niveaux relatifs de prises accessoires dans les pêcheries commerciales et artisanales serait prioritaire et bénéfique, </w:t>
      </w:r>
    </w:p>
    <w:p w14:paraId="0093CA85" w14:textId="3E89101D" w:rsidR="007A5544" w:rsidRPr="00BD44E7" w:rsidRDefault="007A5544" w:rsidP="005E607A">
      <w:pPr>
        <w:pStyle w:val="Secondnumbering"/>
        <w:numPr>
          <w:ilvl w:val="1"/>
          <w:numId w:val="4"/>
        </w:numPr>
        <w:suppressAutoHyphens/>
        <w:spacing w:after="80"/>
        <w:jc w:val="both"/>
        <w:rPr>
          <w:rFonts w:cs="Arial"/>
          <w:lang w:val="fr-FR"/>
        </w:rPr>
      </w:pPr>
      <w:r w:rsidRPr="00BD44E7">
        <w:rPr>
          <w:rFonts w:cs="Arial"/>
          <w:lang w:val="fr-FR"/>
        </w:rPr>
        <w:t xml:space="preserve">collaborer avec tous les organismes concernés, y compris les organismes de gestion des pêches, pour élaborer des études régionales visant à réduire </w:t>
      </w:r>
      <w:r w:rsidR="00A73BA9" w:rsidRPr="00BD44E7">
        <w:rPr>
          <w:rFonts w:cs="Arial"/>
          <w:lang w:val="fr-FR"/>
        </w:rPr>
        <w:t>F</w:t>
      </w:r>
      <w:r w:rsidRPr="00BD44E7">
        <w:rPr>
          <w:rFonts w:cs="Arial"/>
          <w:lang w:val="fr-FR"/>
        </w:rPr>
        <w:t xml:space="preserve">les niveaux de prises accessoires dans les pêcheries commerciales et artisanales, </w:t>
      </w:r>
    </w:p>
    <w:p w14:paraId="40CD01D8" w14:textId="77777777" w:rsidR="007A5544" w:rsidRPr="00BD44E7" w:rsidRDefault="007A5544" w:rsidP="005E607A">
      <w:pPr>
        <w:pStyle w:val="Secondnumbering"/>
        <w:numPr>
          <w:ilvl w:val="1"/>
          <w:numId w:val="4"/>
        </w:numPr>
        <w:suppressAutoHyphens/>
        <w:spacing w:after="80"/>
        <w:jc w:val="both"/>
        <w:rPr>
          <w:rFonts w:cs="Arial"/>
          <w:lang w:val="fr-FR"/>
        </w:rPr>
      </w:pPr>
      <w:r w:rsidRPr="00BD44E7">
        <w:rPr>
          <w:rFonts w:cs="Arial"/>
          <w:lang w:val="fr-FR"/>
        </w:rPr>
        <w:t xml:space="preserve">identifier et hiérarchiser les pêcheries et les zones où les impacts négatifs des prises accessoires sont les plus graves, </w:t>
      </w:r>
    </w:p>
    <w:p w14:paraId="13CC97C9" w14:textId="77777777" w:rsidR="007A5544" w:rsidRPr="00BD44E7" w:rsidRDefault="007A5544" w:rsidP="005E607A">
      <w:pPr>
        <w:pStyle w:val="Secondnumbering"/>
        <w:numPr>
          <w:ilvl w:val="1"/>
          <w:numId w:val="4"/>
        </w:numPr>
        <w:suppressAutoHyphens/>
        <w:spacing w:after="80"/>
        <w:jc w:val="both"/>
        <w:rPr>
          <w:rFonts w:cs="Arial"/>
          <w:lang w:val="fr-FR"/>
        </w:rPr>
      </w:pPr>
      <w:r w:rsidRPr="00BD44E7">
        <w:rPr>
          <w:rFonts w:cs="Arial"/>
          <w:lang w:val="fr-FR"/>
        </w:rPr>
        <w:t xml:space="preserve">coopérer avec les organismes compétents, y compris les organismes de pêche, afin d’élaborer les mesures d’atténuation les plus appropriées pour </w:t>
      </w:r>
      <w:r w:rsidRPr="00BD44E7">
        <w:rPr>
          <w:rFonts w:cs="Arial"/>
          <w:color w:val="000000" w:themeColor="text1"/>
          <w:lang w:val="fr-FR"/>
        </w:rPr>
        <w:t>les pêcheries les plus prioritaires</w:t>
      </w:r>
      <w:r w:rsidRPr="00BD44E7">
        <w:rPr>
          <w:rFonts w:cs="Arial"/>
          <w:lang w:val="fr-FR"/>
        </w:rPr>
        <w:t xml:space="preserve">, </w:t>
      </w:r>
    </w:p>
    <w:p w14:paraId="2AE7B092" w14:textId="77777777" w:rsidR="007A5544" w:rsidRPr="00BD44E7" w:rsidRDefault="007A5544" w:rsidP="005E607A">
      <w:pPr>
        <w:pStyle w:val="Secondnumbering"/>
        <w:numPr>
          <w:ilvl w:val="1"/>
          <w:numId w:val="4"/>
        </w:numPr>
        <w:suppressAutoHyphens/>
        <w:jc w:val="both"/>
        <w:rPr>
          <w:rFonts w:cs="Arial"/>
          <w:lang w:val="fr-FR"/>
        </w:rPr>
      </w:pPr>
      <w:r w:rsidRPr="00BD44E7">
        <w:rPr>
          <w:rFonts w:cs="Arial"/>
          <w:lang w:val="fr-FR"/>
        </w:rPr>
        <w:t>élaborer des mesures d’atténuation des prises accessoires appropriées, accompagnées de plans d’action assortis de délais ;</w:t>
      </w:r>
    </w:p>
    <w:p w14:paraId="156D8D82" w14:textId="1E0642EC" w:rsidR="003B3382" w:rsidRDefault="003B3382" w:rsidP="005E607A">
      <w:pPr>
        <w:pStyle w:val="Secondnumbering"/>
        <w:suppressAutoHyphens/>
        <w:ind w:left="1418"/>
        <w:jc w:val="both"/>
        <w:rPr>
          <w:rFonts w:cs="Arial"/>
          <w:lang w:val="fr-FR"/>
        </w:rPr>
      </w:pPr>
      <w:r>
        <w:rPr>
          <w:rFonts w:cs="Arial"/>
          <w:lang w:val="fr-FR"/>
        </w:rPr>
        <w:br w:type="page"/>
      </w:r>
    </w:p>
    <w:p w14:paraId="004C88C0" w14:textId="26E7600D" w:rsidR="002F14B1" w:rsidRPr="00BD44E7" w:rsidRDefault="007A5544" w:rsidP="005E607A">
      <w:pPr>
        <w:pStyle w:val="Secondnumbering"/>
        <w:numPr>
          <w:ilvl w:val="0"/>
          <w:numId w:val="4"/>
        </w:numPr>
        <w:suppressAutoHyphens/>
        <w:ind w:left="1418" w:hanging="567"/>
        <w:jc w:val="both"/>
        <w:rPr>
          <w:rFonts w:cs="Arial"/>
          <w:lang w:val="fr-FR"/>
        </w:rPr>
      </w:pPr>
      <w:r w:rsidRPr="00BD44E7">
        <w:rPr>
          <w:rFonts w:cs="Arial"/>
          <w:lang w:val="fr-FR"/>
        </w:rPr>
        <w:lastRenderedPageBreak/>
        <w:t xml:space="preserve">en collaboration avec le Comité consultatif du MdE requins, poursuivre l’examen et l’évaluation </w:t>
      </w:r>
      <w:r w:rsidR="002F14B1" w:rsidRPr="00BD44E7">
        <w:rPr>
          <w:rFonts w:cs="Arial"/>
          <w:lang w:val="fr-FR"/>
        </w:rPr>
        <w:t xml:space="preserve">en cours </w:t>
      </w:r>
      <w:r w:rsidRPr="00BD44E7">
        <w:rPr>
          <w:rFonts w:cs="Arial"/>
          <w:lang w:val="fr-FR"/>
        </w:rPr>
        <w:t xml:space="preserve">des données et des connaissances concernant les niveaux de mortalité induite par la pêche des espèces de </w:t>
      </w:r>
      <w:r w:rsidR="002F14B1" w:rsidRPr="00BD44E7">
        <w:rPr>
          <w:rFonts w:cs="Arial"/>
          <w:lang w:val="fr-FR"/>
        </w:rPr>
        <w:t>poissons cartilagineux</w:t>
      </w:r>
      <w:r w:rsidRPr="00BD44E7">
        <w:rPr>
          <w:rFonts w:cs="Arial"/>
          <w:lang w:val="fr-FR"/>
        </w:rPr>
        <w:t xml:space="preserve"> inscrites aux Annexes de la CMS et du MdE requins, et </w:t>
      </w:r>
      <w:r w:rsidR="002F14B1" w:rsidRPr="00BD44E7">
        <w:rPr>
          <w:rFonts w:cs="Arial"/>
          <w:lang w:val="fr-FR"/>
        </w:rPr>
        <w:t>formuler</w:t>
      </w:r>
      <w:r w:rsidRPr="00BD44E7">
        <w:rPr>
          <w:rFonts w:cs="Arial"/>
          <w:lang w:val="fr-FR"/>
        </w:rPr>
        <w:t xml:space="preserve"> des recommandations visant à réduire la mortalité induite par la pêche</w:t>
      </w:r>
      <w:r w:rsidR="00E6184B">
        <w:rPr>
          <w:rFonts w:cs="Arial"/>
          <w:lang w:val="fr-FR"/>
        </w:rPr>
        <w:t> </w:t>
      </w:r>
      <w:r w:rsidRPr="00BD44E7">
        <w:rPr>
          <w:rFonts w:cs="Arial"/>
          <w:lang w:val="fr-FR"/>
        </w:rPr>
        <w:t>;</w:t>
      </w:r>
    </w:p>
    <w:p w14:paraId="57478C79" w14:textId="77777777" w:rsidR="002F14B1" w:rsidRPr="00BD44E7" w:rsidRDefault="002F14B1" w:rsidP="005E607A">
      <w:pPr>
        <w:pStyle w:val="Secondnumbering"/>
        <w:suppressAutoHyphens/>
        <w:ind w:left="1418"/>
        <w:jc w:val="both"/>
        <w:rPr>
          <w:rFonts w:cs="Arial"/>
          <w:lang w:val="fr-FR"/>
        </w:rPr>
      </w:pPr>
    </w:p>
    <w:p w14:paraId="45698A83" w14:textId="77777777" w:rsidR="007A5544" w:rsidRPr="00BD44E7" w:rsidRDefault="007A5544" w:rsidP="005E607A">
      <w:pPr>
        <w:pStyle w:val="Secondnumbering"/>
        <w:numPr>
          <w:ilvl w:val="0"/>
          <w:numId w:val="4"/>
        </w:numPr>
        <w:suppressAutoHyphens/>
        <w:ind w:left="1418" w:hanging="567"/>
        <w:jc w:val="both"/>
        <w:rPr>
          <w:rFonts w:cs="Arial"/>
          <w:lang w:val="fr-FR"/>
        </w:rPr>
      </w:pPr>
      <w:r w:rsidRPr="00BD44E7">
        <w:rPr>
          <w:rFonts w:cs="Arial"/>
          <w:lang w:val="fr-FR"/>
        </w:rPr>
        <w:t>élaborer un rapport pour quantifier la contribution des prises accessoires et autres mortalités liées à la pêche des cétacés inscrits aux Annexes de la CMS au déclassement trophique et à la santé et à la fonction des écosystèmes marins, et faire des recommandations aux Parties ;</w:t>
      </w:r>
    </w:p>
    <w:p w14:paraId="7CF38EBD" w14:textId="77777777" w:rsidR="007A5544" w:rsidRPr="00BD44E7" w:rsidRDefault="007A5544" w:rsidP="005E607A">
      <w:pPr>
        <w:pStyle w:val="Secondnumbering"/>
        <w:suppressAutoHyphens/>
        <w:ind w:left="1418"/>
        <w:jc w:val="both"/>
        <w:rPr>
          <w:rFonts w:cs="Arial"/>
          <w:lang w:val="fr-FR"/>
        </w:rPr>
      </w:pPr>
    </w:p>
    <w:p w14:paraId="26B7EFFC" w14:textId="77777777" w:rsidR="007A5544" w:rsidRPr="00BD44E7" w:rsidRDefault="007A5544" w:rsidP="005E607A">
      <w:pPr>
        <w:numPr>
          <w:ilvl w:val="0"/>
          <w:numId w:val="4"/>
        </w:numPr>
        <w:adjustRightInd w:val="0"/>
        <w:ind w:left="1418" w:hanging="567"/>
        <w:jc w:val="both"/>
        <w:textAlignment w:val="auto"/>
        <w:rPr>
          <w:rFonts w:ascii="Arial" w:hAnsi="Arial" w:cs="Arial"/>
          <w:sz w:val="22"/>
          <w:szCs w:val="22"/>
          <w:lang w:val="fr-FR"/>
        </w:rPr>
      </w:pPr>
      <w:r w:rsidRPr="00BD44E7">
        <w:rPr>
          <w:rFonts w:ascii="Arial" w:hAnsi="Arial" w:cs="Arial"/>
          <w:sz w:val="22"/>
          <w:szCs w:val="22"/>
          <w:lang w:val="fr-FR"/>
        </w:rPr>
        <w:t>examiner les connaissances actuelles sur les mesures existantes visant à réduire et atténuer les prises accessoires de poissons d’eau douce dans les pêcheries commerciales et artisanales, et formuler des recommandations aux Parties concernant les mesures les plus efficaces et appropriées pour atténuer ces prises accessoires, tout en veillant à ce que les mesures recommandées ne nuisent pas à d’autres espèces inscrites aux Annexes de la CMS ;</w:t>
      </w:r>
    </w:p>
    <w:p w14:paraId="797E4BD1" w14:textId="77777777" w:rsidR="007A5544" w:rsidRPr="00BD44E7" w:rsidRDefault="007A5544" w:rsidP="005E607A">
      <w:pPr>
        <w:adjustRightInd w:val="0"/>
        <w:ind w:left="1418"/>
        <w:rPr>
          <w:rFonts w:ascii="Arial" w:hAnsi="Arial" w:cs="Arial"/>
          <w:sz w:val="22"/>
          <w:szCs w:val="22"/>
          <w:lang w:val="fr-FR"/>
        </w:rPr>
      </w:pPr>
    </w:p>
    <w:p w14:paraId="7D2F96BF" w14:textId="74123BFE" w:rsidR="007A5544" w:rsidRPr="00BD44E7" w:rsidRDefault="007A5544" w:rsidP="005E607A">
      <w:pPr>
        <w:numPr>
          <w:ilvl w:val="0"/>
          <w:numId w:val="4"/>
        </w:numPr>
        <w:adjustRightInd w:val="0"/>
        <w:ind w:left="1418" w:hanging="567"/>
        <w:jc w:val="both"/>
        <w:textAlignment w:val="auto"/>
        <w:rPr>
          <w:rFonts w:ascii="Arial" w:hAnsi="Arial" w:cs="Arial"/>
          <w:sz w:val="22"/>
          <w:szCs w:val="22"/>
          <w:lang w:val="fr-FR"/>
        </w:rPr>
      </w:pPr>
      <w:r w:rsidRPr="00BD44E7">
        <w:rPr>
          <w:rFonts w:ascii="Arial" w:hAnsi="Arial" w:cs="Arial"/>
          <w:sz w:val="22"/>
          <w:szCs w:val="22"/>
          <w:lang w:val="fr-FR"/>
        </w:rPr>
        <w:t xml:space="preserve">en collaboration avec d’autres parties prenantes concernées, </w:t>
      </w:r>
      <w:r w:rsidR="0058709F">
        <w:rPr>
          <w:rFonts w:ascii="Arial" w:hAnsi="Arial" w:cs="Arial"/>
          <w:sz w:val="22"/>
          <w:szCs w:val="22"/>
          <w:lang w:val="fr-FR"/>
        </w:rPr>
        <w:t>procéder à un recoupement</w:t>
      </w:r>
      <w:r w:rsidRPr="00BD44E7">
        <w:rPr>
          <w:rFonts w:ascii="Arial" w:hAnsi="Arial" w:cs="Arial"/>
          <w:sz w:val="22"/>
          <w:szCs w:val="22"/>
          <w:lang w:val="fr-FR"/>
        </w:rPr>
        <w:t xml:space="preserve"> avec les travaux sur les prises accessoires d’oiseaux de mer, </w:t>
      </w:r>
      <w:r w:rsidR="0058709F">
        <w:rPr>
          <w:rFonts w:ascii="Arial" w:hAnsi="Arial" w:cs="Arial"/>
          <w:sz w:val="22"/>
          <w:szCs w:val="22"/>
          <w:lang w:val="fr-FR"/>
        </w:rPr>
        <w:t xml:space="preserve">afin de </w:t>
      </w:r>
      <w:r w:rsidRPr="00BD44E7">
        <w:rPr>
          <w:rFonts w:ascii="Arial" w:hAnsi="Arial" w:cs="Arial"/>
          <w:sz w:val="22"/>
          <w:szCs w:val="22"/>
          <w:lang w:val="fr-FR"/>
        </w:rPr>
        <w:t xml:space="preserve">veiller à la prise en considération des implications inter-taxons, et identifier les possibilités de collaboration accrue pour </w:t>
      </w:r>
      <w:r w:rsidR="00DB7CFD">
        <w:rPr>
          <w:rFonts w:ascii="Arial" w:hAnsi="Arial" w:cs="Arial"/>
          <w:sz w:val="22"/>
          <w:szCs w:val="22"/>
          <w:lang w:val="fr-FR"/>
        </w:rPr>
        <w:t>lutter contre</w:t>
      </w:r>
      <w:r w:rsidRPr="00BD44E7">
        <w:rPr>
          <w:rFonts w:ascii="Arial" w:hAnsi="Arial" w:cs="Arial"/>
          <w:sz w:val="22"/>
          <w:szCs w:val="22"/>
          <w:lang w:val="fr-FR"/>
        </w:rPr>
        <w:t xml:space="preserve"> la mortalité induite par la pêche </w:t>
      </w:r>
      <w:r w:rsidR="00DB7CFD">
        <w:rPr>
          <w:rFonts w:ascii="Arial" w:hAnsi="Arial" w:cs="Arial"/>
          <w:sz w:val="22"/>
          <w:szCs w:val="22"/>
          <w:lang w:val="fr-FR"/>
        </w:rPr>
        <w:t>sur l’ensemble des</w:t>
      </w:r>
      <w:r w:rsidRPr="00BD44E7">
        <w:rPr>
          <w:rFonts w:ascii="Arial" w:hAnsi="Arial" w:cs="Arial"/>
          <w:sz w:val="22"/>
          <w:szCs w:val="22"/>
          <w:lang w:val="fr-FR"/>
        </w:rPr>
        <w:t xml:space="preserve"> taxons ;</w:t>
      </w:r>
    </w:p>
    <w:p w14:paraId="25B7071D" w14:textId="77777777" w:rsidR="007A5544" w:rsidRPr="00BD44E7" w:rsidRDefault="007A5544" w:rsidP="005E607A">
      <w:pPr>
        <w:adjustRightInd w:val="0"/>
        <w:ind w:left="1418"/>
        <w:rPr>
          <w:rFonts w:ascii="Arial" w:hAnsi="Arial" w:cs="Arial"/>
          <w:sz w:val="22"/>
          <w:szCs w:val="22"/>
          <w:lang w:val="fr-FR"/>
        </w:rPr>
      </w:pPr>
    </w:p>
    <w:p w14:paraId="7998A266" w14:textId="39A795CE" w:rsidR="007A5544" w:rsidRDefault="007A5544" w:rsidP="005E607A">
      <w:pPr>
        <w:numPr>
          <w:ilvl w:val="0"/>
          <w:numId w:val="4"/>
        </w:numPr>
        <w:adjustRightInd w:val="0"/>
        <w:ind w:left="1418" w:hanging="567"/>
        <w:jc w:val="both"/>
        <w:textAlignment w:val="auto"/>
        <w:rPr>
          <w:rFonts w:ascii="Arial" w:hAnsi="Arial" w:cs="Arial"/>
          <w:sz w:val="22"/>
          <w:szCs w:val="22"/>
          <w:lang w:val="fr-FR"/>
        </w:rPr>
      </w:pPr>
      <w:r w:rsidRPr="00BD44E7">
        <w:rPr>
          <w:rFonts w:ascii="Arial" w:hAnsi="Arial" w:cs="Arial"/>
          <w:sz w:val="22"/>
          <w:szCs w:val="22"/>
          <w:lang w:val="fr-FR"/>
        </w:rPr>
        <w:t>examiner et évaluer, en collaboration avec les accords</w:t>
      </w:r>
      <w:r w:rsidR="00DB7CFD">
        <w:rPr>
          <w:rFonts w:ascii="Arial" w:hAnsi="Arial" w:cs="Arial"/>
          <w:sz w:val="22"/>
          <w:szCs w:val="22"/>
          <w:lang w:val="fr-FR"/>
        </w:rPr>
        <w:t xml:space="preserve"> </w:t>
      </w:r>
      <w:r w:rsidRPr="00BD44E7">
        <w:rPr>
          <w:rFonts w:ascii="Arial" w:hAnsi="Arial" w:cs="Arial"/>
          <w:sz w:val="22"/>
          <w:szCs w:val="22"/>
          <w:lang w:val="fr-FR"/>
        </w:rPr>
        <w:t xml:space="preserve">de la </w:t>
      </w:r>
      <w:r w:rsidR="00DB7CFD">
        <w:rPr>
          <w:rFonts w:ascii="Arial" w:hAnsi="Arial" w:cs="Arial"/>
          <w:sz w:val="22"/>
          <w:szCs w:val="22"/>
          <w:lang w:val="fr-FR"/>
        </w:rPr>
        <w:t xml:space="preserve">famille de la </w:t>
      </w:r>
      <w:r w:rsidRPr="00BD44E7">
        <w:rPr>
          <w:rFonts w:ascii="Arial" w:hAnsi="Arial" w:cs="Arial"/>
          <w:sz w:val="22"/>
          <w:szCs w:val="22"/>
          <w:lang w:val="fr-FR"/>
        </w:rPr>
        <w:t xml:space="preserve">CMS, les données et connaissances actuelles concernant l’impact (et l’impact potentiel) de la pêche à la vessie natatoire sur les mammifères marins, les tortues marines et les espèces de </w:t>
      </w:r>
      <w:r w:rsidR="002F14B1" w:rsidRPr="00BD44E7">
        <w:rPr>
          <w:rFonts w:ascii="Arial" w:hAnsi="Arial" w:cs="Arial"/>
          <w:sz w:val="22"/>
          <w:szCs w:val="22"/>
          <w:lang w:val="fr-FR"/>
        </w:rPr>
        <w:t>poissons cartilagineux </w:t>
      </w:r>
      <w:r w:rsidRPr="00BD44E7">
        <w:rPr>
          <w:rFonts w:ascii="Arial" w:hAnsi="Arial" w:cs="Arial"/>
          <w:sz w:val="22"/>
          <w:szCs w:val="22"/>
          <w:lang w:val="fr-FR"/>
        </w:rPr>
        <w:t>;</w:t>
      </w:r>
      <w:r w:rsidR="00BA272A">
        <w:rPr>
          <w:rFonts w:ascii="Arial" w:hAnsi="Arial" w:cs="Arial"/>
          <w:sz w:val="22"/>
          <w:szCs w:val="22"/>
          <w:lang w:val="fr-FR"/>
        </w:rPr>
        <w:t xml:space="preserve"> et</w:t>
      </w:r>
    </w:p>
    <w:p w14:paraId="6F9B0C1A" w14:textId="77777777" w:rsidR="007A5544" w:rsidRPr="00BD44E7" w:rsidRDefault="007A5544" w:rsidP="005E607A">
      <w:pPr>
        <w:adjustRightInd w:val="0"/>
        <w:rPr>
          <w:rFonts w:ascii="Arial" w:hAnsi="Arial" w:cs="Arial"/>
          <w:sz w:val="22"/>
          <w:szCs w:val="22"/>
          <w:lang w:val="fr-FR"/>
        </w:rPr>
      </w:pPr>
    </w:p>
    <w:p w14:paraId="2A2C34C3" w14:textId="77777777" w:rsidR="007A5544" w:rsidRPr="00BD44E7" w:rsidRDefault="007A5544" w:rsidP="005E607A">
      <w:pPr>
        <w:numPr>
          <w:ilvl w:val="0"/>
          <w:numId w:val="4"/>
        </w:numPr>
        <w:adjustRightInd w:val="0"/>
        <w:ind w:left="1418" w:hanging="567"/>
        <w:jc w:val="both"/>
        <w:textAlignment w:val="auto"/>
        <w:rPr>
          <w:rFonts w:ascii="Arial" w:hAnsi="Arial" w:cs="Arial"/>
          <w:sz w:val="22"/>
          <w:szCs w:val="22"/>
          <w:lang w:val="fr-FR"/>
        </w:rPr>
      </w:pPr>
      <w:r w:rsidRPr="00BD44E7">
        <w:rPr>
          <w:rFonts w:ascii="Arial" w:hAnsi="Arial" w:cs="Arial"/>
          <w:sz w:val="22"/>
          <w:szCs w:val="22"/>
          <w:lang w:val="fr-FR"/>
        </w:rPr>
        <w:t xml:space="preserve">en collaboration avec </w:t>
      </w:r>
      <w:r w:rsidRPr="00BD44E7">
        <w:rPr>
          <w:rFonts w:ascii="Arial" w:hAnsi="Arial" w:cs="Arial"/>
          <w:color w:val="000000" w:themeColor="text1"/>
          <w:sz w:val="22"/>
          <w:szCs w:val="22"/>
          <w:lang w:val="fr-FR"/>
        </w:rPr>
        <w:t>l’Initiative d’atténuation des prises accessoires de la Commission baleinière internationale</w:t>
      </w:r>
      <w:r w:rsidRPr="00BD44E7">
        <w:rPr>
          <w:rFonts w:ascii="Arial" w:hAnsi="Arial" w:cs="Arial"/>
          <w:sz w:val="22"/>
          <w:szCs w:val="22"/>
          <w:lang w:val="fr-FR"/>
        </w:rPr>
        <w:t>, élaborer des recommandations sur les mesures les plus efficaces et les plus appropriées pour réduire et atténuer les prises accessoires dans les pêcheries de vessie natatoire.</w:t>
      </w:r>
    </w:p>
    <w:p w14:paraId="7CF0E54B" w14:textId="77777777" w:rsidR="007A5544" w:rsidRPr="00BD44E7" w:rsidRDefault="007A5544" w:rsidP="005E607A">
      <w:pPr>
        <w:rPr>
          <w:rFonts w:ascii="Arial" w:hAnsi="Arial" w:cs="Arial"/>
          <w:i/>
          <w:sz w:val="22"/>
          <w:szCs w:val="22"/>
          <w:lang w:val="fr-FR"/>
        </w:rPr>
      </w:pPr>
    </w:p>
    <w:p w14:paraId="409960E3" w14:textId="77777777" w:rsidR="007A5544" w:rsidRPr="00BD44E7" w:rsidRDefault="007A5544" w:rsidP="005E607A">
      <w:pPr>
        <w:rPr>
          <w:rFonts w:ascii="Arial" w:hAnsi="Arial" w:cs="Arial"/>
          <w:b/>
          <w:i/>
          <w:sz w:val="22"/>
          <w:szCs w:val="22"/>
          <w:lang w:val="fr-FR"/>
        </w:rPr>
      </w:pPr>
      <w:r w:rsidRPr="00BD44E7">
        <w:rPr>
          <w:rFonts w:ascii="Arial" w:hAnsi="Arial" w:cs="Arial"/>
          <w:b/>
          <w:i/>
          <w:sz w:val="22"/>
          <w:szCs w:val="22"/>
          <w:lang w:val="fr-FR"/>
        </w:rPr>
        <w:t>À l’adresse du Secrétariat</w:t>
      </w:r>
    </w:p>
    <w:p w14:paraId="5726BB02" w14:textId="77777777" w:rsidR="007A5544" w:rsidRPr="00BD44E7" w:rsidRDefault="007A5544" w:rsidP="005E607A">
      <w:pPr>
        <w:rPr>
          <w:rFonts w:ascii="Arial" w:hAnsi="Arial" w:cs="Arial"/>
          <w:sz w:val="22"/>
          <w:szCs w:val="22"/>
          <w:lang w:val="fr-FR"/>
        </w:rPr>
      </w:pPr>
    </w:p>
    <w:p w14:paraId="03E10DB4" w14:textId="77777777" w:rsidR="007A5544" w:rsidRPr="00BD44E7" w:rsidRDefault="007A5544" w:rsidP="005E607A">
      <w:pPr>
        <w:ind w:left="851" w:hanging="851"/>
        <w:rPr>
          <w:rFonts w:ascii="Arial" w:hAnsi="Arial" w:cs="Arial"/>
          <w:iCs/>
          <w:sz w:val="22"/>
          <w:szCs w:val="22"/>
          <w:lang w:val="fr-FR"/>
        </w:rPr>
      </w:pPr>
      <w:r w:rsidRPr="00BD44E7">
        <w:rPr>
          <w:rFonts w:ascii="Arial" w:hAnsi="Arial" w:cs="Arial"/>
          <w:sz w:val="22"/>
          <w:szCs w:val="22"/>
          <w:lang w:val="fr-FR"/>
        </w:rPr>
        <w:t>15.CC</w:t>
      </w:r>
      <w:r w:rsidRPr="00BD44E7">
        <w:rPr>
          <w:rFonts w:ascii="Arial" w:hAnsi="Arial" w:cs="Arial"/>
          <w:sz w:val="22"/>
          <w:szCs w:val="22"/>
          <w:lang w:val="fr-FR"/>
        </w:rPr>
        <w:tab/>
        <w:t>Le Secrétariat est chargé, sous réserve de la disponibilité des ressources, de :</w:t>
      </w:r>
    </w:p>
    <w:p w14:paraId="6BD75AED" w14:textId="77777777" w:rsidR="007A5544" w:rsidRPr="00BD44E7" w:rsidRDefault="007A5544" w:rsidP="005E607A">
      <w:pPr>
        <w:adjustRightInd w:val="0"/>
        <w:rPr>
          <w:rFonts w:ascii="Arial" w:hAnsi="Arial" w:cs="Arial"/>
          <w:iCs/>
          <w:sz w:val="22"/>
          <w:szCs w:val="22"/>
          <w:lang w:val="fr-FR"/>
        </w:rPr>
      </w:pPr>
    </w:p>
    <w:p w14:paraId="3FC81A34" w14:textId="1BDBF4BC" w:rsidR="007A5544" w:rsidRPr="00BD44E7" w:rsidRDefault="007A5544" w:rsidP="005E607A">
      <w:pPr>
        <w:pStyle w:val="Secondnumbering"/>
        <w:numPr>
          <w:ilvl w:val="0"/>
          <w:numId w:val="3"/>
        </w:numPr>
        <w:suppressAutoHyphens/>
        <w:ind w:left="1418" w:hanging="567"/>
        <w:jc w:val="both"/>
        <w:rPr>
          <w:rFonts w:cs="Arial"/>
          <w:lang w:val="fr-FR"/>
        </w:rPr>
      </w:pPr>
      <w:r w:rsidRPr="00BD44E7">
        <w:rPr>
          <w:rFonts w:cs="Arial"/>
          <w:lang w:val="fr-FR"/>
        </w:rPr>
        <w:t xml:space="preserve">préparer un rapport de synthèse qui sera publié dans le cadre de la Série technique de la CMS, en collaboration avec le Conseiller nommé par la COP pour les prises accessoires, afin de </w:t>
      </w:r>
      <w:r w:rsidR="00BA272A">
        <w:rPr>
          <w:rFonts w:cs="Arial"/>
          <w:lang w:val="fr-FR"/>
        </w:rPr>
        <w:t>réunir les</w:t>
      </w:r>
      <w:r w:rsidRPr="00BD44E7">
        <w:rPr>
          <w:rFonts w:cs="Arial"/>
          <w:lang w:val="fr-FR"/>
        </w:rPr>
        <w:t xml:space="preserve"> expériences acquises dans le cadre des stratégies d’atténuation des prises accessoires pour les mammifères marins, formulées pour la COP13, pour les requins et les raies, formulées pour la COP14, pour les oiseaux marins, formulées par l’AEWA (Accord sur la conservation des oiseaux d’eau migrateurs d’Afrique-Eurasie) et l’ACAP (Accord sur la conservation des albatros et des pétrels), ainsi que pour les tortues marines, formulées pour la COP15, et toute nouvelle information scientifique pertinente qui pourrait émerger ;</w:t>
      </w:r>
    </w:p>
    <w:p w14:paraId="7AA20A23" w14:textId="77777777" w:rsidR="007A5544" w:rsidRPr="00BD44E7" w:rsidRDefault="007A5544" w:rsidP="005E607A">
      <w:pPr>
        <w:adjustRightInd w:val="0"/>
        <w:rPr>
          <w:rFonts w:ascii="Arial" w:hAnsi="Arial" w:cs="Arial"/>
          <w:sz w:val="22"/>
          <w:szCs w:val="22"/>
          <w:lang w:val="fr-FR"/>
        </w:rPr>
      </w:pPr>
    </w:p>
    <w:p w14:paraId="356BEB55" w14:textId="77777777" w:rsidR="007A5544" w:rsidRPr="00BD44E7" w:rsidRDefault="007A5544" w:rsidP="005E607A">
      <w:pPr>
        <w:numPr>
          <w:ilvl w:val="0"/>
          <w:numId w:val="3"/>
        </w:numPr>
        <w:adjustRightInd w:val="0"/>
        <w:ind w:left="1418" w:hanging="567"/>
        <w:jc w:val="both"/>
        <w:textAlignment w:val="auto"/>
        <w:rPr>
          <w:rFonts w:ascii="Arial" w:hAnsi="Arial" w:cs="Arial"/>
          <w:sz w:val="22"/>
          <w:szCs w:val="22"/>
          <w:lang w:val="fr-FR"/>
        </w:rPr>
      </w:pPr>
      <w:r w:rsidRPr="00BD44E7">
        <w:rPr>
          <w:rFonts w:ascii="Arial" w:hAnsi="Arial" w:cs="Arial"/>
          <w:sz w:val="22"/>
          <w:szCs w:val="22"/>
          <w:lang w:val="fr-FR"/>
        </w:rPr>
        <w:t xml:space="preserve">travailler avec la CBI, la Convention sur le commerce international des espèces de faune et de flore sauvages menacées d’extinction et d’autres organisations intergouvernementales concernées, les Parties et les parties prenantes pour faire face aux conséquences des prises accessoires liées au commerce de la vessie natatoire des poissons ; </w:t>
      </w:r>
    </w:p>
    <w:p w14:paraId="332BE2EE" w14:textId="77777777" w:rsidR="007A5544" w:rsidRPr="00BD44E7" w:rsidRDefault="007A5544" w:rsidP="005E607A">
      <w:pPr>
        <w:numPr>
          <w:ilvl w:val="0"/>
          <w:numId w:val="3"/>
        </w:numPr>
        <w:adjustRightInd w:val="0"/>
        <w:ind w:left="1418" w:hanging="567"/>
        <w:jc w:val="both"/>
        <w:textAlignment w:val="auto"/>
        <w:rPr>
          <w:rFonts w:ascii="Arial" w:hAnsi="Arial" w:cs="Arial"/>
          <w:sz w:val="22"/>
          <w:szCs w:val="22"/>
          <w:lang w:val="fr-FR"/>
        </w:rPr>
      </w:pPr>
      <w:r w:rsidRPr="00BD44E7">
        <w:rPr>
          <w:rFonts w:ascii="Arial" w:hAnsi="Arial" w:cs="Arial"/>
          <w:sz w:val="22"/>
          <w:szCs w:val="22"/>
          <w:lang w:val="fr-FR"/>
        </w:rPr>
        <w:lastRenderedPageBreak/>
        <w:t>contribuer à l’organisation éventuelle d’un atelier international d’experts chargé d’examiner les connaissances actuelles sur les incidences du commerce des vessies natatoires et les mesures d’atténuation les plus efficaces et les plus appropriées pour réduire les prises accessoires ;</w:t>
      </w:r>
    </w:p>
    <w:p w14:paraId="35AD9828" w14:textId="77777777" w:rsidR="007A5544" w:rsidRPr="00BD44E7" w:rsidRDefault="007A5544" w:rsidP="005E607A">
      <w:pPr>
        <w:adjustRightInd w:val="0"/>
        <w:ind w:left="1418"/>
        <w:jc w:val="both"/>
        <w:rPr>
          <w:rFonts w:ascii="Arial" w:hAnsi="Arial" w:cs="Arial"/>
          <w:sz w:val="22"/>
          <w:szCs w:val="22"/>
          <w:lang w:val="fr-FR"/>
        </w:rPr>
      </w:pPr>
    </w:p>
    <w:p w14:paraId="464AA281" w14:textId="77777777" w:rsidR="002F14B1" w:rsidRDefault="007A5544" w:rsidP="005E607A">
      <w:pPr>
        <w:numPr>
          <w:ilvl w:val="0"/>
          <w:numId w:val="3"/>
        </w:numPr>
        <w:adjustRightInd w:val="0"/>
        <w:ind w:left="1418" w:hanging="567"/>
        <w:jc w:val="both"/>
        <w:textAlignment w:val="auto"/>
        <w:rPr>
          <w:rFonts w:ascii="Arial" w:hAnsi="Arial" w:cs="Arial"/>
          <w:sz w:val="22"/>
          <w:szCs w:val="22"/>
          <w:lang w:val="fr-FR"/>
        </w:rPr>
      </w:pPr>
      <w:r w:rsidRPr="00BD44E7">
        <w:rPr>
          <w:rFonts w:ascii="Arial" w:hAnsi="Arial" w:cs="Arial"/>
          <w:sz w:val="22"/>
          <w:szCs w:val="22"/>
          <w:lang w:val="fr-FR"/>
        </w:rPr>
        <w:t>soutenir le Conseil scientifique dans la mise en œuvre de la décision 15.BB</w:t>
      </w:r>
      <w:r w:rsidR="002F14B1" w:rsidRPr="00BD44E7">
        <w:rPr>
          <w:rFonts w:ascii="Arial" w:hAnsi="Arial" w:cs="Arial"/>
          <w:sz w:val="22"/>
          <w:szCs w:val="22"/>
          <w:lang w:val="fr-FR"/>
        </w:rPr>
        <w:t> ; et</w:t>
      </w:r>
    </w:p>
    <w:p w14:paraId="2AB9DB4F" w14:textId="77777777" w:rsidR="003B3382" w:rsidRPr="00BD44E7" w:rsidRDefault="003B3382" w:rsidP="005E607A">
      <w:pPr>
        <w:adjustRightInd w:val="0"/>
        <w:ind w:left="1418"/>
        <w:jc w:val="both"/>
        <w:textAlignment w:val="auto"/>
        <w:rPr>
          <w:rFonts w:ascii="Arial" w:hAnsi="Arial" w:cs="Arial"/>
          <w:sz w:val="22"/>
          <w:szCs w:val="22"/>
          <w:lang w:val="fr-FR"/>
        </w:rPr>
      </w:pPr>
    </w:p>
    <w:p w14:paraId="5FB30C3F" w14:textId="7FBED548" w:rsidR="007A5544" w:rsidRPr="00BD44E7" w:rsidRDefault="002F14B1" w:rsidP="005E607A">
      <w:pPr>
        <w:numPr>
          <w:ilvl w:val="0"/>
          <w:numId w:val="3"/>
        </w:numPr>
        <w:adjustRightInd w:val="0"/>
        <w:ind w:left="1418" w:hanging="567"/>
        <w:jc w:val="both"/>
        <w:textAlignment w:val="auto"/>
        <w:rPr>
          <w:rFonts w:ascii="Arial" w:hAnsi="Arial" w:cs="Arial"/>
          <w:sz w:val="22"/>
          <w:szCs w:val="22"/>
          <w:lang w:val="fr-FR"/>
        </w:rPr>
      </w:pPr>
      <w:r w:rsidRPr="00BD44E7">
        <w:rPr>
          <w:rFonts w:ascii="Arial" w:hAnsi="Arial" w:cs="Arial"/>
          <w:sz w:val="22"/>
          <w:szCs w:val="22"/>
          <w:lang w:val="fr-FR"/>
        </w:rPr>
        <w:t>élaborer des</w:t>
      </w:r>
      <w:r w:rsidR="006C14F4" w:rsidRPr="00BD44E7">
        <w:rPr>
          <w:rFonts w:ascii="Arial" w:hAnsi="Arial" w:cs="Arial"/>
          <w:sz w:val="22"/>
          <w:szCs w:val="22"/>
          <w:lang w:val="fr-FR"/>
        </w:rPr>
        <w:t xml:space="preserve"> </w:t>
      </w:r>
      <w:r w:rsidRPr="00BD44E7">
        <w:rPr>
          <w:rFonts w:ascii="Arial" w:hAnsi="Arial" w:cs="Arial"/>
          <w:sz w:val="22"/>
          <w:szCs w:val="22"/>
          <w:lang w:val="fr-FR"/>
        </w:rPr>
        <w:t>orientation</w:t>
      </w:r>
      <w:r w:rsidR="006C14F4" w:rsidRPr="00BD44E7">
        <w:rPr>
          <w:rFonts w:ascii="Arial" w:hAnsi="Arial" w:cs="Arial"/>
          <w:sz w:val="22"/>
          <w:szCs w:val="22"/>
          <w:lang w:val="fr-FR"/>
        </w:rPr>
        <w:t>s d’ordre</w:t>
      </w:r>
      <w:r w:rsidRPr="00BD44E7">
        <w:rPr>
          <w:rFonts w:ascii="Arial" w:hAnsi="Arial" w:cs="Arial"/>
          <w:sz w:val="22"/>
          <w:szCs w:val="22"/>
          <w:lang w:val="fr-FR"/>
        </w:rPr>
        <w:t xml:space="preserve"> législati</w:t>
      </w:r>
      <w:r w:rsidR="006C14F4" w:rsidRPr="00BD44E7">
        <w:rPr>
          <w:rFonts w:ascii="Arial" w:hAnsi="Arial" w:cs="Arial"/>
          <w:sz w:val="22"/>
          <w:szCs w:val="22"/>
          <w:lang w:val="fr-FR"/>
        </w:rPr>
        <w:t>f</w:t>
      </w:r>
      <w:r w:rsidRPr="00BD44E7">
        <w:rPr>
          <w:rFonts w:ascii="Arial" w:hAnsi="Arial" w:cs="Arial"/>
          <w:sz w:val="22"/>
          <w:szCs w:val="22"/>
          <w:lang w:val="fr-FR"/>
        </w:rPr>
        <w:t xml:space="preserve"> et des lois types, et fournir un</w:t>
      </w:r>
      <w:r w:rsidR="006C14F4" w:rsidRPr="00BD44E7">
        <w:rPr>
          <w:rFonts w:ascii="Arial" w:hAnsi="Arial" w:cs="Arial"/>
          <w:sz w:val="22"/>
          <w:szCs w:val="22"/>
          <w:lang w:val="fr-FR"/>
        </w:rPr>
        <w:t>e assistance</w:t>
      </w:r>
      <w:r w:rsidRPr="00BD44E7">
        <w:rPr>
          <w:rFonts w:ascii="Arial" w:hAnsi="Arial" w:cs="Arial"/>
          <w:sz w:val="22"/>
          <w:szCs w:val="22"/>
          <w:lang w:val="fr-FR"/>
        </w:rPr>
        <w:t xml:space="preserve"> technique afin d'aider les Parties à rédiger une législation nationale appropriée pour faciliter la mise en œuvre de l'</w:t>
      </w:r>
      <w:r w:rsidR="006C14F4" w:rsidRPr="00BD44E7">
        <w:rPr>
          <w:rFonts w:ascii="Arial" w:hAnsi="Arial" w:cs="Arial"/>
          <w:sz w:val="22"/>
          <w:szCs w:val="22"/>
          <w:lang w:val="fr-FR"/>
        </w:rPr>
        <w:t>A</w:t>
      </w:r>
      <w:r w:rsidRPr="00BD44E7">
        <w:rPr>
          <w:rFonts w:ascii="Arial" w:hAnsi="Arial" w:cs="Arial"/>
          <w:sz w:val="22"/>
          <w:szCs w:val="22"/>
          <w:lang w:val="fr-FR"/>
        </w:rPr>
        <w:t>rticle III</w:t>
      </w:r>
      <w:r w:rsidR="006C14F4" w:rsidRPr="00BD44E7">
        <w:rPr>
          <w:rFonts w:ascii="Arial" w:hAnsi="Arial" w:cs="Arial"/>
          <w:sz w:val="22"/>
          <w:szCs w:val="22"/>
          <w:lang w:val="fr-FR"/>
        </w:rPr>
        <w:t xml:space="preserve"> </w:t>
      </w:r>
      <w:r w:rsidRPr="00BD44E7">
        <w:rPr>
          <w:rFonts w:ascii="Arial" w:hAnsi="Arial" w:cs="Arial"/>
          <w:sz w:val="22"/>
          <w:szCs w:val="22"/>
          <w:lang w:val="fr-FR"/>
        </w:rPr>
        <w:t>5</w:t>
      </w:r>
      <w:r w:rsidR="00BA272A">
        <w:rPr>
          <w:rFonts w:ascii="Arial" w:hAnsi="Arial" w:cs="Arial"/>
          <w:sz w:val="22"/>
          <w:szCs w:val="22"/>
          <w:lang w:val="fr-FR"/>
        </w:rPr>
        <w:t>)</w:t>
      </w:r>
      <w:r w:rsidRPr="00BD44E7">
        <w:rPr>
          <w:rFonts w:ascii="Arial" w:hAnsi="Arial" w:cs="Arial"/>
          <w:sz w:val="22"/>
          <w:szCs w:val="22"/>
          <w:lang w:val="fr-FR"/>
        </w:rPr>
        <w:t xml:space="preserve"> de la Convention concernant l'interdiction de </w:t>
      </w:r>
      <w:r w:rsidR="006C14F4" w:rsidRPr="00BD44E7">
        <w:rPr>
          <w:rFonts w:ascii="Arial" w:hAnsi="Arial" w:cs="Arial"/>
          <w:sz w:val="22"/>
          <w:szCs w:val="22"/>
          <w:lang w:val="fr-FR"/>
        </w:rPr>
        <w:t>prélèvement</w:t>
      </w:r>
      <w:r w:rsidRPr="00BD44E7">
        <w:rPr>
          <w:rFonts w:ascii="Arial" w:hAnsi="Arial" w:cs="Arial"/>
          <w:sz w:val="22"/>
          <w:szCs w:val="22"/>
          <w:lang w:val="fr-FR"/>
        </w:rPr>
        <w:t xml:space="preserve"> </w:t>
      </w:r>
      <w:r w:rsidR="004A433E">
        <w:rPr>
          <w:rFonts w:ascii="Arial" w:hAnsi="Arial" w:cs="Arial"/>
          <w:sz w:val="22"/>
          <w:szCs w:val="22"/>
          <w:lang w:val="fr-FR"/>
        </w:rPr>
        <w:t>relative aux</w:t>
      </w:r>
      <w:r w:rsidR="006C14F4" w:rsidRPr="00BD44E7">
        <w:rPr>
          <w:rFonts w:ascii="Arial" w:hAnsi="Arial" w:cs="Arial"/>
          <w:sz w:val="22"/>
          <w:szCs w:val="22"/>
          <w:lang w:val="fr-FR"/>
        </w:rPr>
        <w:t xml:space="preserve"> </w:t>
      </w:r>
      <w:r w:rsidRPr="00BD44E7">
        <w:rPr>
          <w:rFonts w:ascii="Arial" w:hAnsi="Arial" w:cs="Arial"/>
          <w:sz w:val="22"/>
          <w:szCs w:val="22"/>
          <w:lang w:val="fr-FR"/>
        </w:rPr>
        <w:t xml:space="preserve">espèces de </w:t>
      </w:r>
      <w:r w:rsidR="006C14F4" w:rsidRPr="00BD44E7">
        <w:rPr>
          <w:rFonts w:ascii="Arial" w:hAnsi="Arial" w:cs="Arial"/>
          <w:sz w:val="22"/>
          <w:szCs w:val="22"/>
          <w:lang w:val="fr-FR"/>
        </w:rPr>
        <w:t xml:space="preserve">poissons cartilagineux </w:t>
      </w:r>
      <w:r w:rsidRPr="00BD44E7">
        <w:rPr>
          <w:rFonts w:ascii="Arial" w:hAnsi="Arial" w:cs="Arial"/>
          <w:sz w:val="22"/>
          <w:szCs w:val="22"/>
          <w:lang w:val="fr-FR"/>
        </w:rPr>
        <w:t>inscrites à l'</w:t>
      </w:r>
      <w:r w:rsidR="006C14F4" w:rsidRPr="00BD44E7">
        <w:rPr>
          <w:rFonts w:ascii="Arial" w:hAnsi="Arial" w:cs="Arial"/>
          <w:sz w:val="22"/>
          <w:szCs w:val="22"/>
          <w:lang w:val="fr-FR"/>
        </w:rPr>
        <w:t>A</w:t>
      </w:r>
      <w:r w:rsidRPr="00BD44E7">
        <w:rPr>
          <w:rFonts w:ascii="Arial" w:hAnsi="Arial" w:cs="Arial"/>
          <w:sz w:val="22"/>
          <w:szCs w:val="22"/>
          <w:lang w:val="fr-FR"/>
        </w:rPr>
        <w:t>nnexe</w:t>
      </w:r>
      <w:r w:rsidR="006C14F4" w:rsidRPr="00BD44E7">
        <w:rPr>
          <w:rFonts w:ascii="Arial" w:hAnsi="Arial" w:cs="Arial"/>
          <w:sz w:val="22"/>
          <w:szCs w:val="22"/>
          <w:lang w:val="fr-FR"/>
        </w:rPr>
        <w:t> </w:t>
      </w:r>
      <w:r w:rsidRPr="00BD44E7">
        <w:rPr>
          <w:rFonts w:ascii="Arial" w:hAnsi="Arial" w:cs="Arial"/>
          <w:sz w:val="22"/>
          <w:szCs w:val="22"/>
          <w:lang w:val="fr-FR"/>
        </w:rPr>
        <w:t>I.</w:t>
      </w:r>
      <w:r w:rsidR="007A5544" w:rsidRPr="00BD44E7">
        <w:rPr>
          <w:rFonts w:ascii="Arial" w:hAnsi="Arial" w:cs="Arial"/>
          <w:sz w:val="22"/>
          <w:szCs w:val="22"/>
          <w:lang w:val="fr-FR"/>
        </w:rPr>
        <w:t xml:space="preserve"> </w:t>
      </w:r>
    </w:p>
    <w:p w14:paraId="72E9C54B" w14:textId="77777777" w:rsidR="007A5544" w:rsidRPr="00BD44E7" w:rsidRDefault="007A5544" w:rsidP="005E607A">
      <w:pPr>
        <w:pStyle w:val="ListParagraph"/>
        <w:suppressAutoHyphens/>
        <w:ind w:left="0"/>
        <w:contextualSpacing w:val="0"/>
        <w:rPr>
          <w:rFonts w:cs="Arial"/>
          <w:lang w:val="fr-FR"/>
        </w:rPr>
      </w:pPr>
    </w:p>
    <w:p w14:paraId="6C7ED871" w14:textId="77777777" w:rsidR="00D82C56" w:rsidRPr="00BD44E7" w:rsidRDefault="00D82C56" w:rsidP="005E607A">
      <w:pPr>
        <w:jc w:val="both"/>
        <w:rPr>
          <w:rFonts w:ascii="Arial" w:hAnsi="Arial" w:cs="Arial"/>
          <w:sz w:val="22"/>
          <w:szCs w:val="22"/>
          <w:lang w:val="fr-FR"/>
        </w:rPr>
      </w:pPr>
    </w:p>
    <w:sectPr w:rsidR="00D82C56" w:rsidRPr="00BD44E7" w:rsidSect="00AB5285">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E2DBE" w14:textId="77777777" w:rsidR="000D5201" w:rsidRDefault="000D5201">
      <w:r>
        <w:separator/>
      </w:r>
    </w:p>
  </w:endnote>
  <w:endnote w:type="continuationSeparator" w:id="0">
    <w:p w14:paraId="60C3E45E" w14:textId="77777777" w:rsidR="000D5201" w:rsidRDefault="000D5201">
      <w:r>
        <w:continuationSeparator/>
      </w:r>
    </w:p>
  </w:endnote>
  <w:endnote w:type="continuationNotice" w:id="1">
    <w:p w14:paraId="2A9FDB2D" w14:textId="77777777" w:rsidR="000D5201" w:rsidRDefault="000D52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746686414"/>
      <w:docPartObj>
        <w:docPartGallery w:val="Page Numbers (Bottom of Page)"/>
        <w:docPartUnique/>
      </w:docPartObj>
    </w:sdtPr>
    <w:sdtEndPr>
      <w:rPr>
        <w:noProof/>
      </w:rPr>
    </w:sdtEndPr>
    <w:sdtContent>
      <w:p w14:paraId="35DAE944" w14:textId="4F169E16" w:rsidR="00D416B7" w:rsidRPr="00D416B7" w:rsidRDefault="00D416B7" w:rsidP="00D416B7">
        <w:pPr>
          <w:pStyle w:val="Footer"/>
          <w:jc w:val="center"/>
          <w:rPr>
            <w:rFonts w:ascii="Arial" w:hAnsi="Arial" w:cs="Arial"/>
            <w:sz w:val="18"/>
            <w:szCs w:val="18"/>
          </w:rPr>
        </w:pPr>
        <w:r w:rsidRPr="00D416B7">
          <w:rPr>
            <w:rFonts w:ascii="Arial" w:hAnsi="Arial" w:cs="Arial"/>
            <w:sz w:val="18"/>
            <w:szCs w:val="18"/>
          </w:rPr>
          <w:fldChar w:fldCharType="begin"/>
        </w:r>
        <w:r w:rsidRPr="00D416B7">
          <w:rPr>
            <w:rFonts w:ascii="Arial" w:hAnsi="Arial" w:cs="Arial"/>
            <w:sz w:val="18"/>
            <w:szCs w:val="18"/>
          </w:rPr>
          <w:instrText xml:space="preserve"> PAGE   \* MERGEFORMAT </w:instrText>
        </w:r>
        <w:r w:rsidRPr="00D416B7">
          <w:rPr>
            <w:rFonts w:ascii="Arial" w:hAnsi="Arial" w:cs="Arial"/>
            <w:sz w:val="18"/>
            <w:szCs w:val="18"/>
          </w:rPr>
          <w:fldChar w:fldCharType="separate"/>
        </w:r>
        <w:r w:rsidRPr="00D416B7">
          <w:rPr>
            <w:rFonts w:ascii="Arial" w:hAnsi="Arial" w:cs="Arial"/>
            <w:noProof/>
            <w:sz w:val="18"/>
            <w:szCs w:val="18"/>
          </w:rPr>
          <w:t>2</w:t>
        </w:r>
        <w:r w:rsidRPr="00D416B7">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946139750"/>
      <w:docPartObj>
        <w:docPartGallery w:val="Page Numbers (Bottom of Page)"/>
        <w:docPartUnique/>
      </w:docPartObj>
    </w:sdtPr>
    <w:sdtEndPr>
      <w:rPr>
        <w:noProof/>
      </w:rPr>
    </w:sdtEndPr>
    <w:sdtContent>
      <w:p w14:paraId="1C273611" w14:textId="29BBFE8E" w:rsidR="00D416B7" w:rsidRPr="00D416B7" w:rsidRDefault="00D416B7" w:rsidP="00D416B7">
        <w:pPr>
          <w:pStyle w:val="Footer"/>
          <w:jc w:val="center"/>
          <w:rPr>
            <w:rFonts w:ascii="Arial" w:hAnsi="Arial" w:cs="Arial"/>
            <w:sz w:val="18"/>
            <w:szCs w:val="18"/>
          </w:rPr>
        </w:pPr>
        <w:r w:rsidRPr="00D416B7">
          <w:rPr>
            <w:rFonts w:ascii="Arial" w:hAnsi="Arial" w:cs="Arial"/>
            <w:sz w:val="18"/>
            <w:szCs w:val="18"/>
          </w:rPr>
          <w:fldChar w:fldCharType="begin"/>
        </w:r>
        <w:r w:rsidRPr="00D416B7">
          <w:rPr>
            <w:rFonts w:ascii="Arial" w:hAnsi="Arial" w:cs="Arial"/>
            <w:sz w:val="18"/>
            <w:szCs w:val="18"/>
          </w:rPr>
          <w:instrText xml:space="preserve"> PAGE   \* MERGEFORMAT </w:instrText>
        </w:r>
        <w:r w:rsidRPr="00D416B7">
          <w:rPr>
            <w:rFonts w:ascii="Arial" w:hAnsi="Arial" w:cs="Arial"/>
            <w:sz w:val="18"/>
            <w:szCs w:val="18"/>
          </w:rPr>
          <w:fldChar w:fldCharType="separate"/>
        </w:r>
        <w:r w:rsidRPr="00D416B7">
          <w:rPr>
            <w:rFonts w:ascii="Arial" w:hAnsi="Arial" w:cs="Arial"/>
            <w:noProof/>
            <w:sz w:val="18"/>
            <w:szCs w:val="18"/>
          </w:rPr>
          <w:t>2</w:t>
        </w:r>
        <w:r w:rsidRPr="00D416B7">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921099687"/>
      <w:docPartObj>
        <w:docPartGallery w:val="Page Numbers (Bottom of Page)"/>
        <w:docPartUnique/>
      </w:docPartObj>
    </w:sdtPr>
    <w:sdtEndPr>
      <w:rPr>
        <w:noProof/>
      </w:rPr>
    </w:sdtEndPr>
    <w:sdtContent>
      <w:p w14:paraId="05101A02" w14:textId="13754BDB" w:rsidR="009B03FC" w:rsidRPr="009B03FC" w:rsidRDefault="009B03FC" w:rsidP="009B03FC">
        <w:pPr>
          <w:pStyle w:val="Footer"/>
          <w:jc w:val="center"/>
          <w:rPr>
            <w:rFonts w:ascii="Arial" w:hAnsi="Arial" w:cs="Arial"/>
            <w:sz w:val="18"/>
            <w:szCs w:val="18"/>
          </w:rPr>
        </w:pPr>
        <w:r w:rsidRPr="009B03FC">
          <w:rPr>
            <w:rFonts w:ascii="Arial" w:hAnsi="Arial" w:cs="Arial"/>
            <w:sz w:val="18"/>
            <w:szCs w:val="18"/>
          </w:rPr>
          <w:fldChar w:fldCharType="begin"/>
        </w:r>
        <w:r w:rsidRPr="009B03FC">
          <w:rPr>
            <w:rFonts w:ascii="Arial" w:hAnsi="Arial" w:cs="Arial"/>
            <w:sz w:val="18"/>
            <w:szCs w:val="18"/>
          </w:rPr>
          <w:instrText xml:space="preserve"> PAGE   \* MERGEFORMAT </w:instrText>
        </w:r>
        <w:r w:rsidRPr="009B03FC">
          <w:rPr>
            <w:rFonts w:ascii="Arial" w:hAnsi="Arial" w:cs="Arial"/>
            <w:sz w:val="18"/>
            <w:szCs w:val="18"/>
          </w:rPr>
          <w:fldChar w:fldCharType="separate"/>
        </w:r>
        <w:r w:rsidRPr="009B03FC">
          <w:rPr>
            <w:rFonts w:ascii="Arial" w:hAnsi="Arial" w:cs="Arial"/>
            <w:noProof/>
            <w:sz w:val="18"/>
            <w:szCs w:val="18"/>
          </w:rPr>
          <w:t>2</w:t>
        </w:r>
        <w:r w:rsidRPr="009B03FC">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E4BB8" w14:textId="77777777" w:rsidR="000D5201" w:rsidRDefault="000D5201">
      <w:r>
        <w:rPr>
          <w:color w:val="000000"/>
        </w:rPr>
        <w:separator/>
      </w:r>
    </w:p>
  </w:footnote>
  <w:footnote w:type="continuationSeparator" w:id="0">
    <w:p w14:paraId="5803B1F3" w14:textId="77777777" w:rsidR="000D5201" w:rsidRDefault="000D5201">
      <w:r>
        <w:continuationSeparator/>
      </w:r>
    </w:p>
  </w:footnote>
  <w:footnote w:type="continuationNotice" w:id="1">
    <w:p w14:paraId="2F711FC5" w14:textId="77777777" w:rsidR="000D5201" w:rsidRDefault="000D5201"/>
  </w:footnote>
  <w:footnote w:id="2">
    <w:p w14:paraId="0026E0E2" w14:textId="77777777" w:rsidR="00056208" w:rsidRPr="00763B67" w:rsidRDefault="00056208" w:rsidP="00056208">
      <w:pPr>
        <w:pStyle w:val="FootnoteText"/>
        <w:rPr>
          <w:rFonts w:ascii="Arial" w:hAnsi="Arial" w:cs="Arial"/>
          <w:sz w:val="16"/>
          <w:szCs w:val="16"/>
          <w:lang w:val="it-IT"/>
        </w:rPr>
      </w:pPr>
      <w:r w:rsidRPr="00763B67">
        <w:rPr>
          <w:rStyle w:val="FootnoteReference"/>
          <w:rFonts w:ascii="Arial" w:hAnsi="Arial" w:cs="Arial"/>
          <w:sz w:val="16"/>
          <w:szCs w:val="16"/>
        </w:rPr>
        <w:footnoteRef/>
      </w:r>
      <w:r w:rsidRPr="00763B67">
        <w:rPr>
          <w:rFonts w:ascii="Arial" w:hAnsi="Arial" w:cs="Arial"/>
          <w:sz w:val="16"/>
          <w:szCs w:val="16"/>
        </w:rPr>
        <w:t xml:space="preserve"> Gilman, Eric &amp; Chaloupka, Milani &amp; Booth, Hollie &amp; Hall, Martin &amp; Murua, Hilario &amp; Wilson, Jono. (2023). Bycatch-neutral fisheries through a sequential mitigation hierarchy. Marine Policy. </w:t>
      </w:r>
      <w:r w:rsidRPr="00763B67">
        <w:rPr>
          <w:rFonts w:ascii="Arial" w:hAnsi="Arial" w:cs="Arial"/>
          <w:sz w:val="16"/>
          <w:szCs w:val="16"/>
          <w:lang w:val="it-IT"/>
        </w:rPr>
        <w:t>150. 10.1016/j.marpol.2023.105522. (https://www.sciencedirect.com/science/article/pii/S0308597X23000490)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3C09E" w14:textId="032DFB60" w:rsidR="00D416B7" w:rsidRPr="005E607A" w:rsidRDefault="00D416B7" w:rsidP="00D416B7">
    <w:pPr>
      <w:pBdr>
        <w:bottom w:val="single" w:sz="4" w:space="1" w:color="auto"/>
      </w:pBdr>
      <w:tabs>
        <w:tab w:val="left" w:pos="5040"/>
        <w:tab w:val="left" w:pos="5760"/>
        <w:tab w:val="left" w:pos="6008"/>
        <w:tab w:val="left" w:pos="6480"/>
        <w:tab w:val="left" w:pos="7200"/>
        <w:tab w:val="left" w:pos="7920"/>
        <w:tab w:val="left" w:pos="8640"/>
      </w:tabs>
      <w:rPr>
        <w:sz w:val="18"/>
        <w:szCs w:val="18"/>
        <w:lang w:val="en-GB"/>
      </w:rPr>
    </w:pPr>
    <w:r w:rsidRPr="005E607A">
      <w:rPr>
        <w:rFonts w:ascii="Arial" w:hAnsi="Arial" w:cs="Arial"/>
        <w:i/>
        <w:iCs/>
        <w:sz w:val="18"/>
        <w:szCs w:val="18"/>
        <w:lang w:val="en-GB"/>
      </w:rPr>
      <w:t>UNEP/CMS/COP15/CRP.25.1.1</w:t>
    </w:r>
    <w:r w:rsidR="005278C7" w:rsidRPr="005E607A">
      <w:rPr>
        <w:rFonts w:ascii="Arial" w:hAnsi="Arial" w:cs="Arial"/>
        <w:i/>
        <w:iCs/>
        <w:sz w:val="18"/>
        <w:szCs w:val="18"/>
        <w:lang w:val="en-GB"/>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ED5D" w14:textId="58550B6E" w:rsidR="00D416B7" w:rsidRPr="005E607A" w:rsidRDefault="00D416B7" w:rsidP="00D416B7">
    <w:pPr>
      <w:pBdr>
        <w:bottom w:val="single" w:sz="4" w:space="1" w:color="auto"/>
      </w:pBdr>
      <w:tabs>
        <w:tab w:val="left" w:pos="5040"/>
        <w:tab w:val="left" w:pos="5760"/>
        <w:tab w:val="left" w:pos="6008"/>
        <w:tab w:val="left" w:pos="6480"/>
        <w:tab w:val="left" w:pos="7200"/>
        <w:tab w:val="left" w:pos="7920"/>
        <w:tab w:val="left" w:pos="8640"/>
      </w:tabs>
      <w:jc w:val="right"/>
      <w:rPr>
        <w:sz w:val="18"/>
        <w:szCs w:val="18"/>
        <w:lang w:val="en-GB"/>
      </w:rPr>
    </w:pPr>
    <w:r w:rsidRPr="005E607A">
      <w:rPr>
        <w:rFonts w:ascii="Arial" w:hAnsi="Arial" w:cs="Arial"/>
        <w:i/>
        <w:iCs/>
        <w:sz w:val="18"/>
        <w:szCs w:val="18"/>
        <w:lang w:val="en-GB"/>
      </w:rPr>
      <w:t>UNEP/CMS/COP15/CRP.25.1.1</w:t>
    </w:r>
    <w:r w:rsidR="005278C7" w:rsidRPr="005E607A">
      <w:rPr>
        <w:rFonts w:ascii="Arial" w:hAnsi="Arial" w:cs="Arial"/>
        <w:i/>
        <w:iCs/>
        <w:sz w:val="18"/>
        <w:szCs w:val="18"/>
        <w:lang w:val="en-GB"/>
      </w:rPr>
      <w:t>/Rev.1</w:t>
    </w:r>
  </w:p>
  <w:p w14:paraId="3B2AAA04" w14:textId="77777777" w:rsidR="00D416B7" w:rsidRDefault="00D416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2786" w14:textId="276A5B8D" w:rsidR="006821C9" w:rsidRPr="005E607A" w:rsidRDefault="006821C9" w:rsidP="006821C9">
    <w:pPr>
      <w:pBdr>
        <w:bottom w:val="single" w:sz="4" w:space="1" w:color="auto"/>
      </w:pBdr>
      <w:tabs>
        <w:tab w:val="left" w:pos="5040"/>
        <w:tab w:val="left" w:pos="5760"/>
        <w:tab w:val="left" w:pos="6008"/>
        <w:tab w:val="left" w:pos="6480"/>
        <w:tab w:val="left" w:pos="7200"/>
        <w:tab w:val="left" w:pos="7920"/>
        <w:tab w:val="left" w:pos="8640"/>
      </w:tabs>
      <w:ind w:firstLine="536"/>
      <w:jc w:val="right"/>
      <w:rPr>
        <w:sz w:val="18"/>
        <w:szCs w:val="18"/>
        <w:lang w:val="en-GB"/>
      </w:rPr>
    </w:pPr>
    <w:r w:rsidRPr="005E607A">
      <w:rPr>
        <w:rFonts w:ascii="Arial" w:hAnsi="Arial" w:cs="Arial"/>
        <w:i/>
        <w:iCs/>
        <w:sz w:val="18"/>
        <w:szCs w:val="18"/>
        <w:lang w:val="en-GB"/>
      </w:rPr>
      <w:t>UNEP/CMS/COP15/CRP.25.1.1</w:t>
    </w:r>
    <w:r w:rsidR="00CA6A2B" w:rsidRPr="005E607A">
      <w:rPr>
        <w:rFonts w:ascii="Arial" w:hAnsi="Arial" w:cs="Arial"/>
        <w:i/>
        <w:iCs/>
        <w:sz w:val="18"/>
        <w:szCs w:val="18"/>
        <w:lang w:val="en-GB"/>
      </w:rPr>
      <w:t>/Rev.1</w:t>
    </w:r>
  </w:p>
  <w:p w14:paraId="3BC608FF" w14:textId="77777777" w:rsidR="006821C9" w:rsidRDefault="006821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7640945E" w:rsidR="0041439A" w:rsidRPr="005E607A"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5E607A">
      <w:rPr>
        <w:rFonts w:ascii="Arial" w:hAnsi="Arial" w:cs="Arial"/>
        <w:i/>
        <w:sz w:val="18"/>
        <w:szCs w:val="18"/>
        <w:lang w:val="en-GB"/>
      </w:rPr>
      <w:t>UNEP/CMS/COP1</w:t>
    </w:r>
    <w:r w:rsidR="00AB5285" w:rsidRPr="005E607A">
      <w:rPr>
        <w:rFonts w:ascii="Arial" w:hAnsi="Arial" w:cs="Arial"/>
        <w:i/>
        <w:sz w:val="18"/>
        <w:szCs w:val="18"/>
        <w:lang w:val="en-GB"/>
      </w:rPr>
      <w:t>5</w:t>
    </w:r>
    <w:r w:rsidRPr="005E607A">
      <w:rPr>
        <w:rFonts w:ascii="Arial" w:hAnsi="Arial" w:cs="Arial"/>
        <w:i/>
        <w:sz w:val="18"/>
        <w:szCs w:val="18"/>
        <w:lang w:val="en-GB"/>
      </w:rPr>
      <w:t>/CRP</w:t>
    </w:r>
    <w:r w:rsidR="003B3382" w:rsidRPr="005E607A">
      <w:rPr>
        <w:rFonts w:ascii="Arial" w:hAnsi="Arial" w:cs="Arial"/>
        <w:i/>
        <w:sz w:val="18"/>
        <w:szCs w:val="18"/>
        <w:lang w:val="en-GB"/>
      </w:rPr>
      <w:t>25.1.1</w:t>
    </w:r>
    <w:r w:rsidR="005278C7" w:rsidRPr="005E607A">
      <w:rPr>
        <w:rFonts w:ascii="Arial" w:hAnsi="Arial" w:cs="Arial"/>
        <w:i/>
        <w:iCs/>
        <w:sz w:val="18"/>
        <w:szCs w:val="18"/>
        <w:lang w:val="en-GB"/>
      </w:rPr>
      <w:t>/Rev.1</w:t>
    </w:r>
  </w:p>
  <w:p w14:paraId="50B9F4CC" w14:textId="77777777" w:rsidR="0041439A" w:rsidRPr="005E607A" w:rsidRDefault="0041439A">
    <w:pPr>
      <w:pStyle w:val="Header"/>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61D59407" w:rsidR="0041439A" w:rsidRPr="005E607A"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5E607A">
      <w:rPr>
        <w:rFonts w:ascii="Arial" w:hAnsi="Arial" w:cs="Arial"/>
        <w:i/>
        <w:sz w:val="18"/>
        <w:szCs w:val="18"/>
        <w:lang w:val="en-GB"/>
      </w:rPr>
      <w:t>UNEP/CMS/COP1</w:t>
    </w:r>
    <w:r w:rsidR="00AB5285" w:rsidRPr="005E607A">
      <w:rPr>
        <w:rFonts w:ascii="Arial" w:hAnsi="Arial" w:cs="Arial"/>
        <w:i/>
        <w:sz w:val="18"/>
        <w:szCs w:val="18"/>
        <w:lang w:val="en-GB"/>
      </w:rPr>
      <w:t>5</w:t>
    </w:r>
    <w:r w:rsidRPr="005E607A">
      <w:rPr>
        <w:rFonts w:ascii="Arial" w:hAnsi="Arial" w:cs="Arial"/>
        <w:i/>
        <w:sz w:val="18"/>
        <w:szCs w:val="18"/>
        <w:lang w:val="en-GB"/>
      </w:rPr>
      <w:t>/CRP</w:t>
    </w:r>
    <w:r w:rsidR="00620BD8" w:rsidRPr="005E607A">
      <w:rPr>
        <w:rFonts w:ascii="Arial" w:hAnsi="Arial" w:cs="Arial"/>
        <w:i/>
        <w:sz w:val="18"/>
        <w:szCs w:val="18"/>
        <w:lang w:val="en-GB"/>
      </w:rPr>
      <w:t>25.1.1</w:t>
    </w:r>
    <w:r w:rsidR="005278C7" w:rsidRPr="005E607A">
      <w:rPr>
        <w:rFonts w:ascii="Arial" w:hAnsi="Arial" w:cs="Arial"/>
        <w:i/>
        <w:iCs/>
        <w:sz w:val="18"/>
        <w:szCs w:val="18"/>
        <w:lang w:val="en-GB"/>
      </w:rPr>
      <w:t>/Rev.1</w:t>
    </w:r>
  </w:p>
  <w:p w14:paraId="75025A37" w14:textId="77777777" w:rsidR="0041439A" w:rsidRPr="005E607A" w:rsidRDefault="0041439A">
    <w:pPr>
      <w:pStyle w:val="Header"/>
      <w:rPr>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509A68C7" w:rsidR="007A1066" w:rsidRPr="005E607A" w:rsidRDefault="007A1066" w:rsidP="003B3382">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en-GB"/>
      </w:rPr>
    </w:pPr>
    <w:r w:rsidRPr="005E607A">
      <w:rPr>
        <w:rFonts w:ascii="Arial" w:hAnsi="Arial" w:cs="Arial"/>
        <w:bCs/>
        <w:i/>
        <w:iCs/>
        <w:sz w:val="18"/>
        <w:szCs w:val="18"/>
        <w:lang w:val="en-GB"/>
      </w:rPr>
      <w:t>UNEP/CMS/COP1</w:t>
    </w:r>
    <w:r w:rsidR="00AB5285" w:rsidRPr="005E607A">
      <w:rPr>
        <w:rFonts w:ascii="Arial" w:hAnsi="Arial" w:cs="Arial"/>
        <w:bCs/>
        <w:i/>
        <w:iCs/>
        <w:sz w:val="18"/>
        <w:szCs w:val="18"/>
        <w:lang w:val="en-GB"/>
      </w:rPr>
      <w:t>5</w:t>
    </w:r>
    <w:r w:rsidRPr="005E607A">
      <w:rPr>
        <w:rFonts w:ascii="Arial" w:hAnsi="Arial" w:cs="Arial"/>
        <w:bCs/>
        <w:i/>
        <w:iCs/>
        <w:sz w:val="18"/>
        <w:szCs w:val="18"/>
        <w:lang w:val="en-GB"/>
      </w:rPr>
      <w:t>/CRP</w:t>
    </w:r>
    <w:r w:rsidR="009B03FC" w:rsidRPr="005E607A">
      <w:rPr>
        <w:rFonts w:ascii="Arial" w:hAnsi="Arial" w:cs="Arial"/>
        <w:bCs/>
        <w:i/>
        <w:iCs/>
        <w:sz w:val="18"/>
        <w:szCs w:val="18"/>
        <w:lang w:val="en-GB"/>
      </w:rPr>
      <w:t>25.1.1</w:t>
    </w:r>
    <w:r w:rsidR="005278C7" w:rsidRPr="005E607A">
      <w:rPr>
        <w:rFonts w:ascii="Arial" w:hAnsi="Arial" w:cs="Arial"/>
        <w:bCs/>
        <w:i/>
        <w:iCs/>
        <w:sz w:val="18"/>
        <w:szCs w:val="18"/>
        <w:lang w:val="en-GB"/>
      </w:rPr>
      <w:t>/Rev.1</w:t>
    </w:r>
  </w:p>
  <w:p w14:paraId="117A266F" w14:textId="77777777" w:rsidR="007A1066" w:rsidRPr="005E607A" w:rsidRDefault="007A1066">
    <w:pPr>
      <w:pStyle w:val="Header"/>
      <w:rPr>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7E06F81"/>
    <w:multiLevelType w:val="hybridMultilevel"/>
    <w:tmpl w:val="3C1C919C"/>
    <w:lvl w:ilvl="0" w:tplc="7A30F6BA">
      <w:start w:val="1"/>
      <w:numFmt w:val="lowerLetter"/>
      <w:lvlText w:val="%1)"/>
      <w:lvlJc w:val="left"/>
      <w:pPr>
        <w:ind w:left="1080" w:hanging="360"/>
      </w:pPr>
      <w:rPr>
        <w:i w:val="0"/>
        <w:i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3"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528537">
    <w:abstractNumId w:val="4"/>
  </w:num>
  <w:num w:numId="2" w16cid:durableId="574051727">
    <w:abstractNumId w:val="5"/>
  </w:num>
  <w:num w:numId="3" w16cid:durableId="6077332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2"/>
  </w:num>
  <w:num w:numId="5" w16cid:durableId="599720149">
    <w:abstractNumId w:val="0"/>
  </w:num>
  <w:num w:numId="6" w16cid:durableId="1796025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52"/>
    <w:rsid w:val="000129FF"/>
    <w:rsid w:val="00013AAB"/>
    <w:rsid w:val="00056208"/>
    <w:rsid w:val="0008138C"/>
    <w:rsid w:val="000B0D60"/>
    <w:rsid w:val="000B589E"/>
    <w:rsid w:val="000B61C5"/>
    <w:rsid w:val="000C24ED"/>
    <w:rsid w:val="000D5201"/>
    <w:rsid w:val="000E4BEE"/>
    <w:rsid w:val="001125D7"/>
    <w:rsid w:val="001345E6"/>
    <w:rsid w:val="001352BB"/>
    <w:rsid w:val="00142859"/>
    <w:rsid w:val="001551ED"/>
    <w:rsid w:val="00164D92"/>
    <w:rsid w:val="00192FFF"/>
    <w:rsid w:val="001A3DDD"/>
    <w:rsid w:val="001F787C"/>
    <w:rsid w:val="00223431"/>
    <w:rsid w:val="002243FE"/>
    <w:rsid w:val="00227282"/>
    <w:rsid w:val="002300E4"/>
    <w:rsid w:val="00266DF6"/>
    <w:rsid w:val="00267030"/>
    <w:rsid w:val="0027066C"/>
    <w:rsid w:val="002B6DE7"/>
    <w:rsid w:val="002E6E5C"/>
    <w:rsid w:val="002F14B1"/>
    <w:rsid w:val="00316A24"/>
    <w:rsid w:val="0033796E"/>
    <w:rsid w:val="00380BA5"/>
    <w:rsid w:val="003B3382"/>
    <w:rsid w:val="003F1AD8"/>
    <w:rsid w:val="003F663E"/>
    <w:rsid w:val="004036B0"/>
    <w:rsid w:val="004132F2"/>
    <w:rsid w:val="0041439A"/>
    <w:rsid w:val="0043102F"/>
    <w:rsid w:val="0045067E"/>
    <w:rsid w:val="004A433E"/>
    <w:rsid w:val="005278C7"/>
    <w:rsid w:val="005320D9"/>
    <w:rsid w:val="005645C4"/>
    <w:rsid w:val="005860C1"/>
    <w:rsid w:val="0058709F"/>
    <w:rsid w:val="0058757D"/>
    <w:rsid w:val="005D43E4"/>
    <w:rsid w:val="005D574F"/>
    <w:rsid w:val="005E607A"/>
    <w:rsid w:val="005F0639"/>
    <w:rsid w:val="00620BA9"/>
    <w:rsid w:val="00620BD8"/>
    <w:rsid w:val="006821C9"/>
    <w:rsid w:val="00687331"/>
    <w:rsid w:val="0069058F"/>
    <w:rsid w:val="006C14F4"/>
    <w:rsid w:val="006C4A17"/>
    <w:rsid w:val="006D020E"/>
    <w:rsid w:val="007103C8"/>
    <w:rsid w:val="00763B67"/>
    <w:rsid w:val="007A1066"/>
    <w:rsid w:val="007A5544"/>
    <w:rsid w:val="008433E6"/>
    <w:rsid w:val="008575F8"/>
    <w:rsid w:val="00857813"/>
    <w:rsid w:val="008B0378"/>
    <w:rsid w:val="009048BE"/>
    <w:rsid w:val="00911724"/>
    <w:rsid w:val="00925711"/>
    <w:rsid w:val="00950DA4"/>
    <w:rsid w:val="00960B8C"/>
    <w:rsid w:val="0096699F"/>
    <w:rsid w:val="009B03FC"/>
    <w:rsid w:val="009F1E7C"/>
    <w:rsid w:val="00A22218"/>
    <w:rsid w:val="00A31451"/>
    <w:rsid w:val="00A73BA9"/>
    <w:rsid w:val="00A80A8B"/>
    <w:rsid w:val="00A8579B"/>
    <w:rsid w:val="00AA1206"/>
    <w:rsid w:val="00AA138B"/>
    <w:rsid w:val="00AA75B2"/>
    <w:rsid w:val="00AB5285"/>
    <w:rsid w:val="00AE39EA"/>
    <w:rsid w:val="00AE590E"/>
    <w:rsid w:val="00AF2883"/>
    <w:rsid w:val="00B44EFC"/>
    <w:rsid w:val="00B63191"/>
    <w:rsid w:val="00B91802"/>
    <w:rsid w:val="00BA272A"/>
    <w:rsid w:val="00BD44E7"/>
    <w:rsid w:val="00C30C58"/>
    <w:rsid w:val="00C85E6D"/>
    <w:rsid w:val="00CA6A2B"/>
    <w:rsid w:val="00CA6BD3"/>
    <w:rsid w:val="00CA7342"/>
    <w:rsid w:val="00D02C99"/>
    <w:rsid w:val="00D416B7"/>
    <w:rsid w:val="00D50F95"/>
    <w:rsid w:val="00D51038"/>
    <w:rsid w:val="00D51218"/>
    <w:rsid w:val="00D55F6B"/>
    <w:rsid w:val="00D61140"/>
    <w:rsid w:val="00D82C56"/>
    <w:rsid w:val="00D82E73"/>
    <w:rsid w:val="00D877F0"/>
    <w:rsid w:val="00DB2EEB"/>
    <w:rsid w:val="00DB7CFD"/>
    <w:rsid w:val="00DD0B0F"/>
    <w:rsid w:val="00E1532C"/>
    <w:rsid w:val="00E24525"/>
    <w:rsid w:val="00E25207"/>
    <w:rsid w:val="00E45B44"/>
    <w:rsid w:val="00E6184B"/>
    <w:rsid w:val="00E829C9"/>
    <w:rsid w:val="00EB2027"/>
    <w:rsid w:val="00EF2BC5"/>
    <w:rsid w:val="00F52A55"/>
    <w:rsid w:val="00F56104"/>
    <w:rsid w:val="00F83F51"/>
    <w:rsid w:val="00F97C73"/>
    <w:rsid w:val="00FA2BCA"/>
    <w:rsid w:val="00FC1284"/>
    <w:rsid w:val="00FD0BD8"/>
    <w:rsid w:val="00FD0BF4"/>
    <w:rsid w:val="00FD2017"/>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1"/>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1"/>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semiHidden/>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semiHidden/>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 w:type="character" w:styleId="UnresolvedMention">
    <w:name w:val="Unresolved Mention"/>
    <w:basedOn w:val="DefaultParagraphFont"/>
    <w:uiPriority w:val="99"/>
    <w:semiHidden/>
    <w:unhideWhenUsed/>
    <w:rsid w:val="00A80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4060/cb6635en" TargetMode="External"/><Relationship Id="rId18" Type="http://schemas.openxmlformats.org/officeDocument/2006/relationships/hyperlink" Target="https://www.cms.int/en/publication/review-methods-used-reduce-risks-cetacean-bycatch-and-entanglements-cms-technical-series" TargetMode="External"/><Relationship Id="rId26" Type="http://schemas.openxmlformats.org/officeDocument/2006/relationships/hyperlink" Target="https://www.acap.aq/resources/bycatch-mitigation" TargetMode="External"/><Relationship Id="rId39" Type="http://schemas.openxmlformats.org/officeDocument/2006/relationships/theme" Target="theme/theme1.xml"/><Relationship Id="rId21" Type="http://schemas.openxmlformats.org/officeDocument/2006/relationships/hyperlink" Target="https://eur02.safelinks.protection.outlook.com/?url=https%3A%2F%2Fwww.cms.int%2Fpublication%2Fguidelines-safe-and-humane-handling-and-release-bycaught-small-cetaceans-fishing-gear&amp;data=05%7C02%7Candrea.pauly%40un.org%7Cab658b61034745d6eeb308de3d623d83%7C0f9e35db544f4f60bdcc5ea416e6dc70%7C0%7C0%7C639015689312483244%7CUnknown%7CTWFpbGZsb3d8eyJFbXB0eU1hcGkiOnRydWUsIlYiOiIwLjAuMDAwMCIsIlAiOiJXaW4zMiIsIkFOIjoiTWFpbCIsIldUIjoyfQ%3D%3D%7C0%7C%7C%7C&amp;sdata=kAgxxY7ycDRFedwF3N4vqi8OUHpgPocgitBJ0vY6Iq0%3D&amp;reserved=0"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fao.org/responsible-fishing/resources/detail/fr/c/1315947/" TargetMode="External"/><Relationship Id="rId17" Type="http://schemas.openxmlformats.org/officeDocument/2006/relationships/hyperlink" Target="https://doi.org/10.4060/cb2887en" TargetMode="External"/><Relationship Id="rId25" Type="http://schemas.openxmlformats.org/officeDocument/2006/relationships/hyperlink" Target="https://www.iss-foundation.org/about-issf/what-we-publish/issf-documents/jelly-fad-construction-guide/" TargetMode="Externa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int/sites/default/files/document/cms_cop13_inf.11_technical-mitigation-to-reduce-marine-mammal-bycatch_e.pdf" TargetMode="External"/><Relationship Id="rId20" Type="http://schemas.openxmlformats.org/officeDocument/2006/relationships/hyperlink" Target="https://www.ascobans.org/en/publication/cost-benefit-analysis-mitigation-measures-fisheries-high-bycatch"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nknowledge.fao.org/server/api/core/bitstreams/d47172a3-731b-49b7-9c59-bbda0b328ee7/content" TargetMode="External"/><Relationship Id="rId24" Type="http://schemas.openxmlformats.org/officeDocument/2006/relationships/hyperlink" Target="https://www.cms.int/document/review-technical-and-operational-measures-mitigate-bycatch-marine-turtles-commercial" TargetMode="External"/><Relationship Id="rId32" Type="http://schemas.openxmlformats.org/officeDocument/2006/relationships/header" Target="header4.xml"/><Relationship Id="rId37" Type="http://schemas.openxmlformats.org/officeDocument/2006/relationships/footer" Target="footer5.xml"/><Relationship Id="rId5" Type="http://schemas.openxmlformats.org/officeDocument/2006/relationships/styles" Target="styles.xml"/><Relationship Id="rId15" Type="http://schemas.openxmlformats.org/officeDocument/2006/relationships/hyperlink" Target="https://doi.org/10.1007/s11160-019-09550-6" TargetMode="External"/><Relationship Id="rId23" Type="http://schemas.openxmlformats.org/officeDocument/2006/relationships/hyperlink" Target="https://iwc.int/management-and-conservation/bycatch-and-entanglement-of-cetaceans-in-fishing/entanglement" TargetMode="External"/><Relationship Id="rId28" Type="http://schemas.openxmlformats.org/officeDocument/2006/relationships/header" Target="header2.xml"/><Relationship Id="rId36" Type="http://schemas.openxmlformats.org/officeDocument/2006/relationships/header" Target="header6.xml"/><Relationship Id="rId10" Type="http://schemas.openxmlformats.org/officeDocument/2006/relationships/hyperlink" Target="https://doi.org/10.17895/ices.advice.6022" TargetMode="External"/><Relationship Id="rId19" Type="http://schemas.openxmlformats.org/officeDocument/2006/relationships/hyperlink" Target="https://www.ascobans.org/en/publication/monitoring-cetacean-bycatch-analysis-different-methods-aboard-commercial-fishing-vessels"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ss-foundation.org/about-issf/what-we-publish/issf-documents/non-entangling-and-biodegradable-fads-guide-english/" TargetMode="External"/><Relationship Id="rId22" Type="http://schemas.openxmlformats.org/officeDocument/2006/relationships/hyperlink" Target="https://iwc.int/public/documents/v4UwJ/Adaptation-of-NOAA-Best-practices-for%20disentanglement-of-free-swimming-small-cetaceans_IWC-SC-Endorsed.pdf"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oter" Target="footer4.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640763F5-1520-4852-8535-98B22F78FD75}"/>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TotalTime>
  <Pages>9</Pages>
  <Words>3690</Words>
  <Characters>21038</Characters>
  <Application>Microsoft Office Word</Application>
  <DocSecurity>0</DocSecurity>
  <Lines>175</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5</cp:revision>
  <cp:lastPrinted>2026-03-28T01:41:00Z</cp:lastPrinted>
  <dcterms:created xsi:type="dcterms:W3CDTF">2026-03-28T18:32:00Z</dcterms:created>
  <dcterms:modified xsi:type="dcterms:W3CDTF">2026-03-28T18:41:00Z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fr</vt:lpwstr>
  </property>
</Properties>
</file>