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248927A3" w:rsidR="00D82C56" w:rsidRDefault="002866A4" w:rsidP="002866A4">
      <w:pPr>
        <w:spacing w:after="120"/>
        <w:jc w:val="center"/>
        <w:rPr>
          <w:rFonts w:ascii="Arial" w:hAnsi="Arial" w:cs="Arial"/>
          <w:b/>
          <w:sz w:val="22"/>
          <w:szCs w:val="22"/>
          <w:lang w:val="es-ES"/>
        </w:rPr>
      </w:pPr>
      <w:r w:rsidRPr="002866A4">
        <w:rPr>
          <w:rFonts w:ascii="Arial" w:hAnsi="Arial" w:cs="Arial"/>
          <w:b/>
          <w:sz w:val="22"/>
          <w:szCs w:val="22"/>
          <w:lang w:val="es-ES"/>
        </w:rPr>
        <w:t>MECANISMO DE REVISIÓN Y PROGRAMA LEGISLATIVO NACIONAL</w:t>
      </w:r>
    </w:p>
    <w:p w14:paraId="77BA811D" w14:textId="2AD07E97" w:rsidR="00D82C56" w:rsidRPr="0058757D" w:rsidRDefault="005D43E4" w:rsidP="00AB5285">
      <w:pPr>
        <w:spacing w:after="120"/>
        <w:jc w:val="center"/>
        <w:rPr>
          <w:rFonts w:ascii="Arial" w:hAnsi="Arial" w:cs="Arial"/>
          <w:sz w:val="22"/>
          <w:szCs w:val="22"/>
          <w:lang w:val="es-ES"/>
        </w:rPr>
      </w:pPr>
      <w:r w:rsidRPr="0058757D">
        <w:rPr>
          <w:rFonts w:ascii="Arial" w:hAnsi="Arial" w:cs="Arial"/>
          <w:sz w:val="22"/>
          <w:szCs w:val="22"/>
          <w:lang w:val="es-ES"/>
        </w:rPr>
        <w:t>UNEP/CMS/COP1</w:t>
      </w:r>
      <w:r w:rsidR="002866A4">
        <w:rPr>
          <w:rFonts w:ascii="Arial" w:hAnsi="Arial" w:cs="Arial"/>
          <w:sz w:val="22"/>
          <w:szCs w:val="22"/>
          <w:lang w:val="es-ES"/>
        </w:rPr>
        <w:t>5</w:t>
      </w:r>
      <w:r w:rsidRPr="0058757D">
        <w:rPr>
          <w:rFonts w:ascii="Arial" w:hAnsi="Arial" w:cs="Arial"/>
          <w:sz w:val="22"/>
          <w:szCs w:val="22"/>
          <w:lang w:val="es-ES"/>
        </w:rPr>
        <w:t>/Doc.</w:t>
      </w:r>
      <w:r w:rsidR="002866A4">
        <w:rPr>
          <w:rFonts w:ascii="Arial" w:hAnsi="Arial" w:cs="Arial"/>
          <w:sz w:val="22"/>
          <w:szCs w:val="22"/>
          <w:lang w:val="es-ES"/>
        </w:rPr>
        <w:t>23</w:t>
      </w:r>
    </w:p>
    <w:p w14:paraId="73A89732" w14:textId="6869A57B"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proofErr w:type="spellStart"/>
      <w:r w:rsidR="00FD2360" w:rsidRPr="00FD2360">
        <w:rPr>
          <w:rFonts w:ascii="Arial" w:hAnsi="Arial" w:cs="Arial"/>
          <w:i/>
          <w:sz w:val="22"/>
          <w:szCs w:val="22"/>
          <w:lang w:val="es-ES"/>
        </w:rPr>
        <w:t>GdT</w:t>
      </w:r>
      <w:proofErr w:type="spellEnd"/>
      <w:r w:rsidRPr="00FD2360">
        <w:rPr>
          <w:rFonts w:ascii="Arial" w:hAnsi="Arial" w:cs="Arial"/>
          <w:i/>
          <w:sz w:val="22"/>
          <w:szCs w:val="22"/>
          <w:lang w:val="es-ES"/>
        </w:rPr>
        <w:t>/COW)</w:t>
      </w:r>
    </w:p>
    <w:p w14:paraId="6C7ED871" w14:textId="77777777" w:rsidR="00D82C56" w:rsidRPr="00FD2360" w:rsidRDefault="00D82C56" w:rsidP="00E829C9">
      <w:pPr>
        <w:rPr>
          <w:rFonts w:ascii="Arial" w:hAnsi="Arial" w:cs="Arial"/>
          <w:sz w:val="22"/>
          <w:szCs w:val="22"/>
          <w:lang w:val="es-ES"/>
        </w:rPr>
      </w:pPr>
    </w:p>
    <w:p w14:paraId="6FF2FAFD" w14:textId="77777777" w:rsidR="002866A4" w:rsidRPr="002866A4" w:rsidRDefault="002866A4" w:rsidP="002866A4">
      <w:pPr>
        <w:suppressAutoHyphens w:val="0"/>
        <w:adjustRightInd w:val="0"/>
        <w:jc w:val="center"/>
        <w:textAlignment w:val="auto"/>
        <w:rPr>
          <w:rFonts w:ascii="Arial" w:hAnsi="Arial" w:cs="Arial"/>
          <w:sz w:val="22"/>
          <w:szCs w:val="22"/>
          <w:lang w:val="es-ES"/>
        </w:rPr>
      </w:pPr>
      <w:r w:rsidRPr="002866A4">
        <w:rPr>
          <w:rFonts w:ascii="Arial" w:hAnsi="Arial" w:cs="Arial"/>
          <w:sz w:val="22"/>
          <w:szCs w:val="22"/>
          <w:lang w:val="es-ES"/>
        </w:rPr>
        <w:t>PROYECTOS DE DECISIÓN</w:t>
      </w:r>
    </w:p>
    <w:p w14:paraId="5793B4B2" w14:textId="77777777" w:rsidR="002866A4" w:rsidRPr="002866A4" w:rsidRDefault="002866A4" w:rsidP="002866A4">
      <w:pPr>
        <w:suppressAutoHyphens w:val="0"/>
        <w:adjustRightInd w:val="0"/>
        <w:jc w:val="center"/>
        <w:textAlignment w:val="auto"/>
        <w:rPr>
          <w:rFonts w:ascii="Arial" w:hAnsi="Arial" w:cs="Arial"/>
          <w:sz w:val="22"/>
          <w:szCs w:val="22"/>
          <w:lang w:val="es-ES"/>
        </w:rPr>
      </w:pPr>
    </w:p>
    <w:p w14:paraId="5887E302" w14:textId="77777777" w:rsidR="002866A4" w:rsidRPr="002866A4" w:rsidRDefault="002866A4" w:rsidP="002866A4">
      <w:pPr>
        <w:suppressAutoHyphens w:val="0"/>
        <w:adjustRightInd w:val="0"/>
        <w:jc w:val="center"/>
        <w:textAlignment w:val="auto"/>
        <w:rPr>
          <w:rFonts w:ascii="Arial" w:hAnsi="Arial" w:cs="Arial"/>
          <w:b/>
          <w:bCs/>
          <w:sz w:val="22"/>
          <w:szCs w:val="22"/>
          <w:lang w:val="es-ES"/>
        </w:rPr>
      </w:pPr>
      <w:r w:rsidRPr="002866A4">
        <w:rPr>
          <w:rFonts w:ascii="Arial" w:hAnsi="Arial" w:cs="Arial"/>
          <w:b/>
          <w:bCs/>
          <w:sz w:val="22"/>
          <w:szCs w:val="22"/>
          <w:lang w:val="es-ES"/>
        </w:rPr>
        <w:t>MECANISMO DE REVISIÓN Y PROGRAMA LEGISLATIVO NACIONAL</w:t>
      </w:r>
    </w:p>
    <w:p w14:paraId="701CB577" w14:textId="77777777" w:rsidR="002866A4" w:rsidRPr="002866A4" w:rsidRDefault="002866A4" w:rsidP="002866A4">
      <w:pPr>
        <w:widowControl/>
        <w:suppressAutoHyphens w:val="0"/>
        <w:autoSpaceDE/>
        <w:autoSpaceDN/>
        <w:textAlignment w:val="auto"/>
        <w:rPr>
          <w:rFonts w:ascii="Arial" w:hAnsi="Arial" w:cs="Arial"/>
          <w:iCs/>
          <w:sz w:val="22"/>
          <w:lang w:val="es-ES"/>
        </w:rPr>
      </w:pPr>
    </w:p>
    <w:p w14:paraId="186A8C18" w14:textId="77777777" w:rsidR="002866A4" w:rsidRPr="002866A4" w:rsidRDefault="002866A4" w:rsidP="002866A4">
      <w:pPr>
        <w:widowControl/>
        <w:suppressAutoHyphens w:val="0"/>
        <w:autoSpaceDE/>
        <w:autoSpaceDN/>
        <w:textAlignment w:val="auto"/>
        <w:rPr>
          <w:rFonts w:ascii="Arial" w:hAnsi="Arial" w:cs="Arial"/>
          <w:b/>
          <w:bCs/>
          <w:i/>
          <w:sz w:val="22"/>
          <w:lang w:val="es-ES"/>
        </w:rPr>
      </w:pPr>
    </w:p>
    <w:p w14:paraId="4A8D43EB" w14:textId="77777777" w:rsidR="002866A4" w:rsidRPr="002866A4" w:rsidRDefault="002866A4" w:rsidP="002866A4">
      <w:pPr>
        <w:widowControl/>
        <w:suppressAutoHyphens w:val="0"/>
        <w:autoSpaceDE/>
        <w:autoSpaceDN/>
        <w:textAlignment w:val="auto"/>
        <w:rPr>
          <w:rFonts w:ascii="Arial" w:hAnsi="Arial" w:cs="Arial"/>
          <w:b/>
          <w:bCs/>
          <w:i/>
          <w:sz w:val="22"/>
          <w:lang w:val="es-ES"/>
        </w:rPr>
      </w:pPr>
      <w:r w:rsidRPr="002866A4">
        <w:rPr>
          <w:rFonts w:ascii="Arial" w:hAnsi="Arial" w:cs="Arial"/>
          <w:b/>
          <w:bCs/>
          <w:i/>
          <w:sz w:val="22"/>
          <w:lang w:val="es-ES"/>
        </w:rPr>
        <w:t>Dirigido a las Partes</w:t>
      </w:r>
    </w:p>
    <w:p w14:paraId="287367FD" w14:textId="77777777" w:rsidR="002866A4" w:rsidRPr="002866A4" w:rsidRDefault="002866A4" w:rsidP="002866A4">
      <w:pPr>
        <w:widowControl/>
        <w:suppressAutoHyphens w:val="0"/>
        <w:autoSpaceDE/>
        <w:autoSpaceDN/>
        <w:textAlignment w:val="auto"/>
        <w:rPr>
          <w:rFonts w:ascii="Arial" w:hAnsi="Arial" w:cs="Arial"/>
          <w:b/>
          <w:bCs/>
          <w:iCs/>
          <w:sz w:val="22"/>
          <w:lang w:val="es-ES"/>
        </w:rPr>
      </w:pPr>
    </w:p>
    <w:p w14:paraId="6E6911AD" w14:textId="77777777" w:rsidR="002866A4" w:rsidRPr="002866A4" w:rsidRDefault="002866A4" w:rsidP="002866A4">
      <w:pPr>
        <w:widowControl/>
        <w:suppressAutoHyphens w:val="0"/>
        <w:autoSpaceDE/>
        <w:autoSpaceDN/>
        <w:ind w:left="720" w:hanging="720"/>
        <w:jc w:val="both"/>
        <w:textAlignment w:val="auto"/>
        <w:rPr>
          <w:rFonts w:ascii="Arial" w:hAnsi="Arial" w:cs="Arial"/>
          <w:iCs/>
          <w:sz w:val="22"/>
          <w:lang w:val="es-ES"/>
        </w:rPr>
      </w:pPr>
      <w:r w:rsidRPr="002866A4">
        <w:rPr>
          <w:rFonts w:ascii="Arial" w:hAnsi="Arial" w:cs="Arial"/>
          <w:iCs/>
          <w:sz w:val="22"/>
          <w:lang w:val="es-ES"/>
        </w:rPr>
        <w:t>15.AA</w:t>
      </w:r>
      <w:r w:rsidRPr="002866A4">
        <w:rPr>
          <w:rFonts w:ascii="Arial" w:hAnsi="Arial" w:cs="Arial"/>
          <w:iCs/>
          <w:sz w:val="22"/>
          <w:lang w:val="es-ES"/>
        </w:rPr>
        <w:tab/>
      </w:r>
    </w:p>
    <w:p w14:paraId="4FD7FF9A" w14:textId="77777777" w:rsidR="002866A4" w:rsidRPr="002866A4" w:rsidRDefault="002866A4" w:rsidP="002866A4">
      <w:pPr>
        <w:widowControl/>
        <w:suppressAutoHyphens w:val="0"/>
        <w:autoSpaceDE/>
        <w:autoSpaceDN/>
        <w:ind w:left="1260" w:hanging="540"/>
        <w:jc w:val="both"/>
        <w:textAlignment w:val="auto"/>
        <w:rPr>
          <w:rFonts w:ascii="Arial" w:hAnsi="Arial" w:cs="Arial"/>
          <w:iCs/>
          <w:sz w:val="22"/>
          <w:lang w:val="es-ES"/>
        </w:rPr>
      </w:pPr>
      <w:r w:rsidRPr="002866A4">
        <w:rPr>
          <w:rFonts w:ascii="Arial" w:hAnsi="Arial" w:cs="Arial"/>
          <w:iCs/>
          <w:sz w:val="22"/>
          <w:lang w:val="es-ES"/>
        </w:rPr>
        <w:t>a)</w:t>
      </w:r>
      <w:r w:rsidRPr="002866A4">
        <w:rPr>
          <w:rFonts w:ascii="Arial" w:hAnsi="Arial" w:cs="Arial"/>
          <w:iCs/>
          <w:sz w:val="22"/>
          <w:lang w:val="es-ES"/>
        </w:rPr>
        <w:tab/>
        <w:t>Se insta a las Partes que hayan presentado el cuestionario sobre legislación nacional y hayan recibido un perfil legislativo nacional de la Secretaría a que adopten las medidas oportunas para cumplir lo dispuesto en el párrafo 5 del artículo III, de conformidad con las medidas recomendadas por la Secretaría, tal como se indica en el perfil legislativo nacional;</w:t>
      </w:r>
    </w:p>
    <w:p w14:paraId="2C758433" w14:textId="77777777" w:rsidR="002866A4" w:rsidRPr="002866A4" w:rsidRDefault="002866A4" w:rsidP="002866A4">
      <w:pPr>
        <w:widowControl/>
        <w:suppressAutoHyphens w:val="0"/>
        <w:autoSpaceDE/>
        <w:autoSpaceDN/>
        <w:ind w:left="1260" w:hanging="562"/>
        <w:jc w:val="both"/>
        <w:textAlignment w:val="auto"/>
        <w:rPr>
          <w:rFonts w:ascii="Arial" w:hAnsi="Arial" w:cs="Arial"/>
          <w:iCs/>
          <w:sz w:val="22"/>
          <w:lang w:val="es-ES"/>
        </w:rPr>
      </w:pPr>
    </w:p>
    <w:p w14:paraId="335D566B" w14:textId="77777777" w:rsidR="002866A4" w:rsidRPr="002866A4" w:rsidRDefault="002866A4" w:rsidP="002866A4">
      <w:pPr>
        <w:widowControl/>
        <w:suppressAutoHyphens w:val="0"/>
        <w:autoSpaceDE/>
        <w:autoSpaceDN/>
        <w:ind w:left="1260" w:hanging="562"/>
        <w:jc w:val="both"/>
        <w:textAlignment w:val="auto"/>
        <w:rPr>
          <w:rFonts w:ascii="Arial" w:hAnsi="Arial" w:cs="Arial"/>
          <w:iCs/>
          <w:sz w:val="22"/>
          <w:lang w:val="es-ES"/>
        </w:rPr>
      </w:pPr>
      <w:r w:rsidRPr="002866A4">
        <w:rPr>
          <w:rFonts w:ascii="Arial" w:hAnsi="Arial" w:cs="Arial"/>
          <w:iCs/>
          <w:sz w:val="22"/>
          <w:lang w:val="es-ES"/>
        </w:rPr>
        <w:t>b)</w:t>
      </w:r>
      <w:r w:rsidRPr="002866A4">
        <w:rPr>
          <w:rFonts w:ascii="Arial" w:hAnsi="Arial" w:cs="Arial"/>
          <w:iCs/>
          <w:sz w:val="22"/>
          <w:lang w:val="es-ES"/>
        </w:rPr>
        <w:tab/>
        <w:t>Se recomienda encarecidamente a las Partes que no hayan completado y enviado el cuestionario que procedan a hacerlo;</w:t>
      </w:r>
    </w:p>
    <w:p w14:paraId="1EC92210" w14:textId="77777777" w:rsidR="002866A4" w:rsidRPr="002866A4" w:rsidRDefault="002866A4" w:rsidP="002866A4">
      <w:pPr>
        <w:widowControl/>
        <w:suppressAutoHyphens w:val="0"/>
        <w:autoSpaceDE/>
        <w:autoSpaceDN/>
        <w:ind w:left="1260" w:hanging="562"/>
        <w:jc w:val="both"/>
        <w:textAlignment w:val="auto"/>
        <w:rPr>
          <w:rFonts w:ascii="Arial" w:hAnsi="Arial" w:cs="Arial"/>
          <w:iCs/>
          <w:sz w:val="22"/>
          <w:lang w:val="es-ES"/>
        </w:rPr>
      </w:pPr>
    </w:p>
    <w:p w14:paraId="252C7577" w14:textId="77777777" w:rsidR="002866A4" w:rsidRPr="002866A4" w:rsidRDefault="002866A4" w:rsidP="002866A4">
      <w:pPr>
        <w:widowControl/>
        <w:suppressAutoHyphens w:val="0"/>
        <w:autoSpaceDE/>
        <w:autoSpaceDN/>
        <w:ind w:left="1260" w:hanging="562"/>
        <w:jc w:val="both"/>
        <w:textAlignment w:val="auto"/>
        <w:rPr>
          <w:rFonts w:ascii="Arial" w:hAnsi="Arial" w:cs="Arial"/>
          <w:iCs/>
          <w:sz w:val="22"/>
          <w:lang w:val="es-ES"/>
        </w:rPr>
      </w:pPr>
      <w:r w:rsidRPr="002866A4">
        <w:rPr>
          <w:rFonts w:ascii="Arial" w:hAnsi="Arial" w:cs="Arial"/>
          <w:iCs/>
          <w:sz w:val="22"/>
          <w:lang w:val="es-ES"/>
        </w:rPr>
        <w:t>c)</w:t>
      </w:r>
      <w:r w:rsidRPr="002866A4">
        <w:rPr>
          <w:rFonts w:ascii="Arial" w:hAnsi="Arial" w:cs="Arial"/>
          <w:iCs/>
          <w:sz w:val="22"/>
          <w:lang w:val="es-ES"/>
        </w:rPr>
        <w:tab/>
        <w:t>Se recuerda a las Partes que deben informar a la Secretaría de cualquier excepción concedida en virtud del párrafo 5 del artículo III de la Convención.</w:t>
      </w:r>
    </w:p>
    <w:p w14:paraId="35A30BCE" w14:textId="77777777" w:rsidR="002866A4" w:rsidRPr="002866A4" w:rsidRDefault="002866A4" w:rsidP="002866A4">
      <w:pPr>
        <w:widowControl/>
        <w:suppressAutoHyphens w:val="0"/>
        <w:autoSpaceDE/>
        <w:autoSpaceDN/>
        <w:textAlignment w:val="auto"/>
        <w:rPr>
          <w:rFonts w:ascii="Arial" w:hAnsi="Arial" w:cs="Arial"/>
          <w:b/>
          <w:bCs/>
          <w:i/>
          <w:sz w:val="22"/>
          <w:lang w:val="es-ES"/>
        </w:rPr>
      </w:pPr>
    </w:p>
    <w:p w14:paraId="4B08B2CE" w14:textId="77777777" w:rsidR="002866A4" w:rsidRPr="002866A4" w:rsidRDefault="002866A4" w:rsidP="002866A4">
      <w:pPr>
        <w:widowControl/>
        <w:suppressAutoHyphens w:val="0"/>
        <w:autoSpaceDE/>
        <w:autoSpaceDN/>
        <w:textAlignment w:val="auto"/>
        <w:rPr>
          <w:rFonts w:ascii="Arial" w:eastAsiaTheme="minorHAnsi" w:hAnsi="Arial" w:cstheme="minorBidi"/>
          <w:b/>
          <w:bCs/>
          <w:i/>
          <w:sz w:val="22"/>
          <w:szCs w:val="22"/>
          <w:lang w:val="es-ES"/>
        </w:rPr>
      </w:pPr>
      <w:r w:rsidRPr="002866A4">
        <w:rPr>
          <w:rFonts w:ascii="Arial" w:hAnsi="Arial" w:cs="Arial"/>
          <w:b/>
          <w:bCs/>
          <w:i/>
          <w:sz w:val="22"/>
          <w:lang w:val="es-ES"/>
        </w:rPr>
        <w:t>Dirigido a la Secretaría</w:t>
      </w:r>
    </w:p>
    <w:p w14:paraId="27C061ED" w14:textId="77777777" w:rsidR="002866A4" w:rsidRPr="002866A4" w:rsidRDefault="002866A4" w:rsidP="002866A4">
      <w:pPr>
        <w:widowControl/>
        <w:suppressAutoHyphens w:val="0"/>
        <w:autoSpaceDE/>
        <w:autoSpaceDN/>
        <w:textAlignment w:val="auto"/>
        <w:rPr>
          <w:rFonts w:ascii="Arial" w:eastAsiaTheme="minorHAnsi" w:hAnsi="Arial" w:cstheme="minorBidi"/>
          <w:b/>
          <w:bCs/>
          <w:i/>
          <w:sz w:val="22"/>
          <w:szCs w:val="22"/>
          <w:lang w:val="es-ES"/>
        </w:rPr>
      </w:pPr>
    </w:p>
    <w:p w14:paraId="1A7999D1" w14:textId="77777777" w:rsidR="002866A4" w:rsidRPr="002866A4" w:rsidRDefault="002866A4" w:rsidP="002866A4">
      <w:pPr>
        <w:widowControl/>
        <w:suppressAutoHyphens w:val="0"/>
        <w:autoSpaceDE/>
        <w:autoSpaceDN/>
        <w:ind w:left="851" w:hanging="851"/>
        <w:textAlignment w:val="auto"/>
        <w:rPr>
          <w:rFonts w:ascii="Arial" w:eastAsiaTheme="minorHAnsi" w:hAnsi="Arial" w:cstheme="minorBidi"/>
          <w:iCs/>
          <w:sz w:val="22"/>
          <w:szCs w:val="22"/>
          <w:lang w:val="es-ES"/>
        </w:rPr>
      </w:pPr>
      <w:r w:rsidRPr="002866A4">
        <w:rPr>
          <w:rFonts w:ascii="Arial" w:eastAsiaTheme="minorHAnsi" w:hAnsi="Arial" w:cstheme="minorBidi"/>
          <w:iCs/>
          <w:sz w:val="22"/>
          <w:szCs w:val="22"/>
          <w:lang w:val="es-ES"/>
        </w:rPr>
        <w:t>15.BB</w:t>
      </w:r>
      <w:r w:rsidRPr="002866A4">
        <w:rPr>
          <w:rFonts w:ascii="Arial" w:eastAsiaTheme="minorHAnsi" w:hAnsi="Arial" w:cstheme="minorBidi"/>
          <w:iCs/>
          <w:sz w:val="22"/>
          <w:szCs w:val="22"/>
          <w:lang w:val="es-ES"/>
        </w:rPr>
        <w:tab/>
        <w:t xml:space="preserve">Se solicita a la Secretaría, </w:t>
      </w:r>
      <w:r w:rsidRPr="002866A4">
        <w:rPr>
          <w:rFonts w:ascii="Arial" w:eastAsiaTheme="minorHAnsi" w:hAnsi="Arial" w:cs="Arial"/>
          <w:sz w:val="22"/>
          <w:szCs w:val="22"/>
          <w:lang w:val="es-ES"/>
        </w:rPr>
        <w:t>sujeto a la disponibilidad de recursos,</w:t>
      </w:r>
      <w:r w:rsidRPr="002866A4">
        <w:rPr>
          <w:rFonts w:ascii="Arial" w:eastAsiaTheme="minorHAnsi" w:hAnsi="Arial" w:cstheme="minorBidi"/>
          <w:iCs/>
          <w:sz w:val="22"/>
          <w:szCs w:val="22"/>
          <w:lang w:val="es-ES"/>
        </w:rPr>
        <w:t xml:space="preserve"> que:</w:t>
      </w:r>
    </w:p>
    <w:p w14:paraId="460E9CCD"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p>
    <w:p w14:paraId="39A22EF4"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r w:rsidRPr="002866A4">
        <w:rPr>
          <w:rFonts w:ascii="Arial" w:eastAsiaTheme="minorHAnsi" w:hAnsi="Arial" w:cstheme="minorBidi"/>
          <w:iCs/>
          <w:sz w:val="22"/>
          <w:szCs w:val="22"/>
          <w:lang w:val="es-ES"/>
        </w:rPr>
        <w:t>a)</w:t>
      </w:r>
      <w:r w:rsidRPr="002866A4">
        <w:rPr>
          <w:rFonts w:ascii="Arial" w:eastAsiaTheme="minorHAnsi" w:hAnsi="Arial" w:cstheme="minorBidi"/>
          <w:iCs/>
          <w:sz w:val="22"/>
          <w:szCs w:val="22"/>
          <w:lang w:val="es-ES"/>
        </w:rPr>
        <w:tab/>
        <w:t>haga un seguimiento con las Partes que hayan completado y enviado el cuestionario del Programa Legislativo Nacional (PLN) sobre sus avances en la aplicación de las medidas recomendadas, y presten apoyo técnico para ayudar a las Partes a redactar una legislación nacional adecuada, incluida la prestación de asesoramiento jurídico durante los procesos de reforma legislativa nacional con el fin de aplicar las disposiciones del párrafo 5 del artículo III de la Convención, en la medida de lo posible y según proceda;</w:t>
      </w:r>
    </w:p>
    <w:p w14:paraId="1DF00F40"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p>
    <w:p w14:paraId="1D85BE1A"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r w:rsidRPr="002866A4">
        <w:rPr>
          <w:rFonts w:ascii="Arial" w:eastAsiaTheme="minorHAnsi" w:hAnsi="Arial" w:cstheme="minorBidi"/>
          <w:iCs/>
          <w:sz w:val="22"/>
          <w:szCs w:val="22"/>
          <w:lang w:val="es-ES"/>
        </w:rPr>
        <w:t>b)</w:t>
      </w:r>
      <w:r w:rsidRPr="002866A4">
        <w:rPr>
          <w:rFonts w:ascii="Arial" w:eastAsiaTheme="minorHAnsi" w:hAnsi="Arial" w:cstheme="minorBidi"/>
          <w:iCs/>
          <w:sz w:val="22"/>
          <w:szCs w:val="22"/>
          <w:lang w:val="es-ES"/>
        </w:rPr>
        <w:tab/>
        <w:t>invite a las Partes que aún no se hayan adherido al PLN a que completen el cuestionario y lo envíen a la Secretaría;</w:t>
      </w:r>
    </w:p>
    <w:p w14:paraId="2EDAB999"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p>
    <w:p w14:paraId="180EE75E"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r w:rsidRPr="002866A4">
        <w:rPr>
          <w:rFonts w:ascii="Arial" w:eastAsiaTheme="minorHAnsi" w:hAnsi="Arial" w:cstheme="minorBidi"/>
          <w:iCs/>
          <w:sz w:val="22"/>
          <w:szCs w:val="22"/>
          <w:lang w:val="es-ES"/>
        </w:rPr>
        <w:t>c)</w:t>
      </w:r>
      <w:r w:rsidRPr="002866A4">
        <w:rPr>
          <w:rFonts w:ascii="Arial" w:eastAsiaTheme="minorHAnsi" w:hAnsi="Arial" w:cstheme="minorBidi"/>
          <w:iCs/>
          <w:sz w:val="22"/>
          <w:szCs w:val="22"/>
          <w:lang w:val="es-ES"/>
        </w:rPr>
        <w:tab/>
        <w:t>encargue un estudio para determinar si la legislación nacional permite sanciones efectivas, disuasorias y proporcionadas, incluidas sanciones tanto penales como administrativas, para las especies incluidas en el Apéndice I capturadas infringiendo la Convención, y para evaluar el uso de otros instrumentos jurídicos que refuercen el cumplimiento de la prohibición de captura;</w:t>
      </w:r>
    </w:p>
    <w:p w14:paraId="0ECED140"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Arial"/>
          <w:sz w:val="22"/>
          <w:szCs w:val="22"/>
          <w:lang w:val="es-ES"/>
        </w:rPr>
      </w:pPr>
    </w:p>
    <w:p w14:paraId="2F3E3E65"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r w:rsidRPr="002866A4">
        <w:rPr>
          <w:rFonts w:ascii="Arial" w:eastAsiaTheme="minorHAnsi" w:hAnsi="Arial" w:cs="Arial"/>
          <w:sz w:val="22"/>
          <w:szCs w:val="22"/>
          <w:lang w:val="es-ES"/>
        </w:rPr>
        <w:t>d)</w:t>
      </w:r>
      <w:r w:rsidRPr="002866A4">
        <w:rPr>
          <w:rFonts w:ascii="Arial" w:eastAsiaTheme="minorHAnsi" w:hAnsi="Arial" w:cs="Arial"/>
          <w:sz w:val="22"/>
          <w:szCs w:val="22"/>
          <w:lang w:val="es-ES"/>
        </w:rPr>
        <w:tab/>
        <w:t>prepare los Términos de Referencia para un Grupo Operativo Intergubernamental y Multisectorial sobre Legislación de la CMS, para su consideración por el Comité Permanente en su 59.a reunión; y</w:t>
      </w:r>
    </w:p>
    <w:p w14:paraId="01EC80BC"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iCs/>
          <w:sz w:val="22"/>
          <w:szCs w:val="22"/>
          <w:lang w:val="es-ES"/>
        </w:rPr>
      </w:pPr>
    </w:p>
    <w:p w14:paraId="6913702E" w14:textId="77777777" w:rsidR="002866A4" w:rsidRPr="002866A4" w:rsidRDefault="002866A4" w:rsidP="002866A4">
      <w:pPr>
        <w:widowControl/>
        <w:suppressAutoHyphens w:val="0"/>
        <w:autoSpaceDE/>
        <w:autoSpaceDN/>
        <w:ind w:left="1418" w:hanging="567"/>
        <w:jc w:val="both"/>
        <w:textAlignment w:val="auto"/>
        <w:rPr>
          <w:rFonts w:ascii="Arial" w:eastAsiaTheme="minorHAnsi" w:hAnsi="Arial" w:cstheme="minorBidi"/>
          <w:b/>
          <w:bCs/>
          <w:sz w:val="22"/>
          <w:szCs w:val="22"/>
          <w:lang w:val="es-ES"/>
        </w:rPr>
      </w:pPr>
      <w:r w:rsidRPr="002866A4">
        <w:rPr>
          <w:rFonts w:ascii="Arial" w:eastAsiaTheme="minorHAnsi" w:hAnsi="Arial" w:cstheme="minorBidi"/>
          <w:iCs/>
          <w:sz w:val="22"/>
          <w:szCs w:val="22"/>
          <w:lang w:val="es-ES"/>
        </w:rPr>
        <w:t>e)</w:t>
      </w:r>
      <w:r w:rsidRPr="002866A4">
        <w:rPr>
          <w:rFonts w:ascii="Arial" w:eastAsiaTheme="minorHAnsi" w:hAnsi="Arial" w:cstheme="minorBidi"/>
          <w:iCs/>
          <w:sz w:val="22"/>
          <w:szCs w:val="22"/>
          <w:lang w:val="es-ES"/>
        </w:rPr>
        <w:tab/>
        <w:t>continúe colaborando con las iniciativas existentes que facilitan la revisión de la legislación nacional, como el Programa de Derecho Ambiental de Montevideo del PNUMA, el Proyecto Legislativo Nacional de la CITES y el Programa de Gestión Sostenible de la Vida Silvestre dirigido por la FAO con un consorcio de aliados.</w:t>
      </w:r>
    </w:p>
    <w:sectPr w:rsidR="002866A4" w:rsidRPr="002866A4" w:rsidSect="00AB52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D3F3" w14:textId="77777777" w:rsidR="004A3A5C" w:rsidRDefault="004A3A5C">
      <w:r>
        <w:separator/>
      </w:r>
    </w:p>
  </w:endnote>
  <w:endnote w:type="continuationSeparator" w:id="0">
    <w:p w14:paraId="67A364DA" w14:textId="77777777" w:rsidR="004A3A5C" w:rsidRDefault="004A3A5C">
      <w:r>
        <w:continuationSeparator/>
      </w:r>
    </w:p>
  </w:endnote>
  <w:endnote w:type="continuationNotice" w:id="1">
    <w:p w14:paraId="59DD2FA5" w14:textId="77777777" w:rsidR="004A3A5C" w:rsidRDefault="004A3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4BA9" w14:textId="77777777" w:rsidR="002866A4" w:rsidRDefault="0028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0B05" w14:textId="77777777" w:rsidR="004A3A5C" w:rsidRDefault="004A3A5C">
      <w:r>
        <w:rPr>
          <w:color w:val="000000"/>
        </w:rPr>
        <w:separator/>
      </w:r>
    </w:p>
  </w:footnote>
  <w:footnote w:type="continuationSeparator" w:id="0">
    <w:p w14:paraId="0603C8C2" w14:textId="77777777" w:rsidR="004A3A5C" w:rsidRDefault="004A3A5C">
      <w:r>
        <w:continuationSeparator/>
      </w:r>
    </w:p>
  </w:footnote>
  <w:footnote w:type="continuationNotice" w:id="1">
    <w:p w14:paraId="65B81848" w14:textId="77777777" w:rsidR="004A3A5C" w:rsidRDefault="004A3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5407BD" w:rsidR="0041439A" w:rsidRPr="002866A4"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866A4">
      <w:rPr>
        <w:rFonts w:ascii="Arial" w:hAnsi="Arial" w:cs="Arial"/>
        <w:i/>
        <w:sz w:val="18"/>
        <w:szCs w:val="18"/>
        <w:lang w:val="en-GB"/>
      </w:rPr>
      <w:t>UNEP/CMS/COP1</w:t>
    </w:r>
    <w:r w:rsidR="00AB5285" w:rsidRPr="002866A4">
      <w:rPr>
        <w:rFonts w:ascii="Arial" w:hAnsi="Arial" w:cs="Arial"/>
        <w:i/>
        <w:sz w:val="18"/>
        <w:szCs w:val="18"/>
        <w:lang w:val="en-GB"/>
      </w:rPr>
      <w:t>5</w:t>
    </w:r>
    <w:r w:rsidRPr="002866A4">
      <w:rPr>
        <w:rFonts w:ascii="Arial" w:hAnsi="Arial" w:cs="Arial"/>
        <w:i/>
        <w:sz w:val="18"/>
        <w:szCs w:val="18"/>
        <w:lang w:val="en-GB"/>
      </w:rPr>
      <w:t>/CRP(Nº)</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AB5285">
      <w:rPr>
        <w:rFonts w:ascii="Arial" w:hAnsi="Arial" w:cs="Arial"/>
        <w:i/>
        <w:szCs w:val="20"/>
        <w:lang w:val="en-GB"/>
      </w:rPr>
      <w:t>5</w:t>
    </w:r>
    <w:r>
      <w:rPr>
        <w:rFonts w:ascii="Arial" w:hAnsi="Arial" w:cs="Arial"/>
        <w:i/>
        <w:szCs w:val="20"/>
        <w:lang w:val="en-GB"/>
      </w:rPr>
      <w:t>/CRP(Nº)</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6DD2194" w:rsidR="007A1066" w:rsidRPr="002866A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866A4">
      <w:rPr>
        <w:rFonts w:ascii="Arial" w:hAnsi="Arial" w:cs="Arial"/>
        <w:bCs/>
        <w:i/>
        <w:iCs/>
        <w:sz w:val="18"/>
        <w:szCs w:val="18"/>
        <w:lang w:val="en-GB"/>
      </w:rPr>
      <w:t>UNEP/CMS/COP1</w:t>
    </w:r>
    <w:r w:rsidR="00AB5285" w:rsidRPr="002866A4">
      <w:rPr>
        <w:rFonts w:ascii="Arial" w:hAnsi="Arial" w:cs="Arial"/>
        <w:bCs/>
        <w:i/>
        <w:iCs/>
        <w:sz w:val="18"/>
        <w:szCs w:val="18"/>
        <w:lang w:val="en-GB"/>
      </w:rPr>
      <w:t>5</w:t>
    </w:r>
    <w:r w:rsidRPr="002866A4">
      <w:rPr>
        <w:rFonts w:ascii="Arial" w:hAnsi="Arial" w:cs="Arial"/>
        <w:bCs/>
        <w:i/>
        <w:iCs/>
        <w:sz w:val="18"/>
        <w:szCs w:val="18"/>
        <w:lang w:val="en-GB"/>
      </w:rPr>
      <w:t>/CRP</w:t>
    </w:r>
    <w:r w:rsidR="002866A4" w:rsidRPr="002866A4">
      <w:rPr>
        <w:rFonts w:ascii="Arial" w:hAnsi="Arial" w:cs="Arial"/>
        <w:bCs/>
        <w:i/>
        <w:iCs/>
        <w:sz w:val="18"/>
        <w:szCs w:val="18"/>
        <w:lang w:val="en-GB"/>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2241"/>
    <w:rsid w:val="000B0D60"/>
    <w:rsid w:val="001125D7"/>
    <w:rsid w:val="00164D92"/>
    <w:rsid w:val="002243FE"/>
    <w:rsid w:val="00227282"/>
    <w:rsid w:val="002866A4"/>
    <w:rsid w:val="003F1AD8"/>
    <w:rsid w:val="0041439A"/>
    <w:rsid w:val="0043102F"/>
    <w:rsid w:val="004A3A5C"/>
    <w:rsid w:val="005645C4"/>
    <w:rsid w:val="0058757D"/>
    <w:rsid w:val="005D43E4"/>
    <w:rsid w:val="005F0639"/>
    <w:rsid w:val="0072591B"/>
    <w:rsid w:val="007A1066"/>
    <w:rsid w:val="00AA138B"/>
    <w:rsid w:val="00AB5285"/>
    <w:rsid w:val="00B91802"/>
    <w:rsid w:val="00D50F95"/>
    <w:rsid w:val="00D61140"/>
    <w:rsid w:val="00D82C56"/>
    <w:rsid w:val="00DB2EEB"/>
    <w:rsid w:val="00E45B4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7E7926B9-CA89-415B-A5D7-139057D33BC0}"/>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cp:revision>
  <cp:lastPrinted>2020-02-03T15:02:00Z</cp:lastPrinted>
  <dcterms:created xsi:type="dcterms:W3CDTF">2026-03-10T12:02:00Z</dcterms:created>
  <dcterms:modified xsi:type="dcterms:W3CDTF">2026-03-10T12:02:00Z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