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AAF8E" w14:textId="77777777" w:rsidR="00DA6E04" w:rsidRPr="00DA6E04" w:rsidRDefault="00DA6E04" w:rsidP="00DA6E04">
      <w:pPr>
        <w:adjustRightInd w:val="0"/>
        <w:jc w:val="center"/>
        <w:rPr>
          <w:rFonts w:ascii="Arial" w:hAnsi="Arial" w:cs="Arial"/>
          <w:b/>
          <w:bCs/>
          <w:sz w:val="22"/>
          <w:szCs w:val="22"/>
          <w:lang w:val="fr-FR"/>
        </w:rPr>
      </w:pPr>
      <w:r w:rsidRPr="00DA6E04">
        <w:rPr>
          <w:rFonts w:ascii="Arial" w:hAnsi="Arial" w:cs="Arial"/>
          <w:b/>
          <w:bCs/>
          <w:sz w:val="22"/>
          <w:szCs w:val="22"/>
          <w:lang w:val="fr-FR"/>
        </w:rPr>
        <w:t>MÉCANISME D’EXAMEN ET PROGRAMME SUR LA LÉGISLATION NATIONALE</w:t>
      </w:r>
    </w:p>
    <w:p w14:paraId="60C50FAF" w14:textId="77777777" w:rsidR="00AB5285" w:rsidRPr="006D020E" w:rsidRDefault="00AB5285" w:rsidP="00E829C9">
      <w:pPr>
        <w:jc w:val="center"/>
        <w:rPr>
          <w:rFonts w:ascii="Arial" w:hAnsi="Arial" w:cs="Arial"/>
          <w:b/>
          <w:sz w:val="22"/>
          <w:szCs w:val="22"/>
          <w:lang w:val="fr-FR"/>
        </w:rPr>
      </w:pPr>
    </w:p>
    <w:p w14:paraId="77BA811D" w14:textId="03DAB41F" w:rsidR="00D82C56" w:rsidRPr="006D020E" w:rsidRDefault="005D43E4" w:rsidP="00AB5285">
      <w:pPr>
        <w:spacing w:after="120"/>
        <w:jc w:val="center"/>
        <w:rPr>
          <w:rFonts w:ascii="Arial" w:hAnsi="Arial" w:cs="Arial"/>
          <w:sz w:val="22"/>
          <w:szCs w:val="22"/>
          <w:lang w:val="fr-FR"/>
        </w:rPr>
      </w:pPr>
      <w:r w:rsidRPr="006D020E">
        <w:rPr>
          <w:rFonts w:ascii="Arial" w:hAnsi="Arial" w:cs="Arial"/>
          <w:sz w:val="22"/>
          <w:szCs w:val="22"/>
          <w:lang w:val="fr-FR"/>
        </w:rPr>
        <w:t>UNEP/CMS/COP1</w:t>
      </w:r>
      <w:r w:rsidR="00950DA4" w:rsidRPr="006D020E">
        <w:rPr>
          <w:rFonts w:ascii="Arial" w:hAnsi="Arial" w:cs="Arial"/>
          <w:sz w:val="22"/>
          <w:szCs w:val="22"/>
          <w:lang w:val="fr-FR"/>
        </w:rPr>
        <w:t>5</w:t>
      </w:r>
      <w:r w:rsidRPr="006D020E">
        <w:rPr>
          <w:rFonts w:ascii="Arial" w:hAnsi="Arial" w:cs="Arial"/>
          <w:sz w:val="22"/>
          <w:szCs w:val="22"/>
          <w:lang w:val="fr-FR"/>
        </w:rPr>
        <w:t>/Doc.</w:t>
      </w:r>
      <w:r w:rsidR="00651ABB">
        <w:rPr>
          <w:rFonts w:ascii="Arial" w:hAnsi="Arial" w:cs="Arial"/>
          <w:sz w:val="22"/>
          <w:szCs w:val="22"/>
          <w:lang w:val="fr-FR"/>
        </w:rPr>
        <w:t>23</w:t>
      </w:r>
    </w:p>
    <w:p w14:paraId="73A89732" w14:textId="1B3C1F79" w:rsidR="00D82C56" w:rsidRPr="00AC6F97" w:rsidRDefault="005D43E4" w:rsidP="00E829C9">
      <w:pPr>
        <w:jc w:val="center"/>
        <w:rPr>
          <w:rFonts w:ascii="Arial" w:hAnsi="Arial" w:cs="Arial"/>
          <w:i/>
          <w:sz w:val="22"/>
          <w:szCs w:val="22"/>
          <w:lang w:val="fr-FR"/>
        </w:rPr>
      </w:pPr>
      <w:r w:rsidRPr="00AC6F97">
        <w:rPr>
          <w:rFonts w:ascii="Arial" w:hAnsi="Arial" w:cs="Arial"/>
          <w:i/>
          <w:sz w:val="22"/>
          <w:szCs w:val="22"/>
          <w:lang w:val="fr-FR"/>
        </w:rPr>
        <w:t>(P</w:t>
      </w:r>
      <w:r w:rsidR="005F55C4">
        <w:rPr>
          <w:rFonts w:ascii="Arial" w:hAnsi="Arial" w:cs="Arial"/>
          <w:i/>
          <w:sz w:val="22"/>
          <w:szCs w:val="22"/>
          <w:lang w:val="fr-FR"/>
        </w:rPr>
        <w:t>ré</w:t>
      </w:r>
      <w:r w:rsidRPr="00AC6F97">
        <w:rPr>
          <w:rFonts w:ascii="Arial" w:hAnsi="Arial" w:cs="Arial"/>
          <w:i/>
          <w:sz w:val="22"/>
          <w:szCs w:val="22"/>
          <w:lang w:val="fr-FR"/>
        </w:rPr>
        <w:t>pa</w:t>
      </w:r>
      <w:r w:rsidR="00EF2BC5" w:rsidRPr="00AC6F97">
        <w:rPr>
          <w:rFonts w:ascii="Arial" w:hAnsi="Arial" w:cs="Arial"/>
          <w:i/>
          <w:sz w:val="22"/>
          <w:szCs w:val="22"/>
          <w:lang w:val="fr-FR"/>
        </w:rPr>
        <w:t>ré par</w:t>
      </w:r>
      <w:r w:rsidR="005F55C4">
        <w:rPr>
          <w:rFonts w:ascii="Arial" w:hAnsi="Arial" w:cs="Arial"/>
          <w:i/>
          <w:sz w:val="22"/>
          <w:szCs w:val="22"/>
          <w:lang w:val="fr-FR"/>
        </w:rPr>
        <w:t xml:space="preserve"> le </w:t>
      </w:r>
      <w:r w:rsidR="00583895">
        <w:rPr>
          <w:rFonts w:ascii="Arial" w:hAnsi="Arial" w:cs="Arial"/>
          <w:i/>
          <w:sz w:val="22"/>
          <w:szCs w:val="22"/>
          <w:lang w:val="fr-FR"/>
        </w:rPr>
        <w:t>C</w:t>
      </w:r>
      <w:r w:rsidR="005F55C4">
        <w:rPr>
          <w:rFonts w:ascii="Arial" w:hAnsi="Arial" w:cs="Arial"/>
          <w:i/>
          <w:sz w:val="22"/>
          <w:szCs w:val="22"/>
          <w:lang w:val="fr-FR"/>
        </w:rPr>
        <w:t>omité plénier</w:t>
      </w:r>
      <w:r w:rsidRPr="00AC6F97">
        <w:rPr>
          <w:rFonts w:ascii="Arial" w:hAnsi="Arial" w:cs="Arial"/>
          <w:i/>
          <w:sz w:val="22"/>
          <w:szCs w:val="22"/>
          <w:lang w:val="fr-FR"/>
        </w:rPr>
        <w:t>)</w:t>
      </w:r>
    </w:p>
    <w:p w14:paraId="25BD5BFE" w14:textId="77777777" w:rsidR="00D82C56" w:rsidRPr="00AC6F97" w:rsidRDefault="00D82C56" w:rsidP="00A8579B">
      <w:pPr>
        <w:jc w:val="both"/>
        <w:rPr>
          <w:rFonts w:ascii="Arial" w:hAnsi="Arial" w:cs="Arial"/>
          <w:sz w:val="22"/>
          <w:szCs w:val="22"/>
          <w:lang w:val="fr-FR"/>
        </w:rPr>
      </w:pPr>
    </w:p>
    <w:p w14:paraId="19F10308" w14:textId="77777777" w:rsidR="00DA6E04" w:rsidRPr="0013077A" w:rsidRDefault="00DA6E04" w:rsidP="00AC6F97">
      <w:pPr>
        <w:adjustRightInd w:val="0"/>
        <w:rPr>
          <w:rFonts w:ascii="Arial" w:hAnsi="Arial" w:cs="Arial"/>
          <w:sz w:val="22"/>
          <w:szCs w:val="22"/>
          <w:lang w:val="fr-FR"/>
        </w:rPr>
      </w:pPr>
    </w:p>
    <w:p w14:paraId="4E0E045A" w14:textId="77777777" w:rsidR="00DA6E04" w:rsidRPr="00AC6F97" w:rsidRDefault="00DA6E04" w:rsidP="00DA6E04">
      <w:pPr>
        <w:adjustRightInd w:val="0"/>
        <w:jc w:val="center"/>
        <w:rPr>
          <w:rFonts w:ascii="Arial" w:hAnsi="Arial" w:cs="Arial"/>
          <w:sz w:val="22"/>
          <w:szCs w:val="22"/>
          <w:lang w:val="fr-FR"/>
        </w:rPr>
      </w:pPr>
      <w:r w:rsidRPr="00AC6F97">
        <w:rPr>
          <w:rFonts w:ascii="Arial" w:hAnsi="Arial" w:cs="Arial"/>
          <w:sz w:val="22"/>
          <w:szCs w:val="22"/>
          <w:lang w:val="fr-FR"/>
        </w:rPr>
        <w:t>PROJET DE DÉCISIONS</w:t>
      </w:r>
    </w:p>
    <w:p w14:paraId="6CE6E15E" w14:textId="77777777" w:rsidR="00DA6E04" w:rsidRPr="00AC6F97" w:rsidRDefault="00DA6E04" w:rsidP="00DA6E04">
      <w:pPr>
        <w:pStyle w:val="Secondnumbering"/>
        <w:numPr>
          <w:ilvl w:val="0"/>
          <w:numId w:val="0"/>
        </w:numPr>
        <w:rPr>
          <w:rFonts w:eastAsia="Times New Roman" w:cs="Arial"/>
          <w:iCs/>
          <w:strike/>
          <w:szCs w:val="24"/>
          <w:lang w:val="fr-FR"/>
        </w:rPr>
      </w:pPr>
    </w:p>
    <w:p w14:paraId="7060D718" w14:textId="77777777" w:rsidR="00DA6E04" w:rsidRPr="00AC6F97" w:rsidRDefault="00DA6E04" w:rsidP="0013077A">
      <w:pPr>
        <w:pStyle w:val="Secondnumbering"/>
        <w:numPr>
          <w:ilvl w:val="0"/>
          <w:numId w:val="0"/>
        </w:numPr>
        <w:suppressAutoHyphens/>
        <w:rPr>
          <w:rFonts w:eastAsia="Times New Roman" w:cs="Arial"/>
          <w:b/>
          <w:bCs/>
          <w:i/>
          <w:szCs w:val="24"/>
          <w:lang w:val="fr-FR"/>
        </w:rPr>
      </w:pPr>
    </w:p>
    <w:p w14:paraId="4E28AEFA" w14:textId="77777777" w:rsidR="00DA6E04" w:rsidRPr="00A81D30" w:rsidRDefault="00DA6E04" w:rsidP="0013077A">
      <w:pPr>
        <w:pStyle w:val="Secondnumbering"/>
        <w:numPr>
          <w:ilvl w:val="0"/>
          <w:numId w:val="0"/>
        </w:numPr>
        <w:suppressAutoHyphens/>
        <w:rPr>
          <w:rFonts w:eastAsia="Times New Roman" w:cs="Arial"/>
          <w:b/>
          <w:bCs/>
          <w:i/>
          <w:szCs w:val="24"/>
          <w:lang w:val="fr-FR"/>
        </w:rPr>
      </w:pPr>
      <w:r w:rsidRPr="00A81D30">
        <w:rPr>
          <w:rFonts w:eastAsia="Times New Roman" w:cs="Arial"/>
          <w:b/>
          <w:bCs/>
          <w:i/>
          <w:szCs w:val="24"/>
          <w:lang w:val="fr-FR"/>
        </w:rPr>
        <w:t>À l’adresse des Parties</w:t>
      </w:r>
    </w:p>
    <w:p w14:paraId="09CD7F05" w14:textId="77777777" w:rsidR="00DA6E04" w:rsidRPr="00A81D30" w:rsidRDefault="00DA6E04" w:rsidP="0013077A">
      <w:pPr>
        <w:pStyle w:val="Secondnumbering"/>
        <w:numPr>
          <w:ilvl w:val="0"/>
          <w:numId w:val="0"/>
        </w:numPr>
        <w:suppressAutoHyphens/>
        <w:rPr>
          <w:rFonts w:eastAsia="Times New Roman" w:cs="Arial"/>
          <w:b/>
          <w:bCs/>
          <w:iCs/>
          <w:szCs w:val="24"/>
          <w:lang w:val="fr-FR"/>
        </w:rPr>
      </w:pPr>
    </w:p>
    <w:p w14:paraId="2B8EA042" w14:textId="77777777" w:rsidR="00DA6E04" w:rsidRPr="00A81D30" w:rsidRDefault="00DA6E04" w:rsidP="0013077A">
      <w:pPr>
        <w:pStyle w:val="Secondnumbering"/>
        <w:numPr>
          <w:ilvl w:val="0"/>
          <w:numId w:val="0"/>
        </w:numPr>
        <w:suppressAutoHyphens/>
        <w:ind w:left="720" w:hanging="720"/>
        <w:jc w:val="both"/>
        <w:rPr>
          <w:rFonts w:eastAsia="Times New Roman" w:cs="Arial"/>
          <w:iCs/>
          <w:szCs w:val="24"/>
          <w:lang w:val="fr-FR"/>
        </w:rPr>
      </w:pPr>
      <w:r w:rsidRPr="00A81D30">
        <w:rPr>
          <w:rFonts w:eastAsia="Times New Roman" w:cs="Arial"/>
          <w:iCs/>
          <w:szCs w:val="24"/>
          <w:lang w:val="fr-FR"/>
        </w:rPr>
        <w:t>15.AA</w:t>
      </w:r>
      <w:r w:rsidRPr="00A81D30">
        <w:rPr>
          <w:rFonts w:eastAsia="Times New Roman" w:cs="Arial"/>
          <w:iCs/>
          <w:szCs w:val="24"/>
          <w:lang w:val="fr-FR"/>
        </w:rPr>
        <w:tab/>
      </w:r>
    </w:p>
    <w:p w14:paraId="19A6DBB8" w14:textId="77777777" w:rsidR="00DA6E04" w:rsidRPr="00A81D30" w:rsidRDefault="00DA6E04" w:rsidP="0013077A">
      <w:pPr>
        <w:pStyle w:val="Secondnumbering"/>
        <w:numPr>
          <w:ilvl w:val="0"/>
          <w:numId w:val="0"/>
        </w:numPr>
        <w:suppressAutoHyphens/>
        <w:ind w:left="1260" w:hanging="540"/>
        <w:jc w:val="both"/>
        <w:rPr>
          <w:rFonts w:eastAsia="Times New Roman" w:cs="Arial"/>
          <w:iCs/>
          <w:szCs w:val="24"/>
          <w:lang w:val="fr-FR"/>
        </w:rPr>
      </w:pPr>
      <w:r w:rsidRPr="00A81D30">
        <w:rPr>
          <w:rFonts w:eastAsia="Times New Roman" w:cs="Arial"/>
          <w:iCs/>
          <w:szCs w:val="24"/>
          <w:lang w:val="fr-FR"/>
        </w:rPr>
        <w:t>a)</w:t>
      </w:r>
      <w:r w:rsidRPr="00A81D30">
        <w:rPr>
          <w:rFonts w:eastAsia="Times New Roman" w:cs="Arial"/>
          <w:iCs/>
          <w:szCs w:val="24"/>
          <w:lang w:val="fr-FR"/>
        </w:rPr>
        <w:tab/>
        <w:t>Les Parties qui ont retourné le questionnaire sur la législation nationale et reçu de la part du Secrétariat un profil de législation nationale sont invitées à prendre les mesures appropriées pour la mise en œuvre du paragraphe 5 de l’article III, conformément aux actions recommandées par le Secrétariat, comme indiqué dans le profil de législation nationale ;</w:t>
      </w:r>
    </w:p>
    <w:p w14:paraId="3147F038" w14:textId="77777777" w:rsidR="00DA6E04" w:rsidRPr="00A81D30" w:rsidRDefault="00DA6E04" w:rsidP="0013077A">
      <w:pPr>
        <w:pStyle w:val="Secondnumbering"/>
        <w:numPr>
          <w:ilvl w:val="0"/>
          <w:numId w:val="0"/>
        </w:numPr>
        <w:suppressAutoHyphens/>
        <w:ind w:left="1260" w:hanging="562"/>
        <w:jc w:val="both"/>
        <w:rPr>
          <w:rFonts w:eastAsia="Times New Roman" w:cs="Arial"/>
          <w:iCs/>
          <w:szCs w:val="24"/>
          <w:lang w:val="fr-FR"/>
        </w:rPr>
      </w:pPr>
    </w:p>
    <w:p w14:paraId="2FD76E09" w14:textId="77777777" w:rsidR="00DA6E04" w:rsidRPr="00A81D30" w:rsidRDefault="00DA6E04" w:rsidP="0013077A">
      <w:pPr>
        <w:pStyle w:val="Secondnumbering"/>
        <w:numPr>
          <w:ilvl w:val="0"/>
          <w:numId w:val="0"/>
        </w:numPr>
        <w:suppressAutoHyphens/>
        <w:ind w:left="1260" w:hanging="562"/>
        <w:jc w:val="both"/>
        <w:rPr>
          <w:rFonts w:eastAsia="Times New Roman" w:cs="Arial"/>
          <w:iCs/>
          <w:szCs w:val="24"/>
          <w:lang w:val="fr-FR"/>
        </w:rPr>
      </w:pPr>
      <w:r w:rsidRPr="00A81D30">
        <w:rPr>
          <w:rFonts w:eastAsia="Times New Roman" w:cs="Arial"/>
          <w:iCs/>
          <w:szCs w:val="24"/>
          <w:lang w:val="fr-FR"/>
        </w:rPr>
        <w:t>b)</w:t>
      </w:r>
      <w:r w:rsidRPr="00A81D30">
        <w:rPr>
          <w:rFonts w:eastAsia="Times New Roman" w:cs="Arial"/>
          <w:iCs/>
          <w:szCs w:val="24"/>
          <w:lang w:val="fr-FR"/>
        </w:rPr>
        <w:tab/>
        <w:t>Les Parties qui n’ont pas encore rempli et retourné le questionnaire sont vivement encouragées à le faire ;</w:t>
      </w:r>
    </w:p>
    <w:p w14:paraId="76A51300" w14:textId="77777777" w:rsidR="00DA6E04" w:rsidRPr="00A81D30" w:rsidRDefault="00DA6E04" w:rsidP="0013077A">
      <w:pPr>
        <w:pStyle w:val="Secondnumbering"/>
        <w:numPr>
          <w:ilvl w:val="0"/>
          <w:numId w:val="0"/>
        </w:numPr>
        <w:suppressAutoHyphens/>
        <w:ind w:left="1260" w:hanging="562"/>
        <w:jc w:val="both"/>
        <w:rPr>
          <w:rFonts w:eastAsia="Times New Roman" w:cs="Arial"/>
          <w:iCs/>
          <w:szCs w:val="24"/>
          <w:lang w:val="fr-FR"/>
        </w:rPr>
      </w:pPr>
    </w:p>
    <w:p w14:paraId="35D6EEFF" w14:textId="77777777" w:rsidR="00DA6E04" w:rsidRPr="00A81D30" w:rsidRDefault="00DA6E04" w:rsidP="0013077A">
      <w:pPr>
        <w:pStyle w:val="Secondnumbering"/>
        <w:numPr>
          <w:ilvl w:val="0"/>
          <w:numId w:val="0"/>
        </w:numPr>
        <w:suppressAutoHyphens/>
        <w:ind w:left="1260" w:hanging="562"/>
        <w:jc w:val="both"/>
        <w:rPr>
          <w:rFonts w:eastAsia="Times New Roman" w:cs="Arial"/>
          <w:iCs/>
          <w:szCs w:val="24"/>
          <w:lang w:val="fr-FR"/>
        </w:rPr>
      </w:pPr>
      <w:r w:rsidRPr="00A81D30">
        <w:rPr>
          <w:rFonts w:eastAsia="Times New Roman" w:cs="Arial"/>
          <w:iCs/>
          <w:szCs w:val="24"/>
          <w:lang w:val="fr-FR"/>
        </w:rPr>
        <w:t xml:space="preserve">c) </w:t>
      </w:r>
      <w:r w:rsidRPr="00A81D30">
        <w:rPr>
          <w:rFonts w:eastAsia="Times New Roman" w:cs="Arial"/>
          <w:iCs/>
          <w:szCs w:val="24"/>
          <w:lang w:val="fr-FR"/>
        </w:rPr>
        <w:tab/>
        <w:t>Il est rappelé aux Parties qu’elles doivent informer le Secrétariat de toute exception faite en vertu du paragraphe 5 de l’article III de la Convention.</w:t>
      </w:r>
    </w:p>
    <w:p w14:paraId="119B7A31" w14:textId="77777777" w:rsidR="00DA6E04" w:rsidRPr="00A81D30" w:rsidRDefault="00DA6E04" w:rsidP="0013077A">
      <w:pPr>
        <w:pStyle w:val="Secondnumbering"/>
        <w:numPr>
          <w:ilvl w:val="0"/>
          <w:numId w:val="0"/>
        </w:numPr>
        <w:suppressAutoHyphens/>
        <w:rPr>
          <w:rFonts w:eastAsia="Times New Roman" w:cs="Arial"/>
          <w:b/>
          <w:bCs/>
          <w:i/>
          <w:szCs w:val="24"/>
          <w:lang w:val="fr-FR"/>
        </w:rPr>
      </w:pPr>
    </w:p>
    <w:p w14:paraId="14AB5D34" w14:textId="77777777" w:rsidR="00DA6E04" w:rsidRPr="00A81D30" w:rsidRDefault="00DA6E04" w:rsidP="0013077A">
      <w:pPr>
        <w:pStyle w:val="Secondnumbering"/>
        <w:numPr>
          <w:ilvl w:val="0"/>
          <w:numId w:val="0"/>
        </w:numPr>
        <w:suppressAutoHyphens/>
        <w:rPr>
          <w:b/>
          <w:bCs/>
          <w:i/>
          <w:lang w:val="fr-FR"/>
        </w:rPr>
      </w:pPr>
      <w:r w:rsidRPr="00A81D30">
        <w:rPr>
          <w:rFonts w:eastAsia="Times New Roman" w:cs="Arial"/>
          <w:b/>
          <w:bCs/>
          <w:i/>
          <w:szCs w:val="24"/>
          <w:lang w:val="fr-FR"/>
        </w:rPr>
        <w:t>À l’adresse du Secrétariat</w:t>
      </w:r>
    </w:p>
    <w:p w14:paraId="0D235E99" w14:textId="77777777" w:rsidR="00DA6E04" w:rsidRPr="00A81D30" w:rsidRDefault="00DA6E04" w:rsidP="0013077A">
      <w:pPr>
        <w:pStyle w:val="Secondnumbering"/>
        <w:numPr>
          <w:ilvl w:val="0"/>
          <w:numId w:val="0"/>
        </w:numPr>
        <w:suppressAutoHyphens/>
        <w:rPr>
          <w:b/>
          <w:bCs/>
          <w:i/>
          <w:lang w:val="fr-FR"/>
        </w:rPr>
      </w:pPr>
    </w:p>
    <w:p w14:paraId="20F0CABB" w14:textId="77777777" w:rsidR="00DA6E04" w:rsidRPr="00A81D30" w:rsidRDefault="00DA6E04" w:rsidP="0013077A">
      <w:pPr>
        <w:pStyle w:val="Secondnumbering"/>
        <w:numPr>
          <w:ilvl w:val="0"/>
          <w:numId w:val="0"/>
        </w:numPr>
        <w:suppressAutoHyphens/>
        <w:ind w:left="851" w:hanging="851"/>
        <w:rPr>
          <w:iCs/>
          <w:lang w:val="fr-FR"/>
        </w:rPr>
      </w:pPr>
      <w:r w:rsidRPr="00A81D30">
        <w:rPr>
          <w:iCs/>
          <w:lang w:val="fr-FR"/>
        </w:rPr>
        <w:t>15.BB</w:t>
      </w:r>
      <w:r w:rsidRPr="00A81D30">
        <w:rPr>
          <w:iCs/>
          <w:lang w:val="fr-FR"/>
        </w:rPr>
        <w:tab/>
        <w:t xml:space="preserve">Le Secrétariat, </w:t>
      </w:r>
      <w:r w:rsidRPr="00A81D30">
        <w:rPr>
          <w:rFonts w:cs="Arial"/>
          <w:lang w:val="fr-FR"/>
        </w:rPr>
        <w:t>sous réserve de la disponibilité des ressources,</w:t>
      </w:r>
      <w:r w:rsidRPr="00A81D30">
        <w:rPr>
          <w:iCs/>
          <w:lang w:val="fr-FR"/>
        </w:rPr>
        <w:t xml:space="preserve"> est prié :</w:t>
      </w:r>
    </w:p>
    <w:p w14:paraId="509E35C9" w14:textId="77777777" w:rsidR="00DA6E04" w:rsidRPr="00AC6F97" w:rsidRDefault="00DA6E04" w:rsidP="0013077A">
      <w:pPr>
        <w:pStyle w:val="Secondnumbering"/>
        <w:numPr>
          <w:ilvl w:val="0"/>
          <w:numId w:val="0"/>
        </w:numPr>
        <w:suppressAutoHyphens/>
        <w:ind w:left="1418" w:hanging="567"/>
        <w:jc w:val="both"/>
        <w:rPr>
          <w:iCs/>
          <w:sz w:val="16"/>
          <w:szCs w:val="16"/>
          <w:lang w:val="fr-FR"/>
        </w:rPr>
      </w:pPr>
    </w:p>
    <w:p w14:paraId="60822F4B" w14:textId="77777777" w:rsidR="00DA6E04" w:rsidRPr="00A81D30" w:rsidRDefault="00DA6E04" w:rsidP="0013077A">
      <w:pPr>
        <w:pStyle w:val="Secondnumbering"/>
        <w:numPr>
          <w:ilvl w:val="0"/>
          <w:numId w:val="0"/>
        </w:numPr>
        <w:suppressAutoHyphens/>
        <w:ind w:left="1418" w:hanging="567"/>
        <w:jc w:val="both"/>
        <w:rPr>
          <w:iCs/>
          <w:lang w:val="fr-FR"/>
        </w:rPr>
      </w:pPr>
      <w:r w:rsidRPr="00A81D30">
        <w:rPr>
          <w:iCs/>
          <w:lang w:val="fr-FR"/>
        </w:rPr>
        <w:t>a)</w:t>
      </w:r>
      <w:r w:rsidRPr="00A81D30">
        <w:rPr>
          <w:iCs/>
          <w:lang w:val="fr-FR"/>
        </w:rPr>
        <w:tab/>
        <w:t>d'assurer le suivi des Parties qui ont rempli et retourné le questionnaire du Programme sur la législation nationale portant sur les progrès qu’elles ont accomplis dans la mise en œuvre des actions recommandées, et d'apporter un soutien technique aux Parties pour les aider à rédiger une législation nationale adéquate, notamment en offrant des conseils juridiques dans le cadre des processus de réforme législative nationale en vue de la mise en œuvre des dispositions du paragraphe 5 de l’article III de la Convention, dans la mesure du possible et de manière appropriée ;</w:t>
      </w:r>
    </w:p>
    <w:p w14:paraId="7D5D30D3" w14:textId="77777777" w:rsidR="00DA6E04" w:rsidRPr="00AC6F97" w:rsidRDefault="00DA6E04" w:rsidP="0013077A">
      <w:pPr>
        <w:pStyle w:val="Secondnumbering"/>
        <w:numPr>
          <w:ilvl w:val="0"/>
          <w:numId w:val="0"/>
        </w:numPr>
        <w:suppressAutoHyphens/>
        <w:ind w:left="1418" w:hanging="567"/>
        <w:jc w:val="both"/>
        <w:rPr>
          <w:iCs/>
          <w:sz w:val="16"/>
          <w:szCs w:val="16"/>
          <w:lang w:val="fr-FR"/>
        </w:rPr>
      </w:pPr>
    </w:p>
    <w:p w14:paraId="7B271405" w14:textId="77777777" w:rsidR="00DA6E04" w:rsidRPr="00A81D30" w:rsidRDefault="00DA6E04" w:rsidP="0013077A">
      <w:pPr>
        <w:pStyle w:val="Secondnumbering"/>
        <w:numPr>
          <w:ilvl w:val="0"/>
          <w:numId w:val="0"/>
        </w:numPr>
        <w:suppressAutoHyphens/>
        <w:ind w:left="1418" w:hanging="567"/>
        <w:jc w:val="both"/>
        <w:rPr>
          <w:iCs/>
          <w:lang w:val="fr-FR"/>
        </w:rPr>
      </w:pPr>
      <w:r w:rsidRPr="00A81D30">
        <w:rPr>
          <w:iCs/>
          <w:lang w:val="fr-FR"/>
        </w:rPr>
        <w:t>b)</w:t>
      </w:r>
      <w:r w:rsidRPr="00A81D30">
        <w:rPr>
          <w:iCs/>
          <w:lang w:val="fr-FR"/>
        </w:rPr>
        <w:tab/>
        <w:t>d'inviter les Parties qui n’ont pas encore adhéré au Programme sur la législation nationale à remplir le questionnaire établi à cet effet et à le soumettre au Secrétariat ;</w:t>
      </w:r>
    </w:p>
    <w:p w14:paraId="2538104F" w14:textId="77777777" w:rsidR="00DA6E04" w:rsidRPr="00AC6F97" w:rsidRDefault="00DA6E04" w:rsidP="0013077A">
      <w:pPr>
        <w:pStyle w:val="Secondnumbering"/>
        <w:numPr>
          <w:ilvl w:val="0"/>
          <w:numId w:val="0"/>
        </w:numPr>
        <w:suppressAutoHyphens/>
        <w:ind w:left="1418" w:hanging="567"/>
        <w:jc w:val="both"/>
        <w:rPr>
          <w:iCs/>
          <w:sz w:val="16"/>
          <w:szCs w:val="16"/>
          <w:lang w:val="fr-FR"/>
        </w:rPr>
      </w:pPr>
    </w:p>
    <w:p w14:paraId="72D6705A" w14:textId="77777777" w:rsidR="00DA6E04" w:rsidRPr="00A81D30" w:rsidRDefault="00DA6E04" w:rsidP="0013077A">
      <w:pPr>
        <w:pStyle w:val="Secondnumbering"/>
        <w:numPr>
          <w:ilvl w:val="0"/>
          <w:numId w:val="0"/>
        </w:numPr>
        <w:suppressAutoHyphens/>
        <w:ind w:left="1418" w:hanging="567"/>
        <w:jc w:val="both"/>
        <w:rPr>
          <w:iCs/>
          <w:lang w:val="fr-FR"/>
        </w:rPr>
      </w:pPr>
      <w:r w:rsidRPr="00A81D30">
        <w:rPr>
          <w:iCs/>
          <w:lang w:val="fr-FR"/>
        </w:rPr>
        <w:t>c)</w:t>
      </w:r>
      <w:r w:rsidRPr="00A81D30">
        <w:rPr>
          <w:iCs/>
          <w:lang w:val="fr-FR"/>
        </w:rPr>
        <w:tab/>
        <w:t>de commander une étude pour déterminer si la législation nationale prévoit des sanctions efficaces, dissuasives et proportionnées, y compris des sanctions pénales et administratives, pour les espèces inscrites à l’Annexe I capturées en violation de la Convention, et pour évaluer l’utilisation d’autres outils juridiques afin de renforcer le respect de l’interdiction de capture ;</w:t>
      </w:r>
    </w:p>
    <w:p w14:paraId="27A11BBE" w14:textId="77777777" w:rsidR="00DA6E04" w:rsidRPr="00AC6F97" w:rsidRDefault="00DA6E04" w:rsidP="0013077A">
      <w:pPr>
        <w:pStyle w:val="Secondnumbering"/>
        <w:numPr>
          <w:ilvl w:val="0"/>
          <w:numId w:val="0"/>
        </w:numPr>
        <w:suppressAutoHyphens/>
        <w:ind w:left="1418" w:hanging="567"/>
        <w:jc w:val="both"/>
        <w:rPr>
          <w:rFonts w:cs="Arial"/>
          <w:sz w:val="16"/>
          <w:szCs w:val="16"/>
          <w:lang w:val="fr-FR"/>
        </w:rPr>
      </w:pPr>
    </w:p>
    <w:p w14:paraId="6AB202FD" w14:textId="77777777" w:rsidR="00DA6E04" w:rsidRPr="00A81D30" w:rsidRDefault="00DA6E04" w:rsidP="0013077A">
      <w:pPr>
        <w:pStyle w:val="Secondnumbering"/>
        <w:numPr>
          <w:ilvl w:val="0"/>
          <w:numId w:val="0"/>
        </w:numPr>
        <w:suppressAutoHyphens/>
        <w:ind w:left="1418" w:hanging="567"/>
        <w:jc w:val="both"/>
        <w:rPr>
          <w:iCs/>
          <w:lang w:val="fr-FR"/>
        </w:rPr>
      </w:pPr>
      <w:r w:rsidRPr="00A81D30">
        <w:rPr>
          <w:rFonts w:cs="Arial"/>
          <w:lang w:val="fr-FR"/>
        </w:rPr>
        <w:t>d)</w:t>
      </w:r>
      <w:r w:rsidRPr="00A81D30">
        <w:rPr>
          <w:rFonts w:cs="Arial"/>
          <w:lang w:val="fr-FR"/>
        </w:rPr>
        <w:tab/>
        <w:t xml:space="preserve">de préparer le mandat d’un </w:t>
      </w:r>
      <w:r w:rsidRPr="00A81D30">
        <w:rPr>
          <w:lang w:val="fr-FR"/>
        </w:rPr>
        <w:t>Groupe d’étude intergouvernemental et multipartite sur la législation de la CMS</w:t>
      </w:r>
      <w:r w:rsidRPr="00A81D30">
        <w:rPr>
          <w:rFonts w:cs="Arial"/>
          <w:lang w:val="fr-FR"/>
        </w:rPr>
        <w:t>, pour examen par le Comité permanent lors de sa 59</w:t>
      </w:r>
      <w:r w:rsidRPr="00A81D30">
        <w:rPr>
          <w:rFonts w:cs="Arial"/>
          <w:vertAlign w:val="superscript"/>
          <w:lang w:val="fr-FR"/>
        </w:rPr>
        <w:t>e</w:t>
      </w:r>
      <w:r w:rsidRPr="00A81D30">
        <w:rPr>
          <w:rFonts w:cs="Arial"/>
          <w:lang w:val="fr-FR"/>
        </w:rPr>
        <w:t xml:space="preserve"> réunion ;</w:t>
      </w:r>
    </w:p>
    <w:p w14:paraId="4A29A23D" w14:textId="77777777" w:rsidR="00DA6E04" w:rsidRPr="00AC6F97" w:rsidRDefault="00DA6E04" w:rsidP="0013077A">
      <w:pPr>
        <w:pStyle w:val="Secondnumbering"/>
        <w:numPr>
          <w:ilvl w:val="0"/>
          <w:numId w:val="0"/>
        </w:numPr>
        <w:suppressAutoHyphens/>
        <w:ind w:left="1418" w:hanging="567"/>
        <w:jc w:val="both"/>
        <w:rPr>
          <w:iCs/>
          <w:sz w:val="16"/>
          <w:szCs w:val="16"/>
          <w:lang w:val="fr-FR"/>
        </w:rPr>
      </w:pPr>
    </w:p>
    <w:p w14:paraId="6C7ED871" w14:textId="789D9F22" w:rsidR="00D82C56" w:rsidRPr="00AC6F97" w:rsidRDefault="00DA6E04" w:rsidP="0013077A">
      <w:pPr>
        <w:pStyle w:val="Secondnumbering"/>
        <w:numPr>
          <w:ilvl w:val="0"/>
          <w:numId w:val="0"/>
        </w:numPr>
        <w:suppressAutoHyphens/>
        <w:ind w:left="1418" w:hanging="567"/>
        <w:jc w:val="both"/>
        <w:rPr>
          <w:b/>
          <w:bCs/>
          <w:lang w:val="fr-FR"/>
        </w:rPr>
      </w:pPr>
      <w:r w:rsidRPr="00A81D30">
        <w:rPr>
          <w:iCs/>
          <w:lang w:val="fr-FR"/>
        </w:rPr>
        <w:t>e)</w:t>
      </w:r>
      <w:r w:rsidRPr="00A81D30">
        <w:rPr>
          <w:iCs/>
          <w:lang w:val="fr-FR"/>
        </w:rPr>
        <w:tab/>
        <w:t>de poursuivre la collaboration avec les initiatives existantes facilitant la révision de la législation nationale, telles que le Programme de droit de l’environnement de Montevideo du PNUE, le Projet de législation nationale de la CITES et le Programme de gestion durable de la faune sauvage dirigé par la FAO avec un consortium de partenaires.</w:t>
      </w:r>
    </w:p>
    <w:sectPr w:rsidR="00D82C56" w:rsidRPr="00AC6F97" w:rsidSect="00AB5285">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86953" w14:textId="77777777" w:rsidR="00932A8F" w:rsidRDefault="00932A8F">
      <w:r>
        <w:separator/>
      </w:r>
    </w:p>
  </w:endnote>
  <w:endnote w:type="continuationSeparator" w:id="0">
    <w:p w14:paraId="1F148800" w14:textId="77777777" w:rsidR="00932A8F" w:rsidRDefault="00932A8F">
      <w:r>
        <w:continuationSeparator/>
      </w:r>
    </w:p>
  </w:endnote>
  <w:endnote w:type="continuationNotice" w:id="1">
    <w:p w14:paraId="5D587500" w14:textId="77777777" w:rsidR="00932A8F" w:rsidRDefault="00932A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FED40" w14:textId="77777777" w:rsidR="00932A8F" w:rsidRDefault="00932A8F">
      <w:r>
        <w:rPr>
          <w:color w:val="000000"/>
        </w:rPr>
        <w:separator/>
      </w:r>
    </w:p>
  </w:footnote>
  <w:footnote w:type="continuationSeparator" w:id="0">
    <w:p w14:paraId="3619E8CD" w14:textId="77777777" w:rsidR="00932A8F" w:rsidRDefault="00932A8F">
      <w:r>
        <w:continuationSeparator/>
      </w:r>
    </w:p>
  </w:footnote>
  <w:footnote w:type="continuationNotice" w:id="1">
    <w:p w14:paraId="25AAD00E" w14:textId="77777777" w:rsidR="00932A8F" w:rsidRDefault="00932A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A60C" w14:textId="6E91B8F1" w:rsidR="0041439A" w:rsidRPr="00F52A55"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Cs w:val="20"/>
        <w:lang w:val="pt-PT"/>
      </w:rPr>
    </w:pPr>
    <w:r w:rsidRPr="00F52A55">
      <w:rPr>
        <w:rFonts w:ascii="Arial" w:hAnsi="Arial" w:cs="Arial"/>
        <w:i/>
        <w:szCs w:val="20"/>
        <w:lang w:val="pt-PT"/>
      </w:rPr>
      <w:t>UNEP/CMS/COP1</w:t>
    </w:r>
    <w:r w:rsidR="00AB5285" w:rsidRPr="00F52A55">
      <w:rPr>
        <w:rFonts w:ascii="Arial" w:hAnsi="Arial" w:cs="Arial"/>
        <w:i/>
        <w:szCs w:val="20"/>
        <w:lang w:val="pt-PT"/>
      </w:rPr>
      <w:t>5</w:t>
    </w:r>
    <w:r w:rsidRPr="00F52A55">
      <w:rPr>
        <w:rFonts w:ascii="Arial" w:hAnsi="Arial" w:cs="Arial"/>
        <w:i/>
        <w:szCs w:val="20"/>
        <w:lang w:val="pt-PT"/>
      </w:rPr>
      <w:t>/CRP</w:t>
    </w:r>
    <w:r w:rsidR="00AC6F97">
      <w:rPr>
        <w:rFonts w:ascii="Arial" w:hAnsi="Arial" w:cs="Arial"/>
        <w:i/>
        <w:szCs w:val="20"/>
        <w:lang w:val="pt-PT"/>
      </w:rPr>
      <w:t>23</w:t>
    </w:r>
  </w:p>
  <w:p w14:paraId="50B9F4CC" w14:textId="77777777" w:rsidR="0041439A" w:rsidRPr="00F52A55" w:rsidRDefault="0041439A">
    <w:pPr>
      <w:pStyle w:val="Header"/>
      <w:rPr>
        <w:lang w:val="pt-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3F0B" w14:textId="6EC14FA9" w:rsidR="0041439A" w:rsidRPr="00F52A55"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Cs w:val="20"/>
        <w:lang w:val="pt-PT"/>
      </w:rPr>
    </w:pPr>
    <w:r w:rsidRPr="00F52A55">
      <w:rPr>
        <w:rFonts w:ascii="Arial" w:hAnsi="Arial" w:cs="Arial"/>
        <w:i/>
        <w:szCs w:val="20"/>
        <w:lang w:val="pt-PT"/>
      </w:rPr>
      <w:t>UNEP/CMS/COP1</w:t>
    </w:r>
    <w:r w:rsidR="00AB5285" w:rsidRPr="00F52A55">
      <w:rPr>
        <w:rFonts w:ascii="Arial" w:hAnsi="Arial" w:cs="Arial"/>
        <w:i/>
        <w:szCs w:val="20"/>
        <w:lang w:val="pt-PT"/>
      </w:rPr>
      <w:t>5</w:t>
    </w:r>
    <w:r w:rsidRPr="00F52A55">
      <w:rPr>
        <w:rFonts w:ascii="Arial" w:hAnsi="Arial" w:cs="Arial"/>
        <w:i/>
        <w:szCs w:val="20"/>
        <w:lang w:val="pt-PT"/>
      </w:rPr>
      <w:t>/CRP(Nº)</w:t>
    </w:r>
  </w:p>
  <w:p w14:paraId="75025A37" w14:textId="77777777" w:rsidR="0041439A" w:rsidRPr="00F52A55" w:rsidRDefault="0041439A">
    <w:pPr>
      <w:pStyle w:val="Header"/>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398" w14:textId="5918E003" w:rsidR="007A1066" w:rsidRPr="00F52A55"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pt-PT"/>
      </w:rPr>
    </w:pPr>
    <w:r w:rsidRPr="00F52A55">
      <w:rPr>
        <w:rFonts w:ascii="Arial" w:hAnsi="Arial" w:cs="Arial"/>
        <w:bCs/>
        <w:i/>
        <w:iCs/>
        <w:sz w:val="18"/>
        <w:szCs w:val="18"/>
        <w:lang w:val="pt-PT"/>
      </w:rPr>
      <w:t>UNEP/CMS/COP1</w:t>
    </w:r>
    <w:r w:rsidR="00AB5285" w:rsidRPr="00F52A55">
      <w:rPr>
        <w:rFonts w:ascii="Arial" w:hAnsi="Arial" w:cs="Arial"/>
        <w:bCs/>
        <w:i/>
        <w:iCs/>
        <w:sz w:val="18"/>
        <w:szCs w:val="18"/>
        <w:lang w:val="pt-PT"/>
      </w:rPr>
      <w:t>5</w:t>
    </w:r>
    <w:r w:rsidRPr="00F52A55">
      <w:rPr>
        <w:rFonts w:ascii="Arial" w:hAnsi="Arial" w:cs="Arial"/>
        <w:bCs/>
        <w:i/>
        <w:iCs/>
        <w:sz w:val="18"/>
        <w:szCs w:val="18"/>
        <w:lang w:val="pt-PT"/>
      </w:rPr>
      <w:t>/CRP</w:t>
    </w:r>
    <w:r w:rsidR="00651ABB">
      <w:rPr>
        <w:rFonts w:ascii="Arial" w:hAnsi="Arial" w:cs="Arial"/>
        <w:bCs/>
        <w:i/>
        <w:iCs/>
        <w:sz w:val="18"/>
        <w:szCs w:val="18"/>
        <w:lang w:val="pt-PT"/>
      </w:rPr>
      <w:t>23</w:t>
    </w:r>
  </w:p>
  <w:p w14:paraId="117A266F" w14:textId="77777777" w:rsidR="007A1066" w:rsidRPr="00F52A55" w:rsidRDefault="007A1066">
    <w:pPr>
      <w:pStyle w:val="Header"/>
      <w:rPr>
        <w:sz w:val="18"/>
        <w:szCs w:val="18"/>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573B349B"/>
    <w:multiLevelType w:val="hybridMultilevel"/>
    <w:tmpl w:val="78BC5F3A"/>
    <w:lvl w:ilvl="0" w:tplc="D1EE0D7C">
      <w:start w:val="1"/>
      <w:numFmt w:val="decimal"/>
      <w:lvlText w:val="%1."/>
      <w:lvlJc w:val="left"/>
      <w:pPr>
        <w:ind w:left="786" w:hanging="360"/>
      </w:pPr>
      <w:rPr>
        <w:rFonts w:hint="default"/>
        <w:color w:val="auto"/>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1206528537">
    <w:abstractNumId w:val="1"/>
  </w:num>
  <w:num w:numId="2" w16cid:durableId="11206079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11452"/>
    <w:rsid w:val="000B0D60"/>
    <w:rsid w:val="001125D7"/>
    <w:rsid w:val="0013077A"/>
    <w:rsid w:val="001352BB"/>
    <w:rsid w:val="00142859"/>
    <w:rsid w:val="00164D92"/>
    <w:rsid w:val="002243FE"/>
    <w:rsid w:val="00227282"/>
    <w:rsid w:val="0027066C"/>
    <w:rsid w:val="002B6DE7"/>
    <w:rsid w:val="0033796E"/>
    <w:rsid w:val="003E0AF4"/>
    <w:rsid w:val="003F1AD8"/>
    <w:rsid w:val="0041439A"/>
    <w:rsid w:val="0043102F"/>
    <w:rsid w:val="005645C4"/>
    <w:rsid w:val="00583895"/>
    <w:rsid w:val="0058757D"/>
    <w:rsid w:val="005D43E4"/>
    <w:rsid w:val="005D574F"/>
    <w:rsid w:val="005F0639"/>
    <w:rsid w:val="005F55C4"/>
    <w:rsid w:val="00651ABB"/>
    <w:rsid w:val="00687331"/>
    <w:rsid w:val="006D020E"/>
    <w:rsid w:val="007A1066"/>
    <w:rsid w:val="007C49C9"/>
    <w:rsid w:val="00857813"/>
    <w:rsid w:val="00932A8F"/>
    <w:rsid w:val="00950DA4"/>
    <w:rsid w:val="00960B8C"/>
    <w:rsid w:val="00A8579B"/>
    <w:rsid w:val="00AA138B"/>
    <w:rsid w:val="00AB5285"/>
    <w:rsid w:val="00AC6F97"/>
    <w:rsid w:val="00AE590E"/>
    <w:rsid w:val="00B91802"/>
    <w:rsid w:val="00C30C58"/>
    <w:rsid w:val="00D50F95"/>
    <w:rsid w:val="00D61140"/>
    <w:rsid w:val="00D82C56"/>
    <w:rsid w:val="00DA6E04"/>
    <w:rsid w:val="00DB2EEB"/>
    <w:rsid w:val="00E1532C"/>
    <w:rsid w:val="00E45B44"/>
    <w:rsid w:val="00E47FE7"/>
    <w:rsid w:val="00E829C9"/>
    <w:rsid w:val="00EF2BC5"/>
    <w:rsid w:val="00F52A55"/>
    <w:rsid w:val="00FD0BD8"/>
    <w:rsid w:val="00FD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ListParagraph">
    <w:name w:val="List Paragraph"/>
    <w:basedOn w:val="Normal"/>
    <w:link w:val="ListParagraphChar"/>
    <w:uiPriority w:val="34"/>
    <w:qFormat/>
    <w:rsid w:val="00857813"/>
    <w:pPr>
      <w:widowControl/>
      <w:suppressAutoHyphens w:val="0"/>
      <w:autoSpaceDE/>
      <w:autoSpaceDN/>
      <w:ind w:left="720"/>
      <w:contextualSpacing/>
      <w:jc w:val="both"/>
      <w:textAlignment w:val="auto"/>
    </w:pPr>
    <w:rPr>
      <w:rFonts w:ascii="Arial" w:eastAsiaTheme="minorHAnsi" w:hAnsi="Arial" w:cstheme="minorBidi"/>
      <w:sz w:val="22"/>
      <w:szCs w:val="22"/>
    </w:rPr>
  </w:style>
  <w:style w:type="character" w:customStyle="1" w:styleId="ListParagraphChar">
    <w:name w:val="List Paragraph Char"/>
    <w:basedOn w:val="DefaultParagraphFont"/>
    <w:link w:val="ListParagraph"/>
    <w:uiPriority w:val="34"/>
    <w:locked/>
    <w:rsid w:val="00857813"/>
    <w:rPr>
      <w:rFonts w:eastAsiaTheme="minorHAnsi" w:cstheme="minorBidi"/>
    </w:rPr>
  </w:style>
  <w:style w:type="character" w:styleId="FootnoteReference">
    <w:name w:val="footnote reference"/>
    <w:aliases w:val="stylish"/>
    <w:basedOn w:val="DefaultParagraphFont"/>
    <w:uiPriority w:val="99"/>
    <w:unhideWhenUsed/>
    <w:rsid w:val="00857813"/>
    <w:rPr>
      <w:vertAlign w:val="superscript"/>
    </w:rPr>
  </w:style>
  <w:style w:type="character" w:styleId="Hyperlink">
    <w:name w:val="Hyperlink"/>
    <w:basedOn w:val="DefaultParagraphFont"/>
    <w:uiPriority w:val="99"/>
    <w:unhideWhenUsed/>
    <w:rsid w:val="00857813"/>
    <w:rPr>
      <w:color w:val="0563C1" w:themeColor="hyperlink"/>
      <w:u w:val="single"/>
    </w:rPr>
  </w:style>
  <w:style w:type="paragraph" w:customStyle="1" w:styleId="Secondnumbering">
    <w:name w:val="Second numbering"/>
    <w:basedOn w:val="Normal"/>
    <w:link w:val="SecondnumberingChar"/>
    <w:qFormat/>
    <w:rsid w:val="00DA6E04"/>
    <w:pPr>
      <w:widowControl/>
      <w:numPr>
        <w:numId w:val="2"/>
      </w:numPr>
      <w:suppressAutoHyphens w:val="0"/>
      <w:autoSpaceDE/>
      <w:autoSpaceDN/>
      <w:textAlignment w:val="auto"/>
    </w:pPr>
    <w:rPr>
      <w:rFonts w:ascii="Arial" w:eastAsiaTheme="minorHAnsi" w:hAnsi="Arial" w:cstheme="minorBidi"/>
      <w:sz w:val="22"/>
      <w:szCs w:val="22"/>
      <w:lang w:val="en-GB"/>
    </w:rPr>
  </w:style>
  <w:style w:type="character" w:customStyle="1" w:styleId="SecondnumberingChar">
    <w:name w:val="Second numbering Char"/>
    <w:basedOn w:val="DefaultParagraphFont"/>
    <w:link w:val="Secondnumbering"/>
    <w:rsid w:val="00DA6E04"/>
    <w:rPr>
      <w:rFonts w:eastAsiaTheme="minorHAnsi" w:cstheme="minorBid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9bc1cafe4360f20b5afaadcb79868c66">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9a5c408459f1deb54f1dd1f0ce43320"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CC3DB5C4-3577-4075-8F19-E982E9E53D45}"/>
</file>

<file path=customXml/itemProps3.xml><?xml version="1.0" encoding="utf-8"?>
<ds:datastoreItem xmlns:ds="http://schemas.openxmlformats.org/officeDocument/2006/customXml" ds:itemID="{380EFE9A-7770-47CD-95C8-BC8150516BE0}">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8</cp:revision>
  <cp:lastPrinted>2020-02-03T15:02:00Z</cp:lastPrinted>
  <dcterms:created xsi:type="dcterms:W3CDTF">2026-03-11T08:34:00Z</dcterms:created>
  <dcterms:modified xsi:type="dcterms:W3CDTF">2026-03-25T20:21:00Z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