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F8F9" w14:textId="77777777" w:rsidR="00A54850" w:rsidRPr="00A54850" w:rsidRDefault="00A54850" w:rsidP="00A54850">
      <w:pPr>
        <w:widowControl/>
        <w:shd w:val="clear" w:color="auto" w:fill="FFFFFF"/>
        <w:suppressAutoHyphens w:val="0"/>
        <w:autoSpaceDE/>
        <w:autoSpaceDN/>
        <w:jc w:val="center"/>
        <w:textAlignment w:val="auto"/>
        <w:rPr>
          <w:rFonts w:ascii="Aptos" w:hAnsi="Aptos"/>
          <w:color w:val="222222"/>
          <w:sz w:val="22"/>
          <w:szCs w:val="22"/>
          <w:lang w:val="fr-FR" w:eastAsia="fr-FR"/>
        </w:rPr>
      </w:pPr>
      <w:r w:rsidRPr="00A54850">
        <w:rPr>
          <w:rFonts w:ascii="Arial" w:hAnsi="Arial" w:cs="Arial"/>
          <w:b/>
          <w:bCs/>
          <w:color w:val="222222"/>
          <w:sz w:val="22"/>
          <w:szCs w:val="22"/>
          <w:lang w:val="fr-FR" w:eastAsia="fr-FR"/>
        </w:rPr>
        <w:t>ÉLABORATION DU PROCHAIN RAPPORT SUR L’ÉTAT DES</w:t>
      </w:r>
    </w:p>
    <w:p w14:paraId="0B2B4F7D" w14:textId="77777777" w:rsidR="00A54850" w:rsidRPr="00A54850" w:rsidRDefault="00A54850" w:rsidP="00A54850">
      <w:pPr>
        <w:widowControl/>
        <w:suppressAutoHyphens w:val="0"/>
        <w:autoSpaceDE/>
        <w:autoSpaceDN/>
        <w:ind w:left="1440" w:firstLine="720"/>
        <w:jc w:val="both"/>
        <w:textAlignment w:val="auto"/>
        <w:rPr>
          <w:rFonts w:ascii="Arial" w:eastAsia="Arial" w:hAnsi="Arial" w:cs="Arial"/>
          <w:color w:val="000000" w:themeColor="text1"/>
          <w:sz w:val="22"/>
          <w:szCs w:val="22"/>
          <w:lang w:val="fr-FR"/>
        </w:rPr>
      </w:pPr>
      <w:r w:rsidRPr="00A54850">
        <w:rPr>
          <w:rFonts w:ascii="Arial" w:hAnsi="Arial" w:cs="Arial"/>
          <w:b/>
          <w:bCs/>
          <w:color w:val="222222"/>
          <w:sz w:val="22"/>
          <w:szCs w:val="22"/>
          <w:shd w:val="clear" w:color="auto" w:fill="FFFFFF"/>
          <w:lang w:val="fr-FR" w:eastAsia="fr-FR"/>
        </w:rPr>
        <w:t>ESPÈCES MIGRATRICES DANS LE MONDE</w:t>
      </w:r>
    </w:p>
    <w:p w14:paraId="60C50FAF" w14:textId="77777777" w:rsidR="00AB5285" w:rsidRPr="007A5544" w:rsidRDefault="00AB5285" w:rsidP="00A54850">
      <w:pPr>
        <w:rPr>
          <w:rFonts w:ascii="Arial" w:hAnsi="Arial" w:cs="Arial"/>
          <w:b/>
          <w:sz w:val="22"/>
          <w:szCs w:val="22"/>
          <w:lang w:val="fr-FR"/>
        </w:rPr>
      </w:pPr>
    </w:p>
    <w:p w14:paraId="77BA811D" w14:textId="3012CD77" w:rsidR="00D82C56" w:rsidRPr="002F2722" w:rsidRDefault="005D43E4" w:rsidP="00AB5285">
      <w:pPr>
        <w:spacing w:after="120"/>
        <w:jc w:val="center"/>
        <w:rPr>
          <w:rFonts w:ascii="Arial" w:hAnsi="Arial" w:cs="Arial"/>
          <w:sz w:val="22"/>
          <w:szCs w:val="22"/>
          <w:lang w:val="fr-FR"/>
        </w:rPr>
      </w:pPr>
      <w:r w:rsidRPr="002F2722">
        <w:rPr>
          <w:rFonts w:ascii="Arial" w:hAnsi="Arial" w:cs="Arial"/>
          <w:sz w:val="22"/>
          <w:szCs w:val="22"/>
          <w:lang w:val="fr-FR"/>
        </w:rPr>
        <w:t>UNEP/CMS/COP1</w:t>
      </w:r>
      <w:r w:rsidR="00950DA4" w:rsidRPr="002F2722">
        <w:rPr>
          <w:rFonts w:ascii="Arial" w:hAnsi="Arial" w:cs="Arial"/>
          <w:sz w:val="22"/>
          <w:szCs w:val="22"/>
          <w:lang w:val="fr-FR"/>
        </w:rPr>
        <w:t>5</w:t>
      </w:r>
      <w:r w:rsidRPr="002F2722">
        <w:rPr>
          <w:rFonts w:ascii="Arial" w:hAnsi="Arial" w:cs="Arial"/>
          <w:sz w:val="22"/>
          <w:szCs w:val="22"/>
          <w:lang w:val="fr-FR"/>
        </w:rPr>
        <w:t>/Doc.</w:t>
      </w:r>
      <w:r w:rsidR="00A54850" w:rsidRPr="002F2722">
        <w:rPr>
          <w:rFonts w:ascii="Arial" w:hAnsi="Arial" w:cs="Arial"/>
          <w:sz w:val="22"/>
          <w:szCs w:val="22"/>
          <w:lang w:val="fr-FR"/>
        </w:rPr>
        <w:t>20.1/Rev.</w:t>
      </w:r>
      <w:r w:rsidR="001A31BE" w:rsidRPr="002F2722">
        <w:rPr>
          <w:rFonts w:ascii="Arial" w:hAnsi="Arial" w:cs="Arial"/>
          <w:sz w:val="22"/>
          <w:szCs w:val="22"/>
          <w:lang w:val="fr-FR"/>
        </w:rPr>
        <w:t>1</w:t>
      </w:r>
    </w:p>
    <w:p w14:paraId="73A89732" w14:textId="428B9DC9"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1A31BE">
        <w:rPr>
          <w:rFonts w:ascii="Arial" w:hAnsi="Arial" w:cs="Arial"/>
          <w:i/>
          <w:sz w:val="22"/>
          <w:szCs w:val="22"/>
          <w:lang w:val="fr-FR"/>
        </w:rPr>
        <w:t>le G</w:t>
      </w:r>
      <w:r w:rsidR="001A31BE" w:rsidRPr="001A31BE">
        <w:rPr>
          <w:rFonts w:ascii="Arial" w:hAnsi="Arial" w:cs="Arial"/>
          <w:i/>
          <w:sz w:val="22"/>
          <w:szCs w:val="22"/>
          <w:lang w:val="fr-FR"/>
        </w:rPr>
        <w:t>roupe de travail sur les questions institutionnelles et transversales</w:t>
      </w:r>
      <w:r w:rsidRPr="007A5544">
        <w:rPr>
          <w:rFonts w:ascii="Arial" w:hAnsi="Arial" w:cs="Arial"/>
          <w:i/>
          <w:sz w:val="22"/>
          <w:szCs w:val="22"/>
          <w:lang w:val="fr-FR"/>
        </w:rPr>
        <w:t>)</w:t>
      </w:r>
    </w:p>
    <w:p w14:paraId="458D7774" w14:textId="77777777" w:rsidR="009F3558" w:rsidRDefault="009F3558" w:rsidP="007A5544">
      <w:pPr>
        <w:pStyle w:val="ListParagraph"/>
        <w:ind w:left="0"/>
        <w:contextualSpacing w:val="0"/>
        <w:rPr>
          <w:rFonts w:cs="Arial"/>
          <w:lang w:val="fr-FR"/>
        </w:rPr>
      </w:pPr>
    </w:p>
    <w:p w14:paraId="2ACC5C5D" w14:textId="77777777" w:rsidR="00A54850" w:rsidRDefault="00A54850" w:rsidP="007A5544">
      <w:pPr>
        <w:pStyle w:val="ListParagraph"/>
        <w:ind w:left="0"/>
        <w:contextualSpacing w:val="0"/>
        <w:rPr>
          <w:rFonts w:cs="Arial"/>
          <w:lang w:val="fr-FR"/>
        </w:rPr>
      </w:pPr>
    </w:p>
    <w:p w14:paraId="1C36A2E8" w14:textId="1AA7BCC9" w:rsidR="007F43DD" w:rsidRDefault="00A54850" w:rsidP="00A54850">
      <w:pPr>
        <w:pStyle w:val="ListParagraph"/>
        <w:ind w:left="0"/>
        <w:contextualSpacing w:val="0"/>
        <w:jc w:val="center"/>
        <w:rPr>
          <w:rFonts w:cs="Arial"/>
          <w:lang w:val="fr-FR"/>
        </w:rPr>
      </w:pPr>
      <w:r>
        <w:rPr>
          <w:rFonts w:cs="Arial"/>
          <w:lang w:val="fr-FR"/>
        </w:rPr>
        <w:t>PROJET DE DÉCISIONS</w:t>
      </w:r>
    </w:p>
    <w:p w14:paraId="4C1FF5E8" w14:textId="77777777" w:rsidR="00A54850" w:rsidRPr="00A54850" w:rsidRDefault="00A54850" w:rsidP="00A54850">
      <w:pPr>
        <w:widowControl/>
        <w:suppressAutoHyphens w:val="0"/>
        <w:autoSpaceDE/>
        <w:autoSpaceDN/>
        <w:jc w:val="both"/>
        <w:rPr>
          <w:rFonts w:ascii="Arial" w:eastAsiaTheme="majorEastAsia" w:hAnsi="Arial" w:cs="Arial"/>
          <w:sz w:val="22"/>
          <w:szCs w:val="22"/>
          <w:lang w:val="fr-FR" w:eastAsia="de-DE"/>
        </w:rPr>
      </w:pPr>
    </w:p>
    <w:p w14:paraId="0129B288" w14:textId="77777777" w:rsidR="00A54850" w:rsidRPr="00A54850" w:rsidRDefault="00A54850" w:rsidP="00A54850">
      <w:pPr>
        <w:widowControl/>
        <w:suppressAutoHyphens w:val="0"/>
        <w:autoSpaceDE/>
        <w:autoSpaceDN/>
        <w:jc w:val="both"/>
        <w:rPr>
          <w:rFonts w:ascii="Arial" w:eastAsiaTheme="majorEastAsia" w:hAnsi="Arial" w:cs="Arial"/>
          <w:sz w:val="22"/>
          <w:szCs w:val="22"/>
          <w:lang w:val="fr-FR" w:eastAsia="de-DE"/>
        </w:rPr>
      </w:pPr>
      <w:r w:rsidRPr="00A54850">
        <w:rPr>
          <w:rFonts w:ascii="Arial" w:eastAsiaTheme="majorEastAsia" w:hAnsi="Arial" w:cs="Arial"/>
          <w:sz w:val="22"/>
          <w:szCs w:val="22"/>
          <w:lang w:val="fr-FR" w:eastAsia="de-DE"/>
        </w:rPr>
        <w:t> </w:t>
      </w:r>
    </w:p>
    <w:p w14:paraId="37B2B870" w14:textId="77777777" w:rsidR="00A54850" w:rsidRPr="000D1DD6" w:rsidRDefault="00A54850" w:rsidP="00A54850">
      <w:pPr>
        <w:widowControl/>
        <w:suppressAutoHyphens w:val="0"/>
        <w:autoSpaceDE/>
        <w:autoSpaceDN/>
        <w:jc w:val="both"/>
        <w:rPr>
          <w:rFonts w:ascii="Arial" w:hAnsi="Arial" w:cs="Arial"/>
          <w:i/>
          <w:iCs/>
          <w:sz w:val="22"/>
          <w:szCs w:val="22"/>
          <w:lang w:val="fr-FR" w:eastAsia="de-DE"/>
        </w:rPr>
      </w:pPr>
      <w:r w:rsidRPr="000D1DD6">
        <w:rPr>
          <w:rFonts w:ascii="Arial" w:eastAsiaTheme="majorEastAsia" w:hAnsi="Arial" w:cs="Arial"/>
          <w:b/>
          <w:bCs/>
          <w:i/>
          <w:iCs/>
          <w:sz w:val="22"/>
          <w:szCs w:val="22"/>
          <w:lang w:val="fr-FR" w:eastAsia="de-DE"/>
        </w:rPr>
        <w:t>À l’adresse du Conseil scientifique</w:t>
      </w:r>
      <w:r w:rsidRPr="000D1DD6">
        <w:rPr>
          <w:rFonts w:ascii="Arial" w:eastAsiaTheme="majorEastAsia" w:hAnsi="Arial" w:cs="Arial"/>
          <w:i/>
          <w:iCs/>
          <w:sz w:val="22"/>
          <w:szCs w:val="22"/>
          <w:lang w:val="fr-FR" w:eastAsia="de-DE"/>
        </w:rPr>
        <w:t> </w:t>
      </w:r>
    </w:p>
    <w:p w14:paraId="5E5A80E5" w14:textId="77777777" w:rsidR="00A54850" w:rsidRPr="00A54850" w:rsidRDefault="00A54850" w:rsidP="00A54850">
      <w:pPr>
        <w:widowControl/>
        <w:suppressAutoHyphens w:val="0"/>
        <w:autoSpaceDE/>
        <w:autoSpaceDN/>
        <w:jc w:val="both"/>
        <w:rPr>
          <w:rFonts w:ascii="Arial" w:hAnsi="Arial" w:cs="Arial"/>
          <w:sz w:val="22"/>
          <w:szCs w:val="22"/>
          <w:lang w:val="fr-FR" w:eastAsia="de-DE"/>
        </w:rPr>
      </w:pPr>
      <w:r w:rsidRPr="00A54850">
        <w:rPr>
          <w:rFonts w:ascii="Arial" w:eastAsiaTheme="majorEastAsia" w:hAnsi="Arial" w:cs="Arial"/>
          <w:sz w:val="22"/>
          <w:szCs w:val="22"/>
          <w:lang w:val="fr-FR" w:eastAsia="de-DE"/>
        </w:rPr>
        <w:t> </w:t>
      </w:r>
    </w:p>
    <w:p w14:paraId="510FBF2F" w14:textId="01311066" w:rsidR="00A54850" w:rsidRPr="00A54850" w:rsidRDefault="00A54850" w:rsidP="00A54850">
      <w:pPr>
        <w:widowControl/>
        <w:suppressAutoHyphens w:val="0"/>
        <w:autoSpaceDE/>
        <w:autoSpaceDN/>
        <w:ind w:left="840" w:hanging="840"/>
        <w:jc w:val="both"/>
        <w:rPr>
          <w:rFonts w:ascii="Arial" w:hAnsi="Arial" w:cs="Arial"/>
          <w:sz w:val="22"/>
          <w:szCs w:val="22"/>
          <w:lang w:val="fr-FR" w:eastAsia="de-DE"/>
        </w:rPr>
      </w:pPr>
      <w:r w:rsidRPr="00A54850">
        <w:rPr>
          <w:rFonts w:ascii="Arial" w:eastAsiaTheme="majorEastAsia" w:hAnsi="Arial" w:cs="Arial"/>
          <w:sz w:val="22"/>
          <w:szCs w:val="22"/>
          <w:lang w:val="fr-FR" w:eastAsia="de-DE"/>
        </w:rPr>
        <w:t xml:space="preserve">15.AA </w:t>
      </w:r>
      <w:r w:rsidRPr="00A54850">
        <w:rPr>
          <w:rFonts w:ascii="Arial" w:eastAsiaTheme="majorEastAsia" w:hAnsi="Arial" w:cs="Arial"/>
          <w:sz w:val="22"/>
          <w:szCs w:val="22"/>
          <w:lang w:val="fr-FR" w:eastAsia="de-DE"/>
        </w:rPr>
        <w:tab/>
        <w:t>Le Conseil scientifique est invité à</w:t>
      </w:r>
      <w:r w:rsidR="001A31BE">
        <w:rPr>
          <w:rFonts w:ascii="Arial" w:eastAsiaTheme="majorEastAsia" w:hAnsi="Arial" w:cs="Arial"/>
          <w:sz w:val="22"/>
          <w:szCs w:val="22"/>
          <w:lang w:val="fr-FR" w:eastAsia="de-DE"/>
        </w:rPr>
        <w:t> </w:t>
      </w:r>
      <w:r w:rsidRPr="00A54850">
        <w:rPr>
          <w:rFonts w:ascii="Arial" w:eastAsiaTheme="majorEastAsia" w:hAnsi="Arial" w:cs="Arial"/>
          <w:sz w:val="22"/>
          <w:szCs w:val="22"/>
          <w:lang w:val="fr-FR" w:eastAsia="de-DE"/>
        </w:rPr>
        <w:t>: </w:t>
      </w:r>
    </w:p>
    <w:p w14:paraId="642660CA" w14:textId="77777777" w:rsidR="00A54850" w:rsidRPr="00A54850" w:rsidRDefault="00A54850" w:rsidP="00A54850">
      <w:pPr>
        <w:widowControl/>
        <w:suppressAutoHyphens w:val="0"/>
        <w:autoSpaceDE/>
        <w:autoSpaceDN/>
        <w:jc w:val="both"/>
        <w:rPr>
          <w:rFonts w:ascii="Arial" w:hAnsi="Arial" w:cs="Arial"/>
          <w:sz w:val="22"/>
          <w:szCs w:val="22"/>
          <w:lang w:val="fr-FR" w:eastAsia="de-DE"/>
        </w:rPr>
      </w:pPr>
      <w:r w:rsidRPr="00A54850">
        <w:rPr>
          <w:rFonts w:ascii="Arial" w:eastAsiaTheme="majorEastAsia" w:hAnsi="Arial" w:cs="Arial"/>
          <w:sz w:val="22"/>
          <w:szCs w:val="22"/>
          <w:lang w:val="fr-FR" w:eastAsia="de-DE"/>
        </w:rPr>
        <w:t> </w:t>
      </w:r>
    </w:p>
    <w:p w14:paraId="2F5C02BF" w14:textId="042DF147" w:rsidR="00A54850" w:rsidRPr="00A54850" w:rsidRDefault="001A31BE" w:rsidP="002F2722">
      <w:pPr>
        <w:widowControl/>
        <w:numPr>
          <w:ilvl w:val="0"/>
          <w:numId w:val="8"/>
        </w:numPr>
        <w:autoSpaceDE/>
        <w:autoSpaceDN/>
        <w:ind w:left="1418" w:hanging="567"/>
        <w:jc w:val="both"/>
        <w:textAlignment w:val="auto"/>
        <w:rPr>
          <w:rFonts w:ascii="Arial" w:hAnsi="Arial" w:cs="Arial"/>
          <w:sz w:val="22"/>
          <w:szCs w:val="22"/>
          <w:lang w:val="fr-FR" w:eastAsia="de-DE"/>
        </w:rPr>
      </w:pPr>
      <w:r>
        <w:rPr>
          <w:rFonts w:ascii="Arial" w:eastAsiaTheme="majorEastAsia" w:hAnsi="Arial" w:cs="Arial"/>
          <w:sz w:val="22"/>
          <w:szCs w:val="22"/>
          <w:lang w:val="fr-FR" w:eastAsia="de-DE"/>
        </w:rPr>
        <w:t>fournir un appui technique et scientifique au</w:t>
      </w:r>
      <w:r w:rsidR="00A54850" w:rsidRPr="00A54850">
        <w:rPr>
          <w:rFonts w:ascii="Arial" w:eastAsiaTheme="majorEastAsia" w:hAnsi="Arial" w:cs="Arial"/>
          <w:sz w:val="22"/>
          <w:szCs w:val="22"/>
          <w:lang w:val="fr-FR" w:eastAsia="de-DE"/>
        </w:rPr>
        <w:t xml:space="preserve"> Secrétariat dans la mise en œuvre de la décision 15.BB</w:t>
      </w:r>
      <w:r>
        <w:rPr>
          <w:rFonts w:ascii="Arial" w:eastAsiaTheme="majorEastAsia" w:hAnsi="Arial" w:cs="Arial"/>
          <w:sz w:val="22"/>
          <w:szCs w:val="22"/>
          <w:lang w:val="fr-FR" w:eastAsia="de-DE"/>
        </w:rPr>
        <w:t xml:space="preserve">, y compris, lorsque cela est possible, en examinant la portée et le contenu du deuxième rapport sur l’état des espèces migratrices dans le monde, en validant les études de cas, et en fournissant des conseils sur </w:t>
      </w:r>
      <w:r w:rsidR="002711F3">
        <w:rPr>
          <w:rFonts w:ascii="Arial" w:eastAsiaTheme="majorEastAsia" w:hAnsi="Arial" w:cs="Arial"/>
          <w:sz w:val="22"/>
          <w:szCs w:val="22"/>
          <w:lang w:val="fr-FR" w:eastAsia="de-DE"/>
        </w:rPr>
        <w:t>la création</w:t>
      </w:r>
      <w:r>
        <w:rPr>
          <w:rFonts w:ascii="Arial" w:eastAsiaTheme="majorEastAsia" w:hAnsi="Arial" w:cs="Arial"/>
          <w:sz w:val="22"/>
          <w:szCs w:val="22"/>
          <w:lang w:val="fr-FR" w:eastAsia="de-DE"/>
        </w:rPr>
        <w:t xml:space="preserve"> du tableau de bord de données de la CMS, en garantissant l’alignement sur les priorités du Plan stratégique de Samarcande pour les espèces migratrices 2024-2032 et les indicateurs convenus</w:t>
      </w:r>
      <w:r w:rsidR="00A54850" w:rsidRPr="00A54850">
        <w:rPr>
          <w:rFonts w:ascii="Arial" w:eastAsiaTheme="majorEastAsia" w:hAnsi="Arial" w:cs="Arial"/>
          <w:sz w:val="22"/>
          <w:szCs w:val="22"/>
          <w:lang w:val="fr-FR" w:eastAsia="de-DE"/>
        </w:rPr>
        <w:t>.</w:t>
      </w:r>
    </w:p>
    <w:p w14:paraId="77E2194C" w14:textId="77777777" w:rsidR="00A54850" w:rsidRPr="00A54850" w:rsidRDefault="00A54850" w:rsidP="00A54850">
      <w:pPr>
        <w:widowControl/>
        <w:suppressAutoHyphens w:val="0"/>
        <w:autoSpaceDE/>
        <w:autoSpaceDN/>
        <w:jc w:val="both"/>
        <w:textAlignment w:val="auto"/>
        <w:rPr>
          <w:rFonts w:ascii="Arial" w:eastAsiaTheme="majorEastAsia" w:hAnsi="Arial" w:cs="Arial"/>
          <w:b/>
          <w:bCs/>
          <w:i/>
          <w:iCs/>
          <w:sz w:val="22"/>
          <w:szCs w:val="22"/>
          <w:lang w:val="fr-FR" w:eastAsia="de-DE"/>
        </w:rPr>
      </w:pPr>
    </w:p>
    <w:p w14:paraId="37F1767D" w14:textId="77777777" w:rsidR="00A54850" w:rsidRPr="00A54850" w:rsidRDefault="00A54850" w:rsidP="00A54850">
      <w:pPr>
        <w:widowControl/>
        <w:suppressAutoHyphens w:val="0"/>
        <w:autoSpaceDE/>
        <w:autoSpaceDN/>
        <w:jc w:val="both"/>
        <w:rPr>
          <w:rFonts w:ascii="Arial" w:hAnsi="Arial" w:cs="Arial"/>
          <w:sz w:val="22"/>
          <w:szCs w:val="22"/>
          <w:lang w:val="fr-FR" w:eastAsia="de-DE"/>
        </w:rPr>
      </w:pPr>
      <w:r w:rsidRPr="00A54850">
        <w:rPr>
          <w:rFonts w:ascii="Arial" w:eastAsiaTheme="majorEastAsia" w:hAnsi="Arial" w:cs="Arial"/>
          <w:b/>
          <w:bCs/>
          <w:i/>
          <w:iCs/>
          <w:sz w:val="22"/>
          <w:szCs w:val="22"/>
          <w:lang w:val="fr-FR" w:eastAsia="de-DE"/>
        </w:rPr>
        <w:t>À l’adresse du Secrétariat</w:t>
      </w:r>
      <w:r w:rsidRPr="00A54850">
        <w:rPr>
          <w:rFonts w:ascii="Arial" w:eastAsiaTheme="majorEastAsia" w:hAnsi="Arial" w:cs="Arial"/>
          <w:sz w:val="22"/>
          <w:szCs w:val="22"/>
          <w:lang w:val="fr-FR" w:eastAsia="de-DE"/>
        </w:rPr>
        <w:t> </w:t>
      </w:r>
    </w:p>
    <w:p w14:paraId="455B793E" w14:textId="77777777" w:rsidR="00A54850" w:rsidRPr="00A54850" w:rsidRDefault="00A54850" w:rsidP="00A54850">
      <w:pPr>
        <w:widowControl/>
        <w:suppressAutoHyphens w:val="0"/>
        <w:autoSpaceDE/>
        <w:autoSpaceDN/>
        <w:jc w:val="both"/>
        <w:rPr>
          <w:rFonts w:ascii="Arial" w:hAnsi="Arial" w:cs="Arial"/>
          <w:sz w:val="22"/>
          <w:szCs w:val="22"/>
          <w:lang w:val="fr-FR" w:eastAsia="de-DE"/>
        </w:rPr>
      </w:pPr>
      <w:r w:rsidRPr="00A54850">
        <w:rPr>
          <w:rFonts w:ascii="Arial" w:eastAsiaTheme="majorEastAsia" w:hAnsi="Arial" w:cs="Arial"/>
          <w:sz w:val="22"/>
          <w:szCs w:val="22"/>
          <w:lang w:val="fr-FR" w:eastAsia="de-DE"/>
        </w:rPr>
        <w:t> </w:t>
      </w:r>
    </w:p>
    <w:p w14:paraId="61472593" w14:textId="1A213730" w:rsidR="00A54850" w:rsidRPr="00A54850" w:rsidRDefault="00A54850" w:rsidP="00871797">
      <w:pPr>
        <w:widowControl/>
        <w:autoSpaceDE/>
        <w:autoSpaceDN/>
        <w:ind w:left="840" w:hanging="840"/>
        <w:jc w:val="both"/>
        <w:rPr>
          <w:rFonts w:ascii="Arial" w:eastAsiaTheme="majorEastAsia" w:hAnsi="Arial" w:cs="Arial"/>
          <w:sz w:val="22"/>
          <w:szCs w:val="22"/>
          <w:lang w:val="fr-FR" w:eastAsia="de-DE"/>
        </w:rPr>
      </w:pPr>
      <w:r w:rsidRPr="00A54850">
        <w:rPr>
          <w:rFonts w:ascii="Arial" w:eastAsiaTheme="majorEastAsia" w:hAnsi="Arial" w:cs="Arial"/>
          <w:sz w:val="22"/>
          <w:szCs w:val="22"/>
          <w:lang w:val="fr-FR" w:eastAsia="de-DE"/>
        </w:rPr>
        <w:t xml:space="preserve">15.BB </w:t>
      </w:r>
      <w:r w:rsidRPr="00A54850">
        <w:rPr>
          <w:rFonts w:ascii="Arial" w:eastAsiaTheme="majorEastAsia" w:hAnsi="Arial" w:cs="Arial"/>
          <w:sz w:val="22"/>
          <w:szCs w:val="22"/>
          <w:lang w:val="fr-FR" w:eastAsia="de-DE"/>
        </w:rPr>
        <w:tab/>
        <w:t>Le Secrétariat, sous réserve de la disponibilité de ressources et en coopération avec le Conseil scientifique</w:t>
      </w:r>
      <w:r w:rsidR="001A31BE">
        <w:rPr>
          <w:rFonts w:ascii="Arial" w:eastAsiaTheme="majorEastAsia" w:hAnsi="Arial" w:cs="Arial"/>
          <w:sz w:val="22"/>
          <w:szCs w:val="22"/>
          <w:lang w:val="fr-FR" w:eastAsia="de-DE"/>
        </w:rPr>
        <w:t>, est prié</w:t>
      </w:r>
      <w:r w:rsidR="000D1DD6">
        <w:rPr>
          <w:rFonts w:ascii="Arial" w:eastAsiaTheme="majorEastAsia" w:hAnsi="Arial" w:cs="Arial"/>
          <w:sz w:val="22"/>
          <w:szCs w:val="22"/>
          <w:lang w:val="fr-FR" w:eastAsia="de-DE"/>
        </w:rPr>
        <w:t> </w:t>
      </w:r>
      <w:r w:rsidRPr="00A54850">
        <w:rPr>
          <w:rFonts w:ascii="Arial" w:eastAsiaTheme="majorEastAsia" w:hAnsi="Arial" w:cs="Arial"/>
          <w:sz w:val="22"/>
          <w:szCs w:val="22"/>
          <w:lang w:val="fr-FR" w:eastAsia="de-DE"/>
        </w:rPr>
        <w:t>:</w:t>
      </w:r>
    </w:p>
    <w:p w14:paraId="01796162" w14:textId="77777777" w:rsidR="00A54850" w:rsidRPr="00A54850" w:rsidRDefault="00A54850" w:rsidP="00871797">
      <w:pPr>
        <w:widowControl/>
        <w:autoSpaceDE/>
        <w:autoSpaceDN/>
        <w:ind w:left="840" w:hanging="840"/>
        <w:jc w:val="both"/>
        <w:rPr>
          <w:rFonts w:ascii="Arial" w:hAnsi="Arial" w:cs="Arial"/>
          <w:sz w:val="22"/>
          <w:szCs w:val="22"/>
          <w:lang w:val="fr-FR" w:eastAsia="de-DE"/>
        </w:rPr>
      </w:pPr>
    </w:p>
    <w:p w14:paraId="28998C13" w14:textId="427165B9" w:rsidR="00A54850" w:rsidRPr="00A54850" w:rsidRDefault="00A54850" w:rsidP="00871797">
      <w:pPr>
        <w:widowControl/>
        <w:numPr>
          <w:ilvl w:val="0"/>
          <w:numId w:val="7"/>
        </w:numPr>
        <w:autoSpaceDE/>
        <w:autoSpaceDN/>
        <w:ind w:left="1418" w:hanging="567"/>
        <w:jc w:val="both"/>
        <w:textAlignment w:val="auto"/>
        <w:rPr>
          <w:rFonts w:ascii="Arial" w:hAnsi="Arial" w:cs="Arial"/>
          <w:sz w:val="22"/>
          <w:szCs w:val="22"/>
          <w:lang w:val="fr-FR" w:eastAsia="de-DE"/>
        </w:rPr>
      </w:pPr>
      <w:bookmarkStart w:id="0" w:name="_Hlk210661268"/>
      <w:r w:rsidRPr="00A54850">
        <w:rPr>
          <w:rFonts w:ascii="Arial" w:eastAsiaTheme="majorEastAsia" w:hAnsi="Arial" w:cs="Arial"/>
          <w:sz w:val="22"/>
          <w:szCs w:val="22"/>
          <w:lang w:val="fr-FR" w:eastAsia="de-DE"/>
        </w:rPr>
        <w:t xml:space="preserve">d'élaborer le deuxième rapport sur l’état des espèces migratrices dans le monde et de le présenter à la Conférence des Parties </w:t>
      </w:r>
      <w:r w:rsidR="001A31BE">
        <w:rPr>
          <w:rFonts w:ascii="Arial" w:eastAsiaTheme="majorEastAsia" w:hAnsi="Arial" w:cs="Arial"/>
          <w:sz w:val="22"/>
          <w:szCs w:val="22"/>
          <w:lang w:val="fr-FR" w:eastAsia="de-DE"/>
        </w:rPr>
        <w:t>à</w:t>
      </w:r>
      <w:r w:rsidRPr="00A54850">
        <w:rPr>
          <w:rFonts w:ascii="Arial" w:eastAsiaTheme="majorEastAsia" w:hAnsi="Arial" w:cs="Arial"/>
          <w:sz w:val="22"/>
          <w:szCs w:val="22"/>
          <w:lang w:val="fr-FR" w:eastAsia="de-DE"/>
        </w:rPr>
        <w:t xml:space="preserve"> sa 16</w:t>
      </w:r>
      <w:r w:rsidRPr="00A54850">
        <w:rPr>
          <w:rFonts w:ascii="Arial" w:eastAsiaTheme="majorEastAsia" w:hAnsi="Arial" w:cs="Arial"/>
          <w:sz w:val="22"/>
          <w:szCs w:val="22"/>
          <w:vertAlign w:val="superscript"/>
          <w:lang w:val="fr-FR" w:eastAsia="de-DE"/>
        </w:rPr>
        <w:t>e</w:t>
      </w:r>
      <w:r w:rsidRPr="00A54850">
        <w:rPr>
          <w:rFonts w:ascii="Arial" w:eastAsiaTheme="majorEastAsia" w:hAnsi="Arial" w:cs="Arial"/>
          <w:sz w:val="22"/>
          <w:szCs w:val="22"/>
          <w:lang w:val="fr-FR" w:eastAsia="de-DE"/>
        </w:rPr>
        <w:t xml:space="preserve"> réunion, en tenant compte des thèmes spécifiques ou des questions importantes </w:t>
      </w:r>
      <w:r w:rsidR="001A31BE">
        <w:rPr>
          <w:rFonts w:ascii="Arial" w:eastAsiaTheme="majorEastAsia" w:hAnsi="Arial" w:cs="Arial"/>
          <w:sz w:val="22"/>
          <w:szCs w:val="22"/>
          <w:lang w:val="fr-FR" w:eastAsia="de-DE"/>
        </w:rPr>
        <w:t>telles que définies</w:t>
      </w:r>
      <w:r w:rsidRPr="00A54850">
        <w:rPr>
          <w:rFonts w:ascii="Arial" w:eastAsiaTheme="majorEastAsia" w:hAnsi="Arial" w:cs="Arial"/>
          <w:sz w:val="22"/>
          <w:szCs w:val="22"/>
          <w:lang w:val="fr-FR" w:eastAsia="de-DE"/>
        </w:rPr>
        <w:t xml:space="preserve"> dans l’Annexe 2 du document UNEP/CMS/COP15/Doc.</w:t>
      </w:r>
      <w:r w:rsidR="001A31BE">
        <w:rPr>
          <w:rFonts w:ascii="Arial" w:eastAsiaTheme="majorEastAsia" w:hAnsi="Arial" w:cs="Arial"/>
          <w:sz w:val="22"/>
          <w:szCs w:val="22"/>
          <w:lang w:val="fr-FR" w:eastAsia="de-DE"/>
        </w:rPr>
        <w:t xml:space="preserve">20.1/Rev.1, et en veillant à ce </w:t>
      </w:r>
      <w:r w:rsidR="00957805">
        <w:rPr>
          <w:rFonts w:ascii="Arial" w:eastAsiaTheme="majorEastAsia" w:hAnsi="Arial" w:cs="Arial"/>
          <w:sz w:val="22"/>
          <w:szCs w:val="22"/>
          <w:lang w:val="fr-FR" w:eastAsia="de-DE"/>
        </w:rPr>
        <w:t xml:space="preserve">que </w:t>
      </w:r>
      <w:r w:rsidR="009A2D83">
        <w:rPr>
          <w:rFonts w:ascii="Arial" w:eastAsiaTheme="majorEastAsia" w:hAnsi="Arial" w:cs="Arial"/>
          <w:sz w:val="22"/>
          <w:szCs w:val="22"/>
          <w:lang w:val="fr-FR" w:eastAsia="de-DE"/>
        </w:rPr>
        <w:t>c</w:t>
      </w:r>
      <w:r w:rsidR="00957805">
        <w:rPr>
          <w:rFonts w:ascii="Arial" w:eastAsiaTheme="majorEastAsia" w:hAnsi="Arial" w:cs="Arial"/>
          <w:sz w:val="22"/>
          <w:szCs w:val="22"/>
          <w:lang w:val="fr-FR" w:eastAsia="de-DE"/>
        </w:rPr>
        <w:t xml:space="preserve">e rapport inclue des analyses des tendances, </w:t>
      </w:r>
      <w:r w:rsidR="009A2D83">
        <w:rPr>
          <w:rFonts w:ascii="Arial" w:eastAsiaTheme="majorEastAsia" w:hAnsi="Arial" w:cs="Arial"/>
          <w:sz w:val="22"/>
          <w:szCs w:val="22"/>
          <w:lang w:val="fr-FR" w:eastAsia="de-DE"/>
        </w:rPr>
        <w:t>l</w:t>
      </w:r>
      <w:r w:rsidR="00957805">
        <w:rPr>
          <w:rFonts w:ascii="Arial" w:eastAsiaTheme="majorEastAsia" w:hAnsi="Arial" w:cs="Arial"/>
          <w:sz w:val="22"/>
          <w:szCs w:val="22"/>
          <w:lang w:val="fr-FR" w:eastAsia="de-DE"/>
        </w:rPr>
        <w:t>es menaces émergeantes et des recommandations concrètes à l’adresse des Parties </w:t>
      </w:r>
      <w:r w:rsidRPr="00A54850">
        <w:rPr>
          <w:rFonts w:ascii="Arial" w:eastAsiaTheme="majorEastAsia" w:hAnsi="Arial" w:cs="Arial"/>
          <w:sz w:val="22"/>
          <w:szCs w:val="22"/>
          <w:lang w:val="fr-FR" w:eastAsia="de-DE"/>
        </w:rPr>
        <w:t>;</w:t>
      </w:r>
    </w:p>
    <w:p w14:paraId="259F7378" w14:textId="77777777" w:rsidR="00A54850" w:rsidRPr="00A54850" w:rsidRDefault="00A54850" w:rsidP="00871797">
      <w:pPr>
        <w:widowControl/>
        <w:autoSpaceDE/>
        <w:autoSpaceDN/>
        <w:ind w:left="1418" w:hanging="567"/>
        <w:jc w:val="both"/>
        <w:rPr>
          <w:rFonts w:ascii="Arial" w:hAnsi="Arial" w:cs="Arial"/>
          <w:sz w:val="22"/>
          <w:szCs w:val="22"/>
          <w:lang w:val="fr-FR" w:eastAsia="de-DE"/>
        </w:rPr>
      </w:pPr>
    </w:p>
    <w:p w14:paraId="711D9B45" w14:textId="1AD457B3" w:rsidR="00A54850" w:rsidRPr="00A54850" w:rsidRDefault="00A54850" w:rsidP="00871797">
      <w:pPr>
        <w:widowControl/>
        <w:numPr>
          <w:ilvl w:val="0"/>
          <w:numId w:val="7"/>
        </w:numPr>
        <w:autoSpaceDE/>
        <w:autoSpaceDN/>
        <w:ind w:left="1418" w:hanging="567"/>
        <w:jc w:val="both"/>
        <w:textAlignment w:val="auto"/>
        <w:rPr>
          <w:rFonts w:ascii="Arial" w:hAnsi="Arial" w:cs="Arial"/>
          <w:sz w:val="22"/>
          <w:szCs w:val="22"/>
          <w:lang w:val="fr-FR" w:eastAsia="de-DE"/>
        </w:rPr>
      </w:pPr>
      <w:r w:rsidRPr="00A54850">
        <w:rPr>
          <w:rFonts w:ascii="Arial" w:hAnsi="Arial" w:cs="Arial"/>
          <w:sz w:val="22"/>
          <w:szCs w:val="22"/>
          <w:lang w:val="fr-FR" w:eastAsia="de-DE"/>
        </w:rPr>
        <w:t xml:space="preserve">de préparer des études de cas à inclure dans le deuxième rapport sur l’état des espèces migratrices dans le monde </w:t>
      </w:r>
      <w:r w:rsidRPr="00A54850">
        <w:rPr>
          <w:rFonts w:ascii="Arial" w:eastAsiaTheme="majorEastAsia" w:hAnsi="Arial" w:cs="Arial"/>
          <w:sz w:val="22"/>
          <w:szCs w:val="22"/>
          <w:lang w:val="fr-FR" w:eastAsia="de-DE"/>
        </w:rPr>
        <w:t>en prenant en considération les espèces identifiées dans l’Annexe 3 du document UNEP/CMS/COP15/Doc.</w:t>
      </w:r>
      <w:r w:rsidR="00957805">
        <w:rPr>
          <w:rFonts w:ascii="Arial" w:eastAsiaTheme="majorEastAsia" w:hAnsi="Arial" w:cs="Arial"/>
          <w:sz w:val="22"/>
          <w:szCs w:val="22"/>
          <w:lang w:val="fr-FR" w:eastAsia="de-DE"/>
        </w:rPr>
        <w:t>20.1/Rev.1, et de veiller à ce que ces études reflètent des approches intégrées (par exemple, la connectivité, la santé, les changements climatiques)</w:t>
      </w:r>
      <w:r w:rsidR="00957805" w:rsidRPr="00A54850">
        <w:rPr>
          <w:rFonts w:ascii="Arial" w:hAnsi="Arial" w:cs="Arial"/>
          <w:sz w:val="22"/>
          <w:szCs w:val="22"/>
          <w:lang w:val="fr-FR" w:eastAsia="de-DE"/>
        </w:rPr>
        <w:t xml:space="preserve"> </w:t>
      </w:r>
      <w:r w:rsidR="00957805">
        <w:rPr>
          <w:rFonts w:ascii="Arial" w:hAnsi="Arial" w:cs="Arial"/>
          <w:sz w:val="22"/>
          <w:szCs w:val="22"/>
          <w:lang w:val="fr-FR" w:eastAsia="de-DE"/>
        </w:rPr>
        <w:t>et les meilleures pratiques pouvant être reproduites </w:t>
      </w:r>
      <w:r w:rsidRPr="00A54850">
        <w:rPr>
          <w:rFonts w:ascii="Arial" w:hAnsi="Arial" w:cs="Arial"/>
          <w:sz w:val="22"/>
          <w:szCs w:val="22"/>
          <w:lang w:val="fr-FR" w:eastAsia="de-DE"/>
        </w:rPr>
        <w:t>;</w:t>
      </w:r>
    </w:p>
    <w:bookmarkEnd w:id="0"/>
    <w:p w14:paraId="17DA9201" w14:textId="77777777" w:rsidR="00A54850" w:rsidRPr="00A54850" w:rsidRDefault="00A54850" w:rsidP="00871797">
      <w:pPr>
        <w:widowControl/>
        <w:autoSpaceDE/>
        <w:autoSpaceDN/>
        <w:ind w:left="1418" w:hanging="567"/>
        <w:jc w:val="both"/>
        <w:textAlignment w:val="auto"/>
        <w:rPr>
          <w:rFonts w:ascii="Arial" w:eastAsiaTheme="minorHAnsi" w:hAnsi="Arial" w:cs="Arial"/>
          <w:sz w:val="22"/>
          <w:szCs w:val="22"/>
          <w:lang w:val="fr-FR"/>
        </w:rPr>
      </w:pPr>
    </w:p>
    <w:p w14:paraId="371FE9D6" w14:textId="2378406E" w:rsidR="00A54850" w:rsidRPr="00A54850" w:rsidRDefault="00A54850" w:rsidP="00871797">
      <w:pPr>
        <w:widowControl/>
        <w:numPr>
          <w:ilvl w:val="0"/>
          <w:numId w:val="7"/>
        </w:numPr>
        <w:autoSpaceDE/>
        <w:autoSpaceDN/>
        <w:ind w:left="1418" w:hanging="567"/>
        <w:jc w:val="both"/>
        <w:textAlignment w:val="auto"/>
        <w:rPr>
          <w:rFonts w:ascii="Arial" w:hAnsi="Arial" w:cs="Arial"/>
          <w:sz w:val="22"/>
          <w:szCs w:val="22"/>
          <w:lang w:val="fr-FR" w:eastAsia="de-DE"/>
        </w:rPr>
      </w:pPr>
      <w:r w:rsidRPr="00A54850">
        <w:rPr>
          <w:rFonts w:ascii="Arial" w:hAnsi="Arial" w:cs="Arial"/>
          <w:sz w:val="22"/>
          <w:szCs w:val="22"/>
          <w:lang w:val="fr-FR" w:eastAsia="de-DE"/>
        </w:rPr>
        <w:t xml:space="preserve">d'élaborer un plan pour un tableau de bord de données de la CMS, en tenant compte de la structure possible </w:t>
      </w:r>
      <w:r w:rsidRPr="00A54850">
        <w:rPr>
          <w:rFonts w:ascii="Arial" w:hAnsi="Arial" w:cs="Arial"/>
          <w:color w:val="000000" w:themeColor="text1"/>
          <w:sz w:val="22"/>
          <w:szCs w:val="22"/>
          <w:lang w:val="fr-FR" w:eastAsia="de-DE"/>
        </w:rPr>
        <w:t xml:space="preserve">présentée </w:t>
      </w:r>
      <w:r w:rsidRPr="00A54850">
        <w:rPr>
          <w:rFonts w:ascii="Arial" w:hAnsi="Arial" w:cs="Arial"/>
          <w:sz w:val="22"/>
          <w:szCs w:val="22"/>
          <w:lang w:val="fr-FR" w:eastAsia="de-DE"/>
        </w:rPr>
        <w:t xml:space="preserve">dans l’Annexe 4 du </w:t>
      </w:r>
      <w:r w:rsidRPr="00A54850">
        <w:rPr>
          <w:rFonts w:ascii="Arial" w:eastAsiaTheme="majorEastAsia" w:hAnsi="Arial" w:cs="Arial"/>
          <w:sz w:val="22"/>
          <w:szCs w:val="22"/>
          <w:lang w:val="fr-FR" w:eastAsia="de-DE"/>
        </w:rPr>
        <w:t>document UNEP/CMS/COP15/Doc.</w:t>
      </w:r>
      <w:r w:rsidR="00957805">
        <w:rPr>
          <w:rFonts w:ascii="Arial" w:eastAsiaTheme="majorEastAsia" w:hAnsi="Arial" w:cs="Arial"/>
          <w:sz w:val="22"/>
          <w:szCs w:val="22"/>
          <w:lang w:val="fr-FR" w:eastAsia="de-DE"/>
        </w:rPr>
        <w:t xml:space="preserve">20.1/Rev.1, et d’inclure notamment </w:t>
      </w:r>
      <w:r w:rsidR="009A2D83">
        <w:rPr>
          <w:rFonts w:ascii="Arial" w:eastAsiaTheme="majorEastAsia" w:hAnsi="Arial" w:cs="Arial"/>
          <w:sz w:val="22"/>
          <w:szCs w:val="22"/>
          <w:lang w:val="fr-FR" w:eastAsia="de-DE"/>
        </w:rPr>
        <w:t>d</w:t>
      </w:r>
      <w:r w:rsidR="00957805">
        <w:rPr>
          <w:rFonts w:ascii="Arial" w:eastAsiaTheme="majorEastAsia" w:hAnsi="Arial" w:cs="Arial"/>
          <w:sz w:val="22"/>
          <w:szCs w:val="22"/>
          <w:lang w:val="fr-FR" w:eastAsia="de-DE"/>
        </w:rPr>
        <w:t xml:space="preserve">es fonctionnalités </w:t>
      </w:r>
      <w:r w:rsidR="009A2D83">
        <w:rPr>
          <w:rFonts w:ascii="Arial" w:eastAsiaTheme="majorEastAsia" w:hAnsi="Arial" w:cs="Arial"/>
          <w:sz w:val="22"/>
          <w:szCs w:val="22"/>
          <w:lang w:val="fr-FR" w:eastAsia="de-DE"/>
        </w:rPr>
        <w:t>permettant le</w:t>
      </w:r>
      <w:r w:rsidR="00957805">
        <w:rPr>
          <w:rFonts w:ascii="Arial" w:eastAsiaTheme="majorEastAsia" w:hAnsi="Arial" w:cs="Arial"/>
          <w:sz w:val="22"/>
          <w:szCs w:val="22"/>
          <w:lang w:val="fr-FR" w:eastAsia="de-DE"/>
        </w:rPr>
        <w:t xml:space="preserve"> suivi des indicateurs clés, la visualisation interactive des données et l’intégration avec les sources mondiales et régionales, en garantissant son utilité pratique pour les Parties et les parties prenantes </w:t>
      </w:r>
      <w:r w:rsidRPr="00A54850">
        <w:rPr>
          <w:rFonts w:ascii="Arial" w:hAnsi="Arial" w:cs="Arial"/>
          <w:sz w:val="22"/>
          <w:szCs w:val="22"/>
          <w:lang w:val="fr-FR" w:eastAsia="de-DE"/>
        </w:rPr>
        <w:t>;</w:t>
      </w:r>
    </w:p>
    <w:p w14:paraId="5E5A766E" w14:textId="77777777" w:rsidR="00A54850" w:rsidRPr="00A54850" w:rsidRDefault="00A54850" w:rsidP="00871797">
      <w:pPr>
        <w:widowControl/>
        <w:autoSpaceDE/>
        <w:autoSpaceDN/>
        <w:ind w:left="1418" w:hanging="567"/>
        <w:jc w:val="both"/>
        <w:textAlignment w:val="auto"/>
        <w:rPr>
          <w:rFonts w:ascii="Arial" w:eastAsiaTheme="minorHAnsi" w:hAnsi="Arial" w:cs="Arial"/>
          <w:sz w:val="22"/>
          <w:szCs w:val="22"/>
          <w:lang w:val="fr-FR"/>
        </w:rPr>
      </w:pPr>
    </w:p>
    <w:p w14:paraId="3EA791C2" w14:textId="70D6D6A1" w:rsidR="00957805" w:rsidRDefault="00A54850" w:rsidP="00871797">
      <w:pPr>
        <w:widowControl/>
        <w:numPr>
          <w:ilvl w:val="0"/>
          <w:numId w:val="7"/>
        </w:numPr>
        <w:autoSpaceDE/>
        <w:autoSpaceDN/>
        <w:ind w:left="1418" w:hanging="567"/>
        <w:jc w:val="both"/>
        <w:textAlignment w:val="auto"/>
        <w:rPr>
          <w:rFonts w:ascii="Arial" w:hAnsi="Arial" w:cs="Arial"/>
          <w:sz w:val="22"/>
          <w:szCs w:val="22"/>
          <w:lang w:val="fr-FR" w:eastAsia="de-DE"/>
        </w:rPr>
      </w:pPr>
      <w:r w:rsidRPr="00A54850">
        <w:rPr>
          <w:rFonts w:ascii="Arial" w:hAnsi="Arial" w:cs="Arial"/>
          <w:sz w:val="22"/>
          <w:szCs w:val="22"/>
          <w:lang w:val="fr-FR" w:eastAsia="de-DE"/>
        </w:rPr>
        <w:t xml:space="preserve">de préparer et </w:t>
      </w:r>
      <w:r w:rsidR="00957805">
        <w:rPr>
          <w:rFonts w:ascii="Arial" w:hAnsi="Arial" w:cs="Arial"/>
          <w:sz w:val="22"/>
          <w:szCs w:val="22"/>
          <w:lang w:val="fr-FR" w:eastAsia="de-DE"/>
        </w:rPr>
        <w:t xml:space="preserve">de </w:t>
      </w:r>
      <w:r w:rsidRPr="00A54850">
        <w:rPr>
          <w:rFonts w:ascii="Arial" w:hAnsi="Arial" w:cs="Arial"/>
          <w:sz w:val="22"/>
          <w:szCs w:val="22"/>
          <w:lang w:val="fr-FR" w:eastAsia="de-DE"/>
        </w:rPr>
        <w:t xml:space="preserve">distribuer des documents d’information ciblés </w:t>
      </w:r>
      <w:r w:rsidR="00957805">
        <w:rPr>
          <w:rFonts w:ascii="Arial" w:hAnsi="Arial" w:cs="Arial"/>
          <w:sz w:val="22"/>
          <w:szCs w:val="22"/>
          <w:lang w:val="fr-FR" w:eastAsia="de-DE"/>
        </w:rPr>
        <w:t>pour les</w:t>
      </w:r>
      <w:r w:rsidRPr="00A54850">
        <w:rPr>
          <w:rFonts w:ascii="Arial" w:hAnsi="Arial" w:cs="Arial"/>
          <w:sz w:val="22"/>
          <w:szCs w:val="22"/>
          <w:lang w:val="fr-FR" w:eastAsia="de-DE"/>
        </w:rPr>
        <w:t xml:space="preserve"> Parties à la CMS afin de </w:t>
      </w:r>
      <w:r w:rsidR="009A2D83">
        <w:rPr>
          <w:rFonts w:ascii="Arial" w:hAnsi="Arial" w:cs="Arial"/>
          <w:sz w:val="22"/>
          <w:szCs w:val="22"/>
          <w:lang w:val="fr-FR" w:eastAsia="de-DE"/>
        </w:rPr>
        <w:t>les aider à prendre</w:t>
      </w:r>
      <w:r w:rsidRPr="00A54850">
        <w:rPr>
          <w:rFonts w:ascii="Arial" w:hAnsi="Arial" w:cs="Arial"/>
          <w:sz w:val="22"/>
          <w:szCs w:val="22"/>
          <w:lang w:val="fr-FR" w:eastAsia="de-DE"/>
        </w:rPr>
        <w:t xml:space="preserve"> en considération </w:t>
      </w:r>
      <w:r w:rsidR="009A2D83">
        <w:rPr>
          <w:rFonts w:ascii="Arial" w:hAnsi="Arial" w:cs="Arial"/>
          <w:sz w:val="22"/>
          <w:szCs w:val="22"/>
          <w:lang w:val="fr-FR" w:eastAsia="de-DE"/>
        </w:rPr>
        <w:t>l</w:t>
      </w:r>
      <w:r w:rsidRPr="00A54850">
        <w:rPr>
          <w:rFonts w:ascii="Arial" w:hAnsi="Arial" w:cs="Arial"/>
          <w:sz w:val="22"/>
          <w:szCs w:val="22"/>
          <w:lang w:val="fr-FR" w:eastAsia="de-DE"/>
        </w:rPr>
        <w:t>es obligations prévues à l’Annexe</w:t>
      </w:r>
      <w:r w:rsidR="00957805">
        <w:rPr>
          <w:rFonts w:ascii="Arial" w:hAnsi="Arial" w:cs="Arial"/>
          <w:sz w:val="22"/>
          <w:szCs w:val="22"/>
          <w:lang w:val="fr-FR" w:eastAsia="de-DE"/>
        </w:rPr>
        <w:t> </w:t>
      </w:r>
      <w:r w:rsidRPr="00A54850">
        <w:rPr>
          <w:rFonts w:ascii="Arial" w:hAnsi="Arial" w:cs="Arial"/>
          <w:sz w:val="22"/>
          <w:szCs w:val="22"/>
          <w:lang w:val="fr-FR" w:eastAsia="de-DE"/>
        </w:rPr>
        <w:t>I de la CMS dans leurs processus de délivrance de permis CITES</w:t>
      </w:r>
      <w:r w:rsidR="00957805">
        <w:rPr>
          <w:rFonts w:ascii="Arial" w:hAnsi="Arial" w:cs="Arial"/>
          <w:sz w:val="22"/>
          <w:szCs w:val="22"/>
          <w:lang w:val="fr-FR" w:eastAsia="de-DE"/>
        </w:rPr>
        <w:t>, y compris des orientations pratiques et des exemples concrets afin de garantir la cohérence entre les deux conventions ;</w:t>
      </w:r>
    </w:p>
    <w:p w14:paraId="75C265A2" w14:textId="3F793562" w:rsidR="00957805" w:rsidRDefault="00957805" w:rsidP="00871797">
      <w:pPr>
        <w:widowControl/>
        <w:numPr>
          <w:ilvl w:val="0"/>
          <w:numId w:val="7"/>
        </w:numPr>
        <w:autoSpaceDE/>
        <w:autoSpaceDN/>
        <w:ind w:left="1418" w:hanging="567"/>
        <w:jc w:val="both"/>
        <w:textAlignment w:val="auto"/>
        <w:rPr>
          <w:rFonts w:ascii="Arial" w:hAnsi="Arial" w:cs="Arial"/>
          <w:sz w:val="22"/>
          <w:szCs w:val="22"/>
          <w:lang w:val="fr-FR" w:eastAsia="de-DE"/>
        </w:rPr>
      </w:pPr>
      <w:r>
        <w:rPr>
          <w:rFonts w:ascii="Arial" w:hAnsi="Arial" w:cs="Arial"/>
          <w:sz w:val="22"/>
          <w:szCs w:val="22"/>
          <w:lang w:val="fr-FR" w:eastAsia="de-DE"/>
        </w:rPr>
        <w:lastRenderedPageBreak/>
        <w:t xml:space="preserve">lorsqu’il est demandé aux Parties de fournir des informations en tant que contributions au deuxième rapport sur l’état des espèces migratrices dans le monde, de mettre à disposition des modèles de soumission de données simplifiés et standardisés et un soutien technique ciblé, selon que de besoin, en particulier pour </w:t>
      </w:r>
      <w:r w:rsidR="009A2D83">
        <w:rPr>
          <w:rFonts w:ascii="Arial" w:hAnsi="Arial" w:cs="Arial"/>
          <w:sz w:val="22"/>
          <w:szCs w:val="22"/>
          <w:lang w:val="fr-FR" w:eastAsia="de-DE"/>
        </w:rPr>
        <w:t xml:space="preserve">les </w:t>
      </w:r>
      <w:r>
        <w:rPr>
          <w:rFonts w:ascii="Arial" w:hAnsi="Arial" w:cs="Arial"/>
          <w:sz w:val="22"/>
          <w:szCs w:val="22"/>
          <w:lang w:val="fr-FR" w:eastAsia="de-DE"/>
        </w:rPr>
        <w:t>États de l’aire de répartition en développement, afin de faciliter la collecte de données coordonnées ;</w:t>
      </w:r>
    </w:p>
    <w:p w14:paraId="3DC1E2ED" w14:textId="77777777" w:rsidR="00957805" w:rsidRDefault="00957805" w:rsidP="00871797">
      <w:pPr>
        <w:pStyle w:val="ListParagraph"/>
        <w:suppressAutoHyphens/>
        <w:contextualSpacing w:val="0"/>
        <w:rPr>
          <w:rFonts w:cs="Arial"/>
          <w:lang w:val="fr-FR" w:eastAsia="de-DE"/>
        </w:rPr>
      </w:pPr>
    </w:p>
    <w:p w14:paraId="4F7E42EF" w14:textId="7A15C679" w:rsidR="00A54850" w:rsidRDefault="00957805" w:rsidP="00871797">
      <w:pPr>
        <w:widowControl/>
        <w:numPr>
          <w:ilvl w:val="0"/>
          <w:numId w:val="7"/>
        </w:numPr>
        <w:autoSpaceDE/>
        <w:autoSpaceDN/>
        <w:ind w:left="1418" w:hanging="567"/>
        <w:jc w:val="both"/>
        <w:textAlignment w:val="auto"/>
        <w:rPr>
          <w:rFonts w:ascii="Arial" w:hAnsi="Arial" w:cs="Arial"/>
          <w:sz w:val="22"/>
          <w:szCs w:val="22"/>
          <w:lang w:val="fr-FR" w:eastAsia="de-DE"/>
        </w:rPr>
      </w:pPr>
      <w:r>
        <w:rPr>
          <w:rFonts w:ascii="Arial" w:hAnsi="Arial" w:cs="Arial"/>
          <w:sz w:val="22"/>
          <w:szCs w:val="22"/>
          <w:lang w:val="fr-FR" w:eastAsia="de-DE"/>
        </w:rPr>
        <w:t xml:space="preserve">de mettre à disposition </w:t>
      </w:r>
      <w:r w:rsidR="000D1DD6">
        <w:rPr>
          <w:rFonts w:ascii="Arial" w:hAnsi="Arial" w:cs="Arial"/>
          <w:sz w:val="22"/>
          <w:szCs w:val="22"/>
          <w:lang w:val="fr-FR" w:eastAsia="de-DE"/>
        </w:rPr>
        <w:t xml:space="preserve">des points focaux nationaux </w:t>
      </w:r>
      <w:r>
        <w:rPr>
          <w:rFonts w:ascii="Arial" w:hAnsi="Arial" w:cs="Arial"/>
          <w:sz w:val="22"/>
          <w:szCs w:val="22"/>
          <w:lang w:val="fr-FR" w:eastAsia="de-DE"/>
        </w:rPr>
        <w:t>du</w:t>
      </w:r>
      <w:r w:rsidR="00A54850" w:rsidRPr="00A54850">
        <w:rPr>
          <w:rFonts w:ascii="Arial" w:hAnsi="Arial" w:cs="Arial"/>
          <w:sz w:val="22"/>
          <w:szCs w:val="22"/>
          <w:lang w:val="fr-FR" w:eastAsia="de-DE"/>
        </w:rPr>
        <w:t xml:space="preserve"> matériel </w:t>
      </w:r>
      <w:r>
        <w:rPr>
          <w:rFonts w:ascii="Arial" w:hAnsi="Arial" w:cs="Arial"/>
          <w:sz w:val="22"/>
          <w:szCs w:val="22"/>
          <w:lang w:val="fr-FR" w:eastAsia="de-DE"/>
        </w:rPr>
        <w:t xml:space="preserve">de communication sur le </w:t>
      </w:r>
      <w:r w:rsidR="000D1DD6">
        <w:rPr>
          <w:rFonts w:ascii="Arial" w:hAnsi="Arial" w:cs="Arial"/>
          <w:sz w:val="22"/>
          <w:szCs w:val="22"/>
          <w:lang w:val="fr-FR" w:eastAsia="de-DE"/>
        </w:rPr>
        <w:t>r</w:t>
      </w:r>
      <w:r>
        <w:rPr>
          <w:rFonts w:ascii="Arial" w:hAnsi="Arial" w:cs="Arial"/>
          <w:sz w:val="22"/>
          <w:szCs w:val="22"/>
          <w:lang w:val="fr-FR" w:eastAsia="de-DE"/>
        </w:rPr>
        <w:t xml:space="preserve">apport sur l’état des espèces migratrices dans le monde </w:t>
      </w:r>
      <w:r w:rsidR="000D1DD6">
        <w:rPr>
          <w:rFonts w:ascii="Arial" w:hAnsi="Arial" w:cs="Arial"/>
          <w:sz w:val="22"/>
          <w:szCs w:val="22"/>
          <w:lang w:val="fr-FR" w:eastAsia="de-DE"/>
        </w:rPr>
        <w:t>afin de faciliter une diffusion efficace et plus large</w:t>
      </w:r>
      <w:r>
        <w:rPr>
          <w:rFonts w:ascii="Arial" w:hAnsi="Arial" w:cs="Arial"/>
          <w:sz w:val="22"/>
          <w:szCs w:val="22"/>
          <w:lang w:val="fr-FR" w:eastAsia="de-DE"/>
        </w:rPr>
        <w:t xml:space="preserve"> </w:t>
      </w:r>
      <w:r w:rsidR="000D1DD6">
        <w:rPr>
          <w:rFonts w:ascii="Arial" w:hAnsi="Arial" w:cs="Arial"/>
          <w:sz w:val="22"/>
          <w:szCs w:val="22"/>
          <w:lang w:val="fr-FR" w:eastAsia="de-DE"/>
        </w:rPr>
        <w:t>dudit rapport</w:t>
      </w:r>
      <w:r w:rsidR="00A54850" w:rsidRPr="00A54850">
        <w:rPr>
          <w:rFonts w:ascii="Arial" w:hAnsi="Arial" w:cs="Arial"/>
          <w:sz w:val="22"/>
          <w:szCs w:val="22"/>
          <w:lang w:val="fr-FR" w:eastAsia="de-DE"/>
        </w:rPr>
        <w:t>.</w:t>
      </w:r>
    </w:p>
    <w:p w14:paraId="0B88187A" w14:textId="77777777" w:rsidR="000D1DD6" w:rsidRDefault="000D1DD6" w:rsidP="00871797">
      <w:pPr>
        <w:pStyle w:val="ListParagraph"/>
        <w:suppressAutoHyphens/>
        <w:contextualSpacing w:val="0"/>
        <w:rPr>
          <w:rFonts w:cs="Arial"/>
          <w:lang w:val="fr-FR" w:eastAsia="de-DE"/>
        </w:rPr>
      </w:pPr>
    </w:p>
    <w:p w14:paraId="7CC42338" w14:textId="53686623" w:rsidR="000D1DD6" w:rsidRDefault="000D1DD6" w:rsidP="00871797">
      <w:pPr>
        <w:widowControl/>
        <w:autoSpaceDE/>
        <w:autoSpaceDN/>
        <w:jc w:val="both"/>
        <w:textAlignment w:val="auto"/>
        <w:rPr>
          <w:rFonts w:ascii="Arial" w:eastAsiaTheme="majorEastAsia" w:hAnsi="Arial" w:cs="Arial"/>
          <w:b/>
          <w:bCs/>
          <w:i/>
          <w:iCs/>
          <w:sz w:val="22"/>
          <w:szCs w:val="22"/>
          <w:lang w:val="fr-FR" w:eastAsia="de-DE"/>
        </w:rPr>
      </w:pPr>
      <w:r w:rsidRPr="00A54850">
        <w:rPr>
          <w:rFonts w:ascii="Arial" w:eastAsiaTheme="majorEastAsia" w:hAnsi="Arial" w:cs="Arial"/>
          <w:b/>
          <w:bCs/>
          <w:i/>
          <w:iCs/>
          <w:sz w:val="22"/>
          <w:szCs w:val="22"/>
          <w:lang w:val="fr-FR" w:eastAsia="de-DE"/>
        </w:rPr>
        <w:t>À l’adresse</w:t>
      </w:r>
      <w:r>
        <w:rPr>
          <w:rFonts w:ascii="Arial" w:eastAsiaTheme="majorEastAsia" w:hAnsi="Arial" w:cs="Arial"/>
          <w:b/>
          <w:bCs/>
          <w:i/>
          <w:iCs/>
          <w:sz w:val="22"/>
          <w:szCs w:val="22"/>
          <w:lang w:val="fr-FR" w:eastAsia="de-DE"/>
        </w:rPr>
        <w:t xml:space="preserve"> des Parties</w:t>
      </w:r>
    </w:p>
    <w:p w14:paraId="7C5AEA7A" w14:textId="77777777" w:rsidR="00AE1DC9" w:rsidRDefault="00AE1DC9" w:rsidP="00871797">
      <w:pPr>
        <w:widowControl/>
        <w:autoSpaceDE/>
        <w:autoSpaceDN/>
        <w:jc w:val="both"/>
        <w:textAlignment w:val="auto"/>
        <w:rPr>
          <w:rFonts w:ascii="Arial" w:eastAsiaTheme="majorEastAsia" w:hAnsi="Arial" w:cs="Arial"/>
          <w:b/>
          <w:bCs/>
          <w:i/>
          <w:iCs/>
          <w:sz w:val="22"/>
          <w:szCs w:val="22"/>
          <w:lang w:val="fr-FR" w:eastAsia="de-DE"/>
        </w:rPr>
      </w:pPr>
    </w:p>
    <w:p w14:paraId="5E16603A" w14:textId="19B4CF9A" w:rsidR="000D1DD6" w:rsidRDefault="000D1DD6" w:rsidP="00AE1DC9">
      <w:pPr>
        <w:widowControl/>
        <w:autoSpaceDE/>
        <w:autoSpaceDN/>
        <w:ind w:left="851" w:hanging="851"/>
        <w:jc w:val="both"/>
        <w:textAlignment w:val="auto"/>
        <w:rPr>
          <w:rFonts w:ascii="Arial" w:eastAsiaTheme="majorEastAsia" w:hAnsi="Arial" w:cs="Arial"/>
          <w:sz w:val="22"/>
          <w:szCs w:val="22"/>
          <w:lang w:val="fr-FR" w:eastAsia="de-DE"/>
        </w:rPr>
      </w:pPr>
      <w:r>
        <w:rPr>
          <w:rFonts w:ascii="Arial" w:eastAsiaTheme="majorEastAsia" w:hAnsi="Arial" w:cs="Arial"/>
          <w:sz w:val="22"/>
          <w:szCs w:val="22"/>
          <w:lang w:val="fr-FR" w:eastAsia="de-DE"/>
        </w:rPr>
        <w:t xml:space="preserve">15.CC </w:t>
      </w:r>
      <w:r w:rsidR="00AE1DC9">
        <w:rPr>
          <w:rFonts w:ascii="Arial" w:eastAsiaTheme="majorEastAsia" w:hAnsi="Arial" w:cs="Arial"/>
          <w:sz w:val="22"/>
          <w:szCs w:val="22"/>
          <w:lang w:val="fr-FR" w:eastAsia="de-DE"/>
        </w:rPr>
        <w:tab/>
      </w:r>
      <w:r>
        <w:rPr>
          <w:rFonts w:ascii="Arial" w:eastAsiaTheme="majorEastAsia" w:hAnsi="Arial" w:cs="Arial"/>
          <w:sz w:val="22"/>
          <w:szCs w:val="22"/>
          <w:lang w:val="fr-FR" w:eastAsia="de-DE"/>
        </w:rPr>
        <w:t>Les Parties sont encouragées à :</w:t>
      </w:r>
    </w:p>
    <w:p w14:paraId="679D22CB" w14:textId="77777777" w:rsidR="00AE1DC9" w:rsidRDefault="00AE1DC9" w:rsidP="00AE1DC9">
      <w:pPr>
        <w:widowControl/>
        <w:autoSpaceDE/>
        <w:autoSpaceDN/>
        <w:ind w:left="851" w:hanging="851"/>
        <w:jc w:val="both"/>
        <w:textAlignment w:val="auto"/>
        <w:rPr>
          <w:rFonts w:ascii="Arial" w:eastAsiaTheme="majorEastAsia" w:hAnsi="Arial" w:cs="Arial"/>
          <w:sz w:val="22"/>
          <w:szCs w:val="22"/>
          <w:lang w:val="fr-FR" w:eastAsia="de-DE"/>
        </w:rPr>
      </w:pPr>
    </w:p>
    <w:p w14:paraId="6B7A0D71" w14:textId="6478C87C" w:rsidR="00A54850" w:rsidRDefault="000D1DD6" w:rsidP="00AE1DC9">
      <w:pPr>
        <w:widowControl/>
        <w:autoSpaceDE/>
        <w:autoSpaceDN/>
        <w:ind w:left="1418" w:hanging="567"/>
        <w:jc w:val="both"/>
        <w:textAlignment w:val="auto"/>
        <w:rPr>
          <w:rFonts w:cs="Arial"/>
          <w:lang w:val="fr-FR"/>
        </w:rPr>
      </w:pPr>
      <w:r>
        <w:rPr>
          <w:rFonts w:ascii="Arial" w:eastAsiaTheme="majorEastAsia" w:hAnsi="Arial" w:cs="Arial"/>
          <w:sz w:val="22"/>
          <w:szCs w:val="22"/>
          <w:lang w:val="fr-FR" w:eastAsia="de-DE"/>
        </w:rPr>
        <w:t>a)</w:t>
      </w:r>
      <w:r>
        <w:rPr>
          <w:rFonts w:ascii="Arial" w:eastAsiaTheme="majorEastAsia" w:hAnsi="Arial" w:cs="Arial"/>
          <w:sz w:val="22"/>
          <w:szCs w:val="22"/>
          <w:lang w:val="fr-FR" w:eastAsia="de-DE"/>
        </w:rPr>
        <w:tab/>
      </w:r>
      <w:r w:rsidR="009A2D83">
        <w:rPr>
          <w:rFonts w:ascii="Arial" w:eastAsiaTheme="majorEastAsia" w:hAnsi="Arial" w:cs="Arial"/>
          <w:sz w:val="22"/>
          <w:szCs w:val="22"/>
          <w:lang w:val="fr-FR" w:eastAsia="de-DE"/>
        </w:rPr>
        <w:t>f</w:t>
      </w:r>
      <w:r>
        <w:rPr>
          <w:rFonts w:ascii="Arial" w:eastAsiaTheme="majorEastAsia" w:hAnsi="Arial" w:cs="Arial"/>
          <w:sz w:val="22"/>
          <w:szCs w:val="22"/>
          <w:lang w:val="fr-FR" w:eastAsia="de-DE"/>
        </w:rPr>
        <w:t>aire suivre le matériel visé à l’alinéa d) de la décision 15.BB à leur organe de gestion national concernant la CITES, pour information.</w:t>
      </w:r>
    </w:p>
    <w:p w14:paraId="39C2C7D5" w14:textId="77777777" w:rsidR="00A54850" w:rsidRPr="007A5544" w:rsidRDefault="00A54850" w:rsidP="00871797">
      <w:pPr>
        <w:pStyle w:val="ListParagraph"/>
        <w:suppressAutoHyphens/>
        <w:ind w:left="0"/>
        <w:contextualSpacing w:val="0"/>
        <w:rPr>
          <w:rFonts w:cs="Arial"/>
          <w:lang w:val="fr-FR"/>
        </w:rPr>
      </w:pPr>
    </w:p>
    <w:sectPr w:rsidR="00A54850"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F41F" w14:textId="77777777" w:rsidR="00312144" w:rsidRDefault="00312144">
      <w:r>
        <w:separator/>
      </w:r>
    </w:p>
  </w:endnote>
  <w:endnote w:type="continuationSeparator" w:id="0">
    <w:p w14:paraId="046CF3DE" w14:textId="77777777" w:rsidR="00312144" w:rsidRDefault="00312144">
      <w:r>
        <w:continuationSeparator/>
      </w:r>
    </w:p>
  </w:endnote>
  <w:endnote w:type="continuationNotice" w:id="1">
    <w:p w14:paraId="0491D446" w14:textId="77777777" w:rsidR="00312144" w:rsidRDefault="00312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24F2" w14:textId="77777777" w:rsidR="00312144" w:rsidRDefault="00312144">
      <w:r>
        <w:rPr>
          <w:color w:val="000000"/>
        </w:rPr>
        <w:separator/>
      </w:r>
    </w:p>
  </w:footnote>
  <w:footnote w:type="continuationSeparator" w:id="0">
    <w:p w14:paraId="06C75934" w14:textId="77777777" w:rsidR="00312144" w:rsidRDefault="00312144">
      <w:r>
        <w:continuationSeparator/>
      </w:r>
    </w:p>
  </w:footnote>
  <w:footnote w:type="continuationNotice" w:id="1">
    <w:p w14:paraId="6204B41F" w14:textId="77777777" w:rsidR="00312144" w:rsidRDefault="00312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F0BCBD9"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A54850">
      <w:rPr>
        <w:rFonts w:ascii="Arial" w:hAnsi="Arial" w:cs="Arial"/>
        <w:i/>
        <w:sz w:val="18"/>
        <w:szCs w:val="18"/>
        <w:lang w:val="pt-PT"/>
      </w:rPr>
      <w:t>20.1</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18A30609" w:rsidR="0041439A" w:rsidRPr="00A54850"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A54850">
      <w:rPr>
        <w:rFonts w:ascii="Arial" w:hAnsi="Arial" w:cs="Arial"/>
        <w:i/>
        <w:sz w:val="18"/>
        <w:szCs w:val="18"/>
        <w:lang w:val="pt-PT"/>
      </w:rPr>
      <w:t>UNEP/CMS/COP1</w:t>
    </w:r>
    <w:r w:rsidR="00AB5285" w:rsidRPr="00A54850">
      <w:rPr>
        <w:rFonts w:ascii="Arial" w:hAnsi="Arial" w:cs="Arial"/>
        <w:i/>
        <w:sz w:val="18"/>
        <w:szCs w:val="18"/>
        <w:lang w:val="pt-PT"/>
      </w:rPr>
      <w:t>5</w:t>
    </w:r>
    <w:r w:rsidRPr="00A54850">
      <w:rPr>
        <w:rFonts w:ascii="Arial" w:hAnsi="Arial" w:cs="Arial"/>
        <w:i/>
        <w:sz w:val="18"/>
        <w:szCs w:val="18"/>
        <w:lang w:val="pt-PT"/>
      </w:rPr>
      <w:t>/CRP</w:t>
    </w:r>
    <w:r w:rsidR="00620BD8" w:rsidRPr="00A54850">
      <w:rPr>
        <w:rFonts w:ascii="Arial" w:hAnsi="Arial" w:cs="Arial"/>
        <w:i/>
        <w:sz w:val="18"/>
        <w:szCs w:val="18"/>
        <w:lang w:val="pt-PT"/>
      </w:rPr>
      <w:t>2</w:t>
    </w:r>
    <w:r w:rsidR="00A54850" w:rsidRPr="00A54850">
      <w:rPr>
        <w:rFonts w:ascii="Arial" w:hAnsi="Arial" w:cs="Arial"/>
        <w:i/>
        <w:sz w:val="18"/>
        <w:szCs w:val="18"/>
        <w:lang w:val="pt-PT"/>
      </w:rPr>
      <w:t>0.1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999DD1B"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A54850">
      <w:rPr>
        <w:rFonts w:ascii="Arial" w:hAnsi="Arial" w:cs="Arial"/>
        <w:bCs/>
        <w:i/>
        <w:iCs/>
        <w:sz w:val="18"/>
        <w:szCs w:val="18"/>
        <w:lang w:val="pt-PT"/>
      </w:rPr>
      <w:t>20.1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528537">
    <w:abstractNumId w:val="5"/>
  </w:num>
  <w:num w:numId="2" w16cid:durableId="574051727">
    <w:abstractNumId w:val="7"/>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1"/>
  </w:num>
  <w:num w:numId="7" w16cid:durableId="2015064494">
    <w:abstractNumId w:val="2"/>
  </w:num>
  <w:num w:numId="8" w16cid:durableId="1024402490">
    <w:abstractNumId w:val="8"/>
  </w:num>
  <w:num w:numId="9" w16cid:durableId="13429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60243"/>
    <w:rsid w:val="000B0D60"/>
    <w:rsid w:val="000D1DD6"/>
    <w:rsid w:val="001125D7"/>
    <w:rsid w:val="00122DBF"/>
    <w:rsid w:val="001352BB"/>
    <w:rsid w:val="00142859"/>
    <w:rsid w:val="00164D92"/>
    <w:rsid w:val="00167428"/>
    <w:rsid w:val="001A31BE"/>
    <w:rsid w:val="002243FE"/>
    <w:rsid w:val="00227282"/>
    <w:rsid w:val="0027066C"/>
    <w:rsid w:val="002711F3"/>
    <w:rsid w:val="00276113"/>
    <w:rsid w:val="0029168C"/>
    <w:rsid w:val="002B6DE7"/>
    <w:rsid w:val="002C5F42"/>
    <w:rsid w:val="002F2722"/>
    <w:rsid w:val="00312144"/>
    <w:rsid w:val="00321F41"/>
    <w:rsid w:val="0033796E"/>
    <w:rsid w:val="00361315"/>
    <w:rsid w:val="00374549"/>
    <w:rsid w:val="003F1AD8"/>
    <w:rsid w:val="0041439A"/>
    <w:rsid w:val="0043102F"/>
    <w:rsid w:val="0052458B"/>
    <w:rsid w:val="005645C4"/>
    <w:rsid w:val="0058757D"/>
    <w:rsid w:val="005D43E4"/>
    <w:rsid w:val="005D574F"/>
    <w:rsid w:val="005F0639"/>
    <w:rsid w:val="00620BD8"/>
    <w:rsid w:val="006821C9"/>
    <w:rsid w:val="00687331"/>
    <w:rsid w:val="006D020E"/>
    <w:rsid w:val="006F0BEE"/>
    <w:rsid w:val="007103C8"/>
    <w:rsid w:val="00716D8F"/>
    <w:rsid w:val="00751AAD"/>
    <w:rsid w:val="007A1066"/>
    <w:rsid w:val="007A5544"/>
    <w:rsid w:val="007F43DD"/>
    <w:rsid w:val="00826906"/>
    <w:rsid w:val="00857813"/>
    <w:rsid w:val="00871797"/>
    <w:rsid w:val="00950DA4"/>
    <w:rsid w:val="00957805"/>
    <w:rsid w:val="00960B8C"/>
    <w:rsid w:val="0096699F"/>
    <w:rsid w:val="009A2D83"/>
    <w:rsid w:val="009B03FC"/>
    <w:rsid w:val="009F3558"/>
    <w:rsid w:val="00A54850"/>
    <w:rsid w:val="00A8579B"/>
    <w:rsid w:val="00AA138B"/>
    <w:rsid w:val="00AB5285"/>
    <w:rsid w:val="00AE1DC9"/>
    <w:rsid w:val="00AE39EA"/>
    <w:rsid w:val="00AE590E"/>
    <w:rsid w:val="00B4191F"/>
    <w:rsid w:val="00B91802"/>
    <w:rsid w:val="00C30C58"/>
    <w:rsid w:val="00C31E29"/>
    <w:rsid w:val="00C452BA"/>
    <w:rsid w:val="00D0299F"/>
    <w:rsid w:val="00D416B7"/>
    <w:rsid w:val="00D50F95"/>
    <w:rsid w:val="00D61140"/>
    <w:rsid w:val="00D82C56"/>
    <w:rsid w:val="00DA2B6E"/>
    <w:rsid w:val="00DB2EEB"/>
    <w:rsid w:val="00E1532C"/>
    <w:rsid w:val="00E45B44"/>
    <w:rsid w:val="00E829C9"/>
    <w:rsid w:val="00EF2BC5"/>
    <w:rsid w:val="00EF34EF"/>
    <w:rsid w:val="00F426DC"/>
    <w:rsid w:val="00F52A55"/>
    <w:rsid w:val="00F56104"/>
    <w:rsid w:val="00F62778"/>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table" w:styleId="TableGrid">
    <w:name w:val="Table Grid"/>
    <w:basedOn w:val="TableNormal"/>
    <w:uiPriority w:val="59"/>
    <w:rsid w:val="00A54850"/>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31BE"/>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74CECCD-A432-411F-9C72-DE7918AE1A77}"/>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522</Words>
  <Characters>2982</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2026-03-26T23:34:00Z</dcterms:created>
  <dcterms:modified xsi:type="dcterms:W3CDTF">2026-03-27T00:24:00Z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