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80783" w14:textId="77777777" w:rsidR="00A93986" w:rsidRPr="00D140FE" w:rsidRDefault="00A93986" w:rsidP="002474DC">
      <w:pPr>
        <w:jc w:val="center"/>
        <w:rPr>
          <w:rFonts w:ascii="Arial" w:hAnsi="Arial" w:cs="Arial"/>
          <w:b/>
          <w:bCs/>
          <w:sz w:val="22"/>
          <w:szCs w:val="22"/>
          <w:lang w:val="fr-FR"/>
        </w:rPr>
      </w:pPr>
      <w:r w:rsidRPr="00D140FE">
        <w:rPr>
          <w:rFonts w:ascii="Arial" w:hAnsi="Arial" w:cs="Arial"/>
          <w:b/>
          <w:bCs/>
          <w:sz w:val="22"/>
          <w:szCs w:val="22"/>
          <w:lang w:val="fr-FR"/>
        </w:rPr>
        <w:t>MOBILISATION DES RESSOURCES</w:t>
      </w:r>
    </w:p>
    <w:p w14:paraId="60C50FAF" w14:textId="77777777" w:rsidR="00AB5285" w:rsidRPr="00D140FE" w:rsidRDefault="00AB5285" w:rsidP="002474DC">
      <w:pPr>
        <w:jc w:val="center"/>
        <w:rPr>
          <w:rFonts w:ascii="Arial" w:hAnsi="Arial" w:cs="Arial"/>
          <w:b/>
          <w:sz w:val="22"/>
          <w:szCs w:val="22"/>
          <w:lang w:val="fr-FR"/>
        </w:rPr>
      </w:pPr>
    </w:p>
    <w:p w14:paraId="77BA811D" w14:textId="0A3BC8FF" w:rsidR="00D82C56" w:rsidRPr="00D140FE" w:rsidRDefault="005D43E4" w:rsidP="002474DC">
      <w:pPr>
        <w:spacing w:after="120"/>
        <w:jc w:val="center"/>
        <w:rPr>
          <w:rFonts w:ascii="Arial" w:hAnsi="Arial" w:cs="Arial"/>
          <w:sz w:val="22"/>
          <w:szCs w:val="22"/>
          <w:lang w:val="fr-FR"/>
        </w:rPr>
      </w:pPr>
      <w:r w:rsidRPr="00D140FE">
        <w:rPr>
          <w:rFonts w:ascii="Arial" w:hAnsi="Arial" w:cs="Arial"/>
          <w:sz w:val="22"/>
          <w:szCs w:val="22"/>
          <w:lang w:val="fr-FR"/>
        </w:rPr>
        <w:t>UNEP/CMS/COP1</w:t>
      </w:r>
      <w:r w:rsidR="00950DA4" w:rsidRPr="00D140FE">
        <w:rPr>
          <w:rFonts w:ascii="Arial" w:hAnsi="Arial" w:cs="Arial"/>
          <w:sz w:val="22"/>
          <w:szCs w:val="22"/>
          <w:lang w:val="fr-FR"/>
        </w:rPr>
        <w:t>5</w:t>
      </w:r>
      <w:r w:rsidRPr="00D140FE">
        <w:rPr>
          <w:rFonts w:ascii="Arial" w:hAnsi="Arial" w:cs="Arial"/>
          <w:sz w:val="22"/>
          <w:szCs w:val="22"/>
          <w:lang w:val="fr-FR"/>
        </w:rPr>
        <w:t>/Doc.</w:t>
      </w:r>
      <w:r w:rsidR="00A93986" w:rsidRPr="00D140FE">
        <w:rPr>
          <w:rFonts w:ascii="Arial" w:hAnsi="Arial" w:cs="Arial"/>
          <w:sz w:val="22"/>
          <w:szCs w:val="22"/>
          <w:lang w:val="fr-FR"/>
        </w:rPr>
        <w:t>14.3</w:t>
      </w:r>
    </w:p>
    <w:p w14:paraId="73A89732" w14:textId="693BCC5A" w:rsidR="00D82C56" w:rsidRPr="00D140FE" w:rsidRDefault="005D43E4" w:rsidP="002474DC">
      <w:pPr>
        <w:jc w:val="center"/>
        <w:rPr>
          <w:rFonts w:ascii="Arial" w:hAnsi="Arial" w:cs="Arial"/>
          <w:i/>
          <w:sz w:val="22"/>
          <w:szCs w:val="22"/>
          <w:lang w:val="fr-FR"/>
        </w:rPr>
      </w:pPr>
      <w:r w:rsidRPr="00D140FE">
        <w:rPr>
          <w:rFonts w:ascii="Arial" w:hAnsi="Arial" w:cs="Arial"/>
          <w:i/>
          <w:sz w:val="22"/>
          <w:szCs w:val="22"/>
          <w:lang w:val="fr-FR"/>
        </w:rPr>
        <w:t>(Pr</w:t>
      </w:r>
      <w:r w:rsidR="00122DBF" w:rsidRPr="00D140FE">
        <w:rPr>
          <w:rFonts w:ascii="Arial" w:hAnsi="Arial" w:cs="Arial"/>
          <w:i/>
          <w:sz w:val="22"/>
          <w:szCs w:val="22"/>
          <w:lang w:val="fr-FR"/>
        </w:rPr>
        <w:t>é</w:t>
      </w:r>
      <w:r w:rsidRPr="00D140FE">
        <w:rPr>
          <w:rFonts w:ascii="Arial" w:hAnsi="Arial" w:cs="Arial"/>
          <w:i/>
          <w:sz w:val="22"/>
          <w:szCs w:val="22"/>
          <w:lang w:val="fr-FR"/>
        </w:rPr>
        <w:t>pa</w:t>
      </w:r>
      <w:r w:rsidR="00EF2BC5" w:rsidRPr="00D140FE">
        <w:rPr>
          <w:rFonts w:ascii="Arial" w:hAnsi="Arial" w:cs="Arial"/>
          <w:i/>
          <w:sz w:val="22"/>
          <w:szCs w:val="22"/>
          <w:lang w:val="fr-FR"/>
        </w:rPr>
        <w:t>ré par</w:t>
      </w:r>
      <w:r w:rsidR="00FD2360" w:rsidRPr="00D140FE">
        <w:rPr>
          <w:rFonts w:ascii="Arial" w:hAnsi="Arial" w:cs="Arial"/>
          <w:i/>
          <w:sz w:val="22"/>
          <w:szCs w:val="22"/>
          <w:lang w:val="fr-FR"/>
        </w:rPr>
        <w:t xml:space="preserve"> </w:t>
      </w:r>
      <w:r w:rsidR="007C5FF3" w:rsidRPr="00D140FE">
        <w:rPr>
          <w:rFonts w:ascii="Arial" w:hAnsi="Arial" w:cs="Arial"/>
          <w:i/>
          <w:sz w:val="22"/>
          <w:szCs w:val="22"/>
          <w:lang w:val="fr-FR"/>
        </w:rPr>
        <w:t>le Groupe de travail sur les questions institutionnelles et transversales</w:t>
      </w:r>
      <w:r w:rsidRPr="00D140FE">
        <w:rPr>
          <w:rFonts w:ascii="Arial" w:hAnsi="Arial" w:cs="Arial"/>
          <w:i/>
          <w:sz w:val="22"/>
          <w:szCs w:val="22"/>
          <w:lang w:val="fr-FR"/>
        </w:rPr>
        <w:t>)</w:t>
      </w:r>
    </w:p>
    <w:p w14:paraId="458D7774" w14:textId="77777777" w:rsidR="009F3558" w:rsidRPr="00D140FE" w:rsidRDefault="009F3558" w:rsidP="002474DC">
      <w:pPr>
        <w:pStyle w:val="ListParagraph"/>
        <w:suppressAutoHyphens/>
        <w:ind w:left="0"/>
        <w:contextualSpacing w:val="0"/>
        <w:rPr>
          <w:rFonts w:cs="Arial"/>
          <w:lang w:val="fr-FR"/>
        </w:rPr>
      </w:pPr>
    </w:p>
    <w:p w14:paraId="32A3C89C" w14:textId="77777777" w:rsidR="00A93986" w:rsidRPr="00D140FE" w:rsidRDefault="00A93986" w:rsidP="00062281">
      <w:pPr>
        <w:widowControl/>
        <w:autoSpaceDE/>
        <w:autoSpaceDN/>
        <w:rPr>
          <w:rFonts w:ascii="Arial" w:hAnsi="Arial" w:cs="Arial"/>
          <w:sz w:val="22"/>
          <w:szCs w:val="22"/>
          <w:lang w:val="fr-FR"/>
        </w:rPr>
      </w:pPr>
    </w:p>
    <w:p w14:paraId="5053E4C2" w14:textId="3D69A9EE" w:rsidR="00A93986" w:rsidRPr="00D140FE" w:rsidRDefault="00840CA6" w:rsidP="002474DC">
      <w:pPr>
        <w:widowControl/>
        <w:autoSpaceDE/>
        <w:autoSpaceDN/>
        <w:jc w:val="center"/>
        <w:rPr>
          <w:rFonts w:ascii="Arial" w:hAnsi="Arial" w:cs="Arial"/>
          <w:sz w:val="22"/>
          <w:szCs w:val="22"/>
          <w:lang w:val="fr-FR"/>
        </w:rPr>
      </w:pPr>
      <w:r w:rsidRPr="00D140FE">
        <w:rPr>
          <w:rFonts w:ascii="Arial" w:hAnsi="Arial" w:cs="Arial"/>
          <w:sz w:val="22"/>
          <w:szCs w:val="22"/>
          <w:lang w:val="fr-FR"/>
        </w:rPr>
        <w:t xml:space="preserve">PROJET DE </w:t>
      </w:r>
      <w:r w:rsidR="00A93986" w:rsidRPr="00D140FE">
        <w:rPr>
          <w:rFonts w:ascii="Arial" w:hAnsi="Arial" w:cs="Arial"/>
          <w:sz w:val="22"/>
          <w:szCs w:val="22"/>
          <w:lang w:val="fr-FR"/>
        </w:rPr>
        <w:t>RÉSOLUTION</w:t>
      </w:r>
    </w:p>
    <w:p w14:paraId="3D7BC962" w14:textId="77777777" w:rsidR="00A93986" w:rsidRDefault="00A93986" w:rsidP="002474DC">
      <w:pPr>
        <w:widowControl/>
        <w:autoSpaceDE/>
        <w:autoSpaceDN/>
        <w:jc w:val="center"/>
        <w:rPr>
          <w:rFonts w:ascii="Arial" w:hAnsi="Arial" w:cs="Arial"/>
          <w:sz w:val="22"/>
          <w:szCs w:val="22"/>
          <w:highlight w:val="yellow"/>
          <w:lang w:val="fr-FR"/>
        </w:rPr>
      </w:pPr>
    </w:p>
    <w:p w14:paraId="43B2FF57" w14:textId="77777777" w:rsidR="00062281" w:rsidRPr="00D140FE" w:rsidRDefault="00062281" w:rsidP="002474DC">
      <w:pPr>
        <w:widowControl/>
        <w:autoSpaceDE/>
        <w:autoSpaceDN/>
        <w:jc w:val="center"/>
        <w:rPr>
          <w:rFonts w:ascii="Arial" w:hAnsi="Arial" w:cs="Arial"/>
          <w:sz w:val="22"/>
          <w:szCs w:val="22"/>
          <w:highlight w:val="yellow"/>
          <w:lang w:val="fr-FR"/>
        </w:rPr>
      </w:pPr>
    </w:p>
    <w:p w14:paraId="50E98573" w14:textId="77777777" w:rsidR="00A93986" w:rsidRPr="00D140FE" w:rsidRDefault="00A93986" w:rsidP="002474DC">
      <w:pPr>
        <w:widowControl/>
        <w:autoSpaceDE/>
        <w:autoSpaceDN/>
        <w:jc w:val="center"/>
        <w:rPr>
          <w:rFonts w:ascii="Arial" w:eastAsiaTheme="minorHAnsi" w:hAnsi="Arial" w:cs="Arial"/>
          <w:b/>
          <w:sz w:val="22"/>
          <w:szCs w:val="22"/>
          <w:lang w:val="fr-FR"/>
        </w:rPr>
      </w:pPr>
      <w:r w:rsidRPr="00D140FE">
        <w:rPr>
          <w:rFonts w:ascii="Arial" w:eastAsiaTheme="minorHAnsi" w:hAnsi="Arial" w:cs="Arial"/>
          <w:b/>
          <w:sz w:val="22"/>
          <w:szCs w:val="22"/>
          <w:lang w:val="fr-FR"/>
        </w:rPr>
        <w:t>RENFORCEMENT DE L’ENGAGEMENT AVEC LE FONDS POUR L’ENVIRONNEMENT MONDIAL</w:t>
      </w:r>
    </w:p>
    <w:p w14:paraId="29B1663E" w14:textId="77777777" w:rsidR="00A93986" w:rsidRPr="00D140FE" w:rsidRDefault="00A93986" w:rsidP="002474DC">
      <w:pPr>
        <w:widowControl/>
        <w:autoSpaceDE/>
        <w:autoSpaceDN/>
        <w:jc w:val="center"/>
        <w:rPr>
          <w:rFonts w:ascii="Arial" w:eastAsiaTheme="minorHAnsi" w:hAnsi="Arial" w:cs="Arial"/>
          <w:i/>
          <w:iCs/>
          <w:sz w:val="22"/>
          <w:szCs w:val="22"/>
          <w:highlight w:val="yellow"/>
          <w:lang w:val="fr-FR"/>
        </w:rPr>
      </w:pPr>
    </w:p>
    <w:p w14:paraId="2A8C1BAD" w14:textId="77777777" w:rsidR="00A93986" w:rsidRPr="00D140FE" w:rsidRDefault="00A93986" w:rsidP="002474DC">
      <w:pPr>
        <w:widowControl/>
        <w:autoSpaceDE/>
        <w:autoSpaceDN/>
        <w:jc w:val="center"/>
        <w:rPr>
          <w:rFonts w:ascii="Arial" w:hAnsi="Arial" w:cs="Arial"/>
          <w:sz w:val="22"/>
          <w:szCs w:val="22"/>
          <w:highlight w:val="yellow"/>
          <w:lang w:val="fr-FR"/>
        </w:rPr>
      </w:pPr>
    </w:p>
    <w:p w14:paraId="5C0E72D8"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r w:rsidRPr="00D140FE">
        <w:rPr>
          <w:rFonts w:ascii="Arial" w:eastAsiaTheme="minorHAnsi" w:hAnsi="Arial" w:cs="Arial"/>
          <w:i/>
          <w:iCs/>
          <w:sz w:val="22"/>
          <w:szCs w:val="22"/>
          <w:lang w:val="fr-FR"/>
        </w:rPr>
        <w:t xml:space="preserve">Mesurant </w:t>
      </w:r>
      <w:r w:rsidRPr="00D140FE">
        <w:rPr>
          <w:rFonts w:ascii="Arial" w:eastAsiaTheme="minorHAnsi" w:hAnsi="Arial" w:cs="Arial"/>
          <w:sz w:val="22"/>
          <w:szCs w:val="22"/>
          <w:lang w:val="fr-FR"/>
        </w:rPr>
        <w:t>le rôle crucial joué par les espèces migratrices, qui fournissent des services écosystémiques favorables au bien-être humain, et le besoin de mesures internationales coordonnées en vue de faire face aux pressions transfrontières qui menacent leur survie</w:t>
      </w:r>
      <w:r w:rsidRPr="00D140FE">
        <w:rPr>
          <w:rFonts w:ascii="Arial" w:eastAsiaTheme="minorHAnsi" w:hAnsi="Arial" w:cs="Arial"/>
          <w:i/>
          <w:iCs/>
          <w:sz w:val="22"/>
          <w:szCs w:val="22"/>
          <w:lang w:val="fr-FR"/>
        </w:rPr>
        <w:t xml:space="preserve">, </w:t>
      </w:r>
    </w:p>
    <w:p w14:paraId="3158AEBF"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p>
    <w:p w14:paraId="3B219CFE" w14:textId="77777777" w:rsidR="007C5FF3" w:rsidRPr="00D140FE" w:rsidRDefault="00A93986" w:rsidP="002474DC">
      <w:pPr>
        <w:widowControl/>
        <w:tabs>
          <w:tab w:val="left" w:pos="1066"/>
        </w:tabs>
        <w:autoSpaceDE/>
        <w:autoSpaceDN/>
        <w:jc w:val="both"/>
        <w:textAlignment w:val="auto"/>
        <w:rPr>
          <w:rFonts w:ascii="Arial" w:eastAsiaTheme="minorHAnsi" w:hAnsi="Arial" w:cs="Arial"/>
          <w:sz w:val="22"/>
          <w:szCs w:val="22"/>
          <w:lang w:val="fr-FR"/>
        </w:rPr>
      </w:pPr>
      <w:r w:rsidRPr="00D140FE">
        <w:rPr>
          <w:rFonts w:ascii="Arial" w:eastAsiaTheme="minorHAnsi" w:hAnsi="Arial" w:cs="Arial"/>
          <w:i/>
          <w:iCs/>
          <w:sz w:val="22"/>
          <w:szCs w:val="22"/>
          <w:lang w:val="fr-FR"/>
        </w:rPr>
        <w:t>Notant que l</w:t>
      </w:r>
      <w:r w:rsidRPr="00D140FE">
        <w:rPr>
          <w:rFonts w:ascii="Arial" w:eastAsiaTheme="minorHAnsi" w:hAnsi="Arial" w:cs="Arial"/>
          <w:sz w:val="22"/>
          <w:szCs w:val="22"/>
          <w:lang w:val="fr-FR"/>
        </w:rPr>
        <w:t>e Plan Stratégique de Samarcande pour les espèces migratrices 2024-2032 décèle de futures possibilités de financement pour les programmes de la Convention afin de garantir le rapport coût-efficacité et la viabilité à long terme des activités et initiatives de la CMS pour les neuf années à venir,</w:t>
      </w:r>
    </w:p>
    <w:p w14:paraId="2A54E54F" w14:textId="77777777" w:rsidR="007C5FF3" w:rsidRPr="00D140FE" w:rsidRDefault="007C5FF3" w:rsidP="002474DC">
      <w:pPr>
        <w:widowControl/>
        <w:tabs>
          <w:tab w:val="left" w:pos="1066"/>
        </w:tabs>
        <w:autoSpaceDE/>
        <w:autoSpaceDN/>
        <w:jc w:val="both"/>
        <w:textAlignment w:val="auto"/>
        <w:rPr>
          <w:rFonts w:ascii="Arial" w:eastAsiaTheme="minorHAnsi" w:hAnsi="Arial" w:cs="Arial"/>
          <w:sz w:val="22"/>
          <w:szCs w:val="22"/>
          <w:lang w:val="fr-FR"/>
        </w:rPr>
      </w:pPr>
    </w:p>
    <w:p w14:paraId="3234ACE7" w14:textId="13908542"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r w:rsidRPr="00B536F0">
        <w:rPr>
          <w:rFonts w:ascii="Arial" w:eastAsiaTheme="minorHAnsi" w:hAnsi="Arial" w:cs="Arial"/>
          <w:i/>
          <w:iCs/>
          <w:sz w:val="22"/>
          <w:szCs w:val="22"/>
          <w:lang w:val="fr-FR"/>
        </w:rPr>
        <w:t>Sachant</w:t>
      </w:r>
      <w:r w:rsidRPr="00D140FE">
        <w:rPr>
          <w:rFonts w:ascii="Arial" w:eastAsiaTheme="minorHAnsi" w:hAnsi="Arial" w:cs="Arial"/>
          <w:sz w:val="22"/>
          <w:szCs w:val="22"/>
          <w:lang w:val="fr-FR"/>
        </w:rPr>
        <w:t xml:space="preserve"> qu’il convient d’éviter de créer une charge supplémentaire en matière d’établissement de rapports, qui risquerait de détourner l’attention de la mise en œuvre</w:t>
      </w:r>
      <w:r w:rsidRPr="00D140FE">
        <w:rPr>
          <w:rFonts w:ascii="Arial" w:eastAsiaTheme="minorHAnsi" w:hAnsi="Arial" w:cs="Arial"/>
          <w:i/>
          <w:iCs/>
          <w:sz w:val="22"/>
          <w:szCs w:val="22"/>
          <w:lang w:val="fr-FR"/>
        </w:rPr>
        <w:t xml:space="preserve">, </w:t>
      </w:r>
    </w:p>
    <w:p w14:paraId="29D9F9C1"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p>
    <w:p w14:paraId="2A4F20CE" w14:textId="26E38EA3" w:rsidR="00A93986" w:rsidRPr="00D140FE" w:rsidRDefault="007C5FF3" w:rsidP="002474DC">
      <w:pPr>
        <w:widowControl/>
        <w:tabs>
          <w:tab w:val="left" w:pos="1066"/>
        </w:tabs>
        <w:autoSpaceDE/>
        <w:autoSpaceDN/>
        <w:jc w:val="both"/>
        <w:textAlignment w:val="auto"/>
        <w:rPr>
          <w:rFonts w:ascii="Arial" w:eastAsiaTheme="minorHAnsi" w:hAnsi="Arial" w:cs="Arial"/>
          <w:i/>
          <w:iCs/>
          <w:sz w:val="22"/>
          <w:szCs w:val="22"/>
          <w:lang w:val="fr-FR"/>
        </w:rPr>
      </w:pPr>
      <w:r w:rsidRPr="00D140FE">
        <w:rPr>
          <w:rFonts w:ascii="Arial" w:eastAsiaTheme="minorHAnsi" w:hAnsi="Arial" w:cs="Arial"/>
          <w:i/>
          <w:iCs/>
          <w:sz w:val="22"/>
          <w:szCs w:val="22"/>
          <w:lang w:val="fr-FR"/>
        </w:rPr>
        <w:t>Rappelant</w:t>
      </w:r>
      <w:r w:rsidR="00A93986" w:rsidRPr="00D140FE">
        <w:rPr>
          <w:rFonts w:ascii="Arial" w:eastAsiaTheme="minorHAnsi" w:hAnsi="Arial" w:cs="Arial"/>
          <w:i/>
          <w:iCs/>
          <w:sz w:val="22"/>
          <w:szCs w:val="22"/>
          <w:lang w:val="fr-FR"/>
        </w:rPr>
        <w:t xml:space="preserve"> </w:t>
      </w:r>
      <w:r w:rsidR="00A93986" w:rsidRPr="00D140FE">
        <w:rPr>
          <w:rFonts w:ascii="Arial" w:eastAsiaTheme="minorHAnsi" w:hAnsi="Arial" w:cs="Arial"/>
          <w:sz w:val="22"/>
          <w:szCs w:val="22"/>
          <w:lang w:val="fr-FR"/>
        </w:rPr>
        <w:t xml:space="preserve">que le manque de ressources </w:t>
      </w:r>
      <w:proofErr w:type="gramStart"/>
      <w:r w:rsidR="00A93986" w:rsidRPr="00D140FE">
        <w:rPr>
          <w:rFonts w:ascii="Arial" w:eastAsiaTheme="minorHAnsi" w:hAnsi="Arial" w:cs="Arial"/>
          <w:sz w:val="22"/>
          <w:szCs w:val="22"/>
          <w:lang w:val="fr-FR"/>
        </w:rPr>
        <w:t>a</w:t>
      </w:r>
      <w:proofErr w:type="gramEnd"/>
      <w:r w:rsidR="00A93986" w:rsidRPr="00D140FE">
        <w:rPr>
          <w:rFonts w:ascii="Arial" w:eastAsiaTheme="minorHAnsi" w:hAnsi="Arial" w:cs="Arial"/>
          <w:sz w:val="22"/>
          <w:szCs w:val="22"/>
          <w:lang w:val="fr-FR"/>
        </w:rPr>
        <w:t xml:space="preserve"> un effet contraignant proportionnellement plus important dans les pays en développement, alors que dans le même temps ces pays possèdent une diversité biologique parmi les plus riches et les plus vulnérables du monde, dont des espèces migratrices, </w:t>
      </w:r>
    </w:p>
    <w:p w14:paraId="38AA4173"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p>
    <w:p w14:paraId="769D9E9C"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r w:rsidRPr="00D140FE">
        <w:rPr>
          <w:rFonts w:ascii="Arial" w:eastAsiaTheme="minorHAnsi" w:hAnsi="Arial" w:cs="Arial"/>
          <w:i/>
          <w:iCs/>
          <w:sz w:val="22"/>
          <w:szCs w:val="22"/>
          <w:lang w:val="fr-FR"/>
        </w:rPr>
        <w:t xml:space="preserve">Rappelant </w:t>
      </w:r>
      <w:r w:rsidRPr="00D140FE">
        <w:rPr>
          <w:rFonts w:ascii="Arial" w:eastAsiaTheme="minorHAnsi" w:hAnsi="Arial" w:cs="Arial"/>
          <w:sz w:val="22"/>
          <w:szCs w:val="22"/>
          <w:lang w:val="fr-FR"/>
        </w:rPr>
        <w:t>que la Conférence des Parties à la Convention sur la diversité biologique (CDB) a, dans ses décisions VI/20 et X/20, reconnu la CMS comme premier partenaire en matière de conservation et d’utilisation durable des espèces migratrices et que de nombreuses priorités de la CMS sont des éléments importants du Cadre mondial de la biodiversité de Kunming-Montréal,</w:t>
      </w:r>
      <w:r w:rsidRPr="00D140FE">
        <w:rPr>
          <w:rFonts w:ascii="Arial" w:eastAsiaTheme="minorHAnsi" w:hAnsi="Arial" w:cs="Arial"/>
          <w:i/>
          <w:iCs/>
          <w:sz w:val="22"/>
          <w:szCs w:val="22"/>
          <w:lang w:val="fr-FR"/>
        </w:rPr>
        <w:t xml:space="preserve"> </w:t>
      </w:r>
    </w:p>
    <w:p w14:paraId="17DAAB9A"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p>
    <w:p w14:paraId="3AF60032" w14:textId="4F44B90E"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r w:rsidRPr="00D140FE">
        <w:rPr>
          <w:rFonts w:ascii="Arial" w:eastAsiaTheme="minorHAnsi" w:hAnsi="Arial" w:cs="Arial"/>
          <w:i/>
          <w:iCs/>
          <w:sz w:val="22"/>
          <w:szCs w:val="22"/>
          <w:lang w:val="fr-FR"/>
        </w:rPr>
        <w:t xml:space="preserve">Exprimant sa satisfaction </w:t>
      </w:r>
      <w:r w:rsidRPr="00D140FE">
        <w:rPr>
          <w:rFonts w:ascii="Arial" w:eastAsiaTheme="minorHAnsi" w:hAnsi="Arial" w:cs="Arial"/>
          <w:sz w:val="22"/>
          <w:szCs w:val="22"/>
          <w:lang w:val="fr-FR"/>
        </w:rPr>
        <w:t>vis-à-vis des directives de programmation de la huitième reconstitution du Fonds d’affectation spéciale du Fonds pour l’environnement mondial (FEM-8, de juillet 2022 à juin 2026), dont ses programmes intégrés et ses domaines d’intervention, qui fournissent des points d’entrée multiples pour la mise en œuvre de nombreux mandats de la CMS,</w:t>
      </w:r>
    </w:p>
    <w:p w14:paraId="0A72626C"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iCs/>
          <w:sz w:val="22"/>
          <w:szCs w:val="22"/>
          <w:lang w:val="fr-FR"/>
        </w:rPr>
      </w:pPr>
    </w:p>
    <w:p w14:paraId="61367E0F" w14:textId="6AE787D7" w:rsidR="00A93986" w:rsidRPr="00D140FE" w:rsidRDefault="00A93986" w:rsidP="002474DC">
      <w:pPr>
        <w:widowControl/>
        <w:tabs>
          <w:tab w:val="left" w:pos="1066"/>
        </w:tabs>
        <w:autoSpaceDE/>
        <w:autoSpaceDN/>
        <w:jc w:val="both"/>
        <w:textAlignment w:val="auto"/>
        <w:rPr>
          <w:rFonts w:ascii="Arial" w:eastAsiaTheme="minorHAnsi" w:hAnsi="Arial" w:cs="Arial"/>
          <w:sz w:val="22"/>
          <w:szCs w:val="22"/>
          <w:lang w:val="fr-FR"/>
        </w:rPr>
      </w:pPr>
      <w:r w:rsidRPr="00D140FE">
        <w:rPr>
          <w:rFonts w:ascii="Arial" w:eastAsiaTheme="minorHAnsi" w:hAnsi="Arial" w:cs="Arial"/>
          <w:i/>
          <w:iCs/>
          <w:sz w:val="22"/>
          <w:szCs w:val="22"/>
          <w:lang w:val="fr-FR"/>
        </w:rPr>
        <w:t>Saluant l</w:t>
      </w:r>
      <w:r w:rsidRPr="00D140FE">
        <w:rPr>
          <w:rFonts w:ascii="Arial" w:eastAsiaTheme="minorHAnsi" w:hAnsi="Arial" w:cs="Arial"/>
          <w:sz w:val="22"/>
          <w:szCs w:val="22"/>
          <w:lang w:val="fr-FR"/>
        </w:rPr>
        <w:t>a participation du Secrétariat de la CMS au comité directeur pour la mise en œuvre du Programme intégré FEM-8 sur la conservation de la vie sauvage pour le développement dirigé par la Banque mondiale,</w:t>
      </w:r>
      <w:r w:rsidR="00045F82">
        <w:rPr>
          <w:rFonts w:ascii="Arial" w:eastAsiaTheme="minorHAnsi" w:hAnsi="Arial" w:cs="Arial"/>
          <w:sz w:val="22"/>
          <w:szCs w:val="22"/>
          <w:lang w:val="fr-FR"/>
        </w:rPr>
        <w:t xml:space="preserve"> </w:t>
      </w:r>
    </w:p>
    <w:p w14:paraId="7B74751A" w14:textId="77777777" w:rsidR="007C5FF3" w:rsidRPr="00D140FE" w:rsidRDefault="007C5FF3" w:rsidP="002474DC">
      <w:pPr>
        <w:widowControl/>
        <w:tabs>
          <w:tab w:val="left" w:pos="1066"/>
        </w:tabs>
        <w:autoSpaceDE/>
        <w:autoSpaceDN/>
        <w:jc w:val="both"/>
        <w:textAlignment w:val="auto"/>
        <w:rPr>
          <w:rFonts w:ascii="Arial" w:eastAsiaTheme="minorHAnsi" w:hAnsi="Arial" w:cs="Arial"/>
          <w:sz w:val="22"/>
          <w:szCs w:val="22"/>
          <w:lang w:val="fr-FR"/>
        </w:rPr>
      </w:pPr>
    </w:p>
    <w:p w14:paraId="30029A38" w14:textId="1D5479DF" w:rsidR="007C5FF3" w:rsidRPr="00D140FE" w:rsidRDefault="007C5FF3" w:rsidP="002474DC">
      <w:pPr>
        <w:widowControl/>
        <w:tabs>
          <w:tab w:val="left" w:pos="1066"/>
        </w:tabs>
        <w:autoSpaceDE/>
        <w:autoSpaceDN/>
        <w:jc w:val="both"/>
        <w:textAlignment w:val="auto"/>
        <w:rPr>
          <w:rFonts w:ascii="Arial" w:eastAsiaTheme="minorHAnsi" w:hAnsi="Arial" w:cs="Arial"/>
          <w:sz w:val="22"/>
          <w:szCs w:val="22"/>
          <w:lang w:val="fr-FR"/>
        </w:rPr>
      </w:pPr>
      <w:r w:rsidRPr="00D140FE">
        <w:rPr>
          <w:rFonts w:ascii="Arial" w:eastAsiaTheme="minorHAnsi" w:hAnsi="Arial" w:cs="Arial"/>
          <w:i/>
          <w:iCs/>
          <w:sz w:val="22"/>
          <w:szCs w:val="22"/>
          <w:lang w:val="fr-FR"/>
        </w:rPr>
        <w:t>Cons</w:t>
      </w:r>
      <w:r w:rsidR="00413940" w:rsidRPr="00D140FE">
        <w:rPr>
          <w:rFonts w:ascii="Arial" w:eastAsiaTheme="minorHAnsi" w:hAnsi="Arial" w:cs="Arial"/>
          <w:i/>
          <w:iCs/>
          <w:sz w:val="22"/>
          <w:szCs w:val="22"/>
          <w:lang w:val="fr-FR"/>
        </w:rPr>
        <w:t>idérant</w:t>
      </w:r>
      <w:r w:rsidRPr="00D140FE">
        <w:rPr>
          <w:rFonts w:ascii="Arial" w:eastAsiaTheme="minorHAnsi" w:hAnsi="Arial" w:cs="Arial"/>
          <w:sz w:val="22"/>
          <w:szCs w:val="22"/>
          <w:lang w:val="fr-FR"/>
        </w:rPr>
        <w:t xml:space="preserve"> qu'il importe que les Parties tiennent davantage compte des priorités liées à la CMS lorsqu'elles sollicitent un financement du FEM,</w:t>
      </w:r>
      <w:r w:rsidR="00382CEA">
        <w:rPr>
          <w:rFonts w:ascii="Arial" w:eastAsiaTheme="minorHAnsi" w:hAnsi="Arial" w:cs="Arial"/>
          <w:sz w:val="22"/>
          <w:szCs w:val="22"/>
          <w:lang w:val="fr-FR"/>
        </w:rPr>
        <w:t xml:space="preserve"> </w:t>
      </w:r>
    </w:p>
    <w:p w14:paraId="028EE177" w14:textId="77777777" w:rsidR="00A93986" w:rsidRPr="00D140FE" w:rsidRDefault="00A93986" w:rsidP="002474DC">
      <w:pPr>
        <w:widowControl/>
        <w:tabs>
          <w:tab w:val="left" w:pos="1066"/>
        </w:tabs>
        <w:autoSpaceDE/>
        <w:autoSpaceDN/>
        <w:jc w:val="both"/>
        <w:textAlignment w:val="auto"/>
        <w:rPr>
          <w:rFonts w:ascii="Arial" w:eastAsiaTheme="minorHAnsi" w:hAnsi="Arial" w:cs="Arial"/>
          <w:sz w:val="22"/>
          <w:szCs w:val="22"/>
          <w:lang w:val="fr-FR"/>
        </w:rPr>
      </w:pPr>
    </w:p>
    <w:p w14:paraId="2D1C2E07" w14:textId="32F8DB9E" w:rsidR="00413940" w:rsidRPr="00B536F0" w:rsidRDefault="00413940" w:rsidP="002474DC">
      <w:pPr>
        <w:widowControl/>
        <w:tabs>
          <w:tab w:val="left" w:pos="1066"/>
        </w:tabs>
        <w:autoSpaceDE/>
        <w:autoSpaceDN/>
        <w:jc w:val="both"/>
        <w:textAlignment w:val="auto"/>
        <w:rPr>
          <w:rFonts w:ascii="Arial" w:eastAsiaTheme="minorHAnsi" w:hAnsi="Arial" w:cs="Arial"/>
          <w:sz w:val="22"/>
          <w:szCs w:val="22"/>
          <w:lang w:val="fr-FR"/>
        </w:rPr>
      </w:pPr>
      <w:r w:rsidRPr="00B536F0">
        <w:rPr>
          <w:rFonts w:ascii="Arial" w:eastAsiaTheme="minorHAnsi" w:hAnsi="Arial" w:cs="Arial"/>
          <w:i/>
          <w:iCs/>
          <w:sz w:val="22"/>
          <w:szCs w:val="22"/>
          <w:lang w:val="fr-FR"/>
        </w:rPr>
        <w:t>Constatant</w:t>
      </w:r>
      <w:r w:rsidRPr="00B536F0">
        <w:rPr>
          <w:rFonts w:ascii="Arial" w:eastAsiaTheme="minorHAnsi" w:hAnsi="Arial" w:cs="Arial"/>
          <w:sz w:val="22"/>
          <w:szCs w:val="22"/>
          <w:lang w:val="fr-FR"/>
        </w:rPr>
        <w:t xml:space="preserve"> que </w:t>
      </w:r>
      <w:r w:rsidR="00A93986" w:rsidRPr="00B536F0">
        <w:rPr>
          <w:rFonts w:ascii="Arial" w:eastAsiaTheme="minorHAnsi" w:hAnsi="Arial" w:cs="Arial"/>
          <w:sz w:val="22"/>
          <w:szCs w:val="22"/>
          <w:lang w:val="fr-FR"/>
        </w:rPr>
        <w:t xml:space="preserve">la CMS </w:t>
      </w:r>
      <w:r w:rsidRPr="00B536F0">
        <w:rPr>
          <w:rFonts w:ascii="Arial" w:eastAsiaTheme="minorHAnsi" w:hAnsi="Arial" w:cs="Arial"/>
          <w:sz w:val="22"/>
          <w:szCs w:val="22"/>
          <w:lang w:val="fr-FR"/>
        </w:rPr>
        <w:t xml:space="preserve">ne dispose pas </w:t>
      </w:r>
      <w:r w:rsidR="00A93986" w:rsidRPr="00B536F0">
        <w:rPr>
          <w:rFonts w:ascii="Arial" w:eastAsiaTheme="minorHAnsi" w:hAnsi="Arial" w:cs="Arial"/>
          <w:sz w:val="22"/>
          <w:szCs w:val="22"/>
          <w:lang w:val="fr-FR"/>
        </w:rPr>
        <w:t xml:space="preserve">d'un mécanisme financier </w:t>
      </w:r>
      <w:r w:rsidRPr="00B536F0">
        <w:rPr>
          <w:rFonts w:ascii="Arial" w:eastAsiaTheme="minorHAnsi" w:hAnsi="Arial" w:cs="Arial"/>
          <w:sz w:val="22"/>
          <w:szCs w:val="22"/>
          <w:lang w:val="fr-FR"/>
        </w:rPr>
        <w:t>consacré à la mise</w:t>
      </w:r>
      <w:r w:rsidR="00A93986" w:rsidRPr="00B536F0">
        <w:rPr>
          <w:rFonts w:ascii="Arial" w:eastAsiaTheme="minorHAnsi" w:hAnsi="Arial" w:cs="Arial"/>
          <w:sz w:val="22"/>
          <w:szCs w:val="22"/>
          <w:lang w:val="fr-FR"/>
        </w:rPr>
        <w:t xml:space="preserve"> en œuvre au niveau national </w:t>
      </w:r>
      <w:r w:rsidR="00BB3AD7" w:rsidRPr="00B536F0">
        <w:rPr>
          <w:rFonts w:ascii="Arial" w:eastAsiaTheme="minorHAnsi" w:hAnsi="Arial" w:cs="Arial"/>
          <w:sz w:val="22"/>
          <w:szCs w:val="22"/>
          <w:lang w:val="fr-FR"/>
        </w:rPr>
        <w:t>d’</w:t>
      </w:r>
      <w:r w:rsidR="00A93986" w:rsidRPr="00B536F0">
        <w:rPr>
          <w:rFonts w:ascii="Arial" w:eastAsiaTheme="minorHAnsi" w:hAnsi="Arial" w:cs="Arial"/>
          <w:sz w:val="22"/>
          <w:szCs w:val="22"/>
          <w:lang w:val="fr-FR"/>
        </w:rPr>
        <w:t xml:space="preserve">engagements internationaux </w:t>
      </w:r>
      <w:r w:rsidR="00B536F0">
        <w:rPr>
          <w:rFonts w:ascii="Arial" w:eastAsiaTheme="minorHAnsi" w:hAnsi="Arial" w:cs="Arial"/>
          <w:sz w:val="22"/>
          <w:szCs w:val="22"/>
          <w:lang w:val="fr-FR"/>
        </w:rPr>
        <w:t>relatifs à</w:t>
      </w:r>
      <w:r w:rsidR="00BB3AD7" w:rsidRPr="00B536F0">
        <w:rPr>
          <w:rFonts w:ascii="Arial" w:eastAsiaTheme="minorHAnsi" w:hAnsi="Arial" w:cs="Arial"/>
          <w:sz w:val="22"/>
          <w:szCs w:val="22"/>
          <w:lang w:val="fr-FR"/>
        </w:rPr>
        <w:t xml:space="preserve"> l’environnement</w:t>
      </w:r>
      <w:r w:rsidR="009F7B80">
        <w:rPr>
          <w:rFonts w:ascii="Arial" w:eastAsiaTheme="minorHAnsi" w:hAnsi="Arial" w:cs="Arial"/>
          <w:sz w:val="22"/>
          <w:szCs w:val="22"/>
          <w:lang w:val="fr-FR"/>
        </w:rPr>
        <w:t>,</w:t>
      </w:r>
      <w:r w:rsidRPr="00B536F0">
        <w:rPr>
          <w:rFonts w:ascii="Arial" w:eastAsiaTheme="minorHAnsi" w:hAnsi="Arial" w:cs="Arial"/>
          <w:sz w:val="22"/>
          <w:szCs w:val="22"/>
          <w:lang w:val="fr-FR"/>
        </w:rPr>
        <w:t xml:space="preserve"> </w:t>
      </w:r>
    </w:p>
    <w:p w14:paraId="2D1E9D35" w14:textId="77777777" w:rsidR="00413940" w:rsidRPr="00413940" w:rsidRDefault="00413940" w:rsidP="002474DC">
      <w:pPr>
        <w:widowControl/>
        <w:tabs>
          <w:tab w:val="left" w:pos="1066"/>
        </w:tabs>
        <w:autoSpaceDE/>
        <w:autoSpaceDN/>
        <w:jc w:val="both"/>
        <w:textAlignment w:val="auto"/>
        <w:rPr>
          <w:rFonts w:ascii="Arial" w:eastAsiaTheme="minorHAnsi" w:hAnsi="Arial" w:cs="Arial"/>
          <w:sz w:val="22"/>
          <w:szCs w:val="22"/>
          <w:u w:val="single"/>
          <w:lang w:val="fr-FR"/>
        </w:rPr>
      </w:pPr>
    </w:p>
    <w:p w14:paraId="3E6C47CE" w14:textId="0A81CBDB" w:rsidR="00A93986" w:rsidRPr="00D140FE" w:rsidRDefault="00A93986" w:rsidP="002474DC">
      <w:pPr>
        <w:widowControl/>
        <w:tabs>
          <w:tab w:val="left" w:pos="1066"/>
        </w:tabs>
        <w:autoSpaceDE/>
        <w:autoSpaceDN/>
        <w:jc w:val="both"/>
        <w:textAlignment w:val="auto"/>
        <w:rPr>
          <w:rFonts w:ascii="Arial" w:eastAsiaTheme="minorHAnsi" w:hAnsi="Arial" w:cs="Arial"/>
          <w:sz w:val="22"/>
          <w:szCs w:val="22"/>
          <w:u w:val="single"/>
          <w:lang w:val="fr-FR"/>
        </w:rPr>
      </w:pPr>
    </w:p>
    <w:p w14:paraId="5B0B7ECE" w14:textId="77777777" w:rsidR="00A93986" w:rsidRPr="00D140FE" w:rsidRDefault="00A93986" w:rsidP="002474DC">
      <w:pPr>
        <w:widowControl/>
        <w:tabs>
          <w:tab w:val="left" w:pos="1066"/>
        </w:tabs>
        <w:autoSpaceDE/>
        <w:autoSpaceDN/>
        <w:jc w:val="both"/>
        <w:textAlignment w:val="auto"/>
        <w:rPr>
          <w:rFonts w:ascii="Arial" w:eastAsiaTheme="minorHAnsi" w:hAnsi="Arial" w:cs="Arial"/>
          <w:i/>
          <w:sz w:val="22"/>
          <w:szCs w:val="22"/>
          <w:lang w:val="fr-FR"/>
        </w:rPr>
      </w:pPr>
      <w:r w:rsidRPr="00D140FE">
        <w:rPr>
          <w:rFonts w:ascii="Arial" w:eastAsiaTheme="minorHAnsi" w:hAnsi="Arial" w:cs="Arial"/>
          <w:i/>
          <w:sz w:val="22"/>
          <w:szCs w:val="22"/>
          <w:lang w:val="fr-FR"/>
        </w:rPr>
        <w:br w:type="page"/>
      </w:r>
    </w:p>
    <w:p w14:paraId="630C94ED" w14:textId="65F609B9" w:rsidR="00A93986" w:rsidRPr="00D140FE" w:rsidRDefault="00A93986" w:rsidP="002474DC">
      <w:pPr>
        <w:widowControl/>
        <w:autoSpaceDE/>
        <w:autoSpaceDN/>
        <w:jc w:val="center"/>
        <w:textAlignment w:val="auto"/>
        <w:rPr>
          <w:rFonts w:ascii="Arial" w:eastAsiaTheme="minorHAnsi" w:hAnsi="Arial" w:cs="Arial"/>
          <w:i/>
          <w:sz w:val="22"/>
          <w:szCs w:val="22"/>
          <w:lang w:val="fr-FR"/>
        </w:rPr>
      </w:pPr>
      <w:r w:rsidRPr="00D140FE">
        <w:rPr>
          <w:rFonts w:ascii="Arial" w:eastAsiaTheme="minorHAnsi" w:hAnsi="Arial" w:cs="Arial"/>
          <w:i/>
          <w:sz w:val="22"/>
          <w:szCs w:val="22"/>
          <w:lang w:val="fr-FR"/>
        </w:rPr>
        <w:lastRenderedPageBreak/>
        <w:t>La Conférence des Parties à la</w:t>
      </w:r>
    </w:p>
    <w:p w14:paraId="74BA3E1B" w14:textId="77777777" w:rsidR="00A93986" w:rsidRPr="00D140FE" w:rsidRDefault="00A93986" w:rsidP="002474DC">
      <w:pPr>
        <w:widowControl/>
        <w:autoSpaceDE/>
        <w:autoSpaceDN/>
        <w:jc w:val="center"/>
        <w:textAlignment w:val="auto"/>
        <w:rPr>
          <w:rFonts w:ascii="Arial" w:eastAsiaTheme="minorHAnsi" w:hAnsi="Arial" w:cs="Arial"/>
          <w:i/>
          <w:sz w:val="22"/>
          <w:szCs w:val="22"/>
          <w:lang w:val="fr-FR"/>
        </w:rPr>
      </w:pPr>
      <w:r w:rsidRPr="00D140FE">
        <w:rPr>
          <w:rFonts w:ascii="Arial" w:eastAsiaTheme="minorHAnsi" w:hAnsi="Arial" w:cs="Arial"/>
          <w:i/>
          <w:sz w:val="22"/>
          <w:szCs w:val="22"/>
          <w:lang w:val="fr-FR"/>
        </w:rPr>
        <w:t>Convention sur la conservation des espèces migratrices appartenant à la faune sauvage</w:t>
      </w:r>
    </w:p>
    <w:p w14:paraId="27ED953C" w14:textId="77777777" w:rsidR="00A93986" w:rsidRPr="00D140FE" w:rsidRDefault="00A93986" w:rsidP="002474DC">
      <w:pPr>
        <w:widowControl/>
        <w:autoSpaceDE/>
        <w:autoSpaceDN/>
        <w:jc w:val="both"/>
        <w:textAlignment w:val="auto"/>
        <w:rPr>
          <w:rFonts w:ascii="Arial" w:eastAsiaTheme="minorHAnsi" w:hAnsi="Arial" w:cs="Arial"/>
          <w:i/>
          <w:sz w:val="22"/>
          <w:szCs w:val="22"/>
          <w:lang w:val="fr-FR"/>
        </w:rPr>
      </w:pPr>
    </w:p>
    <w:p w14:paraId="6082E959" w14:textId="77777777" w:rsidR="00A93986" w:rsidRPr="00D140FE" w:rsidRDefault="00A93986" w:rsidP="002474DC">
      <w:pPr>
        <w:widowControl/>
        <w:autoSpaceDE/>
        <w:autoSpaceDN/>
        <w:jc w:val="both"/>
        <w:textAlignment w:val="auto"/>
        <w:rPr>
          <w:rFonts w:ascii="Arial" w:eastAsiaTheme="minorHAnsi" w:hAnsi="Arial" w:cs="Arial"/>
          <w:sz w:val="22"/>
          <w:szCs w:val="22"/>
          <w:lang w:val="fr-FR"/>
        </w:rPr>
      </w:pPr>
    </w:p>
    <w:p w14:paraId="193EF146" w14:textId="06DCBAD2" w:rsidR="00A93986" w:rsidRPr="00D140FE" w:rsidRDefault="00A93986" w:rsidP="00F34E63">
      <w:pPr>
        <w:widowControl/>
        <w:autoSpaceDE/>
        <w:autoSpaceDN/>
        <w:ind w:left="567" w:hanging="567"/>
        <w:jc w:val="both"/>
        <w:rPr>
          <w:rFonts w:ascii="Arial" w:eastAsiaTheme="minorHAnsi" w:hAnsi="Arial" w:cs="Arial"/>
          <w:i/>
          <w:iCs/>
          <w:sz w:val="22"/>
          <w:szCs w:val="22"/>
          <w:lang w:val="fr-FR"/>
        </w:rPr>
      </w:pPr>
      <w:r w:rsidRPr="00D140FE">
        <w:rPr>
          <w:rFonts w:ascii="Arial" w:eastAsiaTheme="minorHAnsi" w:hAnsi="Arial" w:cs="Arial"/>
          <w:sz w:val="22"/>
          <w:szCs w:val="22"/>
          <w:lang w:val="fr-FR"/>
        </w:rPr>
        <w:t>1.</w:t>
      </w:r>
      <w:r w:rsidRPr="00D140FE">
        <w:rPr>
          <w:rFonts w:ascii="Arial" w:eastAsiaTheme="minorHAnsi" w:hAnsi="Arial" w:cs="Arial"/>
          <w:i/>
          <w:iCs/>
          <w:sz w:val="22"/>
          <w:szCs w:val="22"/>
          <w:lang w:val="fr-FR"/>
        </w:rPr>
        <w:tab/>
        <w:t xml:space="preserve">Encourage </w:t>
      </w:r>
      <w:r w:rsidRPr="00D140FE">
        <w:rPr>
          <w:rFonts w:ascii="Arial" w:eastAsiaTheme="minorHAnsi" w:hAnsi="Arial" w:cs="Arial"/>
          <w:sz w:val="22"/>
          <w:szCs w:val="22"/>
          <w:lang w:val="fr-FR"/>
        </w:rPr>
        <w:t>les points focaux nationaux de la CMS à rechercher des occasions de renforcer le dialogue avec les points focaux nationaux de la CDB et du FEM, dans l’optique d’attirer l’attention sur la hiérarchisation des priorités et la prise de décisions en matière de financement par le FEM aux niveaux national et régional pour ce qui est des besoins des espèces migratrices, des possibilités qui se présentent en faveur de leur conservation et de leur utilisation durable, conformément au Plan stratégique de Samarcande pour les espèces migratrices 2024-2032</w:t>
      </w:r>
      <w:r w:rsidR="009F7B80">
        <w:rPr>
          <w:rFonts w:ascii="Arial" w:eastAsiaTheme="minorHAnsi" w:hAnsi="Arial" w:cs="Arial"/>
          <w:i/>
          <w:iCs/>
          <w:sz w:val="22"/>
          <w:szCs w:val="22"/>
          <w:lang w:val="fr-FR"/>
        </w:rPr>
        <w:t> </w:t>
      </w:r>
      <w:r w:rsidRPr="00D140FE">
        <w:rPr>
          <w:rFonts w:ascii="Arial" w:eastAsiaTheme="minorHAnsi" w:hAnsi="Arial" w:cs="Arial"/>
          <w:i/>
          <w:iCs/>
          <w:sz w:val="22"/>
          <w:szCs w:val="22"/>
          <w:lang w:val="fr-FR"/>
        </w:rPr>
        <w:t>;</w:t>
      </w:r>
    </w:p>
    <w:p w14:paraId="1EBABA29" w14:textId="77777777" w:rsidR="00A93986" w:rsidRPr="00D140FE" w:rsidRDefault="00A93986" w:rsidP="00F34E63">
      <w:pPr>
        <w:widowControl/>
        <w:autoSpaceDE/>
        <w:autoSpaceDN/>
        <w:ind w:left="567" w:hanging="567"/>
        <w:jc w:val="both"/>
        <w:rPr>
          <w:rFonts w:ascii="Arial" w:hAnsi="Arial" w:cs="Arial"/>
          <w:sz w:val="22"/>
          <w:szCs w:val="22"/>
          <w:lang w:val="fr-FR"/>
        </w:rPr>
      </w:pPr>
    </w:p>
    <w:p w14:paraId="7C84856A" w14:textId="260167D8" w:rsidR="00A93986" w:rsidRPr="00D140FE" w:rsidRDefault="00A93986" w:rsidP="002F3D0F">
      <w:pPr>
        <w:widowControl/>
        <w:autoSpaceDE/>
        <w:autoSpaceDN/>
        <w:spacing w:after="80"/>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2</w:t>
      </w:r>
      <w:r w:rsidRPr="00D140FE">
        <w:rPr>
          <w:rFonts w:ascii="Arial" w:eastAsiaTheme="minorHAnsi" w:hAnsi="Arial" w:cs="Arial"/>
          <w:i/>
          <w:iCs/>
          <w:sz w:val="22"/>
          <w:szCs w:val="22"/>
          <w:lang w:val="fr-FR"/>
        </w:rPr>
        <w:t>.</w:t>
      </w:r>
      <w:r w:rsidRPr="00D140FE">
        <w:rPr>
          <w:rFonts w:ascii="Arial" w:eastAsiaTheme="minorHAnsi" w:hAnsi="Arial" w:cs="Arial"/>
          <w:i/>
          <w:iCs/>
          <w:sz w:val="22"/>
          <w:szCs w:val="22"/>
          <w:lang w:val="fr-FR"/>
        </w:rPr>
        <w:tab/>
        <w:t xml:space="preserve">Incite également </w:t>
      </w:r>
      <w:r w:rsidRPr="00AB434D">
        <w:rPr>
          <w:rFonts w:ascii="Arial" w:eastAsiaTheme="minorHAnsi" w:hAnsi="Arial" w:cs="Arial"/>
          <w:sz w:val="22"/>
          <w:szCs w:val="22"/>
          <w:lang w:val="fr-FR"/>
        </w:rPr>
        <w:t>les</w:t>
      </w:r>
      <w:r w:rsidRPr="00D140FE">
        <w:rPr>
          <w:rFonts w:ascii="Arial" w:eastAsiaTheme="minorHAnsi" w:hAnsi="Arial" w:cs="Arial"/>
          <w:sz w:val="22"/>
          <w:szCs w:val="22"/>
          <w:lang w:val="fr-FR"/>
        </w:rPr>
        <w:t xml:space="preserve"> points focaux nationaux de la CMS intéressés à renforcer la collaboration avec les points focaux nationaux de la CDB et du FEM en vue de sélectionner les options disponibles dans le cadre des domaines d’intervention et des programmes intégrés pertinents du FEM, et notamment à</w:t>
      </w:r>
      <w:r w:rsidR="009F7B80">
        <w:rPr>
          <w:rFonts w:ascii="Arial" w:eastAsiaTheme="minorHAnsi" w:hAnsi="Arial" w:cs="Arial"/>
          <w:sz w:val="22"/>
          <w:szCs w:val="22"/>
          <w:lang w:val="fr-FR"/>
        </w:rPr>
        <w:t> </w:t>
      </w:r>
      <w:r w:rsidRPr="00D140FE">
        <w:rPr>
          <w:rFonts w:ascii="Arial" w:eastAsiaTheme="minorHAnsi" w:hAnsi="Arial" w:cs="Arial"/>
          <w:sz w:val="22"/>
          <w:szCs w:val="22"/>
          <w:lang w:val="fr-FR"/>
        </w:rPr>
        <w:t xml:space="preserve">: </w:t>
      </w:r>
    </w:p>
    <w:p w14:paraId="02FF4180" w14:textId="679F3A87" w:rsidR="00A93986" w:rsidRPr="00D140FE" w:rsidRDefault="00A93986" w:rsidP="002F3D0F">
      <w:pPr>
        <w:widowControl/>
        <w:numPr>
          <w:ilvl w:val="0"/>
          <w:numId w:val="7"/>
        </w:numPr>
        <w:autoSpaceDE/>
        <w:autoSpaceDN/>
        <w:spacing w:after="80"/>
        <w:ind w:left="1134" w:hanging="567"/>
        <w:jc w:val="both"/>
        <w:textAlignment w:val="auto"/>
        <w:rPr>
          <w:rFonts w:ascii="Arial" w:eastAsiaTheme="minorHAnsi" w:hAnsi="Arial" w:cs="Arial"/>
          <w:sz w:val="22"/>
          <w:szCs w:val="22"/>
          <w:lang w:val="fr-FR"/>
        </w:rPr>
      </w:pPr>
      <w:r w:rsidRPr="00D140FE">
        <w:rPr>
          <w:rFonts w:ascii="Arial" w:eastAsiaTheme="minorHAnsi" w:hAnsi="Arial" w:cs="Arial"/>
          <w:sz w:val="22"/>
          <w:szCs w:val="22"/>
          <w:lang w:val="fr-FR"/>
        </w:rPr>
        <w:t>mûrir des projets axés sur l’habitat</w:t>
      </w:r>
      <w:r w:rsidR="009F7B80">
        <w:rPr>
          <w:rFonts w:ascii="Arial" w:eastAsiaTheme="minorHAnsi" w:hAnsi="Arial" w:cs="Arial"/>
          <w:sz w:val="22"/>
          <w:szCs w:val="22"/>
          <w:lang w:val="fr-FR"/>
        </w:rPr>
        <w:t> </w:t>
      </w:r>
      <w:r w:rsidRPr="00D140FE">
        <w:rPr>
          <w:rFonts w:ascii="Arial" w:eastAsiaTheme="minorHAnsi" w:hAnsi="Arial" w:cs="Arial"/>
          <w:sz w:val="22"/>
          <w:szCs w:val="22"/>
          <w:lang w:val="fr-FR"/>
        </w:rPr>
        <w:t xml:space="preserve">; </w:t>
      </w:r>
    </w:p>
    <w:p w14:paraId="15808712" w14:textId="12265991" w:rsidR="00A93986" w:rsidRPr="00D140FE" w:rsidRDefault="00A93986" w:rsidP="002F3D0F">
      <w:pPr>
        <w:widowControl/>
        <w:numPr>
          <w:ilvl w:val="0"/>
          <w:numId w:val="7"/>
        </w:numPr>
        <w:autoSpaceDE/>
        <w:autoSpaceDN/>
        <w:spacing w:after="80"/>
        <w:ind w:left="1134" w:hanging="567"/>
        <w:jc w:val="both"/>
        <w:textAlignment w:val="auto"/>
        <w:rPr>
          <w:rFonts w:ascii="Arial" w:eastAsiaTheme="minorHAnsi" w:hAnsi="Arial" w:cs="Arial"/>
          <w:sz w:val="22"/>
          <w:szCs w:val="22"/>
          <w:lang w:val="fr-FR"/>
        </w:rPr>
      </w:pPr>
      <w:r w:rsidRPr="00D140FE">
        <w:rPr>
          <w:rFonts w:ascii="Arial" w:eastAsiaTheme="minorHAnsi" w:hAnsi="Arial" w:cs="Arial"/>
          <w:sz w:val="22"/>
          <w:szCs w:val="22"/>
          <w:lang w:val="fr-FR"/>
        </w:rPr>
        <w:t>concevoir des projets axés sur les espèces</w:t>
      </w:r>
      <w:r w:rsidR="009F7B80">
        <w:rPr>
          <w:rFonts w:ascii="Arial" w:eastAsiaTheme="minorHAnsi" w:hAnsi="Arial" w:cs="Arial"/>
          <w:sz w:val="22"/>
          <w:szCs w:val="22"/>
          <w:lang w:val="fr-FR"/>
        </w:rPr>
        <w:t> </w:t>
      </w:r>
      <w:r w:rsidRPr="00D140FE">
        <w:rPr>
          <w:rFonts w:ascii="Arial" w:eastAsiaTheme="minorHAnsi" w:hAnsi="Arial" w:cs="Arial"/>
          <w:sz w:val="22"/>
          <w:szCs w:val="22"/>
          <w:lang w:val="fr-FR"/>
        </w:rPr>
        <w:t xml:space="preserve">; </w:t>
      </w:r>
    </w:p>
    <w:p w14:paraId="7ECA8086" w14:textId="0C466B1B" w:rsidR="00A93986" w:rsidRPr="00D140FE" w:rsidRDefault="00A93986" w:rsidP="00F34E63">
      <w:pPr>
        <w:widowControl/>
        <w:numPr>
          <w:ilvl w:val="0"/>
          <w:numId w:val="7"/>
        </w:numPr>
        <w:autoSpaceDE/>
        <w:autoSpaceDN/>
        <w:ind w:left="1134" w:hanging="567"/>
        <w:jc w:val="both"/>
        <w:textAlignment w:val="auto"/>
        <w:rPr>
          <w:rFonts w:ascii="Arial" w:eastAsiaTheme="minorHAnsi" w:hAnsi="Arial" w:cs="Arial"/>
          <w:sz w:val="22"/>
          <w:szCs w:val="22"/>
          <w:lang w:val="fr-FR"/>
        </w:rPr>
      </w:pPr>
      <w:r w:rsidRPr="00D140FE">
        <w:rPr>
          <w:rFonts w:ascii="Arial" w:eastAsiaTheme="minorHAnsi" w:hAnsi="Arial" w:cs="Arial"/>
          <w:sz w:val="22"/>
          <w:szCs w:val="22"/>
          <w:lang w:val="fr-FR"/>
        </w:rPr>
        <w:t>intégrer des objectifs pertinents dans les Stratégies et plans d’action nationaux pour la biodiversité (SPANB)</w:t>
      </w:r>
      <w:r w:rsidR="00043F0B" w:rsidRPr="00D140FE">
        <w:rPr>
          <w:rFonts w:ascii="Arial" w:eastAsiaTheme="minorHAnsi" w:hAnsi="Arial" w:cs="Arial"/>
          <w:sz w:val="22"/>
          <w:szCs w:val="22"/>
          <w:lang w:val="fr-FR"/>
        </w:rPr>
        <w:t> ;</w:t>
      </w:r>
    </w:p>
    <w:p w14:paraId="60F5B205" w14:textId="77777777" w:rsidR="00043F0B" w:rsidRPr="00D140FE" w:rsidRDefault="00043F0B" w:rsidP="00F34E63">
      <w:pPr>
        <w:widowControl/>
        <w:autoSpaceDE/>
        <w:autoSpaceDN/>
        <w:ind w:left="1571"/>
        <w:jc w:val="both"/>
        <w:textAlignment w:val="auto"/>
        <w:rPr>
          <w:rFonts w:ascii="Arial" w:eastAsiaTheme="minorHAnsi" w:hAnsi="Arial" w:cs="Arial"/>
          <w:sz w:val="22"/>
          <w:szCs w:val="22"/>
          <w:lang w:val="fr-FR"/>
        </w:rPr>
      </w:pPr>
    </w:p>
    <w:p w14:paraId="683B9242" w14:textId="6446BFB4" w:rsidR="00043F0B" w:rsidRPr="00D140FE" w:rsidRDefault="00043F0B"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3.</w:t>
      </w:r>
      <w:r w:rsidR="00A61B7C">
        <w:rPr>
          <w:rFonts w:ascii="Arial" w:eastAsiaTheme="minorHAnsi" w:hAnsi="Arial" w:cs="Arial"/>
          <w:sz w:val="22"/>
          <w:szCs w:val="22"/>
          <w:lang w:val="fr-FR"/>
        </w:rPr>
        <w:tab/>
      </w:r>
      <w:r w:rsidRPr="00D140FE">
        <w:rPr>
          <w:rFonts w:ascii="Arial" w:eastAsiaTheme="minorHAnsi" w:hAnsi="Arial" w:cs="Arial"/>
          <w:i/>
          <w:iCs/>
          <w:sz w:val="22"/>
          <w:szCs w:val="22"/>
          <w:lang w:val="fr-FR"/>
        </w:rPr>
        <w:t>Encourage par ailleurs</w:t>
      </w:r>
      <w:r w:rsidRPr="00D140FE">
        <w:rPr>
          <w:rFonts w:ascii="Arial" w:eastAsiaTheme="minorHAnsi" w:hAnsi="Arial" w:cs="Arial"/>
          <w:sz w:val="22"/>
          <w:szCs w:val="22"/>
          <w:lang w:val="fr-FR"/>
        </w:rPr>
        <w:t xml:space="preserve"> les </w:t>
      </w:r>
      <w:r w:rsidR="00AB434D">
        <w:rPr>
          <w:rFonts w:ascii="Arial" w:eastAsiaTheme="minorHAnsi" w:hAnsi="Arial" w:cs="Arial"/>
          <w:sz w:val="22"/>
          <w:szCs w:val="22"/>
          <w:lang w:val="fr-FR"/>
        </w:rPr>
        <w:t xml:space="preserve">Parties </w:t>
      </w:r>
      <w:r w:rsidRPr="00D140FE">
        <w:rPr>
          <w:rFonts w:ascii="Arial" w:eastAsiaTheme="minorHAnsi" w:hAnsi="Arial" w:cs="Arial"/>
          <w:sz w:val="22"/>
          <w:szCs w:val="22"/>
          <w:lang w:val="fr-FR"/>
        </w:rPr>
        <w:t xml:space="preserve">à </w:t>
      </w:r>
      <w:r w:rsidR="00AB434D">
        <w:rPr>
          <w:rFonts w:ascii="Arial" w:eastAsiaTheme="minorHAnsi" w:hAnsi="Arial" w:cs="Arial"/>
          <w:sz w:val="22"/>
          <w:szCs w:val="22"/>
          <w:lang w:val="fr-FR"/>
        </w:rPr>
        <w:t>contribuer à la mise en œuvre du</w:t>
      </w:r>
      <w:r w:rsidRPr="00D140FE">
        <w:rPr>
          <w:rFonts w:ascii="Arial" w:eastAsiaTheme="minorHAnsi" w:hAnsi="Arial" w:cs="Arial"/>
          <w:sz w:val="22"/>
          <w:szCs w:val="22"/>
          <w:lang w:val="fr-FR"/>
        </w:rPr>
        <w:t xml:space="preserve"> Cadre mondial de la biodiversité de Kunming-Montréal (CMBKM) </w:t>
      </w:r>
      <w:r w:rsidR="00AB434D">
        <w:rPr>
          <w:rFonts w:ascii="Arial" w:eastAsiaTheme="minorHAnsi" w:hAnsi="Arial" w:cs="Arial"/>
          <w:sz w:val="22"/>
          <w:szCs w:val="22"/>
          <w:lang w:val="fr-FR"/>
        </w:rPr>
        <w:t>en intégrant</w:t>
      </w:r>
      <w:r w:rsidRPr="00D140FE">
        <w:rPr>
          <w:rFonts w:ascii="Arial" w:eastAsiaTheme="minorHAnsi" w:hAnsi="Arial" w:cs="Arial"/>
          <w:sz w:val="22"/>
          <w:szCs w:val="22"/>
          <w:lang w:val="fr-FR"/>
        </w:rPr>
        <w:t xml:space="preserve"> </w:t>
      </w:r>
      <w:r w:rsidR="00AB434D">
        <w:rPr>
          <w:rFonts w:ascii="Arial" w:eastAsiaTheme="minorHAnsi" w:hAnsi="Arial" w:cs="Arial"/>
          <w:sz w:val="22"/>
          <w:szCs w:val="22"/>
          <w:lang w:val="fr-FR"/>
        </w:rPr>
        <w:t xml:space="preserve">le </w:t>
      </w:r>
      <w:r w:rsidR="00AB434D" w:rsidRPr="00D140FE">
        <w:rPr>
          <w:rFonts w:ascii="Arial" w:eastAsiaTheme="minorHAnsi" w:hAnsi="Arial" w:cs="Arial"/>
          <w:sz w:val="22"/>
          <w:szCs w:val="22"/>
          <w:lang w:val="fr-FR"/>
        </w:rPr>
        <w:t>Plan stratégique de Samarcande pour les espèces migratrices 2024-2032</w:t>
      </w:r>
      <w:r w:rsidR="00AB434D">
        <w:rPr>
          <w:rFonts w:ascii="Arial" w:eastAsiaTheme="minorHAnsi" w:hAnsi="Arial" w:cs="Arial"/>
          <w:sz w:val="22"/>
          <w:szCs w:val="22"/>
          <w:lang w:val="fr-FR"/>
        </w:rPr>
        <w:t xml:space="preserve"> dans </w:t>
      </w:r>
      <w:r w:rsidRPr="00D140FE">
        <w:rPr>
          <w:rFonts w:ascii="Arial" w:eastAsiaTheme="minorHAnsi" w:hAnsi="Arial" w:cs="Arial"/>
          <w:sz w:val="22"/>
          <w:szCs w:val="22"/>
          <w:lang w:val="fr-FR"/>
        </w:rPr>
        <w:t>le</w:t>
      </w:r>
      <w:r w:rsidR="00AB434D">
        <w:rPr>
          <w:rFonts w:ascii="Arial" w:eastAsiaTheme="minorHAnsi" w:hAnsi="Arial" w:cs="Arial"/>
          <w:sz w:val="22"/>
          <w:szCs w:val="22"/>
          <w:lang w:val="fr-FR"/>
        </w:rPr>
        <w:t>ur</w:t>
      </w:r>
      <w:r w:rsidRPr="00D140FE">
        <w:rPr>
          <w:rFonts w:ascii="Arial" w:eastAsiaTheme="minorHAnsi" w:hAnsi="Arial" w:cs="Arial"/>
          <w:sz w:val="22"/>
          <w:szCs w:val="22"/>
          <w:lang w:val="fr-FR"/>
        </w:rPr>
        <w:t xml:space="preserve">s </w:t>
      </w:r>
      <w:r w:rsidR="00DC4827" w:rsidRPr="00D140FE">
        <w:rPr>
          <w:rFonts w:ascii="Arial" w:eastAsiaTheme="minorHAnsi" w:hAnsi="Arial" w:cs="Arial"/>
          <w:sz w:val="22"/>
          <w:szCs w:val="22"/>
          <w:lang w:val="fr-FR"/>
        </w:rPr>
        <w:t>SPANB</w:t>
      </w:r>
      <w:r w:rsidR="00AB434D">
        <w:rPr>
          <w:rFonts w:ascii="Arial" w:eastAsiaTheme="minorHAnsi" w:hAnsi="Arial" w:cs="Arial"/>
          <w:sz w:val="22"/>
          <w:szCs w:val="22"/>
          <w:lang w:val="fr-FR"/>
        </w:rPr>
        <w:t xml:space="preserve"> afin de tirer pleinement parti des financements du FEM correspondants et disponibles</w:t>
      </w:r>
      <w:r w:rsidR="00DC4827" w:rsidRPr="00D140FE">
        <w:rPr>
          <w:rFonts w:ascii="Arial" w:eastAsiaTheme="minorHAnsi" w:hAnsi="Arial" w:cs="Arial"/>
          <w:sz w:val="22"/>
          <w:szCs w:val="22"/>
          <w:lang w:val="fr-FR"/>
        </w:rPr>
        <w:t> ;</w:t>
      </w:r>
    </w:p>
    <w:p w14:paraId="161FDFA8" w14:textId="77777777" w:rsidR="00043F0B" w:rsidRPr="00D140FE" w:rsidRDefault="00043F0B" w:rsidP="00F34E63">
      <w:pPr>
        <w:widowControl/>
        <w:autoSpaceDE/>
        <w:autoSpaceDN/>
        <w:jc w:val="both"/>
        <w:rPr>
          <w:rFonts w:ascii="Arial" w:eastAsiaTheme="minorHAnsi" w:hAnsi="Arial" w:cs="Arial"/>
          <w:sz w:val="22"/>
          <w:szCs w:val="22"/>
          <w:lang w:val="fr-FR"/>
        </w:rPr>
      </w:pPr>
    </w:p>
    <w:p w14:paraId="6A2582BE" w14:textId="192BF147" w:rsidR="00A93986" w:rsidRPr="00D140FE" w:rsidRDefault="00F45DD7"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5</w:t>
      </w:r>
      <w:r w:rsidR="00A93986" w:rsidRPr="00D140FE">
        <w:rPr>
          <w:rFonts w:ascii="Arial" w:eastAsiaTheme="minorHAnsi" w:hAnsi="Arial" w:cs="Arial"/>
          <w:i/>
          <w:iCs/>
          <w:sz w:val="22"/>
          <w:szCs w:val="22"/>
          <w:lang w:val="fr-FR"/>
        </w:rPr>
        <w:t>.</w:t>
      </w:r>
      <w:r w:rsidR="00A93986" w:rsidRPr="00D140FE">
        <w:rPr>
          <w:rFonts w:ascii="Arial" w:eastAsiaTheme="minorHAnsi" w:hAnsi="Arial" w:cs="Arial"/>
          <w:i/>
          <w:iCs/>
          <w:sz w:val="22"/>
          <w:szCs w:val="22"/>
          <w:lang w:val="fr-FR"/>
        </w:rPr>
        <w:tab/>
        <w:t xml:space="preserve">Salue </w:t>
      </w:r>
      <w:r w:rsidR="00A93986" w:rsidRPr="00AB434D">
        <w:rPr>
          <w:rFonts w:ascii="Arial" w:eastAsiaTheme="minorHAnsi" w:hAnsi="Arial" w:cs="Arial"/>
          <w:sz w:val="22"/>
          <w:szCs w:val="22"/>
          <w:lang w:val="fr-FR"/>
        </w:rPr>
        <w:t>l</w:t>
      </w:r>
      <w:r w:rsidR="00A93986" w:rsidRPr="00D140FE">
        <w:rPr>
          <w:rFonts w:ascii="Arial" w:eastAsiaTheme="minorHAnsi" w:hAnsi="Arial" w:cs="Arial"/>
          <w:sz w:val="22"/>
          <w:szCs w:val="22"/>
          <w:lang w:val="fr-FR"/>
        </w:rPr>
        <w:t>a décision 15/7 de la COP à la CBD sur la mobilisation des ressources et la création du Fonds pour le Cadre mondial de la biodiversité au titre du FEM, et encourage les Parties à utiliser ce mécanisme pour favoriser la concrétisation de leurs priorités nationales pour la CMS</w:t>
      </w:r>
      <w:r w:rsidR="00B536F0">
        <w:rPr>
          <w:rFonts w:ascii="Arial" w:eastAsiaTheme="minorHAnsi" w:hAnsi="Arial" w:cs="Arial"/>
          <w:sz w:val="22"/>
          <w:szCs w:val="22"/>
          <w:lang w:val="fr-FR"/>
        </w:rPr>
        <w:t> </w:t>
      </w:r>
      <w:r w:rsidR="00A93986" w:rsidRPr="00D140FE">
        <w:rPr>
          <w:rFonts w:ascii="Arial" w:eastAsiaTheme="minorHAnsi" w:hAnsi="Arial" w:cs="Arial"/>
          <w:sz w:val="22"/>
          <w:szCs w:val="22"/>
          <w:lang w:val="fr-FR"/>
        </w:rPr>
        <w:t>;</w:t>
      </w:r>
    </w:p>
    <w:p w14:paraId="3C15A55D" w14:textId="77777777" w:rsidR="00A93986" w:rsidRPr="00D140FE" w:rsidRDefault="00A93986" w:rsidP="00F34E63">
      <w:pPr>
        <w:widowControl/>
        <w:autoSpaceDE/>
        <w:autoSpaceDN/>
        <w:ind w:left="567" w:hanging="567"/>
        <w:jc w:val="both"/>
        <w:rPr>
          <w:rFonts w:ascii="Arial" w:eastAsiaTheme="minorHAnsi" w:hAnsi="Arial" w:cs="Arial"/>
          <w:sz w:val="22"/>
          <w:szCs w:val="22"/>
          <w:lang w:val="fr-FR"/>
        </w:rPr>
      </w:pPr>
    </w:p>
    <w:p w14:paraId="2575C1AB" w14:textId="6B9FE0BB" w:rsidR="00A93986" w:rsidRPr="00D140FE" w:rsidRDefault="00F45DD7"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6</w:t>
      </w:r>
      <w:r w:rsidR="00A93986" w:rsidRPr="00D140FE">
        <w:rPr>
          <w:rFonts w:ascii="Arial" w:eastAsiaTheme="minorHAnsi" w:hAnsi="Arial" w:cs="Arial"/>
          <w:i/>
          <w:iCs/>
          <w:sz w:val="22"/>
          <w:szCs w:val="22"/>
          <w:lang w:val="fr-FR"/>
        </w:rPr>
        <w:t>.</w:t>
      </w:r>
      <w:r w:rsidR="00A93986" w:rsidRPr="00D140FE">
        <w:rPr>
          <w:rFonts w:ascii="Arial" w:eastAsiaTheme="minorHAnsi" w:hAnsi="Arial" w:cs="Arial"/>
          <w:i/>
          <w:iCs/>
          <w:sz w:val="22"/>
          <w:szCs w:val="22"/>
          <w:lang w:val="fr-FR"/>
        </w:rPr>
        <w:tab/>
        <w:t xml:space="preserve">Salue également </w:t>
      </w:r>
      <w:r w:rsidR="00A93986" w:rsidRPr="00D140FE">
        <w:rPr>
          <w:rFonts w:ascii="Arial" w:eastAsiaTheme="minorHAnsi" w:hAnsi="Arial" w:cs="Arial"/>
          <w:sz w:val="22"/>
          <w:szCs w:val="22"/>
          <w:lang w:val="fr-FR"/>
        </w:rPr>
        <w:t>la décision 16/33 de la COP de la CDB sur le mécanisme de financement visant au renforcement des synergies programmatiques parmi les conventions relatives à la biodiversité et, dans ce contexte, renouvelle l’invitation au Comité permanent à fournir des avis pour le FEM concernant le financement des priorités nationales pour la CMS;</w:t>
      </w:r>
    </w:p>
    <w:p w14:paraId="319391A4" w14:textId="77777777" w:rsidR="00A93986" w:rsidRPr="00D140FE" w:rsidRDefault="00A93986" w:rsidP="00F34E63">
      <w:pPr>
        <w:widowControl/>
        <w:autoSpaceDE/>
        <w:autoSpaceDN/>
        <w:jc w:val="both"/>
        <w:rPr>
          <w:rFonts w:ascii="Arial" w:eastAsiaTheme="minorHAnsi" w:hAnsi="Arial" w:cs="Arial"/>
          <w:sz w:val="22"/>
          <w:szCs w:val="22"/>
          <w:lang w:val="fr-FR"/>
        </w:rPr>
      </w:pPr>
    </w:p>
    <w:p w14:paraId="0547163A" w14:textId="30E21081" w:rsidR="00A93986" w:rsidRPr="00D140FE" w:rsidRDefault="00F45DD7"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7</w:t>
      </w:r>
      <w:r w:rsidR="00A93986" w:rsidRPr="00D140FE">
        <w:rPr>
          <w:rFonts w:ascii="Arial" w:eastAsiaTheme="minorHAnsi" w:hAnsi="Arial" w:cs="Arial"/>
          <w:i/>
          <w:iCs/>
          <w:sz w:val="22"/>
          <w:szCs w:val="22"/>
          <w:lang w:val="fr-FR"/>
        </w:rPr>
        <w:t>.</w:t>
      </w:r>
      <w:r w:rsidR="00A93986" w:rsidRPr="00D140FE">
        <w:rPr>
          <w:rFonts w:ascii="Arial" w:eastAsiaTheme="minorHAnsi" w:hAnsi="Arial" w:cs="Arial"/>
          <w:i/>
          <w:iCs/>
          <w:sz w:val="22"/>
          <w:szCs w:val="22"/>
          <w:lang w:val="fr-FR"/>
        </w:rPr>
        <w:tab/>
        <w:t xml:space="preserve">Prie </w:t>
      </w:r>
      <w:r w:rsidR="00A93986" w:rsidRPr="00D140FE">
        <w:rPr>
          <w:rFonts w:ascii="Arial" w:eastAsiaTheme="minorHAnsi" w:hAnsi="Arial" w:cs="Arial"/>
          <w:sz w:val="22"/>
          <w:szCs w:val="22"/>
          <w:lang w:val="fr-FR"/>
        </w:rPr>
        <w:t>la Secrétaire exécutive de fournir les avis du Comité permanent en temps opportun afin qu’ils puissent être examinés lors des sessions de la COP de la CDB et soumis au FEM via la COP de la CDB;</w:t>
      </w:r>
    </w:p>
    <w:p w14:paraId="132C53CA" w14:textId="77777777" w:rsidR="00A93986" w:rsidRPr="00D140FE" w:rsidRDefault="00A93986" w:rsidP="00F34E63">
      <w:pPr>
        <w:widowControl/>
        <w:autoSpaceDE/>
        <w:autoSpaceDN/>
        <w:ind w:left="567" w:hanging="567"/>
        <w:jc w:val="both"/>
        <w:rPr>
          <w:rFonts w:ascii="Arial" w:eastAsiaTheme="minorHAnsi" w:hAnsi="Arial" w:cs="Arial"/>
          <w:sz w:val="22"/>
          <w:szCs w:val="22"/>
          <w:lang w:val="fr-FR"/>
        </w:rPr>
      </w:pPr>
    </w:p>
    <w:p w14:paraId="26972003" w14:textId="3FA62625" w:rsidR="00A93986" w:rsidRPr="00D140FE" w:rsidRDefault="00F45DD7"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8.</w:t>
      </w:r>
      <w:r w:rsidR="00A93986" w:rsidRPr="00D140FE">
        <w:rPr>
          <w:rFonts w:ascii="Arial" w:eastAsiaTheme="minorHAnsi" w:hAnsi="Arial" w:cs="Arial"/>
          <w:sz w:val="22"/>
          <w:szCs w:val="22"/>
          <w:lang w:val="fr-FR"/>
        </w:rPr>
        <w:tab/>
      </w:r>
      <w:r w:rsidR="009F7B80">
        <w:rPr>
          <w:rFonts w:ascii="Arial" w:eastAsiaTheme="minorHAnsi" w:hAnsi="Arial" w:cs="Arial"/>
          <w:i/>
          <w:iCs/>
          <w:sz w:val="22"/>
          <w:szCs w:val="22"/>
          <w:lang w:val="fr-FR"/>
        </w:rPr>
        <w:t>Prie</w:t>
      </w:r>
      <w:r w:rsidR="00A93986" w:rsidRPr="00D140FE">
        <w:rPr>
          <w:rFonts w:ascii="Arial" w:eastAsiaTheme="minorHAnsi" w:hAnsi="Arial" w:cs="Arial"/>
          <w:sz w:val="22"/>
          <w:szCs w:val="22"/>
          <w:lang w:val="fr-FR"/>
        </w:rPr>
        <w:t xml:space="preserve"> </w:t>
      </w:r>
      <w:r w:rsidRPr="00D140FE">
        <w:rPr>
          <w:rFonts w:ascii="Arial" w:eastAsiaTheme="minorHAnsi" w:hAnsi="Arial" w:cs="Arial"/>
          <w:sz w:val="22"/>
          <w:szCs w:val="22"/>
          <w:lang w:val="fr-FR"/>
        </w:rPr>
        <w:t>la</w:t>
      </w:r>
      <w:r w:rsidR="00A93986" w:rsidRPr="00D140FE">
        <w:rPr>
          <w:rFonts w:ascii="Arial" w:eastAsiaTheme="minorHAnsi" w:hAnsi="Arial" w:cs="Arial"/>
          <w:sz w:val="22"/>
          <w:szCs w:val="22"/>
          <w:lang w:val="fr-FR"/>
        </w:rPr>
        <w:t xml:space="preserve"> Secrétaire exécuti</w:t>
      </w:r>
      <w:r w:rsidRPr="00D140FE">
        <w:rPr>
          <w:rFonts w:ascii="Arial" w:eastAsiaTheme="minorHAnsi" w:hAnsi="Arial" w:cs="Arial"/>
          <w:sz w:val="22"/>
          <w:szCs w:val="22"/>
          <w:lang w:val="fr-FR"/>
        </w:rPr>
        <w:t>ve</w:t>
      </w:r>
      <w:r w:rsidR="00A93986" w:rsidRPr="00D140FE">
        <w:rPr>
          <w:rFonts w:ascii="Arial" w:eastAsiaTheme="minorHAnsi" w:hAnsi="Arial" w:cs="Arial"/>
          <w:sz w:val="22"/>
          <w:szCs w:val="22"/>
          <w:lang w:val="fr-FR"/>
        </w:rPr>
        <w:t xml:space="preserve"> d'étudier les possibilités de renforcer le soutien du FEM à la mise en œuvre de la CMS</w:t>
      </w:r>
      <w:r w:rsidR="00215436" w:rsidRPr="00D140FE">
        <w:rPr>
          <w:rFonts w:ascii="Arial" w:eastAsiaTheme="minorHAnsi" w:hAnsi="Arial" w:cs="Arial"/>
          <w:sz w:val="22"/>
          <w:szCs w:val="22"/>
          <w:lang w:val="fr-FR"/>
        </w:rPr>
        <w:t> ;</w:t>
      </w:r>
    </w:p>
    <w:p w14:paraId="0EB3CC57" w14:textId="77777777" w:rsidR="00A93986" w:rsidRPr="00D140FE" w:rsidRDefault="00A93986" w:rsidP="00F34E63">
      <w:pPr>
        <w:widowControl/>
        <w:autoSpaceDE/>
        <w:autoSpaceDN/>
        <w:ind w:left="567" w:hanging="567"/>
        <w:jc w:val="both"/>
        <w:rPr>
          <w:rFonts w:ascii="Arial" w:eastAsiaTheme="minorHAnsi" w:hAnsi="Arial" w:cs="Arial"/>
          <w:sz w:val="22"/>
          <w:szCs w:val="22"/>
          <w:lang w:val="fr-FR"/>
        </w:rPr>
      </w:pPr>
    </w:p>
    <w:p w14:paraId="22B2D064" w14:textId="27444691" w:rsidR="00A93986" w:rsidRPr="00D140FE" w:rsidRDefault="00215436"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9</w:t>
      </w:r>
      <w:r w:rsidR="00A93986" w:rsidRPr="00D140FE">
        <w:rPr>
          <w:rFonts w:ascii="Arial" w:eastAsiaTheme="minorHAnsi" w:hAnsi="Arial" w:cs="Arial"/>
          <w:i/>
          <w:iCs/>
          <w:sz w:val="22"/>
          <w:szCs w:val="22"/>
          <w:lang w:val="fr-FR"/>
        </w:rPr>
        <w:t>.</w:t>
      </w:r>
      <w:r w:rsidR="00A93986" w:rsidRPr="00D140FE">
        <w:rPr>
          <w:rFonts w:ascii="Arial" w:eastAsiaTheme="minorHAnsi" w:hAnsi="Arial" w:cs="Arial"/>
          <w:i/>
          <w:iCs/>
          <w:sz w:val="22"/>
          <w:szCs w:val="22"/>
          <w:lang w:val="fr-FR"/>
        </w:rPr>
        <w:tab/>
        <w:t>Invite</w:t>
      </w:r>
      <w:r w:rsidR="00A93986" w:rsidRPr="00D140FE">
        <w:rPr>
          <w:rFonts w:ascii="Arial" w:eastAsiaTheme="minorHAnsi" w:hAnsi="Arial" w:cs="Arial"/>
          <w:sz w:val="22"/>
          <w:szCs w:val="22"/>
          <w:lang w:val="fr-FR"/>
        </w:rPr>
        <w:t xml:space="preserve"> le Secrétariat du FEM à participer au suivi de la présente résolution en dialoguant avec le Secrétariat de la CMS, et grâce à d’autres moyens appropriés, y compris en étudiant toutes les possibilités de renforcement du soutien du FEM envers les pays pour les activités relatives à la mise en œuvre de la CMS</w:t>
      </w:r>
      <w:r w:rsidRPr="00D140FE">
        <w:rPr>
          <w:rFonts w:ascii="Arial" w:eastAsiaTheme="minorHAnsi" w:hAnsi="Arial" w:cs="Arial"/>
          <w:sz w:val="22"/>
          <w:szCs w:val="22"/>
          <w:lang w:val="fr-FR"/>
        </w:rPr>
        <w:t xml:space="preserve"> </w:t>
      </w:r>
      <w:r w:rsidR="00A93986" w:rsidRPr="00D140FE">
        <w:rPr>
          <w:rFonts w:ascii="Arial" w:eastAsiaTheme="minorHAnsi" w:hAnsi="Arial" w:cs="Arial"/>
          <w:sz w:val="22"/>
          <w:szCs w:val="22"/>
          <w:lang w:val="fr-FR"/>
        </w:rPr>
        <w:t>;</w:t>
      </w:r>
    </w:p>
    <w:p w14:paraId="678708C4" w14:textId="77777777" w:rsidR="00215436" w:rsidRPr="00D140FE" w:rsidRDefault="00215436" w:rsidP="00F34E63">
      <w:pPr>
        <w:widowControl/>
        <w:autoSpaceDE/>
        <w:autoSpaceDN/>
        <w:ind w:left="567" w:hanging="567"/>
        <w:jc w:val="both"/>
        <w:rPr>
          <w:rFonts w:ascii="Arial" w:eastAsiaTheme="minorHAnsi" w:hAnsi="Arial" w:cs="Arial"/>
          <w:sz w:val="22"/>
          <w:szCs w:val="22"/>
          <w:lang w:val="fr-FR"/>
        </w:rPr>
      </w:pPr>
    </w:p>
    <w:p w14:paraId="308ECBBF" w14:textId="25FAEB0B" w:rsidR="00215436" w:rsidRPr="00D140FE" w:rsidRDefault="00B536F0" w:rsidP="00F34E63">
      <w:pPr>
        <w:widowControl/>
        <w:autoSpaceDE/>
        <w:autoSpaceDN/>
        <w:ind w:left="567" w:hanging="567"/>
        <w:jc w:val="both"/>
        <w:rPr>
          <w:rFonts w:ascii="Arial" w:eastAsiaTheme="minorHAnsi" w:hAnsi="Arial" w:cs="Arial"/>
          <w:sz w:val="22"/>
          <w:szCs w:val="22"/>
          <w:lang w:val="fr-FR"/>
        </w:rPr>
      </w:pPr>
      <w:r w:rsidRPr="00B536F0">
        <w:rPr>
          <w:rFonts w:ascii="Arial" w:eastAsiaTheme="minorHAnsi" w:hAnsi="Arial" w:cs="Arial"/>
          <w:sz w:val="22"/>
          <w:szCs w:val="22"/>
          <w:lang w:val="fr-FR"/>
        </w:rPr>
        <w:t>10</w:t>
      </w:r>
      <w:r w:rsidR="00A61B7C">
        <w:rPr>
          <w:rFonts w:ascii="Arial" w:eastAsiaTheme="minorHAnsi" w:hAnsi="Arial" w:cs="Arial"/>
          <w:sz w:val="22"/>
          <w:szCs w:val="22"/>
          <w:lang w:val="fr-FR"/>
        </w:rPr>
        <w:t>.</w:t>
      </w:r>
      <w:r w:rsidR="00A61B7C">
        <w:rPr>
          <w:rFonts w:ascii="Arial" w:eastAsiaTheme="minorHAnsi" w:hAnsi="Arial" w:cs="Arial"/>
          <w:sz w:val="22"/>
          <w:szCs w:val="22"/>
          <w:lang w:val="fr-FR"/>
        </w:rPr>
        <w:tab/>
      </w:r>
      <w:r w:rsidR="00215436" w:rsidRPr="00B536F0">
        <w:rPr>
          <w:rFonts w:ascii="Arial" w:eastAsiaTheme="minorHAnsi" w:hAnsi="Arial" w:cs="Arial"/>
          <w:i/>
          <w:iCs/>
          <w:sz w:val="22"/>
          <w:szCs w:val="22"/>
          <w:lang w:val="fr-FR"/>
        </w:rPr>
        <w:t>Invite</w:t>
      </w:r>
      <w:r w:rsidR="00215436" w:rsidRPr="00B536F0">
        <w:rPr>
          <w:rFonts w:ascii="Arial" w:eastAsiaTheme="minorHAnsi" w:hAnsi="Arial" w:cs="Arial"/>
          <w:sz w:val="22"/>
          <w:szCs w:val="22"/>
          <w:lang w:val="fr-FR"/>
        </w:rPr>
        <w:t xml:space="preserve"> le FEM à soutenir la mise en œuvre de la CMS dans le cadre des domaines d'intervention et des programmes intégrés pertinents du FEM ;</w:t>
      </w:r>
    </w:p>
    <w:p w14:paraId="40F15B4E" w14:textId="77777777" w:rsidR="00A93986" w:rsidRPr="00D140FE" w:rsidRDefault="00A93986" w:rsidP="00F34E63">
      <w:pPr>
        <w:widowControl/>
        <w:autoSpaceDE/>
        <w:autoSpaceDN/>
        <w:jc w:val="both"/>
        <w:rPr>
          <w:rFonts w:ascii="Arial" w:eastAsiaTheme="minorHAnsi" w:hAnsi="Arial" w:cs="Arial"/>
          <w:sz w:val="22"/>
          <w:szCs w:val="22"/>
          <w:lang w:val="fr-FR"/>
        </w:rPr>
      </w:pPr>
    </w:p>
    <w:p w14:paraId="0648840D" w14:textId="5B2F6902" w:rsidR="00A93986" w:rsidRPr="00D140FE" w:rsidRDefault="00215436"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1</w:t>
      </w:r>
      <w:r w:rsidR="00B536F0">
        <w:rPr>
          <w:rFonts w:ascii="Arial" w:eastAsiaTheme="minorHAnsi" w:hAnsi="Arial" w:cs="Arial"/>
          <w:sz w:val="22"/>
          <w:szCs w:val="22"/>
          <w:lang w:val="fr-FR"/>
        </w:rPr>
        <w:t>1</w:t>
      </w:r>
      <w:r w:rsidR="00A93986" w:rsidRPr="00D140FE">
        <w:rPr>
          <w:rFonts w:ascii="Arial" w:eastAsiaTheme="minorHAnsi" w:hAnsi="Arial" w:cs="Arial"/>
          <w:i/>
          <w:iCs/>
          <w:sz w:val="22"/>
          <w:szCs w:val="22"/>
          <w:lang w:val="fr-FR"/>
        </w:rPr>
        <w:t>.</w:t>
      </w:r>
      <w:r w:rsidR="00A93986" w:rsidRPr="00D140FE">
        <w:rPr>
          <w:rFonts w:ascii="Arial" w:eastAsiaTheme="minorHAnsi" w:hAnsi="Arial" w:cs="Arial"/>
          <w:i/>
          <w:iCs/>
          <w:sz w:val="22"/>
          <w:szCs w:val="22"/>
          <w:lang w:val="fr-FR"/>
        </w:rPr>
        <w:tab/>
        <w:t xml:space="preserve">Prie </w:t>
      </w:r>
      <w:r w:rsidR="00A93986" w:rsidRPr="009F7B80">
        <w:rPr>
          <w:rFonts w:ascii="Arial" w:eastAsiaTheme="minorHAnsi" w:hAnsi="Arial" w:cs="Arial"/>
          <w:sz w:val="22"/>
          <w:szCs w:val="22"/>
          <w:lang w:val="fr-FR"/>
        </w:rPr>
        <w:t>l</w:t>
      </w:r>
      <w:r w:rsidR="00A93986" w:rsidRPr="00D140FE">
        <w:rPr>
          <w:rFonts w:ascii="Arial" w:eastAsiaTheme="minorHAnsi" w:hAnsi="Arial" w:cs="Arial"/>
          <w:sz w:val="22"/>
          <w:szCs w:val="22"/>
          <w:lang w:val="fr-FR"/>
        </w:rPr>
        <w:t>e Secrétariat de collaborer avec le FEM et ses organismes à tous les niveaux appropriés en vue de continuer à mettre en œuvre la présente résolution</w:t>
      </w:r>
      <w:r w:rsidR="00B536F0">
        <w:rPr>
          <w:rFonts w:ascii="Arial" w:eastAsiaTheme="minorHAnsi" w:hAnsi="Arial" w:cs="Arial"/>
          <w:sz w:val="22"/>
          <w:szCs w:val="22"/>
          <w:lang w:val="fr-FR"/>
        </w:rPr>
        <w:t xml:space="preserve"> </w:t>
      </w:r>
      <w:r w:rsidR="00A93986" w:rsidRPr="00D140FE">
        <w:rPr>
          <w:rFonts w:ascii="Arial" w:eastAsiaTheme="minorHAnsi" w:hAnsi="Arial" w:cs="Arial"/>
          <w:sz w:val="22"/>
          <w:szCs w:val="22"/>
          <w:lang w:val="fr-FR"/>
        </w:rPr>
        <w:t>;</w:t>
      </w:r>
    </w:p>
    <w:p w14:paraId="0DED650B" w14:textId="20D3636E" w:rsidR="00A93986" w:rsidRPr="00D140FE" w:rsidRDefault="00215436" w:rsidP="00F34E63">
      <w:pPr>
        <w:widowControl/>
        <w:autoSpaceDE/>
        <w:autoSpaceDN/>
        <w:ind w:left="567" w:hanging="567"/>
        <w:jc w:val="both"/>
        <w:textAlignment w:val="auto"/>
        <w:rPr>
          <w:rFonts w:ascii="Arial" w:eastAsiaTheme="minorHAnsi" w:hAnsi="Arial" w:cs="Arial"/>
          <w:strike/>
          <w:sz w:val="22"/>
          <w:szCs w:val="22"/>
          <w:lang w:val="fr-FR"/>
        </w:rPr>
      </w:pPr>
      <w:r w:rsidRPr="00D140FE">
        <w:rPr>
          <w:rFonts w:ascii="Arial" w:eastAsiaTheme="minorHAnsi" w:hAnsi="Arial" w:cs="Arial"/>
          <w:sz w:val="22"/>
          <w:szCs w:val="22"/>
          <w:lang w:val="fr-FR"/>
        </w:rPr>
        <w:lastRenderedPageBreak/>
        <w:t>1</w:t>
      </w:r>
      <w:r w:rsidR="00B536F0">
        <w:rPr>
          <w:rFonts w:ascii="Arial" w:eastAsiaTheme="minorHAnsi" w:hAnsi="Arial" w:cs="Arial"/>
          <w:sz w:val="22"/>
          <w:szCs w:val="22"/>
          <w:lang w:val="fr-FR"/>
        </w:rPr>
        <w:t>2</w:t>
      </w:r>
      <w:r w:rsidR="00A93986" w:rsidRPr="00D140FE">
        <w:rPr>
          <w:rFonts w:ascii="Arial" w:eastAsiaTheme="minorHAnsi" w:hAnsi="Arial" w:cs="Arial"/>
          <w:i/>
          <w:iCs/>
          <w:sz w:val="22"/>
          <w:szCs w:val="22"/>
          <w:lang w:val="fr-FR"/>
        </w:rPr>
        <w:t>.</w:t>
      </w:r>
      <w:r w:rsidR="00A93986" w:rsidRPr="00D140FE">
        <w:rPr>
          <w:rFonts w:ascii="Arial" w:eastAsiaTheme="minorHAnsi" w:hAnsi="Arial" w:cs="Arial"/>
          <w:i/>
          <w:iCs/>
          <w:sz w:val="22"/>
          <w:szCs w:val="22"/>
          <w:lang w:val="fr-FR"/>
        </w:rPr>
        <w:tab/>
      </w:r>
      <w:r w:rsidR="009F7B80">
        <w:rPr>
          <w:rFonts w:ascii="Arial" w:eastAsiaTheme="minorHAnsi" w:hAnsi="Arial" w:cs="Arial"/>
          <w:i/>
          <w:iCs/>
          <w:sz w:val="22"/>
          <w:szCs w:val="22"/>
          <w:lang w:val="fr-FR"/>
        </w:rPr>
        <w:t>Prie</w:t>
      </w:r>
      <w:r w:rsidR="00A93986" w:rsidRPr="00D140FE">
        <w:rPr>
          <w:rFonts w:ascii="Arial" w:eastAsiaTheme="minorHAnsi" w:hAnsi="Arial" w:cs="Arial"/>
          <w:i/>
          <w:iCs/>
          <w:sz w:val="22"/>
          <w:szCs w:val="22"/>
          <w:lang w:val="fr-FR"/>
        </w:rPr>
        <w:t xml:space="preserve"> </w:t>
      </w:r>
      <w:r w:rsidR="009F7B80">
        <w:rPr>
          <w:rFonts w:ascii="Arial" w:eastAsiaTheme="minorHAnsi" w:hAnsi="Arial" w:cs="Arial"/>
          <w:sz w:val="22"/>
          <w:szCs w:val="22"/>
          <w:lang w:val="fr-FR"/>
        </w:rPr>
        <w:t>le</w:t>
      </w:r>
      <w:r w:rsidR="00A93986" w:rsidRPr="00D140FE">
        <w:rPr>
          <w:rFonts w:ascii="Arial" w:eastAsiaTheme="minorHAnsi" w:hAnsi="Arial" w:cs="Arial"/>
          <w:sz w:val="22"/>
          <w:szCs w:val="22"/>
          <w:lang w:val="fr-FR"/>
        </w:rPr>
        <w:t xml:space="preserve"> PNUE et </w:t>
      </w:r>
      <w:r w:rsidR="009F7B80">
        <w:rPr>
          <w:rFonts w:ascii="Arial" w:eastAsiaTheme="minorHAnsi" w:hAnsi="Arial" w:cs="Arial"/>
          <w:sz w:val="22"/>
          <w:szCs w:val="22"/>
          <w:lang w:val="fr-FR"/>
        </w:rPr>
        <w:t>les</w:t>
      </w:r>
      <w:r w:rsidR="00A93986" w:rsidRPr="00D140FE">
        <w:rPr>
          <w:rFonts w:ascii="Arial" w:eastAsiaTheme="minorHAnsi" w:hAnsi="Arial" w:cs="Arial"/>
          <w:sz w:val="22"/>
          <w:szCs w:val="22"/>
          <w:lang w:val="fr-FR"/>
        </w:rPr>
        <w:t xml:space="preserve"> autres organismes du FEM d’apporter comme il se doit leur soutien et leur contribution à la mise en œuvre de la présente résolution ;</w:t>
      </w:r>
    </w:p>
    <w:p w14:paraId="15C7E68B" w14:textId="77777777" w:rsidR="00265942" w:rsidRPr="00D140FE" w:rsidRDefault="00265942" w:rsidP="00F34E63">
      <w:pPr>
        <w:widowControl/>
        <w:autoSpaceDE/>
        <w:autoSpaceDN/>
        <w:jc w:val="both"/>
        <w:textAlignment w:val="auto"/>
        <w:rPr>
          <w:rFonts w:ascii="Arial" w:eastAsiaTheme="minorHAnsi" w:hAnsi="Arial" w:cs="Arial"/>
          <w:i/>
          <w:iCs/>
          <w:sz w:val="22"/>
          <w:szCs w:val="22"/>
          <w:lang w:val="fr-FR"/>
        </w:rPr>
      </w:pPr>
    </w:p>
    <w:p w14:paraId="1E2D3962" w14:textId="48A483B2" w:rsidR="00A93986" w:rsidRPr="00D140FE" w:rsidRDefault="00A93986" w:rsidP="00F34E63">
      <w:pPr>
        <w:widowControl/>
        <w:autoSpaceDE/>
        <w:autoSpaceDN/>
        <w:ind w:left="567" w:hanging="567"/>
        <w:jc w:val="both"/>
        <w:rPr>
          <w:rFonts w:ascii="Arial" w:eastAsiaTheme="minorHAnsi" w:hAnsi="Arial" w:cs="Arial"/>
          <w:sz w:val="22"/>
          <w:szCs w:val="22"/>
          <w:lang w:val="fr-FR"/>
        </w:rPr>
      </w:pPr>
      <w:r w:rsidRPr="00D140FE">
        <w:rPr>
          <w:rFonts w:ascii="Arial" w:eastAsiaTheme="minorHAnsi" w:hAnsi="Arial" w:cs="Arial"/>
          <w:sz w:val="22"/>
          <w:szCs w:val="22"/>
          <w:lang w:val="fr-FR"/>
        </w:rPr>
        <w:t>1</w:t>
      </w:r>
      <w:r w:rsidR="00B536F0">
        <w:rPr>
          <w:rFonts w:ascii="Arial" w:eastAsiaTheme="minorHAnsi" w:hAnsi="Arial" w:cs="Arial"/>
          <w:sz w:val="22"/>
          <w:szCs w:val="22"/>
          <w:lang w:val="fr-FR"/>
        </w:rPr>
        <w:t>3</w:t>
      </w:r>
      <w:r w:rsidRPr="00D140FE">
        <w:rPr>
          <w:rFonts w:ascii="Arial" w:eastAsiaTheme="minorHAnsi" w:hAnsi="Arial" w:cs="Arial"/>
          <w:sz w:val="22"/>
          <w:szCs w:val="22"/>
          <w:lang w:val="fr-FR"/>
        </w:rPr>
        <w:t>.</w:t>
      </w:r>
      <w:r w:rsidRPr="00D140FE">
        <w:rPr>
          <w:rFonts w:ascii="Arial" w:eastAsiaTheme="minorHAnsi" w:hAnsi="Arial" w:cs="Arial"/>
          <w:i/>
          <w:iCs/>
          <w:sz w:val="22"/>
          <w:szCs w:val="22"/>
          <w:lang w:val="fr-FR"/>
        </w:rPr>
        <w:tab/>
        <w:t xml:space="preserve">Charge </w:t>
      </w:r>
      <w:r w:rsidRPr="00D140FE">
        <w:rPr>
          <w:rFonts w:ascii="Arial" w:eastAsiaTheme="minorHAnsi" w:hAnsi="Arial" w:cs="Arial"/>
          <w:sz w:val="22"/>
          <w:szCs w:val="22"/>
          <w:lang w:val="fr-FR"/>
        </w:rPr>
        <w:t>le Secrétariat de rendre compte des progrès accomplis dans la mise en œuvre de la présente résolution lors des réunions du Comité Permanent</w:t>
      </w:r>
      <w:r w:rsidR="00B536F0">
        <w:rPr>
          <w:rFonts w:ascii="Arial" w:eastAsiaTheme="minorHAnsi" w:hAnsi="Arial" w:cs="Arial"/>
          <w:sz w:val="22"/>
          <w:szCs w:val="22"/>
          <w:lang w:val="fr-FR"/>
        </w:rPr>
        <w:t>.</w:t>
      </w:r>
    </w:p>
    <w:p w14:paraId="1C36A2E8" w14:textId="657B3243" w:rsidR="00A93986" w:rsidRPr="00D140FE" w:rsidRDefault="00A93986" w:rsidP="002474DC">
      <w:pPr>
        <w:pStyle w:val="ListParagraph"/>
        <w:suppressAutoHyphens/>
        <w:ind w:left="0"/>
        <w:contextualSpacing w:val="0"/>
        <w:rPr>
          <w:rFonts w:cs="Arial"/>
          <w:lang w:val="fr-FR"/>
        </w:rPr>
      </w:pPr>
      <w:r w:rsidRPr="00D140FE">
        <w:rPr>
          <w:rFonts w:cs="Arial"/>
          <w:lang w:val="fr-FR"/>
        </w:rPr>
        <w:br w:type="page"/>
      </w:r>
    </w:p>
    <w:p w14:paraId="01C09ACC" w14:textId="77777777" w:rsidR="00A93986" w:rsidRPr="00D140FE" w:rsidRDefault="00A93986" w:rsidP="002474DC">
      <w:pPr>
        <w:widowControl/>
        <w:autoSpaceDE/>
        <w:autoSpaceDN/>
        <w:jc w:val="center"/>
        <w:textAlignment w:val="auto"/>
        <w:rPr>
          <w:rFonts w:ascii="Arial" w:eastAsiaTheme="minorHAnsi" w:hAnsi="Arial" w:cstheme="minorBidi"/>
          <w:sz w:val="22"/>
          <w:szCs w:val="22"/>
          <w:lang w:val="fr-FR"/>
        </w:rPr>
      </w:pPr>
      <w:r w:rsidRPr="00D140FE">
        <w:rPr>
          <w:rFonts w:ascii="Arial" w:eastAsiaTheme="minorHAnsi" w:hAnsi="Arial" w:cstheme="minorBidi"/>
          <w:sz w:val="22"/>
          <w:szCs w:val="22"/>
          <w:lang w:val="fr-FR"/>
        </w:rPr>
        <w:lastRenderedPageBreak/>
        <w:t>PROJET DE DÉCISIONS</w:t>
      </w:r>
    </w:p>
    <w:p w14:paraId="54FF46F2" w14:textId="77777777" w:rsidR="00A93986" w:rsidRDefault="00A93986" w:rsidP="002474DC">
      <w:pPr>
        <w:widowControl/>
        <w:autoSpaceDE/>
        <w:autoSpaceDN/>
        <w:jc w:val="both"/>
        <w:textAlignment w:val="auto"/>
        <w:rPr>
          <w:rFonts w:ascii="Arial" w:eastAsiaTheme="minorHAnsi" w:hAnsi="Arial" w:cstheme="minorBidi"/>
          <w:sz w:val="22"/>
          <w:szCs w:val="22"/>
          <w:lang w:val="fr-FR"/>
        </w:rPr>
      </w:pPr>
    </w:p>
    <w:p w14:paraId="69BED14E" w14:textId="77777777" w:rsidR="006D3041" w:rsidRPr="00D140FE" w:rsidRDefault="006D3041" w:rsidP="002474DC">
      <w:pPr>
        <w:widowControl/>
        <w:autoSpaceDE/>
        <w:autoSpaceDN/>
        <w:jc w:val="both"/>
        <w:textAlignment w:val="auto"/>
        <w:rPr>
          <w:rFonts w:ascii="Arial" w:eastAsiaTheme="minorHAnsi" w:hAnsi="Arial" w:cstheme="minorBidi"/>
          <w:sz w:val="22"/>
          <w:szCs w:val="22"/>
          <w:lang w:val="fr-FR"/>
        </w:rPr>
      </w:pPr>
    </w:p>
    <w:p w14:paraId="60518CA7" w14:textId="77777777" w:rsidR="00A93986" w:rsidRPr="00D140FE" w:rsidRDefault="00A93986" w:rsidP="002474DC">
      <w:pPr>
        <w:widowControl/>
        <w:autoSpaceDE/>
        <w:autoSpaceDN/>
        <w:jc w:val="center"/>
        <w:textAlignment w:val="auto"/>
        <w:rPr>
          <w:rFonts w:ascii="Arial" w:eastAsiaTheme="minorHAnsi" w:hAnsi="Arial" w:cs="Arial"/>
          <w:b/>
          <w:sz w:val="22"/>
          <w:szCs w:val="22"/>
          <w:lang w:val="fr-FR"/>
        </w:rPr>
      </w:pPr>
      <w:r w:rsidRPr="00D140FE">
        <w:rPr>
          <w:rFonts w:ascii="Arial" w:eastAsiaTheme="minorHAnsi" w:hAnsi="Arial" w:cs="Arial"/>
          <w:b/>
          <w:sz w:val="22"/>
          <w:szCs w:val="22"/>
          <w:lang w:val="fr-FR"/>
        </w:rPr>
        <w:t xml:space="preserve">RENFORCEMENT DE L'ENGAGEMENT DANS LE FONDS </w:t>
      </w:r>
    </w:p>
    <w:p w14:paraId="338DD23D" w14:textId="77777777" w:rsidR="00A93986" w:rsidRPr="00D140FE" w:rsidRDefault="00A93986" w:rsidP="002474DC">
      <w:pPr>
        <w:widowControl/>
        <w:autoSpaceDE/>
        <w:autoSpaceDN/>
        <w:spacing w:after="160" w:line="259" w:lineRule="auto"/>
        <w:jc w:val="center"/>
        <w:textAlignment w:val="auto"/>
        <w:rPr>
          <w:rFonts w:ascii="Arial" w:eastAsiaTheme="minorHAnsi" w:hAnsi="Arial" w:cs="Arial"/>
          <w:b/>
          <w:sz w:val="22"/>
          <w:szCs w:val="22"/>
          <w:lang w:val="fr-FR"/>
        </w:rPr>
      </w:pPr>
      <w:r w:rsidRPr="00D140FE">
        <w:rPr>
          <w:rFonts w:ascii="Arial" w:eastAsiaTheme="minorHAnsi" w:hAnsi="Arial" w:cs="Arial"/>
          <w:b/>
          <w:sz w:val="22"/>
          <w:szCs w:val="22"/>
          <w:lang w:val="fr-FR"/>
        </w:rPr>
        <w:t>POUR L'ENVIRONNEMENT MONDIAL</w:t>
      </w:r>
    </w:p>
    <w:p w14:paraId="62C73364" w14:textId="77777777" w:rsidR="00A93986" w:rsidRPr="00D140FE" w:rsidRDefault="00A93986" w:rsidP="002474DC">
      <w:pPr>
        <w:widowControl/>
        <w:autoSpaceDE/>
        <w:autoSpaceDN/>
        <w:jc w:val="both"/>
        <w:textAlignment w:val="auto"/>
        <w:rPr>
          <w:rFonts w:ascii="Arial" w:eastAsiaTheme="minorHAnsi" w:hAnsi="Arial" w:cstheme="minorBidi"/>
          <w:sz w:val="22"/>
          <w:szCs w:val="22"/>
          <w:lang w:val="fr-FR"/>
        </w:rPr>
      </w:pPr>
    </w:p>
    <w:p w14:paraId="0F0B7D3D" w14:textId="77777777" w:rsidR="00A93986" w:rsidRPr="00D140FE" w:rsidRDefault="00A93986" w:rsidP="002474DC">
      <w:pPr>
        <w:widowControl/>
        <w:autoSpaceDE/>
        <w:autoSpaceDN/>
        <w:jc w:val="both"/>
        <w:textAlignment w:val="auto"/>
        <w:rPr>
          <w:rFonts w:ascii="Arial" w:eastAsiaTheme="minorHAnsi" w:hAnsi="Arial" w:cstheme="minorBidi"/>
          <w:sz w:val="22"/>
          <w:szCs w:val="22"/>
          <w:lang w:val="fr-FR"/>
        </w:rPr>
      </w:pPr>
    </w:p>
    <w:p w14:paraId="46D054F1" w14:textId="77777777" w:rsidR="00A93986" w:rsidRPr="00D140FE" w:rsidRDefault="00A93986" w:rsidP="002474DC">
      <w:pPr>
        <w:widowControl/>
        <w:autoSpaceDE/>
        <w:autoSpaceDN/>
        <w:jc w:val="both"/>
        <w:textAlignment w:val="auto"/>
        <w:rPr>
          <w:rFonts w:ascii="Arial" w:eastAsiaTheme="minorHAnsi" w:hAnsi="Arial" w:cstheme="minorBidi"/>
          <w:b/>
          <w:bCs/>
          <w:i/>
          <w:iCs/>
          <w:sz w:val="22"/>
          <w:szCs w:val="22"/>
          <w:lang w:val="fr-FR"/>
        </w:rPr>
      </w:pPr>
      <w:r w:rsidRPr="00D140FE">
        <w:rPr>
          <w:rFonts w:ascii="Arial" w:eastAsiaTheme="minorHAnsi" w:hAnsi="Arial" w:cstheme="minorBidi"/>
          <w:b/>
          <w:bCs/>
          <w:i/>
          <w:iCs/>
          <w:sz w:val="22"/>
          <w:szCs w:val="22"/>
          <w:lang w:val="fr-FR"/>
        </w:rPr>
        <w:t>À l'attention du Fonds pour l'environnement mondial (FEM)</w:t>
      </w:r>
    </w:p>
    <w:p w14:paraId="41577BD7" w14:textId="77777777" w:rsidR="00A93986" w:rsidRPr="00D140FE" w:rsidRDefault="00A93986" w:rsidP="002474DC">
      <w:pPr>
        <w:widowControl/>
        <w:autoSpaceDE/>
        <w:autoSpaceDN/>
        <w:jc w:val="both"/>
        <w:textAlignment w:val="auto"/>
        <w:rPr>
          <w:rFonts w:ascii="Arial" w:eastAsiaTheme="minorHAnsi" w:hAnsi="Arial" w:cstheme="minorBidi"/>
          <w:sz w:val="22"/>
          <w:szCs w:val="22"/>
          <w:lang w:val="fr-FR"/>
        </w:rPr>
      </w:pPr>
    </w:p>
    <w:p w14:paraId="6C7EA5C4" w14:textId="189D0314" w:rsidR="00A93986" w:rsidRPr="00D140FE" w:rsidRDefault="00A93986" w:rsidP="002474DC">
      <w:pPr>
        <w:widowControl/>
        <w:autoSpaceDE/>
        <w:autoSpaceDN/>
        <w:ind w:left="851" w:hanging="851"/>
        <w:jc w:val="both"/>
        <w:textAlignment w:val="auto"/>
        <w:rPr>
          <w:rFonts w:ascii="Arial" w:eastAsiaTheme="minorHAnsi" w:hAnsi="Arial" w:cstheme="minorBidi"/>
          <w:sz w:val="22"/>
          <w:szCs w:val="22"/>
          <w:lang w:val="fr-FR"/>
        </w:rPr>
      </w:pPr>
      <w:r w:rsidRPr="00D140FE">
        <w:rPr>
          <w:rFonts w:ascii="Arial" w:eastAsiaTheme="minorHAnsi" w:hAnsi="Arial" w:cstheme="minorBidi"/>
          <w:sz w:val="22"/>
          <w:szCs w:val="22"/>
          <w:lang w:val="fr-FR"/>
        </w:rPr>
        <w:t xml:space="preserve">15.AA. </w:t>
      </w:r>
      <w:r w:rsidRPr="00D140FE">
        <w:rPr>
          <w:rFonts w:ascii="Arial" w:eastAsiaTheme="minorHAnsi" w:hAnsi="Arial" w:cstheme="minorBidi"/>
          <w:sz w:val="22"/>
          <w:szCs w:val="22"/>
          <w:lang w:val="fr-FR"/>
        </w:rPr>
        <w:tab/>
      </w:r>
      <w:r w:rsidR="00215436" w:rsidRPr="00D140FE">
        <w:rPr>
          <w:rFonts w:ascii="Arial" w:eastAsiaTheme="minorHAnsi" w:hAnsi="Arial" w:cstheme="minorBidi"/>
          <w:sz w:val="22"/>
          <w:szCs w:val="22"/>
          <w:lang w:val="fr-FR"/>
        </w:rPr>
        <w:t>Le FEM est invité à prendre en considération les Décisions 15.BB et 15.CC de la Conférence des Parties à la CMS et à soutenir leur mise en œuvre, notamment en engageant un dialogue avec le Secrétariat de la CMS concernant les possibilités de renforcer le soutien à la mise en œuvre de la CMS.</w:t>
      </w:r>
    </w:p>
    <w:p w14:paraId="0E54321A" w14:textId="77777777" w:rsidR="00A93986" w:rsidRPr="00D140FE" w:rsidRDefault="00A93986" w:rsidP="002474DC">
      <w:pPr>
        <w:widowControl/>
        <w:autoSpaceDE/>
        <w:autoSpaceDN/>
        <w:jc w:val="both"/>
        <w:textAlignment w:val="auto"/>
        <w:rPr>
          <w:rFonts w:ascii="Arial" w:eastAsiaTheme="minorHAnsi" w:hAnsi="Arial" w:cstheme="minorBidi"/>
          <w:sz w:val="22"/>
          <w:szCs w:val="22"/>
          <w:lang w:val="fr-FR"/>
        </w:rPr>
      </w:pPr>
    </w:p>
    <w:p w14:paraId="4F12B5CF" w14:textId="77777777" w:rsidR="00A93986" w:rsidRPr="00D140FE" w:rsidRDefault="00A93986" w:rsidP="002474DC">
      <w:pPr>
        <w:widowControl/>
        <w:autoSpaceDE/>
        <w:autoSpaceDN/>
        <w:jc w:val="both"/>
        <w:textAlignment w:val="auto"/>
        <w:rPr>
          <w:rFonts w:ascii="Arial" w:eastAsiaTheme="minorHAnsi" w:hAnsi="Arial" w:cstheme="minorBidi"/>
          <w:b/>
          <w:bCs/>
          <w:i/>
          <w:iCs/>
          <w:sz w:val="22"/>
          <w:szCs w:val="22"/>
          <w:lang w:val="fr-FR"/>
        </w:rPr>
      </w:pPr>
      <w:r w:rsidRPr="00D140FE">
        <w:rPr>
          <w:rFonts w:ascii="Arial" w:eastAsiaTheme="minorHAnsi" w:hAnsi="Arial" w:cstheme="minorBidi"/>
          <w:b/>
          <w:bCs/>
          <w:i/>
          <w:iCs/>
          <w:sz w:val="22"/>
          <w:szCs w:val="22"/>
          <w:lang w:val="fr-FR"/>
        </w:rPr>
        <w:t>À l'attention du Comité permanent</w:t>
      </w:r>
    </w:p>
    <w:p w14:paraId="1BD5A00A" w14:textId="77777777" w:rsidR="00A93986" w:rsidRPr="00D140FE" w:rsidRDefault="00A93986" w:rsidP="002474DC">
      <w:pPr>
        <w:widowControl/>
        <w:autoSpaceDE/>
        <w:autoSpaceDN/>
        <w:jc w:val="both"/>
        <w:textAlignment w:val="auto"/>
        <w:rPr>
          <w:rFonts w:ascii="Arial" w:eastAsiaTheme="minorHAnsi" w:hAnsi="Arial" w:cstheme="minorBidi"/>
          <w:sz w:val="22"/>
          <w:szCs w:val="22"/>
          <w:lang w:val="fr-FR"/>
        </w:rPr>
      </w:pPr>
    </w:p>
    <w:p w14:paraId="6D69714D" w14:textId="3EFE18C0" w:rsidR="00A93986" w:rsidRPr="00D140FE" w:rsidRDefault="00A93986" w:rsidP="002474DC">
      <w:pPr>
        <w:widowControl/>
        <w:autoSpaceDE/>
        <w:autoSpaceDN/>
        <w:ind w:left="851" w:hanging="851"/>
        <w:jc w:val="both"/>
        <w:textAlignment w:val="auto"/>
        <w:rPr>
          <w:rFonts w:ascii="Arial" w:eastAsiaTheme="minorHAnsi" w:hAnsi="Arial" w:cstheme="minorBidi"/>
          <w:sz w:val="22"/>
          <w:szCs w:val="22"/>
          <w:lang w:val="fr-FR"/>
        </w:rPr>
      </w:pPr>
      <w:r w:rsidRPr="00D140FE">
        <w:rPr>
          <w:rFonts w:ascii="Arial" w:eastAsiaTheme="minorHAnsi" w:hAnsi="Arial" w:cstheme="minorBidi"/>
          <w:sz w:val="22"/>
          <w:szCs w:val="22"/>
          <w:lang w:val="fr-FR"/>
        </w:rPr>
        <w:t>15.BB.</w:t>
      </w:r>
      <w:r w:rsidRPr="00D140FE">
        <w:rPr>
          <w:rFonts w:ascii="Arial" w:eastAsiaTheme="minorHAnsi" w:hAnsi="Arial" w:cstheme="minorBidi"/>
          <w:sz w:val="22"/>
          <w:szCs w:val="22"/>
          <w:lang w:val="fr-FR"/>
        </w:rPr>
        <w:tab/>
        <w:t>Le Comité permanent est invité à étudier les possibilités de renforcer le soutien du FEM à la mise en œuvre de la CMS</w:t>
      </w:r>
      <w:r w:rsidR="00215436" w:rsidRPr="00D140FE">
        <w:rPr>
          <w:rFonts w:ascii="Arial" w:eastAsiaTheme="minorHAnsi" w:hAnsi="Arial" w:cstheme="minorBidi"/>
          <w:sz w:val="22"/>
          <w:szCs w:val="22"/>
          <w:lang w:val="fr-FR"/>
        </w:rPr>
        <w:t>.</w:t>
      </w:r>
    </w:p>
    <w:p w14:paraId="269F2BDF" w14:textId="77777777" w:rsidR="00A93986" w:rsidRPr="00D140FE" w:rsidRDefault="00A93986" w:rsidP="0084632A">
      <w:pPr>
        <w:widowControl/>
        <w:autoSpaceDE/>
        <w:autoSpaceDN/>
        <w:jc w:val="both"/>
        <w:textAlignment w:val="auto"/>
        <w:rPr>
          <w:rFonts w:ascii="Arial" w:eastAsiaTheme="minorHAnsi" w:hAnsi="Arial" w:cstheme="minorBidi"/>
          <w:sz w:val="22"/>
          <w:szCs w:val="22"/>
          <w:lang w:val="fr-FR"/>
        </w:rPr>
      </w:pPr>
    </w:p>
    <w:p w14:paraId="4362DCBC" w14:textId="77777777" w:rsidR="00A93986" w:rsidRPr="00D140FE" w:rsidRDefault="00A93986" w:rsidP="002474DC">
      <w:pPr>
        <w:widowControl/>
        <w:autoSpaceDE/>
        <w:autoSpaceDN/>
        <w:jc w:val="both"/>
        <w:textAlignment w:val="auto"/>
        <w:rPr>
          <w:rFonts w:ascii="Arial" w:eastAsiaTheme="minorHAnsi" w:hAnsi="Arial" w:cstheme="minorBidi"/>
          <w:b/>
          <w:bCs/>
          <w:i/>
          <w:iCs/>
          <w:sz w:val="22"/>
          <w:szCs w:val="22"/>
          <w:lang w:val="fr-FR"/>
        </w:rPr>
      </w:pPr>
      <w:r w:rsidRPr="00D140FE">
        <w:rPr>
          <w:rFonts w:ascii="Arial" w:eastAsiaTheme="minorHAnsi" w:hAnsi="Arial" w:cstheme="minorBidi"/>
          <w:b/>
          <w:bCs/>
          <w:i/>
          <w:iCs/>
          <w:sz w:val="22"/>
          <w:szCs w:val="22"/>
          <w:lang w:val="fr-FR"/>
        </w:rPr>
        <w:t>À l'attention du Secrétariat</w:t>
      </w:r>
    </w:p>
    <w:p w14:paraId="42BAEBA8" w14:textId="77777777" w:rsidR="00A93986" w:rsidRPr="00D140FE" w:rsidRDefault="00A93986" w:rsidP="002474DC">
      <w:pPr>
        <w:widowControl/>
        <w:autoSpaceDE/>
        <w:autoSpaceDN/>
        <w:jc w:val="both"/>
        <w:textAlignment w:val="auto"/>
        <w:rPr>
          <w:rFonts w:ascii="Arial" w:eastAsiaTheme="minorHAnsi" w:hAnsi="Arial" w:cstheme="minorBidi"/>
          <w:sz w:val="22"/>
          <w:szCs w:val="22"/>
          <w:lang w:val="fr-FR"/>
        </w:rPr>
      </w:pPr>
    </w:p>
    <w:p w14:paraId="17EF559D" w14:textId="616490FC" w:rsidR="00A93986" w:rsidRPr="00D140FE" w:rsidRDefault="00A93986" w:rsidP="002474DC">
      <w:pPr>
        <w:widowControl/>
        <w:autoSpaceDE/>
        <w:autoSpaceDN/>
        <w:ind w:left="851" w:hanging="851"/>
        <w:jc w:val="both"/>
        <w:textAlignment w:val="auto"/>
        <w:rPr>
          <w:rFonts w:ascii="Arial" w:eastAsiaTheme="minorHAnsi" w:hAnsi="Arial" w:cstheme="minorBidi"/>
          <w:sz w:val="22"/>
          <w:szCs w:val="22"/>
          <w:lang w:val="fr-FR"/>
        </w:rPr>
      </w:pPr>
      <w:r w:rsidRPr="00D140FE">
        <w:rPr>
          <w:rFonts w:ascii="Arial" w:eastAsiaTheme="minorHAnsi" w:hAnsi="Arial" w:cstheme="minorBidi"/>
          <w:sz w:val="22"/>
          <w:szCs w:val="22"/>
          <w:lang w:val="fr-FR"/>
        </w:rPr>
        <w:t>15.</w:t>
      </w:r>
      <w:r w:rsidR="00215436" w:rsidRPr="00D140FE">
        <w:rPr>
          <w:rFonts w:ascii="Arial" w:eastAsiaTheme="minorHAnsi" w:hAnsi="Arial" w:cstheme="minorBidi"/>
          <w:sz w:val="22"/>
          <w:szCs w:val="22"/>
          <w:lang w:val="fr-FR"/>
        </w:rPr>
        <w:t>CC</w:t>
      </w:r>
      <w:r w:rsidRPr="00D140FE">
        <w:rPr>
          <w:rFonts w:ascii="Arial" w:eastAsiaTheme="minorHAnsi" w:hAnsi="Arial" w:cstheme="minorBidi"/>
          <w:sz w:val="22"/>
          <w:szCs w:val="22"/>
          <w:lang w:val="fr-FR"/>
        </w:rPr>
        <w:t xml:space="preserve"> </w:t>
      </w:r>
      <w:r w:rsidRPr="00D140FE">
        <w:rPr>
          <w:rFonts w:ascii="Arial" w:eastAsiaTheme="minorHAnsi" w:hAnsi="Arial" w:cstheme="minorBidi"/>
          <w:sz w:val="22"/>
          <w:szCs w:val="22"/>
          <w:lang w:val="fr-FR"/>
        </w:rPr>
        <w:tab/>
        <w:t>Le Secrétariat devra :</w:t>
      </w:r>
    </w:p>
    <w:p w14:paraId="53B429BF" w14:textId="77777777" w:rsidR="00A93986" w:rsidRPr="00D140FE" w:rsidRDefault="00A93986" w:rsidP="002474DC">
      <w:pPr>
        <w:widowControl/>
        <w:autoSpaceDE/>
        <w:autoSpaceDN/>
        <w:ind w:left="851" w:hanging="851"/>
        <w:jc w:val="both"/>
        <w:textAlignment w:val="auto"/>
        <w:rPr>
          <w:rFonts w:ascii="Arial" w:eastAsiaTheme="minorHAnsi" w:hAnsi="Arial" w:cstheme="minorBidi"/>
          <w:sz w:val="22"/>
          <w:szCs w:val="22"/>
          <w:lang w:val="fr-FR"/>
        </w:rPr>
      </w:pPr>
    </w:p>
    <w:p w14:paraId="41B269B1" w14:textId="77777777" w:rsidR="00A93986" w:rsidRPr="00D140FE" w:rsidRDefault="00A93986" w:rsidP="002474DC">
      <w:pPr>
        <w:widowControl/>
        <w:autoSpaceDE/>
        <w:autoSpaceDN/>
        <w:ind w:left="1418" w:hanging="567"/>
        <w:jc w:val="both"/>
        <w:textAlignment w:val="auto"/>
        <w:rPr>
          <w:rFonts w:ascii="Arial" w:eastAsiaTheme="minorHAnsi" w:hAnsi="Arial" w:cstheme="minorBidi"/>
          <w:sz w:val="22"/>
          <w:szCs w:val="22"/>
          <w:lang w:val="fr-FR"/>
        </w:rPr>
      </w:pPr>
      <w:r w:rsidRPr="00D140FE">
        <w:rPr>
          <w:rFonts w:ascii="Arial" w:eastAsiaTheme="minorHAnsi" w:hAnsi="Arial" w:cstheme="minorBidi"/>
          <w:sz w:val="22"/>
          <w:szCs w:val="22"/>
          <w:lang w:val="fr-FR"/>
        </w:rPr>
        <w:t xml:space="preserve">a) </w:t>
      </w:r>
      <w:r w:rsidRPr="00D140FE">
        <w:rPr>
          <w:rFonts w:ascii="Arial" w:eastAsiaTheme="minorHAnsi" w:hAnsi="Arial" w:cstheme="minorBidi"/>
          <w:sz w:val="22"/>
          <w:szCs w:val="22"/>
          <w:lang w:val="fr-FR"/>
        </w:rPr>
        <w:tab/>
        <w:t>transmettre la décision 15.AA au Directeur général (et Président) du FEM ;</w:t>
      </w:r>
    </w:p>
    <w:p w14:paraId="748D74F4" w14:textId="77777777" w:rsidR="00A93986" w:rsidRPr="00D140FE" w:rsidRDefault="00A93986" w:rsidP="002474DC">
      <w:pPr>
        <w:widowControl/>
        <w:autoSpaceDE/>
        <w:autoSpaceDN/>
        <w:ind w:left="1418" w:hanging="567"/>
        <w:jc w:val="both"/>
        <w:textAlignment w:val="auto"/>
        <w:rPr>
          <w:rFonts w:ascii="Arial" w:eastAsiaTheme="minorHAnsi" w:hAnsi="Arial" w:cstheme="minorBidi"/>
          <w:sz w:val="22"/>
          <w:szCs w:val="22"/>
          <w:lang w:val="fr-FR"/>
        </w:rPr>
      </w:pPr>
    </w:p>
    <w:p w14:paraId="71CCA3AF" w14:textId="4FE59314" w:rsidR="00A93986" w:rsidRPr="00D140FE" w:rsidRDefault="00A93986" w:rsidP="002474DC">
      <w:pPr>
        <w:widowControl/>
        <w:autoSpaceDE/>
        <w:autoSpaceDN/>
        <w:ind w:left="1418" w:hanging="567"/>
        <w:jc w:val="both"/>
        <w:textAlignment w:val="auto"/>
        <w:rPr>
          <w:rFonts w:ascii="Arial" w:eastAsiaTheme="minorHAnsi" w:hAnsi="Arial" w:cstheme="minorBidi"/>
          <w:sz w:val="22"/>
          <w:szCs w:val="22"/>
          <w:lang w:val="fr-FR"/>
        </w:rPr>
      </w:pPr>
      <w:r w:rsidRPr="00D140FE">
        <w:rPr>
          <w:rFonts w:ascii="Arial" w:eastAsiaTheme="minorHAnsi" w:hAnsi="Arial" w:cstheme="minorBidi"/>
          <w:sz w:val="22"/>
          <w:szCs w:val="22"/>
          <w:lang w:val="fr-FR"/>
        </w:rPr>
        <w:t xml:space="preserve">b) </w:t>
      </w:r>
      <w:r w:rsidRPr="00D140FE">
        <w:rPr>
          <w:rFonts w:ascii="Arial" w:eastAsiaTheme="minorHAnsi" w:hAnsi="Arial" w:cstheme="minorBidi"/>
          <w:sz w:val="22"/>
          <w:szCs w:val="22"/>
          <w:lang w:val="fr-FR"/>
        </w:rPr>
        <w:tab/>
        <w:t>sous réserve de la disponibilité de ressources, soutenir les travaux du Comité permanent visant à explorer les options permettant de renforcer le soutien du FEM à la mise en œuvre de la CMS</w:t>
      </w:r>
      <w:r w:rsidR="00D140FE" w:rsidRPr="00D140FE">
        <w:rPr>
          <w:rFonts w:ascii="Arial" w:eastAsiaTheme="minorHAnsi" w:hAnsi="Arial" w:cstheme="minorBidi"/>
          <w:sz w:val="22"/>
          <w:szCs w:val="22"/>
          <w:lang w:val="fr-FR"/>
        </w:rPr>
        <w:t>.</w:t>
      </w:r>
    </w:p>
    <w:p w14:paraId="166E37E8" w14:textId="77777777" w:rsidR="00D140FE" w:rsidRPr="00D140FE" w:rsidRDefault="00D140FE" w:rsidP="002474DC">
      <w:pPr>
        <w:widowControl/>
        <w:autoSpaceDE/>
        <w:autoSpaceDN/>
        <w:jc w:val="both"/>
        <w:textAlignment w:val="auto"/>
        <w:rPr>
          <w:rFonts w:ascii="Arial" w:eastAsiaTheme="minorHAnsi" w:hAnsi="Arial" w:cstheme="minorBidi"/>
          <w:sz w:val="22"/>
          <w:szCs w:val="22"/>
          <w:lang w:val="fr-FR"/>
        </w:rPr>
      </w:pPr>
    </w:p>
    <w:p w14:paraId="0E7DA863" w14:textId="77777777" w:rsidR="00D140FE" w:rsidRPr="00D140FE" w:rsidRDefault="00D140FE" w:rsidP="002474DC">
      <w:pPr>
        <w:widowControl/>
        <w:autoSpaceDE/>
        <w:autoSpaceDN/>
        <w:jc w:val="both"/>
        <w:textAlignment w:val="auto"/>
        <w:rPr>
          <w:rFonts w:ascii="Arial" w:eastAsiaTheme="minorHAnsi" w:hAnsi="Arial" w:cstheme="minorBidi"/>
          <w:sz w:val="22"/>
          <w:szCs w:val="22"/>
          <w:lang w:val="fr-FR"/>
        </w:rPr>
      </w:pPr>
    </w:p>
    <w:p w14:paraId="39C9D682" w14:textId="121AA1F5" w:rsidR="00D140FE" w:rsidRPr="00D140FE" w:rsidRDefault="00D140FE" w:rsidP="002474DC">
      <w:pPr>
        <w:jc w:val="center"/>
        <w:rPr>
          <w:rFonts w:ascii="Arial" w:hAnsi="Arial" w:cs="Arial"/>
          <w:b/>
          <w:sz w:val="22"/>
          <w:szCs w:val="22"/>
          <w:lang w:val="fr-FR"/>
        </w:rPr>
      </w:pPr>
      <w:r w:rsidRPr="00D140FE">
        <w:rPr>
          <w:rFonts w:ascii="Arial" w:hAnsi="Arial" w:cs="Arial"/>
          <w:b/>
          <w:sz w:val="22"/>
          <w:szCs w:val="22"/>
          <w:lang w:val="fr-FR"/>
        </w:rPr>
        <w:t>STRATÉGIE DE MOBILISATION DES RESSOURCES</w:t>
      </w:r>
    </w:p>
    <w:p w14:paraId="0F370309" w14:textId="77777777" w:rsidR="00D140FE" w:rsidRPr="00D140FE" w:rsidRDefault="00D140FE" w:rsidP="002474DC">
      <w:pPr>
        <w:jc w:val="both"/>
        <w:rPr>
          <w:rFonts w:ascii="Arial" w:hAnsi="Arial" w:cs="Arial"/>
          <w:sz w:val="22"/>
          <w:szCs w:val="22"/>
          <w:lang w:val="fr-FR"/>
        </w:rPr>
      </w:pPr>
    </w:p>
    <w:p w14:paraId="39970AD7" w14:textId="77777777" w:rsidR="00D140FE" w:rsidRPr="00D140FE" w:rsidRDefault="00D140FE" w:rsidP="002474DC">
      <w:pPr>
        <w:tabs>
          <w:tab w:val="left" w:pos="1701"/>
        </w:tabs>
        <w:ind w:left="1134" w:hanging="1134"/>
        <w:rPr>
          <w:rFonts w:ascii="Arial" w:hAnsi="Arial" w:cs="Arial"/>
          <w:b/>
          <w:bCs/>
          <w:i/>
          <w:iCs/>
          <w:sz w:val="22"/>
          <w:szCs w:val="22"/>
          <w:lang w:val="fr-FR"/>
        </w:rPr>
      </w:pPr>
      <w:r w:rsidRPr="00D140FE">
        <w:rPr>
          <w:rFonts w:ascii="Arial" w:hAnsi="Arial" w:cs="Arial"/>
          <w:b/>
          <w:bCs/>
          <w:i/>
          <w:iCs/>
          <w:sz w:val="22"/>
          <w:szCs w:val="22"/>
          <w:lang w:val="fr-FR"/>
        </w:rPr>
        <w:t>À l'attention du Comité permanent</w:t>
      </w:r>
    </w:p>
    <w:p w14:paraId="50F88D9E" w14:textId="77777777" w:rsidR="00D140FE" w:rsidRPr="00D140FE" w:rsidRDefault="00D140FE" w:rsidP="002474DC">
      <w:pPr>
        <w:tabs>
          <w:tab w:val="left" w:pos="1701"/>
        </w:tabs>
        <w:ind w:left="1134" w:hanging="1134"/>
        <w:rPr>
          <w:rFonts w:ascii="Arial" w:hAnsi="Arial" w:cs="Arial"/>
          <w:sz w:val="22"/>
          <w:szCs w:val="22"/>
          <w:lang w:val="fr-FR"/>
        </w:rPr>
      </w:pPr>
    </w:p>
    <w:p w14:paraId="7B1166D4" w14:textId="77777777" w:rsidR="00AB434D" w:rsidRDefault="00D140FE" w:rsidP="0084632A">
      <w:pPr>
        <w:tabs>
          <w:tab w:val="left" w:pos="1701"/>
        </w:tabs>
        <w:ind w:left="851" w:hanging="851"/>
        <w:jc w:val="both"/>
        <w:rPr>
          <w:rFonts w:ascii="Arial" w:hAnsi="Arial" w:cs="Arial"/>
          <w:sz w:val="22"/>
          <w:szCs w:val="22"/>
          <w:lang w:val="fr-FR"/>
        </w:rPr>
      </w:pPr>
      <w:r w:rsidRPr="00D140FE">
        <w:rPr>
          <w:rFonts w:ascii="Arial" w:hAnsi="Arial" w:cs="Arial"/>
          <w:sz w:val="22"/>
          <w:szCs w:val="22"/>
          <w:lang w:val="fr-FR"/>
        </w:rPr>
        <w:t>15.AA </w:t>
      </w:r>
      <w:r w:rsidRPr="00D140FE">
        <w:rPr>
          <w:rFonts w:ascii="Arial" w:hAnsi="Arial" w:cs="Arial"/>
          <w:sz w:val="22"/>
          <w:szCs w:val="22"/>
          <w:lang w:val="fr-FR"/>
        </w:rPr>
        <w:tab/>
      </w:r>
      <w:r>
        <w:rPr>
          <w:rFonts w:ascii="Arial" w:hAnsi="Arial" w:cs="Arial"/>
          <w:sz w:val="22"/>
          <w:szCs w:val="22"/>
          <w:lang w:val="fr-FR"/>
        </w:rPr>
        <w:t>Le</w:t>
      </w:r>
      <w:r w:rsidRPr="00D140FE">
        <w:rPr>
          <w:rFonts w:ascii="Arial" w:hAnsi="Arial" w:cs="Arial"/>
          <w:sz w:val="22"/>
          <w:szCs w:val="22"/>
          <w:lang w:val="fr-FR"/>
        </w:rPr>
        <w:t xml:space="preserve"> Comité permanent </w:t>
      </w:r>
      <w:r>
        <w:rPr>
          <w:rFonts w:ascii="Arial" w:hAnsi="Arial" w:cs="Arial"/>
          <w:sz w:val="22"/>
          <w:szCs w:val="22"/>
          <w:lang w:val="fr-FR"/>
        </w:rPr>
        <w:t>est prié,</w:t>
      </w:r>
      <w:r w:rsidRPr="00D140FE">
        <w:rPr>
          <w:rFonts w:ascii="Arial" w:hAnsi="Arial" w:cs="Arial"/>
          <w:sz w:val="22"/>
          <w:szCs w:val="22"/>
          <w:lang w:val="fr-FR"/>
        </w:rPr>
        <w:t xml:space="preserve"> avec le concours du Secrétariat</w:t>
      </w:r>
      <w:r w:rsidR="00AB434D">
        <w:rPr>
          <w:rFonts w:ascii="Arial" w:hAnsi="Arial" w:cs="Arial"/>
          <w:sz w:val="22"/>
          <w:szCs w:val="22"/>
          <w:lang w:val="fr-FR"/>
        </w:rPr>
        <w:t> :</w:t>
      </w:r>
    </w:p>
    <w:p w14:paraId="3193C845" w14:textId="77777777" w:rsidR="00AB434D" w:rsidRDefault="00AB434D" w:rsidP="0084632A">
      <w:pPr>
        <w:tabs>
          <w:tab w:val="left" w:pos="1701"/>
        </w:tabs>
        <w:ind w:left="851" w:hanging="851"/>
        <w:jc w:val="both"/>
        <w:rPr>
          <w:rFonts w:ascii="Arial" w:hAnsi="Arial" w:cs="Arial"/>
          <w:sz w:val="22"/>
          <w:szCs w:val="22"/>
          <w:lang w:val="fr-FR"/>
        </w:rPr>
      </w:pPr>
    </w:p>
    <w:p w14:paraId="6AD1813A" w14:textId="6017F2A8" w:rsidR="009F7B80" w:rsidRDefault="00AB434D" w:rsidP="006D3041">
      <w:pPr>
        <w:pStyle w:val="ListParagraph"/>
        <w:numPr>
          <w:ilvl w:val="0"/>
          <w:numId w:val="9"/>
        </w:numPr>
        <w:tabs>
          <w:tab w:val="left" w:pos="1701"/>
        </w:tabs>
        <w:suppressAutoHyphens/>
        <w:ind w:left="851" w:hanging="851"/>
        <w:contextualSpacing w:val="0"/>
        <w:rPr>
          <w:rFonts w:cs="Arial"/>
          <w:lang w:val="fr-FR"/>
        </w:rPr>
      </w:pPr>
      <w:r>
        <w:rPr>
          <w:rFonts w:cs="Arial"/>
          <w:lang w:val="fr-FR"/>
        </w:rPr>
        <w:t xml:space="preserve">de compiler, dans l’année qui suit la COP15, des informations sur les ressources émanant de toutes les sources, aux fins de conservation des espèces migratrices, afin de recenser les sources de financement existantes et leur disponibilité, ainsi que de </w:t>
      </w:r>
      <w:r w:rsidR="009F7B80">
        <w:rPr>
          <w:rFonts w:cs="Arial"/>
          <w:lang w:val="fr-FR"/>
        </w:rPr>
        <w:t>déterminer</w:t>
      </w:r>
      <w:r>
        <w:rPr>
          <w:rFonts w:cs="Arial"/>
          <w:lang w:val="fr-FR"/>
        </w:rPr>
        <w:t xml:space="preserve"> les lacunes et </w:t>
      </w:r>
      <w:r w:rsidR="009F7B80">
        <w:rPr>
          <w:rFonts w:cs="Arial"/>
          <w:lang w:val="fr-FR"/>
        </w:rPr>
        <w:t xml:space="preserve">de définir </w:t>
      </w:r>
      <w:r>
        <w:rPr>
          <w:rFonts w:cs="Arial"/>
          <w:lang w:val="fr-FR"/>
        </w:rPr>
        <w:t xml:space="preserve">les options de mobilisation des ressources potentielles, à partir, notamment, des rapports nationaux et des informations disponibles dans d’autres </w:t>
      </w:r>
      <w:r w:rsidR="009F7B80">
        <w:rPr>
          <w:rFonts w:cs="Arial"/>
          <w:lang w:val="fr-FR"/>
        </w:rPr>
        <w:t>accords multilatéraux sur l’environnement ;</w:t>
      </w:r>
    </w:p>
    <w:p w14:paraId="4B596CAF" w14:textId="77777777" w:rsidR="009F7B80" w:rsidRDefault="009F7B80" w:rsidP="006D3041">
      <w:pPr>
        <w:pStyle w:val="ListParagraph"/>
        <w:tabs>
          <w:tab w:val="left" w:pos="1701"/>
        </w:tabs>
        <w:suppressAutoHyphens/>
        <w:ind w:left="851" w:hanging="851"/>
        <w:contextualSpacing w:val="0"/>
        <w:rPr>
          <w:rFonts w:cs="Arial"/>
          <w:lang w:val="fr-FR"/>
        </w:rPr>
      </w:pPr>
    </w:p>
    <w:p w14:paraId="6A5DD78A" w14:textId="3E5A5FFA" w:rsidR="00D140FE" w:rsidRPr="00AB434D" w:rsidRDefault="009F7B80" w:rsidP="006D3041">
      <w:pPr>
        <w:pStyle w:val="ListParagraph"/>
        <w:numPr>
          <w:ilvl w:val="0"/>
          <w:numId w:val="9"/>
        </w:numPr>
        <w:tabs>
          <w:tab w:val="left" w:pos="1701"/>
        </w:tabs>
        <w:suppressAutoHyphens/>
        <w:ind w:left="851" w:hanging="851"/>
        <w:contextualSpacing w:val="0"/>
        <w:rPr>
          <w:rFonts w:cs="Arial"/>
          <w:lang w:val="fr-FR"/>
        </w:rPr>
      </w:pPr>
      <w:r>
        <w:rPr>
          <w:rFonts w:cs="Arial"/>
          <w:lang w:val="fr-FR"/>
        </w:rPr>
        <w:t xml:space="preserve">compte tenu de ladite compilation, d’élaborer </w:t>
      </w:r>
      <w:r w:rsidR="00D140FE" w:rsidRPr="00AB434D">
        <w:rPr>
          <w:rFonts w:cs="Arial"/>
          <w:lang w:val="fr-FR"/>
        </w:rPr>
        <w:t xml:space="preserve">une stratégie de mobilisation des ressources, en accordant une attention particulière aux difficultés spécifiques rencontrées par les Parties qui sont des pays en développement, notamment les pays les moins avancés et les petits États insulaires en développement, dans la mise en œuvre de la Convention, et de la soumettre </w:t>
      </w:r>
      <w:r w:rsidR="00601106" w:rsidRPr="00AB434D">
        <w:rPr>
          <w:rFonts w:cs="Arial"/>
          <w:lang w:val="fr-FR"/>
        </w:rPr>
        <w:t>à</w:t>
      </w:r>
      <w:r w:rsidR="00D140FE" w:rsidRPr="00AB434D">
        <w:rPr>
          <w:rFonts w:cs="Arial"/>
          <w:lang w:val="fr-FR"/>
        </w:rPr>
        <w:t xml:space="preserve"> la COP16</w:t>
      </w:r>
      <w:r w:rsidR="00601106" w:rsidRPr="00AB434D">
        <w:rPr>
          <w:rFonts w:cs="Arial"/>
          <w:lang w:val="fr-FR"/>
        </w:rPr>
        <w:t xml:space="preserve"> pour examen et approbation.</w:t>
      </w:r>
    </w:p>
    <w:p w14:paraId="2D22AD9D" w14:textId="77777777" w:rsidR="00D140FE" w:rsidRPr="00D140FE" w:rsidRDefault="00D140FE" w:rsidP="002474DC">
      <w:pPr>
        <w:jc w:val="both"/>
        <w:rPr>
          <w:rFonts w:ascii="Arial" w:hAnsi="Arial" w:cs="Arial"/>
          <w:b/>
          <w:bCs/>
          <w:i/>
          <w:iCs/>
          <w:sz w:val="22"/>
          <w:szCs w:val="22"/>
          <w:lang w:val="fr-FR"/>
        </w:rPr>
      </w:pPr>
    </w:p>
    <w:p w14:paraId="0211F8D8" w14:textId="77777777" w:rsidR="00D140FE" w:rsidRPr="00D140FE" w:rsidRDefault="00D140FE" w:rsidP="002474DC">
      <w:pPr>
        <w:rPr>
          <w:rFonts w:ascii="Arial" w:hAnsi="Arial" w:cs="Arial"/>
          <w:b/>
          <w:bCs/>
          <w:i/>
          <w:iCs/>
          <w:sz w:val="22"/>
          <w:szCs w:val="22"/>
          <w:lang w:val="fr-FR"/>
        </w:rPr>
      </w:pPr>
      <w:r w:rsidRPr="00D140FE">
        <w:rPr>
          <w:rFonts w:ascii="Arial" w:hAnsi="Arial" w:cs="Arial"/>
          <w:b/>
          <w:bCs/>
          <w:i/>
          <w:iCs/>
          <w:sz w:val="22"/>
          <w:szCs w:val="22"/>
          <w:lang w:val="fr-FR"/>
        </w:rPr>
        <w:t>À l'attention du Secrétariat</w:t>
      </w:r>
    </w:p>
    <w:p w14:paraId="782E13D9" w14:textId="77777777" w:rsidR="00D140FE" w:rsidRPr="00D140FE" w:rsidRDefault="00D140FE" w:rsidP="002474DC">
      <w:pPr>
        <w:rPr>
          <w:rFonts w:ascii="Arial" w:hAnsi="Arial" w:cs="Arial"/>
          <w:sz w:val="22"/>
          <w:szCs w:val="22"/>
          <w:lang w:val="fr-FR"/>
        </w:rPr>
      </w:pPr>
    </w:p>
    <w:p w14:paraId="317D654B" w14:textId="762F99F7" w:rsidR="00A93986" w:rsidRPr="009A15DC" w:rsidRDefault="00D140FE" w:rsidP="009A15DC">
      <w:pPr>
        <w:ind w:left="851" w:hanging="851"/>
        <w:jc w:val="both"/>
        <w:rPr>
          <w:rFonts w:ascii="Arial" w:hAnsi="Arial" w:cs="Arial"/>
          <w:sz w:val="22"/>
          <w:szCs w:val="22"/>
          <w:lang w:val="fr-FR"/>
        </w:rPr>
      </w:pPr>
      <w:r w:rsidRPr="00D140FE">
        <w:rPr>
          <w:rFonts w:ascii="Arial" w:hAnsi="Arial" w:cs="Arial"/>
          <w:sz w:val="22"/>
          <w:szCs w:val="22"/>
          <w:lang w:val="fr-FR"/>
        </w:rPr>
        <w:t xml:space="preserve">15.BB </w:t>
      </w:r>
      <w:r w:rsidRPr="00D140FE">
        <w:rPr>
          <w:rFonts w:ascii="Arial" w:hAnsi="Arial" w:cs="Arial"/>
          <w:sz w:val="22"/>
          <w:szCs w:val="22"/>
          <w:lang w:val="fr-FR"/>
        </w:rPr>
        <w:tab/>
      </w:r>
      <w:r w:rsidR="006D5BC8" w:rsidRPr="006D5BC8">
        <w:rPr>
          <w:rFonts w:ascii="Arial" w:hAnsi="Arial" w:cs="Arial"/>
          <w:sz w:val="22"/>
          <w:szCs w:val="22"/>
          <w:lang w:val="fr-FR"/>
        </w:rPr>
        <w:t xml:space="preserve">Le Secrétariat aide le Comité permanent à </w:t>
      </w:r>
      <w:r w:rsidR="009F7B80">
        <w:rPr>
          <w:rFonts w:ascii="Arial" w:hAnsi="Arial" w:cs="Arial"/>
          <w:sz w:val="22"/>
          <w:szCs w:val="22"/>
          <w:lang w:val="fr-FR"/>
        </w:rPr>
        <w:t xml:space="preserve">compiler les informations pertinentes et à </w:t>
      </w:r>
      <w:r w:rsidR="006D5BC8" w:rsidRPr="006D5BC8">
        <w:rPr>
          <w:rFonts w:ascii="Arial" w:hAnsi="Arial" w:cs="Arial"/>
          <w:sz w:val="22"/>
          <w:szCs w:val="22"/>
          <w:lang w:val="fr-FR"/>
        </w:rPr>
        <w:t>élaborer la stratégie de mobilisation des ressources.</w:t>
      </w:r>
    </w:p>
    <w:sectPr w:rsidR="00A93986" w:rsidRPr="009A15DC"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13E0" w14:textId="77777777" w:rsidR="00167A8E" w:rsidRDefault="00167A8E">
      <w:r>
        <w:separator/>
      </w:r>
    </w:p>
  </w:endnote>
  <w:endnote w:type="continuationSeparator" w:id="0">
    <w:p w14:paraId="56F18BD4" w14:textId="77777777" w:rsidR="00167A8E" w:rsidRDefault="00167A8E">
      <w:r>
        <w:continuationSeparator/>
      </w:r>
    </w:p>
  </w:endnote>
  <w:endnote w:type="continuationNotice" w:id="1">
    <w:p w14:paraId="69F34000" w14:textId="77777777" w:rsidR="00167A8E" w:rsidRDefault="00167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A99B" w14:textId="77777777" w:rsidR="00167A8E" w:rsidRDefault="00167A8E">
      <w:r>
        <w:rPr>
          <w:color w:val="000000"/>
        </w:rPr>
        <w:separator/>
      </w:r>
    </w:p>
  </w:footnote>
  <w:footnote w:type="continuationSeparator" w:id="0">
    <w:p w14:paraId="38BF29EC" w14:textId="77777777" w:rsidR="00167A8E" w:rsidRDefault="00167A8E">
      <w:r>
        <w:continuationSeparator/>
      </w:r>
    </w:p>
  </w:footnote>
  <w:footnote w:type="continuationNotice" w:id="1">
    <w:p w14:paraId="695E0E62" w14:textId="77777777" w:rsidR="00167A8E" w:rsidRDefault="00167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6B322D4B" w:rsidR="0041439A" w:rsidRPr="0006228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62281">
      <w:rPr>
        <w:rFonts w:ascii="Arial" w:hAnsi="Arial" w:cs="Arial"/>
        <w:i/>
        <w:sz w:val="18"/>
        <w:szCs w:val="18"/>
        <w:lang w:val="en-GB"/>
      </w:rPr>
      <w:t>UNEP/CMS/COP1</w:t>
    </w:r>
    <w:r w:rsidR="00AB5285" w:rsidRPr="00062281">
      <w:rPr>
        <w:rFonts w:ascii="Arial" w:hAnsi="Arial" w:cs="Arial"/>
        <w:i/>
        <w:sz w:val="18"/>
        <w:szCs w:val="18"/>
        <w:lang w:val="en-GB"/>
      </w:rPr>
      <w:t>5</w:t>
    </w:r>
    <w:r w:rsidRPr="00062281">
      <w:rPr>
        <w:rFonts w:ascii="Arial" w:hAnsi="Arial" w:cs="Arial"/>
        <w:i/>
        <w:sz w:val="18"/>
        <w:szCs w:val="18"/>
        <w:lang w:val="en-GB"/>
      </w:rPr>
      <w:t>/CRP</w:t>
    </w:r>
    <w:r w:rsidR="00F418C8" w:rsidRPr="00062281">
      <w:rPr>
        <w:rFonts w:ascii="Arial" w:hAnsi="Arial" w:cs="Arial"/>
        <w:i/>
        <w:sz w:val="18"/>
        <w:szCs w:val="18"/>
        <w:lang w:val="en-GB"/>
      </w:rPr>
      <w:t>14.3</w:t>
    </w:r>
    <w:r w:rsidR="009F7B80" w:rsidRPr="00062281">
      <w:rPr>
        <w:rFonts w:ascii="Arial" w:hAnsi="Arial" w:cs="Arial"/>
        <w:i/>
        <w:sz w:val="18"/>
        <w:szCs w:val="18"/>
        <w:lang w:val="en-GB"/>
      </w:rPr>
      <w:t>/Rev.1</w:t>
    </w:r>
  </w:p>
  <w:p w14:paraId="50B9F4CC" w14:textId="77777777" w:rsidR="0041439A" w:rsidRPr="00062281" w:rsidRDefault="0041439A">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7508B9BB" w:rsidR="0041439A" w:rsidRPr="006D3041"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6D3041">
      <w:rPr>
        <w:rFonts w:ascii="Arial" w:hAnsi="Arial" w:cs="Arial"/>
        <w:i/>
        <w:sz w:val="18"/>
        <w:szCs w:val="18"/>
        <w:lang w:val="en-GB"/>
      </w:rPr>
      <w:t>UNEP/CMS/COP1</w:t>
    </w:r>
    <w:r w:rsidR="00AB5285" w:rsidRPr="006D3041">
      <w:rPr>
        <w:rFonts w:ascii="Arial" w:hAnsi="Arial" w:cs="Arial"/>
        <w:i/>
        <w:sz w:val="18"/>
        <w:szCs w:val="18"/>
        <w:lang w:val="en-GB"/>
      </w:rPr>
      <w:t>5</w:t>
    </w:r>
    <w:r w:rsidRPr="006D3041">
      <w:rPr>
        <w:rFonts w:ascii="Arial" w:hAnsi="Arial" w:cs="Arial"/>
        <w:i/>
        <w:sz w:val="18"/>
        <w:szCs w:val="18"/>
        <w:lang w:val="en-GB"/>
      </w:rPr>
      <w:t>/CRP</w:t>
    </w:r>
    <w:r w:rsidR="00744672" w:rsidRPr="006D3041">
      <w:rPr>
        <w:rFonts w:ascii="Arial" w:hAnsi="Arial" w:cs="Arial"/>
        <w:i/>
        <w:sz w:val="18"/>
        <w:szCs w:val="18"/>
        <w:lang w:val="en-GB"/>
      </w:rPr>
      <w:t>14.3</w:t>
    </w:r>
    <w:r w:rsidR="006D3041" w:rsidRPr="006D3041">
      <w:rPr>
        <w:rFonts w:ascii="Arial" w:hAnsi="Arial" w:cs="Arial"/>
        <w:i/>
        <w:sz w:val="18"/>
        <w:szCs w:val="18"/>
        <w:lang w:val="en-GB"/>
      </w:rPr>
      <w:t>/Rev</w:t>
    </w:r>
    <w:r w:rsidR="006D3041">
      <w:rPr>
        <w:rFonts w:ascii="Arial" w:hAnsi="Arial" w:cs="Arial"/>
        <w:i/>
        <w:sz w:val="18"/>
        <w:szCs w:val="18"/>
        <w:lang w:val="en-GB"/>
      </w:rPr>
      <w:t>.1</w:t>
    </w:r>
  </w:p>
  <w:p w14:paraId="75025A37" w14:textId="77777777" w:rsidR="0041439A" w:rsidRPr="006D3041" w:rsidRDefault="0041439A">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5A38CA3" w:rsidR="007A1066" w:rsidRPr="00062281"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062281">
      <w:rPr>
        <w:rFonts w:ascii="Arial" w:hAnsi="Arial" w:cs="Arial"/>
        <w:bCs/>
        <w:i/>
        <w:iCs/>
        <w:sz w:val="18"/>
        <w:szCs w:val="18"/>
        <w:lang w:val="en-GB"/>
      </w:rPr>
      <w:t>UNEP/CMS/COP1</w:t>
    </w:r>
    <w:r w:rsidR="00AB5285" w:rsidRPr="00062281">
      <w:rPr>
        <w:rFonts w:ascii="Arial" w:hAnsi="Arial" w:cs="Arial"/>
        <w:bCs/>
        <w:i/>
        <w:iCs/>
        <w:sz w:val="18"/>
        <w:szCs w:val="18"/>
        <w:lang w:val="en-GB"/>
      </w:rPr>
      <w:t>5</w:t>
    </w:r>
    <w:r w:rsidRPr="00062281">
      <w:rPr>
        <w:rFonts w:ascii="Arial" w:hAnsi="Arial" w:cs="Arial"/>
        <w:bCs/>
        <w:i/>
        <w:iCs/>
        <w:sz w:val="18"/>
        <w:szCs w:val="18"/>
        <w:lang w:val="en-GB"/>
      </w:rPr>
      <w:t>/CRP</w:t>
    </w:r>
    <w:r w:rsidR="00A93986" w:rsidRPr="00062281">
      <w:rPr>
        <w:rFonts w:ascii="Arial" w:hAnsi="Arial" w:cs="Arial"/>
        <w:bCs/>
        <w:i/>
        <w:iCs/>
        <w:sz w:val="18"/>
        <w:szCs w:val="18"/>
        <w:lang w:val="en-GB"/>
      </w:rPr>
      <w:t>14.3</w:t>
    </w:r>
    <w:r w:rsidR="00AB434D" w:rsidRPr="00062281">
      <w:rPr>
        <w:rFonts w:ascii="Arial" w:hAnsi="Arial" w:cs="Arial"/>
        <w:bCs/>
        <w:i/>
        <w:iCs/>
        <w:sz w:val="18"/>
        <w:szCs w:val="18"/>
        <w:lang w:val="en-GB"/>
      </w:rPr>
      <w:t>/Rev.1</w:t>
    </w:r>
  </w:p>
  <w:p w14:paraId="117A266F" w14:textId="77777777" w:rsidR="007A1066" w:rsidRPr="00062281" w:rsidRDefault="007A1066">
    <w:pPr>
      <w:pStyle w:val="Header"/>
      <w:rPr>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4CF7D40"/>
    <w:multiLevelType w:val="hybridMultilevel"/>
    <w:tmpl w:val="93DE2C00"/>
    <w:lvl w:ilvl="0" w:tplc="2000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3"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0D22968"/>
    <w:multiLevelType w:val="hybridMultilevel"/>
    <w:tmpl w:val="F510FA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D37ECB"/>
    <w:multiLevelType w:val="hybridMultilevel"/>
    <w:tmpl w:val="9FC848A8"/>
    <w:lvl w:ilvl="0" w:tplc="DD6C2FB6">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5"/>
  </w:num>
  <w:num w:numId="2" w16cid:durableId="574051727">
    <w:abstractNumId w:val="8"/>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3"/>
  </w:num>
  <w:num w:numId="5" w16cid:durableId="599720149">
    <w:abstractNumId w:val="0"/>
  </w:num>
  <w:num w:numId="6" w16cid:durableId="1796025329">
    <w:abstractNumId w:val="1"/>
  </w:num>
  <w:num w:numId="7" w16cid:durableId="1284775198">
    <w:abstractNumId w:val="2"/>
  </w:num>
  <w:num w:numId="8" w16cid:durableId="340007976">
    <w:abstractNumId w:val="7"/>
  </w:num>
  <w:num w:numId="9" w16cid:durableId="821238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11F89"/>
    <w:rsid w:val="00043F0B"/>
    <w:rsid w:val="00045F82"/>
    <w:rsid w:val="00062281"/>
    <w:rsid w:val="000B0D60"/>
    <w:rsid w:val="001125D7"/>
    <w:rsid w:val="00122DBF"/>
    <w:rsid w:val="001352BB"/>
    <w:rsid w:val="00142859"/>
    <w:rsid w:val="00164D92"/>
    <w:rsid w:val="00167428"/>
    <w:rsid w:val="00167A8E"/>
    <w:rsid w:val="00181E96"/>
    <w:rsid w:val="00215436"/>
    <w:rsid w:val="00220ABA"/>
    <w:rsid w:val="002243FE"/>
    <w:rsid w:val="00227282"/>
    <w:rsid w:val="002474DC"/>
    <w:rsid w:val="00265942"/>
    <w:rsid w:val="0027066C"/>
    <w:rsid w:val="00276113"/>
    <w:rsid w:val="0029168C"/>
    <w:rsid w:val="002B6DE7"/>
    <w:rsid w:val="002C5F42"/>
    <w:rsid w:val="002F3D0F"/>
    <w:rsid w:val="00303A6A"/>
    <w:rsid w:val="0033796E"/>
    <w:rsid w:val="00361315"/>
    <w:rsid w:val="00382CEA"/>
    <w:rsid w:val="003F1AD8"/>
    <w:rsid w:val="00413940"/>
    <w:rsid w:val="0041439A"/>
    <w:rsid w:val="0043102F"/>
    <w:rsid w:val="0052458B"/>
    <w:rsid w:val="005645C4"/>
    <w:rsid w:val="0058757D"/>
    <w:rsid w:val="005B53FD"/>
    <w:rsid w:val="005D43E4"/>
    <w:rsid w:val="005D574F"/>
    <w:rsid w:val="005F0639"/>
    <w:rsid w:val="00601106"/>
    <w:rsid w:val="00620BD8"/>
    <w:rsid w:val="00646AE8"/>
    <w:rsid w:val="006821C9"/>
    <w:rsid w:val="00687331"/>
    <w:rsid w:val="006D020E"/>
    <w:rsid w:val="006D3041"/>
    <w:rsid w:val="006D5BC8"/>
    <w:rsid w:val="00700B6A"/>
    <w:rsid w:val="007103C8"/>
    <w:rsid w:val="007211AB"/>
    <w:rsid w:val="00744672"/>
    <w:rsid w:val="00751AAD"/>
    <w:rsid w:val="00794BFD"/>
    <w:rsid w:val="007A1066"/>
    <w:rsid w:val="007A5544"/>
    <w:rsid w:val="007C5FF3"/>
    <w:rsid w:val="007F43DD"/>
    <w:rsid w:val="00826906"/>
    <w:rsid w:val="00840CA6"/>
    <w:rsid w:val="0084632A"/>
    <w:rsid w:val="008469E7"/>
    <w:rsid w:val="00857813"/>
    <w:rsid w:val="008B642A"/>
    <w:rsid w:val="00950DA4"/>
    <w:rsid w:val="00960B8C"/>
    <w:rsid w:val="0096699F"/>
    <w:rsid w:val="009A15DC"/>
    <w:rsid w:val="009B03FC"/>
    <w:rsid w:val="009F3558"/>
    <w:rsid w:val="009F7B80"/>
    <w:rsid w:val="00A61B7C"/>
    <w:rsid w:val="00A8579B"/>
    <w:rsid w:val="00A93986"/>
    <w:rsid w:val="00AA138B"/>
    <w:rsid w:val="00AA61FF"/>
    <w:rsid w:val="00AB434D"/>
    <w:rsid w:val="00AB5285"/>
    <w:rsid w:val="00AC26F1"/>
    <w:rsid w:val="00AE39EA"/>
    <w:rsid w:val="00AE590E"/>
    <w:rsid w:val="00B27F15"/>
    <w:rsid w:val="00B4191F"/>
    <w:rsid w:val="00B536F0"/>
    <w:rsid w:val="00B91802"/>
    <w:rsid w:val="00BB3AD7"/>
    <w:rsid w:val="00BF4AC7"/>
    <w:rsid w:val="00C30C58"/>
    <w:rsid w:val="00C31E29"/>
    <w:rsid w:val="00D140FE"/>
    <w:rsid w:val="00D416B7"/>
    <w:rsid w:val="00D50F95"/>
    <w:rsid w:val="00D51334"/>
    <w:rsid w:val="00D61140"/>
    <w:rsid w:val="00D62D31"/>
    <w:rsid w:val="00D82C56"/>
    <w:rsid w:val="00DB2EEB"/>
    <w:rsid w:val="00DC4827"/>
    <w:rsid w:val="00DD4709"/>
    <w:rsid w:val="00DD5522"/>
    <w:rsid w:val="00DE47E6"/>
    <w:rsid w:val="00E1532C"/>
    <w:rsid w:val="00E153CA"/>
    <w:rsid w:val="00E45B44"/>
    <w:rsid w:val="00E829C9"/>
    <w:rsid w:val="00EF2BC5"/>
    <w:rsid w:val="00EF34EF"/>
    <w:rsid w:val="00F34E63"/>
    <w:rsid w:val="00F418C8"/>
    <w:rsid w:val="00F45DD7"/>
    <w:rsid w:val="00F52A55"/>
    <w:rsid w:val="00F56104"/>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0FE"/>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character" w:styleId="UnresolvedMention">
    <w:name w:val="Unresolved Mention"/>
    <w:basedOn w:val="DefaultParagraphFont"/>
    <w:uiPriority w:val="99"/>
    <w:semiHidden/>
    <w:unhideWhenUsed/>
    <w:rsid w:val="00043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17C15-E81C-473A-B7E7-F3DD0D6F77F9}"/>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1215</Words>
  <Characters>6927</Characters>
  <Application>Microsoft Office Word</Application>
  <DocSecurity>0</DocSecurity>
  <Lines>57</Lines>
  <Paragraphs>16</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8</cp:revision>
  <cp:lastPrinted>2020-02-03T15:02:00Z</cp:lastPrinted>
  <dcterms:created xsi:type="dcterms:W3CDTF">2026-03-28T01:47:00Z</dcterms:created>
  <dcterms:modified xsi:type="dcterms:W3CDTF">2026-03-28T02:09:00Z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