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03"/>
        <w:gridCol w:w="4119"/>
      </w:tblGrid>
      <w:tr w:rsidR="00926518" w:rsidRPr="00390F1C" w14:paraId="05047EFF" w14:textId="77777777" w:rsidTr="00390F1C">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22F660DA" w14:textId="77777777" w:rsidR="00926518" w:rsidRPr="00EC2A58" w:rsidRDefault="00926518" w:rsidP="00A81C4E">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cs="Arial"/>
                <w:noProof/>
              </w:rPr>
              <w:drawing>
                <wp:inline distT="0" distB="0" distL="0" distR="0" wp14:anchorId="3411C1DE" wp14:editId="28473A11">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60EE6376" w14:textId="77777777" w:rsidR="00926518" w:rsidRPr="00EC2A58" w:rsidRDefault="00926518" w:rsidP="00A81C4E">
            <w:pPr>
              <w:widowControl w:val="0"/>
              <w:suppressAutoHyphens/>
              <w:autoSpaceDE w:val="0"/>
              <w:autoSpaceDN w:val="0"/>
              <w:spacing w:after="0" w:line="240" w:lineRule="auto"/>
              <w:textAlignment w:val="baseline"/>
              <w:rPr>
                <w:rFonts w:eastAsia="Times New Roman" w:cs="Arial"/>
                <w:lang w:val="fr-FR"/>
              </w:rPr>
            </w:pPr>
          </w:p>
        </w:tc>
        <w:tc>
          <w:tcPr>
            <w:tcW w:w="4003" w:type="dxa"/>
            <w:tcBorders>
              <w:top w:val="single" w:sz="12" w:space="0" w:color="000000"/>
              <w:bottom w:val="single" w:sz="12" w:space="0" w:color="000000"/>
            </w:tcBorders>
            <w:tcMar>
              <w:top w:w="85" w:type="dxa"/>
              <w:left w:w="108" w:type="dxa"/>
              <w:bottom w:w="0" w:type="dxa"/>
              <w:right w:w="108" w:type="dxa"/>
            </w:tcMar>
          </w:tcPr>
          <w:p w14:paraId="346A7EA9" w14:textId="77777777" w:rsidR="00926518" w:rsidRPr="00EC2A58" w:rsidRDefault="00926518" w:rsidP="00A81C4E">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7489D63C" w14:textId="77777777" w:rsidR="00926518" w:rsidRPr="00EC2A58" w:rsidRDefault="00926518" w:rsidP="00A81C4E">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66ECA884" w14:textId="77777777" w:rsidR="00926518" w:rsidRPr="00EC2A58" w:rsidRDefault="00926518" w:rsidP="00A81C4E">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2009BF60" w14:textId="77777777" w:rsidR="00926518" w:rsidRPr="00EC2A58" w:rsidRDefault="00926518" w:rsidP="00A81C4E">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4119" w:type="dxa"/>
            <w:tcBorders>
              <w:top w:val="single" w:sz="12" w:space="0" w:color="000000"/>
              <w:bottom w:val="single" w:sz="12" w:space="0" w:color="000000"/>
            </w:tcBorders>
            <w:tcMar>
              <w:top w:w="85" w:type="dxa"/>
              <w:left w:w="108" w:type="dxa"/>
              <w:bottom w:w="0" w:type="dxa"/>
              <w:right w:w="108" w:type="dxa"/>
            </w:tcMar>
          </w:tcPr>
          <w:p w14:paraId="30FF7D2C" w14:textId="0F2356E7" w:rsidR="00926518" w:rsidRPr="00390F1C" w:rsidRDefault="00926518" w:rsidP="00A81C4E">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rPr>
            </w:pPr>
            <w:r w:rsidRPr="00390F1C">
              <w:rPr>
                <w:rFonts w:eastAsia="Arial" w:cs="Arial"/>
              </w:rPr>
              <w:t>UNEP/CMS/COP15/Doc.</w:t>
            </w:r>
            <w:r w:rsidR="00300DAE" w:rsidRPr="00390F1C">
              <w:rPr>
                <w:rFonts w:eastAsia="Arial" w:cs="Arial"/>
              </w:rPr>
              <w:t>31.3.16</w:t>
            </w:r>
            <w:r w:rsidR="00390F1C" w:rsidRPr="00390F1C">
              <w:rPr>
                <w:rFonts w:eastAsia="Arial" w:cs="Arial"/>
              </w:rPr>
              <w:t>/Rev</w:t>
            </w:r>
            <w:r w:rsidR="00390F1C">
              <w:rPr>
                <w:rFonts w:eastAsia="Arial" w:cs="Arial"/>
              </w:rPr>
              <w:t>.1</w:t>
            </w:r>
          </w:p>
          <w:p w14:paraId="5471DCC5" w14:textId="1D84359D" w:rsidR="00926518" w:rsidRPr="00AF3AEC" w:rsidRDefault="00300DAE" w:rsidP="00A81C4E">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 xml:space="preserve">8 </w:t>
            </w:r>
            <w:r w:rsidR="00592455">
              <w:rPr>
                <w:rFonts w:eastAsia="Arial" w:cs="Arial"/>
                <w:lang w:val="fr-FR"/>
              </w:rPr>
              <w:t>janvier</w:t>
            </w:r>
            <w:r w:rsidR="00926518" w:rsidRPr="00AF3AEC">
              <w:rPr>
                <w:rFonts w:eastAsia="Arial" w:cs="Arial"/>
                <w:lang w:val="fr-FR"/>
              </w:rPr>
              <w:t>202</w:t>
            </w:r>
            <w:r w:rsidR="00592455">
              <w:rPr>
                <w:rFonts w:eastAsia="Arial" w:cs="Arial"/>
                <w:lang w:val="fr-FR"/>
              </w:rPr>
              <w:t>6</w:t>
            </w:r>
          </w:p>
          <w:p w14:paraId="2F2F5EF7" w14:textId="77777777" w:rsidR="00926518" w:rsidRPr="00FC4F18" w:rsidRDefault="00926518" w:rsidP="00A81C4E">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475AE4B3" w14:textId="77777777" w:rsidR="00926518" w:rsidRPr="00FC4F18" w:rsidRDefault="00926518" w:rsidP="00A81C4E">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rFonts w:eastAsia="Arial" w:cs="Arial"/>
                <w:lang w:val="fr-FR"/>
              </w:rPr>
              <w:t>Original : Anglais</w:t>
            </w:r>
          </w:p>
        </w:tc>
      </w:tr>
    </w:tbl>
    <w:p w14:paraId="1888B98E" w14:textId="77777777" w:rsidR="00926518" w:rsidRPr="00EC2A58" w:rsidRDefault="00926518" w:rsidP="00926518">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bookmarkStart w:id="1" w:name="_Hlk208560946"/>
      <w:bookmarkEnd w:id="0"/>
    </w:p>
    <w:p w14:paraId="504349E9" w14:textId="77777777" w:rsidR="00926518" w:rsidRPr="00EC2A58" w:rsidRDefault="00926518" w:rsidP="00926518">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Pr>
          <w:rFonts w:eastAsia="Arial" w:cs="Arial"/>
          <w:lang w:val="fr-FR"/>
        </w:rPr>
        <w:t>5</w:t>
      </w:r>
      <w:r w:rsidRPr="00EC2A58">
        <w:rPr>
          <w:rFonts w:eastAsia="Arial" w:cs="Arial"/>
          <w:vertAlign w:val="superscript"/>
          <w:lang w:val="fr-FR"/>
        </w:rPr>
        <w:t>ème</w:t>
      </w:r>
      <w:r w:rsidRPr="00EC2A58">
        <w:rPr>
          <w:rFonts w:eastAsia="Arial" w:cs="Arial"/>
          <w:lang w:val="fr-FR"/>
        </w:rPr>
        <w:t xml:space="preserve"> SESSION DE LA CONFÉRENCE DES PARTIES</w:t>
      </w:r>
    </w:p>
    <w:p w14:paraId="40775ADE" w14:textId="77777777" w:rsidR="00926518" w:rsidRPr="00EC2A58" w:rsidRDefault="00926518" w:rsidP="0092651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Campo Grande, Brésil, 23 au 29 mars 2026</w:t>
      </w:r>
    </w:p>
    <w:p w14:paraId="3DE5CDB7" w14:textId="376107E8" w:rsidR="00926518" w:rsidRPr="00EC2A58" w:rsidRDefault="00926518" w:rsidP="00926518">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F24721">
        <w:rPr>
          <w:rFonts w:eastAsia="Arial" w:cs="Arial"/>
          <w:iCs/>
          <w:lang w:val="fr-FR"/>
        </w:rPr>
        <w:t>31.3.16</w:t>
      </w:r>
      <w:r w:rsidRPr="00EC2A58">
        <w:rPr>
          <w:rFonts w:eastAsia="Arial" w:cs="Arial"/>
          <w:iCs/>
          <w:lang w:val="fr-FR"/>
        </w:rPr>
        <w:t xml:space="preserve"> de l’ordre du jour</w:t>
      </w:r>
    </w:p>
    <w:bookmarkEnd w:id="1"/>
    <w:p w14:paraId="53EB89AE"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lang w:val="fr-FR"/>
        </w:rPr>
      </w:pPr>
    </w:p>
    <w:p w14:paraId="0E0DB247"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lang w:val="fr-FR"/>
        </w:rPr>
      </w:pPr>
    </w:p>
    <w:p w14:paraId="3E7D0E02" w14:textId="77777777" w:rsidR="00E42EB4" w:rsidRPr="00AC7730" w:rsidRDefault="004C1ADE">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lang w:val="fr-FR"/>
        </w:rPr>
      </w:pPr>
      <w:r w:rsidRPr="00AC7730">
        <w:rPr>
          <w:rFonts w:eastAsia="Times New Roman" w:cs="Arial"/>
          <w:b/>
          <w:bCs/>
          <w:lang w:val="fr-FR"/>
        </w:rPr>
        <w:t>PROPOSITION D'UNE ACTION CONCERTÉE POUR</w:t>
      </w:r>
    </w:p>
    <w:p w14:paraId="5E8F2FC0" w14:textId="17761EE4" w:rsidR="00E42EB4" w:rsidRPr="00AC7730" w:rsidRDefault="004C1ADE">
      <w:pPr>
        <w:pBdr>
          <w:top w:val="single" w:sz="6" w:space="0" w:color="FFFFFF"/>
          <w:left w:val="single" w:sz="6" w:space="0" w:color="FFFFFF"/>
          <w:bottom w:val="single" w:sz="6" w:space="0" w:color="FFFFFF"/>
          <w:right w:val="single" w:sz="6" w:space="0" w:color="FFFFFF"/>
        </w:pBdr>
        <w:spacing w:after="0" w:line="240" w:lineRule="auto"/>
        <w:jc w:val="center"/>
        <w:outlineLvl w:val="1"/>
        <w:rPr>
          <w:rFonts w:eastAsia="MS Mincho" w:cs="Arial"/>
          <w:b/>
          <w:lang w:val="fr-FR" w:eastAsia="en-GB"/>
        </w:rPr>
      </w:pPr>
      <w:r w:rsidRPr="00AC7730">
        <w:rPr>
          <w:rFonts w:eastAsia="Times New Roman" w:cs="Arial"/>
          <w:b/>
          <w:bCs/>
          <w:lang w:val="fr-FR"/>
        </w:rPr>
        <w:t xml:space="preserve">LES </w:t>
      </w:r>
      <w:r w:rsidRPr="00AC7730">
        <w:rPr>
          <w:rFonts w:eastAsia="MS Mincho" w:cs="Arial"/>
          <w:b/>
          <w:lang w:val="fr-FR" w:eastAsia="en-GB"/>
        </w:rPr>
        <w:t>RAIES MANTA ET DIABLE (</w:t>
      </w:r>
      <w:r w:rsidRPr="00AC7730">
        <w:rPr>
          <w:rFonts w:eastAsia="MS Mincho" w:cs="Arial"/>
          <w:b/>
          <w:i/>
          <w:lang w:val="fr-FR" w:eastAsia="en-GB"/>
        </w:rPr>
        <w:t>MOBULIDAE</w:t>
      </w:r>
      <w:r w:rsidRPr="00AC7730">
        <w:rPr>
          <w:rFonts w:eastAsia="MS Mincho" w:cs="Arial"/>
          <w:b/>
          <w:lang w:val="fr-FR" w:eastAsia="en-GB"/>
        </w:rPr>
        <w:t>)</w:t>
      </w:r>
      <w:r w:rsidRPr="00AC7730">
        <w:rPr>
          <w:rFonts w:eastAsia="Times New Roman" w:cs="Arial"/>
          <w:b/>
          <w:bCs/>
          <w:lang w:val="fr-FR"/>
        </w:rPr>
        <w:t xml:space="preserve"> DÉJÀ INSCRITES AUX ANNEXES I ET II DE LA CONVENTION</w:t>
      </w:r>
      <w:r w:rsidRPr="00AC7730">
        <w:rPr>
          <w:rFonts w:eastAsia="Times New Roman" w:cs="Arial"/>
          <w:sz w:val="21"/>
          <w:szCs w:val="21"/>
          <w:lang w:val="fr-FR"/>
        </w:rPr>
        <w:t>*</w:t>
      </w:r>
    </w:p>
    <w:p w14:paraId="3627CE77" w14:textId="77777777" w:rsidR="00E42EB4" w:rsidRPr="00AC7730" w:rsidRDefault="00E42EB4">
      <w:pPr>
        <w:widowControl w:val="0"/>
        <w:suppressAutoHyphens/>
        <w:autoSpaceDE w:val="0"/>
        <w:autoSpaceDN w:val="0"/>
        <w:spacing w:after="0" w:line="240" w:lineRule="auto"/>
        <w:jc w:val="center"/>
        <w:textAlignment w:val="baseline"/>
        <w:rPr>
          <w:rFonts w:eastAsia="Calibri" w:cs="Arial"/>
          <w:lang w:val="fr-FR"/>
        </w:rPr>
      </w:pPr>
    </w:p>
    <w:p w14:paraId="30286C6B" w14:textId="12B87D15" w:rsidR="00E42EB4" w:rsidRPr="00AC7730" w:rsidRDefault="00E42EB4">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19D41FC3" w14:textId="0CD8C504" w:rsidR="00E42EB4" w:rsidRPr="00AC7730" w:rsidRDefault="00A04D4A">
      <w:pPr>
        <w:widowControl w:val="0"/>
        <w:suppressAutoHyphens/>
        <w:autoSpaceDE w:val="0"/>
        <w:autoSpaceDN w:val="0"/>
        <w:spacing w:after="0" w:line="240" w:lineRule="auto"/>
        <w:jc w:val="both"/>
        <w:textAlignment w:val="baseline"/>
        <w:rPr>
          <w:rFonts w:eastAsia="Times New Roman" w:cs="Arial"/>
          <w:sz w:val="21"/>
          <w:szCs w:val="21"/>
          <w:lang w:val="fr-FR"/>
        </w:rPr>
      </w:pPr>
      <w:r w:rsidRPr="00AC7730">
        <w:rPr>
          <w:rFonts w:eastAsia="Times New Roman" w:cs="Arial"/>
          <w:noProof/>
          <w:sz w:val="21"/>
          <w:szCs w:val="21"/>
          <w:lang w:val="fr-FR"/>
        </w:rPr>
        <mc:AlternateContent>
          <mc:Choice Requires="wps">
            <w:drawing>
              <wp:anchor distT="0" distB="0" distL="114300" distR="114300" simplePos="0" relativeHeight="251658240" behindDoc="1" locked="0" layoutInCell="1" allowOverlap="1" wp14:anchorId="0C46FEAE" wp14:editId="3B3F2A35">
                <wp:simplePos x="0" y="0"/>
                <wp:positionH relativeFrom="margin">
                  <wp:posOffset>714375</wp:posOffset>
                </wp:positionH>
                <wp:positionV relativeFrom="margin">
                  <wp:posOffset>2809240</wp:posOffset>
                </wp:positionV>
                <wp:extent cx="4304665" cy="1857375"/>
                <wp:effectExtent l="0" t="0" r="19685" b="2857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1857375"/>
                        </a:xfrm>
                        <a:prstGeom prst="rect">
                          <a:avLst/>
                        </a:prstGeom>
                        <a:solidFill>
                          <a:srgbClr val="FFFFFF"/>
                        </a:solidFill>
                        <a:ln w="3172">
                          <a:solidFill>
                            <a:srgbClr val="000000"/>
                          </a:solidFill>
                          <a:prstDash val="solid"/>
                        </a:ln>
                      </wps:spPr>
                      <wps:txbx>
                        <w:txbxContent>
                          <w:p w14:paraId="4E45DDFD" w14:textId="77777777" w:rsidR="00E42EB4" w:rsidRDefault="004C1ADE">
                            <w:pPr>
                              <w:spacing w:after="0" w:line="240" w:lineRule="auto"/>
                              <w:jc w:val="both"/>
                              <w:rPr>
                                <w:rFonts w:cs="Arial"/>
                                <w:lang w:val="fr-FR"/>
                              </w:rPr>
                            </w:pPr>
                            <w:r>
                              <w:rPr>
                                <w:rFonts w:cs="Arial"/>
                                <w:lang w:val="fr-FR"/>
                              </w:rPr>
                              <w:t>Résumé :</w:t>
                            </w:r>
                          </w:p>
                          <w:p w14:paraId="69620C26" w14:textId="77777777" w:rsidR="00E42EB4" w:rsidRDefault="00E42EB4">
                            <w:pPr>
                              <w:spacing w:after="0" w:line="240" w:lineRule="auto"/>
                              <w:jc w:val="both"/>
                              <w:rPr>
                                <w:rFonts w:cs="Arial"/>
                                <w:lang w:val="fr-FR"/>
                              </w:rPr>
                            </w:pPr>
                          </w:p>
                          <w:p w14:paraId="7178F474" w14:textId="4E13BFB3" w:rsidR="00E42EB4" w:rsidRDefault="00B3684C">
                            <w:pPr>
                              <w:spacing w:after="0" w:line="240" w:lineRule="auto"/>
                              <w:jc w:val="both"/>
                              <w:rPr>
                                <w:rFonts w:cs="Arial"/>
                                <w:lang w:val="fr-FR"/>
                              </w:rPr>
                            </w:pPr>
                            <w:r>
                              <w:rPr>
                                <w:rFonts w:cs="Arial"/>
                                <w:lang w:val="fr-FR"/>
                              </w:rPr>
                              <w:t xml:space="preserve">Le gouvernement de l’Équateur, </w:t>
                            </w:r>
                            <w:r w:rsidR="004C1ADE">
                              <w:rPr>
                                <w:rFonts w:cs="Arial"/>
                                <w:lang w:val="fr-FR"/>
                              </w:rPr>
                              <w:t xml:space="preserve">The Manta Trust et la Société pour la conservation de la vie sauvage ont soumis la proposition ci‑jointe* pour une Action concertée concernant les raies </w:t>
                            </w:r>
                            <w:proofErr w:type="spellStart"/>
                            <w:r w:rsidR="004C1ADE">
                              <w:rPr>
                                <w:rFonts w:cs="Arial"/>
                                <w:lang w:val="fr-FR"/>
                              </w:rPr>
                              <w:t>manta</w:t>
                            </w:r>
                            <w:proofErr w:type="spellEnd"/>
                            <w:r w:rsidR="004C1ADE">
                              <w:rPr>
                                <w:rFonts w:cs="Arial"/>
                                <w:lang w:val="fr-FR"/>
                              </w:rPr>
                              <w:t xml:space="preserve"> et diable (</w:t>
                            </w:r>
                            <w:proofErr w:type="spellStart"/>
                            <w:r w:rsidR="004C1ADE">
                              <w:rPr>
                                <w:rFonts w:cs="Arial"/>
                                <w:lang w:val="fr-FR"/>
                              </w:rPr>
                              <w:t>Mobulidae</w:t>
                            </w:r>
                            <w:proofErr w:type="spellEnd"/>
                            <w:r w:rsidR="004C1ADE">
                              <w:rPr>
                                <w:rFonts w:cs="Arial"/>
                                <w:lang w:val="fr-FR"/>
                              </w:rPr>
                              <w:t>), conformément au processus décrit dans la Résolution 12.28 (Rev. COP14).</w:t>
                            </w:r>
                          </w:p>
                          <w:p w14:paraId="2166ACA8" w14:textId="77777777" w:rsidR="00A04D4A" w:rsidRDefault="00A04D4A">
                            <w:pPr>
                              <w:spacing w:after="0" w:line="240" w:lineRule="auto"/>
                              <w:jc w:val="both"/>
                              <w:rPr>
                                <w:rFonts w:cs="Arial"/>
                                <w:lang w:val="fr-FR"/>
                              </w:rPr>
                            </w:pPr>
                          </w:p>
                          <w:p w14:paraId="736E47D0" w14:textId="0DA7FE18" w:rsidR="00C80614" w:rsidRPr="00C971E7" w:rsidRDefault="00C80614" w:rsidP="00A81C4E">
                            <w:pPr>
                              <w:spacing w:after="0" w:line="240" w:lineRule="auto"/>
                              <w:jc w:val="both"/>
                              <w:rPr>
                                <w:rFonts w:cs="Arial"/>
                                <w:lang w:val="fr-FR"/>
                              </w:rPr>
                            </w:pPr>
                            <w:r w:rsidRPr="00C971E7">
                              <w:rPr>
                                <w:rFonts w:cs="Arial"/>
                                <w:lang w:val="fr-FR"/>
                              </w:rPr>
                              <w:t>La révision 1 reflète l'inclusion du</w:t>
                            </w:r>
                            <w:r w:rsidR="0053716F">
                              <w:rPr>
                                <w:rFonts w:cs="Arial"/>
                                <w:lang w:val="fr-FR"/>
                              </w:rPr>
                              <w:t xml:space="preserve"> </w:t>
                            </w:r>
                            <w:r w:rsidR="0053716F" w:rsidRPr="0053716F">
                              <w:rPr>
                                <w:rFonts w:cs="Arial"/>
                                <w:lang w:val="fr-FR"/>
                              </w:rPr>
                              <w:t>gouvernement de l’Équateur</w:t>
                            </w:r>
                            <w:r w:rsidR="0053716F">
                              <w:rPr>
                                <w:rFonts w:cs="Arial"/>
                                <w:lang w:val="fr-FR"/>
                              </w:rPr>
                              <w:t xml:space="preserve"> </w:t>
                            </w:r>
                            <w:r w:rsidRPr="00C971E7">
                              <w:rPr>
                                <w:rFonts w:cs="Arial"/>
                                <w:lang w:val="fr-FR"/>
                              </w:rPr>
                              <w:t xml:space="preserve">parmi </w:t>
                            </w:r>
                            <w:r w:rsidR="00E1756B" w:rsidRPr="00E1756B">
                              <w:rPr>
                                <w:rFonts w:cs="Arial"/>
                                <w:lang w:val="fr-FR"/>
                              </w:rPr>
                              <w:t xml:space="preserve">les </w:t>
                            </w:r>
                            <w:r w:rsidR="00E1756B" w:rsidRPr="00C971E7">
                              <w:rPr>
                                <w:rFonts w:eastAsia="MS Mincho" w:cs="Arial"/>
                                <w:lang w:val="fr-FR" w:eastAsia="en-GB"/>
                              </w:rPr>
                              <w:t>a</w:t>
                            </w:r>
                            <w:r w:rsidRPr="00C971E7">
                              <w:rPr>
                                <w:rFonts w:eastAsia="MS Mincho" w:cs="Arial"/>
                                <w:lang w:val="fr-FR" w:eastAsia="en-GB"/>
                              </w:rPr>
                              <w:t>uteur</w:t>
                            </w:r>
                            <w:r w:rsidR="00E1756B" w:rsidRPr="00C971E7">
                              <w:rPr>
                                <w:rFonts w:eastAsia="MS Mincho" w:cs="Arial"/>
                                <w:lang w:val="fr-FR" w:eastAsia="en-GB"/>
                              </w:rPr>
                              <w:t>s</w:t>
                            </w:r>
                            <w:r w:rsidRPr="00C971E7">
                              <w:rPr>
                                <w:rFonts w:eastAsia="MS Mincho" w:cs="Arial"/>
                                <w:lang w:val="fr-FR" w:eastAsia="en-GB"/>
                              </w:rPr>
                              <w:t xml:space="preserve"> de la proposition</w:t>
                            </w:r>
                            <w:r w:rsidR="00E1756B" w:rsidRPr="00C971E7">
                              <w:rPr>
                                <w:rFonts w:eastAsia="MS Mincho" w:cs="Arial"/>
                                <w:lang w:val="fr-FR" w:eastAsia="en-GB"/>
                              </w:rPr>
                              <w:t>.</w:t>
                            </w:r>
                          </w:p>
                          <w:p w14:paraId="1858F791" w14:textId="77777777" w:rsidR="00A04D4A" w:rsidRPr="00592455" w:rsidRDefault="00A04D4A">
                            <w:pPr>
                              <w:spacing w:after="0" w:line="240" w:lineRule="auto"/>
                              <w:jc w:val="both"/>
                              <w:rPr>
                                <w:rFonts w:cs="Arial"/>
                                <w:lang w:val="fr-FR"/>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0C46FEAE" id="_x0000_t202" coordsize="21600,21600" o:spt="202" path="m,l,21600r21600,l21600,xe">
                <v:stroke joinstyle="miter"/>
                <v:path gradientshapeok="t" o:connecttype="rect"/>
              </v:shapetype>
              <v:shape id="Text Box 5" o:spid="_x0000_s1026" type="#_x0000_t202" style="position:absolute;left:0;text-align:left;margin-left:56.25pt;margin-top:221.2pt;width:338.95pt;height:146.2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" strokeweight=".08811mm">
                <v:textbox>
                  <w:txbxContent>
                    <w:p w14:paraId="4E45DDFD" w14:textId="77777777" w:rsidR="00E42EB4" w:rsidRDefault="004C1ADE">
                      <w:pPr>
                        <w:spacing w:after="0" w:line="240" w:lineRule="auto"/>
                        <w:jc w:val="both"/>
                        <w:rPr>
                          <w:rFonts w:cs="Arial"/>
                          <w:lang w:val="fr-FR"/>
                        </w:rPr>
                      </w:pPr>
                      <w:r>
                        <w:rPr>
                          <w:rFonts w:cs="Arial"/>
                          <w:lang w:val="fr-FR"/>
                        </w:rPr>
                        <w:t>Résumé :</w:t>
                      </w:r>
                    </w:p>
                    <w:p w14:paraId="69620C26" w14:textId="77777777" w:rsidR="00E42EB4" w:rsidRDefault="00E42EB4">
                      <w:pPr>
                        <w:spacing w:after="0" w:line="240" w:lineRule="auto"/>
                        <w:jc w:val="both"/>
                        <w:rPr>
                          <w:rFonts w:cs="Arial"/>
                          <w:lang w:val="fr-FR"/>
                        </w:rPr>
                      </w:pPr>
                    </w:p>
                    <w:p w14:paraId="7178F474" w14:textId="4E13BFB3" w:rsidR="00E42EB4" w:rsidRDefault="00B3684C">
                      <w:pPr>
                        <w:spacing w:after="0" w:line="240" w:lineRule="auto"/>
                        <w:jc w:val="both"/>
                        <w:rPr>
                          <w:rFonts w:cs="Arial"/>
                          <w:lang w:val="fr-FR"/>
                        </w:rPr>
                      </w:pPr>
                      <w:r>
                        <w:rPr>
                          <w:rFonts w:cs="Arial"/>
                          <w:lang w:val="fr-FR"/>
                        </w:rPr>
                        <w:t xml:space="preserve">Le gouvernement de l’Équateur, </w:t>
                      </w:r>
                      <w:r w:rsidR="004C1ADE">
                        <w:rPr>
                          <w:rFonts w:cs="Arial"/>
                          <w:lang w:val="fr-FR"/>
                        </w:rPr>
                        <w:t xml:space="preserve">The Manta Trust et la Société pour la conservation de la vie sauvage ont soumis la proposition ci‑jointe* pour une Action concertée concernant les raies </w:t>
                      </w:r>
                      <w:proofErr w:type="spellStart"/>
                      <w:r w:rsidR="004C1ADE">
                        <w:rPr>
                          <w:rFonts w:cs="Arial"/>
                          <w:lang w:val="fr-FR"/>
                        </w:rPr>
                        <w:t>manta</w:t>
                      </w:r>
                      <w:proofErr w:type="spellEnd"/>
                      <w:r w:rsidR="004C1ADE">
                        <w:rPr>
                          <w:rFonts w:cs="Arial"/>
                          <w:lang w:val="fr-FR"/>
                        </w:rPr>
                        <w:t xml:space="preserve"> et diable (</w:t>
                      </w:r>
                      <w:proofErr w:type="spellStart"/>
                      <w:r w:rsidR="004C1ADE">
                        <w:rPr>
                          <w:rFonts w:cs="Arial"/>
                          <w:lang w:val="fr-FR"/>
                        </w:rPr>
                        <w:t>Mobulidae</w:t>
                      </w:r>
                      <w:proofErr w:type="spellEnd"/>
                      <w:r w:rsidR="004C1ADE">
                        <w:rPr>
                          <w:rFonts w:cs="Arial"/>
                          <w:lang w:val="fr-FR"/>
                        </w:rPr>
                        <w:t>), conformément au processus décrit dans la Résolution 12.28 (Rev. COP14).</w:t>
                      </w:r>
                    </w:p>
                    <w:p w14:paraId="2166ACA8" w14:textId="77777777" w:rsidR="00A04D4A" w:rsidRDefault="00A04D4A">
                      <w:pPr>
                        <w:spacing w:after="0" w:line="240" w:lineRule="auto"/>
                        <w:jc w:val="both"/>
                        <w:rPr>
                          <w:rFonts w:cs="Arial"/>
                          <w:lang w:val="fr-FR"/>
                        </w:rPr>
                      </w:pPr>
                    </w:p>
                    <w:p w14:paraId="736E47D0" w14:textId="0DA7FE18" w:rsidR="00C80614" w:rsidRPr="00C971E7" w:rsidRDefault="00C80614" w:rsidP="00A81C4E">
                      <w:pPr>
                        <w:spacing w:after="0" w:line="240" w:lineRule="auto"/>
                        <w:jc w:val="both"/>
                        <w:rPr>
                          <w:rFonts w:cs="Arial"/>
                          <w:lang w:val="fr-FR"/>
                        </w:rPr>
                      </w:pPr>
                      <w:r w:rsidRPr="00C971E7">
                        <w:rPr>
                          <w:rFonts w:cs="Arial"/>
                          <w:lang w:val="fr-FR"/>
                        </w:rPr>
                        <w:t>La révision 1 reflète l'inclusion du</w:t>
                      </w:r>
                      <w:r w:rsidR="0053716F">
                        <w:rPr>
                          <w:rFonts w:cs="Arial"/>
                          <w:lang w:val="fr-FR"/>
                        </w:rPr>
                        <w:t xml:space="preserve"> </w:t>
                      </w:r>
                      <w:r w:rsidR="0053716F" w:rsidRPr="0053716F">
                        <w:rPr>
                          <w:rFonts w:cs="Arial"/>
                          <w:lang w:val="fr-FR"/>
                        </w:rPr>
                        <w:t>gouvernement de l’Équateur</w:t>
                      </w:r>
                      <w:r w:rsidR="0053716F">
                        <w:rPr>
                          <w:rFonts w:cs="Arial"/>
                          <w:lang w:val="fr-FR"/>
                        </w:rPr>
                        <w:t xml:space="preserve"> </w:t>
                      </w:r>
                      <w:r w:rsidRPr="00C971E7">
                        <w:rPr>
                          <w:rFonts w:cs="Arial"/>
                          <w:lang w:val="fr-FR"/>
                        </w:rPr>
                        <w:t xml:space="preserve">parmi </w:t>
                      </w:r>
                      <w:r w:rsidR="00E1756B" w:rsidRPr="00E1756B">
                        <w:rPr>
                          <w:rFonts w:cs="Arial"/>
                          <w:lang w:val="fr-FR"/>
                        </w:rPr>
                        <w:t xml:space="preserve">les </w:t>
                      </w:r>
                      <w:r w:rsidR="00E1756B" w:rsidRPr="00C971E7">
                        <w:rPr>
                          <w:rFonts w:eastAsia="MS Mincho" w:cs="Arial"/>
                          <w:lang w:val="fr-FR" w:eastAsia="en-GB"/>
                        </w:rPr>
                        <w:t>a</w:t>
                      </w:r>
                      <w:r w:rsidRPr="00C971E7">
                        <w:rPr>
                          <w:rFonts w:eastAsia="MS Mincho" w:cs="Arial"/>
                          <w:lang w:val="fr-FR" w:eastAsia="en-GB"/>
                        </w:rPr>
                        <w:t>uteur</w:t>
                      </w:r>
                      <w:r w:rsidR="00E1756B" w:rsidRPr="00C971E7">
                        <w:rPr>
                          <w:rFonts w:eastAsia="MS Mincho" w:cs="Arial"/>
                          <w:lang w:val="fr-FR" w:eastAsia="en-GB"/>
                        </w:rPr>
                        <w:t>s</w:t>
                      </w:r>
                      <w:r w:rsidRPr="00C971E7">
                        <w:rPr>
                          <w:rFonts w:eastAsia="MS Mincho" w:cs="Arial"/>
                          <w:lang w:val="fr-FR" w:eastAsia="en-GB"/>
                        </w:rPr>
                        <w:t xml:space="preserve"> de la proposition</w:t>
                      </w:r>
                      <w:r w:rsidR="00E1756B" w:rsidRPr="00C971E7">
                        <w:rPr>
                          <w:rFonts w:eastAsia="MS Mincho" w:cs="Arial"/>
                          <w:lang w:val="fr-FR" w:eastAsia="en-GB"/>
                        </w:rPr>
                        <w:t>.</w:t>
                      </w:r>
                    </w:p>
                    <w:p w14:paraId="1858F791" w14:textId="77777777" w:rsidR="00A04D4A" w:rsidRPr="00592455" w:rsidRDefault="00A04D4A">
                      <w:pPr>
                        <w:spacing w:after="0" w:line="240" w:lineRule="auto"/>
                        <w:jc w:val="both"/>
                        <w:rPr>
                          <w:rFonts w:cs="Arial"/>
                          <w:lang w:val="fr-FR"/>
                        </w:rPr>
                      </w:pPr>
                    </w:p>
                  </w:txbxContent>
                </v:textbox>
                <w10:wrap type="square" anchorx="margin" anchory="margin"/>
              </v:shape>
            </w:pict>
          </mc:Fallback>
        </mc:AlternateContent>
      </w:r>
    </w:p>
    <w:p w14:paraId="79D33BFA"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37B0D23E"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157E6812"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2D6B4252"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06DC1E15"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457ABA62"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104D28A2"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7B1C78F5"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0E59525B"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13B93092" w14:textId="06C3491E"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42891DC4"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2147C20B"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z w:val="21"/>
          <w:szCs w:val="21"/>
          <w:lang w:val="fr-FR"/>
        </w:rPr>
      </w:pPr>
    </w:p>
    <w:p w14:paraId="58EBF1AB" w14:textId="77777777" w:rsidR="00E42EB4" w:rsidRPr="00AC7730" w:rsidRDefault="00E42EB4">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fr-FR"/>
        </w:rPr>
      </w:pPr>
    </w:p>
    <w:p w14:paraId="6EA30682"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lang w:val="fr-FR"/>
        </w:rPr>
      </w:pPr>
    </w:p>
    <w:p w14:paraId="7F3D9DD0"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lang w:val="fr-FR"/>
        </w:rPr>
      </w:pPr>
    </w:p>
    <w:p w14:paraId="79DC26AD" w14:textId="77777777" w:rsidR="00E42EB4" w:rsidRPr="00AC7730" w:rsidRDefault="00E42EB4">
      <w:pPr>
        <w:spacing w:after="0" w:line="240" w:lineRule="auto"/>
        <w:jc w:val="both"/>
        <w:rPr>
          <w:rFonts w:cs="Arial"/>
          <w:lang w:val="fr-FR"/>
        </w:rPr>
      </w:pPr>
    </w:p>
    <w:p w14:paraId="0DC4AD44" w14:textId="77777777" w:rsidR="00E42EB4" w:rsidRPr="00AC7730" w:rsidRDefault="00E42EB4">
      <w:pPr>
        <w:spacing w:after="0" w:line="240" w:lineRule="auto"/>
        <w:jc w:val="both"/>
        <w:rPr>
          <w:rFonts w:cs="Arial"/>
          <w:lang w:val="fr-FR"/>
        </w:rPr>
      </w:pPr>
    </w:p>
    <w:p w14:paraId="4D37CB44" w14:textId="77777777" w:rsidR="00E42EB4" w:rsidRPr="00AC7730" w:rsidRDefault="00E42EB4">
      <w:pPr>
        <w:spacing w:after="0" w:line="240" w:lineRule="auto"/>
        <w:jc w:val="both"/>
        <w:rPr>
          <w:rFonts w:cs="Arial"/>
          <w:lang w:val="fr-FR"/>
        </w:rPr>
      </w:pPr>
    </w:p>
    <w:p w14:paraId="707DC711" w14:textId="77777777" w:rsidR="00E42EB4" w:rsidRPr="00AC7730" w:rsidRDefault="00E42EB4">
      <w:pPr>
        <w:spacing w:after="0" w:line="240" w:lineRule="auto"/>
        <w:jc w:val="both"/>
        <w:rPr>
          <w:rFonts w:cs="Arial"/>
          <w:lang w:val="fr-FR"/>
        </w:rPr>
      </w:pPr>
    </w:p>
    <w:p w14:paraId="244ACF70" w14:textId="77777777" w:rsidR="00E42EB4" w:rsidRPr="00AC7730" w:rsidRDefault="00E42EB4">
      <w:pPr>
        <w:spacing w:after="0" w:line="240" w:lineRule="auto"/>
        <w:jc w:val="both"/>
        <w:rPr>
          <w:rFonts w:cs="Arial"/>
          <w:lang w:val="fr-FR"/>
        </w:rPr>
      </w:pPr>
    </w:p>
    <w:p w14:paraId="6504C3B1" w14:textId="77777777" w:rsidR="00E42EB4" w:rsidRPr="00AC7730" w:rsidRDefault="00E42EB4">
      <w:pPr>
        <w:spacing w:after="0" w:line="240" w:lineRule="auto"/>
        <w:jc w:val="both"/>
        <w:rPr>
          <w:rFonts w:cs="Arial"/>
          <w:lang w:val="fr-FR"/>
        </w:rPr>
      </w:pPr>
    </w:p>
    <w:p w14:paraId="02D44C80" w14:textId="77777777" w:rsidR="00E42EB4" w:rsidRPr="00AC7730" w:rsidRDefault="00E42EB4">
      <w:pPr>
        <w:spacing w:after="0" w:line="240" w:lineRule="auto"/>
        <w:jc w:val="both"/>
        <w:rPr>
          <w:rFonts w:cs="Arial"/>
          <w:lang w:val="fr-FR"/>
        </w:rPr>
      </w:pPr>
    </w:p>
    <w:p w14:paraId="25876CE5" w14:textId="77777777" w:rsidR="00E42EB4" w:rsidRPr="00AC7730" w:rsidRDefault="00E42EB4">
      <w:pPr>
        <w:spacing w:after="0" w:line="240" w:lineRule="auto"/>
        <w:jc w:val="both"/>
        <w:rPr>
          <w:rFonts w:cs="Arial"/>
          <w:lang w:val="fr-FR"/>
        </w:rPr>
      </w:pPr>
    </w:p>
    <w:p w14:paraId="57694EFB"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7E07D017"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0CC70B8D"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4B12EA2D"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2FAEA4E7"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59F9029D"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40E632ED"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5A3C8B88"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28FB5311" w14:textId="77777777" w:rsidR="00E42EB4" w:rsidRPr="00AC7730" w:rsidRDefault="00E42EB4">
      <w:pPr>
        <w:widowControl w:val="0"/>
        <w:suppressAutoHyphens/>
        <w:autoSpaceDE w:val="0"/>
        <w:autoSpaceDN w:val="0"/>
        <w:spacing w:after="0" w:line="240" w:lineRule="auto"/>
        <w:textAlignment w:val="baseline"/>
        <w:rPr>
          <w:rFonts w:eastAsia="Times New Roman" w:cs="Arial"/>
          <w:lang w:val="fr-FR"/>
        </w:rPr>
      </w:pPr>
    </w:p>
    <w:p w14:paraId="10CEDEB4" w14:textId="77777777" w:rsidR="009C3229" w:rsidRPr="009C3229" w:rsidRDefault="009C3229" w:rsidP="009C3229">
      <w:pPr>
        <w:jc w:val="both"/>
        <w:rPr>
          <w:lang w:val="fr-FR"/>
        </w:rPr>
      </w:pPr>
      <w:r w:rsidRPr="009C3229">
        <w:rPr>
          <w:rFonts w:eastAsia="Times New Roman" w:cs="Arial"/>
          <w:sz w:val="18"/>
          <w:szCs w:val="18"/>
          <w:lang w:val="fr-FR"/>
        </w:rPr>
        <w:t>*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14:paraId="4CAE6D05" w14:textId="4E7C4779" w:rsidR="00E42EB4" w:rsidRPr="009C3229" w:rsidRDefault="004C1ADE">
      <w:pPr>
        <w:widowControl w:val="0"/>
        <w:suppressAutoHyphens/>
        <w:autoSpaceDE w:val="0"/>
        <w:autoSpaceDN w:val="0"/>
        <w:spacing w:after="0" w:line="240" w:lineRule="auto"/>
        <w:jc w:val="both"/>
        <w:textAlignment w:val="baseline"/>
        <w:rPr>
          <w:rFonts w:eastAsia="Calibri" w:cs="Arial"/>
          <w:lang w:val="fr-FR"/>
        </w:rPr>
        <w:sectPr w:rsidR="00E42EB4" w:rsidRPr="009C3229">
          <w:headerReference w:type="even" r:id="rId12"/>
          <w:headerReference w:type="default" r:id="rId13"/>
          <w:footerReference w:type="even" r:id="rId14"/>
          <w:footerReference w:type="default" r:id="rId15"/>
          <w:headerReference w:type="first" r:id="rId16"/>
          <w:footerReference w:type="first" r:id="rId17"/>
          <w:endnotePr>
            <w:numFmt w:val="decimal"/>
          </w:endnotePr>
          <w:pgSz w:w="11905" w:h="16837"/>
          <w:pgMar w:top="1440" w:right="1440" w:bottom="1440" w:left="1440" w:header="432" w:footer="432" w:gutter="0"/>
          <w:cols w:space="720"/>
          <w:titlePg/>
          <w:docGrid w:linePitch="299"/>
        </w:sectPr>
      </w:pPr>
      <w:r w:rsidRPr="009C3229">
        <w:rPr>
          <w:rFonts w:eastAsia="Times New Roman" w:cs="Arial"/>
          <w:sz w:val="18"/>
          <w:szCs w:val="18"/>
          <w:lang w:val="fr-FR"/>
        </w:rPr>
        <w:t xml:space="preserve"> </w:t>
      </w:r>
    </w:p>
    <w:p w14:paraId="5A993B59" w14:textId="77777777" w:rsidR="00E42EB4" w:rsidRPr="00AC7730" w:rsidRDefault="004C1ADE" w:rsidP="009C3229">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lang w:val="fr-FR"/>
        </w:rPr>
      </w:pPr>
      <w:r w:rsidRPr="00AC7730">
        <w:rPr>
          <w:rFonts w:eastAsia="Times New Roman" w:cs="Arial"/>
          <w:b/>
          <w:bCs/>
          <w:lang w:val="fr-FR"/>
        </w:rPr>
        <w:lastRenderedPageBreak/>
        <w:t>PROPOSITION D'UNE ACTION CONCERTÉE POUR</w:t>
      </w:r>
    </w:p>
    <w:p w14:paraId="438699B4" w14:textId="77777777" w:rsidR="00E42EB4" w:rsidRPr="00AC7730" w:rsidRDefault="004C1ADE" w:rsidP="009C3229">
      <w:pPr>
        <w:widowControl w:val="0"/>
        <w:suppressAutoHyphens/>
        <w:autoSpaceDE w:val="0"/>
        <w:autoSpaceDN w:val="0"/>
        <w:spacing w:after="0" w:line="240" w:lineRule="auto"/>
        <w:jc w:val="center"/>
        <w:textAlignment w:val="baseline"/>
        <w:rPr>
          <w:rFonts w:eastAsia="MS Mincho" w:cs="Arial"/>
          <w:b/>
          <w:lang w:val="fr-FR" w:eastAsia="en-GB"/>
        </w:rPr>
      </w:pPr>
      <w:r w:rsidRPr="00AC7730">
        <w:rPr>
          <w:rFonts w:eastAsia="Times New Roman" w:cs="Arial"/>
          <w:b/>
          <w:bCs/>
          <w:lang w:val="fr-FR"/>
        </w:rPr>
        <w:t xml:space="preserve">LES </w:t>
      </w:r>
      <w:r w:rsidRPr="00AC7730">
        <w:rPr>
          <w:rFonts w:eastAsia="MS Mincho" w:cs="Arial"/>
          <w:b/>
          <w:lang w:val="fr-FR" w:eastAsia="en-GB"/>
        </w:rPr>
        <w:t>RAIES LES RAIES MANTA ET DIABLE (</w:t>
      </w:r>
      <w:r w:rsidRPr="00AC7730">
        <w:rPr>
          <w:rFonts w:eastAsia="MS Mincho" w:cs="Arial"/>
          <w:b/>
          <w:i/>
          <w:lang w:val="fr-FR" w:eastAsia="en-GB"/>
        </w:rPr>
        <w:t>MOBULIDAE</w:t>
      </w:r>
      <w:r w:rsidRPr="00AC7730">
        <w:rPr>
          <w:rFonts w:eastAsia="MS Mincho" w:cs="Arial"/>
          <w:b/>
          <w:lang w:val="fr-FR" w:eastAsia="en-GB"/>
        </w:rPr>
        <w:t>)</w:t>
      </w:r>
      <w:r w:rsidRPr="00AC7730">
        <w:rPr>
          <w:rFonts w:eastAsia="Times New Roman" w:cs="Arial"/>
          <w:b/>
          <w:bCs/>
          <w:lang w:val="fr-FR"/>
        </w:rPr>
        <w:t xml:space="preserve"> DÉJÀ INSCRITES AUX ANNEXES I ET II DE LA CONVENTION</w:t>
      </w:r>
    </w:p>
    <w:p w14:paraId="1DC35619"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b/>
          <w:lang w:val="fr-FR" w:eastAsia="en-GB"/>
        </w:rPr>
      </w:pPr>
    </w:p>
    <w:p w14:paraId="69CAD066"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b/>
          <w:lang w:val="fr-FR" w:eastAsia="en-GB"/>
        </w:rPr>
      </w:pPr>
    </w:p>
    <w:p w14:paraId="24A9D8A9"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Auteur(s) de la proposition</w:t>
      </w:r>
    </w:p>
    <w:p w14:paraId="22E98BAF" w14:textId="77777777" w:rsidR="00E42EB4" w:rsidRPr="00AC7730" w:rsidRDefault="00E42EB4">
      <w:pPr>
        <w:spacing w:after="0" w:line="240" w:lineRule="auto"/>
        <w:rPr>
          <w:rFonts w:eastAsia="MS Mincho" w:cs="Arial"/>
          <w:b/>
          <w:lang w:val="fr-FR" w:eastAsia="en-GB"/>
        </w:rPr>
      </w:pPr>
    </w:p>
    <w:p w14:paraId="39E3E7C5" w14:textId="7FFE5847" w:rsidR="00E1756B" w:rsidRPr="00C971E7" w:rsidRDefault="0053716F" w:rsidP="0053716F">
      <w:pPr>
        <w:pStyle w:val="ListParagraph"/>
        <w:numPr>
          <w:ilvl w:val="0"/>
          <w:numId w:val="33"/>
        </w:numPr>
        <w:spacing w:after="0" w:line="240" w:lineRule="auto"/>
        <w:rPr>
          <w:rFonts w:eastAsia="MS Mincho" w:cs="Arial"/>
          <w:b/>
          <w:lang w:val="fr-FR" w:eastAsia="en-GB"/>
        </w:rPr>
      </w:pPr>
      <w:r w:rsidRPr="00C971E7">
        <w:rPr>
          <w:rFonts w:cs="Arial"/>
          <w:b/>
          <w:bCs/>
          <w:lang w:val="fr-FR"/>
        </w:rPr>
        <w:t>Le gouvernement de l’Équateur</w:t>
      </w:r>
    </w:p>
    <w:p w14:paraId="1ED5D975" w14:textId="77777777" w:rsidR="0053716F" w:rsidRPr="00C971E7" w:rsidRDefault="0053716F" w:rsidP="00C971E7">
      <w:pPr>
        <w:pStyle w:val="ListParagraph"/>
        <w:spacing w:after="0" w:line="240" w:lineRule="auto"/>
        <w:rPr>
          <w:rFonts w:eastAsia="MS Mincho" w:cs="Arial"/>
          <w:b/>
          <w:lang w:val="fr-FR" w:eastAsia="en-GB"/>
        </w:rPr>
      </w:pPr>
    </w:p>
    <w:p w14:paraId="74A08C91" w14:textId="73345669" w:rsidR="00E42EB4" w:rsidRPr="00C971E7" w:rsidRDefault="004C1ADE" w:rsidP="00C971E7">
      <w:pPr>
        <w:pStyle w:val="ListParagraph"/>
        <w:numPr>
          <w:ilvl w:val="0"/>
          <w:numId w:val="33"/>
        </w:numPr>
        <w:spacing w:after="0" w:line="240" w:lineRule="auto"/>
        <w:rPr>
          <w:rFonts w:eastAsia="MS Mincho" w:cs="Arial"/>
          <w:b/>
          <w:lang w:val="fr-FR" w:eastAsia="en-GB"/>
        </w:rPr>
      </w:pPr>
      <w:r w:rsidRPr="00C971E7">
        <w:rPr>
          <w:rFonts w:eastAsia="MS Mincho" w:cs="Arial"/>
          <w:b/>
          <w:lang w:val="fr-FR" w:eastAsia="en-GB"/>
        </w:rPr>
        <w:t>The Manta Trust</w:t>
      </w:r>
    </w:p>
    <w:p w14:paraId="4E3D8844" w14:textId="77777777" w:rsidR="00E42EB4" w:rsidRPr="00AC7730" w:rsidRDefault="00E42EB4">
      <w:pPr>
        <w:spacing w:after="0" w:line="240" w:lineRule="auto"/>
        <w:jc w:val="both"/>
        <w:rPr>
          <w:rFonts w:eastAsia="MS Mincho" w:cs="Arial"/>
          <w:lang w:val="fr-FR" w:eastAsia="en-GB"/>
        </w:rPr>
      </w:pPr>
    </w:p>
    <w:p w14:paraId="29A180A1" w14:textId="77777777" w:rsidR="00E42EB4" w:rsidRPr="00AC7730" w:rsidRDefault="004C1ADE" w:rsidP="00C971E7">
      <w:pPr>
        <w:spacing w:after="0" w:line="240" w:lineRule="auto"/>
        <w:ind w:left="720"/>
        <w:jc w:val="both"/>
        <w:rPr>
          <w:rFonts w:eastAsia="MS Mincho" w:cs="Arial"/>
          <w:lang w:val="fr-FR" w:eastAsia="en-GB"/>
        </w:rPr>
      </w:pPr>
      <w:r w:rsidRPr="00AC7730">
        <w:rPr>
          <w:rFonts w:eastAsia="MS Mincho" w:cs="Arial"/>
          <w:lang w:val="fr-FR" w:eastAsia="en-GB"/>
        </w:rPr>
        <w:t xml:space="preserve">The Manta Trust est une organisation internationale à but non lucratif dédiée à la conservation. Sa mission est de collaborer avec des partenaires dans le monde entier à travers des activités de recherche et d’éducation, et de fournir des conseils d’experts pour orienter les politiques et pratiques nécessaires à la conservation des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de leurs espèces apparentées et de leurs habitats. Le réseau mondial de projets affiliés de The Manta Trust est présent dans plus de trente États où vivent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w:t>
      </w:r>
      <w:proofErr w:type="spellStart"/>
      <w:r w:rsidRPr="00AC7730">
        <w:rPr>
          <w:rFonts w:eastAsia="MS Mincho" w:cs="Arial"/>
          <w:lang w:val="fr-FR" w:eastAsia="en-GB"/>
        </w:rPr>
        <w:t>mobulidés</w:t>
      </w:r>
      <w:proofErr w:type="spellEnd"/>
      <w:r w:rsidRPr="00AC7730">
        <w:rPr>
          <w:rFonts w:eastAsia="MS Mincho" w:cs="Arial"/>
          <w:lang w:val="fr-FR" w:eastAsia="en-GB"/>
        </w:rPr>
        <w:t>). The Manta Trust est un partenaire coopérant du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 de la Convention sur la conservation des espèces migratrices appartenant à la faune sauvage.</w:t>
      </w:r>
    </w:p>
    <w:p w14:paraId="33D077DB" w14:textId="77777777" w:rsidR="00E42EB4" w:rsidRPr="00AC7730" w:rsidRDefault="00E42EB4">
      <w:pPr>
        <w:spacing w:after="0" w:line="240" w:lineRule="auto"/>
        <w:jc w:val="both"/>
        <w:rPr>
          <w:rFonts w:eastAsia="MS Mincho" w:cs="Arial"/>
          <w:b/>
          <w:lang w:val="fr-FR" w:eastAsia="en-GB"/>
        </w:rPr>
      </w:pPr>
    </w:p>
    <w:p w14:paraId="5F92DE74" w14:textId="77777777" w:rsidR="00E42EB4" w:rsidRPr="00C971E7" w:rsidRDefault="004C1ADE" w:rsidP="00C971E7">
      <w:pPr>
        <w:pStyle w:val="ListParagraph"/>
        <w:numPr>
          <w:ilvl w:val="0"/>
          <w:numId w:val="34"/>
        </w:numPr>
        <w:spacing w:after="0" w:line="240" w:lineRule="auto"/>
        <w:jc w:val="both"/>
        <w:rPr>
          <w:rFonts w:eastAsia="MS Mincho" w:cs="Arial"/>
          <w:b/>
          <w:lang w:val="fr-FR" w:eastAsia="en-GB"/>
        </w:rPr>
      </w:pPr>
      <w:r w:rsidRPr="00C971E7">
        <w:rPr>
          <w:rFonts w:eastAsia="MS Mincho" w:cs="Arial"/>
          <w:b/>
          <w:lang w:val="fr-FR" w:eastAsia="en-GB"/>
        </w:rPr>
        <w:t>Société pour la conservation de la vie sauvage (WCS)</w:t>
      </w:r>
    </w:p>
    <w:p w14:paraId="206CF670" w14:textId="77777777" w:rsidR="00E42EB4" w:rsidRPr="00AC7730" w:rsidRDefault="00E42EB4">
      <w:pPr>
        <w:spacing w:after="0" w:line="240" w:lineRule="auto"/>
        <w:jc w:val="both"/>
        <w:rPr>
          <w:rFonts w:eastAsia="MS Mincho" w:cs="Arial"/>
          <w:lang w:val="fr-FR" w:eastAsia="en-GB"/>
        </w:rPr>
      </w:pPr>
    </w:p>
    <w:p w14:paraId="0F36E88E" w14:textId="77777777" w:rsidR="00E42EB4" w:rsidRPr="00AC7730" w:rsidRDefault="004C1ADE" w:rsidP="00C971E7">
      <w:pPr>
        <w:spacing w:after="0" w:line="240" w:lineRule="auto"/>
        <w:ind w:left="720"/>
        <w:jc w:val="both"/>
        <w:rPr>
          <w:rFonts w:eastAsia="MS Mincho" w:cs="Arial"/>
          <w:lang w:val="fr-FR" w:eastAsia="en-GB"/>
        </w:rPr>
      </w:pPr>
      <w:r w:rsidRPr="00AC7730">
        <w:rPr>
          <w:rFonts w:eastAsia="MS Mincho" w:cs="Arial"/>
          <w:lang w:val="fr-FR" w:eastAsia="en-GB"/>
        </w:rPr>
        <w:t xml:space="preserve">La Société pour la conservation de la vie sauvage est une organisation internationale de conservation </w:t>
      </w:r>
      <w:r w:rsidRPr="00AC7730">
        <w:rPr>
          <w:rFonts w:cs="Arial"/>
          <w:shd w:val="clear" w:color="auto" w:fill="FFFFFF"/>
          <w:lang w:val="fr-FR"/>
        </w:rPr>
        <w:t xml:space="preserve">qui œuvre à la sauvegarde de la vie sauvage et des espaces sauvages dans le monde entier grâce à la science, à des actions de conservation, à l’éducation et à la sensibilisation du public à la valeur de la nature. La Société pour la conservation de la vie sauvage (WCS) intervient dans plus de 60 pays, et </w:t>
      </w:r>
      <w:r w:rsidRPr="00AC7730">
        <w:rPr>
          <w:rFonts w:cs="Arial"/>
          <w:lang w:val="fr-FR"/>
        </w:rPr>
        <w:t xml:space="preserve">le Programme de conservation marine de la WCS opère dans plus de 20 pays pour protéger les habitats marins clés et la vie sauvage, mettre fin à la surpêche et protéger les espèces prioritaires, notamment les requins et les raies. Les équipes de la Société pour la conservation de la vie sauvage </w:t>
      </w:r>
      <w:r w:rsidRPr="00AC7730">
        <w:rPr>
          <w:rFonts w:eastAsia="MS Mincho" w:cs="Arial"/>
          <w:lang w:val="fr-FR" w:eastAsia="en-GB"/>
        </w:rPr>
        <w:t>réalisent des recherches sur les tendances de population, l’écologie des déplacements et les interactions avec la pêche des requins et des raies. L’un des principaux objectifs de l’organisation est de promouvoir la mise en œuvre de mesures de gestion fondées sur la science par le biais de la Convention sur le commerce international des espèces de faune et de flore sauvages menacées d'extinction et de la Convention sur la conservation des espèces migratrices appartenant à la faune sauvage, et de renforcer les capacités nationales pour conserver les espèces menacées et réduire les prises accessoires. La Société pour la conservation de la vie sauvage est un partenaire coopératif du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 de la Convention sur la conservation des espèces migratrices appartenant à la faune sauvage.</w:t>
      </w:r>
    </w:p>
    <w:p w14:paraId="48843619" w14:textId="77777777" w:rsidR="00E42EB4" w:rsidRPr="00AC7730" w:rsidRDefault="00E42EB4">
      <w:pPr>
        <w:widowControl w:val="0"/>
        <w:suppressAutoHyphens/>
        <w:autoSpaceDE w:val="0"/>
        <w:autoSpaceDN w:val="0"/>
        <w:spacing w:after="0" w:line="240" w:lineRule="auto"/>
        <w:jc w:val="both"/>
        <w:textAlignment w:val="baseline"/>
        <w:rPr>
          <w:rFonts w:cs="Arial"/>
          <w:lang w:val="fr-FR"/>
        </w:rPr>
      </w:pPr>
    </w:p>
    <w:p w14:paraId="131C44DC"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Espèce cible, taxon inférieur, population ou groupe de taxons ayant des besoins communs</w:t>
      </w:r>
    </w:p>
    <w:p w14:paraId="3E8A755A" w14:textId="77777777" w:rsidR="00E42EB4" w:rsidRPr="00AC7730" w:rsidRDefault="00E42EB4">
      <w:pPr>
        <w:spacing w:after="0" w:line="240" w:lineRule="auto"/>
        <w:rPr>
          <w:rFonts w:eastAsia="MS Mincho" w:cs="Arial"/>
          <w:lang w:val="fr-FR" w:eastAsia="en-GB"/>
        </w:rPr>
      </w:pPr>
    </w:p>
    <w:p w14:paraId="60C4D7D5" w14:textId="77777777" w:rsidR="00E42EB4" w:rsidRPr="00AC7730" w:rsidRDefault="004C1ADE">
      <w:pPr>
        <w:spacing w:after="80" w:line="240" w:lineRule="auto"/>
        <w:rPr>
          <w:rFonts w:eastAsia="MS Mincho" w:cs="Arial"/>
          <w:lang w:val="fr-FR" w:eastAsia="en-GB"/>
        </w:rPr>
      </w:pPr>
      <w:r w:rsidRPr="00AC7730">
        <w:rPr>
          <w:rFonts w:eastAsia="MS Mincho" w:cs="Arial"/>
          <w:lang w:val="fr-FR" w:eastAsia="en-GB"/>
        </w:rPr>
        <w:t>Classe :</w:t>
      </w:r>
      <w:r w:rsidRPr="00AC7730">
        <w:rPr>
          <w:rFonts w:eastAsia="MS Mincho" w:cs="Arial"/>
          <w:lang w:val="fr-FR" w:eastAsia="en-GB"/>
        </w:rPr>
        <w:tab/>
        <w:t xml:space="preserve"> </w:t>
      </w:r>
      <w:proofErr w:type="spellStart"/>
      <w:r w:rsidRPr="00AC7730">
        <w:rPr>
          <w:rFonts w:eastAsia="MS Mincho" w:cs="Arial"/>
          <w:lang w:val="fr-FR" w:eastAsia="en-GB"/>
        </w:rPr>
        <w:t>Chondrichthyes</w:t>
      </w:r>
      <w:proofErr w:type="spellEnd"/>
    </w:p>
    <w:p w14:paraId="7A98F3EC" w14:textId="77777777" w:rsidR="00E42EB4" w:rsidRPr="00AC7730" w:rsidRDefault="004C1ADE">
      <w:pPr>
        <w:spacing w:after="80" w:line="240" w:lineRule="auto"/>
        <w:rPr>
          <w:rFonts w:eastAsia="MS Mincho" w:cs="Arial"/>
          <w:lang w:val="fr-FR" w:eastAsia="en-GB"/>
        </w:rPr>
      </w:pPr>
      <w:r w:rsidRPr="00AC7730">
        <w:rPr>
          <w:rFonts w:eastAsia="MS Mincho" w:cs="Arial"/>
          <w:lang w:val="fr-FR" w:eastAsia="en-GB"/>
        </w:rPr>
        <w:t>Ordre :</w:t>
      </w:r>
      <w:r w:rsidRPr="00AC7730">
        <w:rPr>
          <w:rFonts w:eastAsia="MS Mincho" w:cs="Arial"/>
          <w:lang w:val="fr-FR" w:eastAsia="en-GB"/>
        </w:rPr>
        <w:tab/>
        <w:t xml:space="preserve"> Rajiformes</w:t>
      </w:r>
    </w:p>
    <w:p w14:paraId="58D29400" w14:textId="4A6774EE" w:rsidR="00E707BA" w:rsidRDefault="004C1ADE">
      <w:pPr>
        <w:spacing w:after="80" w:line="240" w:lineRule="auto"/>
        <w:rPr>
          <w:rFonts w:eastAsia="MS Mincho" w:cs="Arial"/>
          <w:lang w:val="fr-FR" w:eastAsia="en-GB"/>
        </w:rPr>
      </w:pPr>
      <w:r w:rsidRPr="00AC7730">
        <w:rPr>
          <w:rFonts w:eastAsia="MS Mincho" w:cs="Arial"/>
          <w:lang w:val="fr-FR" w:eastAsia="en-GB"/>
        </w:rPr>
        <w:t xml:space="preserve">Famille : </w:t>
      </w:r>
      <w:proofErr w:type="spellStart"/>
      <w:r w:rsidRPr="00AC7730">
        <w:rPr>
          <w:rFonts w:eastAsia="MS Mincho" w:cs="Arial"/>
          <w:lang w:val="fr-FR" w:eastAsia="en-GB"/>
        </w:rPr>
        <w:t>Mobulidae</w:t>
      </w:r>
      <w:proofErr w:type="spellEnd"/>
      <w:r w:rsidR="00E707BA">
        <w:rPr>
          <w:rFonts w:eastAsia="MS Mincho" w:cs="Arial"/>
          <w:lang w:val="fr-FR" w:eastAsia="en-GB"/>
        </w:rPr>
        <w:br w:type="page"/>
      </w:r>
    </w:p>
    <w:p w14:paraId="2184BA2A" w14:textId="77777777" w:rsidR="00E42EB4" w:rsidRPr="00AC7730" w:rsidRDefault="004C1ADE" w:rsidP="00E707BA">
      <w:pPr>
        <w:spacing w:after="120" w:line="240" w:lineRule="auto"/>
        <w:rPr>
          <w:rFonts w:eastAsia="MS Mincho" w:cs="Arial"/>
          <w:i/>
          <w:lang w:val="fr-FR" w:eastAsia="en-GB"/>
        </w:rPr>
      </w:pPr>
      <w:r w:rsidRPr="00AC7730">
        <w:rPr>
          <w:rFonts w:eastAsia="MS Mincho" w:cs="Arial"/>
          <w:lang w:val="fr-FR" w:eastAsia="en-GB"/>
        </w:rPr>
        <w:lastRenderedPageBreak/>
        <w:t xml:space="preserve">Espèce : </w:t>
      </w:r>
    </w:p>
    <w:tbl>
      <w:tblPr>
        <w:tblW w:w="9072" w:type="dxa"/>
        <w:tblBorders>
          <w:insideH w:val="single" w:sz="4" w:space="0" w:color="auto"/>
          <w:insideV w:val="single" w:sz="4" w:space="0" w:color="auto"/>
        </w:tblBorders>
        <w:tblLook w:val="04A0" w:firstRow="1" w:lastRow="0" w:firstColumn="1" w:lastColumn="0" w:noHBand="0" w:noVBand="1"/>
      </w:tblPr>
      <w:tblGrid>
        <w:gridCol w:w="2050"/>
        <w:gridCol w:w="2061"/>
        <w:gridCol w:w="2410"/>
        <w:gridCol w:w="2551"/>
      </w:tblGrid>
      <w:tr w:rsidR="00E42EB4" w:rsidRPr="00AC7730" w14:paraId="7D732D92" w14:textId="77777777">
        <w:trPr>
          <w:trHeight w:val="413"/>
        </w:trPr>
        <w:tc>
          <w:tcPr>
            <w:tcW w:w="2050" w:type="dxa"/>
            <w:shd w:val="clear" w:color="auto" w:fill="002060"/>
            <w:noWrap/>
            <w:hideMark/>
          </w:tcPr>
          <w:p w14:paraId="7BE6A1E4" w14:textId="77777777" w:rsidR="00E42EB4" w:rsidRPr="00AC7730" w:rsidRDefault="004C1ADE">
            <w:pPr>
              <w:spacing w:after="0" w:line="276" w:lineRule="auto"/>
              <w:rPr>
                <w:rFonts w:eastAsia="Times New Roman" w:cs="Arial"/>
                <w:b/>
                <w:bCs/>
                <w:sz w:val="16"/>
                <w:szCs w:val="16"/>
                <w:lang w:val="fr-FR"/>
              </w:rPr>
            </w:pPr>
            <w:r w:rsidRPr="00AC7730">
              <w:rPr>
                <w:rFonts w:eastAsia="Times New Roman" w:cs="Arial"/>
                <w:b/>
                <w:bCs/>
                <w:sz w:val="16"/>
                <w:szCs w:val="16"/>
                <w:lang w:val="fr-FR"/>
              </w:rPr>
              <w:t>Nom scientifique</w:t>
            </w:r>
          </w:p>
        </w:tc>
        <w:tc>
          <w:tcPr>
            <w:tcW w:w="2061" w:type="dxa"/>
            <w:shd w:val="clear" w:color="auto" w:fill="002060"/>
            <w:noWrap/>
            <w:hideMark/>
          </w:tcPr>
          <w:p w14:paraId="59DD905A" w14:textId="77777777" w:rsidR="00E42EB4" w:rsidRPr="00AC7730" w:rsidRDefault="004C1ADE">
            <w:pPr>
              <w:spacing w:after="0" w:line="276" w:lineRule="auto"/>
              <w:rPr>
                <w:rFonts w:eastAsia="Times New Roman" w:cs="Arial"/>
                <w:b/>
                <w:bCs/>
                <w:sz w:val="16"/>
                <w:szCs w:val="16"/>
                <w:lang w:val="fr-FR"/>
              </w:rPr>
            </w:pPr>
            <w:r w:rsidRPr="00AC7730">
              <w:rPr>
                <w:rFonts w:eastAsia="Times New Roman" w:cs="Arial"/>
                <w:b/>
                <w:bCs/>
                <w:sz w:val="16"/>
                <w:szCs w:val="16"/>
                <w:lang w:val="fr-FR"/>
              </w:rPr>
              <w:t>Nom anglais</w:t>
            </w:r>
          </w:p>
        </w:tc>
        <w:tc>
          <w:tcPr>
            <w:tcW w:w="2410" w:type="dxa"/>
            <w:shd w:val="clear" w:color="auto" w:fill="002060"/>
            <w:noWrap/>
            <w:hideMark/>
          </w:tcPr>
          <w:p w14:paraId="23F7B586" w14:textId="77777777" w:rsidR="00E42EB4" w:rsidRPr="00AC7730" w:rsidRDefault="004C1ADE">
            <w:pPr>
              <w:spacing w:after="0" w:line="276" w:lineRule="auto"/>
              <w:rPr>
                <w:rFonts w:eastAsia="Times New Roman" w:cs="Arial"/>
                <w:b/>
                <w:bCs/>
                <w:sz w:val="16"/>
                <w:szCs w:val="16"/>
                <w:lang w:val="fr-FR"/>
              </w:rPr>
            </w:pPr>
            <w:r w:rsidRPr="00AC7730">
              <w:rPr>
                <w:rFonts w:eastAsia="Times New Roman" w:cs="Arial"/>
                <w:b/>
                <w:bCs/>
                <w:sz w:val="16"/>
                <w:szCs w:val="16"/>
                <w:lang w:val="fr-FR"/>
              </w:rPr>
              <w:t>Nom espagnol</w:t>
            </w:r>
          </w:p>
        </w:tc>
        <w:tc>
          <w:tcPr>
            <w:tcW w:w="2551" w:type="dxa"/>
            <w:shd w:val="clear" w:color="auto" w:fill="002060"/>
            <w:noWrap/>
            <w:hideMark/>
          </w:tcPr>
          <w:p w14:paraId="70FB8D93" w14:textId="77777777" w:rsidR="00E42EB4" w:rsidRPr="00AC7730" w:rsidRDefault="004C1ADE">
            <w:pPr>
              <w:spacing w:after="0" w:line="276" w:lineRule="auto"/>
              <w:rPr>
                <w:rFonts w:eastAsia="Times New Roman" w:cs="Arial"/>
                <w:b/>
                <w:bCs/>
                <w:sz w:val="16"/>
                <w:szCs w:val="16"/>
                <w:lang w:val="fr-FR"/>
              </w:rPr>
            </w:pPr>
            <w:r w:rsidRPr="00AC7730">
              <w:rPr>
                <w:rFonts w:eastAsia="Times New Roman" w:cs="Arial"/>
                <w:b/>
                <w:bCs/>
                <w:sz w:val="16"/>
                <w:szCs w:val="16"/>
                <w:lang w:val="fr-FR"/>
              </w:rPr>
              <w:t>Nom français</w:t>
            </w:r>
          </w:p>
        </w:tc>
      </w:tr>
      <w:tr w:rsidR="00E42EB4" w:rsidRPr="00AC7730" w14:paraId="1D515DD7" w14:textId="77777777">
        <w:trPr>
          <w:trHeight w:val="290"/>
        </w:trPr>
        <w:tc>
          <w:tcPr>
            <w:tcW w:w="2050" w:type="dxa"/>
            <w:hideMark/>
          </w:tcPr>
          <w:p w14:paraId="46A82CE7" w14:textId="77777777" w:rsidR="00E42EB4" w:rsidRPr="00AC7730" w:rsidRDefault="004C1ADE">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birostris</w:t>
            </w:r>
            <w:proofErr w:type="spellEnd"/>
          </w:p>
        </w:tc>
        <w:tc>
          <w:tcPr>
            <w:tcW w:w="2061" w:type="dxa"/>
            <w:hideMark/>
          </w:tcPr>
          <w:p w14:paraId="3CCF854A" w14:textId="77777777" w:rsidR="00E42EB4" w:rsidRPr="00AC7730" w:rsidRDefault="004C1ADE">
            <w:pPr>
              <w:spacing w:after="0" w:line="276" w:lineRule="auto"/>
              <w:rPr>
                <w:rFonts w:eastAsia="Times New Roman" w:cs="Arial"/>
                <w:sz w:val="16"/>
                <w:szCs w:val="16"/>
              </w:rPr>
            </w:pPr>
            <w:r w:rsidRPr="00AC7730">
              <w:rPr>
                <w:rFonts w:eastAsia="Times New Roman" w:cs="Arial"/>
                <w:sz w:val="16"/>
                <w:szCs w:val="16"/>
              </w:rPr>
              <w:t>Oceanic Manta Ray</w:t>
            </w:r>
          </w:p>
        </w:tc>
        <w:tc>
          <w:tcPr>
            <w:tcW w:w="2410" w:type="dxa"/>
            <w:hideMark/>
          </w:tcPr>
          <w:p w14:paraId="00394CE4" w14:textId="77777777" w:rsidR="00E42EB4" w:rsidRPr="00AC7730" w:rsidRDefault="004C1ADE">
            <w:pPr>
              <w:spacing w:after="0" w:line="276" w:lineRule="auto"/>
              <w:rPr>
                <w:rFonts w:eastAsia="Times New Roman" w:cs="Arial"/>
                <w:sz w:val="16"/>
                <w:szCs w:val="16"/>
              </w:rPr>
            </w:pPr>
            <w:r w:rsidRPr="00AC7730">
              <w:rPr>
                <w:rFonts w:eastAsia="Times New Roman" w:cs="Arial"/>
                <w:sz w:val="16"/>
                <w:szCs w:val="16"/>
              </w:rPr>
              <w:t xml:space="preserve">Manta </w:t>
            </w:r>
            <w:proofErr w:type="spellStart"/>
            <w:r w:rsidRPr="00AC7730">
              <w:rPr>
                <w:rFonts w:eastAsia="Times New Roman" w:cs="Arial"/>
                <w:sz w:val="16"/>
                <w:szCs w:val="16"/>
              </w:rPr>
              <w:t>oceánica</w:t>
            </w:r>
            <w:proofErr w:type="spellEnd"/>
          </w:p>
        </w:tc>
        <w:tc>
          <w:tcPr>
            <w:tcW w:w="2551" w:type="dxa"/>
            <w:hideMark/>
          </w:tcPr>
          <w:p w14:paraId="3147749C"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Raie</w:t>
            </w:r>
            <w:proofErr w:type="spellEnd"/>
            <w:r w:rsidRPr="00AC7730">
              <w:rPr>
                <w:rFonts w:eastAsia="Times New Roman" w:cs="Arial"/>
                <w:sz w:val="16"/>
                <w:szCs w:val="16"/>
              </w:rPr>
              <w:t xml:space="preserve"> manta </w:t>
            </w:r>
            <w:proofErr w:type="spellStart"/>
            <w:r w:rsidRPr="00AC7730">
              <w:rPr>
                <w:rFonts w:eastAsia="Times New Roman" w:cs="Arial"/>
                <w:sz w:val="16"/>
                <w:szCs w:val="16"/>
              </w:rPr>
              <w:t>océanique</w:t>
            </w:r>
            <w:proofErr w:type="spellEnd"/>
          </w:p>
        </w:tc>
      </w:tr>
      <w:tr w:rsidR="00E42EB4" w:rsidRPr="00AC7730" w14:paraId="302BD4F9" w14:textId="77777777">
        <w:trPr>
          <w:trHeight w:val="383"/>
        </w:trPr>
        <w:tc>
          <w:tcPr>
            <w:tcW w:w="2050" w:type="dxa"/>
            <w:shd w:val="clear" w:color="auto" w:fill="E7E6E6" w:themeFill="background2"/>
            <w:hideMark/>
          </w:tcPr>
          <w:p w14:paraId="5589C8D0" w14:textId="77777777" w:rsidR="00E42EB4" w:rsidRPr="00AC7730" w:rsidRDefault="004C1ADE">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yarae</w:t>
            </w:r>
            <w:proofErr w:type="spellEnd"/>
            <w:r w:rsidRPr="00AC7730">
              <w:rPr>
                <w:rStyle w:val="FootnoteReference"/>
                <w:rFonts w:eastAsia="Times New Roman"/>
                <w:i/>
                <w:iCs/>
                <w:sz w:val="16"/>
                <w:szCs w:val="16"/>
                <w:vertAlign w:val="superscript"/>
              </w:rPr>
              <w:footnoteReference w:id="2"/>
            </w:r>
          </w:p>
        </w:tc>
        <w:tc>
          <w:tcPr>
            <w:tcW w:w="2061" w:type="dxa"/>
            <w:shd w:val="clear" w:color="auto" w:fill="E7E6E6" w:themeFill="background2"/>
            <w:hideMark/>
          </w:tcPr>
          <w:p w14:paraId="21E9A6E3" w14:textId="77777777" w:rsidR="00E42EB4" w:rsidRPr="00AC7730" w:rsidRDefault="004C1ADE">
            <w:pPr>
              <w:spacing w:after="0" w:line="276" w:lineRule="auto"/>
              <w:rPr>
                <w:rFonts w:eastAsia="Times New Roman" w:cs="Arial"/>
                <w:sz w:val="16"/>
                <w:szCs w:val="16"/>
              </w:rPr>
            </w:pPr>
            <w:r w:rsidRPr="00AC7730">
              <w:rPr>
                <w:rFonts w:eastAsia="Times New Roman" w:cs="Arial"/>
                <w:sz w:val="16"/>
                <w:szCs w:val="16"/>
              </w:rPr>
              <w:t>Atlantic Manta Ray</w:t>
            </w:r>
          </w:p>
        </w:tc>
        <w:tc>
          <w:tcPr>
            <w:tcW w:w="2410" w:type="dxa"/>
            <w:shd w:val="clear" w:color="auto" w:fill="E7E6E6" w:themeFill="background2"/>
            <w:hideMark/>
          </w:tcPr>
          <w:p w14:paraId="1BB40558" w14:textId="77777777" w:rsidR="00E42EB4" w:rsidRPr="00AC7730" w:rsidRDefault="004C1ADE">
            <w:pPr>
              <w:spacing w:after="0" w:line="276" w:lineRule="auto"/>
              <w:rPr>
                <w:rFonts w:eastAsia="Times New Roman" w:cs="Arial"/>
                <w:sz w:val="16"/>
                <w:szCs w:val="16"/>
              </w:rPr>
            </w:pPr>
            <w:r w:rsidRPr="00AC7730">
              <w:rPr>
                <w:rFonts w:eastAsia="Times New Roman" w:cs="Arial"/>
                <w:sz w:val="16"/>
                <w:szCs w:val="16"/>
              </w:rPr>
              <w:t>Manta del Atlántico</w:t>
            </w:r>
          </w:p>
        </w:tc>
        <w:tc>
          <w:tcPr>
            <w:tcW w:w="2551" w:type="dxa"/>
            <w:shd w:val="clear" w:color="auto" w:fill="E7E6E6" w:themeFill="background2"/>
            <w:hideMark/>
          </w:tcPr>
          <w:p w14:paraId="643DC141"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Raie</w:t>
            </w:r>
            <w:proofErr w:type="spellEnd"/>
            <w:r w:rsidRPr="00AC7730">
              <w:rPr>
                <w:rFonts w:eastAsia="Times New Roman" w:cs="Arial"/>
                <w:sz w:val="16"/>
                <w:szCs w:val="16"/>
              </w:rPr>
              <w:t xml:space="preserve"> manta de </w:t>
            </w:r>
            <w:proofErr w:type="spellStart"/>
            <w:r w:rsidRPr="00AC7730">
              <w:rPr>
                <w:rFonts w:eastAsia="Times New Roman" w:cs="Arial"/>
                <w:sz w:val="16"/>
                <w:szCs w:val="16"/>
              </w:rPr>
              <w:t>l’Atlantique</w:t>
            </w:r>
            <w:proofErr w:type="spellEnd"/>
          </w:p>
        </w:tc>
      </w:tr>
      <w:tr w:rsidR="00E42EB4" w:rsidRPr="00AC7730" w14:paraId="668CA1CA" w14:textId="77777777">
        <w:trPr>
          <w:trHeight w:val="290"/>
        </w:trPr>
        <w:tc>
          <w:tcPr>
            <w:tcW w:w="2050" w:type="dxa"/>
            <w:hideMark/>
          </w:tcPr>
          <w:p w14:paraId="1C961FB0" w14:textId="77777777" w:rsidR="00E42EB4" w:rsidRPr="00AC7730" w:rsidRDefault="004C1ADE">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alfredi</w:t>
            </w:r>
            <w:proofErr w:type="spellEnd"/>
          </w:p>
        </w:tc>
        <w:tc>
          <w:tcPr>
            <w:tcW w:w="2061" w:type="dxa"/>
            <w:hideMark/>
          </w:tcPr>
          <w:p w14:paraId="464A6480" w14:textId="77777777" w:rsidR="00E42EB4" w:rsidRPr="00AC7730" w:rsidRDefault="004C1ADE">
            <w:pPr>
              <w:spacing w:after="0" w:line="276" w:lineRule="auto"/>
              <w:rPr>
                <w:rFonts w:eastAsia="Times New Roman" w:cs="Arial"/>
                <w:sz w:val="16"/>
                <w:szCs w:val="16"/>
              </w:rPr>
            </w:pPr>
            <w:r w:rsidRPr="00AC7730">
              <w:rPr>
                <w:rFonts w:eastAsia="Times New Roman" w:cs="Arial"/>
                <w:sz w:val="16"/>
                <w:szCs w:val="16"/>
              </w:rPr>
              <w:t>Reef Manta Ray</w:t>
            </w:r>
          </w:p>
        </w:tc>
        <w:tc>
          <w:tcPr>
            <w:tcW w:w="2410" w:type="dxa"/>
            <w:hideMark/>
          </w:tcPr>
          <w:p w14:paraId="2EFE59DE" w14:textId="77777777" w:rsidR="00E42EB4" w:rsidRPr="00AC7730" w:rsidRDefault="004C1ADE">
            <w:pPr>
              <w:spacing w:after="0" w:line="276" w:lineRule="auto"/>
              <w:rPr>
                <w:rFonts w:eastAsia="Times New Roman" w:cs="Arial"/>
                <w:sz w:val="16"/>
                <w:szCs w:val="16"/>
              </w:rPr>
            </w:pPr>
            <w:r w:rsidRPr="00AC7730">
              <w:rPr>
                <w:rFonts w:eastAsia="Times New Roman" w:cs="Arial"/>
                <w:sz w:val="16"/>
                <w:szCs w:val="16"/>
              </w:rPr>
              <w:t xml:space="preserve">Manta de </w:t>
            </w:r>
            <w:proofErr w:type="spellStart"/>
            <w:r w:rsidRPr="00AC7730">
              <w:rPr>
                <w:rFonts w:eastAsia="Times New Roman" w:cs="Arial"/>
                <w:sz w:val="16"/>
                <w:szCs w:val="16"/>
              </w:rPr>
              <w:t>arrecife</w:t>
            </w:r>
            <w:proofErr w:type="spellEnd"/>
          </w:p>
        </w:tc>
        <w:tc>
          <w:tcPr>
            <w:tcW w:w="2551" w:type="dxa"/>
            <w:hideMark/>
          </w:tcPr>
          <w:p w14:paraId="6ECA6B8B"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Raie</w:t>
            </w:r>
            <w:proofErr w:type="spellEnd"/>
            <w:r w:rsidRPr="00AC7730">
              <w:rPr>
                <w:rFonts w:eastAsia="Times New Roman" w:cs="Arial"/>
                <w:sz w:val="16"/>
                <w:szCs w:val="16"/>
              </w:rPr>
              <w:t xml:space="preserve"> manta de </w:t>
            </w:r>
            <w:proofErr w:type="spellStart"/>
            <w:r w:rsidRPr="00AC7730">
              <w:rPr>
                <w:rFonts w:eastAsia="Times New Roman" w:cs="Arial"/>
                <w:sz w:val="16"/>
                <w:szCs w:val="16"/>
              </w:rPr>
              <w:t>récif</w:t>
            </w:r>
            <w:proofErr w:type="spellEnd"/>
          </w:p>
        </w:tc>
      </w:tr>
      <w:tr w:rsidR="00E42EB4" w:rsidRPr="00AC7730" w14:paraId="20C74F15" w14:textId="77777777">
        <w:trPr>
          <w:trHeight w:val="290"/>
        </w:trPr>
        <w:tc>
          <w:tcPr>
            <w:tcW w:w="2050" w:type="dxa"/>
            <w:shd w:val="clear" w:color="auto" w:fill="E7E6E6" w:themeFill="background2"/>
          </w:tcPr>
          <w:p w14:paraId="3C27AA9C" w14:textId="77777777" w:rsidR="00E42EB4" w:rsidRPr="00AC7730" w:rsidRDefault="004C1ADE">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tarapacana</w:t>
            </w:r>
            <w:proofErr w:type="spellEnd"/>
          </w:p>
        </w:tc>
        <w:tc>
          <w:tcPr>
            <w:tcW w:w="2061" w:type="dxa"/>
            <w:shd w:val="clear" w:color="auto" w:fill="E7E6E6" w:themeFill="background2"/>
          </w:tcPr>
          <w:p w14:paraId="58C8EF8C"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Sicklefin</w:t>
            </w:r>
            <w:proofErr w:type="spellEnd"/>
            <w:r w:rsidRPr="00AC7730">
              <w:rPr>
                <w:rFonts w:eastAsia="Times New Roman" w:cs="Arial"/>
                <w:sz w:val="16"/>
                <w:szCs w:val="16"/>
              </w:rPr>
              <w:t xml:space="preserve"> Devil Ray</w:t>
            </w:r>
          </w:p>
        </w:tc>
        <w:tc>
          <w:tcPr>
            <w:tcW w:w="2410" w:type="dxa"/>
            <w:shd w:val="clear" w:color="auto" w:fill="E7E6E6" w:themeFill="background2"/>
          </w:tcPr>
          <w:p w14:paraId="2F9AB5A3"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Móbula</w:t>
            </w:r>
            <w:proofErr w:type="spellEnd"/>
            <w:r w:rsidRPr="00AC7730">
              <w:rPr>
                <w:rFonts w:eastAsia="Times New Roman" w:cs="Arial"/>
                <w:sz w:val="16"/>
                <w:szCs w:val="16"/>
              </w:rPr>
              <w:t xml:space="preserve"> </w:t>
            </w:r>
            <w:proofErr w:type="spellStart"/>
            <w:r w:rsidRPr="00AC7730">
              <w:rPr>
                <w:rFonts w:eastAsia="Times New Roman" w:cs="Arial"/>
                <w:sz w:val="16"/>
                <w:szCs w:val="16"/>
              </w:rPr>
              <w:t>cornuda</w:t>
            </w:r>
            <w:proofErr w:type="spellEnd"/>
          </w:p>
        </w:tc>
        <w:tc>
          <w:tcPr>
            <w:tcW w:w="2551" w:type="dxa"/>
            <w:shd w:val="clear" w:color="auto" w:fill="E7E6E6" w:themeFill="background2"/>
          </w:tcPr>
          <w:p w14:paraId="5D36F7A5" w14:textId="77777777" w:rsidR="00E42EB4" w:rsidRPr="00AC7730" w:rsidRDefault="004C1ADE">
            <w:pPr>
              <w:spacing w:after="0" w:line="276" w:lineRule="auto"/>
              <w:rPr>
                <w:rFonts w:eastAsia="Times New Roman" w:cs="Arial"/>
                <w:sz w:val="16"/>
                <w:szCs w:val="16"/>
              </w:rPr>
            </w:pPr>
            <w:r w:rsidRPr="00AC7730">
              <w:rPr>
                <w:rFonts w:eastAsia="Times New Roman" w:cs="Arial"/>
                <w:sz w:val="16"/>
                <w:szCs w:val="16"/>
              </w:rPr>
              <w:t xml:space="preserve">Mante </w:t>
            </w:r>
            <w:proofErr w:type="spellStart"/>
            <w:r w:rsidRPr="00AC7730">
              <w:rPr>
                <w:rFonts w:eastAsia="Times New Roman" w:cs="Arial"/>
                <w:sz w:val="16"/>
                <w:szCs w:val="16"/>
              </w:rPr>
              <w:t>diable</w:t>
            </w:r>
            <w:proofErr w:type="spellEnd"/>
            <w:r w:rsidRPr="00AC7730">
              <w:rPr>
                <w:rFonts w:eastAsia="Times New Roman" w:cs="Arial"/>
                <w:sz w:val="16"/>
                <w:szCs w:val="16"/>
              </w:rPr>
              <w:t xml:space="preserve"> </w:t>
            </w:r>
            <w:proofErr w:type="spellStart"/>
            <w:r w:rsidRPr="00AC7730">
              <w:rPr>
                <w:rFonts w:eastAsia="Times New Roman" w:cs="Arial"/>
                <w:sz w:val="16"/>
                <w:szCs w:val="16"/>
              </w:rPr>
              <w:t>faucille</w:t>
            </w:r>
            <w:proofErr w:type="spellEnd"/>
          </w:p>
        </w:tc>
      </w:tr>
      <w:tr w:rsidR="00E42EB4" w:rsidRPr="00AC7730" w14:paraId="0943CFCA" w14:textId="77777777">
        <w:trPr>
          <w:trHeight w:val="290"/>
        </w:trPr>
        <w:tc>
          <w:tcPr>
            <w:tcW w:w="2050" w:type="dxa"/>
            <w:hideMark/>
          </w:tcPr>
          <w:p w14:paraId="19319FD0" w14:textId="77777777" w:rsidR="00E42EB4" w:rsidRPr="00AC7730" w:rsidRDefault="004C1ADE">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mobular</w:t>
            </w:r>
            <w:proofErr w:type="spellEnd"/>
          </w:p>
        </w:tc>
        <w:tc>
          <w:tcPr>
            <w:tcW w:w="2061" w:type="dxa"/>
            <w:hideMark/>
          </w:tcPr>
          <w:p w14:paraId="1FCCB778"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Spinetail</w:t>
            </w:r>
            <w:proofErr w:type="spellEnd"/>
            <w:r w:rsidRPr="00AC7730">
              <w:rPr>
                <w:rFonts w:eastAsia="Times New Roman" w:cs="Arial"/>
                <w:sz w:val="16"/>
                <w:szCs w:val="16"/>
              </w:rPr>
              <w:t xml:space="preserve"> Devil Ray</w:t>
            </w:r>
          </w:p>
        </w:tc>
        <w:tc>
          <w:tcPr>
            <w:tcW w:w="2410" w:type="dxa"/>
            <w:hideMark/>
          </w:tcPr>
          <w:p w14:paraId="0BA74652"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Móbula</w:t>
            </w:r>
            <w:proofErr w:type="spellEnd"/>
            <w:r w:rsidRPr="00AC7730">
              <w:rPr>
                <w:rFonts w:eastAsia="Times New Roman" w:cs="Arial"/>
                <w:sz w:val="16"/>
                <w:szCs w:val="16"/>
              </w:rPr>
              <w:t xml:space="preserve"> de </w:t>
            </w:r>
            <w:proofErr w:type="spellStart"/>
            <w:r w:rsidRPr="00AC7730">
              <w:rPr>
                <w:rFonts w:eastAsia="Times New Roman" w:cs="Arial"/>
                <w:sz w:val="16"/>
                <w:szCs w:val="16"/>
              </w:rPr>
              <w:t>espina</w:t>
            </w:r>
            <w:proofErr w:type="spellEnd"/>
          </w:p>
        </w:tc>
        <w:tc>
          <w:tcPr>
            <w:tcW w:w="2551" w:type="dxa"/>
            <w:hideMark/>
          </w:tcPr>
          <w:p w14:paraId="2B417575"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Diable</w:t>
            </w:r>
            <w:proofErr w:type="spellEnd"/>
            <w:r w:rsidRPr="00AC7730">
              <w:rPr>
                <w:rFonts w:eastAsia="Times New Roman" w:cs="Arial"/>
                <w:sz w:val="16"/>
                <w:szCs w:val="16"/>
              </w:rPr>
              <w:t xml:space="preserve"> de </w:t>
            </w:r>
            <w:proofErr w:type="spellStart"/>
            <w:r w:rsidRPr="00AC7730">
              <w:rPr>
                <w:rFonts w:eastAsia="Times New Roman" w:cs="Arial"/>
                <w:sz w:val="16"/>
                <w:szCs w:val="16"/>
              </w:rPr>
              <w:t>mer</w:t>
            </w:r>
            <w:proofErr w:type="spellEnd"/>
          </w:p>
        </w:tc>
      </w:tr>
      <w:tr w:rsidR="00E42EB4" w:rsidRPr="00C971E7" w14:paraId="59B7D6E4" w14:textId="77777777">
        <w:trPr>
          <w:trHeight w:val="290"/>
        </w:trPr>
        <w:tc>
          <w:tcPr>
            <w:tcW w:w="2050" w:type="dxa"/>
            <w:shd w:val="clear" w:color="auto" w:fill="E7E6E6" w:themeFill="background2"/>
          </w:tcPr>
          <w:p w14:paraId="09873A66" w14:textId="77777777" w:rsidR="00E42EB4" w:rsidRPr="00AC7730" w:rsidRDefault="004C1ADE">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thurstoni</w:t>
            </w:r>
            <w:proofErr w:type="spellEnd"/>
          </w:p>
        </w:tc>
        <w:tc>
          <w:tcPr>
            <w:tcW w:w="2061" w:type="dxa"/>
            <w:shd w:val="clear" w:color="auto" w:fill="E7E6E6" w:themeFill="background2"/>
          </w:tcPr>
          <w:p w14:paraId="23D80F82"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Bentfin</w:t>
            </w:r>
            <w:proofErr w:type="spellEnd"/>
            <w:r w:rsidRPr="00AC7730">
              <w:rPr>
                <w:rFonts w:eastAsia="Times New Roman" w:cs="Arial"/>
                <w:sz w:val="16"/>
                <w:szCs w:val="16"/>
              </w:rPr>
              <w:t xml:space="preserve"> Devil Ray</w:t>
            </w:r>
          </w:p>
        </w:tc>
        <w:tc>
          <w:tcPr>
            <w:tcW w:w="2410" w:type="dxa"/>
            <w:shd w:val="clear" w:color="auto" w:fill="E7E6E6" w:themeFill="background2"/>
          </w:tcPr>
          <w:p w14:paraId="32D7A766"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Móbula</w:t>
            </w:r>
            <w:proofErr w:type="spellEnd"/>
            <w:r w:rsidRPr="00AC7730">
              <w:rPr>
                <w:rFonts w:eastAsia="Times New Roman" w:cs="Arial"/>
                <w:sz w:val="16"/>
                <w:szCs w:val="16"/>
              </w:rPr>
              <w:t xml:space="preserve"> de </w:t>
            </w:r>
            <w:proofErr w:type="spellStart"/>
            <w:r w:rsidRPr="00AC7730">
              <w:rPr>
                <w:rFonts w:eastAsia="Times New Roman" w:cs="Arial"/>
                <w:sz w:val="16"/>
                <w:szCs w:val="16"/>
              </w:rPr>
              <w:t>aleta</w:t>
            </w:r>
            <w:proofErr w:type="spellEnd"/>
            <w:r w:rsidRPr="00AC7730">
              <w:rPr>
                <w:rFonts w:eastAsia="Times New Roman" w:cs="Arial"/>
                <w:sz w:val="16"/>
                <w:szCs w:val="16"/>
              </w:rPr>
              <w:t xml:space="preserve"> </w:t>
            </w:r>
            <w:proofErr w:type="spellStart"/>
            <w:r w:rsidRPr="00AC7730">
              <w:rPr>
                <w:rFonts w:eastAsia="Times New Roman" w:cs="Arial"/>
                <w:sz w:val="16"/>
                <w:szCs w:val="16"/>
              </w:rPr>
              <w:t>doblada</w:t>
            </w:r>
            <w:proofErr w:type="spellEnd"/>
          </w:p>
        </w:tc>
        <w:tc>
          <w:tcPr>
            <w:tcW w:w="2551" w:type="dxa"/>
            <w:shd w:val="clear" w:color="auto" w:fill="E7E6E6" w:themeFill="background2"/>
          </w:tcPr>
          <w:p w14:paraId="163DBE3D" w14:textId="77777777" w:rsidR="00E42EB4" w:rsidRPr="00926518" w:rsidRDefault="004C1ADE">
            <w:pPr>
              <w:spacing w:after="0" w:line="276" w:lineRule="auto"/>
              <w:rPr>
                <w:rFonts w:eastAsia="Times New Roman" w:cs="Arial"/>
                <w:sz w:val="16"/>
                <w:szCs w:val="16"/>
                <w:lang w:val="fr-FR"/>
              </w:rPr>
            </w:pPr>
            <w:r w:rsidRPr="00926518">
              <w:rPr>
                <w:rFonts w:eastAsia="Times New Roman" w:cs="Arial"/>
                <w:sz w:val="16"/>
                <w:szCs w:val="16"/>
                <w:lang w:val="fr-FR"/>
              </w:rPr>
              <w:t>Mante diable à nageoires courbées</w:t>
            </w:r>
          </w:p>
        </w:tc>
      </w:tr>
      <w:tr w:rsidR="00E42EB4" w:rsidRPr="00C971E7" w14:paraId="7574BD37" w14:textId="77777777">
        <w:trPr>
          <w:trHeight w:val="580"/>
        </w:trPr>
        <w:tc>
          <w:tcPr>
            <w:tcW w:w="2050" w:type="dxa"/>
            <w:hideMark/>
          </w:tcPr>
          <w:p w14:paraId="7CBBD386" w14:textId="77777777" w:rsidR="00E42EB4" w:rsidRPr="00AC7730" w:rsidRDefault="004C1ADE">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kuhlii</w:t>
            </w:r>
            <w:proofErr w:type="spellEnd"/>
          </w:p>
        </w:tc>
        <w:tc>
          <w:tcPr>
            <w:tcW w:w="2061" w:type="dxa"/>
            <w:hideMark/>
          </w:tcPr>
          <w:p w14:paraId="4CAEAEB2"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Shorthorned</w:t>
            </w:r>
            <w:proofErr w:type="spellEnd"/>
            <w:r w:rsidRPr="00AC7730">
              <w:rPr>
                <w:rFonts w:eastAsia="Times New Roman" w:cs="Arial"/>
                <w:sz w:val="16"/>
                <w:szCs w:val="16"/>
              </w:rPr>
              <w:t xml:space="preserve"> Pygmy Devil Ray</w:t>
            </w:r>
          </w:p>
        </w:tc>
        <w:tc>
          <w:tcPr>
            <w:tcW w:w="2410" w:type="dxa"/>
            <w:hideMark/>
          </w:tcPr>
          <w:p w14:paraId="6470B59C" w14:textId="77777777" w:rsidR="00E42EB4" w:rsidRPr="00AC7730" w:rsidRDefault="004C1ADE">
            <w:pPr>
              <w:spacing w:after="0" w:line="276" w:lineRule="auto"/>
              <w:rPr>
                <w:rFonts w:eastAsia="Times New Roman" w:cs="Arial"/>
                <w:sz w:val="16"/>
                <w:szCs w:val="16"/>
                <w:lang w:val="pt-PT"/>
              </w:rPr>
            </w:pPr>
            <w:proofErr w:type="spellStart"/>
            <w:r w:rsidRPr="00AC7730">
              <w:rPr>
                <w:rFonts w:eastAsia="Times New Roman" w:cs="Arial"/>
                <w:sz w:val="16"/>
                <w:szCs w:val="16"/>
                <w:lang w:val="pt-PT"/>
              </w:rPr>
              <w:t>Móbula</w:t>
            </w:r>
            <w:proofErr w:type="spellEnd"/>
            <w:r w:rsidRPr="00AC7730">
              <w:rPr>
                <w:rFonts w:eastAsia="Times New Roman" w:cs="Arial"/>
                <w:sz w:val="16"/>
                <w:szCs w:val="16"/>
                <w:lang w:val="pt-PT"/>
              </w:rPr>
              <w:t xml:space="preserve"> </w:t>
            </w:r>
            <w:proofErr w:type="spellStart"/>
            <w:r w:rsidRPr="00AC7730">
              <w:rPr>
                <w:rFonts w:eastAsia="Times New Roman" w:cs="Arial"/>
                <w:sz w:val="16"/>
                <w:szCs w:val="16"/>
                <w:lang w:val="pt-PT"/>
              </w:rPr>
              <w:t>pigmea</w:t>
            </w:r>
            <w:proofErr w:type="spellEnd"/>
            <w:r w:rsidRPr="00AC7730">
              <w:rPr>
                <w:rFonts w:eastAsia="Times New Roman" w:cs="Arial"/>
                <w:sz w:val="16"/>
                <w:szCs w:val="16"/>
                <w:lang w:val="pt-PT"/>
              </w:rPr>
              <w:t xml:space="preserve"> de aleta corta</w:t>
            </w:r>
          </w:p>
        </w:tc>
        <w:tc>
          <w:tcPr>
            <w:tcW w:w="2551" w:type="dxa"/>
            <w:hideMark/>
          </w:tcPr>
          <w:p w14:paraId="52F3FE6F" w14:textId="77777777" w:rsidR="00E42EB4" w:rsidRPr="00926518" w:rsidRDefault="004C1ADE">
            <w:pPr>
              <w:spacing w:after="0" w:line="276" w:lineRule="auto"/>
              <w:rPr>
                <w:rFonts w:eastAsia="Times New Roman" w:cs="Arial"/>
                <w:sz w:val="16"/>
                <w:szCs w:val="16"/>
                <w:lang w:val="fr-FR"/>
              </w:rPr>
            </w:pPr>
            <w:r w:rsidRPr="00926518">
              <w:rPr>
                <w:rFonts w:eastAsia="Times New Roman" w:cs="Arial"/>
                <w:sz w:val="16"/>
                <w:szCs w:val="16"/>
                <w:lang w:val="fr-FR"/>
              </w:rPr>
              <w:t>Mante diable pygmée à petites cornes</w:t>
            </w:r>
          </w:p>
        </w:tc>
      </w:tr>
      <w:tr w:rsidR="00E42EB4" w:rsidRPr="00C971E7" w14:paraId="5139650F" w14:textId="77777777">
        <w:trPr>
          <w:trHeight w:val="580"/>
        </w:trPr>
        <w:tc>
          <w:tcPr>
            <w:tcW w:w="2050" w:type="dxa"/>
            <w:shd w:val="clear" w:color="auto" w:fill="E7E6E6" w:themeFill="background2"/>
            <w:hideMark/>
          </w:tcPr>
          <w:p w14:paraId="1A8BDF78" w14:textId="77777777" w:rsidR="00E42EB4" w:rsidRPr="00AC7730" w:rsidRDefault="004C1ADE">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eregoodoo</w:t>
            </w:r>
            <w:proofErr w:type="spellEnd"/>
            <w:r w:rsidRPr="00AC7730">
              <w:rPr>
                <w:rFonts w:eastAsia="Times New Roman" w:cs="Arial"/>
                <w:i/>
                <w:iCs/>
                <w:sz w:val="16"/>
                <w:szCs w:val="16"/>
              </w:rPr>
              <w:t xml:space="preserve"> </w:t>
            </w:r>
          </w:p>
        </w:tc>
        <w:tc>
          <w:tcPr>
            <w:tcW w:w="2061" w:type="dxa"/>
            <w:shd w:val="clear" w:color="auto" w:fill="E7E6E6" w:themeFill="background2"/>
            <w:hideMark/>
          </w:tcPr>
          <w:p w14:paraId="0308B512" w14:textId="77777777" w:rsidR="00E42EB4" w:rsidRPr="00AC7730" w:rsidRDefault="004C1ADE">
            <w:pPr>
              <w:spacing w:after="0" w:line="276" w:lineRule="auto"/>
              <w:rPr>
                <w:rFonts w:eastAsia="Times New Roman" w:cs="Arial"/>
                <w:sz w:val="16"/>
                <w:szCs w:val="16"/>
              </w:rPr>
            </w:pPr>
            <w:r w:rsidRPr="00AC7730">
              <w:rPr>
                <w:rFonts w:eastAsia="Times New Roman" w:cs="Arial"/>
                <w:sz w:val="16"/>
                <w:szCs w:val="16"/>
              </w:rPr>
              <w:t>Longhorned Pygmy Devil Ray</w:t>
            </w:r>
          </w:p>
        </w:tc>
        <w:tc>
          <w:tcPr>
            <w:tcW w:w="2410" w:type="dxa"/>
            <w:shd w:val="clear" w:color="auto" w:fill="E7E6E6" w:themeFill="background2"/>
            <w:hideMark/>
          </w:tcPr>
          <w:p w14:paraId="0017290B" w14:textId="77777777" w:rsidR="00E42EB4" w:rsidRPr="00AC7730" w:rsidRDefault="004C1ADE">
            <w:pPr>
              <w:spacing w:after="0" w:line="276" w:lineRule="auto"/>
              <w:rPr>
                <w:rFonts w:eastAsia="Times New Roman" w:cs="Arial"/>
                <w:sz w:val="16"/>
                <w:szCs w:val="16"/>
                <w:lang w:val="pt-PT"/>
              </w:rPr>
            </w:pPr>
            <w:proofErr w:type="spellStart"/>
            <w:r w:rsidRPr="00AC7730">
              <w:rPr>
                <w:rFonts w:eastAsia="Times New Roman" w:cs="Arial"/>
                <w:sz w:val="16"/>
                <w:szCs w:val="16"/>
                <w:lang w:val="pt-PT"/>
              </w:rPr>
              <w:t>Móbula</w:t>
            </w:r>
            <w:proofErr w:type="spellEnd"/>
            <w:r w:rsidRPr="00AC7730">
              <w:rPr>
                <w:rFonts w:eastAsia="Times New Roman" w:cs="Arial"/>
                <w:sz w:val="16"/>
                <w:szCs w:val="16"/>
                <w:lang w:val="pt-PT"/>
              </w:rPr>
              <w:t xml:space="preserve"> </w:t>
            </w:r>
            <w:proofErr w:type="spellStart"/>
            <w:r w:rsidRPr="00AC7730">
              <w:rPr>
                <w:rFonts w:eastAsia="Times New Roman" w:cs="Arial"/>
                <w:sz w:val="16"/>
                <w:szCs w:val="16"/>
                <w:lang w:val="pt-PT"/>
              </w:rPr>
              <w:t>pigmea</w:t>
            </w:r>
            <w:proofErr w:type="spellEnd"/>
            <w:r w:rsidRPr="00AC7730">
              <w:rPr>
                <w:rFonts w:eastAsia="Times New Roman" w:cs="Arial"/>
                <w:sz w:val="16"/>
                <w:szCs w:val="16"/>
                <w:lang w:val="pt-PT"/>
              </w:rPr>
              <w:t xml:space="preserve"> de aleta longa</w:t>
            </w:r>
          </w:p>
        </w:tc>
        <w:tc>
          <w:tcPr>
            <w:tcW w:w="2551" w:type="dxa"/>
            <w:shd w:val="clear" w:color="auto" w:fill="E7E6E6" w:themeFill="background2"/>
            <w:hideMark/>
          </w:tcPr>
          <w:p w14:paraId="138E32A3" w14:textId="77777777" w:rsidR="00E42EB4" w:rsidRPr="00926518" w:rsidRDefault="004C1ADE">
            <w:pPr>
              <w:spacing w:after="0" w:line="276" w:lineRule="auto"/>
              <w:rPr>
                <w:rFonts w:eastAsia="Times New Roman" w:cs="Arial"/>
                <w:sz w:val="16"/>
                <w:szCs w:val="16"/>
                <w:lang w:val="fr-FR"/>
              </w:rPr>
            </w:pPr>
            <w:r w:rsidRPr="00926518">
              <w:rPr>
                <w:rFonts w:eastAsia="Times New Roman" w:cs="Arial"/>
                <w:sz w:val="16"/>
                <w:szCs w:val="16"/>
                <w:lang w:val="fr-FR"/>
              </w:rPr>
              <w:t>Mante diable pygmée à longues cornes</w:t>
            </w:r>
          </w:p>
        </w:tc>
      </w:tr>
      <w:tr w:rsidR="00E42EB4" w:rsidRPr="00C971E7" w14:paraId="0386A3FC" w14:textId="77777777">
        <w:trPr>
          <w:trHeight w:val="580"/>
        </w:trPr>
        <w:tc>
          <w:tcPr>
            <w:tcW w:w="2050" w:type="dxa"/>
            <w:hideMark/>
          </w:tcPr>
          <w:p w14:paraId="21E6D51E" w14:textId="77777777" w:rsidR="00E42EB4" w:rsidRPr="00AC7730" w:rsidRDefault="004C1ADE">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hypostoma</w:t>
            </w:r>
            <w:proofErr w:type="spellEnd"/>
          </w:p>
        </w:tc>
        <w:tc>
          <w:tcPr>
            <w:tcW w:w="2061" w:type="dxa"/>
            <w:hideMark/>
          </w:tcPr>
          <w:p w14:paraId="2F8AA7D5" w14:textId="77777777" w:rsidR="00E42EB4" w:rsidRPr="00AC7730" w:rsidRDefault="004C1ADE">
            <w:pPr>
              <w:spacing w:after="0" w:line="276" w:lineRule="auto"/>
              <w:rPr>
                <w:rFonts w:eastAsia="Times New Roman" w:cs="Arial"/>
                <w:sz w:val="16"/>
                <w:szCs w:val="16"/>
              </w:rPr>
            </w:pPr>
            <w:r w:rsidRPr="00AC7730">
              <w:rPr>
                <w:rFonts w:eastAsia="Times New Roman" w:cs="Arial"/>
                <w:sz w:val="16"/>
                <w:szCs w:val="16"/>
              </w:rPr>
              <w:t>Atlantic Pygmy Devil Ray</w:t>
            </w:r>
          </w:p>
        </w:tc>
        <w:tc>
          <w:tcPr>
            <w:tcW w:w="2410" w:type="dxa"/>
            <w:hideMark/>
          </w:tcPr>
          <w:p w14:paraId="7555583D"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Móbula</w:t>
            </w:r>
            <w:proofErr w:type="spellEnd"/>
            <w:r w:rsidRPr="00AC7730">
              <w:rPr>
                <w:rFonts w:eastAsia="Times New Roman" w:cs="Arial"/>
                <w:sz w:val="16"/>
                <w:szCs w:val="16"/>
              </w:rPr>
              <w:t xml:space="preserve"> </w:t>
            </w:r>
            <w:proofErr w:type="spellStart"/>
            <w:r w:rsidRPr="00AC7730">
              <w:rPr>
                <w:rFonts w:eastAsia="Times New Roman" w:cs="Arial"/>
                <w:sz w:val="16"/>
                <w:szCs w:val="16"/>
              </w:rPr>
              <w:t>pigmea</w:t>
            </w:r>
            <w:proofErr w:type="spellEnd"/>
            <w:r w:rsidRPr="00AC7730">
              <w:rPr>
                <w:rFonts w:eastAsia="Times New Roman" w:cs="Arial"/>
                <w:sz w:val="16"/>
                <w:szCs w:val="16"/>
              </w:rPr>
              <w:t xml:space="preserve"> del Atlántico</w:t>
            </w:r>
          </w:p>
        </w:tc>
        <w:tc>
          <w:tcPr>
            <w:tcW w:w="2551" w:type="dxa"/>
            <w:hideMark/>
          </w:tcPr>
          <w:p w14:paraId="66270F66" w14:textId="77777777" w:rsidR="00E42EB4" w:rsidRPr="00926518" w:rsidRDefault="004C1ADE">
            <w:pPr>
              <w:spacing w:after="0" w:line="276" w:lineRule="auto"/>
              <w:rPr>
                <w:rFonts w:eastAsia="Times New Roman" w:cs="Arial"/>
                <w:sz w:val="16"/>
                <w:szCs w:val="16"/>
                <w:lang w:val="fr-FR"/>
              </w:rPr>
            </w:pPr>
            <w:r w:rsidRPr="00926518">
              <w:rPr>
                <w:rFonts w:eastAsia="Times New Roman" w:cs="Arial"/>
                <w:sz w:val="16"/>
                <w:szCs w:val="16"/>
                <w:lang w:val="fr-FR"/>
              </w:rPr>
              <w:t>Mante diable pygmée de l’Atlantique</w:t>
            </w:r>
          </w:p>
        </w:tc>
      </w:tr>
      <w:tr w:rsidR="00E42EB4" w:rsidRPr="00C971E7" w14:paraId="28C8086C" w14:textId="77777777">
        <w:trPr>
          <w:trHeight w:val="580"/>
        </w:trPr>
        <w:tc>
          <w:tcPr>
            <w:tcW w:w="2050" w:type="dxa"/>
            <w:shd w:val="clear" w:color="auto" w:fill="E7E6E6" w:themeFill="background2"/>
            <w:hideMark/>
          </w:tcPr>
          <w:p w14:paraId="5F4DAB8C" w14:textId="77777777" w:rsidR="00E42EB4" w:rsidRPr="00AC7730" w:rsidRDefault="004C1ADE">
            <w:pPr>
              <w:spacing w:after="0" w:line="276" w:lineRule="auto"/>
              <w:rPr>
                <w:rFonts w:eastAsia="Times New Roman" w:cs="Arial"/>
                <w:i/>
                <w:iCs/>
                <w:sz w:val="16"/>
                <w:szCs w:val="16"/>
              </w:rPr>
            </w:pPr>
            <w:proofErr w:type="spellStart"/>
            <w:r w:rsidRPr="00AC7730">
              <w:rPr>
                <w:rFonts w:eastAsia="Times New Roman" w:cs="Arial"/>
                <w:i/>
                <w:iCs/>
                <w:sz w:val="16"/>
                <w:szCs w:val="16"/>
              </w:rPr>
              <w:t>Mobula</w:t>
            </w:r>
            <w:proofErr w:type="spellEnd"/>
            <w:r w:rsidRPr="00AC7730">
              <w:rPr>
                <w:rFonts w:eastAsia="Times New Roman" w:cs="Arial"/>
                <w:i/>
                <w:iCs/>
                <w:sz w:val="16"/>
                <w:szCs w:val="16"/>
              </w:rPr>
              <w:t xml:space="preserve"> </w:t>
            </w:r>
            <w:proofErr w:type="spellStart"/>
            <w:r w:rsidRPr="00AC7730">
              <w:rPr>
                <w:rFonts w:eastAsia="Times New Roman" w:cs="Arial"/>
                <w:i/>
                <w:iCs/>
                <w:sz w:val="16"/>
                <w:szCs w:val="16"/>
              </w:rPr>
              <w:t>munkiana</w:t>
            </w:r>
            <w:proofErr w:type="spellEnd"/>
          </w:p>
        </w:tc>
        <w:tc>
          <w:tcPr>
            <w:tcW w:w="2061" w:type="dxa"/>
            <w:shd w:val="clear" w:color="auto" w:fill="E7E6E6" w:themeFill="background2"/>
            <w:hideMark/>
          </w:tcPr>
          <w:p w14:paraId="41BB121F" w14:textId="77777777" w:rsidR="00E42EB4" w:rsidRPr="00AC7730" w:rsidRDefault="004C1ADE">
            <w:pPr>
              <w:spacing w:after="0" w:line="276" w:lineRule="auto"/>
              <w:rPr>
                <w:rFonts w:eastAsia="Times New Roman" w:cs="Arial"/>
                <w:sz w:val="16"/>
                <w:szCs w:val="16"/>
              </w:rPr>
            </w:pPr>
            <w:r w:rsidRPr="00AC7730">
              <w:rPr>
                <w:rFonts w:eastAsia="Times New Roman" w:cs="Arial"/>
                <w:sz w:val="16"/>
                <w:szCs w:val="16"/>
              </w:rPr>
              <w:t>Munk's Pygmy Devil Ray</w:t>
            </w:r>
          </w:p>
        </w:tc>
        <w:tc>
          <w:tcPr>
            <w:tcW w:w="2410" w:type="dxa"/>
            <w:shd w:val="clear" w:color="auto" w:fill="E7E6E6" w:themeFill="background2"/>
            <w:hideMark/>
          </w:tcPr>
          <w:p w14:paraId="40B2F731" w14:textId="77777777" w:rsidR="00E42EB4" w:rsidRPr="00AC7730" w:rsidRDefault="004C1ADE">
            <w:pPr>
              <w:spacing w:after="0" w:line="276" w:lineRule="auto"/>
              <w:rPr>
                <w:rFonts w:eastAsia="Times New Roman" w:cs="Arial"/>
                <w:sz w:val="16"/>
                <w:szCs w:val="16"/>
              </w:rPr>
            </w:pPr>
            <w:proofErr w:type="spellStart"/>
            <w:r w:rsidRPr="00AC7730">
              <w:rPr>
                <w:rFonts w:eastAsia="Times New Roman" w:cs="Arial"/>
                <w:sz w:val="16"/>
                <w:szCs w:val="16"/>
              </w:rPr>
              <w:t>Móbula</w:t>
            </w:r>
            <w:proofErr w:type="spellEnd"/>
            <w:r w:rsidRPr="00AC7730">
              <w:rPr>
                <w:rFonts w:eastAsia="Times New Roman" w:cs="Arial"/>
                <w:sz w:val="16"/>
                <w:szCs w:val="16"/>
              </w:rPr>
              <w:t xml:space="preserve"> </w:t>
            </w:r>
            <w:proofErr w:type="spellStart"/>
            <w:r w:rsidRPr="00AC7730">
              <w:rPr>
                <w:rFonts w:eastAsia="Times New Roman" w:cs="Arial"/>
                <w:sz w:val="16"/>
                <w:szCs w:val="16"/>
              </w:rPr>
              <w:t>pigmea</w:t>
            </w:r>
            <w:proofErr w:type="spellEnd"/>
            <w:r w:rsidRPr="00AC7730">
              <w:rPr>
                <w:rFonts w:eastAsia="Times New Roman" w:cs="Arial"/>
                <w:sz w:val="16"/>
                <w:szCs w:val="16"/>
              </w:rPr>
              <w:t xml:space="preserve"> de Munk</w:t>
            </w:r>
          </w:p>
        </w:tc>
        <w:tc>
          <w:tcPr>
            <w:tcW w:w="2551" w:type="dxa"/>
            <w:shd w:val="clear" w:color="auto" w:fill="E7E6E6" w:themeFill="background2"/>
            <w:hideMark/>
          </w:tcPr>
          <w:p w14:paraId="2CC1FB07" w14:textId="77777777" w:rsidR="00E42EB4" w:rsidRPr="00926518" w:rsidRDefault="004C1ADE">
            <w:pPr>
              <w:spacing w:after="0" w:line="276" w:lineRule="auto"/>
              <w:rPr>
                <w:rFonts w:eastAsia="Times New Roman" w:cs="Arial"/>
                <w:sz w:val="16"/>
                <w:szCs w:val="16"/>
                <w:lang w:val="fr-FR"/>
              </w:rPr>
            </w:pPr>
            <w:r w:rsidRPr="00926518">
              <w:rPr>
                <w:rFonts w:eastAsia="Times New Roman" w:cs="Arial"/>
                <w:sz w:val="16"/>
                <w:szCs w:val="16"/>
                <w:lang w:val="fr-FR"/>
              </w:rPr>
              <w:t>Mante diable pygmée de Munk</w:t>
            </w:r>
          </w:p>
        </w:tc>
      </w:tr>
    </w:tbl>
    <w:p w14:paraId="1CF7D8A6" w14:textId="298BDD2F" w:rsidR="00E42EB4" w:rsidRPr="00AC7730" w:rsidRDefault="004C1ADE">
      <w:pPr>
        <w:spacing w:after="0" w:line="240" w:lineRule="auto"/>
        <w:rPr>
          <w:rFonts w:eastAsia="MS Mincho" w:cs="Arial"/>
          <w:sz w:val="20"/>
          <w:szCs w:val="20"/>
          <w:lang w:val="fr-FR" w:eastAsia="en-GB"/>
        </w:rPr>
      </w:pPr>
      <w:r w:rsidRPr="00AC7730">
        <w:rPr>
          <w:rFonts w:eastAsia="MS Mincho" w:cs="Arial"/>
          <w:sz w:val="20"/>
          <w:szCs w:val="20"/>
          <w:lang w:val="fr-FR" w:eastAsia="en-GB"/>
        </w:rPr>
        <w:t>Tableau 1 : Noms communs selon</w:t>
      </w:r>
      <w:r w:rsidRPr="00AC7730">
        <w:rPr>
          <w:rFonts w:eastAsia="MS Mincho" w:cs="Arial"/>
          <w:i/>
          <w:iCs/>
          <w:sz w:val="20"/>
          <w:szCs w:val="20"/>
          <w:lang w:val="fr-FR" w:eastAsia="en-GB"/>
        </w:rPr>
        <w:t xml:space="preserve"> Stevens et al. 2025</w:t>
      </w:r>
      <w:r w:rsidRPr="00AC7730">
        <w:rPr>
          <w:rFonts w:eastAsia="MS Mincho" w:cs="Arial"/>
          <w:sz w:val="20"/>
          <w:szCs w:val="20"/>
          <w:lang w:val="fr-FR" w:eastAsia="en-GB"/>
        </w:rPr>
        <w:t xml:space="preserve">, Field Guide to the Manta and Devil Rays of the World (Guide de terrain des raies </w:t>
      </w:r>
      <w:proofErr w:type="spellStart"/>
      <w:r w:rsidRPr="00AC7730">
        <w:rPr>
          <w:rFonts w:eastAsia="MS Mincho" w:cs="Arial"/>
          <w:sz w:val="20"/>
          <w:szCs w:val="20"/>
          <w:lang w:val="fr-FR" w:eastAsia="en-GB"/>
        </w:rPr>
        <w:t>manta</w:t>
      </w:r>
      <w:proofErr w:type="spellEnd"/>
      <w:r w:rsidRPr="00AC7730">
        <w:rPr>
          <w:rFonts w:eastAsia="MS Mincho" w:cs="Arial"/>
          <w:sz w:val="20"/>
          <w:szCs w:val="20"/>
          <w:lang w:val="fr-FR" w:eastAsia="en-GB"/>
        </w:rPr>
        <w:t xml:space="preserve"> et diable du monde).</w:t>
      </w:r>
    </w:p>
    <w:p w14:paraId="6B3F21B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b/>
          <w:lang w:val="fr-FR" w:eastAsia="en-GB"/>
        </w:rPr>
      </w:pPr>
    </w:p>
    <w:p w14:paraId="6FFE036F"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Répartition géographique</w:t>
      </w:r>
    </w:p>
    <w:p w14:paraId="7ED6A6F1" w14:textId="77777777" w:rsidR="00E42EB4" w:rsidRPr="00AC7730" w:rsidRDefault="00E42EB4">
      <w:pPr>
        <w:widowControl w:val="0"/>
        <w:suppressAutoHyphens/>
        <w:autoSpaceDE w:val="0"/>
        <w:autoSpaceDN w:val="0"/>
        <w:spacing w:after="0" w:line="240" w:lineRule="auto"/>
        <w:jc w:val="both"/>
        <w:textAlignment w:val="baseline"/>
        <w:rPr>
          <w:rFonts w:eastAsia="Arial" w:cs="Arial"/>
          <w:lang w:val="fr-FR"/>
        </w:rPr>
      </w:pPr>
    </w:p>
    <w:p w14:paraId="0BCF61DE" w14:textId="2C40FB39" w:rsidR="00E42EB4" w:rsidRPr="00AC7730" w:rsidRDefault="000744CE">
      <w:pPr>
        <w:widowControl w:val="0"/>
        <w:suppressAutoHyphens/>
        <w:autoSpaceDE w:val="0"/>
        <w:autoSpaceDN w:val="0"/>
        <w:spacing w:after="0" w:line="240" w:lineRule="auto"/>
        <w:jc w:val="both"/>
        <w:textAlignment w:val="baseline"/>
        <w:rPr>
          <w:rFonts w:eastAsia="Arial" w:cs="Arial"/>
          <w:lang w:val="fr-FR"/>
        </w:rPr>
      </w:pPr>
      <w:r w:rsidRPr="00AC7730">
        <w:rPr>
          <w:rFonts w:cs="Arial"/>
          <w:noProof/>
          <w:lang w:val="fr-FR"/>
        </w:rPr>
        <w:drawing>
          <wp:anchor distT="0" distB="0" distL="114300" distR="114300" simplePos="0" relativeHeight="251658241" behindDoc="0" locked="0" layoutInCell="1" allowOverlap="1" wp14:anchorId="4835357F" wp14:editId="653081A9">
            <wp:simplePos x="0" y="0"/>
            <wp:positionH relativeFrom="margin">
              <wp:posOffset>895350</wp:posOffset>
            </wp:positionH>
            <wp:positionV relativeFrom="paragraph">
              <wp:posOffset>1913890</wp:posOffset>
            </wp:positionV>
            <wp:extent cx="3556000" cy="2000250"/>
            <wp:effectExtent l="0" t="0" r="6350" b="0"/>
            <wp:wrapNone/>
            <wp:docPr id="10512176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6000" cy="2000250"/>
                    </a:xfrm>
                    <a:prstGeom prst="rect">
                      <a:avLst/>
                    </a:prstGeom>
                    <a:noFill/>
                    <a:ln w="3810">
                      <a:noFill/>
                    </a:ln>
                  </pic:spPr>
                </pic:pic>
              </a:graphicData>
            </a:graphic>
            <wp14:sizeRelH relativeFrom="page">
              <wp14:pctWidth>0</wp14:pctWidth>
            </wp14:sizeRelH>
            <wp14:sizeRelV relativeFrom="page">
              <wp14:pctHeight>0</wp14:pctHeight>
            </wp14:sizeRelV>
          </wp:anchor>
        </w:drawing>
      </w:r>
      <w:r w:rsidRPr="00AC7730">
        <w:rPr>
          <w:rFonts w:eastAsia="Arial" w:cs="Arial"/>
          <w:lang w:val="fr-FR"/>
        </w:rPr>
        <w:t xml:space="preserve">Les raies </w:t>
      </w:r>
      <w:proofErr w:type="spellStart"/>
      <w:r w:rsidRPr="00AC7730">
        <w:rPr>
          <w:rFonts w:eastAsia="Arial" w:cs="Arial"/>
          <w:lang w:val="fr-FR"/>
        </w:rPr>
        <w:t>manta</w:t>
      </w:r>
      <w:proofErr w:type="spellEnd"/>
      <w:r w:rsidRPr="00AC7730">
        <w:rPr>
          <w:rFonts w:eastAsia="Arial" w:cs="Arial"/>
          <w:lang w:val="fr-FR"/>
        </w:rPr>
        <w:t xml:space="preserve"> et diable (collectivement appelées </w:t>
      </w:r>
      <w:proofErr w:type="spellStart"/>
      <w:r w:rsidRPr="00AC7730">
        <w:rPr>
          <w:rFonts w:eastAsia="Arial" w:cs="Arial"/>
          <w:lang w:val="fr-FR"/>
        </w:rPr>
        <w:t>mobulidés</w:t>
      </w:r>
      <w:proofErr w:type="spellEnd"/>
      <w:r w:rsidRPr="00AC7730">
        <w:rPr>
          <w:rFonts w:eastAsia="Arial" w:cs="Arial"/>
          <w:lang w:val="fr-FR"/>
        </w:rPr>
        <w:t xml:space="preserve">) sont présents à l’échelle mondiale, principalement dans les eaux tropicales et subtropicales. Les </w:t>
      </w:r>
      <w:proofErr w:type="spellStart"/>
      <w:r w:rsidRPr="00AC7730">
        <w:rPr>
          <w:rFonts w:eastAsia="Arial" w:cs="Arial"/>
          <w:i/>
          <w:lang w:val="fr-FR"/>
        </w:rPr>
        <w:t>Mobula</w:t>
      </w:r>
      <w:proofErr w:type="spellEnd"/>
      <w:r w:rsidRPr="00AC7730">
        <w:rPr>
          <w:rFonts w:eastAsia="Arial" w:cs="Arial"/>
          <w:i/>
          <w:lang w:val="fr-FR"/>
        </w:rPr>
        <w:t xml:space="preserve"> </w:t>
      </w:r>
      <w:proofErr w:type="spellStart"/>
      <w:r w:rsidRPr="00AC7730">
        <w:rPr>
          <w:rFonts w:eastAsia="Arial" w:cs="Arial"/>
          <w:i/>
          <w:lang w:val="fr-FR"/>
        </w:rPr>
        <w:t>birostris</w:t>
      </w:r>
      <w:proofErr w:type="spellEnd"/>
      <w:r w:rsidRPr="00AC7730">
        <w:rPr>
          <w:rFonts w:eastAsia="Arial" w:cs="Arial"/>
          <w:i/>
          <w:lang w:val="fr-FR"/>
        </w:rPr>
        <w:t xml:space="preserve">, M. </w:t>
      </w:r>
      <w:proofErr w:type="spellStart"/>
      <w:r w:rsidRPr="00AC7730">
        <w:rPr>
          <w:rFonts w:eastAsia="Arial" w:cs="Arial"/>
          <w:i/>
          <w:lang w:val="fr-FR"/>
        </w:rPr>
        <w:t>tarapacana</w:t>
      </w:r>
      <w:proofErr w:type="spellEnd"/>
      <w:r w:rsidRPr="00AC7730">
        <w:rPr>
          <w:rFonts w:eastAsia="Arial" w:cs="Arial"/>
          <w:i/>
          <w:lang w:val="fr-FR"/>
        </w:rPr>
        <w:t xml:space="preserve">, M. mobular et M. </w:t>
      </w:r>
      <w:proofErr w:type="spellStart"/>
      <w:r w:rsidRPr="00AC7730">
        <w:rPr>
          <w:rFonts w:eastAsia="Arial" w:cs="Arial"/>
          <w:i/>
          <w:lang w:val="fr-FR"/>
        </w:rPr>
        <w:t>thurstoni</w:t>
      </w:r>
      <w:proofErr w:type="spellEnd"/>
      <w:r w:rsidRPr="00AC7730">
        <w:rPr>
          <w:rFonts w:eastAsia="Arial" w:cs="Arial"/>
          <w:lang w:val="fr-FR"/>
        </w:rPr>
        <w:t xml:space="preserve"> sont réparties de manière </w:t>
      </w:r>
      <w:proofErr w:type="spellStart"/>
      <w:r w:rsidRPr="00AC7730">
        <w:rPr>
          <w:rFonts w:eastAsia="Arial" w:cs="Arial"/>
          <w:lang w:val="fr-FR"/>
        </w:rPr>
        <w:t>circumglobale</w:t>
      </w:r>
      <w:proofErr w:type="spellEnd"/>
      <w:r w:rsidRPr="00AC7730">
        <w:rPr>
          <w:rFonts w:eastAsia="Arial" w:cs="Arial"/>
          <w:lang w:val="fr-FR"/>
        </w:rPr>
        <w:t xml:space="preserve"> dans les océans Atlantique, Pacifique et Indien, s’aventurant de manière saisonnière dans les régions tempérées de ces océans (Stevens et al., 2025). Les </w:t>
      </w:r>
      <w:proofErr w:type="spellStart"/>
      <w:r w:rsidRPr="00AC7730">
        <w:rPr>
          <w:rFonts w:eastAsia="Arial" w:cs="Arial"/>
          <w:i/>
          <w:lang w:val="fr-FR"/>
        </w:rPr>
        <w:t>Mobula</w:t>
      </w:r>
      <w:proofErr w:type="spellEnd"/>
      <w:r w:rsidRPr="00AC7730">
        <w:rPr>
          <w:rFonts w:eastAsia="Arial" w:cs="Arial"/>
          <w:i/>
          <w:lang w:val="fr-FR"/>
        </w:rPr>
        <w:t xml:space="preserve"> </w:t>
      </w:r>
      <w:proofErr w:type="spellStart"/>
      <w:r w:rsidRPr="00AC7730">
        <w:rPr>
          <w:rFonts w:eastAsia="Arial" w:cs="Arial"/>
          <w:i/>
          <w:lang w:val="fr-FR"/>
        </w:rPr>
        <w:t>alfredi</w:t>
      </w:r>
      <w:proofErr w:type="spellEnd"/>
      <w:r w:rsidRPr="00AC7730">
        <w:rPr>
          <w:rFonts w:eastAsia="Arial" w:cs="Arial"/>
          <w:lang w:val="fr-FR"/>
        </w:rPr>
        <w:t xml:space="preserve">, </w:t>
      </w:r>
      <w:r w:rsidRPr="00AC7730">
        <w:rPr>
          <w:rFonts w:eastAsia="Arial" w:cs="Arial"/>
          <w:i/>
          <w:lang w:val="fr-FR"/>
        </w:rPr>
        <w:t xml:space="preserve">M. </w:t>
      </w:r>
      <w:proofErr w:type="spellStart"/>
      <w:r w:rsidRPr="00AC7730">
        <w:rPr>
          <w:rFonts w:eastAsia="Arial" w:cs="Arial"/>
          <w:i/>
          <w:lang w:val="fr-FR"/>
        </w:rPr>
        <w:t>eregoodoo</w:t>
      </w:r>
      <w:proofErr w:type="spellEnd"/>
      <w:r w:rsidRPr="00AC7730">
        <w:rPr>
          <w:rFonts w:eastAsia="Arial" w:cs="Arial"/>
          <w:i/>
          <w:lang w:val="fr-FR"/>
        </w:rPr>
        <w:t>,</w:t>
      </w:r>
      <w:r w:rsidRPr="00AC7730">
        <w:rPr>
          <w:rFonts w:eastAsia="Arial" w:cs="Arial"/>
          <w:lang w:val="fr-FR"/>
        </w:rPr>
        <w:t xml:space="preserve"> et </w:t>
      </w:r>
      <w:r w:rsidRPr="00AC7730">
        <w:rPr>
          <w:rFonts w:eastAsia="Arial" w:cs="Arial"/>
          <w:i/>
          <w:lang w:val="fr-FR"/>
        </w:rPr>
        <w:t xml:space="preserve">M. </w:t>
      </w:r>
      <w:proofErr w:type="spellStart"/>
      <w:r w:rsidRPr="00AC7730">
        <w:rPr>
          <w:rFonts w:eastAsia="Arial" w:cs="Arial"/>
          <w:i/>
          <w:lang w:val="fr-FR"/>
        </w:rPr>
        <w:t>kuhlii</w:t>
      </w:r>
      <w:proofErr w:type="spellEnd"/>
      <w:r w:rsidRPr="00AC7730">
        <w:rPr>
          <w:rFonts w:eastAsia="Arial" w:cs="Arial"/>
          <w:lang w:val="fr-FR"/>
        </w:rPr>
        <w:t xml:space="preserve"> sont limitées au Pacifique indo-occidental (Notarbartolo di Sciara et al. 2020 ; Stevens et al. 2025). Les </w:t>
      </w:r>
      <w:proofErr w:type="spellStart"/>
      <w:r w:rsidRPr="00AC7730">
        <w:rPr>
          <w:rFonts w:eastAsia="Arial" w:cs="Arial"/>
          <w:i/>
          <w:iCs/>
          <w:lang w:val="fr-FR"/>
        </w:rPr>
        <w:t>Mobula</w:t>
      </w:r>
      <w:proofErr w:type="spellEnd"/>
      <w:r w:rsidRPr="00AC7730">
        <w:rPr>
          <w:rFonts w:eastAsia="Arial" w:cs="Arial"/>
          <w:i/>
          <w:iCs/>
          <w:lang w:val="fr-FR"/>
        </w:rPr>
        <w:t xml:space="preserve"> </w:t>
      </w:r>
      <w:proofErr w:type="spellStart"/>
      <w:r w:rsidRPr="00AC7730">
        <w:rPr>
          <w:rFonts w:eastAsia="Arial" w:cs="Arial"/>
          <w:i/>
          <w:iCs/>
          <w:lang w:val="fr-FR"/>
        </w:rPr>
        <w:t>yarae</w:t>
      </w:r>
      <w:proofErr w:type="spellEnd"/>
      <w:r w:rsidRPr="00AC7730">
        <w:rPr>
          <w:rFonts w:eastAsia="Arial" w:cs="Arial"/>
          <w:lang w:val="fr-FR"/>
        </w:rPr>
        <w:t xml:space="preserve"> et </w:t>
      </w:r>
      <w:r w:rsidRPr="00AC7730">
        <w:rPr>
          <w:rFonts w:eastAsia="Arial" w:cs="Arial"/>
          <w:i/>
          <w:lang w:val="fr-FR"/>
        </w:rPr>
        <w:t xml:space="preserve">M. </w:t>
      </w:r>
      <w:proofErr w:type="spellStart"/>
      <w:r w:rsidRPr="00AC7730">
        <w:rPr>
          <w:rFonts w:eastAsia="Arial" w:cs="Arial"/>
          <w:i/>
          <w:lang w:val="fr-FR"/>
        </w:rPr>
        <w:t>hypostoma</w:t>
      </w:r>
      <w:proofErr w:type="spellEnd"/>
      <w:r w:rsidRPr="00AC7730">
        <w:rPr>
          <w:rFonts w:eastAsia="Arial" w:cs="Arial"/>
          <w:lang w:val="fr-FR"/>
        </w:rPr>
        <w:t xml:space="preserve"> sont confinées à l'océan Atlantique, tandis que la </w:t>
      </w:r>
      <w:r w:rsidRPr="00AC7730">
        <w:rPr>
          <w:rFonts w:eastAsia="Arial" w:cs="Arial"/>
          <w:i/>
          <w:lang w:val="fr-FR"/>
        </w:rPr>
        <w:t xml:space="preserve">M. </w:t>
      </w:r>
      <w:proofErr w:type="spellStart"/>
      <w:r w:rsidRPr="00AC7730">
        <w:rPr>
          <w:rFonts w:eastAsia="Arial" w:cs="Arial"/>
          <w:i/>
          <w:lang w:val="fr-FR"/>
        </w:rPr>
        <w:t>munkiana</w:t>
      </w:r>
      <w:proofErr w:type="spellEnd"/>
      <w:r w:rsidRPr="00AC7730">
        <w:rPr>
          <w:rFonts w:eastAsia="Arial" w:cs="Arial"/>
          <w:lang w:val="fr-FR"/>
        </w:rPr>
        <w:t xml:space="preserve"> est confinée à l'océan Pacifique oriental (</w:t>
      </w:r>
      <w:proofErr w:type="spellStart"/>
      <w:r w:rsidRPr="00AC7730">
        <w:rPr>
          <w:rFonts w:eastAsia="Arial" w:cs="Arial"/>
          <w:lang w:val="fr-FR"/>
        </w:rPr>
        <w:t>Bucair</w:t>
      </w:r>
      <w:proofErr w:type="spellEnd"/>
      <w:r w:rsidRPr="00AC7730">
        <w:rPr>
          <w:rFonts w:eastAsia="Arial" w:cs="Arial"/>
          <w:lang w:val="fr-FR"/>
        </w:rPr>
        <w:t xml:space="preserve"> et al. 2025 ; Stevens et al. 2025 ; Boggio-Pasqua et al. [En révision]). Au sein de ces vastes aires de répartition, les populations sont souvent peu denses et fortement fragmentées, probablement en raison de leurs besoins spécifiques en ressources et en habitat, ainsi que de la surexploitation (Stewart et al. 2018).</w:t>
      </w:r>
    </w:p>
    <w:p w14:paraId="2DEA2DEF" w14:textId="7BB36545"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0BF0EAB7" w14:textId="247348C0"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34692D7F" w14:textId="0181C086"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420331C2" w14:textId="7BB26B4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0F98CA67" w14:textId="36271F6E"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73998C9C" w14:textId="400A6ED3"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64B4298A" w14:textId="43DBFD78"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6EAA907C" w14:textId="52279DD0" w:rsidR="00E42EB4" w:rsidRPr="00AC7730" w:rsidRDefault="000744CE">
      <w:pPr>
        <w:widowControl w:val="0"/>
        <w:suppressAutoHyphens/>
        <w:autoSpaceDE w:val="0"/>
        <w:autoSpaceDN w:val="0"/>
        <w:spacing w:line="276" w:lineRule="auto"/>
        <w:jc w:val="both"/>
        <w:textAlignment w:val="baseline"/>
        <w:rPr>
          <w:rFonts w:eastAsia="Arial" w:cs="Arial"/>
          <w:lang w:val="fr-FR"/>
        </w:rPr>
      </w:pPr>
      <w:r w:rsidRPr="00AC7730">
        <w:rPr>
          <w:rFonts w:cs="Arial"/>
          <w:noProof/>
          <w:lang w:val="fr-FR"/>
        </w:rPr>
        <w:lastRenderedPageBreak/>
        <w:drawing>
          <wp:anchor distT="0" distB="0" distL="114300" distR="114300" simplePos="0" relativeHeight="251658242" behindDoc="0" locked="0" layoutInCell="1" allowOverlap="1" wp14:anchorId="3930DEAB" wp14:editId="60800BD2">
            <wp:simplePos x="0" y="0"/>
            <wp:positionH relativeFrom="margin">
              <wp:posOffset>528955</wp:posOffset>
            </wp:positionH>
            <wp:positionV relativeFrom="paragraph">
              <wp:posOffset>119380</wp:posOffset>
            </wp:positionV>
            <wp:extent cx="4788535" cy="2711877"/>
            <wp:effectExtent l="0" t="0" r="0" b="0"/>
            <wp:wrapNone/>
            <wp:docPr id="45809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8535" cy="2711877"/>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2075E0D5" w14:textId="2F1492C0"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653F018D" w14:textId="3C9A1C81"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3D2B6493" w14:textId="0E4A443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44BE39E3" w14:textId="7777777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50BF952D" w14:textId="7777777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60CAC5C6" w14:textId="7777777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5E122262" w14:textId="7777777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78BDE131" w14:textId="77777777"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2774FB9B" w14:textId="6CF42869" w:rsidR="00E42EB4" w:rsidRPr="00AC7730" w:rsidRDefault="000744CE">
      <w:pPr>
        <w:widowControl w:val="0"/>
        <w:suppressAutoHyphens/>
        <w:autoSpaceDE w:val="0"/>
        <w:autoSpaceDN w:val="0"/>
        <w:spacing w:line="276" w:lineRule="auto"/>
        <w:jc w:val="both"/>
        <w:textAlignment w:val="baseline"/>
        <w:rPr>
          <w:rFonts w:eastAsia="Arial" w:cs="Arial"/>
          <w:lang w:val="fr-FR"/>
        </w:rPr>
      </w:pPr>
      <w:r w:rsidRPr="00AC7730">
        <w:rPr>
          <w:rFonts w:cs="Arial"/>
          <w:noProof/>
          <w:lang w:val="fr-FR"/>
        </w:rPr>
        <w:drawing>
          <wp:anchor distT="0" distB="0" distL="114300" distR="114300" simplePos="0" relativeHeight="251658243" behindDoc="0" locked="0" layoutInCell="1" allowOverlap="1" wp14:anchorId="4CBC02A6" wp14:editId="2987F99F">
            <wp:simplePos x="0" y="0"/>
            <wp:positionH relativeFrom="margin">
              <wp:posOffset>532130</wp:posOffset>
            </wp:positionH>
            <wp:positionV relativeFrom="paragraph">
              <wp:posOffset>257175</wp:posOffset>
            </wp:positionV>
            <wp:extent cx="4773930" cy="2686050"/>
            <wp:effectExtent l="0" t="0" r="7620" b="0"/>
            <wp:wrapNone/>
            <wp:docPr id="2260788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3930"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4DE524E0" w14:textId="71E69BEF"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6AC48EB9" w14:textId="39C56A13" w:rsidR="00E42EB4" w:rsidRPr="00AC7730" w:rsidRDefault="00E42EB4">
      <w:pPr>
        <w:widowControl w:val="0"/>
        <w:suppressAutoHyphens/>
        <w:autoSpaceDE w:val="0"/>
        <w:autoSpaceDN w:val="0"/>
        <w:spacing w:line="276" w:lineRule="auto"/>
        <w:jc w:val="both"/>
        <w:textAlignment w:val="baseline"/>
        <w:rPr>
          <w:rFonts w:eastAsia="Arial" w:cs="Arial"/>
          <w:lang w:val="fr-FR"/>
        </w:rPr>
      </w:pPr>
    </w:p>
    <w:p w14:paraId="11A437E3" w14:textId="4F5C3445" w:rsidR="00E42EB4" w:rsidRPr="00AC7730" w:rsidRDefault="00E42EB4">
      <w:pPr>
        <w:widowControl w:val="0"/>
        <w:suppressAutoHyphens/>
        <w:autoSpaceDE w:val="0"/>
        <w:autoSpaceDN w:val="0"/>
        <w:spacing w:line="276" w:lineRule="auto"/>
        <w:jc w:val="both"/>
        <w:textAlignment w:val="baseline"/>
        <w:rPr>
          <w:rFonts w:eastAsia="MS Mincho" w:cs="Arial"/>
          <w:lang w:val="fr-FR" w:eastAsia="en-GB"/>
        </w:rPr>
      </w:pPr>
    </w:p>
    <w:p w14:paraId="6400A97F" w14:textId="0FB9FB8E"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8736985"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EA3DADF"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F1088C1"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85B5BF6"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3E3ABFC" w14:textId="4E95D59B" w:rsidR="00E42EB4" w:rsidRPr="00AC7730" w:rsidRDefault="000744CE">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drawing>
          <wp:anchor distT="0" distB="0" distL="114300" distR="114300" simplePos="0" relativeHeight="251658244" behindDoc="0" locked="0" layoutInCell="1" allowOverlap="1" wp14:anchorId="1DA85389" wp14:editId="241A8C60">
            <wp:simplePos x="0" y="0"/>
            <wp:positionH relativeFrom="margin">
              <wp:posOffset>481330</wp:posOffset>
            </wp:positionH>
            <wp:positionV relativeFrom="paragraph">
              <wp:posOffset>274955</wp:posOffset>
            </wp:positionV>
            <wp:extent cx="4773930" cy="2686050"/>
            <wp:effectExtent l="0" t="0" r="7620" b="0"/>
            <wp:wrapNone/>
            <wp:docPr id="9638345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3930"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70499E30" w14:textId="5B729F91"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34687C1" w14:textId="39EB1991"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3D2DBBE" w14:textId="104FD70D"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B44DFB0" w14:textId="4FECE83A"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C4650B4"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0930D91"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47C370A"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C58396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F9FC650"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F87E26D"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B0630A2"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784AA2A"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780FC13" w14:textId="77777777" w:rsidR="00E42EB4" w:rsidRPr="00AC7730" w:rsidRDefault="004C1ADE">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lastRenderedPageBreak/>
        <w:drawing>
          <wp:anchor distT="0" distB="0" distL="114300" distR="114300" simplePos="0" relativeHeight="251658245" behindDoc="0" locked="0" layoutInCell="1" allowOverlap="1" wp14:anchorId="646E4D9D" wp14:editId="4A832475">
            <wp:simplePos x="0" y="0"/>
            <wp:positionH relativeFrom="margin">
              <wp:align>center</wp:align>
            </wp:positionH>
            <wp:positionV relativeFrom="paragraph">
              <wp:posOffset>123190</wp:posOffset>
            </wp:positionV>
            <wp:extent cx="4756150" cy="2675255"/>
            <wp:effectExtent l="0" t="0" r="6350" b="0"/>
            <wp:wrapNone/>
            <wp:docPr id="7669722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6150" cy="267525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5A53578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A5245E3"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14FFFDD"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517986E"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53F70F3"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DDD14F0"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578FC00"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D686A69"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9C712E4"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52C7904" w14:textId="14A287BF" w:rsidR="00E42EB4" w:rsidRPr="00AC7730" w:rsidRDefault="0023527A">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drawing>
          <wp:anchor distT="0" distB="0" distL="114300" distR="114300" simplePos="0" relativeHeight="251658246" behindDoc="0" locked="0" layoutInCell="1" allowOverlap="1" wp14:anchorId="1A101870" wp14:editId="3484176B">
            <wp:simplePos x="0" y="0"/>
            <wp:positionH relativeFrom="margin">
              <wp:posOffset>408305</wp:posOffset>
            </wp:positionH>
            <wp:positionV relativeFrom="paragraph">
              <wp:posOffset>151130</wp:posOffset>
            </wp:positionV>
            <wp:extent cx="4762500" cy="2690495"/>
            <wp:effectExtent l="0" t="0" r="0" b="0"/>
            <wp:wrapNone/>
            <wp:docPr id="1220704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269049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62B4D2B" w14:textId="52AA83EB"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63C45BC" w14:textId="3701F448"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14C1257" w14:textId="6576AB9D"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E6873AA"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82A155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181FA4E"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26C6FA9"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5045A78"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30F90A7" w14:textId="62AC42F5" w:rsidR="00E42EB4" w:rsidRPr="00AC7730" w:rsidRDefault="0023527A">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drawing>
          <wp:anchor distT="0" distB="0" distL="114300" distR="114300" simplePos="0" relativeHeight="251658247" behindDoc="0" locked="0" layoutInCell="1" allowOverlap="1" wp14:anchorId="1757EC3E" wp14:editId="19001DCE">
            <wp:simplePos x="0" y="0"/>
            <wp:positionH relativeFrom="margin">
              <wp:posOffset>408305</wp:posOffset>
            </wp:positionH>
            <wp:positionV relativeFrom="paragraph">
              <wp:posOffset>256540</wp:posOffset>
            </wp:positionV>
            <wp:extent cx="4761230" cy="2685415"/>
            <wp:effectExtent l="0" t="0" r="1270" b="635"/>
            <wp:wrapNone/>
            <wp:docPr id="18247591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1230" cy="268541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072D0F18" w14:textId="5111DF8D"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6A8B694" w14:textId="590F2AD1"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17138B3" w14:textId="708F6626"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F991FFE" w14:textId="76382339"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06D1B94"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4C7E179"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321973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AB375B8"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1B7F209"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58CCF3BF"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9AFD43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96DC035" w14:textId="7D6FD9C3" w:rsidR="00E42EB4" w:rsidRPr="00AC7730" w:rsidRDefault="0023527A">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lastRenderedPageBreak/>
        <w:drawing>
          <wp:anchor distT="0" distB="0" distL="114300" distR="114300" simplePos="0" relativeHeight="251658248" behindDoc="0" locked="0" layoutInCell="1" allowOverlap="1" wp14:anchorId="05E2F09C" wp14:editId="5D080DA3">
            <wp:simplePos x="0" y="0"/>
            <wp:positionH relativeFrom="margin">
              <wp:posOffset>128905</wp:posOffset>
            </wp:positionH>
            <wp:positionV relativeFrom="paragraph">
              <wp:posOffset>6985</wp:posOffset>
            </wp:positionV>
            <wp:extent cx="4761230" cy="2678430"/>
            <wp:effectExtent l="0" t="0" r="1270" b="7620"/>
            <wp:wrapNone/>
            <wp:docPr id="757870693" name="Picture 20"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70693" name="Picture 20" descr="A manta ray and a map&#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1230" cy="267843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0273BD39" w14:textId="3D751A69"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D2EF2E0" w14:textId="25FE441D"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D283392" w14:textId="4F3348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A4F61BA"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264CF73"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10772F12"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755732C"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4302A37"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6D0418B" w14:textId="5D466E42" w:rsidR="00E42EB4" w:rsidRPr="00AC7730" w:rsidRDefault="00C67ED7">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drawing>
          <wp:anchor distT="0" distB="0" distL="114300" distR="114300" simplePos="0" relativeHeight="251658249" behindDoc="0" locked="0" layoutInCell="1" allowOverlap="1" wp14:anchorId="0AF78954" wp14:editId="2C51E698">
            <wp:simplePos x="0" y="0"/>
            <wp:positionH relativeFrom="margin">
              <wp:posOffset>224155</wp:posOffset>
            </wp:positionH>
            <wp:positionV relativeFrom="paragraph">
              <wp:posOffset>115570</wp:posOffset>
            </wp:positionV>
            <wp:extent cx="4749800" cy="2672223"/>
            <wp:effectExtent l="0" t="0" r="0" b="0"/>
            <wp:wrapNone/>
            <wp:docPr id="175735195" name="Picture 21"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5195" name="Picture 21" descr="A manta ray and a map&#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9800" cy="2672223"/>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6E6F48DC" w14:textId="7F289BD8"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1EB8B14" w14:textId="53F0C5C0"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4436D76" w14:textId="430977D1"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9CB109F"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E498BEA"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68955EB"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DB1DDE7"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B9AD656"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E1D7EE7"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C9A3FB5" w14:textId="11D0100D" w:rsidR="00E42EB4" w:rsidRPr="00AC7730" w:rsidRDefault="00C67ED7">
      <w:pPr>
        <w:widowControl w:val="0"/>
        <w:suppressAutoHyphens/>
        <w:autoSpaceDE w:val="0"/>
        <w:autoSpaceDN w:val="0"/>
        <w:spacing w:line="276" w:lineRule="auto"/>
        <w:jc w:val="both"/>
        <w:textAlignment w:val="baseline"/>
        <w:rPr>
          <w:rFonts w:eastAsia="MS Mincho" w:cs="Arial"/>
          <w:b/>
          <w:bCs/>
          <w:lang w:val="fr-FR" w:eastAsia="en-GB"/>
        </w:rPr>
      </w:pPr>
      <w:r w:rsidRPr="00AC7730">
        <w:rPr>
          <w:rFonts w:cs="Arial"/>
          <w:noProof/>
          <w:lang w:val="fr-FR"/>
        </w:rPr>
        <w:drawing>
          <wp:anchor distT="0" distB="0" distL="114300" distR="114300" simplePos="0" relativeHeight="251658250" behindDoc="0" locked="0" layoutInCell="1" allowOverlap="1" wp14:anchorId="46A4045C" wp14:editId="2182A71E">
            <wp:simplePos x="0" y="0"/>
            <wp:positionH relativeFrom="margin">
              <wp:posOffset>322580</wp:posOffset>
            </wp:positionH>
            <wp:positionV relativeFrom="paragraph">
              <wp:posOffset>20955</wp:posOffset>
            </wp:positionV>
            <wp:extent cx="4740516" cy="2667000"/>
            <wp:effectExtent l="0" t="0" r="3175" b="0"/>
            <wp:wrapNone/>
            <wp:docPr id="2099810583" name="Picture 22" descr="A person wearing a 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10583" name="Picture 22" descr="A person wearing a hoo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0516" cy="266700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48AC9CA" w14:textId="5C690181"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2B6C055A" w14:textId="0D88B788"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A1625A9" w14:textId="067356A8"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EAFA7AC"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3C0652C"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6F63434"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0E3DAC53"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6F08A22C"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394270C4"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4ECCF91"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4BE3C8A3" w14:textId="77777777" w:rsidR="00E42EB4" w:rsidRPr="00AC7730" w:rsidRDefault="00E42EB4">
      <w:pPr>
        <w:widowControl w:val="0"/>
        <w:suppressAutoHyphens/>
        <w:autoSpaceDE w:val="0"/>
        <w:autoSpaceDN w:val="0"/>
        <w:spacing w:line="276" w:lineRule="auto"/>
        <w:jc w:val="both"/>
        <w:textAlignment w:val="baseline"/>
        <w:rPr>
          <w:rFonts w:eastAsia="MS Mincho" w:cs="Arial"/>
          <w:b/>
          <w:bCs/>
          <w:lang w:val="fr-FR" w:eastAsia="en-GB"/>
        </w:rPr>
      </w:pPr>
    </w:p>
    <w:p w14:paraId="7B94DBDF"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b/>
          <w:bCs/>
          <w:lang w:val="fr-FR" w:eastAsia="en-GB"/>
        </w:rPr>
        <w:lastRenderedPageBreak/>
        <w:t>Résumé des activités</w:t>
      </w:r>
      <w:r w:rsidRPr="00AC7730">
        <w:rPr>
          <w:rFonts w:eastAsia="MS Mincho" w:cs="Arial"/>
          <w:lang w:val="fr-FR" w:eastAsia="en-GB"/>
        </w:rPr>
        <w:t xml:space="preserve"> </w:t>
      </w:r>
    </w:p>
    <w:p w14:paraId="18C3F439" w14:textId="77777777" w:rsidR="00E42EB4" w:rsidRPr="00AC7730" w:rsidRDefault="00E42EB4">
      <w:pPr>
        <w:widowControl w:val="0"/>
        <w:suppressAutoHyphens/>
        <w:autoSpaceDE w:val="0"/>
        <w:autoSpaceDN w:val="0"/>
        <w:spacing w:after="0" w:line="240" w:lineRule="auto"/>
        <w:jc w:val="both"/>
        <w:textAlignment w:val="baseline"/>
        <w:rPr>
          <w:rFonts w:cs="Arial"/>
          <w:lang w:val="fr-FR"/>
        </w:rPr>
      </w:pPr>
    </w:p>
    <w:p w14:paraId="307CEC13" w14:textId="77777777" w:rsidR="00E42EB4" w:rsidRPr="00AC7730" w:rsidRDefault="004C1ADE">
      <w:pPr>
        <w:pStyle w:val="ListParagraph"/>
        <w:numPr>
          <w:ilvl w:val="0"/>
          <w:numId w:val="31"/>
        </w:numPr>
        <w:spacing w:after="80" w:line="240" w:lineRule="auto"/>
        <w:ind w:left="547" w:hanging="547"/>
        <w:contextualSpacing w:val="0"/>
        <w:rPr>
          <w:lang w:val="fr-FR"/>
        </w:rPr>
      </w:pPr>
      <w:r w:rsidRPr="00AC7730">
        <w:rPr>
          <w:rFonts w:cs="Arial"/>
          <w:lang w:val="fr-FR"/>
        </w:rPr>
        <w:t xml:space="preserve">Mettre en œuvre des législations nationales et régionales qui donnent la priorité à la conservation des raies </w:t>
      </w:r>
      <w:proofErr w:type="spellStart"/>
      <w:r w:rsidRPr="00AC7730">
        <w:rPr>
          <w:rFonts w:cs="Arial"/>
          <w:lang w:val="fr-FR"/>
        </w:rPr>
        <w:t>manta</w:t>
      </w:r>
      <w:proofErr w:type="spellEnd"/>
      <w:r w:rsidRPr="00AC7730">
        <w:rPr>
          <w:rFonts w:cs="Arial"/>
          <w:lang w:val="fr-FR"/>
        </w:rPr>
        <w:t xml:space="preserve"> et diable.</w:t>
      </w:r>
    </w:p>
    <w:p w14:paraId="437965AD" w14:textId="77777777" w:rsidR="00E42EB4" w:rsidRPr="00AC7730" w:rsidRDefault="004C1ADE">
      <w:pPr>
        <w:pStyle w:val="ListParagraph"/>
        <w:numPr>
          <w:ilvl w:val="0"/>
          <w:numId w:val="31"/>
        </w:numPr>
        <w:spacing w:after="80" w:line="240" w:lineRule="auto"/>
        <w:ind w:left="547" w:hanging="547"/>
        <w:contextualSpacing w:val="0"/>
        <w:rPr>
          <w:lang w:val="fr-FR"/>
        </w:rPr>
      </w:pPr>
      <w:r w:rsidRPr="00AC7730">
        <w:rPr>
          <w:lang w:val="fr-FR"/>
        </w:rPr>
        <w:t xml:space="preserve">Développer les capacités et les outils technologiques pour améliorer l’application des lois et la traçabilité des pêcheries et du commerce des raies </w:t>
      </w:r>
      <w:proofErr w:type="spellStart"/>
      <w:r w:rsidRPr="00AC7730">
        <w:rPr>
          <w:lang w:val="fr-FR"/>
        </w:rPr>
        <w:t>manta</w:t>
      </w:r>
      <w:proofErr w:type="spellEnd"/>
      <w:r w:rsidRPr="00AC7730">
        <w:rPr>
          <w:lang w:val="fr-FR"/>
        </w:rPr>
        <w:t xml:space="preserve"> et diable.</w:t>
      </w:r>
    </w:p>
    <w:p w14:paraId="233E7059" w14:textId="77777777" w:rsidR="00E42EB4" w:rsidRPr="00AC7730" w:rsidRDefault="004C1ADE">
      <w:pPr>
        <w:pStyle w:val="ListParagraph"/>
        <w:numPr>
          <w:ilvl w:val="0"/>
          <w:numId w:val="31"/>
        </w:numPr>
        <w:spacing w:after="80" w:line="240" w:lineRule="auto"/>
        <w:ind w:left="547" w:hanging="547"/>
        <w:contextualSpacing w:val="0"/>
        <w:rPr>
          <w:lang w:val="fr-FR"/>
        </w:rPr>
      </w:pPr>
      <w:r w:rsidRPr="00AC7730">
        <w:rPr>
          <w:rFonts w:cs="Arial"/>
          <w:lang w:val="fr-FR"/>
        </w:rPr>
        <w:t>Remplacer les engins de pêche destructeurs par des engins sélectifs abordables dans les zones à haut risque de mortalité.</w:t>
      </w:r>
    </w:p>
    <w:p w14:paraId="2D68B949" w14:textId="77777777" w:rsidR="00E42EB4" w:rsidRPr="00AC7730" w:rsidRDefault="004C1ADE">
      <w:pPr>
        <w:pStyle w:val="ListParagraph"/>
        <w:numPr>
          <w:ilvl w:val="0"/>
          <w:numId w:val="31"/>
        </w:numPr>
        <w:spacing w:after="80" w:line="240" w:lineRule="auto"/>
        <w:ind w:left="547" w:hanging="547"/>
        <w:contextualSpacing w:val="0"/>
        <w:rPr>
          <w:lang w:val="fr-FR"/>
        </w:rPr>
      </w:pPr>
      <w:r w:rsidRPr="00AC7730">
        <w:rPr>
          <w:rFonts w:cs="Arial"/>
          <w:lang w:val="fr-FR"/>
        </w:rPr>
        <w:t>Adopter des méthodes sûres de manipulation et de remise à l’eau dans les pêcheries.</w:t>
      </w:r>
    </w:p>
    <w:p w14:paraId="2598ECC7" w14:textId="77777777" w:rsidR="00E42EB4" w:rsidRPr="00AC7730" w:rsidRDefault="004C1ADE">
      <w:pPr>
        <w:pStyle w:val="ListParagraph"/>
        <w:numPr>
          <w:ilvl w:val="0"/>
          <w:numId w:val="31"/>
        </w:numPr>
        <w:spacing w:after="80" w:line="240" w:lineRule="auto"/>
        <w:ind w:left="547" w:hanging="547"/>
        <w:contextualSpacing w:val="0"/>
        <w:rPr>
          <w:rFonts w:cs="Arial"/>
          <w:lang w:val="fr-FR"/>
        </w:rPr>
      </w:pPr>
      <w:r w:rsidRPr="00AC7730">
        <w:rPr>
          <w:lang w:val="fr-FR"/>
        </w:rPr>
        <w:t xml:space="preserve">Mettre en place une gestion par zones pour </w:t>
      </w:r>
      <w:proofErr w:type="spellStart"/>
      <w:r w:rsidRPr="00AC7730">
        <w:rPr>
          <w:lang w:val="fr-FR"/>
        </w:rPr>
        <w:t>luttre</w:t>
      </w:r>
      <w:proofErr w:type="spellEnd"/>
      <w:r w:rsidRPr="00AC7730">
        <w:rPr>
          <w:lang w:val="fr-FR"/>
        </w:rPr>
        <w:t xml:space="preserve"> contre la pêche des raies </w:t>
      </w:r>
      <w:proofErr w:type="spellStart"/>
      <w:r w:rsidRPr="00AC7730">
        <w:rPr>
          <w:lang w:val="fr-FR"/>
        </w:rPr>
        <w:t>manta</w:t>
      </w:r>
      <w:proofErr w:type="spellEnd"/>
      <w:r w:rsidRPr="00AC7730">
        <w:rPr>
          <w:lang w:val="fr-FR"/>
        </w:rPr>
        <w:t xml:space="preserve"> et diable dans les habitats critiques.</w:t>
      </w:r>
    </w:p>
    <w:p w14:paraId="76C05E2A" w14:textId="77777777" w:rsidR="00E42EB4" w:rsidRPr="00AC7730" w:rsidRDefault="004C1ADE">
      <w:pPr>
        <w:pStyle w:val="ListParagraph"/>
        <w:numPr>
          <w:ilvl w:val="0"/>
          <w:numId w:val="31"/>
        </w:numPr>
        <w:spacing w:after="80" w:line="240" w:lineRule="auto"/>
        <w:ind w:left="547" w:hanging="547"/>
        <w:contextualSpacing w:val="0"/>
        <w:rPr>
          <w:rFonts w:cs="Arial"/>
          <w:lang w:val="fr-FR"/>
        </w:rPr>
      </w:pPr>
      <w:r w:rsidRPr="00AC7730">
        <w:rPr>
          <w:rFonts w:cs="Arial"/>
          <w:lang w:val="fr-FR"/>
        </w:rPr>
        <w:t xml:space="preserve">Soutenir la recherche visant à améliorer les connaissances sur les captures ciblées et accessoires de raies </w:t>
      </w:r>
      <w:proofErr w:type="spellStart"/>
      <w:r w:rsidRPr="00AC7730">
        <w:rPr>
          <w:rFonts w:cs="Arial"/>
          <w:lang w:val="fr-FR"/>
        </w:rPr>
        <w:t>manta</w:t>
      </w:r>
      <w:proofErr w:type="spellEnd"/>
      <w:r w:rsidRPr="00AC7730">
        <w:rPr>
          <w:rFonts w:cs="Arial"/>
          <w:lang w:val="fr-FR"/>
        </w:rPr>
        <w:t xml:space="preserve"> et de raies diable.</w:t>
      </w:r>
    </w:p>
    <w:p w14:paraId="4CE96339" w14:textId="77777777" w:rsidR="00E42EB4" w:rsidRPr="00AC7730" w:rsidRDefault="004C1AD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cs="Arial"/>
          <w:lang w:val="fr-FR"/>
        </w:rPr>
        <w:t xml:space="preserve">Réaliser des évaluations mondiales de la répartition des populations, des estimations et des stocks pour toutes les espèces de raies </w:t>
      </w:r>
      <w:proofErr w:type="spellStart"/>
      <w:r w:rsidRPr="00AC7730">
        <w:rPr>
          <w:rFonts w:cs="Arial"/>
          <w:lang w:val="fr-FR"/>
        </w:rPr>
        <w:t>manta</w:t>
      </w:r>
      <w:proofErr w:type="spellEnd"/>
      <w:r w:rsidRPr="00AC7730">
        <w:rPr>
          <w:rFonts w:cs="Arial"/>
          <w:lang w:val="fr-FR"/>
        </w:rPr>
        <w:t xml:space="preserve"> et diable.</w:t>
      </w:r>
    </w:p>
    <w:p w14:paraId="30906630" w14:textId="77777777" w:rsidR="00E42EB4" w:rsidRPr="00AC7730" w:rsidRDefault="004C1AD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cs="Arial"/>
          <w:lang w:val="fr-FR"/>
        </w:rPr>
        <w:t xml:space="preserve">Établir des programmes de collecte de données à long terme au sein des organisations de gestion des pêcheries de raies </w:t>
      </w:r>
      <w:proofErr w:type="spellStart"/>
      <w:r w:rsidRPr="00AC7730">
        <w:rPr>
          <w:rFonts w:cs="Arial"/>
          <w:lang w:val="fr-FR"/>
        </w:rPr>
        <w:t>manta</w:t>
      </w:r>
      <w:proofErr w:type="spellEnd"/>
      <w:r w:rsidRPr="00AC7730">
        <w:rPr>
          <w:rFonts w:cs="Arial"/>
          <w:lang w:val="fr-FR"/>
        </w:rPr>
        <w:t xml:space="preserve"> et diable.</w:t>
      </w:r>
    </w:p>
    <w:p w14:paraId="2EAD092B" w14:textId="77777777" w:rsidR="00E42EB4" w:rsidRPr="00AC7730" w:rsidRDefault="004C1AD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cs="Arial"/>
          <w:lang w:val="fr-FR"/>
        </w:rPr>
        <w:t xml:space="preserve">Réduire la demande pour les produits issus des raies </w:t>
      </w:r>
      <w:proofErr w:type="spellStart"/>
      <w:r w:rsidRPr="00AC7730">
        <w:rPr>
          <w:rFonts w:cs="Arial"/>
          <w:lang w:val="fr-FR"/>
        </w:rPr>
        <w:t>manta</w:t>
      </w:r>
      <w:proofErr w:type="spellEnd"/>
      <w:r w:rsidRPr="00AC7730">
        <w:rPr>
          <w:rFonts w:cs="Arial"/>
          <w:lang w:val="fr-FR"/>
        </w:rPr>
        <w:t xml:space="preserve"> et diable par le biais d'actions de sensibilisation.</w:t>
      </w:r>
    </w:p>
    <w:p w14:paraId="3F458645" w14:textId="77777777" w:rsidR="00E42EB4" w:rsidRPr="00AC7730" w:rsidRDefault="004C1AD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eastAsia="MS Mincho" w:cs="Arial"/>
          <w:lang w:val="fr-FR" w:eastAsia="ja-JP"/>
        </w:rPr>
        <w:t>Impliquer les communautés dans les changements réglementaires ou législatifs, tels que la gestion par zones.</w:t>
      </w:r>
    </w:p>
    <w:p w14:paraId="693CE220" w14:textId="77777777" w:rsidR="00E42EB4" w:rsidRPr="00AC7730" w:rsidRDefault="004C1AD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cs="Arial"/>
          <w:lang w:val="fr-FR"/>
        </w:rPr>
        <w:t>Soutenir le développement de programmes de moyens de subsistance alternatifs avec les communautés par la planification collaborative et le renforcement des capacités.</w:t>
      </w:r>
    </w:p>
    <w:p w14:paraId="5FBBD664" w14:textId="77777777" w:rsidR="00E42EB4" w:rsidRPr="00AC7730" w:rsidRDefault="004C1AD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fr-FR"/>
        </w:rPr>
      </w:pPr>
      <w:r w:rsidRPr="00AC7730">
        <w:rPr>
          <w:rFonts w:cs="Arial"/>
          <w:lang w:val="fr-FR"/>
        </w:rPr>
        <w:t xml:space="preserve">Promouvoir les meilleures pratiques pour les interactions avec les raies </w:t>
      </w:r>
      <w:proofErr w:type="spellStart"/>
      <w:r w:rsidRPr="00AC7730">
        <w:rPr>
          <w:rFonts w:cs="Arial"/>
          <w:lang w:val="fr-FR"/>
        </w:rPr>
        <w:t>manta</w:t>
      </w:r>
      <w:proofErr w:type="spellEnd"/>
      <w:r w:rsidRPr="00AC7730">
        <w:rPr>
          <w:rFonts w:cs="Arial"/>
          <w:lang w:val="fr-FR"/>
        </w:rPr>
        <w:t xml:space="preserve"> et diable et leur protection dans les pays disposant d’un tourisme dédié.</w:t>
      </w:r>
    </w:p>
    <w:p w14:paraId="441CA254" w14:textId="77777777" w:rsidR="00E42EB4" w:rsidRPr="00AC7730" w:rsidRDefault="004C1ADE">
      <w:pPr>
        <w:pStyle w:val="ListParagraph"/>
        <w:widowControl w:val="0"/>
        <w:numPr>
          <w:ilvl w:val="0"/>
          <w:numId w:val="31"/>
        </w:numPr>
        <w:suppressAutoHyphens/>
        <w:autoSpaceDE w:val="0"/>
        <w:autoSpaceDN w:val="0"/>
        <w:spacing w:after="0" w:line="240" w:lineRule="auto"/>
        <w:ind w:left="540" w:hanging="540"/>
        <w:jc w:val="both"/>
        <w:textAlignment w:val="baseline"/>
        <w:rPr>
          <w:rFonts w:cs="Arial"/>
          <w:lang w:val="fr-FR"/>
        </w:rPr>
      </w:pPr>
      <w:r w:rsidRPr="00AC7730">
        <w:rPr>
          <w:rFonts w:cs="Arial"/>
          <w:lang w:val="fr-FR"/>
        </w:rPr>
        <w:t xml:space="preserve">Surveiller et évaluer l’impact écologique des mesures de protection sur les raies </w:t>
      </w:r>
      <w:proofErr w:type="spellStart"/>
      <w:r w:rsidRPr="00AC7730">
        <w:rPr>
          <w:rFonts w:cs="Arial"/>
          <w:lang w:val="fr-FR"/>
        </w:rPr>
        <w:t>manta</w:t>
      </w:r>
      <w:proofErr w:type="spellEnd"/>
      <w:r w:rsidRPr="00AC7730">
        <w:rPr>
          <w:rFonts w:cs="Arial"/>
          <w:lang w:val="fr-FR"/>
        </w:rPr>
        <w:t xml:space="preserve"> et diable et réévaluer les approches en fonction de leur efficacité.</w:t>
      </w:r>
    </w:p>
    <w:p w14:paraId="198C4EDA" w14:textId="77777777" w:rsidR="00E42EB4" w:rsidRPr="00AC7730" w:rsidRDefault="00E42EB4">
      <w:pPr>
        <w:widowControl w:val="0"/>
        <w:suppressAutoHyphens/>
        <w:autoSpaceDE w:val="0"/>
        <w:autoSpaceDN w:val="0"/>
        <w:spacing w:after="0" w:line="240" w:lineRule="auto"/>
        <w:jc w:val="both"/>
        <w:textAlignment w:val="baseline"/>
        <w:rPr>
          <w:rFonts w:cs="Arial"/>
          <w:b/>
          <w:lang w:val="fr-FR"/>
        </w:rPr>
      </w:pPr>
    </w:p>
    <w:p w14:paraId="36B9CEF9" w14:textId="77777777" w:rsidR="00E42EB4" w:rsidRPr="00AC7730" w:rsidRDefault="004C1ADE">
      <w:pPr>
        <w:widowControl w:val="0"/>
        <w:suppressAutoHyphens/>
        <w:autoSpaceDE w:val="0"/>
        <w:autoSpaceDN w:val="0"/>
        <w:spacing w:after="0" w:line="240" w:lineRule="auto"/>
        <w:jc w:val="both"/>
        <w:textAlignment w:val="baseline"/>
        <w:rPr>
          <w:rFonts w:cs="Arial"/>
          <w:b/>
          <w:lang w:val="fr-FR"/>
        </w:rPr>
      </w:pPr>
      <w:r w:rsidRPr="00AC7730">
        <w:rPr>
          <w:rFonts w:cs="Arial"/>
          <w:b/>
          <w:lang w:val="fr-FR"/>
        </w:rPr>
        <w:t>Activités et résultats attendus</w:t>
      </w:r>
    </w:p>
    <w:p w14:paraId="1145EEC4" w14:textId="77777777" w:rsidR="00E42EB4" w:rsidRPr="00AC7730" w:rsidRDefault="00E42EB4">
      <w:pPr>
        <w:widowControl w:val="0"/>
        <w:suppressAutoHyphens/>
        <w:autoSpaceDE w:val="0"/>
        <w:autoSpaceDN w:val="0"/>
        <w:spacing w:after="0" w:line="240" w:lineRule="auto"/>
        <w:jc w:val="both"/>
        <w:textAlignment w:val="baseline"/>
        <w:rPr>
          <w:rFonts w:cs="Arial"/>
          <w:bCs/>
          <w:lang w:val="fr-FR"/>
        </w:rPr>
      </w:pPr>
    </w:p>
    <w:p w14:paraId="42E5938B" w14:textId="75B10B12" w:rsidR="00E42EB4" w:rsidRPr="00AC7730" w:rsidRDefault="004C1ADE">
      <w:pPr>
        <w:widowControl w:val="0"/>
        <w:suppressAutoHyphens/>
        <w:autoSpaceDE w:val="0"/>
        <w:autoSpaceDN w:val="0"/>
        <w:spacing w:after="80" w:line="240" w:lineRule="auto"/>
        <w:jc w:val="both"/>
        <w:textAlignment w:val="baseline"/>
        <w:rPr>
          <w:rFonts w:cs="Arial"/>
          <w:bCs/>
          <w:lang w:val="fr-FR"/>
        </w:rPr>
      </w:pPr>
      <w:r w:rsidRPr="00AC7730">
        <w:rPr>
          <w:rFonts w:cs="Arial"/>
          <w:bCs/>
          <w:lang w:val="fr-FR"/>
        </w:rPr>
        <w:t xml:space="preserve">Toutes les parties des États de répartition des raies </w:t>
      </w:r>
      <w:proofErr w:type="spellStart"/>
      <w:r w:rsidRPr="00AC7730">
        <w:rPr>
          <w:rFonts w:cs="Arial"/>
          <w:bCs/>
          <w:lang w:val="fr-FR"/>
        </w:rPr>
        <w:t>manta</w:t>
      </w:r>
      <w:proofErr w:type="spellEnd"/>
      <w:r w:rsidRPr="00AC7730">
        <w:rPr>
          <w:rFonts w:cs="Arial"/>
          <w:bCs/>
          <w:lang w:val="fr-FR"/>
        </w:rPr>
        <w:t xml:space="preserve"> et diable doivent mettre en œuvre des protections nationales afin d’interdire la capture et la prise de raies </w:t>
      </w:r>
      <w:proofErr w:type="spellStart"/>
      <w:r w:rsidRPr="00AC7730">
        <w:rPr>
          <w:rFonts w:cs="Arial"/>
          <w:bCs/>
          <w:lang w:val="fr-FR"/>
        </w:rPr>
        <w:t>manta</w:t>
      </w:r>
      <w:proofErr w:type="spellEnd"/>
      <w:r w:rsidRPr="00AC7730">
        <w:rPr>
          <w:rFonts w:cs="Arial"/>
          <w:bCs/>
          <w:lang w:val="fr-FR"/>
        </w:rPr>
        <w:t xml:space="preserve"> et diable, afin de stopper le déclin rapide et continu de ces espèces. Ces protections devraient inclure des étapes de mise en œuvre </w:t>
      </w:r>
      <w:r w:rsidRPr="00AC7730">
        <w:rPr>
          <w:rFonts w:eastAsia="MS Mincho" w:cs="Arial"/>
          <w:lang w:val="fr-FR" w:eastAsia="ja-JP"/>
        </w:rPr>
        <w:t>(voir Annexe I : Tableau détaillé des activités et des résultats attendus)</w:t>
      </w:r>
      <w:r w:rsidR="00422740" w:rsidRPr="00AC7730">
        <w:rPr>
          <w:rFonts w:eastAsia="MS Mincho" w:cs="Arial"/>
          <w:lang w:val="fr-FR" w:eastAsia="ja-JP"/>
        </w:rPr>
        <w:t> </w:t>
      </w:r>
      <w:r w:rsidRPr="00AC7730">
        <w:rPr>
          <w:rFonts w:cs="Arial"/>
          <w:bCs/>
          <w:lang w:val="fr-FR"/>
        </w:rPr>
        <w:t xml:space="preserve">: </w:t>
      </w:r>
    </w:p>
    <w:p w14:paraId="7C5A1A21" w14:textId="77777777" w:rsidR="00E42EB4" w:rsidRPr="00AC7730" w:rsidRDefault="004C1AD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Remplacer les engins de pêche destructeurs.</w:t>
      </w:r>
    </w:p>
    <w:p w14:paraId="27A94DA4" w14:textId="77777777" w:rsidR="00E42EB4" w:rsidRPr="00AC7730" w:rsidRDefault="004C1AD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Renforcer la capacité d’application des lois et la traçabilité des pêcheries et du commerce.</w:t>
      </w:r>
    </w:p>
    <w:p w14:paraId="2514448D" w14:textId="77777777" w:rsidR="00E42EB4" w:rsidRPr="00AC7730" w:rsidRDefault="004C1AD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Mettre en œuvre une gestion inclusive par zones dans les zones clés.</w:t>
      </w:r>
    </w:p>
    <w:p w14:paraId="1596A300" w14:textId="77777777" w:rsidR="00E42EB4" w:rsidRPr="00AC7730" w:rsidRDefault="004C1AD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 xml:space="preserve">Mise en œuvre de lignes directrices pour la manipulation et la remise à l’eau sûres des raies </w:t>
      </w:r>
      <w:proofErr w:type="spellStart"/>
      <w:r w:rsidRPr="00AC7730">
        <w:rPr>
          <w:rFonts w:cs="Arial"/>
          <w:bCs/>
          <w:lang w:val="fr-FR"/>
        </w:rPr>
        <w:t>manta</w:t>
      </w:r>
      <w:proofErr w:type="spellEnd"/>
      <w:r w:rsidRPr="00AC7730">
        <w:rPr>
          <w:rFonts w:cs="Arial"/>
          <w:bCs/>
          <w:lang w:val="fr-FR"/>
        </w:rPr>
        <w:t xml:space="preserve"> et diable.</w:t>
      </w:r>
    </w:p>
    <w:p w14:paraId="4EF7FF4E" w14:textId="77777777" w:rsidR="00E42EB4" w:rsidRPr="00AC7730" w:rsidRDefault="004C1AD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 xml:space="preserve">Mener des campagnes pour réduire la demande de produits issus des raies </w:t>
      </w:r>
      <w:proofErr w:type="spellStart"/>
      <w:r w:rsidRPr="00AC7730">
        <w:rPr>
          <w:rFonts w:cs="Arial"/>
          <w:bCs/>
          <w:lang w:val="fr-FR"/>
        </w:rPr>
        <w:t>manta</w:t>
      </w:r>
      <w:proofErr w:type="spellEnd"/>
      <w:r w:rsidRPr="00AC7730">
        <w:rPr>
          <w:rFonts w:cs="Arial"/>
          <w:bCs/>
          <w:lang w:val="fr-FR"/>
        </w:rPr>
        <w:t xml:space="preserve"> et diable.</w:t>
      </w:r>
    </w:p>
    <w:p w14:paraId="1B0A380B" w14:textId="77777777" w:rsidR="00E42EB4" w:rsidRPr="00AC7730" w:rsidRDefault="004C1AD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fr-FR"/>
        </w:rPr>
      </w:pPr>
      <w:r w:rsidRPr="00AC7730">
        <w:rPr>
          <w:rFonts w:cs="Arial"/>
          <w:bCs/>
          <w:lang w:val="fr-FR"/>
        </w:rPr>
        <w:t xml:space="preserve">Promouvoir les meilleures pratiques pour les interactions avec les raies </w:t>
      </w:r>
      <w:proofErr w:type="spellStart"/>
      <w:r w:rsidRPr="00AC7730">
        <w:rPr>
          <w:rFonts w:cs="Arial"/>
          <w:bCs/>
          <w:lang w:val="fr-FR"/>
        </w:rPr>
        <w:t>manta</w:t>
      </w:r>
      <w:proofErr w:type="spellEnd"/>
      <w:r w:rsidRPr="00AC7730">
        <w:rPr>
          <w:rFonts w:cs="Arial"/>
          <w:bCs/>
          <w:lang w:val="fr-FR"/>
        </w:rPr>
        <w:t xml:space="preserve"> et diable et pour le tourisme durable.</w:t>
      </w:r>
    </w:p>
    <w:p w14:paraId="7214B644" w14:textId="77777777" w:rsidR="00E42EB4" w:rsidRPr="00AC7730" w:rsidRDefault="004C1ADE">
      <w:pPr>
        <w:pStyle w:val="ListParagraph"/>
        <w:widowControl w:val="0"/>
        <w:numPr>
          <w:ilvl w:val="0"/>
          <w:numId w:val="25"/>
        </w:numPr>
        <w:suppressAutoHyphens/>
        <w:autoSpaceDE w:val="0"/>
        <w:autoSpaceDN w:val="0"/>
        <w:spacing w:after="0" w:line="240" w:lineRule="auto"/>
        <w:jc w:val="both"/>
        <w:textAlignment w:val="baseline"/>
        <w:rPr>
          <w:rFonts w:cs="Arial"/>
          <w:bCs/>
          <w:lang w:val="fr-FR"/>
        </w:rPr>
      </w:pPr>
      <w:r w:rsidRPr="00AC7730">
        <w:rPr>
          <w:rFonts w:cs="Arial"/>
          <w:bCs/>
          <w:lang w:val="fr-FR"/>
        </w:rPr>
        <w:t xml:space="preserve">Développer la recherche pour soutenir une gestion fondée sur la science et réduire la mortalité liée à la pêche chez les raies </w:t>
      </w:r>
      <w:proofErr w:type="spellStart"/>
      <w:r w:rsidRPr="00AC7730">
        <w:rPr>
          <w:rFonts w:cs="Arial"/>
          <w:bCs/>
          <w:lang w:val="fr-FR"/>
        </w:rPr>
        <w:t>manta</w:t>
      </w:r>
      <w:proofErr w:type="spellEnd"/>
      <w:r w:rsidRPr="00AC7730">
        <w:rPr>
          <w:rFonts w:cs="Arial"/>
          <w:bCs/>
          <w:lang w:val="fr-FR"/>
        </w:rPr>
        <w:t xml:space="preserve"> et diable.</w:t>
      </w:r>
    </w:p>
    <w:p w14:paraId="1FA1385B" w14:textId="77777777" w:rsidR="00E42EB4" w:rsidRPr="00AC7730" w:rsidRDefault="00E42EB4">
      <w:pPr>
        <w:suppressAutoHyphens/>
        <w:autoSpaceDN w:val="0"/>
        <w:spacing w:after="0" w:line="240" w:lineRule="auto"/>
        <w:jc w:val="both"/>
        <w:textAlignment w:val="baseline"/>
        <w:rPr>
          <w:rFonts w:eastAsia="Calibri" w:cs="Arial"/>
          <w:lang w:val="fr-FR"/>
        </w:rPr>
      </w:pPr>
    </w:p>
    <w:p w14:paraId="06FBB309" w14:textId="77777777" w:rsidR="00E42EB4" w:rsidRPr="00AC7730" w:rsidRDefault="004C1ADE">
      <w:pPr>
        <w:suppressAutoHyphens/>
        <w:autoSpaceDN w:val="0"/>
        <w:spacing w:after="80" w:line="240" w:lineRule="auto"/>
        <w:jc w:val="both"/>
        <w:textAlignment w:val="baseline"/>
        <w:rPr>
          <w:rFonts w:eastAsia="Calibri" w:cs="Arial"/>
          <w:lang w:val="fr-FR"/>
        </w:rPr>
      </w:pPr>
      <w:r w:rsidRPr="00AC7730">
        <w:rPr>
          <w:rFonts w:eastAsia="Calibri" w:cs="Arial"/>
          <w:lang w:val="fr-FR"/>
        </w:rPr>
        <w:lastRenderedPageBreak/>
        <w:t xml:space="preserve">Ce document devrait </w:t>
      </w:r>
      <w:r w:rsidRPr="00AC7730">
        <w:rPr>
          <w:rFonts w:eastAsia="MS Mincho" w:cs="Arial"/>
          <w:lang w:val="fr-FR" w:eastAsia="ja-JP"/>
        </w:rPr>
        <w:t xml:space="preserve">fournir une orientation claire aux Parties sur les objectifs stratégiques et les actions à entreprendre pour mettre en œuvre leurs </w:t>
      </w:r>
      <w:r w:rsidRPr="00AC7730">
        <w:rPr>
          <w:rFonts w:eastAsia="Calibri" w:cs="Arial"/>
          <w:lang w:val="fr-FR"/>
        </w:rPr>
        <w:t xml:space="preserve">obligations de conservation en vertu de la Convention sur la conservation des espèces migratrices appartenant à la faune sauvage. Les résultats attendus incluent : </w:t>
      </w:r>
    </w:p>
    <w:p w14:paraId="011007B0" w14:textId="77777777" w:rsidR="00E42EB4" w:rsidRPr="00AC7730" w:rsidRDefault="004C1ADE">
      <w:pPr>
        <w:pStyle w:val="ListParagraph"/>
        <w:numPr>
          <w:ilvl w:val="0"/>
          <w:numId w:val="32"/>
        </w:numPr>
        <w:suppressAutoHyphens/>
        <w:autoSpaceDN w:val="0"/>
        <w:spacing w:after="80" w:line="240" w:lineRule="auto"/>
        <w:ind w:left="714" w:hanging="357"/>
        <w:contextualSpacing w:val="0"/>
        <w:jc w:val="both"/>
        <w:textAlignment w:val="baseline"/>
        <w:rPr>
          <w:rFonts w:cs="Arial"/>
          <w:lang w:val="fr-FR"/>
        </w:rPr>
      </w:pPr>
      <w:r w:rsidRPr="00AC7730">
        <w:rPr>
          <w:rFonts w:cs="Arial"/>
          <w:lang w:val="fr-FR"/>
        </w:rPr>
        <w:t xml:space="preserve">Une diminution de la mortalité des raies </w:t>
      </w:r>
      <w:proofErr w:type="spellStart"/>
      <w:r w:rsidRPr="00AC7730">
        <w:rPr>
          <w:rFonts w:cs="Arial"/>
          <w:lang w:val="fr-FR"/>
        </w:rPr>
        <w:t>manta</w:t>
      </w:r>
      <w:proofErr w:type="spellEnd"/>
      <w:r w:rsidRPr="00AC7730">
        <w:rPr>
          <w:rFonts w:cs="Arial"/>
          <w:lang w:val="fr-FR"/>
        </w:rPr>
        <w:t xml:space="preserve"> et diable, notamment dans les zones à haut risque de mortalité.</w:t>
      </w:r>
    </w:p>
    <w:p w14:paraId="5F038CE1" w14:textId="77777777" w:rsidR="00E42EB4" w:rsidRPr="00AC7730" w:rsidRDefault="004C1ADE">
      <w:pPr>
        <w:pStyle w:val="ListParagraph"/>
        <w:numPr>
          <w:ilvl w:val="0"/>
          <w:numId w:val="32"/>
        </w:numPr>
        <w:suppressAutoHyphens/>
        <w:autoSpaceDN w:val="0"/>
        <w:spacing w:after="80" w:line="240" w:lineRule="auto"/>
        <w:ind w:left="714" w:hanging="357"/>
        <w:contextualSpacing w:val="0"/>
        <w:jc w:val="both"/>
        <w:textAlignment w:val="baseline"/>
        <w:rPr>
          <w:rFonts w:cs="Arial"/>
          <w:lang w:val="fr-FR"/>
        </w:rPr>
      </w:pPr>
      <w:r w:rsidRPr="00AC7730">
        <w:rPr>
          <w:rFonts w:cs="Arial"/>
          <w:lang w:val="fr-FR"/>
        </w:rPr>
        <w:t>Un renforcement de l’application des réglementations existantes sur les pêcheries et le commerce.</w:t>
      </w:r>
    </w:p>
    <w:p w14:paraId="26407872" w14:textId="77777777" w:rsidR="00E42EB4" w:rsidRPr="00AC7730" w:rsidRDefault="004C1ADE">
      <w:pPr>
        <w:pStyle w:val="ListParagraph"/>
        <w:numPr>
          <w:ilvl w:val="0"/>
          <w:numId w:val="32"/>
        </w:numPr>
        <w:suppressAutoHyphens/>
        <w:autoSpaceDN w:val="0"/>
        <w:spacing w:after="80" w:line="240" w:lineRule="auto"/>
        <w:ind w:left="714" w:hanging="357"/>
        <w:contextualSpacing w:val="0"/>
        <w:jc w:val="both"/>
        <w:textAlignment w:val="baseline"/>
        <w:rPr>
          <w:rFonts w:cs="Arial"/>
          <w:lang w:val="fr-FR"/>
        </w:rPr>
      </w:pPr>
      <w:r w:rsidRPr="00AC7730">
        <w:rPr>
          <w:rFonts w:cs="Arial"/>
          <w:lang w:val="fr-FR"/>
        </w:rPr>
        <w:t>Une amélioration de la prise de décision fondée sur la science pour la gestion des espèces.</w:t>
      </w:r>
    </w:p>
    <w:p w14:paraId="12597127" w14:textId="77777777" w:rsidR="00E42EB4" w:rsidRPr="00AC7730" w:rsidRDefault="004C1ADE">
      <w:pPr>
        <w:pStyle w:val="ListParagraph"/>
        <w:numPr>
          <w:ilvl w:val="0"/>
          <w:numId w:val="32"/>
        </w:numPr>
        <w:suppressAutoHyphens/>
        <w:autoSpaceDN w:val="0"/>
        <w:spacing w:after="0" w:line="240" w:lineRule="auto"/>
        <w:ind w:left="714" w:hanging="357"/>
        <w:jc w:val="both"/>
        <w:textAlignment w:val="baseline"/>
        <w:rPr>
          <w:rFonts w:eastAsia="Calibri" w:cs="Arial"/>
          <w:sz w:val="24"/>
          <w:szCs w:val="24"/>
          <w:lang w:val="fr-FR"/>
        </w:rPr>
      </w:pPr>
      <w:r w:rsidRPr="00AC7730">
        <w:rPr>
          <w:rFonts w:cs="Arial"/>
          <w:lang w:val="fr-FR"/>
        </w:rPr>
        <w:t xml:space="preserve">La réduction des lacunes dans les données sur les populations de raies </w:t>
      </w:r>
      <w:proofErr w:type="spellStart"/>
      <w:r w:rsidRPr="00AC7730">
        <w:rPr>
          <w:rFonts w:cs="Arial"/>
          <w:lang w:val="fr-FR"/>
        </w:rPr>
        <w:t>manta</w:t>
      </w:r>
      <w:proofErr w:type="spellEnd"/>
      <w:r w:rsidRPr="00AC7730">
        <w:rPr>
          <w:rFonts w:cs="Arial"/>
          <w:lang w:val="fr-FR"/>
        </w:rPr>
        <w:t xml:space="preserve"> et diable.</w:t>
      </w:r>
    </w:p>
    <w:p w14:paraId="0C56A071" w14:textId="77777777" w:rsidR="00E42EB4" w:rsidRPr="00AC7730" w:rsidRDefault="00E42EB4">
      <w:pPr>
        <w:suppressAutoHyphens/>
        <w:autoSpaceDN w:val="0"/>
        <w:spacing w:after="0" w:line="240" w:lineRule="auto"/>
        <w:jc w:val="both"/>
        <w:textAlignment w:val="baseline"/>
        <w:rPr>
          <w:rFonts w:eastAsia="Calibri" w:cs="Arial"/>
          <w:lang w:val="fr-FR"/>
        </w:rPr>
      </w:pPr>
    </w:p>
    <w:p w14:paraId="7255B629" w14:textId="77777777" w:rsidR="00E42EB4" w:rsidRPr="00AC7730" w:rsidRDefault="004C1ADE">
      <w:pPr>
        <w:suppressAutoHyphens/>
        <w:autoSpaceDN w:val="0"/>
        <w:spacing w:after="0" w:line="240" w:lineRule="auto"/>
        <w:jc w:val="both"/>
        <w:textAlignment w:val="baseline"/>
        <w:rPr>
          <w:rFonts w:eastAsia="Calibri" w:cs="Arial"/>
          <w:lang w:val="fr-FR"/>
        </w:rPr>
      </w:pPr>
      <w:r w:rsidRPr="00AC7730">
        <w:rPr>
          <w:rFonts w:eastAsia="Calibri" w:cs="Arial"/>
          <w:lang w:val="fr-FR"/>
        </w:rPr>
        <w:t>Ces obligations s'aligneront également sur la Stratégie de conservation des requins et raies pélagiques, actuellement en cours d’élaboration par le Groupe d'experts des requins de la Commission de la sauvegarde des espèces (CSE) de l'Union internationale pour la conservation de la nature (UICN). Les signataires du Mémorandum d'entente sur la conservation des requins migrateurs (</w:t>
      </w:r>
      <w:proofErr w:type="spellStart"/>
      <w:r w:rsidRPr="00AC7730">
        <w:rPr>
          <w:rFonts w:eastAsia="Calibri" w:cs="Arial"/>
          <w:lang w:val="fr-FR"/>
        </w:rPr>
        <w:t>MdE</w:t>
      </w:r>
      <w:proofErr w:type="spellEnd"/>
      <w:r w:rsidRPr="00AC7730">
        <w:rPr>
          <w:rFonts w:eastAsia="Calibri" w:cs="Arial"/>
          <w:lang w:val="fr-FR"/>
        </w:rPr>
        <w:t xml:space="preserve"> Requins) ont accueilli favorablement cette initiative ainsi que les progrès réalisés, et ont convenus de soutenir l'approche décrite dans le document </w:t>
      </w:r>
      <w:hyperlink r:id="rId28" w:history="1">
        <w:r w:rsidR="00E42EB4" w:rsidRPr="00AC7730">
          <w:rPr>
            <w:rFonts w:eastAsia="Calibri" w:cs="Arial"/>
            <w:u w:val="single"/>
            <w:lang w:val="fr-FR"/>
          </w:rPr>
          <w:t>CMS/Sharks/MOS4/Doc 10.2/Rev.1</w:t>
        </w:r>
      </w:hyperlink>
      <w:r w:rsidRPr="00AC7730">
        <w:rPr>
          <w:rFonts w:eastAsia="Calibri" w:cs="Arial"/>
          <w:lang w:val="fr-FR"/>
        </w:rPr>
        <w:t>.</w:t>
      </w:r>
    </w:p>
    <w:p w14:paraId="5D3A3C0D" w14:textId="77777777" w:rsidR="00E42EB4" w:rsidRPr="00AC7730" w:rsidRDefault="00E42EB4">
      <w:pPr>
        <w:suppressAutoHyphens/>
        <w:autoSpaceDN w:val="0"/>
        <w:spacing w:after="0" w:line="240" w:lineRule="auto"/>
        <w:jc w:val="both"/>
        <w:textAlignment w:val="baseline"/>
        <w:rPr>
          <w:rFonts w:eastAsia="Calibri" w:cs="Arial"/>
          <w:lang w:val="fr-FR"/>
        </w:rPr>
      </w:pPr>
    </w:p>
    <w:p w14:paraId="1E1EB3FD"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Avantages associés</w:t>
      </w:r>
    </w:p>
    <w:p w14:paraId="1AEBAEA7" w14:textId="77777777" w:rsidR="00E42EB4" w:rsidRPr="00AC7730" w:rsidRDefault="00E42EB4">
      <w:pPr>
        <w:spacing w:after="0" w:line="240" w:lineRule="auto"/>
        <w:jc w:val="both"/>
        <w:rPr>
          <w:rFonts w:eastAsia="Calibri" w:cs="Arial"/>
          <w:lang w:val="fr-FR" w:eastAsia="ja-JP"/>
        </w:rPr>
      </w:pPr>
    </w:p>
    <w:p w14:paraId="5E9809EB" w14:textId="0AFCE031" w:rsidR="00E42EB4" w:rsidRPr="00AC7730" w:rsidRDefault="004C1ADE">
      <w:pPr>
        <w:spacing w:after="0" w:line="240" w:lineRule="auto"/>
        <w:jc w:val="both"/>
        <w:rPr>
          <w:rFonts w:cs="Arial"/>
          <w:lang w:val="fr-FR"/>
        </w:rPr>
      </w:pPr>
      <w:r w:rsidRPr="00AC7730">
        <w:rPr>
          <w:rFonts w:eastAsia="MS Mincho" w:cs="Arial"/>
          <w:lang w:val="fr-FR" w:eastAsia="ja-JP"/>
        </w:rPr>
        <w:t xml:space="preserve">L’objectif des activités proposées dans ce document est de servir de catalyseur pour assurer une conservation efficace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et d’aider les Parties à mettre en œuvre leurs obligations dans le cadre des traités internationaux (par exemple, la Convention sur le commerce international des espèces de faune et de flore sauvages menacées d'extinction et la Convention sur la conservation des espèces migratrices appartenant à la faune sauvage). Ces activités visent également à offrir aux Parties une opportunité de collaborer, de partager et de diffuser les connaissances en matière de conservation, de créer des actions coordonnées et de suivre les progrès, applicables à d’autres espèces marines.</w:t>
      </w:r>
    </w:p>
    <w:p w14:paraId="09C160A1" w14:textId="77777777" w:rsidR="00E42EB4" w:rsidRPr="00AC7730" w:rsidRDefault="00E42EB4">
      <w:pPr>
        <w:spacing w:after="0" w:line="240" w:lineRule="auto"/>
        <w:jc w:val="both"/>
        <w:rPr>
          <w:rFonts w:cs="Arial"/>
          <w:lang w:val="fr-FR"/>
        </w:rPr>
      </w:pPr>
    </w:p>
    <w:p w14:paraId="5AA4B550" w14:textId="77777777" w:rsidR="00E42EB4" w:rsidRPr="00AC7730" w:rsidRDefault="004C1ADE">
      <w:pPr>
        <w:spacing w:after="0" w:line="240" w:lineRule="auto"/>
        <w:jc w:val="both"/>
        <w:rPr>
          <w:rFonts w:cs="Arial"/>
          <w:lang w:val="fr-FR"/>
        </w:rPr>
      </w:pPr>
      <w:r w:rsidRPr="00AC7730">
        <w:rPr>
          <w:rFonts w:cs="Arial"/>
          <w:lang w:val="fr-FR"/>
        </w:rPr>
        <w:t xml:space="preserve">Étant donné que le commerce de la viande et des lamelles branchiales constitue l’un des principaux moteurs de la pêche des raies </w:t>
      </w:r>
      <w:proofErr w:type="spellStart"/>
      <w:r w:rsidRPr="00AC7730">
        <w:rPr>
          <w:rFonts w:cs="Arial"/>
          <w:lang w:val="fr-FR"/>
        </w:rPr>
        <w:t>manta</w:t>
      </w:r>
      <w:proofErr w:type="spellEnd"/>
      <w:r w:rsidRPr="00AC7730">
        <w:rPr>
          <w:rFonts w:cs="Arial"/>
          <w:lang w:val="fr-FR"/>
        </w:rPr>
        <w:t xml:space="preserve"> et diable dans le monde, les efforts visant à réglementer et à faire respecter les réglementations commerciales sont étroitement liés aux autres actions de conservation visant à réduire la mortalité liée à la pêche. Par conséquent, les actions concertées de la Convention sur la conservation des espèces migratrices appartenant à la faune sauvage doivent être harmonisées avec les réglementations de la Convention sur le commerce international des espèces de faune et de flore sauvages menacées d'extinction, contribuant ainsi à stopper le commerce illégal des produits issus des raies </w:t>
      </w:r>
      <w:proofErr w:type="spellStart"/>
      <w:r w:rsidRPr="00AC7730">
        <w:rPr>
          <w:rFonts w:cs="Arial"/>
          <w:lang w:val="fr-FR"/>
        </w:rPr>
        <w:t>manta</w:t>
      </w:r>
      <w:proofErr w:type="spellEnd"/>
      <w:r w:rsidRPr="00AC7730">
        <w:rPr>
          <w:rFonts w:cs="Arial"/>
          <w:lang w:val="fr-FR"/>
        </w:rPr>
        <w:t xml:space="preserve"> et diable. Des législations nationales protégeant tout ou partie des espèces de raies </w:t>
      </w:r>
      <w:proofErr w:type="spellStart"/>
      <w:r w:rsidRPr="00AC7730">
        <w:rPr>
          <w:rFonts w:cs="Arial"/>
          <w:lang w:val="fr-FR"/>
        </w:rPr>
        <w:t>manta</w:t>
      </w:r>
      <w:proofErr w:type="spellEnd"/>
      <w:r w:rsidRPr="00AC7730">
        <w:rPr>
          <w:rFonts w:cs="Arial"/>
          <w:lang w:val="fr-FR"/>
        </w:rPr>
        <w:t xml:space="preserve"> et diable existent dans au moins 44 pays (voir Annexe III), et les actions mises en œuvre dans le cadre de la Convention sur la conservation des espèces migratrices appartenant à la faune sauvage contribuent également à leur application. </w:t>
      </w:r>
    </w:p>
    <w:p w14:paraId="7BCC9A12" w14:textId="77777777" w:rsidR="00E42EB4" w:rsidRPr="00AC7730" w:rsidRDefault="00E42EB4">
      <w:pPr>
        <w:widowControl w:val="0"/>
        <w:suppressAutoHyphens/>
        <w:autoSpaceDE w:val="0"/>
        <w:autoSpaceDN w:val="0"/>
        <w:spacing w:after="0" w:line="240" w:lineRule="auto"/>
        <w:jc w:val="both"/>
        <w:textAlignment w:val="baseline"/>
        <w:rPr>
          <w:rFonts w:cs="Arial"/>
          <w:lang w:val="fr-FR"/>
        </w:rPr>
      </w:pPr>
    </w:p>
    <w:p w14:paraId="733FA6D6" w14:textId="77777777" w:rsidR="00E42EB4" w:rsidRPr="00AC7730" w:rsidRDefault="004C1ADE">
      <w:pPr>
        <w:widowControl w:val="0"/>
        <w:suppressAutoHyphens/>
        <w:autoSpaceDE w:val="0"/>
        <w:autoSpaceDN w:val="0"/>
        <w:spacing w:after="0" w:line="240" w:lineRule="auto"/>
        <w:jc w:val="both"/>
        <w:textAlignment w:val="baseline"/>
        <w:rPr>
          <w:rFonts w:cs="Arial"/>
          <w:lang w:val="fr-FR"/>
        </w:rPr>
      </w:pPr>
      <w:r w:rsidRPr="00AC7730">
        <w:rPr>
          <w:rFonts w:cs="Arial"/>
          <w:lang w:val="fr-FR"/>
        </w:rPr>
        <w:t xml:space="preserve">De nombreuses communautés côtières qui capturent des raies </w:t>
      </w:r>
      <w:proofErr w:type="spellStart"/>
      <w:r w:rsidRPr="00AC7730">
        <w:rPr>
          <w:rFonts w:cs="Arial"/>
          <w:lang w:val="fr-FR"/>
        </w:rPr>
        <w:t>manta</w:t>
      </w:r>
      <w:proofErr w:type="spellEnd"/>
      <w:r w:rsidRPr="00AC7730">
        <w:rPr>
          <w:rFonts w:cs="Arial"/>
          <w:lang w:val="fr-FR"/>
        </w:rPr>
        <w:t xml:space="preserve"> et diable pêchent souvent également d’autres espèces de requins et de raies menacées, inscrites sur la liste la Convention de Bonn, nécessitant une protection. L</w:t>
      </w:r>
      <w:r w:rsidRPr="00AC7730">
        <w:rPr>
          <w:rFonts w:eastAsia="Calibri" w:cs="Arial"/>
          <w:lang w:val="fr-FR"/>
        </w:rPr>
        <w:t xml:space="preserve">es recommandations visant à améliorer les perspectives de conservation des raies </w:t>
      </w:r>
      <w:proofErr w:type="spellStart"/>
      <w:r w:rsidRPr="00AC7730">
        <w:rPr>
          <w:rFonts w:eastAsia="Calibri" w:cs="Arial"/>
          <w:lang w:val="fr-FR"/>
        </w:rPr>
        <w:t>manta</w:t>
      </w:r>
      <w:proofErr w:type="spellEnd"/>
      <w:r w:rsidRPr="00AC7730">
        <w:rPr>
          <w:rFonts w:eastAsia="Calibri" w:cs="Arial"/>
          <w:lang w:val="fr-FR"/>
        </w:rPr>
        <w:t xml:space="preserve"> et diable auront très probablement des effets positifs pour d’autres espèces menacées et inscrites sur la liste la Convention de Bonn dans les États de répartition.</w:t>
      </w:r>
      <w:r w:rsidRPr="00AC7730">
        <w:rPr>
          <w:rFonts w:cs="Arial"/>
          <w:lang w:val="fr-FR"/>
        </w:rPr>
        <w:t xml:space="preserve"> </w:t>
      </w:r>
    </w:p>
    <w:p w14:paraId="6BF05B26" w14:textId="5DF008D3" w:rsidR="00421B03" w:rsidRDefault="00421B03">
      <w:pPr>
        <w:widowControl w:val="0"/>
        <w:suppressAutoHyphens/>
        <w:autoSpaceDE w:val="0"/>
        <w:autoSpaceDN w:val="0"/>
        <w:spacing w:after="0" w:line="240" w:lineRule="auto"/>
        <w:jc w:val="both"/>
        <w:textAlignment w:val="baseline"/>
        <w:rPr>
          <w:rFonts w:cs="Arial"/>
          <w:lang w:val="fr-FR"/>
        </w:rPr>
      </w:pPr>
      <w:r>
        <w:rPr>
          <w:rFonts w:cs="Arial"/>
          <w:lang w:val="fr-FR"/>
        </w:rPr>
        <w:br w:type="page"/>
      </w:r>
    </w:p>
    <w:p w14:paraId="7EE5A0EF" w14:textId="33C0CBDC" w:rsidR="00E42EB4" w:rsidRPr="00AC7730" w:rsidRDefault="004C1ADE">
      <w:pPr>
        <w:widowControl w:val="0"/>
        <w:suppressAutoHyphens/>
        <w:autoSpaceDE w:val="0"/>
        <w:autoSpaceDN w:val="0"/>
        <w:spacing w:after="0" w:line="240" w:lineRule="auto"/>
        <w:jc w:val="both"/>
        <w:textAlignment w:val="baseline"/>
        <w:rPr>
          <w:rFonts w:eastAsia="MS Mincho" w:cs="Arial"/>
          <w:lang w:val="fr-FR" w:eastAsia="ja-JP"/>
        </w:rPr>
      </w:pPr>
      <w:r w:rsidRPr="00AC7730">
        <w:rPr>
          <w:rFonts w:cs="Arial"/>
          <w:lang w:val="fr-FR"/>
        </w:rPr>
        <w:lastRenderedPageBreak/>
        <w:t xml:space="preserve">Comprendre et documenter les pêcheries de raies </w:t>
      </w:r>
      <w:proofErr w:type="spellStart"/>
      <w:r w:rsidRPr="00AC7730">
        <w:rPr>
          <w:rFonts w:cs="Arial"/>
          <w:lang w:val="fr-FR"/>
        </w:rPr>
        <w:t>manta</w:t>
      </w:r>
      <w:proofErr w:type="spellEnd"/>
      <w:r w:rsidRPr="00AC7730">
        <w:rPr>
          <w:rFonts w:cs="Arial"/>
          <w:lang w:val="fr-FR"/>
        </w:rPr>
        <w:t xml:space="preserve"> et diable ainsi que les options de subsistance dans les communautés de pêche clés soutiendra également une gestion et une conservation des ressources marines coordonnées, efficaces et socialement équitables. Le soutien à des opportunités de revenus diversifiés contribuera à réduire la pression sur les ressources marines et à assurer une durabilité économique à long terme.</w:t>
      </w:r>
    </w:p>
    <w:p w14:paraId="4A5BF2D3"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447F6830"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Délai</w:t>
      </w:r>
    </w:p>
    <w:p w14:paraId="66CCC39D" w14:textId="77777777" w:rsidR="00E42EB4" w:rsidRPr="00AC7730" w:rsidRDefault="00E42EB4">
      <w:pPr>
        <w:suppressAutoHyphens/>
        <w:autoSpaceDN w:val="0"/>
        <w:spacing w:after="0" w:line="240" w:lineRule="auto"/>
        <w:jc w:val="both"/>
        <w:textAlignment w:val="baseline"/>
        <w:rPr>
          <w:rFonts w:eastAsia="Calibri" w:cs="Arial"/>
          <w:lang w:val="fr-FR"/>
        </w:rPr>
      </w:pPr>
    </w:p>
    <w:p w14:paraId="5879577E" w14:textId="77777777" w:rsidR="00E42EB4" w:rsidRPr="00AC7730" w:rsidRDefault="004C1ADE">
      <w:pPr>
        <w:suppressAutoHyphens/>
        <w:autoSpaceDN w:val="0"/>
        <w:spacing w:after="0" w:line="240" w:lineRule="auto"/>
        <w:jc w:val="both"/>
        <w:textAlignment w:val="baseline"/>
        <w:rPr>
          <w:rFonts w:eastAsia="Calibri" w:cs="Arial"/>
          <w:lang w:val="fr-FR"/>
        </w:rPr>
      </w:pPr>
      <w:r w:rsidRPr="00AC7730">
        <w:rPr>
          <w:rFonts w:eastAsia="Calibri" w:cs="Arial"/>
          <w:lang w:val="fr-FR"/>
        </w:rPr>
        <w:t>Pour un aperçu, veuillez consulter la section Activités et résultats attendus.</w:t>
      </w:r>
    </w:p>
    <w:p w14:paraId="421E6779"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b/>
          <w:lang w:val="fr-FR" w:eastAsia="en-GB"/>
        </w:rPr>
      </w:pPr>
    </w:p>
    <w:p w14:paraId="2374599C"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Relation avec d'autres actions de la Convention de Bonn</w:t>
      </w:r>
    </w:p>
    <w:p w14:paraId="419E888B" w14:textId="77777777" w:rsidR="00E42EB4" w:rsidRPr="00AC7730" w:rsidRDefault="00E42EB4">
      <w:pPr>
        <w:spacing w:after="0" w:line="240" w:lineRule="auto"/>
        <w:jc w:val="both"/>
        <w:rPr>
          <w:rFonts w:eastAsia="MS Mincho" w:cs="Arial"/>
          <w:lang w:val="fr-FR" w:eastAsia="en-GB"/>
        </w:rPr>
      </w:pPr>
    </w:p>
    <w:p w14:paraId="79E91249" w14:textId="77777777" w:rsidR="00E42EB4" w:rsidRPr="00AC7730" w:rsidRDefault="004C1ADE">
      <w:pPr>
        <w:spacing w:after="0" w:line="240" w:lineRule="auto"/>
        <w:jc w:val="both"/>
        <w:rPr>
          <w:rFonts w:eastAsia="MS Mincho" w:cs="Arial"/>
          <w:lang w:val="fr-FR" w:eastAsia="en-GB"/>
        </w:rPr>
      </w:pPr>
      <w:r w:rsidRPr="00AC7730">
        <w:rPr>
          <w:rFonts w:eastAsia="MS Mincho" w:cs="Arial"/>
          <w:lang w:val="fr-FR" w:eastAsia="en-GB"/>
        </w:rPr>
        <w:t xml:space="preserve">Toutes les </w:t>
      </w:r>
      <w:proofErr w:type="spellStart"/>
      <w:r w:rsidRPr="00AC7730">
        <w:rPr>
          <w:rFonts w:eastAsia="MS Mincho" w:cs="Arial"/>
          <w:i/>
          <w:lang w:val="fr-FR" w:eastAsia="en-GB"/>
        </w:rPr>
        <w:t>Mobula</w:t>
      </w:r>
      <w:proofErr w:type="spellEnd"/>
      <w:r w:rsidRPr="00AC7730">
        <w:rPr>
          <w:rFonts w:eastAsia="MS Mincho" w:cs="Arial"/>
          <w:i/>
          <w:lang w:val="fr-FR" w:eastAsia="en-GB"/>
        </w:rPr>
        <w:t xml:space="preserve"> </w:t>
      </w:r>
      <w:proofErr w:type="spellStart"/>
      <w:r w:rsidRPr="00AC7730">
        <w:rPr>
          <w:rFonts w:eastAsia="MS Mincho" w:cs="Arial"/>
          <w:i/>
          <w:lang w:val="fr-FR" w:eastAsia="en-GB"/>
        </w:rPr>
        <w:t>spp</w:t>
      </w:r>
      <w:proofErr w:type="spellEnd"/>
      <w:r w:rsidRPr="00AC7730">
        <w:rPr>
          <w:rFonts w:eastAsia="MS Mincho" w:cs="Arial"/>
          <w:lang w:val="fr-FR" w:eastAsia="en-GB"/>
        </w:rPr>
        <w:t xml:space="preserve">. sont inscrites aux Annexes I et II de la Convention sur la conservation des espèces migratrices appartenant à la faune sauvage (la </w:t>
      </w:r>
      <w:proofErr w:type="spellStart"/>
      <w:r w:rsidRPr="00AC7730">
        <w:rPr>
          <w:rFonts w:eastAsia="MS Mincho" w:cs="Arial"/>
          <w:i/>
          <w:iCs/>
          <w:lang w:val="fr-FR" w:eastAsia="en-GB"/>
        </w:rPr>
        <w:t>Mobula</w:t>
      </w:r>
      <w:proofErr w:type="spellEnd"/>
      <w:r w:rsidRPr="00AC7730">
        <w:rPr>
          <w:rFonts w:eastAsia="MS Mincho" w:cs="Arial"/>
          <w:i/>
          <w:iCs/>
          <w:lang w:val="fr-FR" w:eastAsia="en-GB"/>
        </w:rPr>
        <w:t xml:space="preserve"> </w:t>
      </w:r>
      <w:proofErr w:type="spellStart"/>
      <w:r w:rsidRPr="00AC7730">
        <w:rPr>
          <w:rFonts w:eastAsia="MS Mincho" w:cs="Arial"/>
          <w:i/>
          <w:iCs/>
          <w:lang w:val="fr-FR" w:eastAsia="en-GB"/>
        </w:rPr>
        <w:t>birostris</w:t>
      </w:r>
      <w:proofErr w:type="spellEnd"/>
      <w:r w:rsidRPr="00AC7730">
        <w:rPr>
          <w:rFonts w:eastAsia="MS Mincho" w:cs="Arial"/>
          <w:lang w:val="fr-FR" w:eastAsia="en-GB"/>
        </w:rPr>
        <w:t xml:space="preserve"> en 2011 et les autres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raies diables en 2014). Les Parties qui sont un état de l'aire de répartition d’une espèce migratrice inscrite à l’Annexe I doivent s’efforcer de les protéger strictement en : interdisant la capture de cette espèce, avec des exceptions très limitées ; en conservant et, le cas échéant, en restaurant leurs habitats ; en empêchant, éliminant ou atténuant les obstacles à leur migration et en contrôlant d’autres facteurs susceptibles de les mettre en danger.</w:t>
      </w:r>
    </w:p>
    <w:p w14:paraId="7D6F79E5" w14:textId="77777777" w:rsidR="00E42EB4" w:rsidRPr="00AC7730" w:rsidRDefault="00E42EB4">
      <w:pPr>
        <w:spacing w:after="0" w:line="240" w:lineRule="auto"/>
        <w:jc w:val="both"/>
        <w:rPr>
          <w:rFonts w:eastAsia="MS Mincho" w:cs="Arial"/>
          <w:lang w:val="fr-FR" w:eastAsia="ja-JP"/>
        </w:rPr>
      </w:pPr>
    </w:p>
    <w:p w14:paraId="38A43E4D" w14:textId="77777777" w:rsidR="00E42EB4" w:rsidRPr="00AC7730" w:rsidRDefault="004C1ADE">
      <w:pPr>
        <w:spacing w:after="0" w:line="240" w:lineRule="auto"/>
        <w:jc w:val="both"/>
        <w:rPr>
          <w:rFonts w:eastAsia="MS Mincho" w:cs="Arial"/>
          <w:lang w:val="fr-FR" w:eastAsia="en-GB"/>
        </w:rPr>
      </w:pPr>
      <w:r w:rsidRPr="00AC7730">
        <w:rPr>
          <w:rFonts w:eastAsia="MS Mincho" w:cs="Arial"/>
          <w:lang w:val="fr-FR" w:eastAsia="ja-JP"/>
        </w:rPr>
        <w:t xml:space="preserve">Selon </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(en révision), bien que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soient inscrites aux Annexes I et II de la Convention de Bonn depuis plus d’une décennie, 55 des pays où des captures 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ont lieu ne disposent d’aucune législation nationale de protection. Parmi eux, 44 sont Parties à des conventions internationales disposant de règles ou de résolutions visant à protéger pleinement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(Convention de Bonn ; Conventions de Barcelone et/ou de Berne ; Convention de Carthagène). De plus, huit pays qui ne sont pas Parties aux conventions susmentionnées sont membres d’ORGP-t (organisations régionales de gestion des pêches thonières) avec des interdictions de rétention actives, ce qui signifie que seuls trois États de l'aire de répartition avec captures 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 i) ne disposent pas de législation nationale de protection, ii) ne sont pas Parties aux conventions internationales et iii) ne sont pas membres d’ORGP-t (Myanmar, Palestine, Qatar). Par conséquent, ces Actions concertées profiteraient à la mise en œuvre des réglementations nationales et internationales qui protègent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w:t>
      </w:r>
    </w:p>
    <w:p w14:paraId="0FF6F069" w14:textId="77777777" w:rsidR="00E42EB4" w:rsidRPr="00AC7730" w:rsidRDefault="00E42EB4">
      <w:pPr>
        <w:spacing w:after="0" w:line="240" w:lineRule="auto"/>
        <w:jc w:val="both"/>
        <w:rPr>
          <w:rFonts w:eastAsia="MS Mincho" w:cs="Arial"/>
          <w:lang w:val="fr-FR" w:eastAsia="en-GB"/>
        </w:rPr>
      </w:pPr>
    </w:p>
    <w:p w14:paraId="0F7196DB" w14:textId="77777777" w:rsidR="00E42EB4" w:rsidRPr="00AC7730" w:rsidRDefault="004C1ADE">
      <w:pPr>
        <w:spacing w:after="0" w:line="240" w:lineRule="auto"/>
        <w:jc w:val="both"/>
        <w:rPr>
          <w:rFonts w:eastAsia="MS Mincho" w:cs="Arial"/>
          <w:lang w:val="fr-FR" w:eastAsia="en-GB"/>
        </w:rPr>
      </w:pPr>
      <w:r w:rsidRPr="00AC7730">
        <w:rPr>
          <w:rFonts w:eastAsia="MS Mincho" w:cs="Arial"/>
          <w:lang w:val="fr-FR" w:eastAsia="en-GB"/>
        </w:rPr>
        <w:t>Le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 est l’accord relatif aux espèces de chondrichtyens, conformément à l’article IV 1 de la Convention. Il vise à orienter la coopération internationale afin de maintenir et d’atteindre un état de conservation durable pour les requins et raies migrateurs inscrits à son Annexe 1. </w:t>
      </w:r>
    </w:p>
    <w:p w14:paraId="13B51791" w14:textId="77777777" w:rsidR="00E42EB4" w:rsidRPr="00AC7730" w:rsidRDefault="00E42EB4">
      <w:pPr>
        <w:spacing w:after="0" w:line="240" w:lineRule="auto"/>
        <w:jc w:val="both"/>
        <w:rPr>
          <w:rFonts w:eastAsia="MS Mincho" w:cs="Arial"/>
          <w:lang w:val="fr-FR" w:eastAsia="en-GB"/>
        </w:rPr>
      </w:pPr>
    </w:p>
    <w:p w14:paraId="2555DE82" w14:textId="77777777" w:rsidR="00E42EB4" w:rsidRPr="00AC7730" w:rsidRDefault="004C1ADE">
      <w:pPr>
        <w:spacing w:after="0" w:line="240" w:lineRule="auto"/>
        <w:jc w:val="both"/>
        <w:rPr>
          <w:rFonts w:eastAsia="MS Mincho" w:cs="Arial"/>
          <w:lang w:val="fr-FR" w:eastAsia="en-GB"/>
        </w:rPr>
      </w:pPr>
      <w:r w:rsidRPr="00AC7730">
        <w:rPr>
          <w:rFonts w:eastAsia="MS Mincho" w:cs="Arial"/>
          <w:lang w:val="fr-FR" w:eastAsia="en-GB"/>
        </w:rPr>
        <w:t xml:space="preserve">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ont été inscrites à l'annexe 1 du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w:t>
      </w:r>
      <w:r w:rsidRPr="00AC7730">
        <w:rPr>
          <w:rFonts w:eastAsia="MS Mincho" w:cs="Arial"/>
          <w:lang w:val="fr-FR" w:eastAsia="ja-JP"/>
        </w:rPr>
        <w:t xml:space="preserve"> </w:t>
      </w:r>
      <w:r w:rsidRPr="00AC7730">
        <w:rPr>
          <w:rFonts w:eastAsia="MS Mincho" w:cs="Arial"/>
          <w:lang w:val="fr-FR" w:eastAsia="en-GB"/>
        </w:rPr>
        <w:t xml:space="preserve">ce qui signifie qu'elles bénéficient des mesures et actions convenues dans le cadre du </w:t>
      </w:r>
      <w:proofErr w:type="spellStart"/>
      <w:r w:rsidRPr="00AC7730">
        <w:rPr>
          <w:rFonts w:eastAsia="MS Mincho" w:cs="Arial"/>
          <w:lang w:val="fr-FR" w:eastAsia="en-GB"/>
        </w:rPr>
        <w:t>MdE</w:t>
      </w:r>
      <w:proofErr w:type="spellEnd"/>
      <w:r w:rsidRPr="00AC7730">
        <w:rPr>
          <w:rFonts w:eastAsia="MS Mincho" w:cs="Arial"/>
          <w:lang w:val="fr-FR" w:eastAsia="en-GB"/>
        </w:rPr>
        <w:t xml:space="preserve"> et de son plan de conservation, ainsi que d'une orientation technique pour leur conservation.</w:t>
      </w:r>
    </w:p>
    <w:p w14:paraId="6A45E9FB" w14:textId="77777777" w:rsidR="00E42EB4" w:rsidRPr="00AC7730" w:rsidRDefault="00E42EB4">
      <w:pPr>
        <w:spacing w:after="0" w:line="240" w:lineRule="auto"/>
        <w:jc w:val="both"/>
        <w:rPr>
          <w:rFonts w:eastAsia="MS Mincho" w:cs="Arial"/>
          <w:lang w:val="fr-FR" w:eastAsia="en-GB"/>
        </w:rPr>
      </w:pPr>
    </w:p>
    <w:p w14:paraId="172E2A56" w14:textId="77777777" w:rsidR="00E42EB4" w:rsidRPr="00AC7730" w:rsidRDefault="004C1ADE">
      <w:pPr>
        <w:spacing w:after="0" w:line="240" w:lineRule="auto"/>
        <w:jc w:val="both"/>
        <w:rPr>
          <w:rFonts w:eastAsia="MS Mincho" w:cs="Arial"/>
          <w:lang w:val="fr-FR" w:eastAsia="en-GB"/>
        </w:rPr>
      </w:pPr>
      <w:r w:rsidRPr="00AC7730">
        <w:rPr>
          <w:rFonts w:eastAsia="MS Mincho" w:cs="Arial"/>
          <w:lang w:val="fr-FR" w:eastAsia="en-GB"/>
        </w:rPr>
        <w:t>Les actions concertées proposées soutiennent la mise en œuvre du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 ainsi que l'objectif concernant les espèces inscrites aux Annexes I et II de la Convention de Bonn. En particulier, elles visent à encourager les signataires du </w:t>
      </w:r>
      <w:proofErr w:type="spellStart"/>
      <w:r w:rsidRPr="00AC7730">
        <w:rPr>
          <w:rFonts w:eastAsia="MS Mincho" w:cs="Arial"/>
          <w:lang w:val="fr-FR" w:eastAsia="en-GB"/>
        </w:rPr>
        <w:t>du</w:t>
      </w:r>
      <w:proofErr w:type="spellEnd"/>
      <w:r w:rsidRPr="00AC7730">
        <w:rPr>
          <w:rFonts w:eastAsia="MS Mincho" w:cs="Arial"/>
          <w:lang w:val="fr-FR" w:eastAsia="en-GB"/>
        </w:rPr>
        <w:t xml:space="preserve"> Mémorandum d'entente sur la conservation des requins migrateurs (</w:t>
      </w:r>
      <w:proofErr w:type="spellStart"/>
      <w:r w:rsidRPr="00AC7730">
        <w:rPr>
          <w:rFonts w:eastAsia="MS Mincho" w:cs="Arial"/>
          <w:lang w:val="fr-FR" w:eastAsia="en-GB"/>
        </w:rPr>
        <w:t>MdE</w:t>
      </w:r>
      <w:proofErr w:type="spellEnd"/>
      <w:r w:rsidRPr="00AC7730">
        <w:rPr>
          <w:rFonts w:eastAsia="MS Mincho" w:cs="Arial"/>
          <w:lang w:val="fr-FR" w:eastAsia="en-GB"/>
        </w:rPr>
        <w:t xml:space="preserve"> requins), qui sont également Parties à la Convention de Bonn, à garantir que des réglementations nationales contraignantes soient en place pour interdire la capture ciblée, la détention, le débarquement, le transbordement, la vente, etc., des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conformément aux obligations de l’Annexe I de la Convention de Bonn, tout en préservant les moyens de subsistance des communautés côtières dépendantes de la pêche aux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w:t>
      </w:r>
    </w:p>
    <w:p w14:paraId="60BBFCB3" w14:textId="77777777" w:rsidR="00E42EB4" w:rsidRPr="00AC7730" w:rsidRDefault="004C1ADE">
      <w:pPr>
        <w:spacing w:after="0" w:line="240" w:lineRule="auto"/>
        <w:jc w:val="both"/>
        <w:rPr>
          <w:rFonts w:eastAsia="MS Mincho" w:cs="Arial"/>
          <w:lang w:val="fr-FR" w:eastAsia="en-GB"/>
        </w:rPr>
      </w:pPr>
      <w:r w:rsidRPr="00AC7730">
        <w:rPr>
          <w:rFonts w:eastAsia="MS Mincho" w:cs="Arial"/>
          <w:lang w:val="fr-FR" w:eastAsia="en-GB"/>
        </w:rPr>
        <w:lastRenderedPageBreak/>
        <w:t>Les actions proposées contribueront largement à la réalisation des objectifs du Plan de Conservation (</w:t>
      </w:r>
      <w:hyperlink r:id="rId29" w:history="1">
        <w:r w:rsidR="00E42EB4" w:rsidRPr="00AC7730">
          <w:rPr>
            <w:rStyle w:val="Hyperlink"/>
            <w:rFonts w:eastAsia="MS Mincho" w:cs="Arial"/>
            <w:color w:val="auto"/>
            <w:lang w:val="fr-FR" w:eastAsia="en-GB"/>
          </w:rPr>
          <w:t xml:space="preserve">Annexe 3 du </w:t>
        </w:r>
        <w:proofErr w:type="spellStart"/>
        <w:r w:rsidR="00E42EB4" w:rsidRPr="00AC7730">
          <w:rPr>
            <w:rStyle w:val="Hyperlink"/>
            <w:rFonts w:eastAsia="MS Mincho" w:cs="Arial"/>
            <w:color w:val="auto"/>
            <w:lang w:val="fr-FR" w:eastAsia="en-GB"/>
          </w:rPr>
          <w:t>MdE</w:t>
        </w:r>
        <w:proofErr w:type="spellEnd"/>
        <w:r w:rsidR="00E42EB4" w:rsidRPr="00AC7730">
          <w:rPr>
            <w:rStyle w:val="Hyperlink"/>
            <w:rFonts w:eastAsia="MS Mincho" w:cs="Arial"/>
            <w:color w:val="auto"/>
            <w:lang w:val="fr-FR" w:eastAsia="en-GB"/>
          </w:rPr>
          <w:t xml:space="preserve"> Requins</w:t>
        </w:r>
      </w:hyperlink>
      <w:r w:rsidRPr="00AC7730">
        <w:rPr>
          <w:rFonts w:eastAsia="MS Mincho" w:cs="Arial"/>
          <w:lang w:val="fr-FR" w:eastAsia="en-GB"/>
        </w:rPr>
        <w:t xml:space="preserve">) pour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w:t>
      </w:r>
    </w:p>
    <w:p w14:paraId="26DA4E73" w14:textId="77777777" w:rsidR="00E42EB4" w:rsidRPr="00AC7730" w:rsidRDefault="00E42EB4">
      <w:pPr>
        <w:spacing w:after="0" w:line="240" w:lineRule="auto"/>
        <w:jc w:val="both"/>
        <w:rPr>
          <w:rFonts w:eastAsia="MS Mincho" w:cs="Arial"/>
          <w:lang w:val="fr-FR" w:eastAsia="en-GB"/>
        </w:rPr>
      </w:pPr>
    </w:p>
    <w:p w14:paraId="20004914" w14:textId="77777777" w:rsidR="00E42EB4" w:rsidRPr="00AC7730" w:rsidRDefault="004C1ADE">
      <w:pPr>
        <w:spacing w:after="0" w:line="240" w:lineRule="auto"/>
        <w:jc w:val="both"/>
        <w:rPr>
          <w:rFonts w:eastAsia="MS Mincho" w:cs="Arial"/>
          <w:lang w:val="fr-FR" w:eastAsia="ja-JP"/>
        </w:rPr>
      </w:pPr>
      <w:r w:rsidRPr="00AC7730">
        <w:rPr>
          <w:rFonts w:eastAsia="MS Mincho" w:cs="Arial"/>
          <w:lang w:val="fr-FR" w:eastAsia="en-GB"/>
        </w:rPr>
        <w:t>Elles contribuent également à l’application d’autres résolutions de la Convention de Bonn. Les Parties ont convenu d'un ensemble exhaustif de mesures visant à éviter la capture accidentelle et minimiser la mortalité des requins inscrits sur la liste de la Convention de Bonn (</w:t>
      </w:r>
      <w:hyperlink r:id="rId30" w:tgtFrame="_blank" w:history="1">
        <w:r w:rsidR="00E42EB4" w:rsidRPr="00AC7730">
          <w:rPr>
            <w:rStyle w:val="Hyperlink"/>
            <w:rFonts w:eastAsia="MS Mincho" w:cs="Arial"/>
            <w:color w:val="auto"/>
            <w:u w:val="none"/>
            <w:lang w:val="fr-FR" w:eastAsia="en-GB"/>
          </w:rPr>
          <w:t>Résolution 12.22 et Décisions 13.62 à 13.63 sur les prises accessoires</w:t>
        </w:r>
      </w:hyperlink>
      <w:r w:rsidRPr="00AC7730">
        <w:rPr>
          <w:rFonts w:eastAsia="MS Mincho" w:cs="Arial"/>
          <w:lang w:val="fr-FR" w:eastAsia="en-GB"/>
        </w:rPr>
        <w:t>). Les parties sont invitées à mettre en œuvre une liste exhaustive de mesures visant à minimiser les menaces pesant sur les espèces de requins migrateurs, à améliorer les connaissances, le suivi, le partage des données, la législation et la coopération internationale (</w:t>
      </w:r>
      <w:hyperlink r:id="rId31" w:tgtFrame="_blank" w:history="1">
        <w:r w:rsidR="00E42EB4" w:rsidRPr="00AC7730">
          <w:rPr>
            <w:rStyle w:val="Hyperlink"/>
            <w:rFonts w:eastAsia="MS Mincho" w:cs="Arial"/>
            <w:color w:val="auto"/>
            <w:u w:val="none"/>
            <w:lang w:val="fr-FR" w:eastAsia="en-GB"/>
          </w:rPr>
          <w:t>Résolution 13.3 et Décisions 13.71 à 13.73 sur les espèces de chondrichtyens).</w:t>
        </w:r>
        <w:r w:rsidR="00E42EB4" w:rsidRPr="00AC7730">
          <w:rPr>
            <w:rStyle w:val="Hyperlink"/>
            <w:rFonts w:eastAsia="MS Mincho" w:cs="Arial"/>
            <w:b/>
            <w:bCs/>
            <w:color w:val="auto"/>
            <w:lang w:val="fr-FR" w:eastAsia="en-GB"/>
          </w:rPr>
          <w:br/>
        </w:r>
      </w:hyperlink>
    </w:p>
    <w:p w14:paraId="460039B1" w14:textId="77777777" w:rsidR="00E42EB4" w:rsidRPr="00AC7730" w:rsidRDefault="004C1ADE">
      <w:pPr>
        <w:spacing w:after="0" w:line="240" w:lineRule="auto"/>
        <w:jc w:val="both"/>
        <w:rPr>
          <w:rFonts w:eastAsia="MS Mincho" w:cs="Arial"/>
          <w:lang w:val="fr-FR" w:eastAsia="ja-JP"/>
        </w:rPr>
      </w:pPr>
      <w:r w:rsidRPr="00AC7730">
        <w:rPr>
          <w:rFonts w:eastAsia="MS Mincho" w:cs="Arial"/>
          <w:lang w:val="fr-FR" w:eastAsia="ja-JP"/>
        </w:rPr>
        <w:t xml:space="preserve">Une version précédente des Actions concertées pour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a été proposée et adoptée lors de la CoP12 de la Convention sur la conservation des espèces migratrices appartenant à la faune sauvage en 2017. Depuis, des recherches récentes ont révélé que les pêcheries 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sont plus intenses et étendues que ce que l’on pensait, provoquant des déclins majeurs pour toutes les espèces (</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w:t>
      </w:r>
      <w:r w:rsidRPr="00AC7730">
        <w:rPr>
          <w:rFonts w:eastAsia="Arial" w:cs="Arial"/>
          <w:lang w:val="fr-FR"/>
        </w:rPr>
        <w:t>[en révision]</w:t>
      </w:r>
      <w:r w:rsidRPr="00AC7730">
        <w:rPr>
          <w:rFonts w:eastAsia="MS Mincho" w:cs="Arial"/>
          <w:lang w:val="fr-FR" w:eastAsia="ja-JP"/>
        </w:rPr>
        <w:t xml:space="preserve"> ; voir Annexe I), que le commerce des produits issus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s’est intensifié et que les marchés se sont adaptés, ce qui soulève des préoccupations importantes en matière de transparence (Palacios et al. 2024). De nouvelles lignes directrices actualisées et exhaustives sur la manipulation et la remise à l'eau sûres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ont été publiées (Stevens et al. 2025), et les études sur la survie après la remise à l'eau ont été perfectionnées (Stewart et al. 2024). </w:t>
      </w:r>
    </w:p>
    <w:p w14:paraId="11B20256"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ja-JP"/>
        </w:rPr>
      </w:pPr>
    </w:p>
    <w:p w14:paraId="75105835"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ja-JP"/>
        </w:rPr>
        <w:t xml:space="preserve">Pour endiguer le déclin des espèces 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il est nécessaire d’agir de manière urgente et drastique afin de réduire la mortalité liée à la pêche et le commerce des produits issus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de façon efficace et inclusive. L'adoption et la mise en œuvre d’une version révisée et actualisée des Actions concertées pour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constitue donc une priorité pour la conservation de ce groupe d’espèces inscrit à l’Annexe I dans le cadre de la Convention sur la conservation des espèces migratrices appartenant à la faune sauvage.</w:t>
      </w:r>
    </w:p>
    <w:p w14:paraId="0F14E796"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3005228F"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ja-JP"/>
        </w:rPr>
      </w:pPr>
      <w:r w:rsidRPr="00AC7730">
        <w:rPr>
          <w:rFonts w:eastAsia="MS Mincho" w:cs="Arial"/>
          <w:b/>
          <w:lang w:val="fr-FR" w:eastAsia="ja-JP"/>
        </w:rPr>
        <w:t>Priorité de conservation</w:t>
      </w:r>
    </w:p>
    <w:p w14:paraId="500BA336" w14:textId="77777777" w:rsidR="00E42EB4" w:rsidRPr="00AC7730" w:rsidRDefault="00E42EB4">
      <w:pPr>
        <w:autoSpaceDN w:val="0"/>
        <w:spacing w:after="0" w:line="240" w:lineRule="auto"/>
        <w:jc w:val="both"/>
        <w:textAlignment w:val="baseline"/>
        <w:rPr>
          <w:rFonts w:eastAsia="Arial" w:cs="Arial"/>
          <w:lang w:val="fr-FR"/>
        </w:rPr>
      </w:pPr>
    </w:p>
    <w:p w14:paraId="69813198" w14:textId="77777777" w:rsidR="00E42EB4" w:rsidRPr="00AC7730" w:rsidRDefault="004C1ADE">
      <w:pPr>
        <w:autoSpaceDN w:val="0"/>
        <w:spacing w:after="0" w:line="240" w:lineRule="auto"/>
        <w:jc w:val="both"/>
        <w:textAlignment w:val="baseline"/>
        <w:rPr>
          <w:rFonts w:eastAsia="Arial" w:cs="Arial"/>
          <w:lang w:val="fr-FR"/>
        </w:rPr>
      </w:pPr>
      <w:r w:rsidRPr="00AC7730">
        <w:rPr>
          <w:rFonts w:eastAsia="Arial" w:cs="Arial"/>
          <w:lang w:val="fr-FR"/>
        </w:rPr>
        <w:t xml:space="preserve">Les raies </w:t>
      </w:r>
      <w:proofErr w:type="spellStart"/>
      <w:r w:rsidRPr="00AC7730">
        <w:rPr>
          <w:rFonts w:eastAsia="Arial" w:cs="Arial"/>
          <w:lang w:val="fr-FR"/>
        </w:rPr>
        <w:t>manta</w:t>
      </w:r>
      <w:proofErr w:type="spellEnd"/>
      <w:r w:rsidRPr="00AC7730">
        <w:rPr>
          <w:rFonts w:eastAsia="Arial" w:cs="Arial"/>
          <w:lang w:val="fr-FR"/>
        </w:rPr>
        <w:t xml:space="preserve"> et diable sont extrêmement vulnérables biologiquement en raison de leurs traits de cycle de vie conservateurs, tels qu’une croissance lente et une maturation tardive, et elles comptent parmi les élasmobranches les moins féconds (</w:t>
      </w:r>
      <w:proofErr w:type="spellStart"/>
      <w:r w:rsidRPr="00AC7730">
        <w:rPr>
          <w:rFonts w:eastAsia="Arial" w:cs="Arial"/>
          <w:lang w:val="fr-FR"/>
        </w:rPr>
        <w:t>Dulvy</w:t>
      </w:r>
      <w:proofErr w:type="spellEnd"/>
      <w:r w:rsidRPr="00AC7730">
        <w:rPr>
          <w:rFonts w:eastAsia="Arial" w:cs="Arial"/>
          <w:lang w:val="fr-FR"/>
        </w:rPr>
        <w:t xml:space="preserve"> et al., 2014). Après avoir atteint la maturité, en moyenne vers 10 ans, elles donnent généralement naissance à un seul petit tous les deux à trois ans (jusqu’à huit ans dans certaines sous-populations) (Marshall et al., 2009 ; Stewart et al., 2018). </w:t>
      </w:r>
    </w:p>
    <w:p w14:paraId="1C589267" w14:textId="77777777" w:rsidR="00E42EB4" w:rsidRPr="00AC7730" w:rsidRDefault="00E42EB4">
      <w:pPr>
        <w:spacing w:after="0" w:line="240" w:lineRule="auto"/>
        <w:jc w:val="both"/>
        <w:rPr>
          <w:rFonts w:eastAsia="Arial" w:cs="Arial"/>
          <w:lang w:val="fr-FR"/>
        </w:rPr>
      </w:pPr>
    </w:p>
    <w:p w14:paraId="0CF52867" w14:textId="77777777" w:rsidR="00E42EB4" w:rsidRPr="00AC7730" w:rsidRDefault="004C1ADE">
      <w:pPr>
        <w:spacing w:after="0" w:line="240" w:lineRule="auto"/>
        <w:jc w:val="both"/>
        <w:rPr>
          <w:rFonts w:eastAsia="Arial" w:cs="Arial"/>
          <w:lang w:val="fr-FR"/>
        </w:rPr>
      </w:pPr>
      <w:r w:rsidRPr="00AC7730">
        <w:rPr>
          <w:rFonts w:eastAsia="Arial" w:cs="Arial"/>
          <w:lang w:val="fr-FR"/>
        </w:rPr>
        <w:t xml:space="preserve">Une étude exhaustive des captures et débarquements de raies </w:t>
      </w:r>
      <w:proofErr w:type="spellStart"/>
      <w:r w:rsidRPr="00AC7730">
        <w:rPr>
          <w:rFonts w:eastAsia="Arial" w:cs="Arial"/>
          <w:lang w:val="fr-FR"/>
        </w:rPr>
        <w:t>manta</w:t>
      </w:r>
      <w:proofErr w:type="spellEnd"/>
      <w:r w:rsidRPr="00AC7730">
        <w:rPr>
          <w:rFonts w:eastAsia="Arial" w:cs="Arial"/>
          <w:lang w:val="fr-FR"/>
        </w:rPr>
        <w:t xml:space="preserve"> et diable (</w:t>
      </w:r>
      <w:proofErr w:type="spellStart"/>
      <w:r w:rsidRPr="00AC7730">
        <w:rPr>
          <w:rFonts w:eastAsia="Arial" w:cs="Arial"/>
          <w:lang w:val="fr-FR"/>
        </w:rPr>
        <w:t>Laglbauer</w:t>
      </w:r>
      <w:proofErr w:type="spellEnd"/>
      <w:r w:rsidRPr="00AC7730">
        <w:rPr>
          <w:rFonts w:eastAsia="Arial" w:cs="Arial"/>
          <w:lang w:val="fr-FR"/>
        </w:rPr>
        <w:t xml:space="preserve"> et al. [In </w:t>
      </w:r>
      <w:proofErr w:type="spellStart"/>
      <w:r w:rsidRPr="00AC7730">
        <w:rPr>
          <w:rFonts w:eastAsia="Arial" w:cs="Arial"/>
          <w:lang w:val="fr-FR"/>
        </w:rPr>
        <w:t>Review</w:t>
      </w:r>
      <w:proofErr w:type="spellEnd"/>
      <w:r w:rsidRPr="00AC7730">
        <w:rPr>
          <w:rFonts w:eastAsia="Arial" w:cs="Arial"/>
          <w:lang w:val="fr-FR"/>
        </w:rPr>
        <w:t xml:space="preserve">]) a procédé à une analyse détaillée d'articles de revues évalués par des pair et de littérature grise, de bases de données officielles, de rapports sur la pêche et le commerce des élasmobranches, ainsi qu'à l'obtention d'avis d'experts par le biais d'enquêtes et d'entretiens en ligne axés sur les pays. Les résultats ont montré que les raies </w:t>
      </w:r>
      <w:proofErr w:type="spellStart"/>
      <w:r w:rsidRPr="00AC7730">
        <w:rPr>
          <w:rFonts w:eastAsia="Arial" w:cs="Arial"/>
          <w:lang w:val="fr-FR"/>
        </w:rPr>
        <w:t>manta</w:t>
      </w:r>
      <w:proofErr w:type="spellEnd"/>
      <w:r w:rsidRPr="00AC7730">
        <w:rPr>
          <w:rFonts w:eastAsia="Arial" w:cs="Arial"/>
          <w:lang w:val="fr-FR"/>
        </w:rPr>
        <w:t xml:space="preserve"> et diable sont ciblées et capturées comme prises accessoires, puis retenues ou rejetées lorsqu’elles sont prises dans des engins non sélectifs, dans au moins 84 pays à travers le monde. Cette étude estime la capture mondiale de raies </w:t>
      </w:r>
      <w:proofErr w:type="spellStart"/>
      <w:r w:rsidRPr="00AC7730">
        <w:rPr>
          <w:rFonts w:eastAsia="Arial" w:cs="Arial"/>
          <w:lang w:val="fr-FR"/>
        </w:rPr>
        <w:t>manta</w:t>
      </w:r>
      <w:proofErr w:type="spellEnd"/>
      <w:r w:rsidRPr="00AC7730">
        <w:rPr>
          <w:rFonts w:eastAsia="Arial" w:cs="Arial"/>
          <w:lang w:val="fr-FR"/>
        </w:rPr>
        <w:t xml:space="preserve"> et diable à environ 265 000 individus par an, qu’elles soient ciblées ou retenues comme prises accessoires ; un chiffre incompatible avec un avenir durable pour ces </w:t>
      </w:r>
      <w:r w:rsidRPr="00AC7730">
        <w:rPr>
          <w:rFonts w:cs="Arial"/>
          <w:lang w:val="fr-FR"/>
        </w:rPr>
        <w:t>espèces à croissance lente, maturation tardive et faible fécondité</w:t>
      </w:r>
      <w:r w:rsidRPr="00AC7730">
        <w:rPr>
          <w:rFonts w:eastAsia="Arial" w:cs="Arial"/>
          <w:lang w:val="fr-FR"/>
        </w:rPr>
        <w:t>.</w:t>
      </w:r>
    </w:p>
    <w:p w14:paraId="341BA6A0" w14:textId="77777777" w:rsidR="00E42EB4" w:rsidRPr="00AC7730" w:rsidRDefault="00E42EB4">
      <w:pPr>
        <w:spacing w:after="0" w:line="240" w:lineRule="auto"/>
        <w:jc w:val="both"/>
        <w:rPr>
          <w:rFonts w:eastAsia="Arial" w:cs="Arial"/>
          <w:lang w:val="fr-FR"/>
        </w:rPr>
      </w:pPr>
    </w:p>
    <w:p w14:paraId="23D40C3D" w14:textId="32FCB291" w:rsidR="00E42EB4" w:rsidRPr="00AC7730" w:rsidRDefault="004C1ADE">
      <w:pPr>
        <w:spacing w:after="0" w:line="240" w:lineRule="auto"/>
        <w:jc w:val="both"/>
        <w:rPr>
          <w:rFonts w:eastAsia="Arial" w:cs="Arial"/>
          <w:lang w:val="fr-FR"/>
        </w:rPr>
      </w:pPr>
      <w:proofErr w:type="spellStart"/>
      <w:r w:rsidRPr="00AC7730">
        <w:rPr>
          <w:rFonts w:eastAsia="Arial" w:cs="Arial"/>
          <w:lang w:val="fr-FR"/>
        </w:rPr>
        <w:t>Laglbauer</w:t>
      </w:r>
      <w:proofErr w:type="spellEnd"/>
      <w:r w:rsidRPr="00AC7730">
        <w:rPr>
          <w:rFonts w:eastAsia="Arial" w:cs="Arial"/>
          <w:lang w:val="fr-FR"/>
        </w:rPr>
        <w:t xml:space="preserve"> et al. ont également constaté que les pêcheries de petits navires (&lt;15 m de longueur) sont responsables de 85 % des captures mondiales et de 87 % de la mortalité mondiale. Au moins 75 pays capturent des raies </w:t>
      </w:r>
      <w:proofErr w:type="spellStart"/>
      <w:r w:rsidRPr="00AC7730">
        <w:rPr>
          <w:rFonts w:eastAsia="Arial" w:cs="Arial"/>
          <w:lang w:val="fr-FR"/>
        </w:rPr>
        <w:t>manta</w:t>
      </w:r>
      <w:proofErr w:type="spellEnd"/>
      <w:r w:rsidRPr="00AC7730">
        <w:rPr>
          <w:rFonts w:eastAsia="Arial" w:cs="Arial"/>
          <w:lang w:val="fr-FR"/>
        </w:rPr>
        <w:t xml:space="preserve"> et diable dans des pêcheries côtières </w:t>
      </w:r>
      <w:r w:rsidRPr="00AC7730">
        <w:rPr>
          <w:rFonts w:eastAsia="Arial" w:cs="Arial"/>
          <w:lang w:val="fr-FR"/>
        </w:rPr>
        <w:lastRenderedPageBreak/>
        <w:t xml:space="preserve">ou à petite échelle (66 avec débarquements), les filets dérivants étant l’engin le plus utilisé. Les captures annuelles de ces pêcheries sont estimées à </w:t>
      </w:r>
      <w:r w:rsidRPr="00AC7730">
        <w:rPr>
          <w:rFonts w:eastAsia="Arial" w:cs="Arial"/>
          <w:highlight w:val="white"/>
          <w:lang w:val="fr-FR"/>
        </w:rPr>
        <w:t>225 047</w:t>
      </w:r>
      <w:r w:rsidRPr="00AC7730">
        <w:rPr>
          <w:rFonts w:eastAsia="Arial" w:cs="Arial"/>
          <w:lang w:val="fr-FR"/>
        </w:rPr>
        <w:t xml:space="preserve"> raies </w:t>
      </w:r>
      <w:proofErr w:type="spellStart"/>
      <w:r w:rsidRPr="00AC7730">
        <w:rPr>
          <w:rFonts w:eastAsia="Arial" w:cs="Arial"/>
          <w:lang w:val="fr-FR"/>
        </w:rPr>
        <w:t>mobulidées</w:t>
      </w:r>
      <w:proofErr w:type="spellEnd"/>
      <w:r w:rsidRPr="00AC7730">
        <w:rPr>
          <w:rFonts w:eastAsia="Arial" w:cs="Arial"/>
          <w:lang w:val="fr-FR"/>
        </w:rPr>
        <w:t>, toutes espèces confondues. Cela souligne l’importance et l’impact des actions menées dans les communautés de pêche « à petite échelle ».</w:t>
      </w:r>
    </w:p>
    <w:p w14:paraId="18E637E9" w14:textId="77777777" w:rsidR="00E42EB4" w:rsidRPr="00AC7730" w:rsidRDefault="00E42EB4">
      <w:pPr>
        <w:spacing w:after="0" w:line="240" w:lineRule="auto"/>
        <w:jc w:val="both"/>
        <w:rPr>
          <w:rFonts w:eastAsia="Arial" w:cs="Arial"/>
          <w:lang w:val="fr-FR"/>
        </w:rPr>
      </w:pPr>
    </w:p>
    <w:p w14:paraId="52FB9E84" w14:textId="77777777" w:rsidR="00E42EB4" w:rsidRPr="00AC7730" w:rsidRDefault="004C1ADE">
      <w:pPr>
        <w:spacing w:after="0" w:line="240" w:lineRule="auto"/>
        <w:jc w:val="both"/>
        <w:rPr>
          <w:rFonts w:eastAsia="Arial" w:cs="Arial"/>
          <w:lang w:val="fr-FR"/>
        </w:rPr>
      </w:pPr>
      <w:r w:rsidRPr="00AC7730">
        <w:rPr>
          <w:rFonts w:eastAsia="Arial" w:cs="Arial"/>
          <w:lang w:val="fr-FR"/>
        </w:rPr>
        <w:t xml:space="preserve">Les prises accessoires de raies </w:t>
      </w:r>
      <w:proofErr w:type="spellStart"/>
      <w:r w:rsidRPr="00AC7730">
        <w:rPr>
          <w:rFonts w:eastAsia="Arial" w:cs="Arial"/>
          <w:lang w:val="fr-FR"/>
        </w:rPr>
        <w:t>manta</w:t>
      </w:r>
      <w:proofErr w:type="spellEnd"/>
      <w:r w:rsidRPr="00AC7730">
        <w:rPr>
          <w:rFonts w:eastAsia="Arial" w:cs="Arial"/>
          <w:lang w:val="fr-FR"/>
        </w:rPr>
        <w:t xml:space="preserve"> et diable par la flotte mondiale de senneurs thoniers avaient été estimées précédemment à 13 000 individus par an (Hall &amp; Roman, 2013 ; Croll et al., 2016). Cependant, en constatant toutes les flottes de grands navires (&gt;15 m), </w:t>
      </w:r>
      <w:proofErr w:type="spellStart"/>
      <w:r w:rsidRPr="00AC7730">
        <w:rPr>
          <w:rFonts w:eastAsia="Arial" w:cs="Arial"/>
          <w:lang w:val="fr-FR"/>
        </w:rPr>
        <w:t>Laglbauer</w:t>
      </w:r>
      <w:proofErr w:type="spellEnd"/>
      <w:r w:rsidRPr="00AC7730">
        <w:rPr>
          <w:rFonts w:eastAsia="Arial" w:cs="Arial"/>
          <w:lang w:val="fr-FR"/>
        </w:rPr>
        <w:t xml:space="preserve"> et al. ont observé que 37 États de pavillon et deux organisations régionales de gestion des pêches (ORGP), pour lesquelles les données disponibles publiquement ne pouvaient pas être attribuées à des États de pavillon spécifiques (c'est-à-dire la CITT et la CPPOC), capturent environ 39 470 raies par an, ce qui entraîne une mortalité (à la remontée à bord) de 34 387 raies </w:t>
      </w:r>
      <w:proofErr w:type="spellStart"/>
      <w:r w:rsidRPr="00AC7730">
        <w:rPr>
          <w:rFonts w:eastAsia="Arial" w:cs="Arial"/>
          <w:lang w:val="fr-FR"/>
        </w:rPr>
        <w:t>mobulidées</w:t>
      </w:r>
      <w:proofErr w:type="spellEnd"/>
      <w:r w:rsidRPr="00AC7730">
        <w:rPr>
          <w:rFonts w:eastAsia="Arial" w:cs="Arial"/>
          <w:lang w:val="fr-FR"/>
        </w:rPr>
        <w:t xml:space="preserve"> par an. </w:t>
      </w:r>
    </w:p>
    <w:p w14:paraId="19FD02A0" w14:textId="77777777" w:rsidR="00E42EB4" w:rsidRPr="00AC7730" w:rsidRDefault="00E42EB4">
      <w:pPr>
        <w:spacing w:after="0" w:line="240" w:lineRule="auto"/>
        <w:jc w:val="both"/>
        <w:rPr>
          <w:rFonts w:eastAsia="Arial" w:cs="Arial"/>
          <w:lang w:val="fr-FR"/>
        </w:rPr>
      </w:pPr>
    </w:p>
    <w:p w14:paraId="1A5A7158" w14:textId="77777777" w:rsidR="00E42EB4" w:rsidRPr="00AC7730" w:rsidRDefault="004C1ADE">
      <w:pPr>
        <w:spacing w:after="0" w:line="240" w:lineRule="auto"/>
        <w:jc w:val="both"/>
        <w:rPr>
          <w:rFonts w:eastAsia="Arial" w:cs="Arial"/>
          <w:lang w:val="fr-FR"/>
        </w:rPr>
      </w:pPr>
      <w:r w:rsidRPr="00AC7730">
        <w:rPr>
          <w:rFonts w:eastAsia="Arial" w:cs="Arial"/>
          <w:lang w:val="fr-FR"/>
        </w:rPr>
        <w:t xml:space="preserve">Une étude récente a évalué la mortalité après la remise à l'eau des raies </w:t>
      </w:r>
      <w:proofErr w:type="spellStart"/>
      <w:r w:rsidRPr="00AC7730">
        <w:rPr>
          <w:rFonts w:eastAsia="Arial" w:cs="Arial"/>
          <w:lang w:val="fr-FR"/>
        </w:rPr>
        <w:t>manta</w:t>
      </w:r>
      <w:proofErr w:type="spellEnd"/>
      <w:r w:rsidRPr="00AC7730">
        <w:rPr>
          <w:rFonts w:eastAsia="Arial" w:cs="Arial"/>
          <w:lang w:val="fr-FR"/>
        </w:rPr>
        <w:t xml:space="preserve"> et diable en utilisant des balises satellites pour estimer les taux de survie de quatre espèces (</w:t>
      </w:r>
      <w:r w:rsidRPr="00AC7730">
        <w:rPr>
          <w:rFonts w:eastAsia="Arial" w:cs="Arial"/>
          <w:i/>
          <w:lang w:val="fr-FR"/>
        </w:rPr>
        <w:t xml:space="preserve">M. </w:t>
      </w:r>
      <w:proofErr w:type="spellStart"/>
      <w:r w:rsidRPr="00AC7730">
        <w:rPr>
          <w:rFonts w:eastAsia="Arial" w:cs="Arial"/>
          <w:i/>
          <w:lang w:val="fr-FR"/>
        </w:rPr>
        <w:t>birostris</w:t>
      </w:r>
      <w:proofErr w:type="spellEnd"/>
      <w:r w:rsidRPr="00AC7730">
        <w:rPr>
          <w:rFonts w:eastAsia="Arial" w:cs="Arial"/>
          <w:lang w:val="fr-FR"/>
        </w:rPr>
        <w:t xml:space="preserve">, </w:t>
      </w:r>
      <w:r w:rsidRPr="00AC7730">
        <w:rPr>
          <w:rFonts w:eastAsia="Arial" w:cs="Arial"/>
          <w:i/>
          <w:lang w:val="fr-FR"/>
        </w:rPr>
        <w:t>M. mobular</w:t>
      </w:r>
      <w:r w:rsidRPr="00AC7730">
        <w:rPr>
          <w:rFonts w:eastAsia="Arial" w:cs="Arial"/>
          <w:lang w:val="fr-FR"/>
        </w:rPr>
        <w:t xml:space="preserve">, </w:t>
      </w:r>
      <w:r w:rsidRPr="00AC7730">
        <w:rPr>
          <w:rFonts w:eastAsia="Arial" w:cs="Arial"/>
          <w:i/>
          <w:lang w:val="fr-FR"/>
        </w:rPr>
        <w:t xml:space="preserve">M. </w:t>
      </w:r>
      <w:proofErr w:type="spellStart"/>
      <w:r w:rsidRPr="00AC7730">
        <w:rPr>
          <w:rFonts w:eastAsia="Arial" w:cs="Arial"/>
          <w:i/>
          <w:lang w:val="fr-FR"/>
        </w:rPr>
        <w:t>tarapacana</w:t>
      </w:r>
      <w:proofErr w:type="spellEnd"/>
      <w:r w:rsidRPr="00AC7730">
        <w:rPr>
          <w:rFonts w:eastAsia="Arial" w:cs="Arial"/>
          <w:i/>
          <w:lang w:val="fr-FR"/>
        </w:rPr>
        <w:t>,</w:t>
      </w:r>
      <w:r w:rsidRPr="00AC7730">
        <w:rPr>
          <w:rFonts w:eastAsia="Arial" w:cs="Arial"/>
          <w:lang w:val="fr-FR"/>
        </w:rPr>
        <w:t xml:space="preserve"> et </w:t>
      </w:r>
      <w:r w:rsidRPr="00AC7730">
        <w:rPr>
          <w:rFonts w:eastAsia="Arial" w:cs="Arial"/>
          <w:i/>
          <w:lang w:val="fr-FR"/>
        </w:rPr>
        <w:t xml:space="preserve">M. </w:t>
      </w:r>
      <w:proofErr w:type="spellStart"/>
      <w:r w:rsidRPr="00AC7730">
        <w:rPr>
          <w:rFonts w:eastAsia="Arial" w:cs="Arial"/>
          <w:i/>
          <w:lang w:val="fr-FR"/>
        </w:rPr>
        <w:t>thurstoni</w:t>
      </w:r>
      <w:proofErr w:type="spellEnd"/>
      <w:r w:rsidRPr="00AC7730">
        <w:rPr>
          <w:rFonts w:eastAsia="Arial" w:cs="Arial"/>
          <w:lang w:val="fr-FR"/>
        </w:rPr>
        <w:t xml:space="preserve">) relâchées par des senneurs thoniers dans trois régions du monde (Stewart et al. 2024). Cette étude a révélé un effet négatif significatif du temps passé sur le pont et que de meilleures pratiques de manipulation peuvent augmenter les taux de survie, ce qui souligne l'importance de mettre en œuvre des lignes directrices optimales pour une manipulation et une remise à l'eau sûre, et d'informer les stratégies de conservation pour l'avenir. </w:t>
      </w:r>
    </w:p>
    <w:p w14:paraId="1ABAFFCF" w14:textId="77777777" w:rsidR="00E42EB4" w:rsidRPr="00AC7730" w:rsidRDefault="00E42EB4">
      <w:pPr>
        <w:spacing w:after="0" w:line="240" w:lineRule="auto"/>
        <w:jc w:val="both"/>
        <w:rPr>
          <w:rFonts w:eastAsia="Arial" w:cs="Arial"/>
          <w:lang w:val="fr-FR"/>
        </w:rPr>
      </w:pPr>
    </w:p>
    <w:p w14:paraId="12F45C94" w14:textId="235B3D51" w:rsidR="00E42EB4" w:rsidRPr="00AC7730" w:rsidRDefault="004C1ADE">
      <w:pPr>
        <w:spacing w:after="0" w:line="240" w:lineRule="auto"/>
        <w:jc w:val="both"/>
        <w:rPr>
          <w:rFonts w:eastAsia="Arial" w:cs="Arial"/>
          <w:lang w:val="fr-FR"/>
        </w:rPr>
      </w:pPr>
      <w:r w:rsidRPr="00AC7730">
        <w:rPr>
          <w:rFonts w:eastAsia="Arial" w:cs="Arial"/>
          <w:lang w:val="fr-FR"/>
        </w:rPr>
        <w:t xml:space="preserve">Toute utilisation commerciale et tout commerce des produits issus des raies </w:t>
      </w:r>
      <w:proofErr w:type="spellStart"/>
      <w:r w:rsidRPr="00AC7730">
        <w:rPr>
          <w:rFonts w:eastAsia="Arial" w:cs="Arial"/>
          <w:lang w:val="fr-FR"/>
        </w:rPr>
        <w:t>manta</w:t>
      </w:r>
      <w:proofErr w:type="spellEnd"/>
      <w:r w:rsidRPr="00AC7730">
        <w:rPr>
          <w:rFonts w:eastAsia="Arial" w:cs="Arial"/>
          <w:lang w:val="fr-FR"/>
        </w:rPr>
        <w:t xml:space="preserve"> et diable proviennent d’animaux capturés à l’état sauvage. Les raies </w:t>
      </w:r>
      <w:proofErr w:type="spellStart"/>
      <w:r w:rsidRPr="00AC7730">
        <w:rPr>
          <w:rFonts w:eastAsia="Arial" w:cs="Arial"/>
          <w:lang w:val="fr-FR"/>
        </w:rPr>
        <w:t>manta</w:t>
      </w:r>
      <w:proofErr w:type="spellEnd"/>
      <w:r w:rsidRPr="00AC7730">
        <w:rPr>
          <w:rFonts w:eastAsia="Arial" w:cs="Arial"/>
          <w:lang w:val="fr-FR"/>
        </w:rPr>
        <w:t xml:space="preserve"> et diable sont exploitées pour leur viande et leurs appendices pré-branchiaux séchés (lamelles branchiales) et sont actuellement inscrites à l’Annexe II de la Convention sur le commerce international des espèces de faune et de flore sauvages menacées d'extinction ; les raies </w:t>
      </w:r>
      <w:proofErr w:type="spellStart"/>
      <w:r w:rsidRPr="00AC7730">
        <w:rPr>
          <w:rFonts w:eastAsia="Arial" w:cs="Arial"/>
          <w:lang w:val="fr-FR"/>
        </w:rPr>
        <w:t>manta</w:t>
      </w:r>
      <w:proofErr w:type="spellEnd"/>
      <w:r w:rsidRPr="00AC7730">
        <w:rPr>
          <w:rFonts w:eastAsia="Arial" w:cs="Arial"/>
          <w:lang w:val="fr-FR"/>
        </w:rPr>
        <w:t xml:space="preserve"> depuis 2013 et les raies diable depuis 2016. Cependant, des travaux récents ont montré que le commerce des produits issus des raies </w:t>
      </w:r>
      <w:proofErr w:type="spellStart"/>
      <w:r w:rsidRPr="00AC7730">
        <w:rPr>
          <w:rFonts w:eastAsia="Arial" w:cs="Arial"/>
          <w:lang w:val="fr-FR"/>
        </w:rPr>
        <w:t>manta</w:t>
      </w:r>
      <w:proofErr w:type="spellEnd"/>
      <w:r w:rsidRPr="00AC7730">
        <w:rPr>
          <w:rFonts w:eastAsia="Arial" w:cs="Arial"/>
          <w:lang w:val="fr-FR"/>
        </w:rPr>
        <w:t xml:space="preserve"> et diable n’a pas été efficacement réglementé ni limité à des niveaux durables, mais a au contraire augmenté et évolué au cours de la dernière décennie, stimulant les pêcheries dans le monde entier (Palacios et al., 2024). Cette même publication indique qu’un commerce illégal et non déclaré important de viande et de lamelles branchiales se poursuit depuis 22 États de l'aire de répartition vers huit centres d’importation, ce qui est en net décalage avec les données déclarées dans la base de la Convention sur le commerce international des espèces de faune et de flore sauvages menacées d'extinction (2017–2023) et menace la survie de ces espèces. Par conséquent, travailler à l’application des réglementations commerciales et à la réduction de la demande pour les produits issus des raies </w:t>
      </w:r>
      <w:proofErr w:type="spellStart"/>
      <w:r w:rsidRPr="00AC7730">
        <w:rPr>
          <w:rFonts w:eastAsia="Arial" w:cs="Arial"/>
          <w:lang w:val="fr-FR"/>
        </w:rPr>
        <w:t>manta</w:t>
      </w:r>
      <w:proofErr w:type="spellEnd"/>
      <w:r w:rsidRPr="00AC7730">
        <w:rPr>
          <w:rFonts w:eastAsia="Arial" w:cs="Arial"/>
          <w:lang w:val="fr-FR"/>
        </w:rPr>
        <w:t xml:space="preserve"> et diable contribue à éliminer les pêcheries motivées par le marché. </w:t>
      </w:r>
    </w:p>
    <w:p w14:paraId="43904BF8" w14:textId="77777777" w:rsidR="00E42EB4" w:rsidRPr="00AC7730" w:rsidRDefault="00E42EB4">
      <w:pPr>
        <w:spacing w:after="0" w:line="240" w:lineRule="auto"/>
        <w:jc w:val="both"/>
        <w:rPr>
          <w:rFonts w:eastAsia="Arial" w:cs="Arial"/>
          <w:lang w:val="fr-FR"/>
        </w:rPr>
      </w:pPr>
    </w:p>
    <w:p w14:paraId="11BF3766" w14:textId="77777777" w:rsidR="00E42EB4" w:rsidRPr="00AC7730" w:rsidRDefault="004C1ADE">
      <w:pPr>
        <w:spacing w:after="0" w:line="240" w:lineRule="auto"/>
        <w:jc w:val="both"/>
        <w:rPr>
          <w:rFonts w:eastAsia="Arial" w:cs="Arial"/>
          <w:lang w:val="fr-FR"/>
        </w:rPr>
      </w:pPr>
      <w:r w:rsidRPr="00AC7730">
        <w:rPr>
          <w:rFonts w:eastAsia="Arial" w:cs="Arial"/>
          <w:lang w:val="fr-FR"/>
        </w:rPr>
        <w:t xml:space="preserve">Sans surprise, la mortalité liée à la pêche a entraîné des </w:t>
      </w:r>
      <w:r w:rsidRPr="00AC7730">
        <w:rPr>
          <w:rFonts w:eastAsiaTheme="minorEastAsia" w:cs="Arial"/>
          <w:lang w:val="fr-FR"/>
        </w:rPr>
        <w:t xml:space="preserve">déclins significatifs des populations de raies </w:t>
      </w:r>
      <w:proofErr w:type="spellStart"/>
      <w:r w:rsidRPr="00AC7730">
        <w:rPr>
          <w:rFonts w:eastAsiaTheme="minorEastAsia" w:cs="Arial"/>
          <w:lang w:val="fr-FR"/>
        </w:rPr>
        <w:t>manta</w:t>
      </w:r>
      <w:proofErr w:type="spellEnd"/>
      <w:r w:rsidRPr="00AC7730">
        <w:rPr>
          <w:rFonts w:eastAsiaTheme="minorEastAsia" w:cs="Arial"/>
          <w:lang w:val="fr-FR"/>
        </w:rPr>
        <w:t xml:space="preserve"> et diable à l’échelle mondiale, documentés ou déduits à partir des observations, débarquements et données de captures couvrant toutes les espèces (voir Annexe II). Pour évaluer l'ordre de grandeur de ces déclins, </w:t>
      </w:r>
      <w:proofErr w:type="spellStart"/>
      <w:r w:rsidRPr="00AC7730">
        <w:rPr>
          <w:rFonts w:eastAsiaTheme="minorEastAsia" w:cs="Arial"/>
          <w:lang w:val="fr-FR"/>
        </w:rPr>
        <w:t>Laglbauer</w:t>
      </w:r>
      <w:proofErr w:type="spellEnd"/>
      <w:r w:rsidRPr="00AC7730">
        <w:rPr>
          <w:rFonts w:eastAsiaTheme="minorEastAsia" w:cs="Arial"/>
          <w:lang w:val="fr-FR"/>
        </w:rPr>
        <w:t xml:space="preserve"> et al. ont réalisé une analyse détaillée, comprenant un examen approfondi de la littérature, le calcul des débarquements moyens par jour d'enquête/navire, la ventilation des taux de déclin par espèce et </w:t>
      </w:r>
      <w:r w:rsidRPr="00AC7730">
        <w:rPr>
          <w:rFonts w:cs="Arial"/>
          <w:lang w:val="fr-FR"/>
        </w:rPr>
        <w:t>à la correction</w:t>
      </w:r>
      <w:r w:rsidRPr="00AC7730">
        <w:rPr>
          <w:rFonts w:eastAsiaTheme="minorEastAsia" w:cs="Arial"/>
          <w:lang w:val="fr-FR"/>
        </w:rPr>
        <w:t xml:space="preserve"> des données pour tenir compte de l'effort de pêche et de la saisonnalité dans la mesure du possible.</w:t>
      </w:r>
      <w:r w:rsidRPr="00AC7730">
        <w:rPr>
          <w:rFonts w:cs="Arial"/>
          <w:lang w:val="fr-FR"/>
        </w:rPr>
        <w:t xml:space="preserve"> Cette nouvelle compilation de données montre des déclins supérieurs à 80 % pour toutes les espèces de raies </w:t>
      </w:r>
      <w:proofErr w:type="spellStart"/>
      <w:r w:rsidRPr="00AC7730">
        <w:rPr>
          <w:rFonts w:cs="Arial"/>
          <w:lang w:val="fr-FR"/>
        </w:rPr>
        <w:t>manta</w:t>
      </w:r>
      <w:proofErr w:type="spellEnd"/>
      <w:r w:rsidRPr="00AC7730">
        <w:rPr>
          <w:rFonts w:cs="Arial"/>
          <w:lang w:val="fr-FR"/>
        </w:rPr>
        <w:t xml:space="preserve"> et diable, dans tous les bassins océaniques, et pouvant atteindre jusqu’à 99 % dans certains cas (</w:t>
      </w:r>
      <w:r w:rsidRPr="00AC7730">
        <w:rPr>
          <w:rFonts w:eastAsia="Arial" w:cs="Arial"/>
          <w:lang w:val="fr-FR"/>
        </w:rPr>
        <w:t xml:space="preserve">White et al., 2015 ; </w:t>
      </w:r>
      <w:proofErr w:type="spellStart"/>
      <w:r w:rsidRPr="00AC7730">
        <w:rPr>
          <w:rFonts w:eastAsia="Arial" w:cs="Arial"/>
          <w:lang w:val="fr-FR"/>
        </w:rPr>
        <w:t>Moazzam</w:t>
      </w:r>
      <w:proofErr w:type="spellEnd"/>
      <w:r w:rsidRPr="00AC7730">
        <w:rPr>
          <w:rFonts w:eastAsia="Arial" w:cs="Arial"/>
          <w:lang w:val="fr-FR"/>
        </w:rPr>
        <w:t xml:space="preserve">, 2018 ; Lezama-Ochoa et al., 2019 ; Broadhurst et al., 2019 ; Fernando &amp; Stewart, 2021 ; Venables et al., 2024 ; Rojas-Perea et al., 2025 ; </w:t>
      </w:r>
      <w:proofErr w:type="spellStart"/>
      <w:r w:rsidRPr="00AC7730">
        <w:rPr>
          <w:rFonts w:eastAsia="Arial" w:cs="Arial"/>
          <w:lang w:val="fr-FR"/>
        </w:rPr>
        <w:t>Laglbauer</w:t>
      </w:r>
      <w:proofErr w:type="spellEnd"/>
      <w:r w:rsidRPr="00AC7730">
        <w:rPr>
          <w:rFonts w:eastAsia="Arial" w:cs="Arial"/>
          <w:lang w:val="fr-FR"/>
        </w:rPr>
        <w:t xml:space="preserve"> et al., 2025 ; Chopra et al. [en révision] ; Boggio-Pascua et al. [en révision] ; Organisation des Nations Unies pour l'Alimentation et l'Agriculture, 2024 ; Organisation des Nations Unies pour l'Alimentation et l'Agriculture, 2025 ; Commission des thons de l'Océan Indien (CTOI), 2025 a, b).</w:t>
      </w:r>
    </w:p>
    <w:p w14:paraId="3E5FDA5D" w14:textId="77777777" w:rsidR="00E42EB4" w:rsidRPr="00AC7730" w:rsidRDefault="004C1ADE">
      <w:pPr>
        <w:spacing w:after="0" w:line="240" w:lineRule="auto"/>
        <w:jc w:val="both"/>
        <w:rPr>
          <w:rFonts w:cs="Arial"/>
          <w:lang w:val="fr-FR"/>
        </w:rPr>
      </w:pPr>
      <w:r w:rsidRPr="00AC7730">
        <w:rPr>
          <w:rFonts w:cs="Arial"/>
          <w:lang w:val="fr-FR"/>
        </w:rPr>
        <w:lastRenderedPageBreak/>
        <w:t xml:space="preserve">Les changements dans la structure de la population incluent l'extinction commerciale locale et l'extirpation locale dans certaines zones (Venables et al. 2024 ; Rojas-Perea et al. 2025) ainsi qu'une réduction avérée de la largeur moyenne du disque dans certaines populations, confirmant la surpêche (Fernando et Stewart 2021 ; </w:t>
      </w:r>
      <w:proofErr w:type="spellStart"/>
      <w:r w:rsidRPr="00AC7730">
        <w:rPr>
          <w:rFonts w:cs="Arial"/>
          <w:lang w:val="fr-FR"/>
        </w:rPr>
        <w:t>Laglbauer</w:t>
      </w:r>
      <w:proofErr w:type="spellEnd"/>
      <w:r w:rsidRPr="00AC7730">
        <w:rPr>
          <w:rFonts w:cs="Arial"/>
          <w:lang w:val="fr-FR"/>
        </w:rPr>
        <w:t xml:space="preserve"> et a</w:t>
      </w:r>
      <w:r w:rsidRPr="00AC7730">
        <w:rPr>
          <w:rFonts w:cs="Arial"/>
          <w:i/>
          <w:iCs/>
          <w:lang w:val="fr-FR"/>
        </w:rPr>
        <w:t xml:space="preserve">l. </w:t>
      </w:r>
      <w:r w:rsidRPr="00AC7730">
        <w:rPr>
          <w:rFonts w:cs="Arial"/>
          <w:lang w:val="fr-FR"/>
        </w:rPr>
        <w:t xml:space="preserve">2025). De plus, ces déclins se sont produits au cours des 30 dernières années, soit l’équivalent d’une à deux générations de ces espèces à croissance lente, et se sont accentués au cours de la dernière décennie, malgré les protections nationales, régionales et internationales. </w:t>
      </w:r>
    </w:p>
    <w:p w14:paraId="7E49031D" w14:textId="77777777" w:rsidR="00E42EB4" w:rsidRPr="00AC7730" w:rsidRDefault="00E42EB4">
      <w:pPr>
        <w:spacing w:after="0" w:line="240" w:lineRule="auto"/>
        <w:jc w:val="both"/>
        <w:rPr>
          <w:rFonts w:cs="Arial"/>
          <w:lang w:val="fr-FR"/>
        </w:rPr>
      </w:pPr>
    </w:p>
    <w:p w14:paraId="52096DDD" w14:textId="77777777" w:rsidR="00E42EB4" w:rsidRPr="00AC7730" w:rsidRDefault="004C1ADE">
      <w:pPr>
        <w:spacing w:after="0" w:line="240" w:lineRule="auto"/>
        <w:jc w:val="both"/>
        <w:rPr>
          <w:rFonts w:cs="Arial"/>
          <w:lang w:val="fr-FR"/>
        </w:rPr>
      </w:pPr>
      <w:r w:rsidRPr="00AC7730">
        <w:rPr>
          <w:rFonts w:cs="Arial"/>
          <w:lang w:val="fr-FR"/>
        </w:rPr>
        <w:t xml:space="preserve">Au cours de la dernière décennie, toutes les espèces de raies </w:t>
      </w:r>
      <w:proofErr w:type="spellStart"/>
      <w:r w:rsidRPr="00AC7730">
        <w:rPr>
          <w:rFonts w:cs="Arial"/>
          <w:lang w:val="fr-FR"/>
        </w:rPr>
        <w:t>manta</w:t>
      </w:r>
      <w:proofErr w:type="spellEnd"/>
      <w:r w:rsidRPr="00AC7730">
        <w:rPr>
          <w:rFonts w:cs="Arial"/>
          <w:lang w:val="fr-FR"/>
        </w:rPr>
        <w:t xml:space="preserve"> et diable ont été incluses dans les catégories menacées de la Liste rouge de l'Union internationale pour la conservation de la nature (UICN) et continuent de voir leur statut de menace se dégrader. Les trois raies diable océaniques (</w:t>
      </w:r>
      <w:r w:rsidRPr="00AC7730">
        <w:rPr>
          <w:rFonts w:cs="Arial"/>
          <w:i/>
          <w:iCs/>
          <w:lang w:val="fr-FR"/>
        </w:rPr>
        <w:t xml:space="preserve">M. </w:t>
      </w:r>
      <w:proofErr w:type="spellStart"/>
      <w:r w:rsidRPr="00AC7730">
        <w:rPr>
          <w:rFonts w:cs="Arial"/>
          <w:i/>
          <w:iCs/>
          <w:lang w:val="fr-FR"/>
        </w:rPr>
        <w:t>tarapacana</w:t>
      </w:r>
      <w:proofErr w:type="spellEnd"/>
      <w:r w:rsidRPr="00AC7730">
        <w:rPr>
          <w:rFonts w:cs="Arial"/>
          <w:lang w:val="fr-FR"/>
        </w:rPr>
        <w:t xml:space="preserve">, </w:t>
      </w:r>
      <w:r w:rsidRPr="00AC7730">
        <w:rPr>
          <w:rFonts w:cs="Arial"/>
          <w:i/>
          <w:iCs/>
          <w:lang w:val="fr-FR"/>
        </w:rPr>
        <w:t>M. mobular</w:t>
      </w:r>
      <w:r w:rsidRPr="00AC7730">
        <w:rPr>
          <w:rFonts w:cs="Arial"/>
          <w:lang w:val="fr-FR"/>
        </w:rPr>
        <w:t xml:space="preserve">, et </w:t>
      </w:r>
      <w:r w:rsidRPr="00AC7730">
        <w:rPr>
          <w:rFonts w:cs="Arial"/>
          <w:i/>
          <w:iCs/>
          <w:lang w:val="fr-FR"/>
        </w:rPr>
        <w:t xml:space="preserve">M. </w:t>
      </w:r>
      <w:proofErr w:type="spellStart"/>
      <w:r w:rsidRPr="00AC7730">
        <w:rPr>
          <w:rFonts w:cs="Arial"/>
          <w:i/>
          <w:iCs/>
          <w:lang w:val="fr-FR"/>
        </w:rPr>
        <w:t>thurstoni</w:t>
      </w:r>
      <w:proofErr w:type="spellEnd"/>
      <w:r w:rsidRPr="00AC7730">
        <w:rPr>
          <w:rFonts w:cs="Arial"/>
          <w:lang w:val="fr-FR"/>
        </w:rPr>
        <w:t xml:space="preserve">) ont été réévaluées en 2025 et </w:t>
      </w:r>
      <w:proofErr w:type="spellStart"/>
      <w:r w:rsidRPr="00AC7730">
        <w:rPr>
          <w:rFonts w:cs="Arial"/>
          <w:lang w:val="fr-FR"/>
        </w:rPr>
        <w:t>et</w:t>
      </w:r>
      <w:proofErr w:type="spellEnd"/>
      <w:r w:rsidRPr="00AC7730">
        <w:rPr>
          <w:rFonts w:cs="Arial"/>
          <w:lang w:val="fr-FR"/>
        </w:rPr>
        <w:t xml:space="preserve"> sont toutes désormais classées « En danger critique », la dernière catégorie avant « Éteint à l’état sauvage ».</w:t>
      </w:r>
    </w:p>
    <w:p w14:paraId="4EC89AB7" w14:textId="77777777" w:rsidR="00E42EB4" w:rsidRPr="00AC7730" w:rsidRDefault="00E42EB4">
      <w:pPr>
        <w:spacing w:after="0" w:line="240" w:lineRule="auto"/>
        <w:jc w:val="both"/>
        <w:rPr>
          <w:rFonts w:cs="Arial"/>
          <w:lang w:val="fr-FR"/>
        </w:rPr>
      </w:pPr>
    </w:p>
    <w:p w14:paraId="00E439BF" w14:textId="51D39102" w:rsidR="00E42EB4" w:rsidRPr="00AC7730" w:rsidRDefault="004C1ADE">
      <w:pPr>
        <w:spacing w:after="0" w:line="240" w:lineRule="auto"/>
        <w:jc w:val="both"/>
        <w:rPr>
          <w:rFonts w:eastAsia="MS Mincho" w:cs="Arial"/>
          <w:lang w:val="fr-FR" w:eastAsia="en-GB"/>
        </w:rPr>
      </w:pPr>
      <w:r w:rsidRPr="00AC7730">
        <w:rPr>
          <w:rFonts w:cs="Arial"/>
          <w:lang w:val="fr-FR"/>
        </w:rPr>
        <w:t xml:space="preserve">Malgré ces déclins liés à la surpêche, le problème de l’arrêt de la mortalité liée à la pêche est complexe et implique de travailler avec les communautés locales. </w:t>
      </w:r>
      <w:r w:rsidRPr="00AC7730">
        <w:rPr>
          <w:rFonts w:eastAsia="MS Mincho" w:cs="Arial"/>
          <w:lang w:val="fr-FR" w:eastAsia="en-GB"/>
        </w:rPr>
        <w:t xml:space="preserve">Pour les communautés de pêcheurs, en particulier les pêcheurs artisanaux,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peuvent représenter une part importante de leurs revenus. Ces raies sont souvent capturées à l'aide d'engins non sélectifs dans le cadre de pêcheries </w:t>
      </w:r>
      <w:proofErr w:type="spellStart"/>
      <w:r w:rsidRPr="00AC7730">
        <w:rPr>
          <w:rFonts w:eastAsia="MS Mincho" w:cs="Arial"/>
          <w:lang w:val="fr-FR" w:eastAsia="en-GB"/>
        </w:rPr>
        <w:t>multispécifiques</w:t>
      </w:r>
      <w:proofErr w:type="spellEnd"/>
      <w:r w:rsidRPr="00AC7730">
        <w:rPr>
          <w:rFonts w:eastAsia="MS Mincho" w:cs="Arial"/>
          <w:lang w:val="fr-FR" w:eastAsia="en-GB"/>
        </w:rPr>
        <w:t>. Les communautés de pêche à petite échelle se trouvent souvent dans les secteurs les plus pauvres de leur pays et disposent de peu de capacités pour absorber une perte soudaine de revenus. Sans coopération avec les communautés concernées en tant que partenaires et sans garantir un soutien avant la mise en œuvre des stratégies de conservation, ces stratégies sont souvent inefficaces.</w:t>
      </w:r>
    </w:p>
    <w:p w14:paraId="4E881101" w14:textId="77777777" w:rsidR="00E42EB4" w:rsidRPr="00AC7730" w:rsidRDefault="00E42EB4">
      <w:pPr>
        <w:autoSpaceDN w:val="0"/>
        <w:spacing w:after="0" w:line="240" w:lineRule="auto"/>
        <w:jc w:val="both"/>
        <w:textAlignment w:val="baseline"/>
        <w:rPr>
          <w:rFonts w:eastAsia="MS Mincho" w:cs="Arial"/>
          <w:b/>
          <w:lang w:val="fr-FR" w:eastAsia="ja-JP"/>
        </w:rPr>
      </w:pPr>
    </w:p>
    <w:p w14:paraId="55012B2E"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ja-JP"/>
        </w:rPr>
      </w:pPr>
      <w:r w:rsidRPr="00AC7730">
        <w:rPr>
          <w:rFonts w:eastAsia="MS Mincho" w:cs="Arial"/>
          <w:b/>
          <w:lang w:val="fr-FR" w:eastAsia="ja-JP"/>
        </w:rPr>
        <w:t>Pertinence</w:t>
      </w:r>
    </w:p>
    <w:p w14:paraId="28E26485" w14:textId="77777777" w:rsidR="00E42EB4" w:rsidRPr="00AC7730" w:rsidRDefault="00E42EB4">
      <w:pPr>
        <w:spacing w:after="0" w:line="240" w:lineRule="auto"/>
        <w:jc w:val="both"/>
        <w:rPr>
          <w:rFonts w:eastAsia="MS Mincho" w:cs="Arial"/>
          <w:lang w:val="fr-FR" w:eastAsia="en-GB"/>
        </w:rPr>
      </w:pPr>
    </w:p>
    <w:p w14:paraId="10370FDF" w14:textId="77777777" w:rsidR="00E42EB4" w:rsidRPr="00AC7730" w:rsidRDefault="004C1ADE">
      <w:pPr>
        <w:spacing w:after="0" w:line="240" w:lineRule="auto"/>
        <w:jc w:val="both"/>
        <w:rPr>
          <w:rFonts w:eastAsia="MS Mincho" w:cs="Arial"/>
          <w:lang w:val="fr-FR" w:eastAsia="en-GB"/>
        </w:rPr>
      </w:pPr>
      <w:r w:rsidRPr="00AC7730">
        <w:rPr>
          <w:rFonts w:eastAsia="MS Mincho" w:cs="Arial"/>
          <w:lang w:val="fr-FR" w:eastAsia="en-GB"/>
        </w:rPr>
        <w:t xml:space="preserve">Les Parties qui sont États de l'aire de répartition des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inscrites aux Annexes I et II de la Convention sur la conservation des espèces migratrices appartenant à la faune sauvage, s’engagent, dans le cadre de la Convention sur la conservation des espèces migratrices appartenant à la faune sauvage, à protéger strictement cette famille de raies en interdisant leur capture, avec une portée très limitée pour les exceptions. Cependant, la sensibilisation du public et des pêcheurs au statut menacé des raies </w:t>
      </w:r>
      <w:proofErr w:type="spellStart"/>
      <w:r w:rsidRPr="00AC7730">
        <w:rPr>
          <w:rFonts w:eastAsia="MS Mincho" w:cs="Arial"/>
          <w:lang w:val="fr-FR" w:eastAsia="en-GB"/>
        </w:rPr>
        <w:t>mobulidées</w:t>
      </w:r>
      <w:proofErr w:type="spellEnd"/>
      <w:r w:rsidRPr="00AC7730">
        <w:rPr>
          <w:rFonts w:eastAsia="MS Mincho" w:cs="Arial"/>
          <w:lang w:val="fr-FR" w:eastAsia="en-GB"/>
        </w:rPr>
        <w:t xml:space="preserve"> est généralement faible. </w:t>
      </w:r>
    </w:p>
    <w:p w14:paraId="2B68916A" w14:textId="77777777" w:rsidR="00E42EB4" w:rsidRPr="00AC7730" w:rsidRDefault="00E42EB4">
      <w:pPr>
        <w:spacing w:after="0" w:line="240" w:lineRule="auto"/>
        <w:jc w:val="both"/>
        <w:rPr>
          <w:rFonts w:eastAsia="MS Mincho" w:cs="Arial"/>
          <w:lang w:val="fr-FR" w:eastAsia="en-GB"/>
        </w:rPr>
      </w:pPr>
    </w:p>
    <w:p w14:paraId="659F5A36" w14:textId="77777777" w:rsidR="00E42EB4" w:rsidRPr="00AC7730" w:rsidRDefault="004C1ADE">
      <w:pPr>
        <w:spacing w:after="0" w:line="240" w:lineRule="auto"/>
        <w:jc w:val="both"/>
        <w:rPr>
          <w:rFonts w:eastAsia="MS Mincho" w:cs="Arial"/>
          <w:lang w:val="fr-FR" w:eastAsia="en-GB"/>
        </w:rPr>
      </w:pPr>
      <w:r w:rsidRPr="00AC7730">
        <w:rPr>
          <w:rFonts w:eastAsia="MS Mincho" w:cs="Arial"/>
          <w:lang w:val="fr-FR" w:eastAsia="en-GB"/>
        </w:rPr>
        <w:t xml:space="preserve">Sur 99 les États de l'aire de répartition des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76 sont Parties à la Convention sur la conservation des espèces migratrices appartenant à la faune sauvage. Parmi eux, seulement 36 disposent d’une législation nationale de protection. Cela signifie que plus de la moitié des États de l'aire de répartition Parties ne disposent d’aucune législation nationale pour protéger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w:t>
      </w:r>
    </w:p>
    <w:p w14:paraId="2D54A721" w14:textId="77777777" w:rsidR="00E42EB4" w:rsidRPr="00AC7730" w:rsidRDefault="00E42EB4">
      <w:pPr>
        <w:spacing w:after="0" w:line="240" w:lineRule="auto"/>
        <w:jc w:val="both"/>
        <w:rPr>
          <w:rFonts w:eastAsia="MS Mincho" w:cs="Arial"/>
          <w:lang w:val="fr-FR" w:eastAsia="en-GB"/>
        </w:rPr>
      </w:pPr>
    </w:p>
    <w:p w14:paraId="239C6AD7" w14:textId="77777777" w:rsidR="00E42EB4" w:rsidRPr="00AC7730" w:rsidRDefault="004C1ADE">
      <w:pPr>
        <w:spacing w:after="0" w:line="240" w:lineRule="auto"/>
        <w:jc w:val="both"/>
        <w:rPr>
          <w:rFonts w:eastAsia="MS Mincho" w:cs="Arial"/>
          <w:lang w:val="fr-FR" w:eastAsia="en-GB"/>
        </w:rPr>
      </w:pPr>
      <w:r w:rsidRPr="00AC7730">
        <w:rPr>
          <w:rFonts w:eastAsia="MS Mincho" w:cs="Arial"/>
          <w:lang w:val="fr-FR" w:eastAsia="en-GB"/>
        </w:rPr>
        <w:t xml:space="preserve">L’application de la loi doit être améliorée dans les pays disposant d’une législation de protection mais où la pêche encore pratiquée. De plus, le soutien aux communautés pour le développement de moyens de subsistance alternatifs fait défaut, même dans les endroits où des mesures de protection ont été établies, ce qui remet en question l’efficacité et le respect de ces mesures. </w:t>
      </w:r>
    </w:p>
    <w:p w14:paraId="42BB8961" w14:textId="77777777" w:rsidR="00E42EB4" w:rsidRPr="00AC7730" w:rsidRDefault="00E42EB4">
      <w:pPr>
        <w:spacing w:after="0" w:line="240" w:lineRule="auto"/>
        <w:jc w:val="both"/>
        <w:rPr>
          <w:rFonts w:eastAsia="Arial" w:cs="Arial"/>
          <w:lang w:val="fr-FR"/>
        </w:rPr>
      </w:pPr>
    </w:p>
    <w:p w14:paraId="2F922ED2" w14:textId="77777777" w:rsidR="00E42EB4" w:rsidRPr="00AC7730" w:rsidRDefault="004C1ADE">
      <w:pPr>
        <w:spacing w:after="0" w:line="240" w:lineRule="auto"/>
        <w:jc w:val="both"/>
        <w:rPr>
          <w:rFonts w:eastAsia="Arial" w:cs="Arial"/>
          <w:lang w:val="fr-FR"/>
        </w:rPr>
      </w:pPr>
      <w:r w:rsidRPr="00AC7730">
        <w:rPr>
          <w:rFonts w:eastAsia="Arial" w:cs="Arial"/>
          <w:lang w:val="fr-FR"/>
        </w:rPr>
        <w:t xml:space="preserve">Les données de base nécessaires pour évaluer la structure des populations font défaut pour la plupart des espèces de raies </w:t>
      </w:r>
      <w:proofErr w:type="spellStart"/>
      <w:r w:rsidRPr="00AC7730">
        <w:rPr>
          <w:rFonts w:eastAsia="Arial" w:cs="Arial"/>
          <w:lang w:val="fr-FR"/>
        </w:rPr>
        <w:t>manta</w:t>
      </w:r>
      <w:proofErr w:type="spellEnd"/>
      <w:r w:rsidRPr="00AC7730">
        <w:rPr>
          <w:rFonts w:eastAsia="Arial" w:cs="Arial"/>
          <w:lang w:val="fr-FR"/>
        </w:rPr>
        <w:t xml:space="preserve"> et diable dans l’ensemble de leur aire de répartition. Certaines études génétiques et de photo-identification indiquent que certaines espèces (par exemple </w:t>
      </w:r>
      <w:r w:rsidRPr="00AC7730">
        <w:rPr>
          <w:rFonts w:eastAsia="Arial" w:cs="Arial"/>
          <w:i/>
          <w:lang w:val="fr-FR"/>
        </w:rPr>
        <w:t xml:space="preserve">M. </w:t>
      </w:r>
      <w:proofErr w:type="spellStart"/>
      <w:r w:rsidRPr="00AC7730">
        <w:rPr>
          <w:rFonts w:eastAsia="Arial" w:cs="Arial"/>
          <w:i/>
          <w:lang w:val="fr-FR"/>
        </w:rPr>
        <w:t>alfredi</w:t>
      </w:r>
      <w:proofErr w:type="spellEnd"/>
      <w:r w:rsidRPr="00AC7730">
        <w:rPr>
          <w:rFonts w:eastAsia="Arial" w:cs="Arial"/>
          <w:lang w:val="fr-FR"/>
        </w:rPr>
        <w:t>) présentent des populations de petite taille et fortement fragmentées (Kashiwagi et al., 2014 ; Humble et al., 2023). En conséquence, la pêche peut rapidement épuiser des sous-populations, dont le rétablissement est fortement limité par leurs caractéristiques biologiques conservatrices.</w:t>
      </w:r>
    </w:p>
    <w:p w14:paraId="161B0D4D" w14:textId="77777777" w:rsidR="00E42EB4" w:rsidRPr="00AC7730" w:rsidRDefault="00E42EB4">
      <w:pPr>
        <w:spacing w:after="0" w:line="240" w:lineRule="auto"/>
        <w:jc w:val="both"/>
        <w:rPr>
          <w:rFonts w:eastAsia="Arial" w:cs="Arial"/>
          <w:lang w:val="fr-FR"/>
        </w:rPr>
      </w:pPr>
    </w:p>
    <w:p w14:paraId="26DA02BD" w14:textId="77777777" w:rsidR="00E42EB4" w:rsidRPr="00AC7730" w:rsidRDefault="004C1ADE">
      <w:pPr>
        <w:spacing w:after="0" w:line="240" w:lineRule="auto"/>
        <w:jc w:val="both"/>
        <w:rPr>
          <w:rFonts w:eastAsia="Arial" w:cs="Arial"/>
          <w:lang w:val="fr-FR"/>
        </w:rPr>
      </w:pPr>
      <w:r w:rsidRPr="00AC7730">
        <w:rPr>
          <w:rFonts w:eastAsia="Arial" w:cs="Arial"/>
          <w:lang w:val="fr-FR"/>
        </w:rPr>
        <w:lastRenderedPageBreak/>
        <w:t xml:space="preserve">Les </w:t>
      </w:r>
      <w:proofErr w:type="spellStart"/>
      <w:r w:rsidRPr="00AC7730">
        <w:rPr>
          <w:rFonts w:eastAsia="Arial" w:cs="Arial"/>
          <w:lang w:val="fr-FR"/>
        </w:rPr>
        <w:t>raiesmanta</w:t>
      </w:r>
      <w:proofErr w:type="spellEnd"/>
      <w:r w:rsidRPr="00AC7730">
        <w:rPr>
          <w:rFonts w:eastAsia="Arial" w:cs="Arial"/>
          <w:lang w:val="fr-FR"/>
        </w:rPr>
        <w:t xml:space="preserve"> et diable effectuent d'importantes migrations (&gt;des milliers de kilomètres) à travers de vastes zones géographiques et entre les eaux océaniques et côtières (Jaine et al. 2014 ; Francis &amp; Jones 2016 ; </w:t>
      </w:r>
      <w:proofErr w:type="spellStart"/>
      <w:r w:rsidRPr="00AC7730">
        <w:rPr>
          <w:rFonts w:eastAsia="Arial" w:cs="Arial"/>
          <w:lang w:val="fr-FR"/>
        </w:rPr>
        <w:t>Aruaz</w:t>
      </w:r>
      <w:proofErr w:type="spellEnd"/>
      <w:r w:rsidRPr="00AC7730">
        <w:rPr>
          <w:rFonts w:eastAsia="Arial" w:cs="Arial"/>
          <w:lang w:val="fr-FR"/>
        </w:rPr>
        <w:t xml:space="preserve"> et al. 2019). Par exemple, les données de marquage par satellite de la </w:t>
      </w:r>
      <w:r w:rsidRPr="00AC7730">
        <w:rPr>
          <w:rFonts w:eastAsia="Arial" w:cs="Arial"/>
          <w:i/>
          <w:lang w:val="fr-FR"/>
        </w:rPr>
        <w:t xml:space="preserve">M. </w:t>
      </w:r>
      <w:proofErr w:type="spellStart"/>
      <w:r w:rsidRPr="00AC7730">
        <w:rPr>
          <w:rFonts w:eastAsia="Arial" w:cs="Arial"/>
          <w:i/>
          <w:lang w:val="fr-FR"/>
        </w:rPr>
        <w:t>tarapacana</w:t>
      </w:r>
      <w:proofErr w:type="spellEnd"/>
      <w:r w:rsidRPr="00AC7730">
        <w:rPr>
          <w:rFonts w:eastAsia="Arial" w:cs="Arial"/>
          <w:lang w:val="fr-FR"/>
        </w:rPr>
        <w:t xml:space="preserve"> ont montré des déplacements linéaires allant jusqu'à 3 800 km sur plusieurs mois (</w:t>
      </w:r>
      <w:proofErr w:type="spellStart"/>
      <w:r w:rsidRPr="00AC7730">
        <w:rPr>
          <w:rFonts w:eastAsia="Arial" w:cs="Arial"/>
          <w:lang w:val="fr-FR"/>
        </w:rPr>
        <w:t>Thorrold</w:t>
      </w:r>
      <w:proofErr w:type="spellEnd"/>
      <w:r w:rsidRPr="00AC7730">
        <w:rPr>
          <w:rFonts w:eastAsia="Arial" w:cs="Arial"/>
          <w:lang w:val="fr-FR"/>
        </w:rPr>
        <w:t xml:space="preserve"> </w:t>
      </w:r>
      <w:r w:rsidRPr="00AC7730">
        <w:rPr>
          <w:rFonts w:eastAsia="Arial" w:cs="Arial"/>
          <w:i/>
          <w:lang w:val="fr-FR"/>
        </w:rPr>
        <w:t>et al.</w:t>
      </w:r>
      <w:r w:rsidRPr="00AC7730">
        <w:rPr>
          <w:rFonts w:eastAsia="Arial" w:cs="Arial"/>
          <w:lang w:val="fr-FR"/>
        </w:rPr>
        <w:t xml:space="preserve"> 2014), tandis que les </w:t>
      </w:r>
      <w:r w:rsidRPr="00AC7730">
        <w:rPr>
          <w:rFonts w:eastAsia="Arial" w:cs="Arial"/>
          <w:i/>
          <w:lang w:val="fr-FR"/>
        </w:rPr>
        <w:t>M. mobular</w:t>
      </w:r>
      <w:r w:rsidRPr="00AC7730">
        <w:rPr>
          <w:rFonts w:eastAsia="Arial" w:cs="Arial"/>
          <w:lang w:val="fr-FR"/>
        </w:rPr>
        <w:t xml:space="preserve"> suivies ont parcouru 1 400 à 1 800 km, traversant des eaux tropicales et subtropicales oligotrophes (Francis &amp; Jones 2016). La </w:t>
      </w:r>
      <w:proofErr w:type="spellStart"/>
      <w:r w:rsidRPr="00AC7730">
        <w:rPr>
          <w:rFonts w:eastAsia="Arial" w:cs="Arial"/>
          <w:i/>
          <w:lang w:val="fr-FR"/>
        </w:rPr>
        <w:t>Mobula</w:t>
      </w:r>
      <w:proofErr w:type="spellEnd"/>
      <w:r w:rsidRPr="00AC7730">
        <w:rPr>
          <w:rFonts w:eastAsia="Arial" w:cs="Arial"/>
          <w:i/>
          <w:lang w:val="fr-FR"/>
        </w:rPr>
        <w:t xml:space="preserve"> </w:t>
      </w:r>
      <w:proofErr w:type="spellStart"/>
      <w:r w:rsidRPr="00AC7730">
        <w:rPr>
          <w:rFonts w:eastAsia="Arial" w:cs="Arial"/>
          <w:i/>
          <w:lang w:val="fr-FR"/>
        </w:rPr>
        <w:t>alfredi</w:t>
      </w:r>
      <w:proofErr w:type="spellEnd"/>
      <w:r w:rsidRPr="00AC7730">
        <w:rPr>
          <w:rFonts w:eastAsia="Arial" w:cs="Arial"/>
          <w:lang w:val="fr-FR"/>
        </w:rPr>
        <w:t xml:space="preserve"> aux Maldives parcourt régulièrement des centaines de kilomètres entre les sites d'agrégation saisonniers (Harris &amp; Stevens 2021), et </w:t>
      </w:r>
      <w:proofErr w:type="spellStart"/>
      <w:r w:rsidRPr="00AC7730">
        <w:rPr>
          <w:rFonts w:eastAsia="Arial" w:cs="Arial"/>
          <w:lang w:val="fr-FR"/>
        </w:rPr>
        <w:t>et</w:t>
      </w:r>
      <w:proofErr w:type="spellEnd"/>
      <w:r w:rsidRPr="00AC7730">
        <w:rPr>
          <w:rFonts w:eastAsia="Arial" w:cs="Arial"/>
          <w:lang w:val="fr-FR"/>
        </w:rPr>
        <w:t xml:space="preserve"> plus de 500 km à l’échelle transnationale entre des sites au Mozambique et en Afrique du Sud (Marshall et al., 2023). </w:t>
      </w:r>
    </w:p>
    <w:p w14:paraId="14A7D63E" w14:textId="77777777" w:rsidR="00E42EB4" w:rsidRPr="00AC7730" w:rsidRDefault="00E42EB4">
      <w:pPr>
        <w:spacing w:after="0" w:line="240" w:lineRule="auto"/>
        <w:jc w:val="both"/>
        <w:rPr>
          <w:rFonts w:eastAsia="Arial" w:cs="Arial"/>
          <w:lang w:val="fr-FR"/>
        </w:rPr>
      </w:pPr>
    </w:p>
    <w:p w14:paraId="05D2CA3D" w14:textId="77777777" w:rsidR="00E42EB4" w:rsidRPr="00AC7730" w:rsidRDefault="004C1ADE">
      <w:pPr>
        <w:spacing w:after="0" w:line="240" w:lineRule="auto"/>
        <w:jc w:val="both"/>
        <w:rPr>
          <w:rFonts w:eastAsia="Arial" w:cs="Arial"/>
          <w:lang w:val="fr-FR"/>
        </w:rPr>
      </w:pPr>
      <w:r w:rsidRPr="00AC7730">
        <w:rPr>
          <w:rFonts w:eastAsia="Arial" w:cs="Arial"/>
          <w:lang w:val="fr-FR"/>
        </w:rPr>
        <w:t xml:space="preserve">Les raies </w:t>
      </w:r>
      <w:proofErr w:type="spellStart"/>
      <w:r w:rsidRPr="00AC7730">
        <w:rPr>
          <w:rFonts w:eastAsia="Arial" w:cs="Arial"/>
          <w:lang w:val="fr-FR"/>
        </w:rPr>
        <w:t>manta</w:t>
      </w:r>
      <w:proofErr w:type="spellEnd"/>
      <w:r w:rsidRPr="00AC7730">
        <w:rPr>
          <w:rFonts w:eastAsia="Arial" w:cs="Arial"/>
          <w:lang w:val="fr-FR"/>
        </w:rPr>
        <w:t xml:space="preserve"> et diable ont été observées formant des agrégations saisonnières de tailles très variables à travers le monde, allant de quelques individus à plusieurs dizaines de milliers (Palacios et al., 2023 ; Stevens et al., 2025). Ce comportement migratoire, combiné à des agrégations prévisibles dans des zones facilement accessibles, les rend vulnérables aux pêcheries côtières et hauturières (Couturier et al., 2012 ; Croll et al., 2012). Dans certains cas, des centaines de raies </w:t>
      </w:r>
      <w:proofErr w:type="spellStart"/>
      <w:r w:rsidRPr="00AC7730">
        <w:rPr>
          <w:rFonts w:eastAsia="Arial" w:cs="Arial"/>
          <w:lang w:val="fr-FR"/>
        </w:rPr>
        <w:t>manta</w:t>
      </w:r>
      <w:proofErr w:type="spellEnd"/>
      <w:r w:rsidRPr="00AC7730">
        <w:rPr>
          <w:rFonts w:eastAsia="Arial" w:cs="Arial"/>
          <w:lang w:val="fr-FR"/>
        </w:rPr>
        <w:t xml:space="preserve"> et diable agrégées ont été capturées accidentellement lors d’un même événement de pêche (Lezama-Ochoa et al., 2019). Ce risque est accentué pour les raies diable, moins étudiées et moins protégées, qui ont tendance à s’agréger en très grand nombre (Palacios et al., 2023).</w:t>
      </w:r>
    </w:p>
    <w:p w14:paraId="02A5451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1958C01A"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lang w:val="fr-FR" w:eastAsia="ja-JP"/>
        </w:rPr>
      </w:pPr>
      <w:r w:rsidRPr="00AC7730">
        <w:rPr>
          <w:rFonts w:eastAsia="MS Mincho" w:cs="Arial"/>
          <w:lang w:val="fr-FR" w:eastAsia="en-GB"/>
        </w:rPr>
        <w:t xml:space="preserve">Toute initiative nationale de conservation visant à empêcher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de se rapprocher davantage de l'extinction a peu de chances de réussir si les animaux ne sont pas protégés pendant leurs migrations saisonnières dans, à travers les eaux d'autres États de l'aire de répartition, ainsi que dans les zones situées au-delà des juridictions nationales. En acceptant l’inscription à la Convention sur la conservation des espèces migratrices appartenant à la faune sauvage, les États de l'aire de répartition s’engagent également à conserver, et lorsque cela est approprié, restaurer leurs habitats, à prévenir, supprimer ou atténuer les obstacles à leur migration, et à contrôler les autres facteurs susceptibles de les mettre en danger. </w:t>
      </w:r>
    </w:p>
    <w:p w14:paraId="7CCE6E20"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b/>
          <w:lang w:val="fr-FR" w:eastAsia="ja-JP"/>
        </w:rPr>
      </w:pPr>
    </w:p>
    <w:p w14:paraId="1663B9D0"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ja-JP"/>
        </w:rPr>
      </w:pPr>
      <w:r w:rsidRPr="00AC7730">
        <w:rPr>
          <w:rFonts w:eastAsia="MS Mincho" w:cs="Arial"/>
          <w:b/>
          <w:lang w:val="fr-FR" w:eastAsia="ja-JP"/>
        </w:rPr>
        <w:t>Absence de solutions plus efficaces</w:t>
      </w:r>
    </w:p>
    <w:p w14:paraId="0ADC2187"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39FEFE07"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en-GB"/>
        </w:rPr>
        <w:t xml:space="preserve">Une approche stratégique et collaborative est indispensable pour franchir les prochaines étapes de la conservation des espèces migratrices telles que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diable (Lawson et al. 2017, Stewart et al. 2018, Palacios et al. 2024, </w:t>
      </w:r>
      <w:proofErr w:type="spellStart"/>
      <w:r w:rsidRPr="00AC7730">
        <w:rPr>
          <w:rFonts w:eastAsia="MS Mincho" w:cs="Arial"/>
          <w:lang w:val="fr-FR" w:eastAsia="en-GB"/>
        </w:rPr>
        <w:t>Laglbauer</w:t>
      </w:r>
      <w:proofErr w:type="spellEnd"/>
      <w:r w:rsidRPr="00AC7730">
        <w:rPr>
          <w:rFonts w:eastAsia="MS Mincho" w:cs="Arial"/>
          <w:lang w:val="fr-FR" w:eastAsia="en-GB"/>
        </w:rPr>
        <w:t xml:space="preserve"> et al. [en cours de révision]). À cette fin, il est essentiel que les Parties collaborent à l'élaboration et à la mise en œuvre d'activités, notamment la réduction de la mortalité par prises accessoires et le renforcement de l'application des lois de protection. Par ailleurs, la famille des </w:t>
      </w:r>
      <w:proofErr w:type="spellStart"/>
      <w:r w:rsidRPr="00AC7730">
        <w:rPr>
          <w:rFonts w:eastAsia="MS Mincho" w:cs="Arial"/>
          <w:lang w:val="fr-FR" w:eastAsia="en-GB"/>
        </w:rPr>
        <w:t>Mobulidae</w:t>
      </w:r>
      <w:proofErr w:type="spellEnd"/>
      <w:r w:rsidRPr="00AC7730">
        <w:rPr>
          <w:rFonts w:eastAsia="MS Mincho" w:cs="Arial"/>
          <w:lang w:val="fr-FR" w:eastAsia="en-GB"/>
        </w:rPr>
        <w:t xml:space="preserve"> fait l’objet d’une proposition d'inscription à l’Annexe I de la Convention sur le commerce international des espèces de faune et de flore sauvages menacées d'extinction, ce qui, en cas de succès, mettra fin à tout commerce international légal à des fins commerciales. La coopération dans le cadre de la Convention sur la conservation des espèces migratrices appartenant à la faune sauvage renforcera considérablement la capacité des Parties à la Convention sur la conservation des espèces migratrices appartenant à la faune sauvage à mettre en œuvre leurs obligations au titre de la Convention sur le commerce international des espèces de faune et de flore sauvages menacées d'extinction. </w:t>
      </w:r>
    </w:p>
    <w:p w14:paraId="06641F0C" w14:textId="77777777" w:rsidR="00E42EB4" w:rsidRPr="00AC7730" w:rsidRDefault="00E42EB4">
      <w:pPr>
        <w:spacing w:after="0" w:line="240" w:lineRule="auto"/>
        <w:jc w:val="both"/>
        <w:rPr>
          <w:rFonts w:eastAsia="MS Mincho" w:cs="Arial"/>
          <w:lang w:val="fr-FR" w:eastAsia="en-GB"/>
        </w:rPr>
      </w:pPr>
    </w:p>
    <w:p w14:paraId="4A07D44B" w14:textId="77777777" w:rsidR="00E42EB4" w:rsidRPr="00AC7730" w:rsidRDefault="004C1ADE">
      <w:pPr>
        <w:spacing w:after="0" w:line="240" w:lineRule="auto"/>
        <w:jc w:val="both"/>
        <w:rPr>
          <w:rFonts w:eastAsia="MS Mincho" w:cs="Arial"/>
          <w:lang w:val="fr-FR" w:eastAsia="en-GB"/>
        </w:rPr>
      </w:pPr>
      <w:r w:rsidRPr="00AC7730">
        <w:rPr>
          <w:rFonts w:eastAsia="MS Mincho" w:cs="Arial"/>
          <w:lang w:val="fr-FR" w:eastAsia="en-GB"/>
        </w:rPr>
        <w:t xml:space="preserve">Un meilleur suivi du respect des réglementations sur les pêcheries et débarquements de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permettrait également d’améliorer la capacité des pays prioritaires à faire appliquer les interdictions de rétention existantes des organisations régionales de gestion des pêches (ORGP-t). </w:t>
      </w:r>
    </w:p>
    <w:p w14:paraId="29681F48" w14:textId="77777777" w:rsidR="00E42EB4" w:rsidRPr="00AC7730" w:rsidRDefault="00E42EB4">
      <w:pPr>
        <w:spacing w:after="0" w:line="240" w:lineRule="auto"/>
        <w:jc w:val="both"/>
        <w:rPr>
          <w:rFonts w:eastAsia="MS Mincho" w:cs="Arial"/>
          <w:lang w:val="fr-FR" w:eastAsia="ja-JP"/>
        </w:rPr>
      </w:pPr>
    </w:p>
    <w:p w14:paraId="1A84E56D" w14:textId="77777777" w:rsidR="00E42EB4" w:rsidRPr="00AC7730" w:rsidRDefault="004C1ADE">
      <w:pPr>
        <w:spacing w:after="0" w:line="240" w:lineRule="auto"/>
        <w:jc w:val="both"/>
        <w:rPr>
          <w:rFonts w:eastAsia="MS Mincho" w:cs="Arial"/>
          <w:lang w:val="fr-FR" w:eastAsia="ja-JP"/>
        </w:rPr>
      </w:pPr>
      <w:r w:rsidRPr="00AC7730">
        <w:rPr>
          <w:rFonts w:eastAsia="MS Mincho" w:cs="Arial"/>
          <w:lang w:val="fr-FR" w:eastAsia="ja-JP"/>
        </w:rPr>
        <w:t xml:space="preserve">Au niveau mondial, au moins 44 pays ont mis en place des protections juridiques nationales pour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(voir annexe III). Parmi eux, 35 protègent toutes les espèces </w:t>
      </w:r>
      <w:r w:rsidRPr="00AC7730">
        <w:rPr>
          <w:rFonts w:eastAsia="MS Mincho" w:cs="Arial"/>
          <w:lang w:val="fr-FR" w:eastAsia="ja-JP"/>
        </w:rPr>
        <w:lastRenderedPageBreak/>
        <w:t xml:space="preserve">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présentes dans leur ZEE, soit par une législation spécifique aux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(28 pays), soit par la création de sanctuaires pour les requins et les raies (7 pays). Neuf pays protègent certaines espèces seulement (</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w:t>
      </w:r>
      <w:r w:rsidRPr="00AC7730">
        <w:rPr>
          <w:rFonts w:eastAsia="Arial" w:cs="Arial"/>
          <w:lang w:val="fr-FR"/>
        </w:rPr>
        <w:t>[en révision]</w:t>
      </w:r>
      <w:r w:rsidRPr="00AC7730">
        <w:rPr>
          <w:rFonts w:eastAsia="MS Mincho" w:cs="Arial"/>
          <w:lang w:val="fr-FR" w:eastAsia="ja-JP"/>
        </w:rPr>
        <w:t xml:space="preserve">). Les actions proposées devraient donc compléter ou renforcer l’efficacité de ces protections existantes. </w:t>
      </w:r>
    </w:p>
    <w:p w14:paraId="77623905"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ja-JP"/>
        </w:rPr>
      </w:pPr>
    </w:p>
    <w:p w14:paraId="0E327E63"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ja-JP"/>
        </w:rPr>
        <w:t xml:space="preserve">Malgré l’ensemble de ces mesures de protection aux niveaux national, régional et international, les populations de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continuent de décliner. </w:t>
      </w:r>
      <w:r w:rsidRPr="00AC7730">
        <w:rPr>
          <w:rFonts w:eastAsia="MS Mincho" w:cs="Arial"/>
          <w:lang w:val="fr-FR" w:eastAsia="en-GB"/>
        </w:rPr>
        <w:t>Le réseau de la Convention sur la conservation des espèces migratrices appartenant à la faune sauvage constitue la plateforme idéale pour renforcer la sensibilisation et favoriser la mise en œuvre des stratégies de conservation proposées par les récentes études mondiales sur les pêcheries (</w:t>
      </w:r>
      <w:proofErr w:type="spellStart"/>
      <w:r w:rsidRPr="00AC7730">
        <w:rPr>
          <w:rFonts w:eastAsia="MS Mincho" w:cs="Arial"/>
          <w:lang w:val="fr-FR" w:eastAsia="en-GB"/>
        </w:rPr>
        <w:t>Laglbauer</w:t>
      </w:r>
      <w:proofErr w:type="spellEnd"/>
      <w:r w:rsidRPr="00AC7730">
        <w:rPr>
          <w:rFonts w:eastAsia="MS Mincho" w:cs="Arial"/>
          <w:lang w:val="fr-FR" w:eastAsia="en-GB"/>
        </w:rPr>
        <w:t xml:space="preserve"> et al. </w:t>
      </w:r>
      <w:r w:rsidRPr="00AC7730">
        <w:rPr>
          <w:rFonts w:eastAsia="Arial" w:cs="Arial"/>
          <w:lang w:val="fr-FR"/>
        </w:rPr>
        <w:t>[en révision]</w:t>
      </w:r>
      <w:r w:rsidRPr="00AC7730">
        <w:rPr>
          <w:rFonts w:eastAsia="MS Mincho" w:cs="Arial"/>
          <w:lang w:val="fr-FR" w:eastAsia="en-GB"/>
        </w:rPr>
        <w:t xml:space="preserve">) et le commerce (Palacios et al., 2024) des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w:t>
      </w:r>
    </w:p>
    <w:p w14:paraId="42276253"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7BF3D321"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iCs/>
          <w:lang w:val="fr-FR" w:eastAsia="ja-JP"/>
        </w:rPr>
      </w:pPr>
      <w:r w:rsidRPr="00AC7730">
        <w:rPr>
          <w:rFonts w:eastAsia="MS Mincho" w:cs="Arial"/>
          <w:lang w:val="fr-FR" w:eastAsia="en-GB"/>
        </w:rPr>
        <w:t>Les partenaires de la Convention sur la conservation des espèces migratrices appartenant à la faune sauvage, tels que les ONG et les chercheurs engagés, pourront soutenir ces actions une fois que les gouvernements auront décidé d'aller de l'avant et de les adopter, grâce aux liens existants que la Convention de Bonn a créés.</w:t>
      </w:r>
    </w:p>
    <w:p w14:paraId="53F7960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iCs/>
          <w:lang w:val="fr-FR" w:eastAsia="ja-JP"/>
        </w:rPr>
      </w:pPr>
    </w:p>
    <w:p w14:paraId="5C4403FA"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État de préparation et faisabilité</w:t>
      </w:r>
    </w:p>
    <w:p w14:paraId="385981CF" w14:textId="77777777" w:rsidR="00E42EB4" w:rsidRPr="00AC7730" w:rsidRDefault="00E42EB4">
      <w:pPr>
        <w:spacing w:after="0" w:line="240" w:lineRule="auto"/>
        <w:jc w:val="both"/>
        <w:rPr>
          <w:rFonts w:cs="Arial"/>
          <w:lang w:val="fr-FR"/>
        </w:rPr>
      </w:pPr>
    </w:p>
    <w:p w14:paraId="5CD5C2EE" w14:textId="77777777" w:rsidR="00E42EB4" w:rsidRPr="00AC7730" w:rsidRDefault="004C1ADE">
      <w:pPr>
        <w:spacing w:after="0" w:line="240" w:lineRule="auto"/>
        <w:jc w:val="both"/>
        <w:rPr>
          <w:rFonts w:eastAsia="MS Mincho" w:cs="Arial"/>
          <w:lang w:val="fr-FR" w:eastAsia="ja-JP"/>
        </w:rPr>
      </w:pPr>
      <w:r w:rsidRPr="00AC7730">
        <w:rPr>
          <w:rFonts w:cs="Arial"/>
          <w:lang w:val="fr-FR"/>
        </w:rPr>
        <w:t xml:space="preserve">Une stratégie et un plan d’action mondiaux pour la conservation des raies </w:t>
      </w:r>
      <w:proofErr w:type="spellStart"/>
      <w:r w:rsidRPr="00AC7730">
        <w:rPr>
          <w:rFonts w:cs="Arial"/>
          <w:lang w:val="fr-FR"/>
        </w:rPr>
        <w:t>manta</w:t>
      </w:r>
      <w:proofErr w:type="spellEnd"/>
      <w:r w:rsidRPr="00AC7730">
        <w:rPr>
          <w:rFonts w:cs="Arial"/>
          <w:lang w:val="fr-FR"/>
        </w:rPr>
        <w:t xml:space="preserve"> et diable ont été publiés en 2017 (Lawson et al., 2017). En 2023, le Manta Trust a mis à jour cette </w:t>
      </w:r>
      <w:hyperlink r:id="rId32" w:history="1">
        <w:r w:rsidR="00E42EB4" w:rsidRPr="00AC7730">
          <w:rPr>
            <w:rStyle w:val="Hyperlink"/>
            <w:rFonts w:cs="Arial"/>
            <w:color w:val="auto"/>
            <w:lang w:val="fr-FR"/>
          </w:rPr>
          <w:t>stratégie et ce plan d’action mondiaux</w:t>
        </w:r>
      </w:hyperlink>
      <w:r w:rsidRPr="00AC7730">
        <w:rPr>
          <w:rFonts w:cs="Arial"/>
          <w:lang w:val="fr-FR"/>
        </w:rPr>
        <w:t xml:space="preserve"> (Manta Trust, 2023a) et a publié son </w:t>
      </w:r>
      <w:hyperlink r:id="rId33" w:history="1">
        <w:r w:rsidR="00E42EB4" w:rsidRPr="00AC7730">
          <w:rPr>
            <w:rStyle w:val="Hyperlink"/>
            <w:rFonts w:cs="Arial"/>
            <w:color w:val="auto"/>
            <w:lang w:val="fr-FR"/>
          </w:rPr>
          <w:t>plan quinquennal</w:t>
        </w:r>
      </w:hyperlink>
      <w:r w:rsidRPr="00AC7730">
        <w:rPr>
          <w:rFonts w:cs="Arial"/>
          <w:lang w:val="fr-FR"/>
        </w:rPr>
        <w:t xml:space="preserve"> (Manta Trust, 2023b) afin d’orienter les efforts nécessaires à sa mise en œuvre. Plus récemment, </w:t>
      </w:r>
      <w:r w:rsidRPr="00AC7730">
        <w:rPr>
          <w:rFonts w:eastAsia="MS Mincho" w:cs="Arial"/>
          <w:lang w:val="fr-FR" w:eastAsia="ja-JP"/>
        </w:rPr>
        <w:t xml:space="preserve">deux publications majeures (Palacios et al. 2024 ; </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w:t>
      </w:r>
      <w:r w:rsidRPr="00AC7730">
        <w:rPr>
          <w:rFonts w:eastAsia="Arial" w:cs="Arial"/>
          <w:lang w:val="fr-FR"/>
        </w:rPr>
        <w:t>[En Révision]</w:t>
      </w:r>
      <w:r w:rsidRPr="00AC7730">
        <w:rPr>
          <w:rFonts w:eastAsia="MS Mincho" w:cs="Arial"/>
          <w:lang w:val="fr-FR" w:eastAsia="ja-JP"/>
        </w:rPr>
        <w:t xml:space="preserve">) ont ouvert la voie aux futures priorités de conservation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en réalisant l'analyse la plus approfondie à ce jour des pêcheries et du commerce de ces espèces, en identifiant les principales actions de conservation pour stopper le déclin des populations, ainsi que les pays prioritaires où ces actions devraient être mises en œuvre. </w:t>
      </w:r>
    </w:p>
    <w:p w14:paraId="0FA41169" w14:textId="77777777" w:rsidR="00E42EB4" w:rsidRPr="00AC7730" w:rsidRDefault="00E42EB4">
      <w:pPr>
        <w:spacing w:after="0" w:line="240" w:lineRule="auto"/>
        <w:jc w:val="both"/>
        <w:rPr>
          <w:rFonts w:cs="Arial"/>
          <w:lang w:val="fr-FR"/>
        </w:rPr>
      </w:pPr>
    </w:p>
    <w:p w14:paraId="243CA0AB" w14:textId="77777777" w:rsidR="00E42EB4" w:rsidRPr="00AC7730" w:rsidRDefault="004C1ADE">
      <w:pPr>
        <w:spacing w:after="0" w:line="240" w:lineRule="auto"/>
        <w:jc w:val="both"/>
        <w:rPr>
          <w:rFonts w:eastAsia="MS Mincho" w:cs="Arial"/>
          <w:lang w:val="fr-FR" w:eastAsia="ja-JP"/>
        </w:rPr>
      </w:pPr>
      <w:r w:rsidRPr="00AC7730">
        <w:rPr>
          <w:rFonts w:cs="Arial"/>
          <w:lang w:val="fr-FR"/>
        </w:rPr>
        <w:t xml:space="preserve">Il existe un réseau d'ONG, de chercheurs et d'organisations communautaires engagés dans la conservation des raies </w:t>
      </w:r>
      <w:proofErr w:type="spellStart"/>
      <w:r w:rsidRPr="00AC7730">
        <w:rPr>
          <w:rFonts w:cs="Arial"/>
          <w:lang w:val="fr-FR"/>
        </w:rPr>
        <w:t>manta</w:t>
      </w:r>
      <w:proofErr w:type="spellEnd"/>
      <w:r w:rsidRPr="00AC7730">
        <w:rPr>
          <w:rFonts w:cs="Arial"/>
          <w:lang w:val="fr-FR"/>
        </w:rPr>
        <w:t xml:space="preserve"> et diable, prêts à aider les États de l'aire de répartition à développer, financer et mettre en œuvre des travaux collaboratifs, créant ainsi </w:t>
      </w:r>
      <w:r w:rsidRPr="00AC7730">
        <w:rPr>
          <w:rFonts w:eastAsia="MS Mincho" w:cs="Arial"/>
          <w:lang w:val="fr-FR" w:eastAsia="ja-JP"/>
        </w:rPr>
        <w:t>une base solide à partir de laquelle les États de l'aire de répartition peuvent mettre en œuvre les activités proposées. En outre, un appui sera sollicité auprès du Mémorandum d’entente sur la conservation des requins migrateurs (</w:t>
      </w:r>
      <w:proofErr w:type="spellStart"/>
      <w:r w:rsidRPr="00AC7730">
        <w:rPr>
          <w:rFonts w:eastAsia="MS Mincho" w:cs="Arial"/>
          <w:lang w:val="fr-FR" w:eastAsia="ja-JP"/>
        </w:rPr>
        <w:t>MdE</w:t>
      </w:r>
      <w:proofErr w:type="spellEnd"/>
      <w:r w:rsidRPr="00AC7730">
        <w:rPr>
          <w:rFonts w:eastAsia="MS Mincho" w:cs="Arial"/>
          <w:lang w:val="fr-FR" w:eastAsia="ja-JP"/>
        </w:rPr>
        <w:t xml:space="preserve"> requins) et de ses Partenaires coopératifs afin de soutenir le développement et la mise en œuvre des actions prévues. </w:t>
      </w:r>
    </w:p>
    <w:p w14:paraId="44EC8A73" w14:textId="77777777" w:rsidR="00E42EB4" w:rsidRPr="00AC7730" w:rsidRDefault="00E42EB4">
      <w:pPr>
        <w:spacing w:after="0" w:line="240" w:lineRule="auto"/>
        <w:jc w:val="both"/>
        <w:rPr>
          <w:rFonts w:eastAsia="MS Mincho" w:cs="Arial"/>
          <w:lang w:val="fr-FR" w:eastAsia="ja-JP"/>
        </w:rPr>
      </w:pPr>
    </w:p>
    <w:p w14:paraId="41883ECF" w14:textId="77777777" w:rsidR="00E42EB4" w:rsidRPr="00AC7730" w:rsidRDefault="004C1ADE">
      <w:pPr>
        <w:spacing w:after="0" w:line="240" w:lineRule="auto"/>
        <w:jc w:val="both"/>
        <w:rPr>
          <w:rFonts w:eastAsia="MS Mincho" w:cs="Arial"/>
          <w:lang w:val="fr-FR" w:eastAsia="ja-JP"/>
        </w:rPr>
      </w:pPr>
      <w:r w:rsidRPr="00AC7730">
        <w:rPr>
          <w:rFonts w:eastAsia="MS Mincho" w:cs="Arial"/>
          <w:lang w:val="fr-FR" w:eastAsia="ja-JP"/>
        </w:rPr>
        <w:t xml:space="preserve">À l’échelle mondiale, au moins 44 pays disposent déjà de mesures juridiques nationales protégeant les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ce qui signifie qu’un cadre politique est en place pour appuyer les actions proposées (voir Annexe III). </w:t>
      </w:r>
      <w:r w:rsidRPr="00AC7730">
        <w:rPr>
          <w:rFonts w:cs="Arial"/>
          <w:lang w:val="fr-FR"/>
        </w:rPr>
        <w:t xml:space="preserve">Dans la plupart de ces pays, un travail collaboratif est déjà mené avec des ONG et des scientifiques sur le terrain afin de soutenir les communautés concernées et faciliter la mise en œuvre des mesures. </w:t>
      </w:r>
      <w:r w:rsidRPr="00AC7730">
        <w:rPr>
          <w:rFonts w:eastAsia="MS Mincho" w:cs="Arial"/>
          <w:lang w:val="fr-FR" w:eastAsia="en-GB"/>
        </w:rPr>
        <w:t xml:space="preserve">Les fondations sont donc posées, mais il est nécessaire de renforcer la compréhension, la planification et le soutien des États de l'air de répartition pour aider les communautés à abandonner la pêche aux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w:t>
      </w:r>
    </w:p>
    <w:p w14:paraId="22DE6DA8" w14:textId="77777777" w:rsidR="00E42EB4" w:rsidRPr="00AC7730" w:rsidRDefault="00E42EB4">
      <w:pPr>
        <w:spacing w:after="0" w:line="240" w:lineRule="auto"/>
        <w:jc w:val="both"/>
        <w:rPr>
          <w:rFonts w:eastAsia="MS Mincho" w:cs="Arial"/>
          <w:lang w:val="fr-FR" w:eastAsia="ja-JP"/>
        </w:rPr>
      </w:pPr>
    </w:p>
    <w:p w14:paraId="4A21936F" w14:textId="77777777" w:rsidR="00E42EB4" w:rsidRPr="00AC7730" w:rsidRDefault="004C1ADE">
      <w:pPr>
        <w:spacing w:after="0" w:line="240" w:lineRule="auto"/>
        <w:jc w:val="both"/>
        <w:rPr>
          <w:rFonts w:eastAsia="MS Mincho" w:cs="Arial"/>
          <w:lang w:val="fr-FR" w:eastAsia="en-GB"/>
        </w:rPr>
      </w:pPr>
      <w:r w:rsidRPr="00AC7730">
        <w:rPr>
          <w:rFonts w:eastAsia="MS Mincho" w:cs="Arial"/>
          <w:lang w:val="fr-FR" w:eastAsia="ja-JP"/>
        </w:rPr>
        <w:t xml:space="preserve">En outre, les quatre Organisation Régionale de Gestion des Pêches thonières (ORGP-t) concernées ont adopté des résolutions </w:t>
      </w:r>
      <w:r w:rsidRPr="00AC7730">
        <w:rPr>
          <w:rFonts w:eastAsia="Arial" w:cs="Arial"/>
          <w:lang w:val="fr-FR"/>
        </w:rPr>
        <w:t xml:space="preserve">interdisant la détention à bord, le transbordement, le débarquement, le stockage, la vente ou l’offre à la vente, en tout ou en partie, de raies </w:t>
      </w:r>
      <w:proofErr w:type="spellStart"/>
      <w:r w:rsidRPr="00AC7730">
        <w:rPr>
          <w:rFonts w:eastAsia="Arial" w:cs="Arial"/>
          <w:lang w:val="fr-FR"/>
        </w:rPr>
        <w:t>manta</w:t>
      </w:r>
      <w:proofErr w:type="spellEnd"/>
      <w:r w:rsidRPr="00AC7730">
        <w:rPr>
          <w:rFonts w:eastAsia="Arial" w:cs="Arial"/>
          <w:lang w:val="fr-FR"/>
        </w:rPr>
        <w:t xml:space="preserve"> et diable capturées dans leurs zones (Stevens et al., 2025). Ces mesures offrent une opportunité pour la recherche, notamment pour la réalisation d’évaluations de stocks et pour la diffusion de mesures efficaces d'atténuation des prises accessoires</w:t>
      </w:r>
      <w:r w:rsidRPr="00AC7730">
        <w:rPr>
          <w:rFonts w:eastAsia="MS Mincho" w:cs="Arial"/>
          <w:lang w:val="fr-FR" w:eastAsia="en-GB"/>
        </w:rPr>
        <w:t>.</w:t>
      </w:r>
    </w:p>
    <w:p w14:paraId="0521D528" w14:textId="77777777" w:rsidR="00E42EB4" w:rsidRPr="00AC7730" w:rsidRDefault="00E42EB4">
      <w:pPr>
        <w:pBdr>
          <w:top w:val="nil"/>
          <w:left w:val="nil"/>
          <w:bottom w:val="nil"/>
          <w:right w:val="nil"/>
          <w:between w:val="nil"/>
        </w:pBdr>
        <w:spacing w:after="0" w:line="240" w:lineRule="auto"/>
        <w:jc w:val="both"/>
        <w:rPr>
          <w:rFonts w:eastAsia="Arial" w:cs="Arial"/>
          <w:lang w:val="fr-FR"/>
        </w:rPr>
      </w:pPr>
    </w:p>
    <w:p w14:paraId="7DFB0C1C" w14:textId="77777777" w:rsidR="00E42EB4" w:rsidRPr="00AC7730" w:rsidRDefault="004C1ADE">
      <w:pPr>
        <w:pBdr>
          <w:top w:val="nil"/>
          <w:left w:val="nil"/>
          <w:bottom w:val="nil"/>
          <w:right w:val="nil"/>
          <w:between w:val="nil"/>
        </w:pBdr>
        <w:spacing w:after="0" w:line="240" w:lineRule="auto"/>
        <w:jc w:val="both"/>
        <w:rPr>
          <w:rFonts w:eastAsia="Arial" w:cs="Arial"/>
          <w:lang w:val="fr-FR"/>
        </w:rPr>
      </w:pPr>
      <w:r w:rsidRPr="00AC7730">
        <w:rPr>
          <w:rFonts w:eastAsia="Arial" w:cs="Arial"/>
          <w:lang w:val="fr-FR"/>
        </w:rPr>
        <w:lastRenderedPageBreak/>
        <w:t xml:space="preserve">Une nouvelle version de </w:t>
      </w:r>
      <w:r w:rsidRPr="00AC7730">
        <w:rPr>
          <w:rFonts w:eastAsia="Arial" w:cs="Arial"/>
          <w:i/>
          <w:iCs/>
          <w:lang w:val="fr-FR"/>
        </w:rPr>
        <w:t>Field Guide to the Manta and Devil Rays of the World</w:t>
      </w:r>
      <w:r w:rsidRPr="00AC7730">
        <w:rPr>
          <w:rFonts w:eastAsia="Arial" w:cs="Arial"/>
          <w:lang w:val="fr-FR"/>
        </w:rPr>
        <w:t xml:space="preserve"> (Guide des raies </w:t>
      </w:r>
      <w:proofErr w:type="spellStart"/>
      <w:r w:rsidRPr="00AC7730">
        <w:rPr>
          <w:rFonts w:eastAsia="Arial" w:cs="Arial"/>
          <w:lang w:val="fr-FR"/>
        </w:rPr>
        <w:t>manta</w:t>
      </w:r>
      <w:proofErr w:type="spellEnd"/>
      <w:r w:rsidRPr="00AC7730">
        <w:rPr>
          <w:rFonts w:eastAsia="Arial" w:cs="Arial"/>
          <w:lang w:val="fr-FR"/>
        </w:rPr>
        <w:t xml:space="preserve"> et des raies diable du monde) a été publiée en 2025 (Stevens et al. 2025). Ce guide présente des fiches actualisées pour chaque espèce, les caractéristiques des lamelles branchiales et les clés d’identification, les traits distinctifs des espèces, les protocoles de collecte de données, les </w:t>
      </w:r>
      <w:hyperlink r:id="rId34" w:history="1">
        <w:r w:rsidR="00E42EB4" w:rsidRPr="00AC7730">
          <w:rPr>
            <w:rStyle w:val="Hyperlink"/>
            <w:rFonts w:eastAsia="Arial" w:cs="Arial"/>
            <w:color w:val="auto"/>
            <w:lang w:val="fr-FR"/>
          </w:rPr>
          <w:t>lignes directrices de manipulation et de remise à l’eau sûres</w:t>
        </w:r>
      </w:hyperlink>
      <w:r w:rsidRPr="00AC7730">
        <w:rPr>
          <w:rFonts w:eastAsia="Arial" w:cs="Arial"/>
          <w:lang w:val="fr-FR"/>
        </w:rPr>
        <w:t xml:space="preserve">, ainsi que des illustrations des changements de couleur post-mortem, et une révision de l'écologie, des lamelles branchiales, des menaces et des législations de protection. Le guide est disponible en quatre langues (anglais, espagnol, français et portugais) et constituera un outil précieux pour améliorer la collecte de données spécifiques à chaque espèce et renforcer l’application des législations de protection. </w:t>
      </w:r>
    </w:p>
    <w:p w14:paraId="230C914C" w14:textId="77777777" w:rsidR="00E42EB4" w:rsidRPr="00AC7730" w:rsidRDefault="00E42EB4">
      <w:pPr>
        <w:spacing w:after="0" w:line="240" w:lineRule="auto"/>
        <w:jc w:val="both"/>
        <w:rPr>
          <w:rFonts w:eastAsia="MS Mincho" w:cs="Arial"/>
          <w:lang w:val="fr-FR" w:eastAsia="ja-JP"/>
        </w:rPr>
      </w:pPr>
    </w:p>
    <w:p w14:paraId="342EE5A7" w14:textId="04580099" w:rsidR="00E42EB4" w:rsidRPr="00AC7730" w:rsidRDefault="004C1ADE">
      <w:pPr>
        <w:spacing w:after="0" w:line="240" w:lineRule="auto"/>
        <w:jc w:val="both"/>
        <w:rPr>
          <w:rFonts w:eastAsia="MS Mincho" w:cs="Arial"/>
          <w:lang w:val="fr-FR" w:eastAsia="ja-JP"/>
        </w:rPr>
      </w:pPr>
      <w:r w:rsidRPr="00AC7730">
        <w:rPr>
          <w:rFonts w:eastAsia="MS Mincho" w:cs="Arial"/>
          <w:lang w:val="fr-FR" w:eastAsia="ja-JP"/>
        </w:rPr>
        <w:t xml:space="preserve">Enfin, des organisations telles que The Manta Trust disposent d’un réseau établi de 31 projets affiliés à travers le monde, qui regroupe des initiatives nouvelles et existantes qui soutiennent la recherche et la conservation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 en tant que collectif. D'autres organisations, telles que la </w:t>
      </w:r>
      <w:proofErr w:type="spellStart"/>
      <w:r w:rsidRPr="00AC7730">
        <w:rPr>
          <w:rFonts w:eastAsia="MS Mincho" w:cs="Arial"/>
          <w:lang w:val="fr-FR" w:eastAsia="ja-JP"/>
        </w:rPr>
        <w:t>Wildlife</w:t>
      </w:r>
      <w:proofErr w:type="spellEnd"/>
      <w:r w:rsidRPr="00AC7730">
        <w:rPr>
          <w:rFonts w:eastAsia="MS Mincho" w:cs="Arial"/>
          <w:lang w:val="fr-FR" w:eastAsia="ja-JP"/>
        </w:rPr>
        <w:t xml:space="preserve"> Conservation Society et la Marine </w:t>
      </w:r>
      <w:proofErr w:type="spellStart"/>
      <w:r w:rsidRPr="00AC7730">
        <w:rPr>
          <w:rFonts w:eastAsia="MS Mincho" w:cs="Arial"/>
          <w:lang w:val="fr-FR" w:eastAsia="ja-JP"/>
        </w:rPr>
        <w:t>Megafauna</w:t>
      </w:r>
      <w:proofErr w:type="spellEnd"/>
      <w:r w:rsidRPr="00AC7730">
        <w:rPr>
          <w:rFonts w:eastAsia="MS Mincho" w:cs="Arial"/>
          <w:lang w:val="fr-FR" w:eastAsia="ja-JP"/>
        </w:rPr>
        <w:t xml:space="preserve"> </w:t>
      </w:r>
      <w:proofErr w:type="spellStart"/>
      <w:r w:rsidRPr="00AC7730">
        <w:rPr>
          <w:rFonts w:eastAsia="MS Mincho" w:cs="Arial"/>
          <w:lang w:val="fr-FR" w:eastAsia="ja-JP"/>
        </w:rPr>
        <w:t>Foundation</w:t>
      </w:r>
      <w:proofErr w:type="spellEnd"/>
      <w:r w:rsidRPr="00AC7730">
        <w:rPr>
          <w:rFonts w:eastAsia="MS Mincho" w:cs="Arial"/>
          <w:lang w:val="fr-FR" w:eastAsia="ja-JP"/>
        </w:rPr>
        <w:t xml:space="preserve">, disposent d'un réseau de professionnels dédiés qui travaillent dans le monde entier à la recherche et à la conservation des raies </w:t>
      </w:r>
      <w:proofErr w:type="spellStart"/>
      <w:r w:rsidRPr="00AC7730">
        <w:rPr>
          <w:rFonts w:eastAsia="MS Mincho" w:cs="Arial"/>
          <w:lang w:val="fr-FR" w:eastAsia="ja-JP"/>
        </w:rPr>
        <w:t>manta</w:t>
      </w:r>
      <w:proofErr w:type="spellEnd"/>
      <w:r w:rsidRPr="00AC7730">
        <w:rPr>
          <w:rFonts w:eastAsia="MS Mincho" w:cs="Arial"/>
          <w:lang w:val="fr-FR" w:eastAsia="ja-JP"/>
        </w:rPr>
        <w:t xml:space="preserve"> et diable.</w:t>
      </w:r>
    </w:p>
    <w:p w14:paraId="062D17B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0AF40F2B"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Probabilité de réussite</w:t>
      </w:r>
    </w:p>
    <w:p w14:paraId="4FF69ADE"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42A023F8"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en-GB"/>
        </w:rPr>
        <w:t xml:space="preserve">La pêche non durable constitue la menace principale pour les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(Stewart et al., 2018 ; Stevens et al., 2025). Par conséquent, réduire la mortalité liée à la pêche, éliminer les facteurs conduisant aux captures ciblées et à la rétention des prises accessoires, et utiliser la recherche pour éclairer les décisions de gestion, constituent les principales lignes d'action permettant de stopper le déclin des populations de raies </w:t>
      </w:r>
      <w:proofErr w:type="spellStart"/>
      <w:r w:rsidRPr="00AC7730">
        <w:rPr>
          <w:rFonts w:eastAsia="MS Mincho" w:cs="Arial"/>
          <w:lang w:val="fr-FR" w:eastAsia="en-GB"/>
        </w:rPr>
        <w:t>manta</w:t>
      </w:r>
      <w:proofErr w:type="spellEnd"/>
      <w:r w:rsidRPr="00AC7730">
        <w:rPr>
          <w:rFonts w:eastAsia="MS Mincho" w:cs="Arial"/>
          <w:lang w:val="fr-FR" w:eastAsia="en-GB"/>
        </w:rPr>
        <w:t xml:space="preserve"> et diable. Les activités proposées bénéficient du soutien d’ONG, de chercheurs et d’organisations communautaires engagés. </w:t>
      </w:r>
    </w:p>
    <w:p w14:paraId="1490BB76"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0F745398"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en-GB"/>
        </w:rPr>
        <w:t xml:space="preserve">Certains facteurs de risque sont associés à cette action concertée, notamment un manque de compétences pour l’identification des espèces, des lacunes dans les données sur les captures et l’abondance, ainsi qu’un manque de capacité des agences nationales. Toutefois, avec le soutien </w:t>
      </w:r>
      <w:r w:rsidRPr="00AC7730">
        <w:rPr>
          <w:rFonts w:eastAsia="Calibri" w:cs="Arial"/>
          <w:lang w:val="fr-FR"/>
        </w:rPr>
        <w:t>des ONG, des experts scientifiques et des organisations, ces actions concertées</w:t>
      </w:r>
      <w:r w:rsidRPr="00AC7730">
        <w:rPr>
          <w:rFonts w:eastAsia="MS Mincho" w:cs="Arial"/>
          <w:lang w:val="fr-FR" w:eastAsia="en-GB"/>
        </w:rPr>
        <w:t xml:space="preserve"> fourniront des outils pour surmonter ces contraintes.</w:t>
      </w:r>
    </w:p>
    <w:p w14:paraId="7CB7AAC2" w14:textId="77777777" w:rsidR="00E42EB4" w:rsidRPr="00AC7730" w:rsidRDefault="00E42EB4">
      <w:pPr>
        <w:spacing w:after="0" w:line="240" w:lineRule="auto"/>
        <w:jc w:val="both"/>
        <w:rPr>
          <w:rFonts w:cs="Arial"/>
          <w:lang w:val="fr-FR"/>
        </w:rPr>
      </w:pPr>
    </w:p>
    <w:p w14:paraId="2D1ECBB0" w14:textId="3F1BB0DE" w:rsidR="00E42EB4" w:rsidRPr="00AC7730" w:rsidRDefault="004C1ADE">
      <w:pPr>
        <w:spacing w:after="0" w:line="240" w:lineRule="auto"/>
        <w:jc w:val="both"/>
        <w:rPr>
          <w:rFonts w:cs="Arial"/>
          <w:lang w:val="fr-FR"/>
        </w:rPr>
      </w:pPr>
      <w:r w:rsidRPr="00AC7730">
        <w:rPr>
          <w:rFonts w:cs="Arial"/>
          <w:lang w:val="fr-FR"/>
        </w:rPr>
        <w:t xml:space="preserve">Les compétences en identification des espèces seront renforcées grâce à la diffusion de la nouvelle version du </w:t>
      </w:r>
      <w:r w:rsidRPr="00AC7730">
        <w:rPr>
          <w:rFonts w:cs="Arial"/>
          <w:i/>
          <w:iCs/>
          <w:lang w:val="fr-FR"/>
        </w:rPr>
        <w:t>Field Guide to the Manta and Devil Rays of the World</w:t>
      </w:r>
      <w:r w:rsidRPr="00AC7730">
        <w:rPr>
          <w:rFonts w:cs="Arial"/>
          <w:lang w:val="fr-FR"/>
        </w:rPr>
        <w:t xml:space="preserve"> (Guide des raies </w:t>
      </w:r>
      <w:proofErr w:type="spellStart"/>
      <w:r w:rsidRPr="00AC7730">
        <w:rPr>
          <w:rFonts w:cs="Arial"/>
          <w:lang w:val="fr-FR"/>
        </w:rPr>
        <w:t>manta</w:t>
      </w:r>
      <w:proofErr w:type="spellEnd"/>
      <w:r w:rsidRPr="00AC7730">
        <w:rPr>
          <w:rFonts w:cs="Arial"/>
          <w:lang w:val="fr-FR"/>
        </w:rPr>
        <w:t xml:space="preserve"> et des raies diable du monde) (Stevens et al., 2025) et à la mise en œuvre de l’Activité 2 – Développer les capacités et les outils technologiques pour améliorer l’application de la loi et la traçabilité des pêcheries et du commerce. </w:t>
      </w:r>
      <w:r w:rsidRPr="00AC7730">
        <w:rPr>
          <w:rFonts w:cs="Arial"/>
          <w:sz w:val="24"/>
          <w:szCs w:val="24"/>
          <w:lang w:val="fr-FR"/>
        </w:rPr>
        <w:t xml:space="preserve"> </w:t>
      </w:r>
    </w:p>
    <w:p w14:paraId="1178F87B" w14:textId="77777777" w:rsidR="00E42EB4" w:rsidRPr="00AC7730" w:rsidRDefault="00E42EB4">
      <w:pPr>
        <w:spacing w:after="0" w:line="240" w:lineRule="auto"/>
        <w:jc w:val="both"/>
        <w:rPr>
          <w:rFonts w:cs="Arial"/>
          <w:lang w:val="fr-FR"/>
        </w:rPr>
      </w:pPr>
    </w:p>
    <w:p w14:paraId="68E13C7B" w14:textId="07B23927" w:rsidR="00E42EB4" w:rsidRPr="00AC7730" w:rsidRDefault="004C1ADE">
      <w:pPr>
        <w:spacing w:after="0" w:line="240" w:lineRule="auto"/>
        <w:jc w:val="both"/>
        <w:rPr>
          <w:rFonts w:cs="Arial"/>
          <w:lang w:val="fr-FR"/>
        </w:rPr>
      </w:pPr>
      <w:r w:rsidRPr="00AC7730">
        <w:rPr>
          <w:rFonts w:cs="Arial"/>
          <w:lang w:val="fr-FR"/>
        </w:rPr>
        <w:t xml:space="preserve">Des contraintes existent dans la collecte de données, les débarquements de raies </w:t>
      </w:r>
      <w:proofErr w:type="spellStart"/>
      <w:r w:rsidRPr="00AC7730">
        <w:rPr>
          <w:rFonts w:cs="Arial"/>
          <w:lang w:val="fr-FR"/>
        </w:rPr>
        <w:t>manta</w:t>
      </w:r>
      <w:proofErr w:type="spellEnd"/>
      <w:r w:rsidRPr="00AC7730">
        <w:rPr>
          <w:rFonts w:cs="Arial"/>
          <w:lang w:val="fr-FR"/>
        </w:rPr>
        <w:t xml:space="preserve"> et diable étant souvent enregistrés uniquement au niveau de la famille. Il est nécessaire de concentrer les efforts sur la standardisation des protocoles de collecte de données afin de suivre les tendances des populations par espèce, sur plusieurs sites et dans tous les bassins océaniques. D'autres contraintes </w:t>
      </w:r>
      <w:proofErr w:type="spellStart"/>
      <w:r w:rsidRPr="00AC7730">
        <w:rPr>
          <w:rFonts w:cs="Arial"/>
          <w:lang w:val="fr-FR"/>
        </w:rPr>
        <w:t>rrésultent</w:t>
      </w:r>
      <w:proofErr w:type="spellEnd"/>
      <w:r w:rsidRPr="00AC7730">
        <w:rPr>
          <w:rFonts w:cs="Arial"/>
          <w:lang w:val="fr-FR"/>
        </w:rPr>
        <w:t xml:space="preserve"> des populations très fragmentées et peu denses de certaines espèces, dont beaucoup sont déjà fortement décimées, rendant les données sur la pêche et le commerce rares (</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w:t>
      </w:r>
      <w:r w:rsidRPr="00AC7730">
        <w:rPr>
          <w:rFonts w:eastAsia="Arial" w:cs="Arial"/>
          <w:lang w:val="fr-FR"/>
        </w:rPr>
        <w:t>[en révision]</w:t>
      </w:r>
      <w:r w:rsidRPr="00AC7730">
        <w:rPr>
          <w:rFonts w:eastAsia="MS Mincho" w:cs="Arial"/>
          <w:lang w:val="fr-FR" w:eastAsia="ja-JP"/>
        </w:rPr>
        <w:t>)</w:t>
      </w:r>
      <w:r w:rsidRPr="00AC7730">
        <w:rPr>
          <w:rFonts w:cs="Arial"/>
          <w:lang w:val="fr-FR"/>
        </w:rPr>
        <w:t>.</w:t>
      </w:r>
      <w:r w:rsidR="00422740" w:rsidRPr="00AC7730">
        <w:rPr>
          <w:rFonts w:cs="Arial"/>
          <w:lang w:val="fr-FR"/>
        </w:rPr>
        <w:t xml:space="preserve"> </w:t>
      </w:r>
      <w:r w:rsidRPr="00AC7730">
        <w:rPr>
          <w:rFonts w:cs="Arial"/>
          <w:lang w:val="fr-FR"/>
        </w:rPr>
        <w:t xml:space="preserve">De plus, les conditions de travail peuvent être difficiles, la plupart des pêcheries ciblant les raies </w:t>
      </w:r>
      <w:proofErr w:type="spellStart"/>
      <w:r w:rsidRPr="00AC7730">
        <w:rPr>
          <w:rFonts w:cs="Arial"/>
          <w:lang w:val="fr-FR"/>
        </w:rPr>
        <w:t>manta</w:t>
      </w:r>
      <w:proofErr w:type="spellEnd"/>
      <w:r w:rsidRPr="00AC7730">
        <w:rPr>
          <w:rFonts w:cs="Arial"/>
          <w:lang w:val="fr-FR"/>
        </w:rPr>
        <w:t xml:space="preserve"> et diable étant artisanales, situées dans des pays en développement, ce qui rend la logistique de collecte de données souvent complexe (Rojas-Perea, 2025 ; </w:t>
      </w:r>
      <w:proofErr w:type="spellStart"/>
      <w:r w:rsidRPr="00AC7730">
        <w:rPr>
          <w:rFonts w:cs="Arial"/>
          <w:lang w:val="fr-FR"/>
        </w:rPr>
        <w:t>Laglbauer</w:t>
      </w:r>
      <w:proofErr w:type="spellEnd"/>
      <w:r w:rsidRPr="00AC7730">
        <w:rPr>
          <w:rFonts w:cs="Arial"/>
          <w:lang w:val="fr-FR"/>
        </w:rPr>
        <w:t xml:space="preserve"> et al., 2025).</w:t>
      </w:r>
    </w:p>
    <w:p w14:paraId="23DA248F" w14:textId="77777777" w:rsidR="00E42EB4" w:rsidRPr="00AC7730" w:rsidRDefault="00E42EB4">
      <w:pPr>
        <w:widowControl w:val="0"/>
        <w:suppressAutoHyphens/>
        <w:autoSpaceDE w:val="0"/>
        <w:autoSpaceDN w:val="0"/>
        <w:spacing w:after="0" w:line="240" w:lineRule="auto"/>
        <w:jc w:val="both"/>
        <w:textAlignment w:val="baseline"/>
        <w:rPr>
          <w:rFonts w:cs="Arial"/>
          <w:lang w:val="fr-FR"/>
        </w:rPr>
      </w:pPr>
    </w:p>
    <w:p w14:paraId="02B94EAE"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cs="Arial"/>
          <w:lang w:val="fr-FR"/>
        </w:rPr>
        <w:t xml:space="preserve">Malgré tous ces facteurs de risque identifiés, des études récentes ont permis de fournir des données biologiques solides sur les tendances des espèces, d’identifier les lacunes en matière de politique, de déterminer les pays prioritaires et de préparer le terrain pour des actions de conservation futures impactantes (Fernando &amp; Stewart, 2021 ; Venables et al., </w:t>
      </w:r>
      <w:r w:rsidRPr="00AC7730">
        <w:rPr>
          <w:rFonts w:cs="Arial"/>
          <w:lang w:val="fr-FR"/>
        </w:rPr>
        <w:lastRenderedPageBreak/>
        <w:t xml:space="preserve">2024 ; Rojas-Perea et al., 2025 ; </w:t>
      </w:r>
      <w:proofErr w:type="spellStart"/>
      <w:r w:rsidRPr="00AC7730">
        <w:rPr>
          <w:rFonts w:cs="Arial"/>
          <w:lang w:val="fr-FR"/>
        </w:rPr>
        <w:t>Laglbauer</w:t>
      </w:r>
      <w:proofErr w:type="spellEnd"/>
      <w:r w:rsidRPr="00AC7730">
        <w:rPr>
          <w:rFonts w:cs="Arial"/>
          <w:lang w:val="fr-FR"/>
        </w:rPr>
        <w:t xml:space="preserve"> et al., 2025). Par ailleurs, les actions proposées dans le cadre de ces actions concertées permettront également d’améliorer la compréhension et les données scientifiques au niveau des communautés concernant les informations sur les captures et les espèces.</w:t>
      </w:r>
    </w:p>
    <w:p w14:paraId="1A0C1CB0" w14:textId="77777777" w:rsidR="00E42EB4" w:rsidRPr="00AC7730" w:rsidRDefault="00E42EB4">
      <w:pPr>
        <w:spacing w:after="0" w:line="240" w:lineRule="auto"/>
        <w:jc w:val="both"/>
        <w:rPr>
          <w:rFonts w:cs="Arial"/>
          <w:lang w:val="fr-FR"/>
        </w:rPr>
      </w:pPr>
    </w:p>
    <w:p w14:paraId="5DB55D9C" w14:textId="77777777" w:rsidR="00E42EB4" w:rsidRPr="00AC7730" w:rsidRDefault="004C1ADE">
      <w:pPr>
        <w:spacing w:after="0" w:line="240" w:lineRule="auto"/>
        <w:jc w:val="both"/>
        <w:rPr>
          <w:rFonts w:cs="Arial"/>
          <w:b/>
          <w:lang w:val="fr-FR"/>
        </w:rPr>
      </w:pPr>
      <w:r w:rsidRPr="00AC7730">
        <w:rPr>
          <w:rFonts w:cs="Arial"/>
          <w:lang w:val="fr-FR"/>
        </w:rPr>
        <w:t xml:space="preserve">L'engagement des communautés dans les activités de cogestion et de planification pour la mise en œuvre aide à garantir que les stratégies de protection seront efficaces et réalistes. Cela bénéficie à tous les États de l’aire de répartition où les communautés côtières dépendent des pêcheries de raies </w:t>
      </w:r>
      <w:proofErr w:type="spellStart"/>
      <w:r w:rsidRPr="00AC7730">
        <w:rPr>
          <w:rFonts w:cs="Arial"/>
          <w:lang w:val="fr-FR"/>
        </w:rPr>
        <w:t>manta</w:t>
      </w:r>
      <w:proofErr w:type="spellEnd"/>
      <w:r w:rsidRPr="00AC7730">
        <w:rPr>
          <w:rFonts w:cs="Arial"/>
          <w:lang w:val="fr-FR"/>
        </w:rPr>
        <w:t xml:space="preserve"> et diable.</w:t>
      </w:r>
    </w:p>
    <w:p w14:paraId="11D51A11" w14:textId="77777777" w:rsidR="00E42EB4" w:rsidRPr="00AC7730" w:rsidRDefault="00E42EB4">
      <w:pPr>
        <w:suppressAutoHyphens/>
        <w:autoSpaceDN w:val="0"/>
        <w:spacing w:after="0" w:line="240" w:lineRule="auto"/>
        <w:jc w:val="both"/>
        <w:textAlignment w:val="baseline"/>
        <w:rPr>
          <w:rFonts w:eastAsia="Calibri" w:cs="Arial"/>
          <w:lang w:val="fr-FR"/>
        </w:rPr>
      </w:pPr>
    </w:p>
    <w:p w14:paraId="3755C356" w14:textId="77777777" w:rsidR="00E42EB4" w:rsidRPr="00AC7730" w:rsidRDefault="004C1ADE">
      <w:pPr>
        <w:suppressAutoHyphens/>
        <w:autoSpaceDN w:val="0"/>
        <w:spacing w:after="0" w:line="240" w:lineRule="auto"/>
        <w:jc w:val="both"/>
        <w:textAlignment w:val="baseline"/>
        <w:rPr>
          <w:rFonts w:cs="Arial"/>
          <w:lang w:val="fr-FR"/>
        </w:rPr>
      </w:pPr>
      <w:r w:rsidRPr="00AC7730">
        <w:rPr>
          <w:rFonts w:eastAsia="Calibri" w:cs="Arial"/>
          <w:lang w:val="fr-FR"/>
        </w:rPr>
        <w:t xml:space="preserve">Les activités de nage avec les raies </w:t>
      </w:r>
      <w:proofErr w:type="spellStart"/>
      <w:r w:rsidRPr="00AC7730">
        <w:rPr>
          <w:rFonts w:eastAsia="Calibri" w:cs="Arial"/>
          <w:lang w:val="fr-FR"/>
        </w:rPr>
        <w:t>manta</w:t>
      </w:r>
      <w:proofErr w:type="spellEnd"/>
      <w:r w:rsidRPr="00AC7730">
        <w:rPr>
          <w:rFonts w:eastAsia="Calibri" w:cs="Arial"/>
          <w:lang w:val="fr-FR"/>
        </w:rPr>
        <w:t xml:space="preserve"> constituent un secteur en forte croissance. Les touristes dépensent chaque année des centaines de millions de dollars pour observer les raies </w:t>
      </w:r>
      <w:proofErr w:type="spellStart"/>
      <w:r w:rsidRPr="00AC7730">
        <w:rPr>
          <w:rFonts w:eastAsia="Calibri" w:cs="Arial"/>
          <w:lang w:val="fr-FR"/>
        </w:rPr>
        <w:t>manta</w:t>
      </w:r>
      <w:proofErr w:type="spellEnd"/>
      <w:r w:rsidRPr="00AC7730">
        <w:rPr>
          <w:rFonts w:eastAsia="Calibri" w:cs="Arial"/>
          <w:lang w:val="fr-FR"/>
        </w:rPr>
        <w:t xml:space="preserve"> et diable dans leur habitat naturel. Par exemple, aux Maldives, ce secteur a connu une croissance remarquable au cours de la dernière décennie, engendrant un revenu de 39 millions de dollars américains, rien qu'en 2021, grâce aux excursions de plongée et de snorkeling pour observer les raies </w:t>
      </w:r>
      <w:proofErr w:type="spellStart"/>
      <w:r w:rsidRPr="00AC7730">
        <w:rPr>
          <w:rFonts w:eastAsia="Calibri" w:cs="Arial"/>
          <w:lang w:val="fr-FR"/>
        </w:rPr>
        <w:t>manta</w:t>
      </w:r>
      <w:proofErr w:type="spellEnd"/>
      <w:r w:rsidRPr="00AC7730">
        <w:rPr>
          <w:rFonts w:eastAsia="Calibri" w:cs="Arial"/>
          <w:lang w:val="fr-FR"/>
        </w:rPr>
        <w:t xml:space="preserve">. D’autres destinations populaires ont également vu leur fréquentation augmenter ces dernières années (par exemple, les Açores, le Mexique, l'Indonésie). Cependant, des interactions humaines non encadrées avec les raies </w:t>
      </w:r>
      <w:proofErr w:type="spellStart"/>
      <w:r w:rsidRPr="00AC7730">
        <w:rPr>
          <w:rFonts w:eastAsia="Calibri" w:cs="Arial"/>
          <w:lang w:val="fr-FR"/>
        </w:rPr>
        <w:t>manta</w:t>
      </w:r>
      <w:proofErr w:type="spellEnd"/>
      <w:r w:rsidRPr="00AC7730">
        <w:rPr>
          <w:rFonts w:eastAsia="Calibri" w:cs="Arial"/>
          <w:lang w:val="fr-FR"/>
        </w:rPr>
        <w:t xml:space="preserve"> et diable peuvent </w:t>
      </w:r>
      <w:proofErr w:type="gramStart"/>
      <w:r w:rsidRPr="00AC7730">
        <w:rPr>
          <w:rFonts w:eastAsia="Calibri" w:cs="Arial"/>
          <w:lang w:val="fr-FR"/>
        </w:rPr>
        <w:t>avoir</w:t>
      </w:r>
      <w:proofErr w:type="gramEnd"/>
      <w:r w:rsidRPr="00AC7730">
        <w:rPr>
          <w:rFonts w:eastAsia="Calibri" w:cs="Arial"/>
          <w:lang w:val="fr-FR"/>
        </w:rPr>
        <w:t xml:space="preserve"> des répercussions négatives sur les populations locales dans les lieux touristiques, à mesure que le nombre d'interactions augmente. Par exemple, par l'enchevêtrement dans les lignes d'amarrage ou par des collisions avec des bateaux à moteur. Des protocoles déjà développés existent pour atténuer ces menaces, prêts à être mis en œuvre à grande échelle (</w:t>
      </w:r>
      <w:hyperlink r:id="rId35" w:history="1">
        <w:r w:rsidR="00E42EB4" w:rsidRPr="00AC7730">
          <w:rPr>
            <w:rStyle w:val="Hyperlink"/>
            <w:rFonts w:cs="Arial"/>
            <w:color w:val="auto"/>
            <w:lang w:val="fr-FR"/>
          </w:rPr>
          <w:t xml:space="preserve">Code de conduite pour la nage avec les raies </w:t>
        </w:r>
        <w:proofErr w:type="spellStart"/>
        <w:r w:rsidR="00E42EB4" w:rsidRPr="00AC7730">
          <w:rPr>
            <w:rStyle w:val="Hyperlink"/>
            <w:rFonts w:cs="Arial"/>
            <w:color w:val="auto"/>
            <w:lang w:val="fr-FR"/>
          </w:rPr>
          <w:t>manta</w:t>
        </w:r>
        <w:proofErr w:type="spellEnd"/>
        <w:r w:rsidR="00E42EB4" w:rsidRPr="00AC7730">
          <w:rPr>
            <w:rStyle w:val="Hyperlink"/>
            <w:rFonts w:cs="Arial"/>
            <w:color w:val="auto"/>
            <w:lang w:val="fr-FR"/>
          </w:rPr>
          <w:t xml:space="preserve"> et diable</w:t>
        </w:r>
      </w:hyperlink>
      <w:r w:rsidRPr="00AC7730">
        <w:rPr>
          <w:rFonts w:cs="Arial"/>
          <w:lang w:val="fr-FR"/>
        </w:rPr>
        <w:t xml:space="preserve"> ; </w:t>
      </w:r>
      <w:hyperlink r:id="rId36" w:history="1">
        <w:r w:rsidR="00E42EB4" w:rsidRPr="00AC7730">
          <w:rPr>
            <w:rStyle w:val="Hyperlink"/>
            <w:rFonts w:cs="Arial"/>
            <w:color w:val="auto"/>
            <w:lang w:val="fr-FR"/>
          </w:rPr>
          <w:t>Protocole d'enchevêtrement dans les lignes d'amarrage</w:t>
        </w:r>
      </w:hyperlink>
      <w:r w:rsidRPr="00AC7730">
        <w:rPr>
          <w:rFonts w:cs="Arial"/>
          <w:lang w:val="fr-FR"/>
        </w:rPr>
        <w:t xml:space="preserve"> ; </w:t>
      </w:r>
      <w:hyperlink r:id="rId37" w:history="1">
        <w:r w:rsidR="00E42EB4" w:rsidRPr="00AC7730">
          <w:rPr>
            <w:rStyle w:val="Hyperlink"/>
            <w:rFonts w:cs="Arial"/>
            <w:color w:val="auto"/>
            <w:lang w:val="fr-FR"/>
          </w:rPr>
          <w:t>Atténuation de l'enchevêtrement dans les lignes d'amarrage</w:t>
        </w:r>
      </w:hyperlink>
      <w:r w:rsidRPr="00AC7730">
        <w:rPr>
          <w:rFonts w:cs="Arial"/>
          <w:lang w:val="fr-FR"/>
        </w:rPr>
        <w:t>), ainsi que des restrictions de vitesse dans les zones à risque de collision, afin de favoriser des activités touristiques et d'autres interactions humaines durables.</w:t>
      </w:r>
    </w:p>
    <w:p w14:paraId="703386D1" w14:textId="77777777" w:rsidR="00E42EB4" w:rsidRPr="00AC7730" w:rsidRDefault="00E42EB4">
      <w:pPr>
        <w:suppressAutoHyphens/>
        <w:autoSpaceDN w:val="0"/>
        <w:spacing w:after="0" w:line="240" w:lineRule="auto"/>
        <w:jc w:val="both"/>
        <w:textAlignment w:val="baseline"/>
        <w:rPr>
          <w:rFonts w:eastAsia="Calibri" w:cs="Arial"/>
          <w:lang w:val="fr-FR"/>
        </w:rPr>
      </w:pPr>
    </w:p>
    <w:p w14:paraId="03C7F232" w14:textId="77777777" w:rsidR="00E42EB4" w:rsidRPr="00AC7730" w:rsidRDefault="004C1ADE">
      <w:pPr>
        <w:suppressAutoHyphens/>
        <w:autoSpaceDN w:val="0"/>
        <w:spacing w:after="0" w:line="240" w:lineRule="auto"/>
        <w:jc w:val="both"/>
        <w:textAlignment w:val="baseline"/>
        <w:rPr>
          <w:rFonts w:eastAsia="Calibri" w:cs="Arial"/>
          <w:lang w:val="fr-FR"/>
        </w:rPr>
      </w:pPr>
      <w:r w:rsidRPr="00AC7730">
        <w:rPr>
          <w:rFonts w:eastAsia="Calibri" w:cs="Arial"/>
          <w:lang w:val="fr-FR"/>
        </w:rPr>
        <w:t>Il existe des bases solides et une expérience organisationnelle importante sur lesquelles s’appuyer pour mettre en œuvre avec succès ces actions concertées. Les signataires du Mémorandum d’entente sur la conservation des requins migrateurs (</w:t>
      </w:r>
      <w:proofErr w:type="spellStart"/>
      <w:r w:rsidRPr="00AC7730">
        <w:rPr>
          <w:rFonts w:eastAsia="Calibri" w:cs="Arial"/>
          <w:lang w:val="fr-FR"/>
        </w:rPr>
        <w:t>MdE</w:t>
      </w:r>
      <w:proofErr w:type="spellEnd"/>
      <w:r w:rsidRPr="00AC7730">
        <w:rPr>
          <w:rFonts w:eastAsia="Calibri" w:cs="Arial"/>
          <w:lang w:val="fr-FR"/>
        </w:rPr>
        <w:t xml:space="preserve"> requins) et les Partenaires coopératifs seront invités à soutenir le développement et la mise en œuvre des plans d’action, afin d’augmenter encore les chances de succès.</w:t>
      </w:r>
    </w:p>
    <w:p w14:paraId="28A31BC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146DF3FF"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Ampleur de l'impact probable</w:t>
      </w:r>
    </w:p>
    <w:p w14:paraId="5936286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0DB98636"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en-GB"/>
        </w:rPr>
        <w:t xml:space="preserve">Des déclins d'une ampleur supérieure à 80 % ont été observés pour toutes les espèces sur de nombreux sites étudiés à travers le monde. </w:t>
      </w:r>
      <w:r w:rsidRPr="00AC7730">
        <w:rPr>
          <w:rFonts w:eastAsia="Arial" w:cs="Arial"/>
          <w:lang w:val="fr-FR"/>
        </w:rPr>
        <w:t xml:space="preserve">Les lamelles branchiales des raies </w:t>
      </w:r>
      <w:proofErr w:type="spellStart"/>
      <w:r w:rsidRPr="00AC7730">
        <w:rPr>
          <w:rFonts w:eastAsia="Arial" w:cs="Arial"/>
          <w:lang w:val="fr-FR"/>
        </w:rPr>
        <w:t>manta</w:t>
      </w:r>
      <w:proofErr w:type="spellEnd"/>
      <w:r w:rsidRPr="00AC7730">
        <w:rPr>
          <w:rFonts w:eastAsia="Arial" w:cs="Arial"/>
          <w:lang w:val="fr-FR"/>
        </w:rPr>
        <w:t xml:space="preserve"> et diable, une fois prélevées et séchées pour le commerce, ne peuvent être regroupées qu’en quatre catégories d’espèces, couvrant l’ensemble des espèces de la famille des </w:t>
      </w:r>
      <w:proofErr w:type="spellStart"/>
      <w:r w:rsidRPr="00AC7730">
        <w:rPr>
          <w:rFonts w:eastAsia="Arial" w:cs="Arial"/>
          <w:lang w:val="fr-FR"/>
        </w:rPr>
        <w:t>Mobulidae</w:t>
      </w:r>
      <w:proofErr w:type="spellEnd"/>
      <w:r w:rsidRPr="00AC7730">
        <w:rPr>
          <w:rFonts w:eastAsia="Arial" w:cs="Arial"/>
          <w:lang w:val="fr-FR"/>
        </w:rPr>
        <w:t xml:space="preserve">. Les quatre catégories ont été identifiées dans les évaluations du commerce mondial effectuées jusqu'à présent (Zeng et al. 2016, O'Malley et al. 2017, Palacios et al. 2024). L’impact des actions proposées se répercuterait donc sur toutes les espèces de raies </w:t>
      </w:r>
      <w:proofErr w:type="spellStart"/>
      <w:r w:rsidRPr="00AC7730">
        <w:rPr>
          <w:rFonts w:eastAsia="Arial" w:cs="Arial"/>
          <w:lang w:val="fr-FR"/>
        </w:rPr>
        <w:t>manta</w:t>
      </w:r>
      <w:proofErr w:type="spellEnd"/>
      <w:r w:rsidRPr="00AC7730">
        <w:rPr>
          <w:rFonts w:eastAsia="Arial" w:cs="Arial"/>
          <w:lang w:val="fr-FR"/>
        </w:rPr>
        <w:t xml:space="preserve"> et diable. </w:t>
      </w:r>
    </w:p>
    <w:p w14:paraId="215E8A54" w14:textId="77777777" w:rsidR="00E42EB4" w:rsidRPr="00AC7730" w:rsidRDefault="00E42EB4">
      <w:pPr>
        <w:widowControl w:val="0"/>
        <w:suppressAutoHyphens/>
        <w:autoSpaceDE w:val="0"/>
        <w:autoSpaceDN w:val="0"/>
        <w:spacing w:after="0" w:line="240" w:lineRule="auto"/>
        <w:jc w:val="both"/>
        <w:textAlignment w:val="baseline"/>
        <w:rPr>
          <w:rFonts w:eastAsia="Arial" w:cs="Arial"/>
          <w:lang w:val="fr-FR"/>
        </w:rPr>
      </w:pPr>
    </w:p>
    <w:p w14:paraId="42ED81A5" w14:textId="77777777" w:rsidR="00E42EB4" w:rsidRDefault="004C1ADE">
      <w:pPr>
        <w:widowControl w:val="0"/>
        <w:suppressAutoHyphens/>
        <w:autoSpaceDE w:val="0"/>
        <w:autoSpaceDN w:val="0"/>
        <w:spacing w:after="0" w:line="240" w:lineRule="auto"/>
        <w:jc w:val="both"/>
        <w:textAlignment w:val="baseline"/>
        <w:rPr>
          <w:rFonts w:cs="Arial"/>
          <w:lang w:val="fr-FR"/>
        </w:rPr>
      </w:pPr>
      <w:r w:rsidRPr="00AC7730">
        <w:rPr>
          <w:rFonts w:eastAsia="Arial" w:cs="Arial"/>
          <w:lang w:val="fr-FR"/>
        </w:rPr>
        <w:t xml:space="preserve">Les captures de raies </w:t>
      </w:r>
      <w:proofErr w:type="spellStart"/>
      <w:r w:rsidRPr="00AC7730">
        <w:rPr>
          <w:rFonts w:eastAsia="Arial" w:cs="Arial"/>
          <w:lang w:val="fr-FR"/>
        </w:rPr>
        <w:t>manta</w:t>
      </w:r>
      <w:proofErr w:type="spellEnd"/>
      <w:r w:rsidRPr="00AC7730">
        <w:rPr>
          <w:rFonts w:eastAsia="Arial" w:cs="Arial"/>
          <w:lang w:val="fr-FR"/>
        </w:rPr>
        <w:t xml:space="preserve"> et diable ont été documentées dans au moins 84 pays, dont 62 sont Parties à la Convention sur la conservation des espèces migratrices appartenant à la faune sauvage </w:t>
      </w:r>
      <w:r w:rsidRPr="00AC7730">
        <w:rPr>
          <w:rFonts w:cs="Arial"/>
          <w:lang w:val="fr-FR"/>
        </w:rPr>
        <w:t>(</w:t>
      </w:r>
      <w:proofErr w:type="spellStart"/>
      <w:r w:rsidRPr="00AC7730">
        <w:rPr>
          <w:rFonts w:eastAsia="MS Mincho" w:cs="Arial"/>
          <w:lang w:val="fr-FR" w:eastAsia="ja-JP"/>
        </w:rPr>
        <w:t>Laglbauer</w:t>
      </w:r>
      <w:proofErr w:type="spellEnd"/>
      <w:r w:rsidRPr="00AC7730">
        <w:rPr>
          <w:rFonts w:eastAsia="MS Mincho" w:cs="Arial"/>
          <w:lang w:val="fr-FR" w:eastAsia="ja-JP"/>
        </w:rPr>
        <w:t xml:space="preserve"> et al. </w:t>
      </w:r>
      <w:r w:rsidRPr="00AC7730">
        <w:rPr>
          <w:rFonts w:eastAsia="Arial" w:cs="Arial"/>
          <w:lang w:val="fr-FR"/>
        </w:rPr>
        <w:t>[en révision]</w:t>
      </w:r>
      <w:r w:rsidRPr="00AC7730">
        <w:rPr>
          <w:rFonts w:eastAsia="MS Mincho" w:cs="Arial"/>
          <w:lang w:val="fr-FR" w:eastAsia="ja-JP"/>
        </w:rPr>
        <w:t>)</w:t>
      </w:r>
      <w:r w:rsidRPr="00AC7730">
        <w:rPr>
          <w:rFonts w:cs="Arial"/>
          <w:lang w:val="fr-FR"/>
        </w:rPr>
        <w:t xml:space="preserve">. </w:t>
      </w:r>
      <w:r w:rsidRPr="00AC7730">
        <w:rPr>
          <w:rFonts w:eastAsia="Arial" w:cs="Arial"/>
          <w:lang w:val="fr-FR"/>
        </w:rPr>
        <w:t xml:space="preserve">Ces actions pourraient donc avoir un impact sur la majeure partie de la zone où les pêcheries sont à l'origine du déclin des populations. </w:t>
      </w:r>
      <w:r w:rsidRPr="00AC7730">
        <w:rPr>
          <w:rFonts w:cs="Arial"/>
          <w:lang w:val="fr-FR"/>
        </w:rPr>
        <w:t>Pour amplifier l’effet de conservation, il est recommandé qu’un nombre croissant d’États de l’ire de répartition deviennent signataires du Mémorandum d'entente sur la conservation des requins migrateurs (</w:t>
      </w:r>
      <w:proofErr w:type="spellStart"/>
      <w:r w:rsidRPr="00AC7730">
        <w:rPr>
          <w:rFonts w:cs="Arial"/>
          <w:lang w:val="fr-FR"/>
        </w:rPr>
        <w:t>MdE</w:t>
      </w:r>
      <w:proofErr w:type="spellEnd"/>
      <w:r w:rsidRPr="00AC7730">
        <w:rPr>
          <w:rFonts w:cs="Arial"/>
          <w:lang w:val="fr-FR"/>
        </w:rPr>
        <w:t xml:space="preserve"> requins) afin de s’engager à poursuivre les objectifs du Mémorandum d'entente (</w:t>
      </w:r>
      <w:proofErr w:type="spellStart"/>
      <w:r w:rsidRPr="00AC7730">
        <w:rPr>
          <w:rFonts w:cs="Arial"/>
          <w:lang w:val="fr-FR"/>
        </w:rPr>
        <w:t>MdE</w:t>
      </w:r>
      <w:proofErr w:type="spellEnd"/>
      <w:r w:rsidRPr="00AC7730">
        <w:rPr>
          <w:rFonts w:cs="Arial"/>
          <w:lang w:val="fr-FR"/>
        </w:rPr>
        <w:t>).</w:t>
      </w:r>
    </w:p>
    <w:p w14:paraId="7FE85F7E" w14:textId="0DBCDCD4" w:rsidR="007F3A2E" w:rsidRDefault="007F3A2E">
      <w:pPr>
        <w:widowControl w:val="0"/>
        <w:suppressAutoHyphens/>
        <w:autoSpaceDE w:val="0"/>
        <w:autoSpaceDN w:val="0"/>
        <w:spacing w:after="0" w:line="240" w:lineRule="auto"/>
        <w:jc w:val="both"/>
        <w:textAlignment w:val="baseline"/>
        <w:rPr>
          <w:rFonts w:cs="Arial"/>
          <w:lang w:val="fr-FR"/>
        </w:rPr>
      </w:pPr>
      <w:r>
        <w:rPr>
          <w:rFonts w:cs="Arial"/>
          <w:lang w:val="fr-FR"/>
        </w:rPr>
        <w:br w:type="page"/>
      </w:r>
    </w:p>
    <w:p w14:paraId="2C937B92" w14:textId="77777777" w:rsidR="00E42EB4" w:rsidRPr="00AC7730" w:rsidRDefault="004C1ADE">
      <w:pPr>
        <w:widowControl w:val="0"/>
        <w:suppressAutoHyphens/>
        <w:autoSpaceDE w:val="0"/>
        <w:autoSpaceDN w:val="0"/>
        <w:spacing w:after="80" w:line="240" w:lineRule="auto"/>
        <w:jc w:val="both"/>
        <w:textAlignment w:val="baseline"/>
        <w:rPr>
          <w:rFonts w:eastAsia="Arial" w:cs="Arial"/>
          <w:lang w:val="fr-FR"/>
        </w:rPr>
      </w:pPr>
      <w:r w:rsidRPr="00AC7730">
        <w:rPr>
          <w:rFonts w:eastAsia="Arial" w:cs="Arial"/>
          <w:lang w:val="fr-FR"/>
        </w:rPr>
        <w:lastRenderedPageBreak/>
        <w:t>Une mise en œuvre réussie pourrait permettre :</w:t>
      </w:r>
    </w:p>
    <w:p w14:paraId="30F867B5" w14:textId="77777777" w:rsidR="00E42EB4" w:rsidRPr="00AC7730" w:rsidRDefault="004C1ADE">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lang w:val="fr-FR"/>
        </w:rPr>
      </w:pPr>
      <w:r w:rsidRPr="00AC7730">
        <w:rPr>
          <w:rFonts w:eastAsia="Arial" w:cs="Arial"/>
          <w:lang w:val="fr-FR"/>
        </w:rPr>
        <w:t>Une augmentation des données sur les populations et les pêcheries par espèce, pour informer les décisions de conservation futures.</w:t>
      </w:r>
    </w:p>
    <w:p w14:paraId="44AF5229" w14:textId="77777777" w:rsidR="00E42EB4" w:rsidRPr="00AC7730" w:rsidRDefault="004C1ADE">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lang w:val="fr-FR"/>
        </w:rPr>
      </w:pPr>
      <w:r w:rsidRPr="00AC7730">
        <w:rPr>
          <w:rFonts w:eastAsia="Arial" w:cs="Arial"/>
          <w:lang w:val="fr-FR"/>
        </w:rPr>
        <w:t>Une meilleure conformité aux législations protectrices nationales et internationales.</w:t>
      </w:r>
    </w:p>
    <w:p w14:paraId="14EFCCB5" w14:textId="77777777" w:rsidR="00E42EB4" w:rsidRPr="00AC7730" w:rsidRDefault="004C1ADE">
      <w:pPr>
        <w:pStyle w:val="ListParagraph"/>
        <w:widowControl w:val="0"/>
        <w:numPr>
          <w:ilvl w:val="0"/>
          <w:numId w:val="17"/>
        </w:numPr>
        <w:suppressAutoHyphens/>
        <w:autoSpaceDE w:val="0"/>
        <w:autoSpaceDN w:val="0"/>
        <w:spacing w:after="0" w:line="240" w:lineRule="auto"/>
        <w:jc w:val="both"/>
        <w:textAlignment w:val="baseline"/>
        <w:rPr>
          <w:rFonts w:eastAsia="Arial" w:cs="Arial"/>
          <w:lang w:val="fr-FR"/>
        </w:rPr>
      </w:pPr>
      <w:r w:rsidRPr="00AC7730">
        <w:rPr>
          <w:rFonts w:eastAsia="Arial" w:cs="Arial"/>
          <w:lang w:val="fr-FR"/>
        </w:rPr>
        <w:t>Une capacité accrue, aux niveaux local et régional, pour réduire la mortalité liée à la pêche.</w:t>
      </w:r>
    </w:p>
    <w:p w14:paraId="4E8CFF1D" w14:textId="77777777" w:rsidR="00E42EB4" w:rsidRPr="00AC7730" w:rsidRDefault="00E42EB4">
      <w:pPr>
        <w:spacing w:after="0" w:line="240" w:lineRule="auto"/>
        <w:jc w:val="both"/>
        <w:rPr>
          <w:rFonts w:cs="Arial"/>
          <w:lang w:val="fr-FR"/>
        </w:rPr>
      </w:pPr>
    </w:p>
    <w:p w14:paraId="1223E0B1" w14:textId="77777777" w:rsidR="00E42EB4" w:rsidRDefault="004C1ADE">
      <w:pPr>
        <w:spacing w:after="0" w:line="240" w:lineRule="auto"/>
        <w:jc w:val="both"/>
        <w:rPr>
          <w:rFonts w:eastAsia="MS Mincho" w:cs="Arial"/>
          <w:lang w:val="fr-FR" w:eastAsia="ja-JP"/>
        </w:rPr>
      </w:pPr>
      <w:r w:rsidRPr="00AC7730">
        <w:rPr>
          <w:rFonts w:cs="Arial"/>
          <w:lang w:val="fr-FR"/>
        </w:rPr>
        <w:t xml:space="preserve">Il existe un réseau d’ONG, de chercheurs et d’organisations communautaires engagés dans la conservation des raies </w:t>
      </w:r>
      <w:proofErr w:type="spellStart"/>
      <w:r w:rsidRPr="00AC7730">
        <w:rPr>
          <w:rFonts w:cs="Arial"/>
          <w:lang w:val="fr-FR"/>
        </w:rPr>
        <w:t>manta</w:t>
      </w:r>
      <w:proofErr w:type="spellEnd"/>
      <w:r w:rsidRPr="00AC7730">
        <w:rPr>
          <w:rFonts w:cs="Arial"/>
          <w:lang w:val="fr-FR"/>
        </w:rPr>
        <w:t xml:space="preserve"> et diable, prêts à soutenir les États de l’aire de répartition dans le développement, le financement et la mise en œuvre de travaux collaboratifs, constituant ainsi </w:t>
      </w:r>
      <w:r w:rsidRPr="00AC7730">
        <w:rPr>
          <w:rFonts w:eastAsia="MS Mincho" w:cs="Arial"/>
          <w:lang w:val="fr-FR" w:eastAsia="ja-JP"/>
        </w:rPr>
        <w:t xml:space="preserve">une base solide à partir de laquelle les États de l’aire de répartition peuvent mettre en œuvre les activités proposées. En outre, un soutien sera sollicité auprès </w:t>
      </w:r>
      <w:proofErr w:type="spellStart"/>
      <w:r w:rsidRPr="00AC7730">
        <w:rPr>
          <w:rFonts w:eastAsia="MS Mincho" w:cs="Arial"/>
          <w:lang w:val="fr-FR" w:eastAsia="ja-JP"/>
        </w:rPr>
        <w:t>duMémorandum</w:t>
      </w:r>
      <w:proofErr w:type="spellEnd"/>
      <w:r w:rsidRPr="00AC7730">
        <w:rPr>
          <w:rFonts w:eastAsia="MS Mincho" w:cs="Arial"/>
          <w:lang w:val="fr-FR" w:eastAsia="ja-JP"/>
        </w:rPr>
        <w:t xml:space="preserve"> d’entente sur la conservation des requins migrateurs (</w:t>
      </w:r>
      <w:proofErr w:type="spellStart"/>
      <w:r w:rsidRPr="00AC7730">
        <w:rPr>
          <w:rFonts w:eastAsia="MS Mincho" w:cs="Arial"/>
          <w:lang w:val="fr-FR" w:eastAsia="ja-JP"/>
        </w:rPr>
        <w:t>MdE</w:t>
      </w:r>
      <w:proofErr w:type="spellEnd"/>
      <w:r w:rsidRPr="00AC7730">
        <w:rPr>
          <w:rFonts w:eastAsia="MS Mincho" w:cs="Arial"/>
          <w:lang w:val="fr-FR" w:eastAsia="ja-JP"/>
        </w:rPr>
        <w:t xml:space="preserve"> requins) et de ses Partenaires coopératifs pour accompagner le développement et la mise en œuvre des actions planifiées. </w:t>
      </w:r>
    </w:p>
    <w:p w14:paraId="5E1086FF" w14:textId="77777777" w:rsidR="007F3A2E" w:rsidRPr="00AC7730" w:rsidRDefault="007F3A2E">
      <w:pPr>
        <w:spacing w:after="0" w:line="240" w:lineRule="auto"/>
        <w:jc w:val="both"/>
        <w:rPr>
          <w:rFonts w:eastAsia="MS Mincho" w:cs="Arial"/>
          <w:b/>
          <w:lang w:val="fr-FR" w:eastAsia="en-GB"/>
        </w:rPr>
      </w:pPr>
    </w:p>
    <w:p w14:paraId="056FA206"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Rapport coût-efficacité</w:t>
      </w:r>
    </w:p>
    <w:p w14:paraId="26A76ABE" w14:textId="77777777" w:rsidR="00E42EB4" w:rsidRPr="00AC7730" w:rsidRDefault="00E42EB4">
      <w:pPr>
        <w:spacing w:after="0" w:line="240" w:lineRule="auto"/>
        <w:jc w:val="both"/>
        <w:rPr>
          <w:rFonts w:eastAsia="Calibri" w:cs="Arial"/>
          <w:lang w:val="fr-FR"/>
        </w:rPr>
      </w:pPr>
    </w:p>
    <w:p w14:paraId="7FB6B517" w14:textId="77777777" w:rsidR="00E42EB4" w:rsidRPr="00AC7730" w:rsidRDefault="004C1ADE">
      <w:pPr>
        <w:spacing w:after="0" w:line="240" w:lineRule="auto"/>
        <w:jc w:val="both"/>
        <w:rPr>
          <w:rFonts w:eastAsia="Calibri" w:cs="Arial"/>
          <w:lang w:val="fr-FR"/>
        </w:rPr>
      </w:pPr>
      <w:r w:rsidRPr="00AC7730">
        <w:rPr>
          <w:rFonts w:eastAsia="Calibri" w:cs="Arial"/>
          <w:lang w:val="fr-FR"/>
        </w:rPr>
        <w:t>Un aspect essentiel des actions concertées est de favoriser la collaboration entre les Parties par le partage d’informations, l’échange de connaissances et le développement d’une stratégie commune. En reproduisant les efforts de conservation réussis et en promouvant les meilleures pratiques, cette approche collective devient beaucoup plus rentable que si les pays agissaient indépendamment.</w:t>
      </w:r>
    </w:p>
    <w:p w14:paraId="1F4E2ACB"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14CC75E8"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lang w:val="fr-FR" w:eastAsia="en-GB"/>
        </w:rPr>
      </w:pPr>
      <w:r w:rsidRPr="00AC7730">
        <w:rPr>
          <w:rFonts w:eastAsia="MS Mincho" w:cs="Arial"/>
          <w:lang w:val="fr-FR" w:eastAsia="en-GB"/>
        </w:rPr>
        <w:t xml:space="preserve">Les activités 3, 10 et 11 devront être mise en œuvre sous forme de projets pilotes ou spécifiques aux communautés, avec un financement disponible au cas par cas, variant selon le lieu. Pour un aperçu détaillé, reportez-vous à l’Annexe I (Tableau détaillé des activités et résultats attendus). </w:t>
      </w:r>
    </w:p>
    <w:p w14:paraId="02D3F5B0" w14:textId="77777777" w:rsidR="00E42EB4" w:rsidRPr="00AC7730" w:rsidRDefault="00E42EB4">
      <w:pPr>
        <w:widowControl w:val="0"/>
        <w:suppressAutoHyphens/>
        <w:autoSpaceDE w:val="0"/>
        <w:autoSpaceDN w:val="0"/>
        <w:spacing w:after="0" w:line="240" w:lineRule="auto"/>
        <w:jc w:val="both"/>
        <w:textAlignment w:val="baseline"/>
        <w:rPr>
          <w:rFonts w:eastAsia="MS Mincho" w:cs="Arial"/>
          <w:lang w:val="fr-FR" w:eastAsia="en-GB"/>
        </w:rPr>
      </w:pPr>
    </w:p>
    <w:p w14:paraId="18852174" w14:textId="77777777" w:rsidR="00E42EB4" w:rsidRPr="00AC7730" w:rsidRDefault="004C1ADE">
      <w:pPr>
        <w:widowControl w:val="0"/>
        <w:suppressAutoHyphens/>
        <w:autoSpaceDE w:val="0"/>
        <w:autoSpaceDN w:val="0"/>
        <w:spacing w:after="0" w:line="240" w:lineRule="auto"/>
        <w:jc w:val="both"/>
        <w:textAlignment w:val="baseline"/>
        <w:rPr>
          <w:rFonts w:eastAsia="MS Mincho" w:cs="Arial"/>
          <w:b/>
          <w:lang w:val="fr-FR" w:eastAsia="en-GB"/>
        </w:rPr>
      </w:pPr>
      <w:r w:rsidRPr="00AC7730">
        <w:rPr>
          <w:rFonts w:eastAsia="MS Mincho" w:cs="Arial"/>
          <w:b/>
          <w:lang w:val="fr-FR" w:eastAsia="en-GB"/>
        </w:rPr>
        <w:t>Consultations planifiées/entreprises</w:t>
      </w:r>
    </w:p>
    <w:p w14:paraId="466121AE"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bCs/>
          <w:lang w:val="fr-FR"/>
        </w:rPr>
      </w:pPr>
    </w:p>
    <w:p w14:paraId="1755E615" w14:textId="77777777" w:rsidR="00E42EB4" w:rsidRPr="00AC7730" w:rsidRDefault="004C1ADE">
      <w:pPr>
        <w:widowControl w:val="0"/>
        <w:suppressAutoHyphens/>
        <w:autoSpaceDE w:val="0"/>
        <w:autoSpaceDN w:val="0"/>
        <w:spacing w:after="0" w:line="240" w:lineRule="auto"/>
        <w:jc w:val="both"/>
        <w:textAlignment w:val="baseline"/>
        <w:rPr>
          <w:rFonts w:eastAsia="Times New Roman" w:cs="Arial"/>
          <w:bCs/>
          <w:lang w:val="fr-FR"/>
        </w:rPr>
      </w:pPr>
      <w:r w:rsidRPr="00AC7730">
        <w:rPr>
          <w:rFonts w:eastAsia="Times New Roman" w:cs="Arial"/>
          <w:bCs/>
          <w:lang w:val="fr-FR"/>
        </w:rPr>
        <w:t xml:space="preserve">Il est prévu d’engager les Parties et les parties prenantes afin de faire progresser la mise en œuvre des actions concertées lors de l’une des réunions du Conseil scientifique. </w:t>
      </w:r>
    </w:p>
    <w:p w14:paraId="55686D3F"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bCs/>
          <w:lang w:val="fr-FR"/>
        </w:rPr>
      </w:pPr>
    </w:p>
    <w:p w14:paraId="2233FDE1" w14:textId="77777777" w:rsidR="00E42EB4" w:rsidRPr="00AC7730" w:rsidRDefault="004C1ADE">
      <w:pPr>
        <w:rPr>
          <w:rFonts w:eastAsia="Times New Roman" w:cs="Arial"/>
          <w:b/>
          <w:lang w:val="fr-FR"/>
        </w:rPr>
      </w:pPr>
      <w:r w:rsidRPr="00AC7730">
        <w:rPr>
          <w:rFonts w:eastAsia="Times New Roman" w:cs="Arial"/>
          <w:b/>
          <w:lang w:val="fr-FR"/>
        </w:rPr>
        <w:br w:type="page"/>
      </w:r>
    </w:p>
    <w:p w14:paraId="3F9F5B1C" w14:textId="45BD1212" w:rsidR="00E42EB4" w:rsidRPr="00C971E7" w:rsidRDefault="004C1ADE">
      <w:pPr>
        <w:widowControl w:val="0"/>
        <w:suppressAutoHyphens/>
        <w:autoSpaceDE w:val="0"/>
        <w:autoSpaceDN w:val="0"/>
        <w:spacing w:after="0" w:line="240" w:lineRule="auto"/>
        <w:jc w:val="both"/>
        <w:textAlignment w:val="baseline"/>
        <w:rPr>
          <w:rFonts w:eastAsia="Times New Roman" w:cs="Arial"/>
          <w:b/>
          <w:lang w:val="en-US"/>
        </w:rPr>
      </w:pPr>
      <w:proofErr w:type="spellStart"/>
      <w:r w:rsidRPr="00C971E7">
        <w:rPr>
          <w:rFonts w:eastAsia="Times New Roman" w:cs="Arial"/>
          <w:b/>
          <w:lang w:val="en-US"/>
        </w:rPr>
        <w:lastRenderedPageBreak/>
        <w:t>R</w:t>
      </w:r>
      <w:r w:rsidR="007F3A2E" w:rsidRPr="00C971E7">
        <w:rPr>
          <w:rFonts w:eastAsia="Times New Roman" w:cs="Arial"/>
          <w:b/>
          <w:lang w:val="en-US"/>
        </w:rPr>
        <w:t>é</w:t>
      </w:r>
      <w:r w:rsidRPr="00C971E7">
        <w:rPr>
          <w:rFonts w:eastAsia="Times New Roman" w:cs="Arial"/>
          <w:b/>
          <w:lang w:val="en-US"/>
        </w:rPr>
        <w:t>f</w:t>
      </w:r>
      <w:r w:rsidR="007F3A2E" w:rsidRPr="00C971E7">
        <w:rPr>
          <w:rFonts w:eastAsia="Times New Roman" w:cs="Arial"/>
          <w:b/>
          <w:lang w:val="en-US"/>
        </w:rPr>
        <w:t>é</w:t>
      </w:r>
      <w:r w:rsidRPr="00C971E7">
        <w:rPr>
          <w:rFonts w:eastAsia="Times New Roman" w:cs="Arial"/>
          <w:b/>
          <w:lang w:val="en-US"/>
        </w:rPr>
        <w:t>rences</w:t>
      </w:r>
      <w:proofErr w:type="spellEnd"/>
    </w:p>
    <w:p w14:paraId="5F7707C1" w14:textId="77777777" w:rsidR="00E42EB4" w:rsidRPr="00C971E7" w:rsidRDefault="00E42EB4">
      <w:pPr>
        <w:widowControl w:val="0"/>
        <w:suppressAutoHyphens/>
        <w:autoSpaceDE w:val="0"/>
        <w:autoSpaceDN w:val="0"/>
        <w:spacing w:after="0" w:line="240" w:lineRule="auto"/>
        <w:jc w:val="both"/>
        <w:textAlignment w:val="baseline"/>
        <w:rPr>
          <w:rFonts w:eastAsia="Times New Roman" w:cs="Arial"/>
          <w:b/>
          <w:lang w:val="en-US"/>
        </w:rPr>
      </w:pPr>
    </w:p>
    <w:p w14:paraId="747154FF" w14:textId="77777777" w:rsidR="00E42EB4" w:rsidRPr="00C971E7" w:rsidRDefault="004C1ADE">
      <w:pPr>
        <w:spacing w:after="80" w:line="240" w:lineRule="auto"/>
        <w:ind w:left="562" w:hanging="562"/>
        <w:jc w:val="both"/>
        <w:rPr>
          <w:rFonts w:eastAsia="Arial" w:cs="Arial"/>
          <w:sz w:val="20"/>
          <w:szCs w:val="20"/>
          <w:lang w:val="en-US"/>
        </w:rPr>
      </w:pPr>
      <w:r w:rsidRPr="00C971E7">
        <w:rPr>
          <w:rFonts w:eastAsia="Arial" w:cs="Arial"/>
          <w:sz w:val="20"/>
          <w:szCs w:val="20"/>
          <w:lang w:val="en-US"/>
        </w:rPr>
        <w:t xml:space="preserve">Arauz, R., Chávez, E. J., Hoyos-Padilla, E. M., &amp; Marshall, A. D. (2019). </w:t>
      </w:r>
      <w:r w:rsidRPr="007F3A2E">
        <w:rPr>
          <w:rFonts w:eastAsia="Arial" w:cs="Arial"/>
          <w:sz w:val="20"/>
          <w:szCs w:val="20"/>
        </w:rPr>
        <w:t xml:space="preserve">First record of the reef manta ray, </w:t>
      </w:r>
      <w:proofErr w:type="spellStart"/>
      <w:r w:rsidRPr="007F3A2E">
        <w:rPr>
          <w:rFonts w:eastAsia="Arial" w:cs="Arial"/>
          <w:sz w:val="20"/>
          <w:szCs w:val="20"/>
        </w:rPr>
        <w:t>Mobula</w:t>
      </w:r>
      <w:proofErr w:type="spellEnd"/>
      <w:r w:rsidRPr="007F3A2E">
        <w:rPr>
          <w:rFonts w:eastAsia="Arial" w:cs="Arial"/>
          <w:sz w:val="20"/>
          <w:szCs w:val="20"/>
        </w:rPr>
        <w:t xml:space="preserve"> </w:t>
      </w:r>
      <w:proofErr w:type="spellStart"/>
      <w:r w:rsidRPr="007F3A2E">
        <w:rPr>
          <w:rFonts w:eastAsia="Arial" w:cs="Arial"/>
          <w:sz w:val="20"/>
          <w:szCs w:val="20"/>
        </w:rPr>
        <w:t>alfredi</w:t>
      </w:r>
      <w:proofErr w:type="spellEnd"/>
      <w:r w:rsidRPr="007F3A2E">
        <w:rPr>
          <w:rFonts w:eastAsia="Arial" w:cs="Arial"/>
          <w:sz w:val="20"/>
          <w:szCs w:val="20"/>
        </w:rPr>
        <w:t xml:space="preserve">, from the eastern Pacific. </w:t>
      </w:r>
      <w:r w:rsidRPr="00C971E7">
        <w:rPr>
          <w:rFonts w:eastAsia="Arial" w:cs="Arial"/>
          <w:sz w:val="20"/>
          <w:szCs w:val="20"/>
          <w:lang w:val="en-US"/>
        </w:rPr>
        <w:t>Marine Biodiversity Records, 12(1), 3.</w:t>
      </w:r>
    </w:p>
    <w:p w14:paraId="3AD6AB54" w14:textId="77777777" w:rsidR="00E42EB4" w:rsidRPr="00C971E7" w:rsidRDefault="004C1ADE">
      <w:pPr>
        <w:spacing w:after="80" w:line="240" w:lineRule="auto"/>
        <w:ind w:left="562" w:hanging="562"/>
        <w:jc w:val="both"/>
        <w:rPr>
          <w:rFonts w:eastAsia="Arial" w:cs="Arial"/>
          <w:sz w:val="20"/>
          <w:szCs w:val="20"/>
          <w:lang w:val="en-US"/>
        </w:rPr>
      </w:pPr>
      <w:r w:rsidRPr="007F3A2E">
        <w:rPr>
          <w:rFonts w:eastAsia="Arial" w:cs="Arial"/>
          <w:sz w:val="20"/>
          <w:szCs w:val="20"/>
        </w:rPr>
        <w:t>Boggio-Pasqua, A., Bassos-Hull, K., Stevens, G., …, Notarbartolo-di-Sciara, G. (under review) Closing the gaps: Integrating biological, ecological and taxonomic data to support the conservation of the Atlantic pygmy devil ray (</w:t>
      </w:r>
      <w:proofErr w:type="spellStart"/>
      <w:r w:rsidRPr="007F3A2E">
        <w:rPr>
          <w:rFonts w:eastAsia="Arial" w:cs="Arial"/>
          <w:sz w:val="20"/>
          <w:szCs w:val="20"/>
        </w:rPr>
        <w:t>Mobula</w:t>
      </w:r>
      <w:proofErr w:type="spellEnd"/>
      <w:r w:rsidRPr="007F3A2E">
        <w:rPr>
          <w:rFonts w:eastAsia="Arial" w:cs="Arial"/>
          <w:sz w:val="20"/>
          <w:szCs w:val="20"/>
        </w:rPr>
        <w:t xml:space="preserve"> </w:t>
      </w:r>
      <w:proofErr w:type="spellStart"/>
      <w:r w:rsidRPr="007F3A2E">
        <w:rPr>
          <w:rFonts w:eastAsia="Arial" w:cs="Arial"/>
          <w:sz w:val="20"/>
          <w:szCs w:val="20"/>
        </w:rPr>
        <w:t>hypostoma</w:t>
      </w:r>
      <w:proofErr w:type="spellEnd"/>
      <w:r w:rsidRPr="007F3A2E">
        <w:rPr>
          <w:rFonts w:eastAsia="Arial" w:cs="Arial"/>
          <w:sz w:val="20"/>
          <w:szCs w:val="20"/>
        </w:rPr>
        <w:t xml:space="preserve">). </w:t>
      </w:r>
      <w:r w:rsidRPr="00C971E7">
        <w:rPr>
          <w:rFonts w:eastAsia="Arial" w:cs="Arial"/>
          <w:sz w:val="20"/>
          <w:szCs w:val="20"/>
          <w:lang w:val="en-US"/>
        </w:rPr>
        <w:t>[In review]</w:t>
      </w:r>
    </w:p>
    <w:p w14:paraId="5877968C"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Broadhurst, M. K., </w:t>
      </w:r>
      <w:proofErr w:type="spellStart"/>
      <w:r w:rsidRPr="007F3A2E">
        <w:rPr>
          <w:rFonts w:eastAsia="Arial" w:cs="Arial"/>
          <w:sz w:val="20"/>
          <w:szCs w:val="20"/>
        </w:rPr>
        <w:t>Laglbauer</w:t>
      </w:r>
      <w:proofErr w:type="spellEnd"/>
      <w:r w:rsidRPr="007F3A2E">
        <w:rPr>
          <w:rFonts w:eastAsia="Arial" w:cs="Arial"/>
          <w:sz w:val="20"/>
          <w:szCs w:val="20"/>
        </w:rPr>
        <w:t xml:space="preserve">, B. J. L., Burgess, K. B., and Coleman, M. A. (2018). Reproductive biology and range extension for </w:t>
      </w:r>
      <w:proofErr w:type="spellStart"/>
      <w:r w:rsidRPr="007F3A2E">
        <w:rPr>
          <w:rFonts w:eastAsia="Arial" w:cs="Arial"/>
          <w:sz w:val="20"/>
          <w:szCs w:val="20"/>
        </w:rPr>
        <w:t>Mobula</w:t>
      </w:r>
      <w:proofErr w:type="spellEnd"/>
      <w:r w:rsidRPr="007F3A2E">
        <w:rPr>
          <w:rFonts w:eastAsia="Arial" w:cs="Arial"/>
          <w:sz w:val="20"/>
          <w:szCs w:val="20"/>
        </w:rPr>
        <w:t xml:space="preserve"> </w:t>
      </w:r>
      <w:proofErr w:type="spellStart"/>
      <w:r w:rsidRPr="007F3A2E">
        <w:rPr>
          <w:rFonts w:eastAsia="Arial" w:cs="Arial"/>
          <w:sz w:val="20"/>
          <w:szCs w:val="20"/>
        </w:rPr>
        <w:t>kuhlii</w:t>
      </w:r>
      <w:proofErr w:type="spellEnd"/>
      <w:r w:rsidRPr="007F3A2E">
        <w:rPr>
          <w:rFonts w:eastAsia="Arial" w:cs="Arial"/>
          <w:sz w:val="20"/>
          <w:szCs w:val="20"/>
        </w:rPr>
        <w:t xml:space="preserve"> cf. </w:t>
      </w:r>
      <w:proofErr w:type="spellStart"/>
      <w:r w:rsidRPr="007F3A2E">
        <w:rPr>
          <w:rFonts w:eastAsia="Arial" w:cs="Arial"/>
          <w:sz w:val="20"/>
          <w:szCs w:val="20"/>
        </w:rPr>
        <w:t>eregoodootenkee</w:t>
      </w:r>
      <w:proofErr w:type="spellEnd"/>
      <w:r w:rsidRPr="007F3A2E">
        <w:rPr>
          <w:rFonts w:eastAsia="Arial" w:cs="Arial"/>
          <w:sz w:val="20"/>
          <w:szCs w:val="20"/>
        </w:rPr>
        <w:t xml:space="preserve">. Endanger Species Res. 35, 71–80. </w:t>
      </w:r>
      <w:proofErr w:type="spellStart"/>
      <w:r w:rsidRPr="007F3A2E">
        <w:rPr>
          <w:rFonts w:eastAsia="Arial" w:cs="Arial"/>
          <w:sz w:val="20"/>
          <w:szCs w:val="20"/>
        </w:rPr>
        <w:t>doi</w:t>
      </w:r>
      <w:proofErr w:type="spellEnd"/>
      <w:r w:rsidRPr="007F3A2E">
        <w:rPr>
          <w:rFonts w:eastAsia="Arial" w:cs="Arial"/>
          <w:sz w:val="20"/>
          <w:szCs w:val="20"/>
        </w:rPr>
        <w:t>: 10.3354/esr00876</w:t>
      </w:r>
    </w:p>
    <w:p w14:paraId="7ED75B50" w14:textId="77777777" w:rsidR="00E42EB4" w:rsidRPr="00C971E7" w:rsidRDefault="004C1ADE">
      <w:pPr>
        <w:spacing w:after="80" w:line="240" w:lineRule="auto"/>
        <w:ind w:left="562" w:hanging="562"/>
        <w:jc w:val="both"/>
        <w:rPr>
          <w:rFonts w:eastAsia="Arial" w:cs="Arial"/>
          <w:sz w:val="20"/>
          <w:szCs w:val="20"/>
        </w:rPr>
      </w:pPr>
      <w:proofErr w:type="spellStart"/>
      <w:r w:rsidRPr="007F3A2E">
        <w:rPr>
          <w:rFonts w:eastAsia="Arial" w:cs="Arial"/>
          <w:sz w:val="20"/>
          <w:szCs w:val="20"/>
        </w:rPr>
        <w:t>Bucair</w:t>
      </w:r>
      <w:proofErr w:type="spellEnd"/>
      <w:r w:rsidRPr="007F3A2E">
        <w:rPr>
          <w:rFonts w:eastAsia="Arial" w:cs="Arial"/>
          <w:sz w:val="20"/>
          <w:szCs w:val="20"/>
        </w:rPr>
        <w:t xml:space="preserve">, N. et al (2025) An integrative taxonomy investigation unravels a cryptic species of </w:t>
      </w:r>
      <w:proofErr w:type="spellStart"/>
      <w:r w:rsidRPr="007F3A2E">
        <w:rPr>
          <w:rFonts w:eastAsia="Arial" w:cs="Arial"/>
          <w:sz w:val="20"/>
          <w:szCs w:val="20"/>
        </w:rPr>
        <w:t>Mobula</w:t>
      </w:r>
      <w:proofErr w:type="spellEnd"/>
      <w:r w:rsidRPr="007F3A2E">
        <w:rPr>
          <w:rFonts w:eastAsia="Arial" w:cs="Arial"/>
          <w:sz w:val="20"/>
          <w:szCs w:val="20"/>
        </w:rPr>
        <w:t xml:space="preserve"> Rafinesque, 1810 (</w:t>
      </w:r>
      <w:proofErr w:type="spellStart"/>
      <w:r w:rsidRPr="007F3A2E">
        <w:rPr>
          <w:rFonts w:eastAsia="Arial" w:cs="Arial"/>
          <w:sz w:val="20"/>
          <w:szCs w:val="20"/>
        </w:rPr>
        <w:t>Mobulidae</w:t>
      </w:r>
      <w:proofErr w:type="spellEnd"/>
      <w:r w:rsidRPr="007F3A2E">
        <w:rPr>
          <w:rFonts w:eastAsia="Arial" w:cs="Arial"/>
          <w:sz w:val="20"/>
          <w:szCs w:val="20"/>
        </w:rPr>
        <w:t xml:space="preserve">, </w:t>
      </w:r>
      <w:proofErr w:type="spellStart"/>
      <w:r w:rsidRPr="007F3A2E">
        <w:rPr>
          <w:rFonts w:eastAsia="Arial" w:cs="Arial"/>
          <w:sz w:val="20"/>
          <w:szCs w:val="20"/>
        </w:rPr>
        <w:t>Myliobatiformes</w:t>
      </w:r>
      <w:proofErr w:type="spellEnd"/>
      <w:r w:rsidRPr="007F3A2E">
        <w:rPr>
          <w:rFonts w:eastAsia="Arial" w:cs="Arial"/>
          <w:sz w:val="20"/>
          <w:szCs w:val="20"/>
        </w:rPr>
        <w:t xml:space="preserve">), from the Atlantic Ocean. </w:t>
      </w:r>
      <w:proofErr w:type="spellStart"/>
      <w:r w:rsidRPr="00C971E7">
        <w:rPr>
          <w:rFonts w:eastAsia="Arial" w:cs="Arial"/>
          <w:sz w:val="20"/>
          <w:szCs w:val="20"/>
        </w:rPr>
        <w:t>Enviromental</w:t>
      </w:r>
      <w:proofErr w:type="spellEnd"/>
      <w:r w:rsidRPr="00C971E7">
        <w:rPr>
          <w:rFonts w:eastAsia="Arial" w:cs="Arial"/>
          <w:sz w:val="20"/>
          <w:szCs w:val="20"/>
        </w:rPr>
        <w:t xml:space="preserve"> Biology of Fishes. https://doi.org/10.1007/s10641-025-01727-2</w:t>
      </w:r>
    </w:p>
    <w:p w14:paraId="26D6FFD4" w14:textId="77777777" w:rsidR="00E42EB4" w:rsidRPr="007F3A2E" w:rsidRDefault="004C1ADE">
      <w:pPr>
        <w:spacing w:after="80" w:line="240" w:lineRule="auto"/>
        <w:ind w:left="562" w:hanging="562"/>
        <w:jc w:val="both"/>
        <w:rPr>
          <w:rFonts w:eastAsia="Arial" w:cs="Arial"/>
          <w:sz w:val="20"/>
          <w:szCs w:val="20"/>
        </w:rPr>
      </w:pPr>
      <w:r w:rsidRPr="00C971E7">
        <w:rPr>
          <w:rFonts w:eastAsia="Arial" w:cs="Arial"/>
          <w:sz w:val="20"/>
          <w:szCs w:val="20"/>
        </w:rPr>
        <w:t xml:space="preserve">Chopra, M., Rowlands, M. G., Stevens, G. M. W., Fernando, D., Mohanraj, T., </w:t>
      </w:r>
      <w:proofErr w:type="spellStart"/>
      <w:r w:rsidRPr="00C971E7">
        <w:rPr>
          <w:rFonts w:eastAsia="Arial" w:cs="Arial"/>
          <w:sz w:val="20"/>
          <w:szCs w:val="20"/>
        </w:rPr>
        <w:t>Laglbauer</w:t>
      </w:r>
      <w:proofErr w:type="spellEnd"/>
      <w:r w:rsidRPr="00C971E7">
        <w:rPr>
          <w:rFonts w:eastAsia="Arial" w:cs="Arial"/>
          <w:sz w:val="20"/>
          <w:szCs w:val="20"/>
        </w:rPr>
        <w:t xml:space="preserve">, B. J., Karnad, D., &amp; Katrina, D. (2025). </w:t>
      </w:r>
      <w:r w:rsidRPr="007F3A2E">
        <w:rPr>
          <w:rFonts w:eastAsia="Arial" w:cs="Arial"/>
          <w:sz w:val="20"/>
          <w:szCs w:val="20"/>
        </w:rPr>
        <w:t xml:space="preserve">Fewer devil rays in the sea: Evidence of declining </w:t>
      </w:r>
      <w:proofErr w:type="spellStart"/>
      <w:r w:rsidRPr="007F3A2E">
        <w:rPr>
          <w:rFonts w:eastAsia="Arial" w:cs="Arial"/>
          <w:sz w:val="20"/>
          <w:szCs w:val="20"/>
        </w:rPr>
        <w:t>mobulid</w:t>
      </w:r>
      <w:proofErr w:type="spellEnd"/>
      <w:r w:rsidRPr="007F3A2E">
        <w:rPr>
          <w:rFonts w:eastAsia="Arial" w:cs="Arial"/>
          <w:sz w:val="20"/>
          <w:szCs w:val="20"/>
        </w:rPr>
        <w:t xml:space="preserve"> populations off India’s southeastern coast. [In review]</w:t>
      </w:r>
    </w:p>
    <w:p w14:paraId="212133EC" w14:textId="77777777" w:rsidR="00E42EB4" w:rsidRPr="00C971E7"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Couturier, L. I. E., Marshall, A. D., Jaine, F. R. A., Kashiwagi, T., Pierce, S. J., Townsend, K. A., Weeks, S. J., Bennett, M. B. and Richardson, A. J. (2012) Biology, ecology and conservation of the </w:t>
      </w:r>
      <w:proofErr w:type="spellStart"/>
      <w:r w:rsidRPr="007F3A2E">
        <w:rPr>
          <w:rFonts w:eastAsia="Arial" w:cs="Arial"/>
          <w:sz w:val="20"/>
          <w:szCs w:val="20"/>
        </w:rPr>
        <w:t>Mobulidae</w:t>
      </w:r>
      <w:proofErr w:type="spellEnd"/>
      <w:r w:rsidRPr="007F3A2E">
        <w:rPr>
          <w:rFonts w:eastAsia="Arial" w:cs="Arial"/>
          <w:sz w:val="20"/>
          <w:szCs w:val="20"/>
        </w:rPr>
        <w:t xml:space="preserve">. </w:t>
      </w:r>
      <w:r w:rsidRPr="00C971E7">
        <w:rPr>
          <w:rFonts w:eastAsia="Arial" w:cs="Arial"/>
          <w:sz w:val="20"/>
          <w:szCs w:val="20"/>
        </w:rPr>
        <w:t xml:space="preserve">J. Fish. Biol., 80, 1075-1119. </w:t>
      </w:r>
    </w:p>
    <w:p w14:paraId="11D1984A"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Croll, D. A., Newton, K. M., Weng, K., Galván-Magaña, F., O’Sullivan, J., and Dewar, H. (2012). Movement and habitat use by the spine-tail devil ray in the Eastern Pacific Ocean. Mar. Ecol. Prog. Series 465, 193–200. </w:t>
      </w:r>
      <w:proofErr w:type="spellStart"/>
      <w:r w:rsidRPr="007F3A2E">
        <w:rPr>
          <w:rFonts w:eastAsia="Arial" w:cs="Arial"/>
          <w:sz w:val="20"/>
          <w:szCs w:val="20"/>
        </w:rPr>
        <w:t>doi</w:t>
      </w:r>
      <w:proofErr w:type="spellEnd"/>
      <w:r w:rsidRPr="007F3A2E">
        <w:rPr>
          <w:rFonts w:eastAsia="Arial" w:cs="Arial"/>
          <w:sz w:val="20"/>
          <w:szCs w:val="20"/>
        </w:rPr>
        <w:t>: 10.3354/meps09900</w:t>
      </w:r>
    </w:p>
    <w:p w14:paraId="30CC0129"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Croll, D. A., Dewar, H., </w:t>
      </w:r>
      <w:proofErr w:type="spellStart"/>
      <w:r w:rsidRPr="007F3A2E">
        <w:rPr>
          <w:rFonts w:eastAsia="Arial" w:cs="Arial"/>
          <w:sz w:val="20"/>
          <w:szCs w:val="20"/>
        </w:rPr>
        <w:t>Dulvy</w:t>
      </w:r>
      <w:proofErr w:type="spellEnd"/>
      <w:r w:rsidRPr="007F3A2E">
        <w:rPr>
          <w:rFonts w:eastAsia="Arial" w:cs="Arial"/>
          <w:sz w:val="20"/>
          <w:szCs w:val="20"/>
        </w:rPr>
        <w:t xml:space="preserve">, N. K., Fernando, D., Francis, M. P., Galván-Magaña, F., Hall, M., Heinrichs, S., Marshall, A., McCauley, D., Newton, K. M., Notarbartolo di Sciara, G., O’Malley, M., O’Sullivan, J., Poortvliet, M., Roman, M., Stevens, G., </w:t>
      </w:r>
      <w:proofErr w:type="spellStart"/>
      <w:r w:rsidRPr="007F3A2E">
        <w:rPr>
          <w:rFonts w:eastAsia="Arial" w:cs="Arial"/>
          <w:sz w:val="20"/>
          <w:szCs w:val="20"/>
        </w:rPr>
        <w:t>Tershy</w:t>
      </w:r>
      <w:proofErr w:type="spellEnd"/>
      <w:r w:rsidRPr="007F3A2E">
        <w:rPr>
          <w:rFonts w:eastAsia="Arial" w:cs="Arial"/>
          <w:sz w:val="20"/>
          <w:szCs w:val="20"/>
        </w:rPr>
        <w:t xml:space="preserve">, B. R. and White, W. T. (2016) Vulnerabilities and fisheries impacts: the uncertain future of manta and devil rays. </w:t>
      </w:r>
      <w:r w:rsidRPr="00C971E7">
        <w:rPr>
          <w:rFonts w:eastAsia="Arial" w:cs="Arial"/>
          <w:sz w:val="20"/>
          <w:szCs w:val="20"/>
          <w:lang w:val="en-US"/>
        </w:rPr>
        <w:t xml:space="preserve">Aquatic </w:t>
      </w:r>
      <w:proofErr w:type="spellStart"/>
      <w:r w:rsidRPr="00C971E7">
        <w:rPr>
          <w:rFonts w:eastAsia="Arial" w:cs="Arial"/>
          <w:sz w:val="20"/>
          <w:szCs w:val="20"/>
          <w:lang w:val="en-US"/>
        </w:rPr>
        <w:t>Conserv</w:t>
      </w:r>
      <w:proofErr w:type="spellEnd"/>
      <w:r w:rsidRPr="00C971E7">
        <w:rPr>
          <w:rFonts w:eastAsia="Arial" w:cs="Arial"/>
          <w:sz w:val="20"/>
          <w:szCs w:val="20"/>
          <w:lang w:val="en-US"/>
        </w:rPr>
        <w:t xml:space="preserve">: Mar. </w:t>
      </w:r>
      <w:proofErr w:type="spellStart"/>
      <w:r w:rsidRPr="00C971E7">
        <w:rPr>
          <w:rFonts w:eastAsia="Arial" w:cs="Arial"/>
          <w:sz w:val="20"/>
          <w:szCs w:val="20"/>
          <w:lang w:val="en-US"/>
        </w:rPr>
        <w:t>Freshw</w:t>
      </w:r>
      <w:proofErr w:type="spellEnd"/>
      <w:r w:rsidRPr="00C971E7">
        <w:rPr>
          <w:rFonts w:eastAsia="Arial" w:cs="Arial"/>
          <w:sz w:val="20"/>
          <w:szCs w:val="20"/>
          <w:lang w:val="en-US"/>
        </w:rPr>
        <w:t xml:space="preserve">. </w:t>
      </w:r>
      <w:proofErr w:type="spellStart"/>
      <w:r w:rsidRPr="007F3A2E">
        <w:rPr>
          <w:rFonts w:eastAsia="Arial" w:cs="Arial"/>
          <w:sz w:val="20"/>
          <w:szCs w:val="20"/>
        </w:rPr>
        <w:t>Ecosyst</w:t>
      </w:r>
      <w:proofErr w:type="spellEnd"/>
      <w:r w:rsidRPr="007F3A2E">
        <w:rPr>
          <w:rFonts w:eastAsia="Arial" w:cs="Arial"/>
          <w:sz w:val="20"/>
          <w:szCs w:val="20"/>
        </w:rPr>
        <w:t xml:space="preserve">., 26: 562-575. </w:t>
      </w:r>
    </w:p>
    <w:p w14:paraId="1D55572A" w14:textId="77777777" w:rsidR="00E42EB4" w:rsidRPr="007F3A2E" w:rsidRDefault="004C1ADE">
      <w:pPr>
        <w:spacing w:after="80" w:line="240" w:lineRule="auto"/>
        <w:ind w:left="562" w:hanging="562"/>
        <w:jc w:val="both"/>
        <w:rPr>
          <w:rFonts w:eastAsia="Arial" w:cs="Arial"/>
          <w:sz w:val="20"/>
          <w:szCs w:val="20"/>
        </w:rPr>
      </w:pPr>
      <w:proofErr w:type="spellStart"/>
      <w:r w:rsidRPr="007F3A2E">
        <w:rPr>
          <w:rFonts w:eastAsia="Arial" w:cs="Arial"/>
          <w:sz w:val="20"/>
          <w:szCs w:val="20"/>
        </w:rPr>
        <w:t>Dulvy</w:t>
      </w:r>
      <w:proofErr w:type="spellEnd"/>
      <w:r w:rsidRPr="007F3A2E">
        <w:rPr>
          <w:rFonts w:eastAsia="Arial" w:cs="Arial"/>
          <w:sz w:val="20"/>
          <w:szCs w:val="20"/>
        </w:rPr>
        <w:t xml:space="preserve">, N. K., Pardo, S. A., </w:t>
      </w:r>
      <w:proofErr w:type="spellStart"/>
      <w:r w:rsidRPr="007F3A2E">
        <w:rPr>
          <w:rFonts w:eastAsia="Arial" w:cs="Arial"/>
          <w:sz w:val="20"/>
          <w:szCs w:val="20"/>
        </w:rPr>
        <w:t>Simpfendorfer</w:t>
      </w:r>
      <w:proofErr w:type="spellEnd"/>
      <w:r w:rsidRPr="007F3A2E">
        <w:rPr>
          <w:rFonts w:eastAsia="Arial" w:cs="Arial"/>
          <w:sz w:val="20"/>
          <w:szCs w:val="20"/>
        </w:rPr>
        <w:t xml:space="preserve">, C. A. and Carlson, J. K. (2014) Diagnosing the dangerous demography of manta rays using life history theory, </w:t>
      </w:r>
      <w:proofErr w:type="spellStart"/>
      <w:r w:rsidRPr="007F3A2E">
        <w:rPr>
          <w:rFonts w:eastAsia="Arial" w:cs="Arial"/>
          <w:sz w:val="20"/>
          <w:szCs w:val="20"/>
        </w:rPr>
        <w:t>PeerJ</w:t>
      </w:r>
      <w:proofErr w:type="spellEnd"/>
      <w:r w:rsidRPr="007F3A2E">
        <w:rPr>
          <w:rFonts w:eastAsia="Arial" w:cs="Arial"/>
          <w:sz w:val="20"/>
          <w:szCs w:val="20"/>
        </w:rPr>
        <w:t>, 2:e400.</w:t>
      </w:r>
    </w:p>
    <w:p w14:paraId="6DFDB4DB" w14:textId="77777777" w:rsidR="00E42EB4" w:rsidRPr="00C971E7" w:rsidRDefault="004C1ADE">
      <w:pPr>
        <w:spacing w:after="80" w:line="240" w:lineRule="auto"/>
        <w:ind w:left="562" w:hanging="562"/>
        <w:jc w:val="both"/>
        <w:rPr>
          <w:rFonts w:eastAsia="Arial" w:cs="Arial"/>
          <w:sz w:val="20"/>
          <w:szCs w:val="20"/>
          <w:lang w:val="es-ES"/>
        </w:rPr>
      </w:pPr>
      <w:r w:rsidRPr="007F3A2E">
        <w:rPr>
          <w:rFonts w:eastAsia="Arial" w:cs="Arial"/>
          <w:sz w:val="20"/>
          <w:szCs w:val="20"/>
        </w:rPr>
        <w:t xml:space="preserve">Fernando D., Stewart J.D. (2021) High bycatch rates of manta and devil rays in the "small-scale" artisanal fisheries of Sri Lanka. </w:t>
      </w:r>
      <w:proofErr w:type="spellStart"/>
      <w:r w:rsidRPr="00C971E7">
        <w:rPr>
          <w:rFonts w:eastAsia="Arial" w:cs="Arial"/>
          <w:sz w:val="20"/>
          <w:szCs w:val="20"/>
          <w:lang w:val="es-ES"/>
        </w:rPr>
        <w:t>PeerJ</w:t>
      </w:r>
      <w:proofErr w:type="spellEnd"/>
      <w:r w:rsidRPr="00C971E7">
        <w:rPr>
          <w:rFonts w:eastAsia="Arial" w:cs="Arial"/>
          <w:sz w:val="20"/>
          <w:szCs w:val="20"/>
          <w:lang w:val="es-ES"/>
        </w:rPr>
        <w:t xml:space="preserve"> 9. https://doi.org/10.7717/PEERJ.11994</w:t>
      </w:r>
    </w:p>
    <w:p w14:paraId="39102427" w14:textId="77777777" w:rsidR="00E42EB4" w:rsidRPr="007F3A2E" w:rsidRDefault="004C1ADE">
      <w:pPr>
        <w:spacing w:after="80" w:line="240" w:lineRule="auto"/>
        <w:ind w:left="562" w:hanging="562"/>
        <w:jc w:val="both"/>
        <w:rPr>
          <w:rFonts w:eastAsia="Arial" w:cs="Arial"/>
          <w:sz w:val="20"/>
          <w:szCs w:val="20"/>
        </w:rPr>
      </w:pPr>
      <w:r w:rsidRPr="00C971E7">
        <w:rPr>
          <w:rFonts w:eastAsia="Arial" w:cs="Arial"/>
          <w:sz w:val="20"/>
          <w:szCs w:val="20"/>
          <w:lang w:val="es-ES"/>
        </w:rPr>
        <w:t xml:space="preserve">Francis, M.P., Jones, E.G. (2016). </w:t>
      </w:r>
      <w:r w:rsidRPr="007F3A2E">
        <w:rPr>
          <w:rFonts w:eastAsia="Arial" w:cs="Arial"/>
          <w:sz w:val="20"/>
          <w:szCs w:val="20"/>
        </w:rPr>
        <w:t xml:space="preserve">Movement, depth distribution and survival of </w:t>
      </w:r>
      <w:proofErr w:type="spellStart"/>
      <w:r w:rsidRPr="007F3A2E">
        <w:rPr>
          <w:rFonts w:eastAsia="Arial" w:cs="Arial"/>
          <w:sz w:val="20"/>
          <w:szCs w:val="20"/>
        </w:rPr>
        <w:t>spinetail</w:t>
      </w:r>
      <w:proofErr w:type="spellEnd"/>
      <w:r w:rsidRPr="007F3A2E">
        <w:rPr>
          <w:rFonts w:eastAsia="Arial" w:cs="Arial"/>
          <w:sz w:val="20"/>
          <w:szCs w:val="20"/>
        </w:rPr>
        <w:t xml:space="preserve"> </w:t>
      </w:r>
      <w:proofErr w:type="spellStart"/>
      <w:r w:rsidRPr="007F3A2E">
        <w:rPr>
          <w:rFonts w:eastAsia="Arial" w:cs="Arial"/>
          <w:sz w:val="20"/>
          <w:szCs w:val="20"/>
        </w:rPr>
        <w:t>devilrays</w:t>
      </w:r>
      <w:proofErr w:type="spellEnd"/>
      <w:r w:rsidRPr="007F3A2E">
        <w:rPr>
          <w:rFonts w:eastAsia="Arial" w:cs="Arial"/>
          <w:sz w:val="20"/>
          <w:szCs w:val="20"/>
        </w:rPr>
        <w:t xml:space="preserve"> (</w:t>
      </w:r>
      <w:proofErr w:type="spellStart"/>
      <w:r w:rsidRPr="007F3A2E">
        <w:rPr>
          <w:rFonts w:eastAsia="Arial" w:cs="Arial"/>
          <w:i/>
          <w:sz w:val="20"/>
          <w:szCs w:val="20"/>
        </w:rPr>
        <w:t>Mobula</w:t>
      </w:r>
      <w:proofErr w:type="spellEnd"/>
      <w:r w:rsidRPr="007F3A2E">
        <w:rPr>
          <w:rFonts w:eastAsia="Arial" w:cs="Arial"/>
          <w:i/>
          <w:sz w:val="20"/>
          <w:szCs w:val="20"/>
        </w:rPr>
        <w:t xml:space="preserve"> </w:t>
      </w:r>
      <w:proofErr w:type="spellStart"/>
      <w:r w:rsidRPr="007F3A2E">
        <w:rPr>
          <w:rFonts w:eastAsia="Arial" w:cs="Arial"/>
          <w:i/>
          <w:sz w:val="20"/>
          <w:szCs w:val="20"/>
        </w:rPr>
        <w:t>japanica</w:t>
      </w:r>
      <w:proofErr w:type="spellEnd"/>
      <w:r w:rsidRPr="007F3A2E">
        <w:rPr>
          <w:rFonts w:eastAsia="Arial" w:cs="Arial"/>
          <w:sz w:val="20"/>
          <w:szCs w:val="20"/>
        </w:rPr>
        <w:t xml:space="preserve">) tagged and released from purse-seine catches in New Zealand. </w:t>
      </w:r>
      <w:proofErr w:type="spellStart"/>
      <w:r w:rsidRPr="007F3A2E">
        <w:rPr>
          <w:rFonts w:eastAsia="Arial" w:cs="Arial"/>
          <w:sz w:val="20"/>
          <w:szCs w:val="20"/>
        </w:rPr>
        <w:t>Aquat</w:t>
      </w:r>
      <w:proofErr w:type="spellEnd"/>
      <w:r w:rsidRPr="007F3A2E">
        <w:rPr>
          <w:rFonts w:eastAsia="Arial" w:cs="Arial"/>
          <w:sz w:val="20"/>
          <w:szCs w:val="20"/>
        </w:rPr>
        <w:t xml:space="preserve">. </w:t>
      </w:r>
      <w:proofErr w:type="spellStart"/>
      <w:r w:rsidRPr="007F3A2E">
        <w:rPr>
          <w:rFonts w:eastAsia="Arial" w:cs="Arial"/>
          <w:sz w:val="20"/>
          <w:szCs w:val="20"/>
        </w:rPr>
        <w:t>Conserv</w:t>
      </w:r>
      <w:proofErr w:type="spellEnd"/>
      <w:r w:rsidRPr="007F3A2E">
        <w:rPr>
          <w:rFonts w:eastAsia="Arial" w:cs="Arial"/>
          <w:sz w:val="20"/>
          <w:szCs w:val="20"/>
        </w:rPr>
        <w:t xml:space="preserve">. Mar. </w:t>
      </w:r>
      <w:proofErr w:type="spellStart"/>
      <w:r w:rsidRPr="007F3A2E">
        <w:rPr>
          <w:rFonts w:eastAsia="Arial" w:cs="Arial"/>
          <w:sz w:val="20"/>
          <w:szCs w:val="20"/>
        </w:rPr>
        <w:t>Freshw</w:t>
      </w:r>
      <w:proofErr w:type="spellEnd"/>
      <w:r w:rsidRPr="007F3A2E">
        <w:rPr>
          <w:rFonts w:eastAsia="Arial" w:cs="Arial"/>
          <w:sz w:val="20"/>
          <w:szCs w:val="20"/>
        </w:rPr>
        <w:t xml:space="preserve">. </w:t>
      </w:r>
      <w:proofErr w:type="spellStart"/>
      <w:r w:rsidRPr="007F3A2E">
        <w:rPr>
          <w:rFonts w:eastAsia="Arial" w:cs="Arial"/>
          <w:sz w:val="20"/>
          <w:szCs w:val="20"/>
        </w:rPr>
        <w:t>Ecosyst</w:t>
      </w:r>
      <w:proofErr w:type="spellEnd"/>
      <w:r w:rsidRPr="007F3A2E">
        <w:rPr>
          <w:rFonts w:eastAsia="Arial" w:cs="Arial"/>
          <w:sz w:val="20"/>
          <w:szCs w:val="20"/>
        </w:rPr>
        <w:t xml:space="preserve">. 27, 219–236. </w:t>
      </w:r>
      <w:proofErr w:type="spellStart"/>
      <w:r w:rsidRPr="007F3A2E">
        <w:rPr>
          <w:rFonts w:eastAsia="Arial" w:cs="Arial"/>
          <w:sz w:val="20"/>
          <w:szCs w:val="20"/>
        </w:rPr>
        <w:t>doi</w:t>
      </w:r>
      <w:proofErr w:type="spellEnd"/>
      <w:r w:rsidRPr="007F3A2E">
        <w:rPr>
          <w:rFonts w:eastAsia="Arial" w:cs="Arial"/>
          <w:sz w:val="20"/>
          <w:szCs w:val="20"/>
        </w:rPr>
        <w:t>: 10.1002/aqc.2641</w:t>
      </w:r>
    </w:p>
    <w:p w14:paraId="3B47C9E7"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Food and Agriculture Organization of the United Nations. (FAO) (2024). </w:t>
      </w:r>
      <w:proofErr w:type="spellStart"/>
      <w:r w:rsidRPr="007F3A2E">
        <w:rPr>
          <w:rFonts w:eastAsia="Arial" w:cs="Arial"/>
          <w:sz w:val="20"/>
          <w:szCs w:val="20"/>
        </w:rPr>
        <w:t>FishStatJ</w:t>
      </w:r>
      <w:proofErr w:type="spellEnd"/>
      <w:r w:rsidRPr="007F3A2E">
        <w:rPr>
          <w:rFonts w:eastAsia="Arial" w:cs="Arial"/>
          <w:sz w:val="20"/>
          <w:szCs w:val="20"/>
        </w:rPr>
        <w:t xml:space="preserve">: Global capture production dataset (2016–2023 catches of </w:t>
      </w:r>
      <w:proofErr w:type="spellStart"/>
      <w:r w:rsidRPr="007F3A2E">
        <w:rPr>
          <w:rFonts w:eastAsia="Arial" w:cs="Arial"/>
          <w:sz w:val="20"/>
          <w:szCs w:val="20"/>
        </w:rPr>
        <w:t>mobulid</w:t>
      </w:r>
      <w:proofErr w:type="spellEnd"/>
      <w:r w:rsidRPr="007F3A2E">
        <w:rPr>
          <w:rFonts w:eastAsia="Arial" w:cs="Arial"/>
          <w:sz w:val="20"/>
          <w:szCs w:val="20"/>
        </w:rPr>
        <w:t xml:space="preserve"> species in Indonesia). </w:t>
      </w:r>
      <w:proofErr w:type="spellStart"/>
      <w:r w:rsidRPr="007F3A2E">
        <w:rPr>
          <w:rFonts w:eastAsia="Arial" w:cs="Arial"/>
          <w:sz w:val="20"/>
          <w:szCs w:val="20"/>
        </w:rPr>
        <w:t>Acceced</w:t>
      </w:r>
      <w:proofErr w:type="spellEnd"/>
      <w:r w:rsidRPr="007F3A2E">
        <w:rPr>
          <w:rFonts w:eastAsia="Arial" w:cs="Arial"/>
          <w:sz w:val="20"/>
          <w:szCs w:val="20"/>
        </w:rPr>
        <w:t xml:space="preserve"> September 13, 2024, from. https://www.fao.org/fishery/statistics/software/fishstatj/</w:t>
      </w:r>
    </w:p>
    <w:p w14:paraId="4C1985AC"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Food and Agriculture Organization of the United Nations (FAO). (2025a). </w:t>
      </w:r>
      <w:proofErr w:type="spellStart"/>
      <w:r w:rsidRPr="007F3A2E">
        <w:rPr>
          <w:rFonts w:eastAsia="Arial" w:cs="Arial"/>
          <w:sz w:val="20"/>
          <w:szCs w:val="20"/>
        </w:rPr>
        <w:t>FishStatJ</w:t>
      </w:r>
      <w:proofErr w:type="spellEnd"/>
      <w:r w:rsidRPr="007F3A2E">
        <w:rPr>
          <w:rFonts w:eastAsia="Arial" w:cs="Arial"/>
          <w:sz w:val="20"/>
          <w:szCs w:val="20"/>
        </w:rPr>
        <w:t>: Software for Fishery Statistical Time Series: “Reported catches of marine fishes in Mexico (2019–2022)”. Fisheries and Aquaculture Division. Food and Agriculture Organization of the United Nations. Accessed May 22, 2025, from http://www.fao.org/fishery/statistics/software/fishstatj/</w:t>
      </w:r>
    </w:p>
    <w:p w14:paraId="0A2A00C3" w14:textId="77777777" w:rsidR="00E42EB4" w:rsidRPr="00C971E7" w:rsidRDefault="004C1ADE">
      <w:pPr>
        <w:spacing w:after="80" w:line="240" w:lineRule="auto"/>
        <w:ind w:left="562" w:hanging="562"/>
        <w:jc w:val="both"/>
        <w:rPr>
          <w:rFonts w:eastAsia="Arial" w:cs="Arial"/>
          <w:sz w:val="20"/>
          <w:szCs w:val="20"/>
          <w:lang w:val="en-US"/>
        </w:rPr>
      </w:pPr>
      <w:r w:rsidRPr="007F3A2E">
        <w:rPr>
          <w:rFonts w:eastAsia="Arial" w:cs="Arial"/>
          <w:sz w:val="20"/>
          <w:szCs w:val="20"/>
          <w:lang w:val="nl-BE"/>
        </w:rPr>
        <w:t xml:space="preserve">Harris, J. L., &amp; Stevens, G. M. (2021). </w:t>
      </w:r>
      <w:r w:rsidRPr="007F3A2E">
        <w:rPr>
          <w:rFonts w:eastAsia="Arial" w:cs="Arial"/>
          <w:sz w:val="20"/>
          <w:szCs w:val="20"/>
        </w:rPr>
        <w:t>Environmental drivers of reef manta ray (</w:t>
      </w:r>
      <w:proofErr w:type="spellStart"/>
      <w:r w:rsidRPr="007F3A2E">
        <w:rPr>
          <w:rFonts w:eastAsia="Arial" w:cs="Arial"/>
          <w:i/>
          <w:sz w:val="20"/>
          <w:szCs w:val="20"/>
        </w:rPr>
        <w:t>Mobula</w:t>
      </w:r>
      <w:proofErr w:type="spellEnd"/>
      <w:r w:rsidRPr="007F3A2E">
        <w:rPr>
          <w:rFonts w:eastAsia="Arial" w:cs="Arial"/>
          <w:i/>
          <w:sz w:val="20"/>
          <w:szCs w:val="20"/>
        </w:rPr>
        <w:t xml:space="preserve"> </w:t>
      </w:r>
      <w:proofErr w:type="spellStart"/>
      <w:r w:rsidRPr="007F3A2E">
        <w:rPr>
          <w:rFonts w:eastAsia="Arial" w:cs="Arial"/>
          <w:i/>
          <w:sz w:val="20"/>
          <w:szCs w:val="20"/>
        </w:rPr>
        <w:t>alfredi</w:t>
      </w:r>
      <w:proofErr w:type="spellEnd"/>
      <w:r w:rsidRPr="007F3A2E">
        <w:rPr>
          <w:rFonts w:eastAsia="Arial" w:cs="Arial"/>
          <w:sz w:val="20"/>
          <w:szCs w:val="20"/>
        </w:rPr>
        <w:t xml:space="preserve">) visitation patterns to key aggregation habitats in the Maldives. </w:t>
      </w:r>
      <w:proofErr w:type="spellStart"/>
      <w:r w:rsidRPr="00C971E7">
        <w:rPr>
          <w:rFonts w:eastAsia="Arial" w:cs="Arial"/>
          <w:sz w:val="20"/>
          <w:szCs w:val="20"/>
          <w:lang w:val="en-US"/>
        </w:rPr>
        <w:t>PLoS</w:t>
      </w:r>
      <w:proofErr w:type="spellEnd"/>
      <w:r w:rsidRPr="00C971E7">
        <w:rPr>
          <w:rFonts w:eastAsia="Arial" w:cs="Arial"/>
          <w:sz w:val="20"/>
          <w:szCs w:val="20"/>
          <w:lang w:val="en-US"/>
        </w:rPr>
        <w:t xml:space="preserve"> One, 16(6), e0252470.</w:t>
      </w:r>
    </w:p>
    <w:p w14:paraId="086BF430"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Indian Ocean Tuna Commission (IOTC). (2025a). Public domain dataset: Reported catches of </w:t>
      </w:r>
      <w:proofErr w:type="spellStart"/>
      <w:r w:rsidRPr="007F3A2E">
        <w:rPr>
          <w:rFonts w:eastAsia="Arial" w:cs="Arial"/>
          <w:sz w:val="20"/>
          <w:szCs w:val="20"/>
        </w:rPr>
        <w:t>mobulid</w:t>
      </w:r>
      <w:proofErr w:type="spellEnd"/>
      <w:r w:rsidRPr="007F3A2E">
        <w:rPr>
          <w:rFonts w:eastAsia="Arial" w:cs="Arial"/>
          <w:sz w:val="20"/>
          <w:szCs w:val="20"/>
        </w:rPr>
        <w:t xml:space="preserve"> species in Kenya (2018–2022). IOTC Public Domain Data. https://iotc.org/data/datasets/public-domain-catch-and-effort. Accessed 8 Mar 2025</w:t>
      </w:r>
    </w:p>
    <w:p w14:paraId="30838385" w14:textId="77777777" w:rsidR="00E42EB4" w:rsidRPr="007F3A2E" w:rsidRDefault="004C1ADE">
      <w:pPr>
        <w:spacing w:after="80" w:line="240" w:lineRule="auto"/>
        <w:ind w:left="562" w:hanging="562"/>
        <w:jc w:val="both"/>
        <w:rPr>
          <w:rFonts w:eastAsia="Arial" w:cs="Arial"/>
          <w:sz w:val="20"/>
          <w:szCs w:val="20"/>
        </w:rPr>
      </w:pPr>
      <w:r w:rsidRPr="001162F5">
        <w:rPr>
          <w:rFonts w:eastAsia="Arial" w:cs="Arial"/>
          <w:sz w:val="20"/>
          <w:szCs w:val="20"/>
        </w:rPr>
        <w:t xml:space="preserve">Indian Ocean Tuna Commission (IOTC). </w:t>
      </w:r>
      <w:r w:rsidRPr="007F3A2E">
        <w:rPr>
          <w:rFonts w:eastAsia="Arial" w:cs="Arial"/>
          <w:sz w:val="20"/>
          <w:szCs w:val="20"/>
        </w:rPr>
        <w:t xml:space="preserve">(2025b). Public domain dataset: Reported catches of </w:t>
      </w:r>
      <w:proofErr w:type="spellStart"/>
      <w:r w:rsidRPr="007F3A2E">
        <w:rPr>
          <w:rFonts w:eastAsia="Arial" w:cs="Arial"/>
          <w:sz w:val="20"/>
          <w:szCs w:val="20"/>
        </w:rPr>
        <w:t>mobulid</w:t>
      </w:r>
      <w:proofErr w:type="spellEnd"/>
      <w:r w:rsidRPr="007F3A2E">
        <w:rPr>
          <w:rFonts w:eastAsia="Arial" w:cs="Arial"/>
          <w:sz w:val="20"/>
          <w:szCs w:val="20"/>
        </w:rPr>
        <w:t xml:space="preserve"> species in Pakistan (2006–2023). IOTC Public Domain Data. https://iotc.org/data/datasets/public-domain-catch-and-effort. Accessed 8 Mar 2025</w:t>
      </w:r>
    </w:p>
    <w:p w14:paraId="405953FE"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Hall, M. &amp; Roman, M. (2013) Bycatches and non-tuna </w:t>
      </w:r>
      <w:proofErr w:type="gramStart"/>
      <w:r w:rsidRPr="007F3A2E">
        <w:rPr>
          <w:rFonts w:eastAsia="Arial" w:cs="Arial"/>
          <w:sz w:val="20"/>
          <w:szCs w:val="20"/>
        </w:rPr>
        <w:t>catches</w:t>
      </w:r>
      <w:proofErr w:type="gramEnd"/>
      <w:r w:rsidRPr="007F3A2E">
        <w:rPr>
          <w:rFonts w:eastAsia="Arial" w:cs="Arial"/>
          <w:sz w:val="20"/>
          <w:szCs w:val="20"/>
        </w:rPr>
        <w:t xml:space="preserve"> in the tropical tuna purse seine fisheries of the world. FAO Fisheries and Aquaculture Technical Paper No. 568. Food and Agricultural Organization of the United Nations, Rome, Italy.</w:t>
      </w:r>
    </w:p>
    <w:p w14:paraId="3DF80679" w14:textId="77777777" w:rsidR="00E42EB4" w:rsidRPr="00C971E7" w:rsidRDefault="004C1ADE">
      <w:pPr>
        <w:spacing w:after="80" w:line="240" w:lineRule="auto"/>
        <w:ind w:left="562" w:hanging="562"/>
        <w:jc w:val="both"/>
        <w:rPr>
          <w:rFonts w:eastAsia="Arial" w:cs="Arial"/>
          <w:sz w:val="20"/>
          <w:szCs w:val="20"/>
          <w:lang w:val="en-US"/>
        </w:rPr>
      </w:pPr>
      <w:proofErr w:type="spellStart"/>
      <w:r w:rsidRPr="007F3A2E">
        <w:rPr>
          <w:rFonts w:eastAsia="Arial" w:cs="Arial"/>
          <w:sz w:val="20"/>
          <w:szCs w:val="20"/>
          <w:lang w:val="nl-BE"/>
        </w:rPr>
        <w:lastRenderedPageBreak/>
        <w:t>Humble</w:t>
      </w:r>
      <w:proofErr w:type="spellEnd"/>
      <w:r w:rsidRPr="007F3A2E">
        <w:rPr>
          <w:rFonts w:eastAsia="Arial" w:cs="Arial"/>
          <w:sz w:val="20"/>
          <w:szCs w:val="20"/>
          <w:lang w:val="nl-BE"/>
        </w:rPr>
        <w:t xml:space="preserve">, E., </w:t>
      </w:r>
      <w:proofErr w:type="spellStart"/>
      <w:r w:rsidRPr="007F3A2E">
        <w:rPr>
          <w:rFonts w:eastAsia="Arial" w:cs="Arial"/>
          <w:sz w:val="20"/>
          <w:szCs w:val="20"/>
          <w:lang w:val="nl-BE"/>
        </w:rPr>
        <w:t>Hosegood</w:t>
      </w:r>
      <w:proofErr w:type="spellEnd"/>
      <w:r w:rsidRPr="007F3A2E">
        <w:rPr>
          <w:rFonts w:eastAsia="Arial" w:cs="Arial"/>
          <w:sz w:val="20"/>
          <w:szCs w:val="20"/>
          <w:lang w:val="nl-BE"/>
        </w:rPr>
        <w:t xml:space="preserve">, J., </w:t>
      </w:r>
      <w:proofErr w:type="spellStart"/>
      <w:r w:rsidRPr="007F3A2E">
        <w:rPr>
          <w:rFonts w:eastAsia="Arial" w:cs="Arial"/>
          <w:sz w:val="20"/>
          <w:szCs w:val="20"/>
          <w:lang w:val="nl-BE"/>
        </w:rPr>
        <w:t>Carvalho</w:t>
      </w:r>
      <w:proofErr w:type="spellEnd"/>
      <w:r w:rsidRPr="007F3A2E">
        <w:rPr>
          <w:rFonts w:eastAsia="Arial" w:cs="Arial"/>
          <w:sz w:val="20"/>
          <w:szCs w:val="20"/>
          <w:lang w:val="nl-BE"/>
        </w:rPr>
        <w:t xml:space="preserve">, G., De Bruyn, M., </w:t>
      </w:r>
      <w:proofErr w:type="spellStart"/>
      <w:r w:rsidRPr="007F3A2E">
        <w:rPr>
          <w:rFonts w:eastAsia="Arial" w:cs="Arial"/>
          <w:sz w:val="20"/>
          <w:szCs w:val="20"/>
          <w:lang w:val="nl-BE"/>
        </w:rPr>
        <w:t>Creer</w:t>
      </w:r>
      <w:proofErr w:type="spellEnd"/>
      <w:r w:rsidRPr="007F3A2E">
        <w:rPr>
          <w:rFonts w:eastAsia="Arial" w:cs="Arial"/>
          <w:sz w:val="20"/>
          <w:szCs w:val="20"/>
          <w:lang w:val="nl-BE"/>
        </w:rPr>
        <w:t xml:space="preserve">, S., Stevens, G. M., ... &amp; </w:t>
      </w:r>
      <w:proofErr w:type="spellStart"/>
      <w:r w:rsidRPr="007F3A2E">
        <w:rPr>
          <w:rFonts w:eastAsia="Arial" w:cs="Arial"/>
          <w:sz w:val="20"/>
          <w:szCs w:val="20"/>
          <w:lang w:val="nl-BE"/>
        </w:rPr>
        <w:t>Ogden</w:t>
      </w:r>
      <w:proofErr w:type="spellEnd"/>
      <w:r w:rsidRPr="007F3A2E">
        <w:rPr>
          <w:rFonts w:eastAsia="Arial" w:cs="Arial"/>
          <w:sz w:val="20"/>
          <w:szCs w:val="20"/>
          <w:lang w:val="nl-BE"/>
        </w:rPr>
        <w:t xml:space="preserve">, R. (2023). </w:t>
      </w:r>
      <w:r w:rsidRPr="007F3A2E">
        <w:rPr>
          <w:rFonts w:eastAsia="Arial" w:cs="Arial"/>
          <w:sz w:val="20"/>
          <w:szCs w:val="20"/>
        </w:rPr>
        <w:t xml:space="preserve">Comparative population genomics of manta rays has global implications for management. </w:t>
      </w:r>
      <w:r w:rsidRPr="00C971E7">
        <w:rPr>
          <w:rFonts w:eastAsia="Arial" w:cs="Arial"/>
          <w:sz w:val="20"/>
          <w:szCs w:val="20"/>
          <w:lang w:val="en-US"/>
        </w:rPr>
        <w:t>Molecular Ecology.</w:t>
      </w:r>
    </w:p>
    <w:p w14:paraId="6F1D2992"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Jaine, F. R. A., Rohner, C. A., Weeks, S. J., Couturier, L. I. E., Bennett, M. B., Townsend, K. A., et al. </w:t>
      </w:r>
      <w:r w:rsidRPr="00C971E7">
        <w:rPr>
          <w:rFonts w:eastAsia="Arial" w:cs="Arial"/>
          <w:sz w:val="20"/>
          <w:szCs w:val="20"/>
          <w:lang w:val="en-US"/>
        </w:rPr>
        <w:t xml:space="preserve">(2014). </w:t>
      </w:r>
      <w:r w:rsidRPr="007F3A2E">
        <w:rPr>
          <w:rFonts w:eastAsia="Arial" w:cs="Arial"/>
          <w:sz w:val="20"/>
          <w:szCs w:val="20"/>
        </w:rPr>
        <w:t xml:space="preserve">Movements and habitat use of reef manta rays off eastern Australia: offshore excursions, deep diving and eddy affinity revealed by satellite telemetry. Mar. Ecol. Prog. Series 510, 73–86. </w:t>
      </w:r>
      <w:proofErr w:type="spellStart"/>
      <w:r w:rsidRPr="007F3A2E">
        <w:rPr>
          <w:rFonts w:eastAsia="Arial" w:cs="Arial"/>
          <w:sz w:val="20"/>
          <w:szCs w:val="20"/>
        </w:rPr>
        <w:t>doi</w:t>
      </w:r>
      <w:proofErr w:type="spellEnd"/>
      <w:r w:rsidRPr="007F3A2E">
        <w:rPr>
          <w:rFonts w:eastAsia="Arial" w:cs="Arial"/>
          <w:sz w:val="20"/>
          <w:szCs w:val="20"/>
        </w:rPr>
        <w:t>: 10.3354/</w:t>
      </w:r>
      <w:proofErr w:type="spellStart"/>
      <w:r w:rsidRPr="007F3A2E">
        <w:rPr>
          <w:rFonts w:eastAsia="Arial" w:cs="Arial"/>
          <w:sz w:val="20"/>
          <w:szCs w:val="20"/>
        </w:rPr>
        <w:t>meps</w:t>
      </w:r>
      <w:proofErr w:type="spellEnd"/>
      <w:r w:rsidRPr="007F3A2E">
        <w:rPr>
          <w:rFonts w:eastAsia="Arial" w:cs="Arial"/>
          <w:sz w:val="20"/>
          <w:szCs w:val="20"/>
        </w:rPr>
        <w:t xml:space="preserve"> 10910</w:t>
      </w:r>
    </w:p>
    <w:p w14:paraId="4CD0A92B" w14:textId="77777777" w:rsidR="00E42EB4" w:rsidRPr="007F3A2E" w:rsidRDefault="004C1ADE">
      <w:pPr>
        <w:spacing w:after="80" w:line="240" w:lineRule="auto"/>
        <w:ind w:left="562" w:hanging="562"/>
        <w:jc w:val="both"/>
        <w:rPr>
          <w:rFonts w:eastAsia="Arial" w:cs="Arial"/>
          <w:sz w:val="20"/>
          <w:szCs w:val="20"/>
          <w:lang w:val="pt-PT"/>
        </w:rPr>
      </w:pPr>
      <w:r w:rsidRPr="007F3A2E">
        <w:rPr>
          <w:rFonts w:eastAsia="Arial" w:cs="Arial"/>
          <w:sz w:val="20"/>
          <w:szCs w:val="20"/>
        </w:rPr>
        <w:t xml:space="preserve">Kashiwagi, T., Marshall, A. D., Bennett, M. B., and Ovenden, J. R. (2011). Habitat segregation and mosaic sympatry of the two species of manta ray in the Indian and Pacific Oceans: </w:t>
      </w:r>
      <w:r w:rsidRPr="007F3A2E">
        <w:rPr>
          <w:rFonts w:eastAsia="Arial" w:cs="Arial"/>
          <w:i/>
          <w:sz w:val="20"/>
          <w:szCs w:val="20"/>
        </w:rPr>
        <w:t xml:space="preserve">Manta </w:t>
      </w:r>
      <w:proofErr w:type="spellStart"/>
      <w:r w:rsidRPr="007F3A2E">
        <w:rPr>
          <w:rFonts w:eastAsia="Arial" w:cs="Arial"/>
          <w:i/>
          <w:sz w:val="20"/>
          <w:szCs w:val="20"/>
        </w:rPr>
        <w:t>alfredi</w:t>
      </w:r>
      <w:proofErr w:type="spellEnd"/>
      <w:r w:rsidRPr="007F3A2E">
        <w:rPr>
          <w:rFonts w:eastAsia="Arial" w:cs="Arial"/>
          <w:sz w:val="20"/>
          <w:szCs w:val="20"/>
        </w:rPr>
        <w:t xml:space="preserve"> and </w:t>
      </w:r>
      <w:r w:rsidRPr="007F3A2E">
        <w:rPr>
          <w:rFonts w:eastAsia="Arial" w:cs="Arial"/>
          <w:i/>
          <w:sz w:val="20"/>
          <w:szCs w:val="20"/>
        </w:rPr>
        <w:t xml:space="preserve">M. </w:t>
      </w:r>
      <w:proofErr w:type="spellStart"/>
      <w:r w:rsidRPr="007F3A2E">
        <w:rPr>
          <w:rFonts w:eastAsia="Arial" w:cs="Arial"/>
          <w:i/>
          <w:sz w:val="20"/>
          <w:szCs w:val="20"/>
        </w:rPr>
        <w:t>birostris</w:t>
      </w:r>
      <w:proofErr w:type="spellEnd"/>
      <w:r w:rsidRPr="007F3A2E">
        <w:rPr>
          <w:rFonts w:eastAsia="Arial" w:cs="Arial"/>
          <w:sz w:val="20"/>
          <w:szCs w:val="20"/>
        </w:rPr>
        <w:t xml:space="preserve">. </w:t>
      </w:r>
      <w:r w:rsidRPr="007F3A2E">
        <w:rPr>
          <w:rFonts w:eastAsia="Arial" w:cs="Arial"/>
          <w:sz w:val="20"/>
          <w:szCs w:val="20"/>
          <w:lang w:val="pt-PT"/>
        </w:rPr>
        <w:t xml:space="preserve">Mar. </w:t>
      </w:r>
      <w:proofErr w:type="spellStart"/>
      <w:r w:rsidRPr="007F3A2E">
        <w:rPr>
          <w:rFonts w:eastAsia="Arial" w:cs="Arial"/>
          <w:sz w:val="20"/>
          <w:szCs w:val="20"/>
          <w:lang w:val="pt-PT"/>
        </w:rPr>
        <w:t>Biodivers</w:t>
      </w:r>
      <w:proofErr w:type="spellEnd"/>
      <w:r w:rsidRPr="007F3A2E">
        <w:rPr>
          <w:rFonts w:eastAsia="Arial" w:cs="Arial"/>
          <w:sz w:val="20"/>
          <w:szCs w:val="20"/>
          <w:lang w:val="pt-PT"/>
        </w:rPr>
        <w:t xml:space="preserve">. </w:t>
      </w:r>
      <w:proofErr w:type="spellStart"/>
      <w:r w:rsidRPr="007F3A2E">
        <w:rPr>
          <w:rFonts w:eastAsia="Arial" w:cs="Arial"/>
          <w:sz w:val="20"/>
          <w:szCs w:val="20"/>
          <w:lang w:val="pt-PT"/>
        </w:rPr>
        <w:t>Rec</w:t>
      </w:r>
      <w:proofErr w:type="spellEnd"/>
      <w:r w:rsidRPr="007F3A2E">
        <w:rPr>
          <w:rFonts w:eastAsia="Arial" w:cs="Arial"/>
          <w:sz w:val="20"/>
          <w:szCs w:val="20"/>
          <w:lang w:val="pt-PT"/>
        </w:rPr>
        <w:t>. 4, 1–8. doi: 10.1017/S1755267211000479</w:t>
      </w:r>
    </w:p>
    <w:p w14:paraId="7BF6BC72" w14:textId="77777777" w:rsidR="00E42EB4" w:rsidRPr="00C971E7" w:rsidRDefault="004C1ADE">
      <w:pPr>
        <w:spacing w:after="80" w:line="240" w:lineRule="auto"/>
        <w:ind w:left="562" w:hanging="562"/>
        <w:jc w:val="both"/>
        <w:rPr>
          <w:rFonts w:eastAsia="Arial" w:cs="Arial"/>
          <w:sz w:val="20"/>
          <w:szCs w:val="20"/>
        </w:rPr>
      </w:pPr>
      <w:proofErr w:type="spellStart"/>
      <w:r w:rsidRPr="007F3A2E">
        <w:rPr>
          <w:rFonts w:eastAsia="Arial" w:cs="Arial"/>
          <w:sz w:val="20"/>
          <w:szCs w:val="20"/>
          <w:lang w:val="pt-PT"/>
        </w:rPr>
        <w:t>Laglbauer</w:t>
      </w:r>
      <w:proofErr w:type="spellEnd"/>
      <w:r w:rsidRPr="007F3A2E">
        <w:rPr>
          <w:rFonts w:eastAsia="Arial" w:cs="Arial"/>
          <w:sz w:val="20"/>
          <w:szCs w:val="20"/>
          <w:lang w:val="pt-PT"/>
        </w:rPr>
        <w:t xml:space="preserve">, B., D’Costa, N. G., </w:t>
      </w:r>
      <w:proofErr w:type="spellStart"/>
      <w:r w:rsidRPr="007F3A2E">
        <w:rPr>
          <w:rFonts w:eastAsia="Arial" w:cs="Arial"/>
          <w:sz w:val="20"/>
          <w:szCs w:val="20"/>
          <w:lang w:val="pt-PT"/>
        </w:rPr>
        <w:t>Stewart</w:t>
      </w:r>
      <w:proofErr w:type="spellEnd"/>
      <w:r w:rsidRPr="007F3A2E">
        <w:rPr>
          <w:rFonts w:eastAsia="Arial" w:cs="Arial"/>
          <w:sz w:val="20"/>
          <w:szCs w:val="20"/>
          <w:lang w:val="pt-PT"/>
        </w:rPr>
        <w:t xml:space="preserve">, J. D., </w:t>
      </w:r>
      <w:proofErr w:type="spellStart"/>
      <w:r w:rsidRPr="007F3A2E">
        <w:rPr>
          <w:rFonts w:eastAsia="Arial" w:cs="Arial"/>
          <w:sz w:val="20"/>
          <w:szCs w:val="20"/>
          <w:lang w:val="pt-PT"/>
        </w:rPr>
        <w:t>Palacios</w:t>
      </w:r>
      <w:proofErr w:type="spellEnd"/>
      <w:r w:rsidRPr="007F3A2E">
        <w:rPr>
          <w:rFonts w:eastAsia="Arial" w:cs="Arial"/>
          <w:sz w:val="20"/>
          <w:szCs w:val="20"/>
          <w:lang w:val="pt-PT"/>
        </w:rPr>
        <w:t xml:space="preserve">, M. D., </w:t>
      </w:r>
      <w:proofErr w:type="spellStart"/>
      <w:r w:rsidRPr="007F3A2E">
        <w:rPr>
          <w:rFonts w:eastAsia="Arial" w:cs="Arial"/>
          <w:sz w:val="20"/>
          <w:szCs w:val="20"/>
          <w:lang w:val="pt-PT"/>
        </w:rPr>
        <w:t>Cronin</w:t>
      </w:r>
      <w:proofErr w:type="spellEnd"/>
      <w:r w:rsidRPr="007F3A2E">
        <w:rPr>
          <w:rFonts w:eastAsia="Arial" w:cs="Arial"/>
          <w:sz w:val="20"/>
          <w:szCs w:val="20"/>
          <w:lang w:val="pt-PT"/>
        </w:rPr>
        <w:t xml:space="preserve">, M., Fernando, D., ... &amp; </w:t>
      </w:r>
      <w:proofErr w:type="spellStart"/>
      <w:r w:rsidRPr="007F3A2E">
        <w:rPr>
          <w:rFonts w:eastAsia="Arial" w:cs="Arial"/>
          <w:sz w:val="20"/>
          <w:szCs w:val="20"/>
          <w:lang w:val="pt-PT"/>
        </w:rPr>
        <w:t>Stevens</w:t>
      </w:r>
      <w:proofErr w:type="spellEnd"/>
      <w:r w:rsidRPr="007F3A2E">
        <w:rPr>
          <w:rFonts w:eastAsia="Arial" w:cs="Arial"/>
          <w:sz w:val="20"/>
          <w:szCs w:val="20"/>
          <w:lang w:val="pt-PT"/>
        </w:rPr>
        <w:t xml:space="preserve">, G. M. W. (In </w:t>
      </w:r>
      <w:proofErr w:type="spellStart"/>
      <w:r w:rsidRPr="007F3A2E">
        <w:rPr>
          <w:rFonts w:eastAsia="Arial" w:cs="Arial"/>
          <w:sz w:val="20"/>
          <w:szCs w:val="20"/>
          <w:lang w:val="pt-PT"/>
        </w:rPr>
        <w:t>Review</w:t>
      </w:r>
      <w:proofErr w:type="spellEnd"/>
      <w:r w:rsidRPr="007F3A2E">
        <w:rPr>
          <w:rFonts w:eastAsia="Arial" w:cs="Arial"/>
          <w:sz w:val="20"/>
          <w:szCs w:val="20"/>
          <w:lang w:val="pt-PT"/>
        </w:rPr>
        <w:t xml:space="preserve">). </w:t>
      </w:r>
      <w:r w:rsidRPr="007F3A2E">
        <w:rPr>
          <w:rFonts w:eastAsia="Arial" w:cs="Arial"/>
          <w:sz w:val="20"/>
          <w:szCs w:val="20"/>
        </w:rPr>
        <w:t xml:space="preserve">Global manta and devil ray population declines: Closing policy and management gaps to reduce fisheries mortality. </w:t>
      </w:r>
      <w:r w:rsidRPr="00C971E7">
        <w:rPr>
          <w:rFonts w:eastAsia="Arial" w:cs="Arial"/>
          <w:i/>
          <w:iCs/>
          <w:sz w:val="20"/>
          <w:szCs w:val="20"/>
        </w:rPr>
        <w:t>Biological Conservation.</w:t>
      </w:r>
    </w:p>
    <w:p w14:paraId="43A85BD9" w14:textId="77777777" w:rsidR="00E42EB4" w:rsidRPr="00C971E7" w:rsidRDefault="004C1ADE">
      <w:pPr>
        <w:spacing w:after="80" w:line="240" w:lineRule="auto"/>
        <w:ind w:left="562" w:hanging="562"/>
        <w:jc w:val="both"/>
        <w:rPr>
          <w:rFonts w:eastAsia="Arial" w:cs="Arial"/>
          <w:sz w:val="20"/>
          <w:szCs w:val="20"/>
        </w:rPr>
      </w:pPr>
      <w:proofErr w:type="spellStart"/>
      <w:r w:rsidRPr="00C971E7">
        <w:rPr>
          <w:rFonts w:eastAsia="Arial" w:cs="Arial"/>
          <w:sz w:val="20"/>
          <w:szCs w:val="20"/>
        </w:rPr>
        <w:t>Laglbauer</w:t>
      </w:r>
      <w:proofErr w:type="spellEnd"/>
      <w:r w:rsidRPr="00C971E7">
        <w:rPr>
          <w:rFonts w:eastAsia="Arial" w:cs="Arial"/>
          <w:sz w:val="20"/>
          <w:szCs w:val="20"/>
        </w:rPr>
        <w:t xml:space="preserve">, B.J., Salim, M.G., Fahmi, F., </w:t>
      </w:r>
      <w:proofErr w:type="spellStart"/>
      <w:r w:rsidRPr="00C971E7">
        <w:rPr>
          <w:rFonts w:eastAsia="Arial" w:cs="Arial"/>
          <w:sz w:val="20"/>
          <w:szCs w:val="20"/>
        </w:rPr>
        <w:t>Oktaviyani</w:t>
      </w:r>
      <w:proofErr w:type="spellEnd"/>
      <w:r w:rsidRPr="00C971E7">
        <w:rPr>
          <w:rFonts w:eastAsia="Arial" w:cs="Arial"/>
          <w:sz w:val="20"/>
          <w:szCs w:val="20"/>
        </w:rPr>
        <w:t xml:space="preserve">. S., </w:t>
      </w:r>
      <w:proofErr w:type="spellStart"/>
      <w:r w:rsidRPr="00C971E7">
        <w:rPr>
          <w:rFonts w:eastAsia="Arial" w:cs="Arial"/>
          <w:sz w:val="20"/>
          <w:szCs w:val="20"/>
        </w:rPr>
        <w:t>Gozali</w:t>
      </w:r>
      <w:proofErr w:type="spellEnd"/>
      <w:r w:rsidRPr="00C971E7">
        <w:rPr>
          <w:rFonts w:eastAsia="Arial" w:cs="Arial"/>
          <w:sz w:val="20"/>
          <w:szCs w:val="20"/>
        </w:rPr>
        <w:t xml:space="preserve">, I.C., </w:t>
      </w:r>
      <w:proofErr w:type="spellStart"/>
      <w:r w:rsidRPr="00C971E7">
        <w:rPr>
          <w:rFonts w:eastAsia="Arial" w:cs="Arial"/>
          <w:sz w:val="20"/>
          <w:szCs w:val="20"/>
        </w:rPr>
        <w:t>Tawang</w:t>
      </w:r>
      <w:proofErr w:type="spellEnd"/>
      <w:r w:rsidRPr="00C971E7">
        <w:rPr>
          <w:rFonts w:eastAsia="Arial" w:cs="Arial"/>
          <w:sz w:val="20"/>
          <w:szCs w:val="20"/>
        </w:rPr>
        <w:t xml:space="preserve">, F., Rizal, H.S., </w:t>
      </w:r>
      <w:proofErr w:type="spellStart"/>
      <w:r w:rsidRPr="00C971E7">
        <w:rPr>
          <w:rFonts w:eastAsia="Arial" w:cs="Arial"/>
          <w:sz w:val="20"/>
          <w:szCs w:val="20"/>
        </w:rPr>
        <w:t>Rosady</w:t>
      </w:r>
      <w:proofErr w:type="spellEnd"/>
      <w:r w:rsidRPr="00C971E7">
        <w:rPr>
          <w:rFonts w:eastAsia="Arial" w:cs="Arial"/>
          <w:sz w:val="20"/>
          <w:szCs w:val="20"/>
        </w:rPr>
        <w:t xml:space="preserve">, V.P, </w:t>
      </w:r>
      <w:proofErr w:type="spellStart"/>
      <w:r w:rsidRPr="00C971E7">
        <w:rPr>
          <w:rFonts w:eastAsia="Arial" w:cs="Arial"/>
          <w:sz w:val="20"/>
          <w:szCs w:val="20"/>
        </w:rPr>
        <w:t>Rudianto</w:t>
      </w:r>
      <w:proofErr w:type="spellEnd"/>
      <w:r w:rsidRPr="00C971E7">
        <w:rPr>
          <w:rFonts w:eastAsia="Arial" w:cs="Arial"/>
          <w:sz w:val="20"/>
          <w:szCs w:val="20"/>
        </w:rPr>
        <w:t xml:space="preserve">, D., Ender, I., Fontes, J.M., Afonso, P., Bennet, M.B., Stevens, G.M.W. (2025) High take of </w:t>
      </w:r>
      <w:proofErr w:type="spellStart"/>
      <w:r w:rsidRPr="00C971E7">
        <w:rPr>
          <w:rFonts w:eastAsia="Arial" w:cs="Arial"/>
          <w:sz w:val="20"/>
          <w:szCs w:val="20"/>
        </w:rPr>
        <w:t>mobulid</w:t>
      </w:r>
      <w:proofErr w:type="spellEnd"/>
      <w:r w:rsidRPr="00C971E7">
        <w:rPr>
          <w:rFonts w:eastAsia="Arial" w:cs="Arial"/>
          <w:sz w:val="20"/>
          <w:szCs w:val="20"/>
        </w:rPr>
        <w:t xml:space="preserve"> rays amongst other threatened elasmobranchs in East Java, Indonesia: landing trends and socio-economic context. Environmental Biology of Fishes, https://doi.org/10.1007/s10641-025-01749-w</w:t>
      </w:r>
    </w:p>
    <w:p w14:paraId="2CD8662E" w14:textId="77777777" w:rsidR="00E42EB4" w:rsidRPr="007F3A2E" w:rsidRDefault="004C1ADE">
      <w:pPr>
        <w:spacing w:after="80" w:line="240" w:lineRule="auto"/>
        <w:ind w:left="562" w:hanging="562"/>
        <w:jc w:val="both"/>
        <w:rPr>
          <w:rFonts w:eastAsia="MS Mincho" w:cs="Arial"/>
          <w:sz w:val="20"/>
          <w:szCs w:val="20"/>
          <w:lang w:eastAsia="en-GB"/>
        </w:rPr>
      </w:pPr>
      <w:r w:rsidRPr="00C971E7">
        <w:rPr>
          <w:rFonts w:eastAsia="MS Mincho" w:cs="Arial"/>
          <w:sz w:val="20"/>
          <w:szCs w:val="20"/>
          <w:lang w:eastAsia="en-GB"/>
        </w:rPr>
        <w:t xml:space="preserve">Lawson, J.M., Fordham, S.V., O’Malley, M.P., Davidson, L.N., Walls, R.H., Heupel, M.R., Stevens, G., Fernando, D., Budziak, A., </w:t>
      </w:r>
      <w:proofErr w:type="spellStart"/>
      <w:r w:rsidRPr="00C971E7">
        <w:rPr>
          <w:rFonts w:eastAsia="MS Mincho" w:cs="Arial"/>
          <w:sz w:val="20"/>
          <w:szCs w:val="20"/>
          <w:lang w:eastAsia="en-GB"/>
        </w:rPr>
        <w:t>Simpfendorfer</w:t>
      </w:r>
      <w:proofErr w:type="spellEnd"/>
      <w:r w:rsidRPr="00C971E7">
        <w:rPr>
          <w:rFonts w:eastAsia="MS Mincho" w:cs="Arial"/>
          <w:sz w:val="20"/>
          <w:szCs w:val="20"/>
          <w:lang w:eastAsia="en-GB"/>
        </w:rPr>
        <w:t xml:space="preserve">, C.A., Ender, I. (2017) Sympathy for the devil: a conservation strategy for devil and manta rays. </w:t>
      </w:r>
      <w:proofErr w:type="spellStart"/>
      <w:r w:rsidRPr="007F3A2E">
        <w:rPr>
          <w:rFonts w:eastAsia="MS Mincho" w:cs="Arial"/>
          <w:sz w:val="20"/>
          <w:szCs w:val="20"/>
          <w:lang w:eastAsia="en-GB"/>
        </w:rPr>
        <w:t>PeerJ</w:t>
      </w:r>
      <w:proofErr w:type="spellEnd"/>
      <w:r w:rsidRPr="007F3A2E">
        <w:rPr>
          <w:rFonts w:eastAsia="MS Mincho" w:cs="Arial"/>
          <w:sz w:val="20"/>
          <w:szCs w:val="20"/>
          <w:lang w:eastAsia="en-GB"/>
        </w:rPr>
        <w:t>. 2017 Mar 14;5:e3027.</w:t>
      </w:r>
    </w:p>
    <w:p w14:paraId="04D4BE18"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Lezama-Ochoa, N., Hall, M. A., Roman-Verdesoto, M. H. &amp;Vogel, N. (2019b) Spatial and temporal distribution of </w:t>
      </w:r>
      <w:proofErr w:type="spellStart"/>
      <w:r w:rsidRPr="007F3A2E">
        <w:rPr>
          <w:rFonts w:eastAsia="Arial" w:cs="Arial"/>
          <w:sz w:val="20"/>
          <w:szCs w:val="20"/>
        </w:rPr>
        <w:t>mobulid</w:t>
      </w:r>
      <w:proofErr w:type="spellEnd"/>
      <w:r w:rsidRPr="007F3A2E">
        <w:rPr>
          <w:rFonts w:eastAsia="Arial" w:cs="Arial"/>
          <w:sz w:val="20"/>
          <w:szCs w:val="20"/>
        </w:rPr>
        <w:t xml:space="preserve"> ray species in the eastern Pacific Ocean ascertained from observer data from the tropical tuna purse-seine fishery, Environmental Biology of Fishes, https://doi.org/10.1007/s10641-018-0832-1</w:t>
      </w:r>
    </w:p>
    <w:p w14:paraId="708D47DA"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Marshall, A. D., Compagno, L. J. V., and Bennett, M. B. (2009). Redescription of the genus Manta with resurrection of </w:t>
      </w:r>
      <w:r w:rsidRPr="007F3A2E">
        <w:rPr>
          <w:rFonts w:eastAsia="Arial" w:cs="Arial"/>
          <w:i/>
          <w:sz w:val="20"/>
          <w:szCs w:val="20"/>
        </w:rPr>
        <w:t xml:space="preserve">Manta </w:t>
      </w:r>
      <w:proofErr w:type="spellStart"/>
      <w:r w:rsidRPr="007F3A2E">
        <w:rPr>
          <w:rFonts w:eastAsia="Arial" w:cs="Arial"/>
          <w:i/>
          <w:sz w:val="20"/>
          <w:szCs w:val="20"/>
        </w:rPr>
        <w:t>alfredi</w:t>
      </w:r>
      <w:proofErr w:type="spellEnd"/>
      <w:r w:rsidRPr="007F3A2E">
        <w:rPr>
          <w:rFonts w:eastAsia="Arial" w:cs="Arial"/>
          <w:sz w:val="20"/>
          <w:szCs w:val="20"/>
        </w:rPr>
        <w:t xml:space="preserve">. </w:t>
      </w:r>
      <w:proofErr w:type="spellStart"/>
      <w:r w:rsidRPr="007F3A2E">
        <w:rPr>
          <w:rFonts w:eastAsia="Arial" w:cs="Arial"/>
          <w:sz w:val="20"/>
          <w:szCs w:val="20"/>
        </w:rPr>
        <w:t>Zootaxa</w:t>
      </w:r>
      <w:proofErr w:type="spellEnd"/>
      <w:r w:rsidRPr="007F3A2E">
        <w:rPr>
          <w:rFonts w:eastAsia="Arial" w:cs="Arial"/>
          <w:sz w:val="20"/>
          <w:szCs w:val="20"/>
        </w:rPr>
        <w:t xml:space="preserve"> 28, 1–28.</w:t>
      </w:r>
    </w:p>
    <w:p w14:paraId="770A6BAE" w14:textId="77777777" w:rsidR="00E42EB4" w:rsidRPr="00C971E7" w:rsidRDefault="004C1ADE">
      <w:pPr>
        <w:spacing w:after="80" w:line="240" w:lineRule="auto"/>
        <w:ind w:left="562" w:hanging="562"/>
        <w:jc w:val="both"/>
        <w:rPr>
          <w:rFonts w:eastAsia="Arial" w:cs="Arial"/>
          <w:sz w:val="20"/>
          <w:szCs w:val="20"/>
          <w:lang w:val="en-US"/>
        </w:rPr>
      </w:pPr>
      <w:r w:rsidRPr="007F3A2E">
        <w:rPr>
          <w:rFonts w:eastAsia="Arial" w:cs="Arial"/>
          <w:sz w:val="20"/>
          <w:szCs w:val="20"/>
        </w:rPr>
        <w:t xml:space="preserve">Marshall, A. D., Flam, A. L., </w:t>
      </w:r>
      <w:proofErr w:type="spellStart"/>
      <w:r w:rsidRPr="007F3A2E">
        <w:rPr>
          <w:rFonts w:eastAsia="Arial" w:cs="Arial"/>
          <w:sz w:val="20"/>
          <w:szCs w:val="20"/>
        </w:rPr>
        <w:t>Cullain</w:t>
      </w:r>
      <w:proofErr w:type="spellEnd"/>
      <w:r w:rsidRPr="007F3A2E">
        <w:rPr>
          <w:rFonts w:eastAsia="Arial" w:cs="Arial"/>
          <w:sz w:val="20"/>
          <w:szCs w:val="20"/>
        </w:rPr>
        <w:t xml:space="preserve">, N., Carpenter, M., Conradie, J., &amp; Venables, S. K. (2023). Southward range extension and transboundary movements of reef manta rays </w:t>
      </w:r>
      <w:proofErr w:type="spellStart"/>
      <w:r w:rsidRPr="007F3A2E">
        <w:rPr>
          <w:rFonts w:eastAsia="Arial" w:cs="Arial"/>
          <w:i/>
          <w:sz w:val="20"/>
          <w:szCs w:val="20"/>
        </w:rPr>
        <w:t>Mobula</w:t>
      </w:r>
      <w:proofErr w:type="spellEnd"/>
      <w:r w:rsidRPr="007F3A2E">
        <w:rPr>
          <w:rFonts w:eastAsia="Arial" w:cs="Arial"/>
          <w:i/>
          <w:sz w:val="20"/>
          <w:szCs w:val="20"/>
        </w:rPr>
        <w:t xml:space="preserve"> </w:t>
      </w:r>
      <w:proofErr w:type="spellStart"/>
      <w:r w:rsidRPr="007F3A2E">
        <w:rPr>
          <w:rFonts w:eastAsia="Arial" w:cs="Arial"/>
          <w:i/>
          <w:sz w:val="20"/>
          <w:szCs w:val="20"/>
        </w:rPr>
        <w:t>alfredi</w:t>
      </w:r>
      <w:proofErr w:type="spellEnd"/>
      <w:r w:rsidRPr="007F3A2E">
        <w:rPr>
          <w:rFonts w:eastAsia="Arial" w:cs="Arial"/>
          <w:sz w:val="20"/>
          <w:szCs w:val="20"/>
        </w:rPr>
        <w:t xml:space="preserve"> along the east African coastline. </w:t>
      </w:r>
      <w:r w:rsidRPr="00C971E7">
        <w:rPr>
          <w:rFonts w:eastAsia="Arial" w:cs="Arial"/>
          <w:sz w:val="20"/>
          <w:szCs w:val="20"/>
          <w:lang w:val="en-US"/>
        </w:rPr>
        <w:t>Journal of Fish Biology, 102(3), 628-634.</w:t>
      </w:r>
    </w:p>
    <w:p w14:paraId="65D1EB38" w14:textId="77777777" w:rsidR="00E42EB4" w:rsidRPr="00C971E7" w:rsidRDefault="004C1ADE">
      <w:pPr>
        <w:spacing w:after="80" w:line="240" w:lineRule="auto"/>
        <w:ind w:left="562" w:hanging="562"/>
        <w:jc w:val="both"/>
        <w:rPr>
          <w:rFonts w:eastAsia="Arial" w:cs="Arial"/>
          <w:sz w:val="20"/>
          <w:szCs w:val="20"/>
          <w:lang w:val="en-US"/>
        </w:rPr>
      </w:pPr>
      <w:r w:rsidRPr="007F3A2E">
        <w:rPr>
          <w:rFonts w:eastAsia="Arial" w:cs="Arial"/>
          <w:sz w:val="20"/>
          <w:szCs w:val="20"/>
        </w:rPr>
        <w:t xml:space="preserve">Moazzam, M. (2018) Unprecedented decline in the catches of </w:t>
      </w:r>
      <w:proofErr w:type="spellStart"/>
      <w:r w:rsidRPr="007F3A2E">
        <w:rPr>
          <w:rFonts w:eastAsia="Arial" w:cs="Arial"/>
          <w:sz w:val="20"/>
          <w:szCs w:val="20"/>
        </w:rPr>
        <w:t>mobulids</w:t>
      </w:r>
      <w:proofErr w:type="spellEnd"/>
      <w:r w:rsidRPr="007F3A2E">
        <w:rPr>
          <w:rFonts w:eastAsia="Arial" w:cs="Arial"/>
          <w:sz w:val="20"/>
          <w:szCs w:val="20"/>
        </w:rPr>
        <w:t xml:space="preserve">: an important component of tuna gillnet fisheries of the Northern Arabian Sea. </w:t>
      </w:r>
      <w:r w:rsidRPr="00C971E7">
        <w:rPr>
          <w:rFonts w:eastAsia="Arial" w:cs="Arial"/>
          <w:sz w:val="20"/>
          <w:szCs w:val="20"/>
          <w:lang w:val="en-US"/>
        </w:rPr>
        <w:t>IOTC-2018-WPEB14-30. Cape Town, South Africa.</w:t>
      </w:r>
    </w:p>
    <w:p w14:paraId="4139AAAC"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Notarbartolo di Sciara, G., Stevens, G. and Fernando, D. (2020) The giant devil ray </w:t>
      </w:r>
      <w:proofErr w:type="spellStart"/>
      <w:r w:rsidRPr="007F3A2E">
        <w:rPr>
          <w:rFonts w:eastAsia="Arial" w:cs="Arial"/>
          <w:i/>
          <w:sz w:val="20"/>
          <w:szCs w:val="20"/>
        </w:rPr>
        <w:t>Mobula</w:t>
      </w:r>
      <w:proofErr w:type="spellEnd"/>
      <w:r w:rsidRPr="007F3A2E">
        <w:rPr>
          <w:rFonts w:eastAsia="Arial" w:cs="Arial"/>
          <w:i/>
          <w:sz w:val="20"/>
          <w:szCs w:val="20"/>
        </w:rPr>
        <w:t xml:space="preserve"> </w:t>
      </w:r>
      <w:proofErr w:type="spellStart"/>
      <w:r w:rsidRPr="007F3A2E">
        <w:rPr>
          <w:rFonts w:eastAsia="Arial" w:cs="Arial"/>
          <w:i/>
          <w:sz w:val="20"/>
          <w:szCs w:val="20"/>
        </w:rPr>
        <w:t>mobular</w:t>
      </w:r>
      <w:proofErr w:type="spellEnd"/>
      <w:r w:rsidRPr="007F3A2E">
        <w:rPr>
          <w:rFonts w:eastAsia="Arial" w:cs="Arial"/>
          <w:sz w:val="20"/>
          <w:szCs w:val="20"/>
        </w:rPr>
        <w:t xml:space="preserve"> (</w:t>
      </w:r>
      <w:proofErr w:type="spellStart"/>
      <w:r w:rsidRPr="007F3A2E">
        <w:rPr>
          <w:rFonts w:eastAsia="Arial" w:cs="Arial"/>
          <w:sz w:val="20"/>
          <w:szCs w:val="20"/>
        </w:rPr>
        <w:t>Bonnaterre</w:t>
      </w:r>
      <w:proofErr w:type="spellEnd"/>
      <w:r w:rsidRPr="007F3A2E">
        <w:rPr>
          <w:rFonts w:eastAsia="Arial" w:cs="Arial"/>
          <w:sz w:val="20"/>
          <w:szCs w:val="20"/>
        </w:rPr>
        <w:t xml:space="preserve">, 1788) is not giant, but it is the only </w:t>
      </w:r>
      <w:proofErr w:type="spellStart"/>
      <w:r w:rsidRPr="007F3A2E">
        <w:rPr>
          <w:rFonts w:eastAsia="Arial" w:cs="Arial"/>
          <w:sz w:val="20"/>
          <w:szCs w:val="20"/>
        </w:rPr>
        <w:t>spinetail</w:t>
      </w:r>
      <w:proofErr w:type="spellEnd"/>
      <w:r w:rsidRPr="007F3A2E">
        <w:rPr>
          <w:rFonts w:eastAsia="Arial" w:cs="Arial"/>
          <w:sz w:val="20"/>
          <w:szCs w:val="20"/>
        </w:rPr>
        <w:t xml:space="preserve"> devil ray, Marine Biodiversity Records, 13:4.</w:t>
      </w:r>
    </w:p>
    <w:p w14:paraId="5C554E77"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O’Malley, M. P., Townsend, K. A., Hilton, P., Heinrichs, S. and Stewart, J. D. (2016) Characterization of the trade in manta and devil ray gill plates in China and South-East Asia through trader surveys, Aquatic Cons.: Mar. and </w:t>
      </w:r>
      <w:proofErr w:type="spellStart"/>
      <w:r w:rsidRPr="007F3A2E">
        <w:rPr>
          <w:rFonts w:eastAsia="Arial" w:cs="Arial"/>
          <w:sz w:val="20"/>
          <w:szCs w:val="20"/>
        </w:rPr>
        <w:t>Freshw</w:t>
      </w:r>
      <w:proofErr w:type="spellEnd"/>
      <w:r w:rsidRPr="007F3A2E">
        <w:rPr>
          <w:rFonts w:eastAsia="Arial" w:cs="Arial"/>
          <w:sz w:val="20"/>
          <w:szCs w:val="20"/>
        </w:rPr>
        <w:t>. Eco., 27:2.</w:t>
      </w:r>
    </w:p>
    <w:p w14:paraId="4FB01E18" w14:textId="77777777" w:rsidR="00E42EB4" w:rsidRPr="00C971E7" w:rsidRDefault="007F7BF9">
      <w:pPr>
        <w:spacing w:after="80" w:line="240" w:lineRule="auto"/>
        <w:ind w:left="562" w:hanging="562"/>
        <w:jc w:val="both"/>
        <w:rPr>
          <w:rFonts w:eastAsia="Arial" w:cs="Arial"/>
          <w:sz w:val="20"/>
          <w:szCs w:val="20"/>
        </w:rPr>
      </w:pPr>
      <w:sdt>
        <w:sdtPr>
          <w:rPr>
            <w:rFonts w:cs="Arial"/>
            <w:sz w:val="20"/>
            <w:szCs w:val="20"/>
          </w:rPr>
          <w:tag w:val="goog_rdk_3"/>
          <w:id w:val="74901388"/>
        </w:sdtPr>
        <w:sdtEndPr/>
        <w:sdtContent>
          <w:r w:rsidR="004C1ADE" w:rsidRPr="007F3A2E">
            <w:rPr>
              <w:rFonts w:eastAsia="Arial Unicode MS" w:cs="Arial"/>
              <w:sz w:val="20"/>
              <w:szCs w:val="20"/>
            </w:rPr>
            <w:t xml:space="preserve">Palacios, M. D., Stewart, J. D., Croll, D. A., Cronin, M. R., Trejo-Ramírez, A., Stevens, G. M., ... &amp; Galván− Magaña, F. (2023). Manta and devil ray aggregations: conservation challenges and developments in the field. </w:t>
          </w:r>
          <w:r w:rsidR="004C1ADE" w:rsidRPr="00C971E7">
            <w:rPr>
              <w:rFonts w:eastAsia="Arial Unicode MS" w:cs="Arial"/>
              <w:sz w:val="20"/>
              <w:szCs w:val="20"/>
            </w:rPr>
            <w:t>Frontiers in Marine Science, 10, 1148234.</w:t>
          </w:r>
        </w:sdtContent>
      </w:sdt>
    </w:p>
    <w:p w14:paraId="327F6A04" w14:textId="77777777" w:rsidR="00E42EB4" w:rsidRPr="007F3A2E" w:rsidRDefault="004C1ADE">
      <w:pPr>
        <w:spacing w:after="80" w:line="240" w:lineRule="auto"/>
        <w:ind w:left="562" w:hanging="562"/>
        <w:jc w:val="both"/>
        <w:rPr>
          <w:rFonts w:eastAsia="Arial" w:cs="Arial"/>
          <w:sz w:val="20"/>
          <w:szCs w:val="20"/>
        </w:rPr>
      </w:pPr>
      <w:r w:rsidRPr="00C971E7">
        <w:rPr>
          <w:rFonts w:eastAsia="Arial" w:cs="Arial"/>
          <w:sz w:val="20"/>
          <w:szCs w:val="20"/>
        </w:rPr>
        <w:t xml:space="preserve">Palacios, M.D., Wieand L., </w:t>
      </w:r>
      <w:proofErr w:type="spellStart"/>
      <w:r w:rsidRPr="00C971E7">
        <w:rPr>
          <w:rFonts w:eastAsia="Arial" w:cs="Arial"/>
          <w:sz w:val="20"/>
          <w:szCs w:val="20"/>
        </w:rPr>
        <w:t>Laglbauer</w:t>
      </w:r>
      <w:proofErr w:type="spellEnd"/>
      <w:r w:rsidRPr="00C971E7">
        <w:rPr>
          <w:rFonts w:eastAsia="Arial" w:cs="Arial"/>
          <w:sz w:val="20"/>
          <w:szCs w:val="20"/>
        </w:rPr>
        <w:t xml:space="preserve"> B.J., Cronin M.R., Fowler S., Jabado R.W., Ko Gyi T., Fernando D., De Bruyne G., Shea, S.K.H., Hilton, P., Gao Y., Stevens. </w:t>
      </w:r>
      <w:r w:rsidRPr="007F3A2E">
        <w:rPr>
          <w:rFonts w:eastAsia="Arial" w:cs="Arial"/>
          <w:sz w:val="20"/>
          <w:szCs w:val="20"/>
        </w:rPr>
        <w:t>G.M. W. (2024) Global assessment of manta and devil ray gill plate and meat trade: conservation implications and opportunities. Environmental Biology of Fishes</w:t>
      </w:r>
    </w:p>
    <w:p w14:paraId="5D12F97D"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Rojas-Perea, S., D’Costa, N.G., </w:t>
      </w:r>
      <w:proofErr w:type="spellStart"/>
      <w:r w:rsidRPr="007F3A2E">
        <w:rPr>
          <w:rFonts w:eastAsia="Arial" w:cs="Arial"/>
          <w:sz w:val="20"/>
          <w:szCs w:val="20"/>
        </w:rPr>
        <w:t>Kanagusuku</w:t>
      </w:r>
      <w:proofErr w:type="spellEnd"/>
      <w:r w:rsidRPr="007F3A2E">
        <w:rPr>
          <w:rFonts w:eastAsia="Arial" w:cs="Arial"/>
          <w:sz w:val="20"/>
          <w:szCs w:val="20"/>
        </w:rPr>
        <w:t xml:space="preserve">, K. et al. (2025) Fisheries, trade, and conservation of manta and devil rays in Peru. Environ </w:t>
      </w:r>
      <w:proofErr w:type="spellStart"/>
      <w:r w:rsidRPr="007F3A2E">
        <w:rPr>
          <w:rFonts w:eastAsia="Arial" w:cs="Arial"/>
          <w:sz w:val="20"/>
          <w:szCs w:val="20"/>
        </w:rPr>
        <w:t>Biol</w:t>
      </w:r>
      <w:proofErr w:type="spellEnd"/>
      <w:r w:rsidRPr="007F3A2E">
        <w:rPr>
          <w:rFonts w:eastAsia="Arial" w:cs="Arial"/>
          <w:sz w:val="20"/>
          <w:szCs w:val="20"/>
        </w:rPr>
        <w:t xml:space="preserve"> Fish 108, 725–748. https://doi.org/10.1007/s10641-024-01647-7</w:t>
      </w:r>
    </w:p>
    <w:p w14:paraId="3BFA08AD" w14:textId="77777777" w:rsidR="00E42EB4" w:rsidRPr="00C971E7"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Stevens, G. M. W, Barros, N., </w:t>
      </w:r>
      <w:proofErr w:type="spellStart"/>
      <w:r w:rsidRPr="007F3A2E">
        <w:rPr>
          <w:rFonts w:eastAsia="Arial" w:cs="Arial"/>
          <w:sz w:val="20"/>
          <w:szCs w:val="20"/>
        </w:rPr>
        <w:t>Laglbauer</w:t>
      </w:r>
      <w:proofErr w:type="spellEnd"/>
      <w:r w:rsidRPr="007F3A2E">
        <w:rPr>
          <w:rFonts w:eastAsia="Arial" w:cs="Arial"/>
          <w:sz w:val="20"/>
          <w:szCs w:val="20"/>
        </w:rPr>
        <w:t xml:space="preserve"> B.J., Dando M., Fernando, D &amp; </w:t>
      </w:r>
      <w:proofErr w:type="spellStart"/>
      <w:r w:rsidRPr="007F3A2E">
        <w:rPr>
          <w:rFonts w:eastAsia="Arial" w:cs="Arial"/>
          <w:sz w:val="20"/>
          <w:szCs w:val="20"/>
        </w:rPr>
        <w:t>Norbartolo</w:t>
      </w:r>
      <w:proofErr w:type="spellEnd"/>
      <w:r w:rsidRPr="007F3A2E">
        <w:rPr>
          <w:rFonts w:eastAsia="Arial" w:cs="Arial"/>
          <w:sz w:val="20"/>
          <w:szCs w:val="20"/>
        </w:rPr>
        <w:t xml:space="preserve"> di Sciara G. (2025) Field Guide to the Manta and Devil Rays of the World. </w:t>
      </w:r>
      <w:r w:rsidRPr="00C971E7">
        <w:rPr>
          <w:rFonts w:eastAsia="Arial" w:cs="Arial"/>
          <w:sz w:val="20"/>
          <w:szCs w:val="20"/>
        </w:rPr>
        <w:t>Wild Nature Press (pp. 1-100)</w:t>
      </w:r>
    </w:p>
    <w:p w14:paraId="022BADA4" w14:textId="77777777" w:rsidR="00E42EB4" w:rsidRPr="00C971E7" w:rsidRDefault="004C1ADE">
      <w:pPr>
        <w:spacing w:after="80" w:line="240" w:lineRule="auto"/>
        <w:ind w:left="562" w:hanging="562"/>
        <w:jc w:val="both"/>
        <w:rPr>
          <w:rFonts w:eastAsia="Arial" w:cs="Arial"/>
          <w:sz w:val="20"/>
          <w:szCs w:val="20"/>
        </w:rPr>
      </w:pPr>
      <w:r w:rsidRPr="00C971E7">
        <w:rPr>
          <w:rFonts w:eastAsia="Arial" w:cs="Arial"/>
          <w:sz w:val="20"/>
          <w:szCs w:val="20"/>
        </w:rPr>
        <w:t xml:space="preserve">Stewart, J. D., Jaine, F. R. A., Armstrong, A. J., Armstrong, A. O., Bennett, M. B., Burgess, K. B., Couturier, L. I. E., Croll, D. A., Cronin, M. R., </w:t>
      </w:r>
      <w:proofErr w:type="spellStart"/>
      <w:r w:rsidRPr="00C971E7">
        <w:rPr>
          <w:rFonts w:eastAsia="Arial" w:cs="Arial"/>
          <w:sz w:val="20"/>
          <w:szCs w:val="20"/>
        </w:rPr>
        <w:t>Deakos</w:t>
      </w:r>
      <w:proofErr w:type="spellEnd"/>
      <w:r w:rsidRPr="00C971E7">
        <w:rPr>
          <w:rFonts w:eastAsia="Arial" w:cs="Arial"/>
          <w:sz w:val="20"/>
          <w:szCs w:val="20"/>
        </w:rPr>
        <w:t xml:space="preserve">, M. H., Dudgeon, C. L., Fernando, D., Froman, N., Germanov, E. S., Hall, M. A., Hinojosa-Alvarez, S., </w:t>
      </w:r>
      <w:proofErr w:type="spellStart"/>
      <w:r w:rsidRPr="00C971E7">
        <w:rPr>
          <w:rFonts w:eastAsia="Arial" w:cs="Arial"/>
          <w:sz w:val="20"/>
          <w:szCs w:val="20"/>
        </w:rPr>
        <w:t>Hosegood</w:t>
      </w:r>
      <w:proofErr w:type="spellEnd"/>
      <w:r w:rsidRPr="00C971E7">
        <w:rPr>
          <w:rFonts w:eastAsia="Arial" w:cs="Arial"/>
          <w:sz w:val="20"/>
          <w:szCs w:val="20"/>
        </w:rPr>
        <w:t xml:space="preserve">, J. E., Kashiwagi, T., </w:t>
      </w:r>
      <w:proofErr w:type="spellStart"/>
      <w:r w:rsidRPr="00C971E7">
        <w:rPr>
          <w:rFonts w:eastAsia="Arial" w:cs="Arial"/>
          <w:sz w:val="20"/>
          <w:szCs w:val="20"/>
        </w:rPr>
        <w:t>Laglbauer</w:t>
      </w:r>
      <w:proofErr w:type="spellEnd"/>
      <w:r w:rsidRPr="00C971E7">
        <w:rPr>
          <w:rFonts w:eastAsia="Arial" w:cs="Arial"/>
          <w:sz w:val="20"/>
          <w:szCs w:val="20"/>
        </w:rPr>
        <w:t xml:space="preserve">, B. J. L., Lazama-Ochoa, N., Marshall, A. D., McGregor, F., Notarbartolo di Sciara, G., </w:t>
      </w:r>
      <w:r w:rsidRPr="00C971E7">
        <w:rPr>
          <w:rFonts w:eastAsia="Arial" w:cs="Arial"/>
          <w:sz w:val="20"/>
          <w:szCs w:val="20"/>
        </w:rPr>
        <w:lastRenderedPageBreak/>
        <w:t>Palacios, M. D., Peel, L. R., Richardson, A. J., Rubin, R. D., Townsend, K. A., Venables, S. K. and Stevens, G. (2018) Research Priorities to Support Effective Manta and Devil Ray Conservation, Front. Mar. Sci., 5: 314.</w:t>
      </w:r>
    </w:p>
    <w:p w14:paraId="60B1296B" w14:textId="77777777" w:rsidR="00E42EB4" w:rsidRPr="00C971E7" w:rsidRDefault="004C1ADE">
      <w:pPr>
        <w:spacing w:after="80" w:line="240" w:lineRule="auto"/>
        <w:ind w:left="562" w:hanging="562"/>
        <w:jc w:val="both"/>
        <w:rPr>
          <w:rFonts w:eastAsia="Arial" w:cs="Arial"/>
          <w:sz w:val="20"/>
          <w:szCs w:val="20"/>
          <w:lang w:val="en-US"/>
        </w:rPr>
      </w:pPr>
      <w:r w:rsidRPr="00C971E7">
        <w:rPr>
          <w:rFonts w:eastAsia="Arial" w:cs="Arial"/>
          <w:sz w:val="20"/>
          <w:szCs w:val="20"/>
        </w:rPr>
        <w:t xml:space="preserve">Stewart, J. D., Cronin, M., R., </w:t>
      </w:r>
      <w:proofErr w:type="spellStart"/>
      <w:r w:rsidRPr="00C971E7">
        <w:rPr>
          <w:rFonts w:eastAsia="Arial" w:cs="Arial"/>
          <w:sz w:val="20"/>
          <w:szCs w:val="20"/>
        </w:rPr>
        <w:t>Largacha</w:t>
      </w:r>
      <w:proofErr w:type="spellEnd"/>
      <w:r w:rsidRPr="00C971E7">
        <w:rPr>
          <w:rFonts w:eastAsia="Arial" w:cs="Arial"/>
          <w:sz w:val="20"/>
          <w:szCs w:val="20"/>
        </w:rPr>
        <w:t xml:space="preserve">, E., Lezama-Ochoa, N., Lopez J., Hall, M., Hutchinson, M., Jones, E.G., Francis, M., Grande, M., Murua, J., Vanessa Rojo, V., and Jorgensen, J. M. (2024). </w:t>
      </w:r>
      <w:r w:rsidRPr="007F3A2E">
        <w:rPr>
          <w:rFonts w:eastAsia="Arial" w:cs="Arial"/>
          <w:sz w:val="20"/>
          <w:szCs w:val="20"/>
        </w:rPr>
        <w:t xml:space="preserve">Get them off the deck: Straightforward interventions increase post-release survival rates of manta and devil rays in tuna purse seine fisheries. </w:t>
      </w:r>
      <w:r w:rsidRPr="00C971E7">
        <w:rPr>
          <w:rFonts w:eastAsia="Arial" w:cs="Arial"/>
          <w:sz w:val="20"/>
          <w:szCs w:val="20"/>
          <w:lang w:val="en-US"/>
        </w:rPr>
        <w:t>Biological Conservation, volume 299, 110794.</w:t>
      </w:r>
    </w:p>
    <w:p w14:paraId="078EDA99"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The Manta Trust (2023a). </w:t>
      </w:r>
      <w:r w:rsidRPr="007F3A2E">
        <w:rPr>
          <w:rFonts w:eastAsia="Arial" w:cs="Arial"/>
          <w:i/>
          <w:iCs/>
          <w:sz w:val="20"/>
          <w:szCs w:val="20"/>
        </w:rPr>
        <w:t>Conserving Manta &amp; Devil Rays: A Global Strategy &amp; Action Plan</w:t>
      </w:r>
      <w:r w:rsidRPr="007F3A2E">
        <w:rPr>
          <w:rFonts w:eastAsia="Arial" w:cs="Arial"/>
          <w:sz w:val="20"/>
          <w:szCs w:val="20"/>
        </w:rPr>
        <w:t xml:space="preserve">. https://www.mantatrust.org/our-approach. Accessed October 18, 2025. </w:t>
      </w:r>
    </w:p>
    <w:p w14:paraId="0E64D935"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 xml:space="preserve">The Manta Trust (2023b). </w:t>
      </w:r>
      <w:r w:rsidRPr="007F3A2E">
        <w:rPr>
          <w:rFonts w:eastAsia="Arial" w:cs="Arial"/>
          <w:i/>
          <w:iCs/>
          <w:sz w:val="20"/>
          <w:szCs w:val="20"/>
        </w:rPr>
        <w:t>The Manta Trust Five-Year Plan</w:t>
      </w:r>
      <w:r w:rsidRPr="007F3A2E">
        <w:rPr>
          <w:rFonts w:eastAsia="Arial" w:cs="Arial"/>
          <w:sz w:val="20"/>
          <w:szCs w:val="20"/>
        </w:rPr>
        <w:t>. https://www.mantatrust.org/our-approach Accessed October 18, 2025.</w:t>
      </w:r>
    </w:p>
    <w:p w14:paraId="4DED6D84" w14:textId="77777777" w:rsidR="00E42EB4" w:rsidRPr="007F3A2E" w:rsidRDefault="004C1ADE">
      <w:pPr>
        <w:spacing w:after="80" w:line="240" w:lineRule="auto"/>
        <w:ind w:left="562" w:hanging="562"/>
        <w:jc w:val="both"/>
        <w:rPr>
          <w:rFonts w:eastAsia="Arial" w:cs="Arial"/>
          <w:sz w:val="20"/>
          <w:szCs w:val="20"/>
          <w:lang w:val="fr-FR"/>
        </w:rPr>
      </w:pPr>
      <w:proofErr w:type="spellStart"/>
      <w:r w:rsidRPr="00C971E7">
        <w:rPr>
          <w:rFonts w:eastAsia="Arial" w:cs="Arial"/>
          <w:sz w:val="20"/>
          <w:szCs w:val="20"/>
        </w:rPr>
        <w:t>Thorrold</w:t>
      </w:r>
      <w:proofErr w:type="spellEnd"/>
      <w:r w:rsidRPr="00C971E7">
        <w:rPr>
          <w:rFonts w:eastAsia="Arial" w:cs="Arial"/>
          <w:sz w:val="20"/>
          <w:szCs w:val="20"/>
        </w:rPr>
        <w:t xml:space="preserve">, S. R., Afonso, P., Fontes, J., Braun, C. D., Santos, R. S., </w:t>
      </w:r>
      <w:proofErr w:type="spellStart"/>
      <w:r w:rsidRPr="00C971E7">
        <w:rPr>
          <w:rFonts w:eastAsia="Arial" w:cs="Arial"/>
          <w:sz w:val="20"/>
          <w:szCs w:val="20"/>
        </w:rPr>
        <w:t>Skomal</w:t>
      </w:r>
      <w:proofErr w:type="spellEnd"/>
      <w:r w:rsidRPr="00C971E7">
        <w:rPr>
          <w:rFonts w:eastAsia="Arial" w:cs="Arial"/>
          <w:sz w:val="20"/>
          <w:szCs w:val="20"/>
        </w:rPr>
        <w:t xml:space="preserve">, G. B., et al. </w:t>
      </w:r>
      <w:r w:rsidRPr="00A04D4A">
        <w:rPr>
          <w:rFonts w:eastAsia="Arial" w:cs="Arial"/>
          <w:sz w:val="20"/>
          <w:szCs w:val="20"/>
          <w:lang w:val="en-US"/>
        </w:rPr>
        <w:t xml:space="preserve">(2014). </w:t>
      </w:r>
      <w:r w:rsidRPr="007F3A2E">
        <w:rPr>
          <w:rFonts w:eastAsia="Arial" w:cs="Arial"/>
          <w:sz w:val="20"/>
          <w:szCs w:val="20"/>
        </w:rPr>
        <w:t xml:space="preserve">Extreme diving behaviour in devil </w:t>
      </w:r>
      <w:proofErr w:type="gramStart"/>
      <w:r w:rsidRPr="007F3A2E">
        <w:rPr>
          <w:rFonts w:eastAsia="Arial" w:cs="Arial"/>
          <w:sz w:val="20"/>
          <w:szCs w:val="20"/>
        </w:rPr>
        <w:t>rays</w:t>
      </w:r>
      <w:proofErr w:type="gramEnd"/>
      <w:r w:rsidRPr="007F3A2E">
        <w:rPr>
          <w:rFonts w:eastAsia="Arial" w:cs="Arial"/>
          <w:sz w:val="20"/>
          <w:szCs w:val="20"/>
        </w:rPr>
        <w:t xml:space="preserve"> links surface waters and the deep ocean. </w:t>
      </w:r>
      <w:r w:rsidRPr="007F3A2E">
        <w:rPr>
          <w:rFonts w:eastAsia="Arial" w:cs="Arial"/>
          <w:sz w:val="20"/>
          <w:szCs w:val="20"/>
          <w:lang w:val="fr-FR"/>
        </w:rPr>
        <w:t xml:space="preserve">Nat. Commun. 5:4274. </w:t>
      </w:r>
      <w:proofErr w:type="spellStart"/>
      <w:r w:rsidRPr="007F3A2E">
        <w:rPr>
          <w:rFonts w:eastAsia="Arial" w:cs="Arial"/>
          <w:sz w:val="20"/>
          <w:szCs w:val="20"/>
          <w:lang w:val="fr-FR"/>
        </w:rPr>
        <w:t>doi</w:t>
      </w:r>
      <w:proofErr w:type="spellEnd"/>
      <w:r w:rsidRPr="007F3A2E">
        <w:rPr>
          <w:rFonts w:eastAsia="Arial" w:cs="Arial"/>
          <w:sz w:val="20"/>
          <w:szCs w:val="20"/>
          <w:lang w:val="fr-FR"/>
        </w:rPr>
        <w:t>: 10.1038/ncomms5274</w:t>
      </w:r>
    </w:p>
    <w:p w14:paraId="288F41B0" w14:textId="77777777" w:rsidR="00E42EB4" w:rsidRPr="00C971E7" w:rsidRDefault="004C1ADE">
      <w:pPr>
        <w:spacing w:after="80" w:line="240" w:lineRule="auto"/>
        <w:ind w:left="562" w:hanging="562"/>
        <w:jc w:val="both"/>
        <w:rPr>
          <w:rFonts w:eastAsia="Arial" w:cs="Arial"/>
          <w:sz w:val="20"/>
          <w:szCs w:val="20"/>
          <w:lang w:val="en-US"/>
        </w:rPr>
      </w:pPr>
      <w:r w:rsidRPr="007F3A2E">
        <w:rPr>
          <w:rFonts w:eastAsia="Arial" w:cs="Arial"/>
          <w:sz w:val="20"/>
          <w:szCs w:val="20"/>
          <w:lang w:val="fr-FR"/>
        </w:rPr>
        <w:t xml:space="preserve">Venables, S. K., Rohner, C. A., Flam, A. L., Pierce, S. J., &amp; Marshall, A. D. (2024). </w:t>
      </w:r>
      <w:r w:rsidRPr="007F3A2E">
        <w:rPr>
          <w:rFonts w:eastAsia="Arial" w:cs="Arial"/>
          <w:sz w:val="20"/>
          <w:szCs w:val="20"/>
        </w:rPr>
        <w:t>Persistent declines in sightings of manta and devil rays (</w:t>
      </w:r>
      <w:proofErr w:type="spellStart"/>
      <w:r w:rsidRPr="007F3A2E">
        <w:rPr>
          <w:rFonts w:eastAsia="Arial" w:cs="Arial"/>
          <w:sz w:val="20"/>
          <w:szCs w:val="20"/>
        </w:rPr>
        <w:t>Mobulidae</w:t>
      </w:r>
      <w:proofErr w:type="spellEnd"/>
      <w:r w:rsidRPr="007F3A2E">
        <w:rPr>
          <w:rFonts w:eastAsia="Arial" w:cs="Arial"/>
          <w:sz w:val="20"/>
          <w:szCs w:val="20"/>
        </w:rPr>
        <w:t xml:space="preserve">) at a global hotspot in southern Mozambique. </w:t>
      </w:r>
      <w:r w:rsidRPr="00C971E7">
        <w:rPr>
          <w:rFonts w:eastAsia="Arial" w:cs="Arial"/>
          <w:sz w:val="20"/>
          <w:szCs w:val="20"/>
          <w:lang w:val="en-US"/>
        </w:rPr>
        <w:t>Environmental Biology of Fishes, 1-17.</w:t>
      </w:r>
    </w:p>
    <w:p w14:paraId="1AD7C386" w14:textId="77777777" w:rsidR="00E42EB4" w:rsidRPr="007F3A2E" w:rsidRDefault="004C1ADE">
      <w:pPr>
        <w:spacing w:after="80" w:line="240" w:lineRule="auto"/>
        <w:ind w:left="562" w:hanging="562"/>
        <w:jc w:val="both"/>
        <w:rPr>
          <w:rFonts w:eastAsia="Arial" w:cs="Arial"/>
          <w:sz w:val="20"/>
          <w:szCs w:val="20"/>
        </w:rPr>
      </w:pPr>
      <w:r w:rsidRPr="007F3A2E">
        <w:rPr>
          <w:rFonts w:eastAsia="Arial" w:cs="Arial"/>
          <w:sz w:val="20"/>
          <w:szCs w:val="20"/>
        </w:rPr>
        <w:t>White, E. R., Myers, M. C., Flemming, J. M., &amp; Baum, J. K. (2015). Shifting elasmobranch community assemblage at Cocos Island-an isolated marine protected area. Conservation Biology, 00(0), 1–12. doi:10.1111/cobi.12478</w:t>
      </w:r>
    </w:p>
    <w:p w14:paraId="6274A333" w14:textId="77777777" w:rsidR="00E42EB4" w:rsidRPr="00AC7730" w:rsidRDefault="004C1ADE">
      <w:pPr>
        <w:spacing w:after="0" w:line="240" w:lineRule="auto"/>
        <w:ind w:left="567" w:hanging="567"/>
        <w:jc w:val="both"/>
        <w:rPr>
          <w:rFonts w:eastAsia="Arial" w:cs="Arial"/>
          <w:sz w:val="20"/>
          <w:szCs w:val="20"/>
          <w:lang w:val="fr-FR"/>
        </w:rPr>
      </w:pPr>
      <w:r w:rsidRPr="007F3A2E">
        <w:rPr>
          <w:rFonts w:eastAsia="Arial" w:cs="Arial"/>
          <w:sz w:val="20"/>
          <w:szCs w:val="20"/>
        </w:rPr>
        <w:t xml:space="preserve">Zeng, Y., Wu, Z., Zhang, C. et al. (2016) DNA barcoding of </w:t>
      </w:r>
      <w:proofErr w:type="spellStart"/>
      <w:r w:rsidRPr="007F3A2E">
        <w:rPr>
          <w:rFonts w:eastAsia="Arial" w:cs="Arial"/>
          <w:sz w:val="20"/>
          <w:szCs w:val="20"/>
        </w:rPr>
        <w:t>Mobulid</w:t>
      </w:r>
      <w:proofErr w:type="spellEnd"/>
      <w:r w:rsidRPr="007F3A2E">
        <w:rPr>
          <w:rFonts w:eastAsia="Arial" w:cs="Arial"/>
          <w:sz w:val="20"/>
          <w:szCs w:val="20"/>
        </w:rPr>
        <w:t xml:space="preserve"> Ray Gill Rakers for Implementing CITES on Elasmobranch in China. </w:t>
      </w:r>
      <w:proofErr w:type="spellStart"/>
      <w:r w:rsidRPr="007F3A2E">
        <w:rPr>
          <w:rFonts w:eastAsia="Arial" w:cs="Arial"/>
          <w:sz w:val="20"/>
          <w:szCs w:val="20"/>
          <w:lang w:val="fr-FR"/>
        </w:rPr>
        <w:t>Sci</w:t>
      </w:r>
      <w:proofErr w:type="spellEnd"/>
      <w:r w:rsidRPr="007F3A2E">
        <w:rPr>
          <w:rFonts w:eastAsia="Arial" w:cs="Arial"/>
          <w:sz w:val="20"/>
          <w:szCs w:val="20"/>
          <w:lang w:val="fr-FR"/>
        </w:rPr>
        <w:t xml:space="preserve"> Rep 6, 37567. https://doi.org/10.1038/srep37567</w:t>
      </w:r>
    </w:p>
    <w:p w14:paraId="2FA5CC39" w14:textId="77777777" w:rsidR="00E42EB4" w:rsidRPr="00AC7730" w:rsidRDefault="00E42EB4">
      <w:pPr>
        <w:spacing w:after="0" w:line="240" w:lineRule="auto"/>
        <w:ind w:left="540" w:hanging="540"/>
        <w:rPr>
          <w:rFonts w:eastAsia="Arial" w:cs="Arial"/>
          <w:sz w:val="20"/>
          <w:szCs w:val="20"/>
          <w:lang w:val="fr-FR"/>
        </w:rPr>
      </w:pPr>
    </w:p>
    <w:p w14:paraId="06986161" w14:textId="77777777" w:rsidR="00E42EB4" w:rsidRPr="00AC7730" w:rsidRDefault="00E42EB4">
      <w:pPr>
        <w:ind w:left="540" w:hanging="540"/>
        <w:rPr>
          <w:rFonts w:eastAsia="Arial" w:cs="Arial"/>
          <w:sz w:val="20"/>
          <w:szCs w:val="20"/>
          <w:lang w:val="fr-FR"/>
        </w:rPr>
      </w:pPr>
    </w:p>
    <w:p w14:paraId="1EDC8255" w14:textId="77777777" w:rsidR="00E42EB4" w:rsidRPr="00AC7730" w:rsidRDefault="00E42EB4">
      <w:pPr>
        <w:ind w:left="540" w:hanging="540"/>
        <w:rPr>
          <w:rFonts w:eastAsia="Arial" w:cs="Arial"/>
          <w:sz w:val="20"/>
          <w:szCs w:val="20"/>
          <w:lang w:val="fr-FR"/>
        </w:rPr>
      </w:pPr>
    </w:p>
    <w:p w14:paraId="0C80C449" w14:textId="77777777" w:rsidR="00E42EB4" w:rsidRPr="00AC7730" w:rsidRDefault="00E42EB4">
      <w:pPr>
        <w:ind w:left="540" w:hanging="540"/>
        <w:rPr>
          <w:rFonts w:eastAsia="Arial" w:cs="Arial"/>
          <w:sz w:val="20"/>
          <w:szCs w:val="20"/>
          <w:lang w:val="fr-FR"/>
        </w:rPr>
      </w:pPr>
    </w:p>
    <w:p w14:paraId="42F6C9FC" w14:textId="77777777" w:rsidR="00E42EB4" w:rsidRPr="00AC7730" w:rsidRDefault="00E42EB4">
      <w:pPr>
        <w:jc w:val="both"/>
        <w:rPr>
          <w:rFonts w:cs="Arial"/>
          <w:lang w:val="fr-FR"/>
        </w:rPr>
        <w:sectPr w:rsidR="00E42EB4" w:rsidRPr="00AC7730">
          <w:headerReference w:type="even" r:id="rId38"/>
          <w:headerReference w:type="default" r:id="rId39"/>
          <w:footerReference w:type="even" r:id="rId40"/>
          <w:footerReference w:type="default" r:id="rId41"/>
          <w:headerReference w:type="first" r:id="rId42"/>
          <w:footerReference w:type="first" r:id="rId43"/>
          <w:pgSz w:w="11906" w:h="16838" w:code="9"/>
          <w:pgMar w:top="1440" w:right="1440" w:bottom="1440" w:left="1440" w:header="720" w:footer="720" w:gutter="0"/>
          <w:cols w:space="720"/>
          <w:titlePg/>
          <w:docGrid w:linePitch="360"/>
        </w:sectPr>
      </w:pPr>
    </w:p>
    <w:p w14:paraId="10AF9B7F" w14:textId="77777777" w:rsidR="00E42EB4" w:rsidRPr="00AC7730" w:rsidRDefault="004C1ADE">
      <w:pPr>
        <w:widowControl w:val="0"/>
        <w:suppressAutoHyphens/>
        <w:autoSpaceDE w:val="0"/>
        <w:autoSpaceDN w:val="0"/>
        <w:spacing w:after="0" w:line="240" w:lineRule="auto"/>
        <w:jc w:val="both"/>
        <w:textAlignment w:val="baseline"/>
        <w:rPr>
          <w:rFonts w:eastAsia="Times New Roman" w:cs="Arial"/>
          <w:lang w:val="fr-FR"/>
        </w:rPr>
      </w:pPr>
      <w:r w:rsidRPr="00AC7730">
        <w:rPr>
          <w:rFonts w:eastAsia="Times New Roman" w:cs="Arial"/>
          <w:lang w:val="fr-FR"/>
        </w:rPr>
        <w:lastRenderedPageBreak/>
        <w:t xml:space="preserve">Annexe I : </w:t>
      </w:r>
      <w:r w:rsidRPr="00AC7730">
        <w:rPr>
          <w:rFonts w:eastAsia="MS Mincho" w:cs="Arial"/>
          <w:lang w:val="fr-FR" w:eastAsia="en-GB"/>
        </w:rPr>
        <w:t>Tableau détaillé des activités et des résultats attendus</w:t>
      </w:r>
    </w:p>
    <w:p w14:paraId="3BED0D89" w14:textId="77777777" w:rsidR="00E42EB4" w:rsidRPr="00AC7730" w:rsidRDefault="00E42EB4">
      <w:pPr>
        <w:widowControl w:val="0"/>
        <w:suppressAutoHyphens/>
        <w:autoSpaceDE w:val="0"/>
        <w:autoSpaceDN w:val="0"/>
        <w:spacing w:after="0" w:line="240" w:lineRule="auto"/>
        <w:jc w:val="both"/>
        <w:textAlignment w:val="baseline"/>
        <w:rPr>
          <w:rFonts w:eastAsia="Times New Roman" w:cs="Arial"/>
          <w:strike/>
          <w:lang w:val="fr-FR"/>
        </w:rPr>
      </w:pP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E42EB4" w:rsidRPr="00AC7730" w14:paraId="4D8BD749" w14:textId="77777777">
        <w:trPr>
          <w:trHeight w:val="323"/>
          <w:tblHeader/>
        </w:trPr>
        <w:tc>
          <w:tcPr>
            <w:tcW w:w="3119" w:type="dxa"/>
            <w:shd w:val="clear" w:color="auto" w:fill="002060"/>
            <w:tcMar>
              <w:top w:w="86" w:type="dxa"/>
              <w:left w:w="115" w:type="dxa"/>
              <w:bottom w:w="86" w:type="dxa"/>
              <w:right w:w="115" w:type="dxa"/>
            </w:tcMar>
          </w:tcPr>
          <w:p w14:paraId="102D15AB" w14:textId="77777777" w:rsidR="00E42EB4" w:rsidRPr="00AC7730" w:rsidRDefault="004C1ADE" w:rsidP="00C47195">
            <w:pPr>
              <w:spacing w:before="40" w:after="40"/>
              <w:rPr>
                <w:rFonts w:cs="Arial"/>
                <w:b/>
                <w:sz w:val="20"/>
                <w:szCs w:val="20"/>
                <w:lang w:val="fr-FR"/>
              </w:rPr>
            </w:pPr>
            <w:r w:rsidRPr="00AC7730">
              <w:rPr>
                <w:rFonts w:cs="Arial"/>
                <w:b/>
                <w:sz w:val="20"/>
                <w:szCs w:val="20"/>
                <w:lang w:val="fr-FR"/>
              </w:rPr>
              <w:t>Activité</w:t>
            </w:r>
          </w:p>
        </w:tc>
        <w:tc>
          <w:tcPr>
            <w:tcW w:w="2835" w:type="dxa"/>
            <w:shd w:val="clear" w:color="auto" w:fill="002060"/>
            <w:tcMar>
              <w:top w:w="86" w:type="dxa"/>
              <w:left w:w="115" w:type="dxa"/>
              <w:bottom w:w="86" w:type="dxa"/>
              <w:right w:w="115" w:type="dxa"/>
            </w:tcMar>
          </w:tcPr>
          <w:p w14:paraId="2CA4ECE1" w14:textId="77777777" w:rsidR="00E42EB4" w:rsidRPr="00AC7730" w:rsidRDefault="004C1ADE" w:rsidP="00C47195">
            <w:pPr>
              <w:spacing w:before="40" w:after="40"/>
              <w:rPr>
                <w:rFonts w:cs="Arial"/>
                <w:b/>
                <w:sz w:val="20"/>
                <w:szCs w:val="20"/>
                <w:lang w:val="fr-FR"/>
              </w:rPr>
            </w:pPr>
            <w:r w:rsidRPr="00AC7730">
              <w:rPr>
                <w:rFonts w:cs="Arial"/>
                <w:b/>
                <w:sz w:val="20"/>
                <w:szCs w:val="20"/>
                <w:lang w:val="fr-FR"/>
              </w:rPr>
              <w:t xml:space="preserve">Produits/Résultats </w:t>
            </w:r>
          </w:p>
        </w:tc>
        <w:tc>
          <w:tcPr>
            <w:tcW w:w="1559" w:type="dxa"/>
            <w:shd w:val="clear" w:color="auto" w:fill="002060"/>
            <w:tcMar>
              <w:top w:w="86" w:type="dxa"/>
              <w:left w:w="115" w:type="dxa"/>
              <w:bottom w:w="86" w:type="dxa"/>
              <w:right w:w="115" w:type="dxa"/>
            </w:tcMar>
          </w:tcPr>
          <w:p w14:paraId="4E205093" w14:textId="77777777" w:rsidR="00E42EB4" w:rsidRPr="00AC7730" w:rsidRDefault="004C1ADE" w:rsidP="00C47195">
            <w:pPr>
              <w:spacing w:before="40" w:after="40"/>
              <w:rPr>
                <w:rFonts w:cs="Arial"/>
                <w:b/>
                <w:sz w:val="20"/>
                <w:szCs w:val="20"/>
                <w:lang w:val="fr-FR"/>
              </w:rPr>
            </w:pPr>
            <w:r w:rsidRPr="00AC7730">
              <w:rPr>
                <w:rFonts w:cs="Arial"/>
                <w:b/>
                <w:sz w:val="20"/>
                <w:szCs w:val="20"/>
                <w:lang w:val="fr-FR"/>
              </w:rPr>
              <w:t>Délai</w:t>
            </w:r>
          </w:p>
        </w:tc>
        <w:tc>
          <w:tcPr>
            <w:tcW w:w="2126" w:type="dxa"/>
            <w:shd w:val="clear" w:color="auto" w:fill="002060"/>
            <w:tcMar>
              <w:top w:w="86" w:type="dxa"/>
              <w:left w:w="115" w:type="dxa"/>
              <w:bottom w:w="86" w:type="dxa"/>
              <w:right w:w="115" w:type="dxa"/>
            </w:tcMar>
          </w:tcPr>
          <w:p w14:paraId="48BFF344" w14:textId="77777777" w:rsidR="00E42EB4" w:rsidRPr="00AC7730" w:rsidRDefault="004C1ADE" w:rsidP="00C47195">
            <w:pPr>
              <w:spacing w:before="40" w:after="40"/>
              <w:rPr>
                <w:rFonts w:cs="Arial"/>
                <w:b/>
                <w:sz w:val="20"/>
                <w:szCs w:val="20"/>
                <w:lang w:val="fr-FR"/>
              </w:rPr>
            </w:pPr>
            <w:r w:rsidRPr="00AC7730">
              <w:rPr>
                <w:rFonts w:cs="Arial"/>
                <w:b/>
                <w:sz w:val="20"/>
                <w:szCs w:val="20"/>
                <w:lang w:val="fr-FR"/>
              </w:rPr>
              <w:t>Responsable(s)</w:t>
            </w:r>
          </w:p>
        </w:tc>
        <w:tc>
          <w:tcPr>
            <w:tcW w:w="1985" w:type="dxa"/>
            <w:shd w:val="clear" w:color="auto" w:fill="002060"/>
            <w:tcMar>
              <w:top w:w="86" w:type="dxa"/>
              <w:left w:w="115" w:type="dxa"/>
              <w:bottom w:w="86" w:type="dxa"/>
              <w:right w:w="115" w:type="dxa"/>
            </w:tcMar>
          </w:tcPr>
          <w:p w14:paraId="06E445B5" w14:textId="77777777" w:rsidR="00E42EB4" w:rsidRPr="00AC7730" w:rsidRDefault="004C1ADE" w:rsidP="00C47195">
            <w:pPr>
              <w:spacing w:before="40" w:after="40"/>
              <w:rPr>
                <w:rFonts w:cs="Arial"/>
                <w:b/>
                <w:sz w:val="20"/>
                <w:szCs w:val="20"/>
                <w:lang w:val="fr-FR"/>
              </w:rPr>
            </w:pPr>
            <w:r w:rsidRPr="00AC7730">
              <w:rPr>
                <w:rFonts w:cs="Arial"/>
                <w:b/>
                <w:sz w:val="20"/>
                <w:szCs w:val="20"/>
                <w:lang w:val="fr-FR"/>
              </w:rPr>
              <w:t>Financement</w:t>
            </w:r>
          </w:p>
        </w:tc>
        <w:tc>
          <w:tcPr>
            <w:tcW w:w="2409" w:type="dxa"/>
            <w:shd w:val="clear" w:color="auto" w:fill="002060"/>
          </w:tcPr>
          <w:p w14:paraId="7E52E799" w14:textId="77777777" w:rsidR="00E42EB4" w:rsidRPr="00AC7730" w:rsidRDefault="004C1ADE" w:rsidP="00C47195">
            <w:pPr>
              <w:spacing w:before="40" w:after="40"/>
              <w:rPr>
                <w:rFonts w:cs="Arial"/>
                <w:b/>
                <w:sz w:val="20"/>
                <w:szCs w:val="20"/>
                <w:lang w:val="fr-FR"/>
              </w:rPr>
            </w:pPr>
            <w:r w:rsidRPr="00AC7730">
              <w:rPr>
                <w:rFonts w:cs="Arial"/>
                <w:b/>
                <w:sz w:val="20"/>
                <w:szCs w:val="20"/>
                <w:lang w:val="fr-FR"/>
              </w:rPr>
              <w:t>Indicateurs</w:t>
            </w:r>
          </w:p>
        </w:tc>
      </w:tr>
      <w:tr w:rsidR="00E42EB4" w:rsidRPr="00C971E7" w14:paraId="0527C1C0" w14:textId="77777777">
        <w:tc>
          <w:tcPr>
            <w:tcW w:w="14033" w:type="dxa"/>
            <w:gridSpan w:val="6"/>
            <w:shd w:val="clear" w:color="auto" w:fill="D9D9D9" w:themeFill="background1" w:themeFillShade="D9"/>
            <w:tcMar>
              <w:top w:w="86" w:type="dxa"/>
              <w:left w:w="115" w:type="dxa"/>
              <w:bottom w:w="86" w:type="dxa"/>
              <w:right w:w="115" w:type="dxa"/>
            </w:tcMar>
          </w:tcPr>
          <w:p w14:paraId="08CEEB5B" w14:textId="77777777" w:rsidR="00E42EB4" w:rsidRPr="00AC7730" w:rsidRDefault="004C1ADE" w:rsidP="00C47195">
            <w:pPr>
              <w:spacing w:before="40" w:after="40"/>
              <w:rPr>
                <w:rFonts w:cs="Arial"/>
                <w:b/>
                <w:sz w:val="20"/>
                <w:szCs w:val="20"/>
                <w:lang w:val="fr-FR"/>
              </w:rPr>
            </w:pPr>
            <w:r w:rsidRPr="00AC7730">
              <w:rPr>
                <w:rFonts w:cs="Arial"/>
                <w:b/>
                <w:sz w:val="20"/>
                <w:szCs w:val="20"/>
                <w:lang w:val="fr-FR"/>
              </w:rPr>
              <w:t xml:space="preserve">Réduire les captures ciblées et accessoires de raies </w:t>
            </w:r>
            <w:proofErr w:type="spellStart"/>
            <w:r w:rsidRPr="00AC7730">
              <w:rPr>
                <w:rFonts w:cs="Arial"/>
                <w:b/>
                <w:sz w:val="20"/>
                <w:szCs w:val="20"/>
                <w:lang w:val="fr-FR"/>
              </w:rPr>
              <w:t>manta</w:t>
            </w:r>
            <w:proofErr w:type="spellEnd"/>
            <w:r w:rsidRPr="00AC7730">
              <w:rPr>
                <w:rFonts w:cs="Arial"/>
                <w:b/>
                <w:sz w:val="20"/>
                <w:szCs w:val="20"/>
                <w:lang w:val="fr-FR"/>
              </w:rPr>
              <w:t xml:space="preserve"> et diable via des mesures de gestion </w:t>
            </w:r>
          </w:p>
        </w:tc>
      </w:tr>
      <w:tr w:rsidR="00E42EB4" w:rsidRPr="00C971E7" w14:paraId="0FE18211" w14:textId="77777777">
        <w:trPr>
          <w:trHeight w:val="1196"/>
        </w:trPr>
        <w:tc>
          <w:tcPr>
            <w:tcW w:w="3119" w:type="dxa"/>
            <w:tcMar>
              <w:top w:w="86" w:type="dxa"/>
              <w:left w:w="115" w:type="dxa"/>
              <w:bottom w:w="86" w:type="dxa"/>
              <w:right w:w="115" w:type="dxa"/>
            </w:tcMar>
          </w:tcPr>
          <w:p w14:paraId="6140A55C" w14:textId="77777777" w:rsidR="00E42EB4" w:rsidRPr="00AC7730" w:rsidRDefault="004C1ADE"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Mettre en œuvre une législation soutenant la conservation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w:t>
            </w:r>
          </w:p>
        </w:tc>
        <w:tc>
          <w:tcPr>
            <w:tcW w:w="2835" w:type="dxa"/>
            <w:tcMar>
              <w:top w:w="86" w:type="dxa"/>
              <w:left w:w="115" w:type="dxa"/>
              <w:bottom w:w="86" w:type="dxa"/>
              <w:right w:w="115" w:type="dxa"/>
            </w:tcMar>
          </w:tcPr>
          <w:p w14:paraId="0814A69F" w14:textId="77777777" w:rsidR="00E42EB4" w:rsidRPr="00AC7730" w:rsidRDefault="004C1ADE" w:rsidP="00C47195">
            <w:pPr>
              <w:pStyle w:val="ListParagraph"/>
              <w:numPr>
                <w:ilvl w:val="0"/>
                <w:numId w:val="18"/>
              </w:numPr>
              <w:spacing w:before="40" w:after="40"/>
              <w:contextualSpacing w:val="0"/>
              <w:rPr>
                <w:rFonts w:cs="Arial"/>
                <w:sz w:val="20"/>
                <w:szCs w:val="20"/>
                <w:lang w:val="fr-FR"/>
              </w:rPr>
            </w:pPr>
            <w:r w:rsidRPr="00AC7730">
              <w:rPr>
                <w:rFonts w:cs="Arial"/>
                <w:sz w:val="20"/>
                <w:szCs w:val="20"/>
                <w:lang w:val="fr-FR"/>
              </w:rPr>
              <w:t xml:space="preserve">Politiques protectrices existantes à l’échelle locale, nationale ou régionale réduisant ou éliminant la mortalité des </w:t>
            </w:r>
            <w:proofErr w:type="spellStart"/>
            <w:r w:rsidRPr="00AC7730">
              <w:rPr>
                <w:rFonts w:cs="Arial"/>
                <w:sz w:val="20"/>
                <w:szCs w:val="20"/>
                <w:lang w:val="fr-FR"/>
              </w:rPr>
              <w:t>mobulidés</w:t>
            </w:r>
            <w:proofErr w:type="spellEnd"/>
            <w:r w:rsidRPr="00AC7730">
              <w:rPr>
                <w:rFonts w:cs="Arial"/>
                <w:sz w:val="20"/>
                <w:szCs w:val="20"/>
                <w:lang w:val="fr-FR"/>
              </w:rPr>
              <w:t xml:space="preserve">, notamment dans les zones à forte mortalité. </w:t>
            </w:r>
          </w:p>
          <w:p w14:paraId="1B48E054" w14:textId="77777777" w:rsidR="00E42EB4" w:rsidRPr="00AC7730" w:rsidRDefault="004C1ADE" w:rsidP="00C47195">
            <w:pPr>
              <w:pStyle w:val="ListParagraph"/>
              <w:numPr>
                <w:ilvl w:val="0"/>
                <w:numId w:val="18"/>
              </w:numPr>
              <w:spacing w:before="40" w:after="40"/>
              <w:contextualSpacing w:val="0"/>
              <w:rPr>
                <w:rFonts w:cs="Arial"/>
                <w:sz w:val="20"/>
                <w:szCs w:val="20"/>
                <w:lang w:val="fr-FR"/>
              </w:rPr>
            </w:pPr>
            <w:r w:rsidRPr="00AC7730">
              <w:rPr>
                <w:rFonts w:cs="Arial"/>
                <w:sz w:val="20"/>
                <w:szCs w:val="20"/>
                <w:lang w:val="fr-FR"/>
              </w:rPr>
              <w:t xml:space="preserve">Coopération renforcée via l’augmentation du nombre de signataires du </w:t>
            </w:r>
            <w:proofErr w:type="spellStart"/>
            <w:r w:rsidRPr="00AC7730">
              <w:rPr>
                <w:rFonts w:cs="Arial"/>
                <w:sz w:val="20"/>
                <w:szCs w:val="20"/>
                <w:lang w:val="fr-FR"/>
              </w:rPr>
              <w:t>MdE</w:t>
            </w:r>
            <w:proofErr w:type="spellEnd"/>
            <w:r w:rsidRPr="00AC7730">
              <w:rPr>
                <w:rFonts w:cs="Arial"/>
                <w:sz w:val="20"/>
                <w:szCs w:val="20"/>
                <w:lang w:val="fr-FR"/>
              </w:rPr>
              <w:t xml:space="preserve"> Requins. </w:t>
            </w:r>
          </w:p>
        </w:tc>
        <w:tc>
          <w:tcPr>
            <w:tcW w:w="1559" w:type="dxa"/>
            <w:tcMar>
              <w:top w:w="86" w:type="dxa"/>
              <w:left w:w="115" w:type="dxa"/>
              <w:bottom w:w="86" w:type="dxa"/>
              <w:right w:w="115" w:type="dxa"/>
            </w:tcMar>
          </w:tcPr>
          <w:p w14:paraId="55D2C3B1"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11AA3A97"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État de l’aire de répartition Parties avec captures identifiées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soutenus par les ONG et experts</w:t>
            </w:r>
          </w:p>
        </w:tc>
        <w:tc>
          <w:tcPr>
            <w:tcW w:w="1985" w:type="dxa"/>
            <w:tcMar>
              <w:top w:w="86" w:type="dxa"/>
              <w:left w:w="115" w:type="dxa"/>
              <w:bottom w:w="86" w:type="dxa"/>
              <w:right w:w="115" w:type="dxa"/>
            </w:tcMar>
          </w:tcPr>
          <w:p w14:paraId="4A966BCD"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À la demande et si requis par les Parties.  </w:t>
            </w:r>
          </w:p>
        </w:tc>
        <w:tc>
          <w:tcPr>
            <w:tcW w:w="2409" w:type="dxa"/>
          </w:tcPr>
          <w:p w14:paraId="07B2731D" w14:textId="77777777" w:rsidR="00E42EB4" w:rsidRPr="00AC7730" w:rsidRDefault="004C1ADE" w:rsidP="00C47195">
            <w:pPr>
              <w:pStyle w:val="ListParagraph"/>
              <w:numPr>
                <w:ilvl w:val="0"/>
                <w:numId w:val="20"/>
              </w:numPr>
              <w:spacing w:before="40" w:after="40"/>
              <w:contextualSpacing w:val="0"/>
              <w:rPr>
                <w:rFonts w:cs="Arial"/>
                <w:sz w:val="20"/>
                <w:szCs w:val="20"/>
                <w:lang w:val="fr-FR"/>
              </w:rPr>
            </w:pPr>
            <w:r w:rsidRPr="00AC7730">
              <w:rPr>
                <w:rFonts w:cs="Arial"/>
                <w:sz w:val="20"/>
                <w:szCs w:val="20"/>
                <w:lang w:val="fr-FR"/>
              </w:rPr>
              <w:t>Nombre de législations nationales existantes fournissant un cadre pour appliquer les interdictions de rétention et les quotas zéro pour la rétention des prises accessoires.</w:t>
            </w:r>
          </w:p>
          <w:p w14:paraId="63F6D8A1" w14:textId="77777777" w:rsidR="00E42EB4" w:rsidRPr="00AC7730" w:rsidRDefault="004C1ADE" w:rsidP="00C47195">
            <w:pPr>
              <w:pStyle w:val="ListParagraph"/>
              <w:numPr>
                <w:ilvl w:val="0"/>
                <w:numId w:val="20"/>
              </w:numPr>
              <w:spacing w:before="40" w:after="40"/>
              <w:contextualSpacing w:val="0"/>
              <w:rPr>
                <w:rFonts w:cs="Arial"/>
                <w:sz w:val="20"/>
                <w:szCs w:val="20"/>
                <w:lang w:val="fr-FR"/>
              </w:rPr>
            </w:pPr>
            <w:r w:rsidRPr="00AC7730">
              <w:rPr>
                <w:rFonts w:cs="Arial"/>
                <w:sz w:val="20"/>
                <w:szCs w:val="20"/>
                <w:lang w:val="fr-FR"/>
              </w:rPr>
              <w:t xml:space="preserve">Nombre accru d’États de l’aire de répartition signataires du </w:t>
            </w:r>
            <w:proofErr w:type="spellStart"/>
            <w:r w:rsidRPr="00AC7730">
              <w:rPr>
                <w:rFonts w:cs="Arial"/>
                <w:sz w:val="20"/>
                <w:szCs w:val="20"/>
                <w:lang w:val="fr-FR"/>
              </w:rPr>
              <w:t>MdE</w:t>
            </w:r>
            <w:proofErr w:type="spellEnd"/>
            <w:r w:rsidRPr="00AC7730">
              <w:rPr>
                <w:rFonts w:cs="Arial"/>
                <w:sz w:val="20"/>
                <w:szCs w:val="20"/>
                <w:lang w:val="fr-FR"/>
              </w:rPr>
              <w:t xml:space="preserve"> Requins et s’engageant à poursuivre les objectifs du </w:t>
            </w:r>
            <w:proofErr w:type="spellStart"/>
            <w:r w:rsidRPr="00AC7730">
              <w:rPr>
                <w:rFonts w:cs="Arial"/>
                <w:sz w:val="20"/>
                <w:szCs w:val="20"/>
                <w:lang w:val="fr-FR"/>
              </w:rPr>
              <w:t>MdU</w:t>
            </w:r>
            <w:proofErr w:type="spellEnd"/>
            <w:r w:rsidRPr="00AC7730">
              <w:rPr>
                <w:rFonts w:cs="Arial"/>
                <w:sz w:val="20"/>
                <w:szCs w:val="20"/>
                <w:lang w:val="fr-FR"/>
              </w:rPr>
              <w:t>.</w:t>
            </w:r>
          </w:p>
        </w:tc>
      </w:tr>
      <w:tr w:rsidR="00E42EB4" w:rsidRPr="00C971E7" w14:paraId="1E395645" w14:textId="77777777">
        <w:trPr>
          <w:trHeight w:val="535"/>
        </w:trPr>
        <w:tc>
          <w:tcPr>
            <w:tcW w:w="3119" w:type="dxa"/>
            <w:tcMar>
              <w:top w:w="86" w:type="dxa"/>
              <w:left w:w="115" w:type="dxa"/>
              <w:bottom w:w="86" w:type="dxa"/>
              <w:right w:w="115" w:type="dxa"/>
            </w:tcMar>
          </w:tcPr>
          <w:p w14:paraId="59477707" w14:textId="77777777" w:rsidR="00E42EB4" w:rsidRPr="00AC7730" w:rsidRDefault="004C1ADE"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Développer les capacités et outils technologiques pour renforcer l’application de la loi et la traçabilité des pêcheries et du commerce</w:t>
            </w:r>
          </w:p>
        </w:tc>
        <w:tc>
          <w:tcPr>
            <w:tcW w:w="2835" w:type="dxa"/>
            <w:tcMar>
              <w:top w:w="86" w:type="dxa"/>
              <w:left w:w="115" w:type="dxa"/>
              <w:bottom w:w="86" w:type="dxa"/>
              <w:right w:w="115" w:type="dxa"/>
            </w:tcMar>
          </w:tcPr>
          <w:p w14:paraId="25AE31DE" w14:textId="36039047" w:rsidR="00E42EB4" w:rsidRPr="00AC7730" w:rsidRDefault="004C1ADE" w:rsidP="00C47195">
            <w:pPr>
              <w:pStyle w:val="ListParagraph"/>
              <w:numPr>
                <w:ilvl w:val="0"/>
                <w:numId w:val="19"/>
              </w:numPr>
              <w:spacing w:before="40" w:after="40"/>
              <w:contextualSpacing w:val="0"/>
              <w:rPr>
                <w:rFonts w:cs="Arial"/>
                <w:sz w:val="20"/>
                <w:szCs w:val="20"/>
                <w:lang w:val="fr-FR"/>
              </w:rPr>
            </w:pPr>
            <w:r w:rsidRPr="00AC7730">
              <w:rPr>
                <w:rFonts w:cs="Arial"/>
                <w:sz w:val="20"/>
                <w:szCs w:val="20"/>
                <w:lang w:val="fr-FR"/>
              </w:rPr>
              <w:t>Personnel chargé de l’application de la loi et observateurs à bord formés pour améliorer le signalement et réduire les erreurs d’identification et/ou de codage.</w:t>
            </w:r>
          </w:p>
          <w:p w14:paraId="26BBE1D3" w14:textId="77777777" w:rsidR="00E42EB4" w:rsidRPr="00AC7730" w:rsidRDefault="004C1ADE" w:rsidP="00C47195">
            <w:pPr>
              <w:pStyle w:val="ListParagraph"/>
              <w:numPr>
                <w:ilvl w:val="0"/>
                <w:numId w:val="19"/>
              </w:numPr>
              <w:spacing w:before="40" w:after="40"/>
              <w:contextualSpacing w:val="0"/>
              <w:rPr>
                <w:rFonts w:cs="Arial"/>
                <w:sz w:val="20"/>
                <w:szCs w:val="20"/>
                <w:lang w:val="fr-FR"/>
              </w:rPr>
            </w:pPr>
            <w:r w:rsidRPr="00AC7730">
              <w:rPr>
                <w:rFonts w:cs="Arial"/>
                <w:sz w:val="20"/>
                <w:szCs w:val="20"/>
                <w:lang w:val="fr-FR"/>
              </w:rPr>
              <w:t xml:space="preserve">Technologies permettant à quiconque de soumettre des </w:t>
            </w:r>
            <w:r w:rsidRPr="00AC7730">
              <w:rPr>
                <w:rFonts w:cs="Arial"/>
                <w:sz w:val="20"/>
                <w:szCs w:val="20"/>
                <w:lang w:val="fr-FR"/>
              </w:rPr>
              <w:lastRenderedPageBreak/>
              <w:t xml:space="preserve">informations sur les </w:t>
            </w:r>
            <w:proofErr w:type="spellStart"/>
            <w:r w:rsidRPr="00AC7730">
              <w:rPr>
                <w:rFonts w:cs="Arial"/>
                <w:sz w:val="20"/>
                <w:szCs w:val="20"/>
                <w:lang w:val="fr-FR"/>
              </w:rPr>
              <w:t>mobulidés</w:t>
            </w:r>
            <w:proofErr w:type="spellEnd"/>
            <w:r w:rsidRPr="00AC7730">
              <w:rPr>
                <w:rFonts w:cs="Arial"/>
                <w:sz w:val="20"/>
                <w:szCs w:val="20"/>
                <w:lang w:val="fr-FR"/>
              </w:rPr>
              <w:t xml:space="preserve"> commercialisés et débarqués ou observés sur les sites de débarquement des marchés aux poissons.</w:t>
            </w:r>
          </w:p>
          <w:p w14:paraId="10D31CC5" w14:textId="77777777" w:rsidR="00E42EB4" w:rsidRPr="00AC7730" w:rsidRDefault="004C1ADE" w:rsidP="00C47195">
            <w:pPr>
              <w:pStyle w:val="ListParagraph"/>
              <w:numPr>
                <w:ilvl w:val="0"/>
                <w:numId w:val="19"/>
              </w:numPr>
              <w:spacing w:before="40" w:after="40"/>
              <w:contextualSpacing w:val="0"/>
              <w:rPr>
                <w:rFonts w:cs="Arial"/>
                <w:sz w:val="20"/>
                <w:szCs w:val="20"/>
                <w:lang w:val="fr-FR"/>
              </w:rPr>
            </w:pPr>
            <w:r w:rsidRPr="00AC7730">
              <w:rPr>
                <w:rFonts w:cs="Arial"/>
                <w:sz w:val="20"/>
                <w:szCs w:val="20"/>
                <w:lang w:val="fr-FR"/>
              </w:rPr>
              <w:t>Outils d’identification rapide, génétique et visuelle, pour déterminer l’espèce et la localisation de la population des spécimens (ou parties) trouvés dans le commerce.</w:t>
            </w:r>
          </w:p>
        </w:tc>
        <w:tc>
          <w:tcPr>
            <w:tcW w:w="1559" w:type="dxa"/>
            <w:tcMar>
              <w:top w:w="86" w:type="dxa"/>
              <w:left w:w="115" w:type="dxa"/>
              <w:bottom w:w="86" w:type="dxa"/>
              <w:right w:w="115" w:type="dxa"/>
            </w:tcMar>
          </w:tcPr>
          <w:p w14:paraId="0E035F20" w14:textId="77777777" w:rsidR="00E42EB4" w:rsidRPr="00AC7730" w:rsidRDefault="004C1ADE" w:rsidP="00C47195">
            <w:pPr>
              <w:spacing w:before="40" w:after="40"/>
              <w:rPr>
                <w:rFonts w:cs="Arial"/>
                <w:sz w:val="20"/>
                <w:szCs w:val="20"/>
                <w:lang w:val="fr-FR"/>
              </w:rPr>
            </w:pPr>
            <w:r w:rsidRPr="00AC7730">
              <w:rPr>
                <w:rFonts w:cs="Arial"/>
                <w:sz w:val="20"/>
                <w:szCs w:val="20"/>
                <w:lang w:val="fr-FR"/>
              </w:rPr>
              <w:lastRenderedPageBreak/>
              <w:t>2026-2029</w:t>
            </w:r>
          </w:p>
        </w:tc>
        <w:tc>
          <w:tcPr>
            <w:tcW w:w="2126" w:type="dxa"/>
            <w:tcMar>
              <w:top w:w="86" w:type="dxa"/>
              <w:left w:w="115" w:type="dxa"/>
              <w:bottom w:w="86" w:type="dxa"/>
              <w:right w:w="115" w:type="dxa"/>
            </w:tcMar>
          </w:tcPr>
          <w:p w14:paraId="326512E3"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États de l'aire de répartition Parties, ONG, organismes de recherche</w:t>
            </w:r>
          </w:p>
          <w:p w14:paraId="6A925425"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Les Parties peuvent inviter les personnes suivantes à contribuer à la mise en œuvre :</w:t>
            </w:r>
          </w:p>
          <w:p w14:paraId="0AB30CCD"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signataires du </w:t>
            </w:r>
            <w:proofErr w:type="spellStart"/>
            <w:r w:rsidRPr="00AC7730">
              <w:rPr>
                <w:rFonts w:cs="Arial"/>
                <w:sz w:val="20"/>
                <w:szCs w:val="20"/>
                <w:lang w:val="fr-FR"/>
              </w:rPr>
              <w:t>MdE</w:t>
            </w:r>
            <w:proofErr w:type="spellEnd"/>
            <w:r w:rsidRPr="00AC7730">
              <w:rPr>
                <w:rFonts w:cs="Arial"/>
                <w:sz w:val="20"/>
                <w:szCs w:val="20"/>
                <w:lang w:val="fr-FR"/>
              </w:rPr>
              <w:t xml:space="preserve"> requins, Partenaires </w:t>
            </w:r>
            <w:r w:rsidRPr="00AC7730">
              <w:rPr>
                <w:rFonts w:cs="Arial"/>
                <w:sz w:val="20"/>
                <w:szCs w:val="20"/>
                <w:lang w:val="fr-FR"/>
              </w:rPr>
              <w:lastRenderedPageBreak/>
              <w:t xml:space="preserve">coopératifs du </w:t>
            </w:r>
            <w:proofErr w:type="spellStart"/>
            <w:r w:rsidRPr="00AC7730">
              <w:rPr>
                <w:rFonts w:cs="Arial"/>
                <w:sz w:val="20"/>
                <w:szCs w:val="20"/>
                <w:lang w:val="fr-FR"/>
              </w:rPr>
              <w:t>MdE</w:t>
            </w:r>
            <w:proofErr w:type="spellEnd"/>
            <w:r w:rsidRPr="00AC7730">
              <w:rPr>
                <w:rFonts w:cs="Arial"/>
                <w:sz w:val="20"/>
                <w:szCs w:val="20"/>
                <w:lang w:val="fr-FR"/>
              </w:rPr>
              <w:t xml:space="preserve"> requins de la Convention de Bonn</w:t>
            </w:r>
          </w:p>
        </w:tc>
        <w:tc>
          <w:tcPr>
            <w:tcW w:w="1985" w:type="dxa"/>
            <w:tcMar>
              <w:top w:w="86" w:type="dxa"/>
              <w:left w:w="115" w:type="dxa"/>
              <w:bottom w:w="86" w:type="dxa"/>
              <w:right w:w="115" w:type="dxa"/>
            </w:tcMar>
          </w:tcPr>
          <w:p w14:paraId="11FEC388" w14:textId="678026BB" w:rsidR="00E42EB4" w:rsidRPr="00AC7730" w:rsidRDefault="004C1ADE" w:rsidP="00C47195">
            <w:pPr>
              <w:spacing w:before="40" w:after="40"/>
              <w:rPr>
                <w:rFonts w:cs="Arial"/>
                <w:sz w:val="20"/>
                <w:szCs w:val="20"/>
                <w:lang w:val="fr-FR"/>
              </w:rPr>
            </w:pPr>
            <w:r w:rsidRPr="00AC7730">
              <w:rPr>
                <w:rFonts w:cs="Arial"/>
                <w:sz w:val="20"/>
                <w:szCs w:val="20"/>
                <w:lang w:val="fr-FR"/>
              </w:rPr>
              <w:lastRenderedPageBreak/>
              <w:t>Financement nécessaire pour le développement technologique et l’organisation d’ateliers</w:t>
            </w:r>
          </w:p>
        </w:tc>
        <w:tc>
          <w:tcPr>
            <w:tcW w:w="2409" w:type="dxa"/>
          </w:tcPr>
          <w:p w14:paraId="759FEE94"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Amélioration de l’enregistrement d’informations spécifiques par espèce dans les bases de l’Organisation des Nations Unies pour l'Alimentation et l'Agriculture, des ORGP-t, de la </w:t>
            </w:r>
            <w:r w:rsidRPr="00AC7730">
              <w:rPr>
                <w:rFonts w:cs="Arial"/>
                <w:sz w:val="20"/>
                <w:szCs w:val="20"/>
                <w:lang w:val="fr-FR"/>
              </w:rPr>
              <w:lastRenderedPageBreak/>
              <w:t xml:space="preserve">Convention sur le commerce international des espèces de faune et de flore sauvages menacées d'extinction CITES et les bases de données nationales </w:t>
            </w:r>
          </w:p>
          <w:p w14:paraId="13908A1F"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Amélioration des données sur les pêcheries et les débarquements.</w:t>
            </w:r>
          </w:p>
          <w:p w14:paraId="2B0F7F89"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Routes de commerce illégal minutieusement réévaluées </w:t>
            </w:r>
          </w:p>
          <w:p w14:paraId="6836ED45" w14:textId="0BACA613" w:rsidR="00E42EB4" w:rsidRPr="005A08BE"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Identification des spécimens commercialisés au niveau de l’espèce et de la population</w:t>
            </w:r>
          </w:p>
        </w:tc>
      </w:tr>
      <w:tr w:rsidR="00E42EB4" w:rsidRPr="00C971E7" w14:paraId="7F8C49BF" w14:textId="77777777">
        <w:trPr>
          <w:trHeight w:val="1196"/>
        </w:trPr>
        <w:tc>
          <w:tcPr>
            <w:tcW w:w="3119" w:type="dxa"/>
            <w:tcMar>
              <w:top w:w="86" w:type="dxa"/>
              <w:left w:w="115" w:type="dxa"/>
              <w:bottom w:w="86" w:type="dxa"/>
              <w:right w:w="115" w:type="dxa"/>
            </w:tcMar>
          </w:tcPr>
          <w:p w14:paraId="18AF659E" w14:textId="77777777" w:rsidR="00E42EB4" w:rsidRPr="00AC7730" w:rsidRDefault="004C1ADE"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Remplacement des engins destructeurs par des engins sélectifs abordables dans les zones à fort risque de mortalité</w:t>
            </w:r>
          </w:p>
        </w:tc>
        <w:tc>
          <w:tcPr>
            <w:tcW w:w="2835" w:type="dxa"/>
            <w:tcMar>
              <w:top w:w="86" w:type="dxa"/>
              <w:left w:w="115" w:type="dxa"/>
              <w:bottom w:w="86" w:type="dxa"/>
              <w:right w:w="115" w:type="dxa"/>
            </w:tcMar>
          </w:tcPr>
          <w:p w14:paraId="1BDA1BFE"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Pêcheries utilisant des engins sélectifs réduisant les captures accessoires et la mortalité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y compris dans les pêcheries artisanales.</w:t>
            </w:r>
          </w:p>
        </w:tc>
        <w:tc>
          <w:tcPr>
            <w:tcW w:w="1559" w:type="dxa"/>
            <w:tcMar>
              <w:top w:w="86" w:type="dxa"/>
              <w:left w:w="115" w:type="dxa"/>
              <w:bottom w:w="86" w:type="dxa"/>
              <w:right w:w="115" w:type="dxa"/>
            </w:tcMar>
          </w:tcPr>
          <w:p w14:paraId="19709E97"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1080CCFE"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État de l’aire de répartition Parties avec captures identifiées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soutenus par les ONG et experts</w:t>
            </w:r>
          </w:p>
        </w:tc>
        <w:tc>
          <w:tcPr>
            <w:tcW w:w="1985" w:type="dxa"/>
            <w:tcMar>
              <w:top w:w="86" w:type="dxa"/>
              <w:left w:w="115" w:type="dxa"/>
              <w:bottom w:w="86" w:type="dxa"/>
              <w:right w:w="115" w:type="dxa"/>
            </w:tcMar>
          </w:tcPr>
          <w:p w14:paraId="3844E059"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Selon les besoins des Parties et/ou des responsables de projets ou d'initiatives, au cas par cas. </w:t>
            </w:r>
          </w:p>
        </w:tc>
        <w:tc>
          <w:tcPr>
            <w:tcW w:w="2409" w:type="dxa"/>
          </w:tcPr>
          <w:p w14:paraId="455F9963"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Amélioration des perspectives à long terme des populations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dans les zones concernées</w:t>
            </w:r>
          </w:p>
        </w:tc>
      </w:tr>
      <w:tr w:rsidR="00E42EB4" w:rsidRPr="00C971E7" w14:paraId="24E118A3" w14:textId="77777777">
        <w:trPr>
          <w:trHeight w:val="2465"/>
        </w:trPr>
        <w:tc>
          <w:tcPr>
            <w:tcW w:w="3119" w:type="dxa"/>
            <w:tcMar>
              <w:top w:w="86" w:type="dxa"/>
              <w:left w:w="115" w:type="dxa"/>
              <w:bottom w:w="86" w:type="dxa"/>
              <w:right w:w="115" w:type="dxa"/>
            </w:tcMar>
          </w:tcPr>
          <w:p w14:paraId="43F61BF9" w14:textId="77777777" w:rsidR="00E42EB4" w:rsidRPr="00AC7730" w:rsidRDefault="004C1ADE"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lastRenderedPageBreak/>
              <w:t xml:space="preserve">Adopter des méthodes sûres de manipulation et de remise à l’eau  </w:t>
            </w:r>
          </w:p>
        </w:tc>
        <w:tc>
          <w:tcPr>
            <w:tcW w:w="2835" w:type="dxa"/>
            <w:tcMar>
              <w:top w:w="86" w:type="dxa"/>
              <w:left w:w="115" w:type="dxa"/>
              <w:bottom w:w="86" w:type="dxa"/>
              <w:right w:w="115" w:type="dxa"/>
            </w:tcMar>
          </w:tcPr>
          <w:p w14:paraId="539BF566"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Lignes directrices actualisées sur la manipulation et la remise à l’eau sûres adoptées par les organismes de gestion des pêcheries et diffusées et mises en œuvre par les pêcheurs, y compris ceux de la pêche artisanale </w:t>
            </w:r>
          </w:p>
        </w:tc>
        <w:tc>
          <w:tcPr>
            <w:tcW w:w="1559" w:type="dxa"/>
            <w:tcMar>
              <w:top w:w="86" w:type="dxa"/>
              <w:left w:w="115" w:type="dxa"/>
              <w:bottom w:w="86" w:type="dxa"/>
              <w:right w:w="115" w:type="dxa"/>
            </w:tcMar>
          </w:tcPr>
          <w:p w14:paraId="21223102"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37BEE33B"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États de l'aire de répartition Parties, ONG, Organismes de recherche, Organismes Régionaux des Pêches, ORGP</w:t>
            </w:r>
          </w:p>
          <w:p w14:paraId="31202F8B"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3ACCAA8F"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Selon les besoins, au cas par cas. Financement nécessaire pour ateliers et en cas de besoin d'équipement et/ou de matériel de soutien (ex. grille des </w:t>
            </w:r>
            <w:proofErr w:type="spellStart"/>
            <w:r w:rsidRPr="00AC7730">
              <w:rPr>
                <w:rFonts w:cs="Arial"/>
                <w:sz w:val="20"/>
                <w:szCs w:val="20"/>
                <w:lang w:val="fr-FR"/>
              </w:rPr>
              <w:t>mobulidés</w:t>
            </w:r>
            <w:proofErr w:type="spellEnd"/>
            <w:r w:rsidRPr="00AC7730">
              <w:rPr>
                <w:rFonts w:cs="Arial"/>
                <w:sz w:val="20"/>
                <w:szCs w:val="20"/>
                <w:lang w:val="fr-FR"/>
              </w:rPr>
              <w:t>)</w:t>
            </w:r>
          </w:p>
        </w:tc>
        <w:tc>
          <w:tcPr>
            <w:tcW w:w="2409" w:type="dxa"/>
          </w:tcPr>
          <w:p w14:paraId="58B7F93A"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Réduction de la mortalité à bord et après remise à l’eau</w:t>
            </w:r>
          </w:p>
        </w:tc>
      </w:tr>
      <w:tr w:rsidR="00E42EB4" w:rsidRPr="00C971E7" w14:paraId="61C56B56" w14:textId="77777777">
        <w:trPr>
          <w:trHeight w:val="3084"/>
        </w:trPr>
        <w:tc>
          <w:tcPr>
            <w:tcW w:w="3119" w:type="dxa"/>
            <w:tcMar>
              <w:top w:w="86" w:type="dxa"/>
              <w:left w:w="115" w:type="dxa"/>
              <w:bottom w:w="86" w:type="dxa"/>
              <w:right w:w="115" w:type="dxa"/>
            </w:tcMar>
          </w:tcPr>
          <w:p w14:paraId="6A7AF4A3" w14:textId="77777777" w:rsidR="00E42EB4" w:rsidRPr="00AC7730" w:rsidRDefault="004C1ADE"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Mettre en place une gestion par zones pour </w:t>
            </w:r>
            <w:proofErr w:type="spellStart"/>
            <w:r w:rsidRPr="00AC7730">
              <w:rPr>
                <w:rFonts w:cs="Arial"/>
                <w:sz w:val="20"/>
                <w:szCs w:val="20"/>
                <w:lang w:val="fr-FR"/>
              </w:rPr>
              <w:t>luttre</w:t>
            </w:r>
            <w:proofErr w:type="spellEnd"/>
            <w:r w:rsidRPr="00AC7730">
              <w:rPr>
                <w:rFonts w:cs="Arial"/>
                <w:sz w:val="20"/>
                <w:szCs w:val="20"/>
                <w:lang w:val="fr-FR"/>
              </w:rPr>
              <w:t xml:space="preserve"> contre la pêche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dans les habitats critiques.</w:t>
            </w:r>
          </w:p>
        </w:tc>
        <w:tc>
          <w:tcPr>
            <w:tcW w:w="2835" w:type="dxa"/>
            <w:tcMar>
              <w:top w:w="86" w:type="dxa"/>
              <w:left w:w="115" w:type="dxa"/>
              <w:bottom w:w="86" w:type="dxa"/>
              <w:right w:w="115" w:type="dxa"/>
            </w:tcMar>
          </w:tcPr>
          <w:p w14:paraId="0A07FFBD"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Mesures permanentes efficaces pour éviter la capture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là où les captures ont lieu tout au long de l'année. </w:t>
            </w:r>
          </w:p>
          <w:p w14:paraId="6FEAA610" w14:textId="77777777" w:rsidR="00E42EB4" w:rsidRPr="00AC7730" w:rsidRDefault="004C1ADE" w:rsidP="00C47195">
            <w:pPr>
              <w:pStyle w:val="ListParagraph"/>
              <w:numPr>
                <w:ilvl w:val="0"/>
                <w:numId w:val="22"/>
              </w:numPr>
              <w:spacing w:before="40" w:after="40"/>
              <w:contextualSpacing w:val="0"/>
              <w:rPr>
                <w:rFonts w:cs="Arial"/>
                <w:sz w:val="20"/>
                <w:szCs w:val="20"/>
                <w:lang w:val="fr-FR"/>
              </w:rPr>
            </w:pPr>
            <w:r w:rsidRPr="00AC7730">
              <w:rPr>
                <w:rFonts w:cs="Arial"/>
                <w:sz w:val="20"/>
                <w:szCs w:val="20"/>
                <w:lang w:val="fr-FR"/>
              </w:rPr>
              <w:t xml:space="preserve">Des restrictions de pêche temporelles ou spatiales efficaces existent lorsqu'elles sont appropriées, basées sur les connaissances sur le déplacement et l’utilisation de l’habitat. </w:t>
            </w:r>
          </w:p>
          <w:p w14:paraId="17F19AB1" w14:textId="77777777" w:rsidR="00E42EB4" w:rsidRPr="00AC7730" w:rsidRDefault="00E42EB4" w:rsidP="00C47195">
            <w:pPr>
              <w:pStyle w:val="ListParagraph"/>
              <w:spacing w:before="40" w:after="40"/>
              <w:ind w:left="360"/>
              <w:contextualSpacing w:val="0"/>
              <w:rPr>
                <w:rFonts w:cs="Arial"/>
                <w:sz w:val="20"/>
                <w:szCs w:val="20"/>
                <w:lang w:val="fr-FR"/>
              </w:rPr>
            </w:pPr>
          </w:p>
        </w:tc>
        <w:tc>
          <w:tcPr>
            <w:tcW w:w="1559" w:type="dxa"/>
            <w:tcMar>
              <w:top w:w="86" w:type="dxa"/>
              <w:left w:w="115" w:type="dxa"/>
              <w:bottom w:w="86" w:type="dxa"/>
              <w:right w:w="115" w:type="dxa"/>
            </w:tcMar>
          </w:tcPr>
          <w:p w14:paraId="2AC83AEA"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5E88E8D7"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États de l'aire de répartition Parties, ONG, Organismes de recherche, Organismes Régionaux des Pêches, ORGP</w:t>
            </w:r>
          </w:p>
          <w:p w14:paraId="45596509"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1185D773"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Selon les besoins, au cas par cas. Financement à long terme nécessaire pour la consultation de proximité auprès de la communauté et les travaux de mise en œuvre. </w:t>
            </w:r>
          </w:p>
        </w:tc>
        <w:tc>
          <w:tcPr>
            <w:tcW w:w="2409" w:type="dxa"/>
          </w:tcPr>
          <w:p w14:paraId="56A70DB3"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Amélioration des perspectives à long terme des populations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dans les zones concernées</w:t>
            </w:r>
          </w:p>
        </w:tc>
      </w:tr>
    </w:tbl>
    <w:p w14:paraId="28580265" w14:textId="77777777" w:rsidR="005A08BE" w:rsidRPr="00C971E7" w:rsidRDefault="005A08BE">
      <w:pPr>
        <w:rPr>
          <w:lang w:val="fr-FR"/>
        </w:rPr>
      </w:pPr>
      <w:r w:rsidRPr="00C971E7">
        <w:rPr>
          <w:lang w:val="fr-FR"/>
        </w:rPr>
        <w:br w:type="page"/>
      </w: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E42EB4" w:rsidRPr="00C971E7" w14:paraId="1EBCA033" w14:textId="77777777">
        <w:trPr>
          <w:trHeight w:val="257"/>
        </w:trPr>
        <w:tc>
          <w:tcPr>
            <w:tcW w:w="14033" w:type="dxa"/>
            <w:gridSpan w:val="6"/>
            <w:shd w:val="clear" w:color="auto" w:fill="D9D9D9" w:themeFill="background1" w:themeFillShade="D9"/>
            <w:tcMar>
              <w:top w:w="86" w:type="dxa"/>
              <w:left w:w="115" w:type="dxa"/>
              <w:bottom w:w="86" w:type="dxa"/>
              <w:right w:w="115" w:type="dxa"/>
            </w:tcMar>
          </w:tcPr>
          <w:p w14:paraId="6DB39DE1" w14:textId="213FD195" w:rsidR="00E42EB4" w:rsidRPr="00AC7730" w:rsidRDefault="004C1ADE" w:rsidP="00C47195">
            <w:pPr>
              <w:spacing w:before="40" w:after="40"/>
              <w:rPr>
                <w:rFonts w:cs="Arial"/>
                <w:b/>
                <w:lang w:val="fr-FR"/>
              </w:rPr>
            </w:pPr>
            <w:r w:rsidRPr="00AC7730">
              <w:rPr>
                <w:rFonts w:cs="Arial"/>
                <w:b/>
                <w:lang w:val="fr-FR"/>
              </w:rPr>
              <w:lastRenderedPageBreak/>
              <w:t>Combler les lacunes en matière d'estimations et de tendances des populations, de données sur la pêche et d'atténuation des prises accessoires.</w:t>
            </w:r>
          </w:p>
        </w:tc>
      </w:tr>
      <w:tr w:rsidR="00E42EB4" w:rsidRPr="00C971E7" w14:paraId="532485C1" w14:textId="77777777">
        <w:trPr>
          <w:trHeight w:val="1196"/>
        </w:trPr>
        <w:tc>
          <w:tcPr>
            <w:tcW w:w="3119" w:type="dxa"/>
            <w:tcMar>
              <w:top w:w="86" w:type="dxa"/>
              <w:left w:w="115" w:type="dxa"/>
              <w:bottom w:w="86" w:type="dxa"/>
              <w:right w:w="115" w:type="dxa"/>
            </w:tcMar>
          </w:tcPr>
          <w:p w14:paraId="455A87E3" w14:textId="77777777" w:rsidR="00E42EB4" w:rsidRPr="00AC7730" w:rsidRDefault="004C1ADE"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Soutenir la recherche qui améliore les connaissances sur les captures ciblées et accessoires de raies </w:t>
            </w:r>
            <w:proofErr w:type="spellStart"/>
            <w:r w:rsidRPr="00AC7730">
              <w:rPr>
                <w:rFonts w:cs="Arial"/>
                <w:sz w:val="20"/>
                <w:szCs w:val="20"/>
                <w:lang w:val="fr-FR"/>
              </w:rPr>
              <w:t>manta</w:t>
            </w:r>
            <w:proofErr w:type="spellEnd"/>
            <w:r w:rsidRPr="00AC7730">
              <w:rPr>
                <w:rFonts w:cs="Arial"/>
                <w:sz w:val="20"/>
                <w:szCs w:val="20"/>
                <w:lang w:val="fr-FR"/>
              </w:rPr>
              <w:t xml:space="preserve"> et de raies diable.</w:t>
            </w:r>
          </w:p>
        </w:tc>
        <w:tc>
          <w:tcPr>
            <w:tcW w:w="2835" w:type="dxa"/>
            <w:tcMar>
              <w:top w:w="86" w:type="dxa"/>
              <w:left w:w="115" w:type="dxa"/>
              <w:bottom w:w="86" w:type="dxa"/>
              <w:right w:w="115" w:type="dxa"/>
            </w:tcMar>
          </w:tcPr>
          <w:p w14:paraId="3D1BF49E" w14:textId="77777777" w:rsidR="00E42EB4" w:rsidRPr="00AC7730" w:rsidRDefault="004C1ADE" w:rsidP="00C47195">
            <w:pPr>
              <w:pStyle w:val="ListParagraph"/>
              <w:numPr>
                <w:ilvl w:val="0"/>
                <w:numId w:val="21"/>
              </w:numPr>
              <w:spacing w:before="40" w:after="40"/>
              <w:contextualSpacing w:val="0"/>
              <w:rPr>
                <w:rFonts w:cs="Arial"/>
                <w:sz w:val="20"/>
                <w:szCs w:val="20"/>
                <w:lang w:val="fr-FR"/>
              </w:rPr>
            </w:pPr>
            <w:r w:rsidRPr="00AC7730">
              <w:rPr>
                <w:rFonts w:cs="Arial"/>
                <w:sz w:val="20"/>
                <w:szCs w:val="20"/>
                <w:lang w:val="fr-FR"/>
              </w:rPr>
              <w:t xml:space="preserve">Collecte de données exhaustive et standardisée, ainsi que leur hiérarchisation, existantes dans le cadre des programmes d’observation des pêcheries, y compris les pêcheries artisanales. </w:t>
            </w:r>
          </w:p>
          <w:p w14:paraId="7484337A" w14:textId="77777777" w:rsidR="00E42EB4" w:rsidRPr="00AC7730" w:rsidRDefault="004C1ADE" w:rsidP="00C47195">
            <w:pPr>
              <w:pStyle w:val="ListParagraph"/>
              <w:numPr>
                <w:ilvl w:val="0"/>
                <w:numId w:val="21"/>
              </w:numPr>
              <w:spacing w:before="40" w:after="40"/>
              <w:contextualSpacing w:val="0"/>
              <w:rPr>
                <w:rFonts w:cs="Arial"/>
                <w:sz w:val="20"/>
                <w:szCs w:val="20"/>
                <w:lang w:val="fr-FR"/>
              </w:rPr>
            </w:pPr>
            <w:r w:rsidRPr="00AC7730">
              <w:rPr>
                <w:rFonts w:cs="Arial"/>
                <w:sz w:val="20"/>
                <w:szCs w:val="20"/>
                <w:lang w:val="fr-FR"/>
              </w:rPr>
              <w:t xml:space="preserve">Mesures d'atténuation des prises accessoires testées et résultats publiés. </w:t>
            </w:r>
          </w:p>
          <w:p w14:paraId="0EB7C69C" w14:textId="77777777" w:rsidR="00E42EB4" w:rsidRPr="00AC7730" w:rsidRDefault="004C1ADE" w:rsidP="00C47195">
            <w:pPr>
              <w:pStyle w:val="ListParagraph"/>
              <w:numPr>
                <w:ilvl w:val="0"/>
                <w:numId w:val="21"/>
              </w:numPr>
              <w:spacing w:before="40" w:after="40"/>
              <w:contextualSpacing w:val="0"/>
              <w:rPr>
                <w:rFonts w:cs="Arial"/>
                <w:sz w:val="20"/>
                <w:szCs w:val="20"/>
                <w:lang w:val="fr-FR"/>
              </w:rPr>
            </w:pPr>
            <w:r w:rsidRPr="00AC7730">
              <w:rPr>
                <w:rFonts w:cs="Arial"/>
                <w:sz w:val="20"/>
                <w:szCs w:val="20"/>
                <w:lang w:val="fr-FR"/>
              </w:rPr>
              <w:t>Connaissances scientifiques récentes informant les parties sur les mesures de protection et de gestion appropriées</w:t>
            </w:r>
          </w:p>
        </w:tc>
        <w:tc>
          <w:tcPr>
            <w:tcW w:w="1559" w:type="dxa"/>
            <w:tcMar>
              <w:top w:w="86" w:type="dxa"/>
              <w:left w:w="115" w:type="dxa"/>
              <w:bottom w:w="86" w:type="dxa"/>
              <w:right w:w="115" w:type="dxa"/>
            </w:tcMar>
          </w:tcPr>
          <w:p w14:paraId="3B4B08BE"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2026 - ouvert à tous </w:t>
            </w:r>
          </w:p>
        </w:tc>
        <w:tc>
          <w:tcPr>
            <w:tcW w:w="2126" w:type="dxa"/>
            <w:tcMar>
              <w:top w:w="86" w:type="dxa"/>
              <w:left w:w="115" w:type="dxa"/>
              <w:bottom w:w="86" w:type="dxa"/>
              <w:right w:w="115" w:type="dxa"/>
            </w:tcMar>
          </w:tcPr>
          <w:p w14:paraId="489B3218"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États de l'aire de répartition Parties, ONG, Organismes de recherche, Organismes Régionaux des Pêches, ORGP</w:t>
            </w:r>
          </w:p>
          <w:p w14:paraId="04DDB118"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47DF8830"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Selon les exigences des projets de recherche. </w:t>
            </w:r>
          </w:p>
        </w:tc>
        <w:tc>
          <w:tcPr>
            <w:tcW w:w="2409" w:type="dxa"/>
          </w:tcPr>
          <w:p w14:paraId="65786231"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Amélioration de la disponibilité des informations par espèce. </w:t>
            </w:r>
          </w:p>
          <w:p w14:paraId="565BD9F3"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Augmentation des taux de survie après la remise à l’eau.</w:t>
            </w:r>
          </w:p>
          <w:p w14:paraId="1CC52B8D"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Publications sur l'atténuation des prises accessoires.</w:t>
            </w:r>
          </w:p>
        </w:tc>
      </w:tr>
      <w:tr w:rsidR="00E42EB4" w:rsidRPr="00C971E7" w14:paraId="28B2FE35" w14:textId="77777777">
        <w:trPr>
          <w:trHeight w:val="1196"/>
        </w:trPr>
        <w:tc>
          <w:tcPr>
            <w:tcW w:w="3119" w:type="dxa"/>
            <w:tcMar>
              <w:top w:w="86" w:type="dxa"/>
              <w:left w:w="115" w:type="dxa"/>
              <w:bottom w:w="86" w:type="dxa"/>
              <w:right w:w="115" w:type="dxa"/>
            </w:tcMar>
          </w:tcPr>
          <w:p w14:paraId="19E3BE06" w14:textId="06D095E3" w:rsidR="00E42EB4" w:rsidRPr="005A08BE" w:rsidRDefault="004C1ADE"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Réalisation de la répartition mondiale de la population, des estimations et des évaluations des stocks pour toutes les espèces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w:t>
            </w:r>
          </w:p>
          <w:p w14:paraId="50FDB17D" w14:textId="77777777" w:rsidR="00E42EB4" w:rsidRPr="00AC7730" w:rsidRDefault="00E42EB4" w:rsidP="00C47195">
            <w:pPr>
              <w:spacing w:before="40" w:after="40"/>
              <w:rPr>
                <w:rFonts w:cs="Arial"/>
                <w:sz w:val="20"/>
                <w:szCs w:val="20"/>
                <w:lang w:val="fr-FR"/>
              </w:rPr>
            </w:pPr>
          </w:p>
        </w:tc>
        <w:tc>
          <w:tcPr>
            <w:tcW w:w="2835" w:type="dxa"/>
            <w:tcMar>
              <w:top w:w="86" w:type="dxa"/>
              <w:left w:w="115" w:type="dxa"/>
              <w:bottom w:w="86" w:type="dxa"/>
              <w:right w:w="115" w:type="dxa"/>
            </w:tcMar>
          </w:tcPr>
          <w:p w14:paraId="2F8EE2ED"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Distribution de toutes les espèces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définie avec précision. </w:t>
            </w:r>
          </w:p>
          <w:p w14:paraId="17A461C3"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Restrictions potentielles de l'aire de répartition définies en raison de la pression de pêche historique. </w:t>
            </w:r>
          </w:p>
          <w:p w14:paraId="18472A24"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Évaluations des stocks réalisées pour informer la gestion et le suivi des pêcheries.</w:t>
            </w:r>
          </w:p>
        </w:tc>
        <w:tc>
          <w:tcPr>
            <w:tcW w:w="1559" w:type="dxa"/>
            <w:tcMar>
              <w:top w:w="86" w:type="dxa"/>
              <w:left w:w="115" w:type="dxa"/>
              <w:bottom w:w="86" w:type="dxa"/>
              <w:right w:w="115" w:type="dxa"/>
            </w:tcMar>
          </w:tcPr>
          <w:p w14:paraId="7D2878AC"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2026-2029</w:t>
            </w:r>
          </w:p>
        </w:tc>
        <w:tc>
          <w:tcPr>
            <w:tcW w:w="2126" w:type="dxa"/>
            <w:tcMar>
              <w:top w:w="86" w:type="dxa"/>
              <w:left w:w="115" w:type="dxa"/>
              <w:bottom w:w="86" w:type="dxa"/>
              <w:right w:w="115" w:type="dxa"/>
            </w:tcMar>
          </w:tcPr>
          <w:p w14:paraId="14AA5746"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États de l'aire de répartition Parties, ONG, Organismes de recherche, Organismes Régionaux des Pêches, ORGP</w:t>
            </w:r>
          </w:p>
          <w:p w14:paraId="65E2C469"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4795E1E3"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Selon les besoins d'un projet. Financement nécessaire pour la recherche documentaire et le travail sur le terrain. </w:t>
            </w:r>
          </w:p>
        </w:tc>
        <w:tc>
          <w:tcPr>
            <w:tcW w:w="2409" w:type="dxa"/>
          </w:tcPr>
          <w:p w14:paraId="5C0790F6"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Publication des recherches sur la répartition historique de toutes les espèces.</w:t>
            </w:r>
          </w:p>
          <w:p w14:paraId="295122DB"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Publications des évaluations des stocks pour toutes les espèces</w:t>
            </w:r>
          </w:p>
        </w:tc>
      </w:tr>
      <w:tr w:rsidR="00E42EB4" w:rsidRPr="00C971E7" w14:paraId="73354FE3" w14:textId="77777777">
        <w:trPr>
          <w:trHeight w:val="24"/>
        </w:trPr>
        <w:tc>
          <w:tcPr>
            <w:tcW w:w="3119" w:type="dxa"/>
            <w:tcMar>
              <w:top w:w="86" w:type="dxa"/>
              <w:left w:w="115" w:type="dxa"/>
              <w:bottom w:w="86" w:type="dxa"/>
              <w:right w:w="115" w:type="dxa"/>
            </w:tcMar>
          </w:tcPr>
          <w:p w14:paraId="75CEF824" w14:textId="77777777" w:rsidR="00E42EB4" w:rsidRPr="00AC7730" w:rsidRDefault="004C1ADE"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lastRenderedPageBreak/>
              <w:t xml:space="preserve">Mise en place de programmes de collecte de données à long terme sur les pêcheries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w:t>
            </w:r>
          </w:p>
        </w:tc>
        <w:tc>
          <w:tcPr>
            <w:tcW w:w="2835" w:type="dxa"/>
            <w:tcMar>
              <w:top w:w="86" w:type="dxa"/>
              <w:left w:w="115" w:type="dxa"/>
              <w:bottom w:w="86" w:type="dxa"/>
              <w:right w:w="115" w:type="dxa"/>
            </w:tcMar>
          </w:tcPr>
          <w:p w14:paraId="20126275"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Programmes réguliers de suivi des populations (observations, captures, débarquements) existants permettant d’évaluer les tendances de la population, notamment dans les zones à haut risque de mortalité.</w:t>
            </w:r>
          </w:p>
        </w:tc>
        <w:tc>
          <w:tcPr>
            <w:tcW w:w="1559" w:type="dxa"/>
            <w:tcMar>
              <w:top w:w="86" w:type="dxa"/>
              <w:left w:w="115" w:type="dxa"/>
              <w:bottom w:w="86" w:type="dxa"/>
              <w:right w:w="115" w:type="dxa"/>
            </w:tcMar>
          </w:tcPr>
          <w:p w14:paraId="7C57F333"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2026 - ouvert </w:t>
            </w:r>
          </w:p>
        </w:tc>
        <w:tc>
          <w:tcPr>
            <w:tcW w:w="2126" w:type="dxa"/>
            <w:tcMar>
              <w:top w:w="86" w:type="dxa"/>
              <w:left w:w="115" w:type="dxa"/>
              <w:bottom w:w="86" w:type="dxa"/>
              <w:right w:w="115" w:type="dxa"/>
            </w:tcMar>
          </w:tcPr>
          <w:p w14:paraId="5519DD6B"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États de l'aire de répartition Parties, ONG, Organismes de recherche </w:t>
            </w:r>
          </w:p>
        </w:tc>
        <w:tc>
          <w:tcPr>
            <w:tcW w:w="1985" w:type="dxa"/>
            <w:tcMar>
              <w:top w:w="86" w:type="dxa"/>
              <w:left w:w="115" w:type="dxa"/>
              <w:bottom w:w="86" w:type="dxa"/>
              <w:right w:w="115" w:type="dxa"/>
            </w:tcMar>
          </w:tcPr>
          <w:p w14:paraId="5C502F4E"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À la demande des parties ou des projets de recherche. </w:t>
            </w:r>
          </w:p>
        </w:tc>
        <w:tc>
          <w:tcPr>
            <w:tcW w:w="2409" w:type="dxa"/>
          </w:tcPr>
          <w:p w14:paraId="0B33B096"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Nombre de pays et de programmes en cours.</w:t>
            </w:r>
          </w:p>
          <w:p w14:paraId="590A1786"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Nombre de </w:t>
            </w:r>
            <w:proofErr w:type="spellStart"/>
            <w:r w:rsidRPr="00AC7730">
              <w:rPr>
                <w:rFonts w:cs="Arial"/>
                <w:sz w:val="20"/>
                <w:szCs w:val="20"/>
                <w:lang w:val="fr-FR"/>
              </w:rPr>
              <w:t>mobulidés</w:t>
            </w:r>
            <w:proofErr w:type="spellEnd"/>
            <w:r w:rsidRPr="00AC7730">
              <w:rPr>
                <w:rFonts w:cs="Arial"/>
                <w:sz w:val="20"/>
                <w:szCs w:val="20"/>
                <w:lang w:val="fr-FR"/>
              </w:rPr>
              <w:t xml:space="preserve"> capturés par zone cible, identifiés au niveau de l'espèce.</w:t>
            </w:r>
          </w:p>
        </w:tc>
      </w:tr>
      <w:tr w:rsidR="00E42EB4" w:rsidRPr="00C971E7" w14:paraId="328EA015" w14:textId="77777777">
        <w:trPr>
          <w:trHeight w:val="251"/>
        </w:trPr>
        <w:tc>
          <w:tcPr>
            <w:tcW w:w="14033" w:type="dxa"/>
            <w:gridSpan w:val="6"/>
            <w:shd w:val="clear" w:color="auto" w:fill="D9D9D9" w:themeFill="background1" w:themeFillShade="D9"/>
            <w:tcMar>
              <w:top w:w="86" w:type="dxa"/>
              <w:left w:w="115" w:type="dxa"/>
              <w:bottom w:w="86" w:type="dxa"/>
              <w:right w:w="115" w:type="dxa"/>
            </w:tcMar>
          </w:tcPr>
          <w:p w14:paraId="5F4699FE" w14:textId="77777777" w:rsidR="00E42EB4" w:rsidRPr="00AC7730" w:rsidRDefault="004C1ADE" w:rsidP="00C47195">
            <w:pPr>
              <w:spacing w:before="40" w:after="40"/>
              <w:rPr>
                <w:rFonts w:cs="Arial"/>
                <w:b/>
                <w:bCs/>
                <w:sz w:val="20"/>
                <w:szCs w:val="20"/>
                <w:lang w:val="fr-FR"/>
              </w:rPr>
            </w:pPr>
            <w:r w:rsidRPr="00AC7730">
              <w:rPr>
                <w:rFonts w:cs="Arial"/>
                <w:b/>
                <w:bCs/>
                <w:sz w:val="20"/>
                <w:szCs w:val="20"/>
                <w:lang w:val="fr-FR"/>
              </w:rPr>
              <w:t xml:space="preserve">Réduire la demande de produits issus de raies </w:t>
            </w:r>
            <w:proofErr w:type="spellStart"/>
            <w:r w:rsidRPr="00AC7730">
              <w:rPr>
                <w:rFonts w:cs="Arial"/>
                <w:b/>
                <w:bCs/>
                <w:sz w:val="20"/>
                <w:szCs w:val="20"/>
                <w:lang w:val="fr-FR"/>
              </w:rPr>
              <w:t>manta</w:t>
            </w:r>
            <w:proofErr w:type="spellEnd"/>
            <w:r w:rsidRPr="00AC7730">
              <w:rPr>
                <w:rFonts w:cs="Arial"/>
                <w:b/>
                <w:bCs/>
                <w:sz w:val="20"/>
                <w:szCs w:val="20"/>
                <w:lang w:val="fr-FR"/>
              </w:rPr>
              <w:t xml:space="preserve"> et diable via la sensibilisation</w:t>
            </w:r>
          </w:p>
        </w:tc>
      </w:tr>
      <w:tr w:rsidR="00E42EB4" w:rsidRPr="00C971E7" w14:paraId="0D6A26A1" w14:textId="77777777">
        <w:trPr>
          <w:trHeight w:val="1196"/>
        </w:trPr>
        <w:tc>
          <w:tcPr>
            <w:tcW w:w="3119" w:type="dxa"/>
            <w:tcMar>
              <w:top w:w="86" w:type="dxa"/>
              <w:left w:w="115" w:type="dxa"/>
              <w:bottom w:w="86" w:type="dxa"/>
              <w:right w:w="115" w:type="dxa"/>
            </w:tcMar>
          </w:tcPr>
          <w:p w14:paraId="24A0144E" w14:textId="77777777" w:rsidR="00E42EB4" w:rsidRPr="00AC7730" w:rsidRDefault="004C1ADE"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Réduire la demande de produits issus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w:t>
            </w:r>
          </w:p>
        </w:tc>
        <w:tc>
          <w:tcPr>
            <w:tcW w:w="2835" w:type="dxa"/>
            <w:tcMar>
              <w:top w:w="86" w:type="dxa"/>
              <w:left w:w="115" w:type="dxa"/>
              <w:bottom w:w="86" w:type="dxa"/>
              <w:right w:w="115" w:type="dxa"/>
            </w:tcMar>
          </w:tcPr>
          <w:p w14:paraId="2C37C389"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 Connaissance des facteurs de consommation de produits issus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dans les régions clés.</w:t>
            </w:r>
          </w:p>
          <w:p w14:paraId="72553862"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 Réduction de la demande de produits issus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grâce à des campagnes sur mesure ciblant les consommateurs de viande et de lamelles branchiales afin de réduire la demande et d'informer sur la légalité des pêcheries et du commerce.  </w:t>
            </w:r>
          </w:p>
        </w:tc>
        <w:tc>
          <w:tcPr>
            <w:tcW w:w="1559" w:type="dxa"/>
            <w:tcMar>
              <w:top w:w="86" w:type="dxa"/>
              <w:left w:w="115" w:type="dxa"/>
              <w:bottom w:w="86" w:type="dxa"/>
              <w:right w:w="115" w:type="dxa"/>
            </w:tcMar>
          </w:tcPr>
          <w:p w14:paraId="4A60EABB"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2026-2029</w:t>
            </w:r>
          </w:p>
        </w:tc>
        <w:tc>
          <w:tcPr>
            <w:tcW w:w="2126" w:type="dxa"/>
            <w:tcMar>
              <w:top w:w="86" w:type="dxa"/>
              <w:left w:w="115" w:type="dxa"/>
              <w:bottom w:w="86" w:type="dxa"/>
              <w:right w:w="115" w:type="dxa"/>
            </w:tcMar>
          </w:tcPr>
          <w:p w14:paraId="0319EDC4"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ONG, Organismes de recherche, États de l'aire de répartition Parties</w:t>
            </w:r>
          </w:p>
          <w:p w14:paraId="14C325EA"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1D922DD8"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Financement nécessaire pour la recherche sur les facteurs et la consommation, ainsi que pour l'élaboration et la mise en œuvre de campagnes de communication.</w:t>
            </w:r>
          </w:p>
        </w:tc>
        <w:tc>
          <w:tcPr>
            <w:tcW w:w="2409" w:type="dxa"/>
          </w:tcPr>
          <w:p w14:paraId="0BF58BEB"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Réduction de la disponibilité des lamelles branchiales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grâce à des réévaluations du marché.</w:t>
            </w:r>
          </w:p>
          <w:p w14:paraId="66055EAE"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Nombre de consommateurs atteints par les campagnes.</w:t>
            </w:r>
          </w:p>
          <w:p w14:paraId="770E2EC5" w14:textId="77777777" w:rsidR="00E42EB4" w:rsidRPr="00AC7730" w:rsidRDefault="00E42EB4" w:rsidP="00C47195">
            <w:pPr>
              <w:spacing w:before="40" w:after="40"/>
              <w:rPr>
                <w:rFonts w:cs="Arial"/>
                <w:sz w:val="20"/>
                <w:szCs w:val="20"/>
                <w:lang w:val="fr-FR"/>
              </w:rPr>
            </w:pPr>
          </w:p>
          <w:p w14:paraId="76253B8A" w14:textId="77777777" w:rsidR="00E42EB4" w:rsidRPr="00AC7730" w:rsidRDefault="00E42EB4" w:rsidP="00C47195">
            <w:pPr>
              <w:spacing w:before="40" w:after="40"/>
              <w:rPr>
                <w:rFonts w:cs="Arial"/>
                <w:sz w:val="20"/>
                <w:szCs w:val="20"/>
                <w:lang w:val="fr-FR"/>
              </w:rPr>
            </w:pPr>
          </w:p>
        </w:tc>
      </w:tr>
    </w:tbl>
    <w:p w14:paraId="4F6AF653" w14:textId="77777777" w:rsidR="00604F7A" w:rsidRPr="00C971E7" w:rsidRDefault="00604F7A">
      <w:pPr>
        <w:rPr>
          <w:lang w:val="fr-FR"/>
        </w:rPr>
      </w:pPr>
      <w:r w:rsidRPr="00C971E7">
        <w:rPr>
          <w:lang w:val="fr-FR"/>
        </w:rPr>
        <w:br w:type="page"/>
      </w: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E42EB4" w:rsidRPr="00C971E7" w14:paraId="31163DB6" w14:textId="77777777">
        <w:tc>
          <w:tcPr>
            <w:tcW w:w="14033" w:type="dxa"/>
            <w:gridSpan w:val="6"/>
            <w:shd w:val="clear" w:color="auto" w:fill="D9D9D9" w:themeFill="background1" w:themeFillShade="D9"/>
            <w:tcMar>
              <w:top w:w="86" w:type="dxa"/>
              <w:left w:w="115" w:type="dxa"/>
              <w:bottom w:w="86" w:type="dxa"/>
              <w:right w:w="115" w:type="dxa"/>
            </w:tcMar>
          </w:tcPr>
          <w:p w14:paraId="3C58ADF4" w14:textId="4C2C028F" w:rsidR="00E42EB4" w:rsidRPr="00AC7730" w:rsidRDefault="004C1ADE" w:rsidP="00C47195">
            <w:pPr>
              <w:spacing w:before="40" w:after="40"/>
              <w:rPr>
                <w:rFonts w:cs="Arial"/>
                <w:b/>
                <w:lang w:val="fr-FR"/>
              </w:rPr>
            </w:pPr>
            <w:r w:rsidRPr="00AC7730">
              <w:rPr>
                <w:rFonts w:cs="Arial"/>
                <w:b/>
                <w:lang w:val="fr-FR"/>
              </w:rPr>
              <w:lastRenderedPageBreak/>
              <w:t xml:space="preserve">Favoriser la gestion communautaire collaborative </w:t>
            </w:r>
          </w:p>
        </w:tc>
      </w:tr>
      <w:tr w:rsidR="00E42EB4" w:rsidRPr="00C971E7" w14:paraId="1739C7F0" w14:textId="77777777">
        <w:tc>
          <w:tcPr>
            <w:tcW w:w="3119" w:type="dxa"/>
            <w:tcMar>
              <w:top w:w="86" w:type="dxa"/>
              <w:left w:w="115" w:type="dxa"/>
              <w:bottom w:w="86" w:type="dxa"/>
              <w:right w:w="115" w:type="dxa"/>
            </w:tcMar>
          </w:tcPr>
          <w:p w14:paraId="3D4A4150" w14:textId="77777777" w:rsidR="00E42EB4" w:rsidRPr="00AC7730" w:rsidRDefault="004C1ADE" w:rsidP="00C47195">
            <w:pPr>
              <w:pStyle w:val="ListParagraph"/>
              <w:numPr>
                <w:ilvl w:val="0"/>
                <w:numId w:val="14"/>
              </w:numPr>
              <w:spacing w:before="40" w:after="40"/>
              <w:contextualSpacing w:val="0"/>
              <w:rPr>
                <w:rFonts w:eastAsia="MS Mincho" w:cs="Arial"/>
                <w:sz w:val="20"/>
                <w:szCs w:val="20"/>
                <w:lang w:val="fr-FR" w:eastAsia="ja-JP"/>
              </w:rPr>
            </w:pPr>
            <w:r w:rsidRPr="00AC7730">
              <w:rPr>
                <w:rFonts w:eastAsia="MS Mincho" w:cs="Arial"/>
                <w:sz w:val="20"/>
                <w:szCs w:val="20"/>
                <w:lang w:val="fr-FR" w:eastAsia="ja-JP"/>
              </w:rPr>
              <w:t xml:space="preserve">Impliquer les communautés dans </w:t>
            </w:r>
            <w:bookmarkStart w:id="4" w:name="_Hlk209615341"/>
            <w:r w:rsidRPr="00AC7730">
              <w:rPr>
                <w:rFonts w:eastAsia="MS Mincho" w:cs="Arial"/>
                <w:sz w:val="20"/>
                <w:szCs w:val="20"/>
                <w:lang w:val="fr-FR" w:eastAsia="ja-JP"/>
              </w:rPr>
              <w:t>les changements réglementaires ou législatifs</w:t>
            </w:r>
            <w:bookmarkEnd w:id="4"/>
            <w:r w:rsidRPr="00AC7730">
              <w:rPr>
                <w:rFonts w:eastAsia="MS Mincho" w:cs="Arial"/>
                <w:sz w:val="20"/>
                <w:szCs w:val="20"/>
                <w:lang w:val="fr-FR" w:eastAsia="ja-JP"/>
              </w:rPr>
              <w:t>, tels que la gestion par zone</w:t>
            </w:r>
          </w:p>
          <w:p w14:paraId="64B87DDD" w14:textId="77777777" w:rsidR="00E42EB4" w:rsidRPr="00AC7730" w:rsidRDefault="00E42EB4" w:rsidP="00C47195">
            <w:pPr>
              <w:spacing w:before="40" w:after="40"/>
              <w:rPr>
                <w:rFonts w:cs="Arial"/>
                <w:sz w:val="20"/>
                <w:szCs w:val="20"/>
                <w:lang w:val="fr-FR"/>
              </w:rPr>
            </w:pPr>
          </w:p>
          <w:p w14:paraId="14C18564" w14:textId="77777777" w:rsidR="00E42EB4" w:rsidRPr="00AC7730" w:rsidRDefault="00E42EB4" w:rsidP="00C47195">
            <w:pPr>
              <w:spacing w:before="40" w:after="40"/>
              <w:rPr>
                <w:rFonts w:cs="Arial"/>
                <w:sz w:val="20"/>
                <w:szCs w:val="20"/>
                <w:lang w:val="fr-FR"/>
              </w:rPr>
            </w:pPr>
          </w:p>
          <w:p w14:paraId="5F271BB4" w14:textId="77777777" w:rsidR="00E42EB4" w:rsidRPr="00AC7730" w:rsidRDefault="00E42EB4" w:rsidP="00C47195">
            <w:pPr>
              <w:spacing w:before="40" w:after="40"/>
              <w:rPr>
                <w:rFonts w:cs="Arial"/>
                <w:sz w:val="20"/>
                <w:szCs w:val="20"/>
                <w:lang w:val="fr-FR"/>
              </w:rPr>
            </w:pPr>
          </w:p>
          <w:p w14:paraId="7A5EA214" w14:textId="77777777" w:rsidR="00E42EB4" w:rsidRPr="00AC7730" w:rsidRDefault="00E42EB4" w:rsidP="00C47195">
            <w:pPr>
              <w:spacing w:before="40" w:after="40"/>
              <w:rPr>
                <w:rFonts w:cs="Arial"/>
                <w:sz w:val="20"/>
                <w:szCs w:val="20"/>
                <w:lang w:val="fr-FR"/>
              </w:rPr>
            </w:pPr>
          </w:p>
        </w:tc>
        <w:tc>
          <w:tcPr>
            <w:tcW w:w="2835" w:type="dxa"/>
            <w:tcMar>
              <w:top w:w="86" w:type="dxa"/>
              <w:left w:w="115" w:type="dxa"/>
              <w:bottom w:w="86" w:type="dxa"/>
              <w:right w:w="115" w:type="dxa"/>
            </w:tcMar>
          </w:tcPr>
          <w:p w14:paraId="1B7CC35E"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Gestion inclusive et informée permettant des décisions efficaces et appropriées ainsi que la mise en œuvre de la législation. </w:t>
            </w:r>
          </w:p>
          <w:p w14:paraId="1C5FA86B"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Collecte d'informations socio-économiques sur les captures de raies </w:t>
            </w:r>
            <w:proofErr w:type="spellStart"/>
            <w:r w:rsidRPr="00AC7730">
              <w:rPr>
                <w:rFonts w:cs="Arial"/>
                <w:sz w:val="20"/>
                <w:szCs w:val="20"/>
                <w:lang w:val="fr-FR"/>
              </w:rPr>
              <w:t>manta</w:t>
            </w:r>
            <w:proofErr w:type="spellEnd"/>
            <w:r w:rsidRPr="00AC7730">
              <w:rPr>
                <w:rFonts w:cs="Arial"/>
                <w:sz w:val="20"/>
                <w:szCs w:val="20"/>
                <w:lang w:val="fr-FR"/>
              </w:rPr>
              <w:t xml:space="preserve"> et diable par les communautés de pêcheurs.</w:t>
            </w:r>
          </w:p>
        </w:tc>
        <w:tc>
          <w:tcPr>
            <w:tcW w:w="1559" w:type="dxa"/>
            <w:tcMar>
              <w:top w:w="86" w:type="dxa"/>
              <w:left w:w="115" w:type="dxa"/>
              <w:bottom w:w="86" w:type="dxa"/>
              <w:right w:w="115" w:type="dxa"/>
            </w:tcMar>
          </w:tcPr>
          <w:p w14:paraId="1CCCDE59"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7A7ACF20"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États de l'aire de répartition Parties, signataires du </w:t>
            </w:r>
            <w:proofErr w:type="spellStart"/>
            <w:r w:rsidRPr="00AC7730">
              <w:rPr>
                <w:rFonts w:cs="Arial"/>
                <w:sz w:val="20"/>
                <w:szCs w:val="20"/>
                <w:lang w:val="fr-FR"/>
              </w:rPr>
              <w:t>MdE</w:t>
            </w:r>
            <w:proofErr w:type="spellEnd"/>
            <w:r w:rsidRPr="00AC7730">
              <w:rPr>
                <w:rFonts w:cs="Arial"/>
                <w:sz w:val="20"/>
                <w:szCs w:val="20"/>
                <w:lang w:val="fr-FR"/>
              </w:rPr>
              <w:t xml:space="preserve"> Requins, partenaires coopératifs du </w:t>
            </w:r>
            <w:proofErr w:type="spellStart"/>
            <w:r w:rsidRPr="00AC7730">
              <w:rPr>
                <w:rFonts w:cs="Arial"/>
                <w:sz w:val="20"/>
                <w:szCs w:val="20"/>
                <w:lang w:val="fr-FR"/>
              </w:rPr>
              <w:t>MdE</w:t>
            </w:r>
            <w:proofErr w:type="spellEnd"/>
            <w:r w:rsidRPr="00AC7730">
              <w:rPr>
                <w:rFonts w:cs="Arial"/>
                <w:sz w:val="20"/>
                <w:szCs w:val="20"/>
                <w:lang w:val="fr-FR"/>
              </w:rPr>
              <w:t xml:space="preserve"> Requins de la CMS, ONG.</w:t>
            </w:r>
          </w:p>
        </w:tc>
        <w:tc>
          <w:tcPr>
            <w:tcW w:w="1985" w:type="dxa"/>
            <w:tcMar>
              <w:top w:w="86" w:type="dxa"/>
              <w:left w:w="115" w:type="dxa"/>
              <w:bottom w:w="86" w:type="dxa"/>
              <w:right w:w="115" w:type="dxa"/>
            </w:tcMar>
          </w:tcPr>
          <w:p w14:paraId="5468F3D0"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Selon les besoins, au cas par cas. Un financement à long terme est nécessaire pour l’implication de la communauté</w:t>
            </w:r>
          </w:p>
        </w:tc>
        <w:tc>
          <w:tcPr>
            <w:tcW w:w="2409" w:type="dxa"/>
          </w:tcPr>
          <w:p w14:paraId="595E4FB2"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Nombre de membres de la communauté participant aux actions du projet.</w:t>
            </w:r>
          </w:p>
          <w:p w14:paraId="12245767" w14:textId="77777777" w:rsidR="00E42EB4" w:rsidRPr="00AC7730" w:rsidRDefault="00E42EB4" w:rsidP="00C47195">
            <w:pPr>
              <w:spacing w:before="40" w:after="40"/>
              <w:rPr>
                <w:rFonts w:cs="Arial"/>
                <w:sz w:val="20"/>
                <w:szCs w:val="20"/>
                <w:lang w:val="fr-FR"/>
              </w:rPr>
            </w:pPr>
          </w:p>
        </w:tc>
      </w:tr>
      <w:tr w:rsidR="00E42EB4" w:rsidRPr="00C971E7" w14:paraId="60200F42" w14:textId="77777777">
        <w:tc>
          <w:tcPr>
            <w:tcW w:w="3119" w:type="dxa"/>
            <w:tcMar>
              <w:top w:w="86" w:type="dxa"/>
              <w:left w:w="115" w:type="dxa"/>
              <w:bottom w:w="86" w:type="dxa"/>
              <w:right w:w="115" w:type="dxa"/>
            </w:tcMar>
          </w:tcPr>
          <w:p w14:paraId="1EB7FA89" w14:textId="77777777" w:rsidR="00E42EB4" w:rsidRPr="00AC7730" w:rsidRDefault="004C1ADE" w:rsidP="00C47195">
            <w:pPr>
              <w:pStyle w:val="ListParagraph"/>
              <w:numPr>
                <w:ilvl w:val="0"/>
                <w:numId w:val="14"/>
              </w:numPr>
              <w:spacing w:before="40" w:after="40"/>
              <w:contextualSpacing w:val="0"/>
              <w:rPr>
                <w:rFonts w:eastAsia="MS Mincho" w:cs="Arial"/>
                <w:sz w:val="20"/>
                <w:szCs w:val="20"/>
                <w:lang w:val="fr-FR" w:eastAsia="ja-JP"/>
              </w:rPr>
            </w:pPr>
            <w:r w:rsidRPr="00AC7730">
              <w:rPr>
                <w:rFonts w:cs="Arial"/>
                <w:sz w:val="20"/>
                <w:szCs w:val="20"/>
                <w:lang w:val="fr-FR"/>
              </w:rPr>
              <w:t>Soutenir le développement de programmes de moyens de subsistance alternatifs avec les communautés par la planification collaborative et le renforcement des capacités.</w:t>
            </w:r>
          </w:p>
          <w:p w14:paraId="13132407" w14:textId="77777777" w:rsidR="00E42EB4" w:rsidRPr="00AC7730" w:rsidRDefault="00E42EB4" w:rsidP="00C47195">
            <w:pPr>
              <w:spacing w:before="40" w:after="40"/>
              <w:rPr>
                <w:rFonts w:cs="Arial"/>
                <w:sz w:val="20"/>
                <w:szCs w:val="20"/>
                <w:lang w:val="fr-FR"/>
              </w:rPr>
            </w:pPr>
          </w:p>
          <w:p w14:paraId="6059D43E" w14:textId="77777777" w:rsidR="00E42EB4" w:rsidRPr="00AC7730" w:rsidRDefault="00E42EB4" w:rsidP="00C47195">
            <w:pPr>
              <w:spacing w:before="40" w:after="40"/>
              <w:rPr>
                <w:rFonts w:cs="Arial"/>
                <w:sz w:val="20"/>
                <w:szCs w:val="20"/>
                <w:lang w:val="fr-FR"/>
              </w:rPr>
            </w:pPr>
          </w:p>
          <w:p w14:paraId="71303519" w14:textId="77777777" w:rsidR="00E42EB4" w:rsidRPr="00926518" w:rsidRDefault="004C1ADE" w:rsidP="00C47195">
            <w:pPr>
              <w:spacing w:before="40" w:after="40"/>
              <w:rPr>
                <w:rFonts w:cs="Arial"/>
                <w:sz w:val="20"/>
                <w:szCs w:val="20"/>
                <w:lang w:val="fr-FR"/>
              </w:rPr>
            </w:pPr>
            <w:r w:rsidRPr="00926518">
              <w:rPr>
                <w:rFonts w:cs="Arial"/>
                <w:sz w:val="20"/>
                <w:szCs w:val="20"/>
                <w:lang w:val="fr-FR"/>
              </w:rPr>
              <w:t xml:space="preserve"> </w:t>
            </w:r>
          </w:p>
        </w:tc>
        <w:tc>
          <w:tcPr>
            <w:tcW w:w="2835" w:type="dxa"/>
            <w:tcMar>
              <w:top w:w="86" w:type="dxa"/>
              <w:left w:w="115" w:type="dxa"/>
              <w:bottom w:w="86" w:type="dxa"/>
              <w:right w:w="115" w:type="dxa"/>
            </w:tcMar>
          </w:tcPr>
          <w:p w14:paraId="6171F378"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Communautés engagées et informées ayant la volonté et la capacité de renoncer à la pêche aux </w:t>
            </w:r>
            <w:proofErr w:type="spellStart"/>
            <w:r w:rsidRPr="00AC7730">
              <w:rPr>
                <w:rFonts w:cs="Arial"/>
                <w:sz w:val="20"/>
                <w:szCs w:val="20"/>
                <w:lang w:val="fr-FR"/>
              </w:rPr>
              <w:t>mobulidés</w:t>
            </w:r>
            <w:proofErr w:type="spellEnd"/>
            <w:r w:rsidRPr="00AC7730">
              <w:rPr>
                <w:rFonts w:cs="Arial"/>
                <w:sz w:val="20"/>
                <w:szCs w:val="20"/>
                <w:lang w:val="fr-FR"/>
              </w:rPr>
              <w:t xml:space="preserve"> et prêtes pour la transition.</w:t>
            </w:r>
          </w:p>
        </w:tc>
        <w:tc>
          <w:tcPr>
            <w:tcW w:w="1559" w:type="dxa"/>
            <w:tcMar>
              <w:top w:w="86" w:type="dxa"/>
              <w:left w:w="115" w:type="dxa"/>
              <w:bottom w:w="86" w:type="dxa"/>
              <w:right w:w="115" w:type="dxa"/>
            </w:tcMar>
          </w:tcPr>
          <w:p w14:paraId="6B96384E"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2026 - ouvert</w:t>
            </w:r>
          </w:p>
        </w:tc>
        <w:tc>
          <w:tcPr>
            <w:tcW w:w="2126" w:type="dxa"/>
            <w:tcMar>
              <w:top w:w="86" w:type="dxa"/>
              <w:left w:w="115" w:type="dxa"/>
              <w:bottom w:w="86" w:type="dxa"/>
              <w:right w:w="115" w:type="dxa"/>
            </w:tcMar>
          </w:tcPr>
          <w:p w14:paraId="7CFAEFE2"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États de l'aire de répartition Parties, signataires du </w:t>
            </w:r>
            <w:proofErr w:type="spellStart"/>
            <w:r w:rsidRPr="00AC7730">
              <w:rPr>
                <w:rFonts w:cs="Arial"/>
                <w:sz w:val="20"/>
                <w:szCs w:val="20"/>
                <w:lang w:val="fr-FR"/>
              </w:rPr>
              <w:t>MdE</w:t>
            </w:r>
            <w:proofErr w:type="spellEnd"/>
            <w:r w:rsidRPr="00AC7730">
              <w:rPr>
                <w:rFonts w:cs="Arial"/>
                <w:sz w:val="20"/>
                <w:szCs w:val="20"/>
                <w:lang w:val="fr-FR"/>
              </w:rPr>
              <w:t xml:space="preserve"> Requins, partenaires coopératifs du </w:t>
            </w:r>
            <w:proofErr w:type="spellStart"/>
            <w:r w:rsidRPr="00AC7730">
              <w:rPr>
                <w:rFonts w:cs="Arial"/>
                <w:sz w:val="20"/>
                <w:szCs w:val="20"/>
                <w:lang w:val="fr-FR"/>
              </w:rPr>
              <w:t>MdE</w:t>
            </w:r>
            <w:proofErr w:type="spellEnd"/>
            <w:r w:rsidRPr="00AC7730">
              <w:rPr>
                <w:rFonts w:cs="Arial"/>
                <w:sz w:val="20"/>
                <w:szCs w:val="20"/>
                <w:lang w:val="fr-FR"/>
              </w:rPr>
              <w:t xml:space="preserve"> Requins de la CMS, ONG.</w:t>
            </w:r>
          </w:p>
        </w:tc>
        <w:tc>
          <w:tcPr>
            <w:tcW w:w="1985" w:type="dxa"/>
            <w:tcMar>
              <w:top w:w="86" w:type="dxa"/>
              <w:left w:w="115" w:type="dxa"/>
              <w:bottom w:w="86" w:type="dxa"/>
              <w:right w:w="115" w:type="dxa"/>
            </w:tcMar>
          </w:tcPr>
          <w:p w14:paraId="41D1B281"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Selon les besoins, au cas par cas. Un financement à long terme est nécessaire pour l'implication de la communauté, le renforcement des capacités et le soutien technique.</w:t>
            </w:r>
          </w:p>
        </w:tc>
        <w:tc>
          <w:tcPr>
            <w:tcW w:w="2409" w:type="dxa"/>
          </w:tcPr>
          <w:p w14:paraId="24B9CD04"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Nombre de programmes de moyens de subsistance alternatifs et de membres de la communauté impliqués.</w:t>
            </w:r>
          </w:p>
          <w:p w14:paraId="06FAD73E"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Amélioration des perspectives de population à long terme pour les raies </w:t>
            </w:r>
            <w:proofErr w:type="spellStart"/>
            <w:r w:rsidRPr="00AC7730">
              <w:rPr>
                <w:rFonts w:cs="Arial"/>
                <w:sz w:val="20"/>
                <w:szCs w:val="20"/>
                <w:lang w:val="fr-FR"/>
              </w:rPr>
              <w:t>mobula</w:t>
            </w:r>
            <w:proofErr w:type="spellEnd"/>
            <w:r w:rsidRPr="00AC7730">
              <w:rPr>
                <w:rFonts w:cs="Arial"/>
                <w:sz w:val="20"/>
                <w:szCs w:val="20"/>
                <w:lang w:val="fr-FR"/>
              </w:rPr>
              <w:t xml:space="preserve"> dans les zones concernées.</w:t>
            </w:r>
          </w:p>
        </w:tc>
      </w:tr>
    </w:tbl>
    <w:p w14:paraId="10CBCD35" w14:textId="77777777" w:rsidR="00604F7A" w:rsidRPr="00C971E7" w:rsidRDefault="00604F7A">
      <w:pPr>
        <w:rPr>
          <w:lang w:val="fr-FR"/>
        </w:rPr>
      </w:pPr>
      <w:r w:rsidRPr="00C971E7">
        <w:rPr>
          <w:lang w:val="fr-FR"/>
        </w:rPr>
        <w:br w:type="page"/>
      </w: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E42EB4" w:rsidRPr="00C971E7" w14:paraId="28BB6817" w14:textId="77777777">
        <w:trPr>
          <w:trHeight w:val="291"/>
        </w:trPr>
        <w:tc>
          <w:tcPr>
            <w:tcW w:w="14033" w:type="dxa"/>
            <w:gridSpan w:val="6"/>
            <w:shd w:val="clear" w:color="auto" w:fill="D9D9D9" w:themeFill="background1" w:themeFillShade="D9"/>
            <w:tcMar>
              <w:top w:w="86" w:type="dxa"/>
              <w:left w:w="115" w:type="dxa"/>
              <w:bottom w:w="86" w:type="dxa"/>
              <w:right w:w="115" w:type="dxa"/>
            </w:tcMar>
          </w:tcPr>
          <w:p w14:paraId="48F6377C" w14:textId="5578A7D7" w:rsidR="00E42EB4" w:rsidRPr="00AC7730" w:rsidRDefault="004C1ADE" w:rsidP="00C47195">
            <w:pPr>
              <w:widowControl w:val="0"/>
              <w:suppressAutoHyphens/>
              <w:autoSpaceDE w:val="0"/>
              <w:autoSpaceDN w:val="0"/>
              <w:spacing w:before="40" w:after="40"/>
              <w:jc w:val="both"/>
              <w:textAlignment w:val="baseline"/>
              <w:rPr>
                <w:rFonts w:cs="Arial"/>
                <w:b/>
                <w:lang w:val="fr-FR"/>
              </w:rPr>
            </w:pPr>
            <w:r w:rsidRPr="00AC7730">
              <w:rPr>
                <w:rFonts w:cs="Arial"/>
                <w:b/>
                <w:lang w:val="fr-FR"/>
              </w:rPr>
              <w:lastRenderedPageBreak/>
              <w:t xml:space="preserve">Promouvoir les meilleures pratiques pour des interactions avec les raies </w:t>
            </w:r>
            <w:proofErr w:type="spellStart"/>
            <w:r w:rsidRPr="00AC7730">
              <w:rPr>
                <w:rFonts w:cs="Arial"/>
                <w:b/>
                <w:lang w:val="fr-FR"/>
              </w:rPr>
              <w:t>manta</w:t>
            </w:r>
            <w:proofErr w:type="spellEnd"/>
            <w:r w:rsidRPr="00AC7730">
              <w:rPr>
                <w:rFonts w:cs="Arial"/>
                <w:b/>
                <w:lang w:val="fr-FR"/>
              </w:rPr>
              <w:t xml:space="preserve"> et diable et un tourisme durable</w:t>
            </w:r>
          </w:p>
        </w:tc>
      </w:tr>
      <w:tr w:rsidR="00E42EB4" w:rsidRPr="00C971E7" w14:paraId="6DFBD9CB" w14:textId="77777777">
        <w:tc>
          <w:tcPr>
            <w:tcW w:w="3119" w:type="dxa"/>
            <w:tcMar>
              <w:top w:w="86" w:type="dxa"/>
              <w:left w:w="115" w:type="dxa"/>
              <w:bottom w:w="86" w:type="dxa"/>
              <w:right w:w="115" w:type="dxa"/>
            </w:tcMar>
          </w:tcPr>
          <w:p w14:paraId="3894FE3E" w14:textId="77777777" w:rsidR="00E42EB4" w:rsidRPr="00AC7730" w:rsidRDefault="004C1ADE"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Promouvoir les meilleures pratiques pour les interactions avec les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et leur protection dans les pays disposant d'un tourisme dédié </w:t>
            </w:r>
          </w:p>
        </w:tc>
        <w:tc>
          <w:tcPr>
            <w:tcW w:w="2835" w:type="dxa"/>
            <w:tcMar>
              <w:top w:w="86" w:type="dxa"/>
              <w:left w:w="115" w:type="dxa"/>
              <w:bottom w:w="86" w:type="dxa"/>
              <w:right w:w="115" w:type="dxa"/>
            </w:tcMar>
          </w:tcPr>
          <w:p w14:paraId="46EA59BA" w14:textId="77777777" w:rsidR="00E42EB4" w:rsidRPr="00AC7730" w:rsidRDefault="004C1ADE" w:rsidP="00C47195">
            <w:pPr>
              <w:pStyle w:val="ListParagraph"/>
              <w:spacing w:before="40" w:after="40"/>
              <w:ind w:left="360"/>
              <w:contextualSpacing w:val="0"/>
              <w:rPr>
                <w:rFonts w:cs="Arial"/>
                <w:sz w:val="20"/>
                <w:szCs w:val="20"/>
                <w:lang w:val="fr-FR"/>
              </w:rPr>
            </w:pPr>
            <w:r w:rsidRPr="00AC7730">
              <w:rPr>
                <w:rFonts w:cs="Arial"/>
                <w:sz w:val="20"/>
                <w:szCs w:val="20"/>
                <w:lang w:val="fr-FR"/>
              </w:rPr>
              <w:t xml:space="preserve">- Diffusion et mise en œuvre du code de conduite pour la nage avec les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w:t>
            </w:r>
          </w:p>
          <w:p w14:paraId="2781202B" w14:textId="77777777" w:rsidR="00E42EB4" w:rsidRPr="00AC7730" w:rsidRDefault="004C1ADE" w:rsidP="00C47195">
            <w:pPr>
              <w:pStyle w:val="ListParagraph"/>
              <w:spacing w:before="40" w:after="40"/>
              <w:ind w:left="360"/>
              <w:contextualSpacing w:val="0"/>
              <w:rPr>
                <w:rFonts w:cs="Arial"/>
                <w:sz w:val="20"/>
                <w:szCs w:val="20"/>
                <w:lang w:val="fr-FR"/>
              </w:rPr>
            </w:pPr>
            <w:r w:rsidRPr="00AC7730">
              <w:rPr>
                <w:rFonts w:cs="Arial"/>
                <w:sz w:val="20"/>
                <w:szCs w:val="20"/>
                <w:lang w:val="fr-FR"/>
              </w:rPr>
              <w:t xml:space="preserve">Diffusion des mesures d'atténuation de l'enchevêtrement dans les lignes d’amarrage et du protocole d'enchevêtrement </w:t>
            </w:r>
          </w:p>
          <w:p w14:paraId="1FBBE52B" w14:textId="77777777" w:rsidR="00E42EB4" w:rsidRPr="00AC7730" w:rsidRDefault="004C1ADE" w:rsidP="00C47195">
            <w:pPr>
              <w:pStyle w:val="ListParagraph"/>
              <w:spacing w:before="40" w:after="40"/>
              <w:ind w:left="360"/>
              <w:contextualSpacing w:val="0"/>
              <w:rPr>
                <w:rFonts w:cs="Arial"/>
                <w:sz w:val="20"/>
                <w:szCs w:val="20"/>
                <w:lang w:val="fr-FR"/>
              </w:rPr>
            </w:pPr>
            <w:r w:rsidRPr="00AC7730">
              <w:rPr>
                <w:rFonts w:cs="Arial"/>
                <w:sz w:val="20"/>
                <w:szCs w:val="20"/>
                <w:lang w:val="fr-FR"/>
              </w:rPr>
              <w:t>- Mise en œuvre de mesures d'atténuation des blessures causées par les bateaux et les hélices</w:t>
            </w:r>
          </w:p>
        </w:tc>
        <w:tc>
          <w:tcPr>
            <w:tcW w:w="1559" w:type="dxa"/>
            <w:tcMar>
              <w:top w:w="86" w:type="dxa"/>
              <w:left w:w="115" w:type="dxa"/>
              <w:bottom w:w="86" w:type="dxa"/>
              <w:right w:w="115" w:type="dxa"/>
            </w:tcMar>
          </w:tcPr>
          <w:p w14:paraId="06536A68" w14:textId="77777777" w:rsidR="00E42EB4" w:rsidRPr="00AC7730" w:rsidRDefault="004C1ADE" w:rsidP="00C47195">
            <w:pPr>
              <w:spacing w:before="40" w:after="40"/>
              <w:rPr>
                <w:rFonts w:cs="Arial"/>
                <w:sz w:val="20"/>
                <w:szCs w:val="20"/>
              </w:rPr>
            </w:pPr>
            <w:r w:rsidRPr="00AC7730">
              <w:rPr>
                <w:rFonts w:cs="Arial"/>
                <w:sz w:val="20"/>
                <w:szCs w:val="20"/>
              </w:rPr>
              <w:t>2026-2028</w:t>
            </w:r>
          </w:p>
        </w:tc>
        <w:tc>
          <w:tcPr>
            <w:tcW w:w="2126" w:type="dxa"/>
            <w:tcMar>
              <w:top w:w="86" w:type="dxa"/>
              <w:left w:w="115" w:type="dxa"/>
              <w:bottom w:w="86" w:type="dxa"/>
              <w:right w:w="115" w:type="dxa"/>
            </w:tcMar>
          </w:tcPr>
          <w:p w14:paraId="4925CBB5"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ONG, organismes de recherche, États de l'aire de répartition Parties ayant mis en place un tourisme d'observation des raies </w:t>
            </w:r>
            <w:proofErr w:type="spellStart"/>
            <w:r w:rsidRPr="00AC7730">
              <w:rPr>
                <w:rFonts w:cs="Arial"/>
                <w:sz w:val="20"/>
                <w:szCs w:val="20"/>
                <w:lang w:val="fr-FR"/>
              </w:rPr>
              <w:t>manta</w:t>
            </w:r>
            <w:proofErr w:type="spellEnd"/>
            <w:r w:rsidRPr="00AC7730">
              <w:rPr>
                <w:rFonts w:cs="Arial"/>
                <w:sz w:val="20"/>
                <w:szCs w:val="20"/>
                <w:lang w:val="fr-FR"/>
              </w:rPr>
              <w:t xml:space="preserve"> et diable.</w:t>
            </w:r>
          </w:p>
          <w:p w14:paraId="4A04B3DF" w14:textId="77777777" w:rsidR="00E42EB4" w:rsidRPr="00AC7730" w:rsidRDefault="00E42EB4" w:rsidP="00C47195">
            <w:pPr>
              <w:spacing w:before="40" w:after="40"/>
              <w:rPr>
                <w:rFonts w:cs="Arial"/>
                <w:sz w:val="20"/>
                <w:szCs w:val="20"/>
                <w:lang w:val="fr-FR"/>
              </w:rPr>
            </w:pPr>
          </w:p>
        </w:tc>
        <w:tc>
          <w:tcPr>
            <w:tcW w:w="1985" w:type="dxa"/>
            <w:tcMar>
              <w:top w:w="86" w:type="dxa"/>
              <w:left w:w="115" w:type="dxa"/>
              <w:bottom w:w="86" w:type="dxa"/>
              <w:right w:w="115" w:type="dxa"/>
            </w:tcMar>
          </w:tcPr>
          <w:p w14:paraId="3175590A"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 xml:space="preserve">Selon le cas. Le coût doit être minimal. </w:t>
            </w:r>
          </w:p>
        </w:tc>
        <w:tc>
          <w:tcPr>
            <w:tcW w:w="2409" w:type="dxa"/>
          </w:tcPr>
          <w:p w14:paraId="7DE5A51A"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 xml:space="preserve">Nombre d'entreprises et de parties prenantes atteintes </w:t>
            </w:r>
          </w:p>
        </w:tc>
      </w:tr>
      <w:tr w:rsidR="00E42EB4" w:rsidRPr="00C971E7" w14:paraId="1972E291" w14:textId="77777777">
        <w:tc>
          <w:tcPr>
            <w:tcW w:w="14033" w:type="dxa"/>
            <w:gridSpan w:val="6"/>
            <w:shd w:val="clear" w:color="auto" w:fill="D9D9D9" w:themeFill="background1" w:themeFillShade="D9"/>
            <w:tcMar>
              <w:top w:w="86" w:type="dxa"/>
              <w:left w:w="115" w:type="dxa"/>
              <w:bottom w:w="86" w:type="dxa"/>
              <w:right w:w="115" w:type="dxa"/>
            </w:tcMar>
          </w:tcPr>
          <w:p w14:paraId="71DF2A9E" w14:textId="77777777" w:rsidR="00E42EB4" w:rsidRPr="00AC7730" w:rsidRDefault="004C1ADE" w:rsidP="00C47195">
            <w:pPr>
              <w:spacing w:before="40" w:after="40"/>
              <w:rPr>
                <w:rFonts w:cs="Arial"/>
                <w:b/>
                <w:lang w:val="fr-FR"/>
              </w:rPr>
            </w:pPr>
            <w:r w:rsidRPr="00AC7730">
              <w:rPr>
                <w:rFonts w:cs="Arial"/>
                <w:b/>
                <w:lang w:val="fr-FR"/>
              </w:rPr>
              <w:t>Surveiller l’impact et adapter les stratégies de gestion</w:t>
            </w:r>
          </w:p>
        </w:tc>
      </w:tr>
      <w:tr w:rsidR="00E42EB4" w:rsidRPr="00C971E7" w14:paraId="23FCF0DB" w14:textId="77777777">
        <w:tc>
          <w:tcPr>
            <w:tcW w:w="3119" w:type="dxa"/>
            <w:tcMar>
              <w:top w:w="86" w:type="dxa"/>
              <w:left w:w="115" w:type="dxa"/>
              <w:bottom w:w="86" w:type="dxa"/>
              <w:right w:w="115" w:type="dxa"/>
            </w:tcMar>
          </w:tcPr>
          <w:p w14:paraId="676A8F31" w14:textId="77777777" w:rsidR="00E42EB4" w:rsidRPr="00AC7730" w:rsidRDefault="004C1ADE" w:rsidP="00C47195">
            <w:pPr>
              <w:pStyle w:val="ListParagraph"/>
              <w:numPr>
                <w:ilvl w:val="0"/>
                <w:numId w:val="14"/>
              </w:numPr>
              <w:spacing w:before="40" w:after="40"/>
              <w:contextualSpacing w:val="0"/>
              <w:rPr>
                <w:rFonts w:cs="Arial"/>
                <w:sz w:val="20"/>
                <w:szCs w:val="20"/>
                <w:lang w:val="fr-FR"/>
              </w:rPr>
            </w:pPr>
            <w:r w:rsidRPr="00AC7730">
              <w:rPr>
                <w:rFonts w:cs="Arial"/>
                <w:sz w:val="20"/>
                <w:szCs w:val="20"/>
                <w:lang w:val="fr-FR"/>
              </w:rPr>
              <w:t xml:space="preserve">Surveiller et évaluer l'impact écologique des mesures de protection sur les raies </w:t>
            </w:r>
            <w:proofErr w:type="spellStart"/>
            <w:r w:rsidRPr="00AC7730">
              <w:rPr>
                <w:rFonts w:cs="Arial"/>
                <w:sz w:val="20"/>
                <w:szCs w:val="20"/>
                <w:lang w:val="fr-FR"/>
              </w:rPr>
              <w:t>manta</w:t>
            </w:r>
            <w:proofErr w:type="spellEnd"/>
            <w:r w:rsidRPr="00AC7730">
              <w:rPr>
                <w:rFonts w:cs="Arial"/>
                <w:sz w:val="20"/>
                <w:szCs w:val="20"/>
                <w:lang w:val="fr-FR"/>
              </w:rPr>
              <w:t xml:space="preserve"> et diable et réévaluer les approches en fonction de leur efficacité. </w:t>
            </w:r>
          </w:p>
        </w:tc>
        <w:tc>
          <w:tcPr>
            <w:tcW w:w="2835" w:type="dxa"/>
            <w:tcMar>
              <w:top w:w="86" w:type="dxa"/>
              <w:left w:w="115" w:type="dxa"/>
              <w:bottom w:w="86" w:type="dxa"/>
              <w:right w:w="115" w:type="dxa"/>
            </w:tcMar>
          </w:tcPr>
          <w:p w14:paraId="7E0445AE"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Gestion informée de l'efficacité des mesures de protection et ajustement de son orientation, si nécessaire.</w:t>
            </w:r>
          </w:p>
          <w:p w14:paraId="04F22039" w14:textId="77777777" w:rsidR="00E42EB4" w:rsidRPr="00AC7730" w:rsidRDefault="00E42EB4" w:rsidP="00C47195">
            <w:pPr>
              <w:spacing w:before="40" w:after="40"/>
              <w:rPr>
                <w:rFonts w:cs="Arial"/>
                <w:sz w:val="20"/>
                <w:szCs w:val="20"/>
                <w:lang w:val="fr-FR"/>
              </w:rPr>
            </w:pPr>
          </w:p>
          <w:p w14:paraId="57CACF7F" w14:textId="77777777" w:rsidR="00E42EB4" w:rsidRPr="00AC7730" w:rsidRDefault="00E42EB4" w:rsidP="00C47195">
            <w:pPr>
              <w:spacing w:before="40" w:after="40"/>
              <w:rPr>
                <w:rFonts w:cs="Arial"/>
                <w:sz w:val="20"/>
                <w:szCs w:val="20"/>
                <w:lang w:val="fr-FR"/>
              </w:rPr>
            </w:pPr>
          </w:p>
        </w:tc>
        <w:tc>
          <w:tcPr>
            <w:tcW w:w="1559" w:type="dxa"/>
            <w:tcMar>
              <w:top w:w="86" w:type="dxa"/>
              <w:left w:w="115" w:type="dxa"/>
              <w:bottom w:w="86" w:type="dxa"/>
              <w:right w:w="115" w:type="dxa"/>
            </w:tcMar>
          </w:tcPr>
          <w:p w14:paraId="1A871C19" w14:textId="77777777" w:rsidR="00E42EB4" w:rsidRPr="00AC7730" w:rsidRDefault="004C1ADE" w:rsidP="00C47195">
            <w:pPr>
              <w:spacing w:before="40" w:after="40"/>
              <w:rPr>
                <w:rFonts w:cs="Arial"/>
                <w:sz w:val="20"/>
                <w:szCs w:val="20"/>
              </w:rPr>
            </w:pPr>
            <w:r w:rsidRPr="00AC7730">
              <w:rPr>
                <w:rFonts w:cs="Arial"/>
                <w:sz w:val="20"/>
                <w:szCs w:val="20"/>
              </w:rPr>
              <w:t>2028-2029</w:t>
            </w:r>
          </w:p>
        </w:tc>
        <w:tc>
          <w:tcPr>
            <w:tcW w:w="2126" w:type="dxa"/>
            <w:tcMar>
              <w:top w:w="86" w:type="dxa"/>
              <w:left w:w="115" w:type="dxa"/>
              <w:bottom w:w="86" w:type="dxa"/>
              <w:right w:w="115" w:type="dxa"/>
            </w:tcMar>
          </w:tcPr>
          <w:p w14:paraId="4C4DA035"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États de l'aire de répartition Parties, ONG, Organismes de recherche</w:t>
            </w:r>
          </w:p>
        </w:tc>
        <w:tc>
          <w:tcPr>
            <w:tcW w:w="1985" w:type="dxa"/>
            <w:tcMar>
              <w:top w:w="86" w:type="dxa"/>
              <w:left w:w="115" w:type="dxa"/>
              <w:bottom w:w="86" w:type="dxa"/>
              <w:right w:w="115" w:type="dxa"/>
            </w:tcMar>
          </w:tcPr>
          <w:p w14:paraId="5907E2C6" w14:textId="77777777" w:rsidR="00E42EB4" w:rsidRPr="00AC7730" w:rsidRDefault="004C1ADE" w:rsidP="00C47195">
            <w:pPr>
              <w:spacing w:before="40" w:after="40"/>
              <w:rPr>
                <w:rFonts w:cs="Arial"/>
                <w:sz w:val="20"/>
                <w:szCs w:val="20"/>
                <w:lang w:val="fr-FR"/>
              </w:rPr>
            </w:pPr>
            <w:r w:rsidRPr="00AC7730">
              <w:rPr>
                <w:rFonts w:cs="Arial"/>
                <w:sz w:val="20"/>
                <w:szCs w:val="20"/>
                <w:lang w:val="fr-FR"/>
              </w:rPr>
              <w:t>Aucun financement nécessaire</w:t>
            </w:r>
          </w:p>
        </w:tc>
        <w:tc>
          <w:tcPr>
            <w:tcW w:w="2409" w:type="dxa"/>
          </w:tcPr>
          <w:p w14:paraId="1E93B7C0" w14:textId="77777777" w:rsidR="00E42EB4" w:rsidRPr="00AC7730" w:rsidRDefault="004C1ADE" w:rsidP="00C47195">
            <w:pPr>
              <w:pStyle w:val="ListParagraph"/>
              <w:numPr>
                <w:ilvl w:val="0"/>
                <w:numId w:val="12"/>
              </w:numPr>
              <w:spacing w:before="40" w:after="40"/>
              <w:contextualSpacing w:val="0"/>
              <w:rPr>
                <w:rFonts w:cs="Arial"/>
                <w:sz w:val="20"/>
                <w:szCs w:val="20"/>
                <w:lang w:val="fr-FR"/>
              </w:rPr>
            </w:pPr>
            <w:r w:rsidRPr="00AC7730">
              <w:rPr>
                <w:rFonts w:cs="Arial"/>
                <w:sz w:val="20"/>
                <w:szCs w:val="20"/>
                <w:lang w:val="fr-FR"/>
              </w:rPr>
              <w:t>Analyse des progrès et de l’efficacité informant la stratégie pour la COP16</w:t>
            </w:r>
          </w:p>
        </w:tc>
      </w:tr>
    </w:tbl>
    <w:p w14:paraId="39B0CC90" w14:textId="77777777" w:rsidR="00E42EB4" w:rsidRPr="00AC7730" w:rsidRDefault="00E42EB4">
      <w:pPr>
        <w:jc w:val="both"/>
        <w:rPr>
          <w:rFonts w:cs="Arial"/>
          <w:lang w:val="fr-FR"/>
        </w:rPr>
        <w:sectPr w:rsidR="00E42EB4" w:rsidRPr="00AC7730">
          <w:headerReference w:type="even" r:id="rId44"/>
          <w:headerReference w:type="default" r:id="rId45"/>
          <w:headerReference w:type="first" r:id="rId46"/>
          <w:pgSz w:w="16838" w:h="11906" w:orient="landscape" w:code="9"/>
          <w:pgMar w:top="1440" w:right="1440" w:bottom="1440" w:left="1440" w:header="720" w:footer="720" w:gutter="0"/>
          <w:cols w:space="720"/>
          <w:titlePg/>
          <w:docGrid w:linePitch="360"/>
        </w:sectPr>
      </w:pPr>
    </w:p>
    <w:p w14:paraId="4EA48355" w14:textId="77777777" w:rsidR="00E42EB4" w:rsidRPr="00AC7730" w:rsidRDefault="004C1ADE">
      <w:pPr>
        <w:jc w:val="both"/>
        <w:rPr>
          <w:rFonts w:cs="Arial"/>
          <w:lang w:val="fr-FR"/>
        </w:rPr>
      </w:pPr>
      <w:r w:rsidRPr="00AC7730">
        <w:rPr>
          <w:rFonts w:cs="Arial"/>
          <w:lang w:val="fr-FR"/>
        </w:rPr>
        <w:lastRenderedPageBreak/>
        <w:t xml:space="preserve">Annexe II : </w:t>
      </w:r>
      <w:r w:rsidRPr="00AC7730">
        <w:rPr>
          <w:rFonts w:eastAsia="Arial" w:cs="Arial"/>
          <w:sz w:val="20"/>
          <w:szCs w:val="20"/>
          <w:lang w:val="fr-FR"/>
        </w:rPr>
        <w:t xml:space="preserve">Déclin significatif des populations de raies </w:t>
      </w:r>
      <w:proofErr w:type="spellStart"/>
      <w:r w:rsidRPr="00AC7730">
        <w:rPr>
          <w:rFonts w:eastAsia="Arial" w:cs="Arial"/>
          <w:sz w:val="20"/>
          <w:szCs w:val="20"/>
          <w:lang w:val="fr-FR"/>
        </w:rPr>
        <w:t>manta</w:t>
      </w:r>
      <w:proofErr w:type="spellEnd"/>
      <w:r w:rsidRPr="00AC7730">
        <w:rPr>
          <w:rFonts w:eastAsia="Arial" w:cs="Arial"/>
          <w:sz w:val="20"/>
          <w:szCs w:val="20"/>
          <w:lang w:val="fr-FR"/>
        </w:rPr>
        <w:t xml:space="preserve"> et diable par espèce, par pays, région océanique et zones spécifiques de la ZEE d’un pays</w:t>
      </w:r>
    </w:p>
    <w:tbl>
      <w:tblPr>
        <w:tblW w:w="97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185"/>
        <w:gridCol w:w="1260"/>
        <w:gridCol w:w="1155"/>
        <w:gridCol w:w="1350"/>
        <w:gridCol w:w="3690"/>
      </w:tblGrid>
      <w:tr w:rsidR="00E42EB4" w:rsidRPr="00AC7730" w14:paraId="37FF139A" w14:textId="77777777">
        <w:trPr>
          <w:trHeight w:val="540"/>
        </w:trPr>
        <w:tc>
          <w:tcPr>
            <w:tcW w:w="1110" w:type="dxa"/>
            <w:shd w:val="clear" w:color="auto" w:fill="767171" w:themeFill="background2" w:themeFillShade="80"/>
          </w:tcPr>
          <w:p w14:paraId="184F379C" w14:textId="77777777" w:rsidR="00E42EB4" w:rsidRPr="00AC7730" w:rsidRDefault="004C1ADE">
            <w:pPr>
              <w:spacing w:after="120"/>
              <w:rPr>
                <w:rFonts w:eastAsia="Arial" w:cs="Arial"/>
                <w:b/>
                <w:sz w:val="16"/>
                <w:szCs w:val="16"/>
                <w:lang w:val="fr-FR"/>
              </w:rPr>
            </w:pPr>
            <w:r w:rsidRPr="00AC7730">
              <w:rPr>
                <w:rFonts w:eastAsia="Arial" w:cs="Arial"/>
                <w:b/>
                <w:sz w:val="16"/>
                <w:szCs w:val="16"/>
                <w:lang w:val="fr-FR"/>
              </w:rPr>
              <w:t>Espèce</w:t>
            </w:r>
          </w:p>
        </w:tc>
        <w:tc>
          <w:tcPr>
            <w:tcW w:w="1185" w:type="dxa"/>
            <w:shd w:val="clear" w:color="auto" w:fill="767171" w:themeFill="background2" w:themeFillShade="80"/>
          </w:tcPr>
          <w:p w14:paraId="32152C72" w14:textId="77777777" w:rsidR="00E42EB4" w:rsidRPr="00AC7730" w:rsidRDefault="004C1ADE">
            <w:pPr>
              <w:spacing w:after="120"/>
              <w:rPr>
                <w:rFonts w:eastAsia="Arial" w:cs="Arial"/>
                <w:b/>
                <w:sz w:val="16"/>
                <w:szCs w:val="16"/>
                <w:lang w:val="fr-FR"/>
              </w:rPr>
            </w:pPr>
            <w:r w:rsidRPr="00AC7730">
              <w:rPr>
                <w:rFonts w:eastAsia="Arial" w:cs="Arial"/>
                <w:b/>
                <w:sz w:val="16"/>
                <w:szCs w:val="16"/>
                <w:lang w:val="fr-FR"/>
              </w:rPr>
              <w:t>Durée estimée de 3 générations</w:t>
            </w:r>
          </w:p>
        </w:tc>
        <w:tc>
          <w:tcPr>
            <w:tcW w:w="1260" w:type="dxa"/>
            <w:shd w:val="clear" w:color="auto" w:fill="767171" w:themeFill="background2" w:themeFillShade="80"/>
          </w:tcPr>
          <w:p w14:paraId="7156E3E8" w14:textId="77777777" w:rsidR="00E42EB4" w:rsidRPr="00AC7730" w:rsidRDefault="004C1ADE">
            <w:pPr>
              <w:spacing w:after="120"/>
              <w:rPr>
                <w:rFonts w:eastAsia="Arial" w:cs="Arial"/>
                <w:b/>
                <w:sz w:val="16"/>
                <w:szCs w:val="16"/>
                <w:lang w:val="fr-FR"/>
              </w:rPr>
            </w:pPr>
            <w:r w:rsidRPr="00AC7730">
              <w:rPr>
                <w:rFonts w:eastAsia="Arial" w:cs="Arial"/>
                <w:b/>
                <w:sz w:val="16"/>
                <w:szCs w:val="16"/>
                <w:lang w:val="fr-FR"/>
              </w:rPr>
              <w:t>Déclins (période d'étude)</w:t>
            </w:r>
          </w:p>
        </w:tc>
        <w:tc>
          <w:tcPr>
            <w:tcW w:w="1155" w:type="dxa"/>
            <w:shd w:val="clear" w:color="auto" w:fill="767171" w:themeFill="background2" w:themeFillShade="80"/>
          </w:tcPr>
          <w:p w14:paraId="2D723AF6" w14:textId="77777777" w:rsidR="00E42EB4" w:rsidRPr="00AC7730" w:rsidRDefault="004C1ADE">
            <w:pPr>
              <w:spacing w:after="120"/>
              <w:rPr>
                <w:rFonts w:eastAsia="Arial" w:cs="Arial"/>
                <w:b/>
                <w:sz w:val="16"/>
                <w:szCs w:val="16"/>
                <w:lang w:val="fr-FR"/>
              </w:rPr>
            </w:pPr>
            <w:r w:rsidRPr="00AC7730">
              <w:rPr>
                <w:rFonts w:eastAsia="Arial" w:cs="Arial"/>
                <w:b/>
                <w:sz w:val="16"/>
                <w:szCs w:val="16"/>
                <w:lang w:val="fr-FR"/>
              </w:rPr>
              <w:t>Pays</w:t>
            </w:r>
          </w:p>
        </w:tc>
        <w:tc>
          <w:tcPr>
            <w:tcW w:w="1350" w:type="dxa"/>
            <w:shd w:val="clear" w:color="auto" w:fill="767171" w:themeFill="background2" w:themeFillShade="80"/>
          </w:tcPr>
          <w:p w14:paraId="124CB6A1" w14:textId="77777777" w:rsidR="00E42EB4" w:rsidRPr="00AC7730" w:rsidRDefault="004C1ADE">
            <w:pPr>
              <w:spacing w:after="120"/>
              <w:rPr>
                <w:rFonts w:eastAsia="Arial" w:cs="Arial"/>
                <w:b/>
                <w:sz w:val="16"/>
                <w:szCs w:val="16"/>
                <w:lang w:val="fr-FR"/>
              </w:rPr>
            </w:pPr>
            <w:r w:rsidRPr="00AC7730">
              <w:rPr>
                <w:rFonts w:eastAsia="Arial" w:cs="Arial"/>
                <w:b/>
                <w:sz w:val="16"/>
                <w:szCs w:val="16"/>
                <w:lang w:val="fr-FR"/>
              </w:rPr>
              <w:t>Références</w:t>
            </w:r>
          </w:p>
        </w:tc>
        <w:tc>
          <w:tcPr>
            <w:tcW w:w="3690" w:type="dxa"/>
            <w:shd w:val="clear" w:color="auto" w:fill="767171" w:themeFill="background2" w:themeFillShade="80"/>
          </w:tcPr>
          <w:p w14:paraId="2406E800" w14:textId="77777777" w:rsidR="00E42EB4" w:rsidRPr="00AC7730" w:rsidRDefault="004C1ADE">
            <w:pPr>
              <w:spacing w:after="120"/>
              <w:rPr>
                <w:rFonts w:eastAsia="Arial" w:cs="Arial"/>
                <w:b/>
                <w:sz w:val="16"/>
                <w:szCs w:val="16"/>
                <w:lang w:val="fr-FR"/>
              </w:rPr>
            </w:pPr>
            <w:r w:rsidRPr="00AC7730">
              <w:rPr>
                <w:rFonts w:eastAsia="Arial" w:cs="Arial"/>
                <w:b/>
                <w:sz w:val="16"/>
                <w:szCs w:val="16"/>
                <w:lang w:val="fr-FR"/>
              </w:rPr>
              <w:t>Remarques</w:t>
            </w:r>
          </w:p>
        </w:tc>
      </w:tr>
      <w:tr w:rsidR="00E42EB4" w:rsidRPr="00C971E7" w14:paraId="076E0A18" w14:textId="77777777">
        <w:trPr>
          <w:trHeight w:val="510"/>
        </w:trPr>
        <w:tc>
          <w:tcPr>
            <w:tcW w:w="1110" w:type="dxa"/>
            <w:vMerge w:val="restart"/>
          </w:tcPr>
          <w:p w14:paraId="4F9FDF59" w14:textId="77777777" w:rsidR="00E42EB4" w:rsidRPr="00AC7730" w:rsidRDefault="004C1ADE">
            <w:pPr>
              <w:spacing w:after="120"/>
              <w:rPr>
                <w:rFonts w:eastAsia="Arial" w:cs="Arial"/>
                <w:sz w:val="16"/>
                <w:szCs w:val="16"/>
                <w:lang w:val="fr-FR"/>
              </w:rPr>
            </w:pPr>
            <w:proofErr w:type="spellStart"/>
            <w:r w:rsidRPr="00AC7730">
              <w:rPr>
                <w:rFonts w:eastAsia="Arial" w:cs="Arial"/>
                <w:b/>
                <w:i/>
                <w:sz w:val="16"/>
                <w:szCs w:val="16"/>
                <w:lang w:val="fr-FR"/>
              </w:rPr>
              <w:t>Mobula</w:t>
            </w:r>
            <w:proofErr w:type="spellEnd"/>
            <w:r w:rsidRPr="00AC7730">
              <w:rPr>
                <w:rFonts w:eastAsia="Arial" w:cs="Arial"/>
                <w:b/>
                <w:i/>
                <w:sz w:val="16"/>
                <w:szCs w:val="16"/>
                <w:lang w:val="fr-FR"/>
              </w:rPr>
              <w:t xml:space="preserve"> </w:t>
            </w:r>
            <w:proofErr w:type="spellStart"/>
            <w:r w:rsidRPr="00AC7730">
              <w:rPr>
                <w:rFonts w:eastAsia="Arial" w:cs="Arial"/>
                <w:b/>
                <w:i/>
                <w:sz w:val="16"/>
                <w:szCs w:val="16"/>
                <w:lang w:val="fr-FR"/>
              </w:rPr>
              <w:t>birostris</w:t>
            </w:r>
            <w:proofErr w:type="spellEnd"/>
            <w:r w:rsidRPr="00AC7730">
              <w:rPr>
                <w:rFonts w:eastAsia="Arial" w:cs="Arial"/>
                <w:sz w:val="16"/>
                <w:szCs w:val="16"/>
                <w:lang w:val="fr-FR"/>
              </w:rPr>
              <w:t xml:space="preserve"> (Walbaum, 1792)</w:t>
            </w:r>
          </w:p>
          <w:p w14:paraId="43484275"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p w14:paraId="462A5646" w14:textId="77777777" w:rsidR="00E42EB4" w:rsidRPr="00AC7730" w:rsidRDefault="00E42EB4">
            <w:pPr>
              <w:spacing w:after="120"/>
              <w:rPr>
                <w:rFonts w:eastAsia="Arial" w:cs="Arial"/>
                <w:sz w:val="16"/>
                <w:szCs w:val="16"/>
                <w:lang w:val="fr-FR"/>
              </w:rPr>
            </w:pPr>
          </w:p>
        </w:tc>
        <w:tc>
          <w:tcPr>
            <w:tcW w:w="1185" w:type="dxa"/>
            <w:vMerge w:val="restart"/>
          </w:tcPr>
          <w:p w14:paraId="613C981D"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87 ans</w:t>
            </w:r>
          </w:p>
        </w:tc>
        <w:tc>
          <w:tcPr>
            <w:tcW w:w="1260" w:type="dxa"/>
            <w:shd w:val="clear" w:color="auto" w:fill="EFEFEF"/>
          </w:tcPr>
          <w:p w14:paraId="6CA484D2" w14:textId="77777777" w:rsidR="00E42EB4" w:rsidRPr="00AC7730" w:rsidRDefault="004C1ADE">
            <w:pPr>
              <w:spacing w:after="120"/>
              <w:rPr>
                <w:rFonts w:eastAsia="Arial" w:cs="Arial"/>
                <w:b/>
                <w:sz w:val="16"/>
                <w:szCs w:val="16"/>
              </w:rPr>
            </w:pPr>
            <w:r w:rsidRPr="00AC7730">
              <w:rPr>
                <w:rFonts w:eastAsia="Arial" w:cs="Arial"/>
                <w:b/>
                <w:sz w:val="16"/>
                <w:szCs w:val="16"/>
              </w:rPr>
              <w:t>89 %</w:t>
            </w:r>
            <w:r w:rsidRPr="00AC7730">
              <w:rPr>
                <w:rFonts w:eastAsia="Arial" w:cs="Arial"/>
                <w:sz w:val="16"/>
                <w:szCs w:val="16"/>
              </w:rPr>
              <w:t xml:space="preserve">         (1993</w:t>
            </w:r>
            <w:r w:rsidRPr="00AC7730">
              <w:rPr>
                <w:rFonts w:eastAsia="Arial" w:cs="Arial"/>
                <w:sz w:val="16"/>
                <w:szCs w:val="16"/>
                <w:highlight w:val="white"/>
              </w:rPr>
              <w:t>–</w:t>
            </w:r>
            <w:r w:rsidRPr="00AC7730">
              <w:rPr>
                <w:rFonts w:eastAsia="Arial" w:cs="Arial"/>
                <w:sz w:val="16"/>
                <w:szCs w:val="16"/>
              </w:rPr>
              <w:t>2013)</w:t>
            </w:r>
          </w:p>
        </w:tc>
        <w:tc>
          <w:tcPr>
            <w:tcW w:w="1155" w:type="dxa"/>
            <w:shd w:val="clear" w:color="auto" w:fill="EFEFEF"/>
          </w:tcPr>
          <w:p w14:paraId="7E8868E4"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Île Cocos, Costa Rica</w:t>
            </w:r>
          </w:p>
        </w:tc>
        <w:tc>
          <w:tcPr>
            <w:tcW w:w="1350" w:type="dxa"/>
            <w:shd w:val="clear" w:color="auto" w:fill="EFEFEF"/>
          </w:tcPr>
          <w:p w14:paraId="522CF5BA"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White et al, 2015</w:t>
            </w:r>
          </w:p>
        </w:tc>
        <w:tc>
          <w:tcPr>
            <w:tcW w:w="3690" w:type="dxa"/>
            <w:shd w:val="clear" w:color="auto" w:fill="EFEFEF"/>
          </w:tcPr>
          <w:p w14:paraId="21DBC700"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À partir des données d'observation de 27 527 plongées effectuées en 21 ans sur 17 sites. </w:t>
            </w:r>
          </w:p>
        </w:tc>
      </w:tr>
      <w:tr w:rsidR="00E42EB4" w:rsidRPr="00C971E7" w14:paraId="20FE465E" w14:textId="77777777">
        <w:trPr>
          <w:trHeight w:val="510"/>
        </w:trPr>
        <w:tc>
          <w:tcPr>
            <w:tcW w:w="1110" w:type="dxa"/>
            <w:vMerge/>
          </w:tcPr>
          <w:p w14:paraId="2385EBF3"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63B989B7"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5FE51369" w14:textId="77777777" w:rsidR="00E42EB4" w:rsidRPr="00AC7730" w:rsidRDefault="004C1ADE">
            <w:pPr>
              <w:spacing w:after="120"/>
              <w:rPr>
                <w:rFonts w:eastAsia="Arial" w:cs="Arial"/>
                <w:b/>
                <w:sz w:val="16"/>
                <w:szCs w:val="16"/>
              </w:rPr>
            </w:pPr>
            <w:r w:rsidRPr="00AC7730">
              <w:rPr>
                <w:rFonts w:eastAsia="Arial" w:cs="Arial"/>
                <w:b/>
                <w:sz w:val="16"/>
                <w:szCs w:val="16"/>
              </w:rPr>
              <w:t>99 %</w:t>
            </w:r>
            <w:r w:rsidRPr="00AC7730">
              <w:rPr>
                <w:rFonts w:eastAsia="Arial" w:cs="Arial"/>
                <w:sz w:val="16"/>
                <w:szCs w:val="16"/>
              </w:rPr>
              <w:t xml:space="preserve">         (2010</w:t>
            </w:r>
            <w:r w:rsidRPr="00AC7730">
              <w:rPr>
                <w:rFonts w:eastAsia="Arial" w:cs="Arial"/>
                <w:sz w:val="16"/>
                <w:szCs w:val="16"/>
                <w:highlight w:val="white"/>
              </w:rPr>
              <w:t>–</w:t>
            </w:r>
            <w:r w:rsidRPr="00AC7730">
              <w:rPr>
                <w:rFonts w:eastAsia="Arial" w:cs="Arial"/>
                <w:sz w:val="16"/>
                <w:szCs w:val="16"/>
              </w:rPr>
              <w:t>2014)</w:t>
            </w:r>
          </w:p>
        </w:tc>
        <w:tc>
          <w:tcPr>
            <w:tcW w:w="1155" w:type="dxa"/>
            <w:shd w:val="clear" w:color="auto" w:fill="FFFFFF"/>
          </w:tcPr>
          <w:p w14:paraId="72268C7E"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Zone CITT</w:t>
            </w:r>
          </w:p>
        </w:tc>
        <w:tc>
          <w:tcPr>
            <w:tcW w:w="1350" w:type="dxa"/>
            <w:shd w:val="clear" w:color="auto" w:fill="FFFFFF"/>
          </w:tcPr>
          <w:p w14:paraId="4BE8A673" w14:textId="77777777" w:rsidR="00E42EB4" w:rsidRPr="00300DAE" w:rsidRDefault="004C1ADE">
            <w:pPr>
              <w:spacing w:after="120"/>
              <w:rPr>
                <w:rFonts w:eastAsia="Arial" w:cs="Arial"/>
                <w:sz w:val="16"/>
                <w:szCs w:val="16"/>
                <w:lang w:val="es-ES"/>
              </w:rPr>
            </w:pPr>
            <w:r w:rsidRPr="00300DAE">
              <w:rPr>
                <w:rFonts w:eastAsia="Arial" w:cs="Arial"/>
                <w:sz w:val="16"/>
                <w:szCs w:val="16"/>
                <w:lang w:val="es-ES"/>
              </w:rPr>
              <w:t>Lezama-Ochoa et al., 2019b</w:t>
            </w:r>
          </w:p>
        </w:tc>
        <w:tc>
          <w:tcPr>
            <w:tcW w:w="3690" w:type="dxa"/>
            <w:shd w:val="clear" w:color="auto" w:fill="FFFFFF"/>
          </w:tcPr>
          <w:p w14:paraId="37465A2D"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Déclins calculés à partir des données présentées dans le tableau 1 de l’article.</w:t>
            </w:r>
          </w:p>
        </w:tc>
      </w:tr>
      <w:tr w:rsidR="00E42EB4" w:rsidRPr="00C971E7" w14:paraId="5B948022" w14:textId="77777777">
        <w:trPr>
          <w:trHeight w:val="595"/>
        </w:trPr>
        <w:tc>
          <w:tcPr>
            <w:tcW w:w="1110" w:type="dxa"/>
            <w:vMerge/>
          </w:tcPr>
          <w:p w14:paraId="55DE4BB4"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4C0B2423"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EFEFEF"/>
          </w:tcPr>
          <w:p w14:paraId="62763432" w14:textId="77777777" w:rsidR="00E42EB4" w:rsidRPr="00AC7730" w:rsidRDefault="004C1ADE">
            <w:pPr>
              <w:spacing w:after="120"/>
              <w:rPr>
                <w:rFonts w:eastAsia="Arial" w:cs="Arial"/>
                <w:b/>
                <w:sz w:val="16"/>
                <w:szCs w:val="16"/>
              </w:rPr>
            </w:pPr>
            <w:r w:rsidRPr="00AC7730">
              <w:rPr>
                <w:rFonts w:eastAsia="Arial" w:cs="Arial"/>
                <w:b/>
                <w:sz w:val="16"/>
                <w:szCs w:val="16"/>
              </w:rPr>
              <w:t>93 %</w:t>
            </w:r>
            <w:r w:rsidRPr="00AC7730">
              <w:rPr>
                <w:rFonts w:eastAsia="Arial" w:cs="Arial"/>
                <w:sz w:val="16"/>
                <w:szCs w:val="16"/>
              </w:rPr>
              <w:t xml:space="preserve">          (2003</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EFEFEF"/>
          </w:tcPr>
          <w:p w14:paraId="6BBD4810" w14:textId="77777777" w:rsidR="00E42EB4" w:rsidRPr="00AC7730" w:rsidRDefault="004C1ADE">
            <w:pPr>
              <w:spacing w:after="120"/>
              <w:rPr>
                <w:rFonts w:eastAsia="Arial" w:cs="Arial"/>
                <w:sz w:val="16"/>
                <w:szCs w:val="16"/>
              </w:rPr>
            </w:pPr>
            <w:r w:rsidRPr="00AC7730">
              <w:rPr>
                <w:rFonts w:eastAsia="Arial" w:cs="Arial"/>
                <w:sz w:val="16"/>
                <w:szCs w:val="16"/>
              </w:rPr>
              <w:t>Tofo, Mozambique</w:t>
            </w:r>
          </w:p>
        </w:tc>
        <w:tc>
          <w:tcPr>
            <w:tcW w:w="1350" w:type="dxa"/>
            <w:shd w:val="clear" w:color="auto" w:fill="EFEFEF"/>
          </w:tcPr>
          <w:p w14:paraId="57828F36"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Venables et al, 2024</w:t>
            </w:r>
          </w:p>
        </w:tc>
        <w:tc>
          <w:tcPr>
            <w:tcW w:w="3690" w:type="dxa"/>
            <w:shd w:val="clear" w:color="auto" w:fill="EFEFEF"/>
          </w:tcPr>
          <w:p w14:paraId="46BCFF21"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Modélisation des données d’observations à l’aide d’un modèle linéaire mixte hiérarchique.</w:t>
            </w:r>
          </w:p>
        </w:tc>
      </w:tr>
      <w:tr w:rsidR="00E42EB4" w:rsidRPr="00C971E7" w14:paraId="4475BA09" w14:textId="77777777">
        <w:trPr>
          <w:trHeight w:val="703"/>
        </w:trPr>
        <w:tc>
          <w:tcPr>
            <w:tcW w:w="1110" w:type="dxa"/>
            <w:vMerge/>
          </w:tcPr>
          <w:p w14:paraId="6B048ED0"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28E7A212"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59416494" w14:textId="77777777" w:rsidR="00E42EB4" w:rsidRPr="00AC7730" w:rsidRDefault="004C1ADE">
            <w:pPr>
              <w:spacing w:after="120"/>
              <w:rPr>
                <w:rFonts w:eastAsia="Arial" w:cs="Arial"/>
                <w:b/>
                <w:sz w:val="16"/>
                <w:szCs w:val="16"/>
                <w:lang w:val="fr-FR"/>
              </w:rPr>
            </w:pPr>
            <w:r w:rsidRPr="00AC7730">
              <w:rPr>
                <w:rFonts w:eastAsia="Arial" w:cs="Arial"/>
                <w:b/>
                <w:sz w:val="16"/>
                <w:szCs w:val="16"/>
                <w:lang w:val="fr-FR"/>
              </w:rPr>
              <w:t>83 %</w:t>
            </w:r>
            <w:r w:rsidRPr="00AC7730">
              <w:rPr>
                <w:rFonts w:eastAsia="Arial" w:cs="Arial"/>
                <w:sz w:val="16"/>
                <w:szCs w:val="16"/>
                <w:lang w:val="fr-FR"/>
              </w:rPr>
              <w:t xml:space="preserve">          (2013 et 2023)</w:t>
            </w:r>
          </w:p>
        </w:tc>
        <w:tc>
          <w:tcPr>
            <w:tcW w:w="1155" w:type="dxa"/>
            <w:shd w:val="clear" w:color="auto" w:fill="FFFFFF"/>
          </w:tcPr>
          <w:p w14:paraId="3CBC6C04" w14:textId="77777777" w:rsidR="00E42EB4" w:rsidRPr="00AC7730" w:rsidRDefault="004C1ADE">
            <w:pPr>
              <w:spacing w:after="120"/>
              <w:rPr>
                <w:rFonts w:eastAsia="Arial" w:cs="Arial"/>
                <w:sz w:val="16"/>
                <w:szCs w:val="16"/>
                <w:lang w:val="fr-FR"/>
              </w:rPr>
            </w:pPr>
            <w:proofErr w:type="spellStart"/>
            <w:r w:rsidRPr="00AC7730">
              <w:rPr>
                <w:rFonts w:eastAsia="Arial" w:cs="Arial"/>
                <w:sz w:val="16"/>
                <w:szCs w:val="16"/>
                <w:lang w:val="fr-FR"/>
              </w:rPr>
              <w:t>Threspuram</w:t>
            </w:r>
            <w:proofErr w:type="spellEnd"/>
            <w:r w:rsidRPr="00AC7730">
              <w:rPr>
                <w:rFonts w:eastAsia="Arial" w:cs="Arial"/>
                <w:sz w:val="16"/>
                <w:szCs w:val="16"/>
                <w:lang w:val="fr-FR"/>
              </w:rPr>
              <w:t>, Inde</w:t>
            </w:r>
          </w:p>
        </w:tc>
        <w:tc>
          <w:tcPr>
            <w:tcW w:w="1350" w:type="dxa"/>
            <w:shd w:val="clear" w:color="auto" w:fill="FFFFFF"/>
          </w:tcPr>
          <w:p w14:paraId="23889EA9"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Chopra et al., 2025 (en révision) </w:t>
            </w:r>
          </w:p>
        </w:tc>
        <w:tc>
          <w:tcPr>
            <w:tcW w:w="3690" w:type="dxa"/>
            <w:shd w:val="clear" w:color="auto" w:fill="FFFFFF"/>
          </w:tcPr>
          <w:p w14:paraId="4B3B7EA1"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Évolution des débarquements par navire enregistré entre 2013 et 2023, ajustée pour l’effort de pêche et la saisonnalité.</w:t>
            </w:r>
          </w:p>
        </w:tc>
      </w:tr>
      <w:tr w:rsidR="00E42EB4" w:rsidRPr="00C971E7" w14:paraId="30222C75" w14:textId="77777777">
        <w:trPr>
          <w:trHeight w:val="542"/>
        </w:trPr>
        <w:tc>
          <w:tcPr>
            <w:tcW w:w="1110" w:type="dxa"/>
            <w:vMerge w:val="restart"/>
          </w:tcPr>
          <w:p w14:paraId="736EB30C" w14:textId="77777777" w:rsidR="00E42EB4" w:rsidRPr="00300DAE" w:rsidRDefault="004C1ADE">
            <w:pPr>
              <w:spacing w:after="120"/>
              <w:rPr>
                <w:rFonts w:eastAsia="Arial" w:cs="Arial"/>
                <w:sz w:val="16"/>
                <w:szCs w:val="16"/>
                <w:lang w:val="fr-FR"/>
              </w:rPr>
            </w:pPr>
            <w:proofErr w:type="spellStart"/>
            <w:r w:rsidRPr="00300DAE">
              <w:rPr>
                <w:rFonts w:eastAsia="Arial" w:cs="Arial"/>
                <w:b/>
                <w:i/>
                <w:sz w:val="16"/>
                <w:szCs w:val="16"/>
                <w:lang w:val="fr-FR"/>
              </w:rPr>
              <w:t>Mobula</w:t>
            </w:r>
            <w:proofErr w:type="spellEnd"/>
            <w:r w:rsidRPr="00300DAE">
              <w:rPr>
                <w:rFonts w:eastAsia="Arial" w:cs="Arial"/>
                <w:b/>
                <w:i/>
                <w:sz w:val="16"/>
                <w:szCs w:val="16"/>
                <w:lang w:val="fr-FR"/>
              </w:rPr>
              <w:t xml:space="preserve"> </w:t>
            </w:r>
            <w:proofErr w:type="spellStart"/>
            <w:r w:rsidRPr="00300DAE">
              <w:rPr>
                <w:rFonts w:eastAsia="Arial" w:cs="Arial"/>
                <w:b/>
                <w:i/>
                <w:sz w:val="16"/>
                <w:szCs w:val="16"/>
                <w:lang w:val="fr-FR"/>
              </w:rPr>
              <w:t>alfredi</w:t>
            </w:r>
            <w:proofErr w:type="spellEnd"/>
            <w:r w:rsidRPr="00300DAE">
              <w:rPr>
                <w:rFonts w:eastAsia="Arial" w:cs="Arial"/>
                <w:b/>
                <w:i/>
                <w:sz w:val="16"/>
                <w:szCs w:val="16"/>
                <w:lang w:val="fr-FR"/>
              </w:rPr>
              <w:t xml:space="preserve">      </w:t>
            </w:r>
            <w:r w:rsidRPr="00300DAE">
              <w:rPr>
                <w:rFonts w:eastAsia="Arial" w:cs="Arial"/>
                <w:sz w:val="16"/>
                <w:szCs w:val="16"/>
                <w:lang w:val="fr-FR"/>
              </w:rPr>
              <w:t>(Kreft 1868)</w:t>
            </w:r>
          </w:p>
          <w:p w14:paraId="78D7D402"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VU</w:t>
            </w:r>
          </w:p>
        </w:tc>
        <w:tc>
          <w:tcPr>
            <w:tcW w:w="1185" w:type="dxa"/>
            <w:vMerge w:val="restart"/>
            <w:tcBorders>
              <w:bottom w:val="single" w:sz="4" w:space="0" w:color="000000"/>
            </w:tcBorders>
          </w:tcPr>
          <w:p w14:paraId="0AED4C49"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87 ans</w:t>
            </w:r>
          </w:p>
        </w:tc>
        <w:tc>
          <w:tcPr>
            <w:tcW w:w="1260" w:type="dxa"/>
            <w:shd w:val="clear" w:color="auto" w:fill="EFEFEF"/>
          </w:tcPr>
          <w:p w14:paraId="4C94543A" w14:textId="77777777" w:rsidR="00E42EB4" w:rsidRPr="00AC7730" w:rsidRDefault="004C1ADE">
            <w:pPr>
              <w:spacing w:after="120"/>
              <w:rPr>
                <w:rFonts w:eastAsia="Arial" w:cs="Arial"/>
                <w:b/>
                <w:sz w:val="16"/>
                <w:szCs w:val="16"/>
                <w:lang w:val="fr-FR"/>
              </w:rPr>
            </w:pPr>
            <w:r w:rsidRPr="00AC7730">
              <w:rPr>
                <w:rFonts w:eastAsia="Arial" w:cs="Arial"/>
                <w:b/>
                <w:sz w:val="16"/>
                <w:szCs w:val="16"/>
                <w:lang w:val="fr-FR"/>
              </w:rPr>
              <w:t>99 %</w:t>
            </w:r>
            <w:r w:rsidRPr="00AC7730">
              <w:rPr>
                <w:rFonts w:eastAsia="Arial" w:cs="Arial"/>
                <w:sz w:val="16"/>
                <w:szCs w:val="16"/>
                <w:lang w:val="fr-FR"/>
              </w:rPr>
              <w:t xml:space="preserve"> (2003</w:t>
            </w:r>
            <w:r w:rsidRPr="00AC7730">
              <w:rPr>
                <w:rFonts w:eastAsia="Arial" w:cs="Arial"/>
                <w:sz w:val="16"/>
                <w:szCs w:val="16"/>
                <w:highlight w:val="white"/>
                <w:lang w:val="fr-FR"/>
              </w:rPr>
              <w:t>-</w:t>
            </w:r>
            <w:r w:rsidRPr="00AC7730">
              <w:rPr>
                <w:rFonts w:eastAsia="Arial" w:cs="Arial"/>
                <w:sz w:val="16"/>
                <w:szCs w:val="16"/>
                <w:lang w:val="fr-FR"/>
              </w:rPr>
              <w:t>2023)</w:t>
            </w:r>
          </w:p>
        </w:tc>
        <w:tc>
          <w:tcPr>
            <w:tcW w:w="1155" w:type="dxa"/>
            <w:shd w:val="clear" w:color="auto" w:fill="EFEFEF"/>
          </w:tcPr>
          <w:p w14:paraId="71700863" w14:textId="77777777" w:rsidR="00E42EB4" w:rsidRPr="00AC7730" w:rsidRDefault="004C1ADE">
            <w:pPr>
              <w:spacing w:after="120"/>
              <w:rPr>
                <w:rFonts w:eastAsia="Arial" w:cs="Arial"/>
                <w:sz w:val="16"/>
                <w:szCs w:val="16"/>
              </w:rPr>
            </w:pPr>
            <w:r w:rsidRPr="00AC7730">
              <w:rPr>
                <w:rFonts w:eastAsia="Arial" w:cs="Arial"/>
                <w:sz w:val="16"/>
                <w:szCs w:val="16"/>
              </w:rPr>
              <w:t>Tofo, Mozambique</w:t>
            </w:r>
          </w:p>
        </w:tc>
        <w:tc>
          <w:tcPr>
            <w:tcW w:w="1350" w:type="dxa"/>
            <w:shd w:val="clear" w:color="auto" w:fill="EFEFEF"/>
          </w:tcPr>
          <w:p w14:paraId="71FEBD91"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Venables et al, 2024</w:t>
            </w:r>
          </w:p>
        </w:tc>
        <w:tc>
          <w:tcPr>
            <w:tcW w:w="3690" w:type="dxa"/>
            <w:shd w:val="clear" w:color="auto" w:fill="EFEFEF"/>
          </w:tcPr>
          <w:p w14:paraId="54BB4A67"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Modélisation des données d’observations à l’aide d’un modèle linéaire mixte hiérarchique. </w:t>
            </w:r>
          </w:p>
        </w:tc>
      </w:tr>
      <w:tr w:rsidR="00E42EB4" w:rsidRPr="00C971E7" w14:paraId="2A58507B" w14:textId="77777777">
        <w:trPr>
          <w:trHeight w:val="808"/>
        </w:trPr>
        <w:tc>
          <w:tcPr>
            <w:tcW w:w="1110" w:type="dxa"/>
            <w:vMerge/>
          </w:tcPr>
          <w:p w14:paraId="2A105295" w14:textId="77777777" w:rsidR="00E42EB4" w:rsidRPr="00AC7730" w:rsidRDefault="00E42EB4">
            <w:pPr>
              <w:rPr>
                <w:rFonts w:eastAsia="Arial" w:cs="Arial"/>
                <w:b/>
                <w:i/>
                <w:sz w:val="16"/>
                <w:szCs w:val="16"/>
                <w:lang w:val="fr-FR"/>
              </w:rPr>
            </w:pPr>
          </w:p>
        </w:tc>
        <w:tc>
          <w:tcPr>
            <w:tcW w:w="1185" w:type="dxa"/>
            <w:vMerge/>
            <w:tcBorders>
              <w:bottom w:val="single" w:sz="4" w:space="0" w:color="000000"/>
            </w:tcBorders>
          </w:tcPr>
          <w:p w14:paraId="4F3CDBF2" w14:textId="77777777" w:rsidR="00E42EB4" w:rsidRPr="00AC7730" w:rsidRDefault="00E42EB4">
            <w:pPr>
              <w:rPr>
                <w:rFonts w:eastAsia="Arial" w:cs="Arial"/>
                <w:sz w:val="16"/>
                <w:szCs w:val="16"/>
                <w:lang w:val="fr-FR"/>
              </w:rPr>
            </w:pPr>
          </w:p>
        </w:tc>
        <w:tc>
          <w:tcPr>
            <w:tcW w:w="1260" w:type="dxa"/>
          </w:tcPr>
          <w:p w14:paraId="6CCEA722"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Déclin significatif de la population (1981-2021)</w:t>
            </w:r>
          </w:p>
        </w:tc>
        <w:tc>
          <w:tcPr>
            <w:tcW w:w="1155" w:type="dxa"/>
          </w:tcPr>
          <w:p w14:paraId="4EEEA37C"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Province du KwaZulu-Natal, Afrique du Sud </w:t>
            </w:r>
          </w:p>
        </w:tc>
        <w:tc>
          <w:tcPr>
            <w:tcW w:w="1350" w:type="dxa"/>
          </w:tcPr>
          <w:p w14:paraId="3402A7AF" w14:textId="77777777" w:rsidR="00E42EB4" w:rsidRPr="00AC7730" w:rsidRDefault="004C1ADE">
            <w:pPr>
              <w:spacing w:after="120"/>
              <w:rPr>
                <w:rFonts w:eastAsia="Arial" w:cs="Arial"/>
                <w:sz w:val="16"/>
                <w:szCs w:val="16"/>
              </w:rPr>
            </w:pPr>
            <w:r w:rsidRPr="00AC7730">
              <w:rPr>
                <w:rFonts w:eastAsia="Arial" w:cs="Arial"/>
                <w:sz w:val="16"/>
                <w:szCs w:val="16"/>
              </w:rPr>
              <w:t>Carpenter et al. 2021</w:t>
            </w:r>
          </w:p>
        </w:tc>
        <w:tc>
          <w:tcPr>
            <w:tcW w:w="3690" w:type="dxa"/>
          </w:tcPr>
          <w:p w14:paraId="64E7C408"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Évaluation des tendances annuelles et saisonnières des taux de capture via GAM et probabilité de rencontre.</w:t>
            </w:r>
          </w:p>
        </w:tc>
      </w:tr>
      <w:tr w:rsidR="00E42EB4" w:rsidRPr="00C971E7" w14:paraId="25C82617" w14:textId="77777777">
        <w:trPr>
          <w:trHeight w:val="621"/>
        </w:trPr>
        <w:tc>
          <w:tcPr>
            <w:tcW w:w="1110" w:type="dxa"/>
            <w:vMerge w:val="restart"/>
          </w:tcPr>
          <w:p w14:paraId="191455E7" w14:textId="77777777" w:rsidR="00E42EB4" w:rsidRPr="00300DAE" w:rsidRDefault="004C1ADE">
            <w:pPr>
              <w:spacing w:after="120"/>
              <w:rPr>
                <w:rFonts w:eastAsia="Arial" w:cs="Arial"/>
                <w:sz w:val="16"/>
                <w:szCs w:val="16"/>
                <w:lang w:val="fr-FR"/>
              </w:rPr>
            </w:pPr>
            <w:proofErr w:type="spellStart"/>
            <w:r w:rsidRPr="00300DAE">
              <w:rPr>
                <w:rFonts w:eastAsia="Arial" w:cs="Arial"/>
                <w:b/>
                <w:i/>
                <w:sz w:val="16"/>
                <w:szCs w:val="16"/>
                <w:lang w:val="fr-FR"/>
              </w:rPr>
              <w:t>Mobula</w:t>
            </w:r>
            <w:proofErr w:type="spellEnd"/>
            <w:r w:rsidRPr="00300DAE">
              <w:rPr>
                <w:rFonts w:eastAsia="Arial" w:cs="Arial"/>
                <w:b/>
                <w:i/>
                <w:sz w:val="16"/>
                <w:szCs w:val="16"/>
                <w:lang w:val="fr-FR"/>
              </w:rPr>
              <w:t xml:space="preserve"> </w:t>
            </w:r>
            <w:proofErr w:type="spellStart"/>
            <w:r w:rsidRPr="00300DAE">
              <w:rPr>
                <w:rFonts w:eastAsia="Arial" w:cs="Arial"/>
                <w:b/>
                <w:i/>
                <w:sz w:val="16"/>
                <w:szCs w:val="16"/>
                <w:lang w:val="fr-FR"/>
              </w:rPr>
              <w:t>tarapacana</w:t>
            </w:r>
            <w:proofErr w:type="spellEnd"/>
            <w:r w:rsidRPr="00300DAE">
              <w:rPr>
                <w:rFonts w:eastAsia="Arial" w:cs="Arial"/>
                <w:i/>
                <w:sz w:val="16"/>
                <w:szCs w:val="16"/>
                <w:lang w:val="fr-FR"/>
              </w:rPr>
              <w:t xml:space="preserve"> </w:t>
            </w:r>
            <w:r w:rsidRPr="00300DAE">
              <w:rPr>
                <w:rFonts w:eastAsia="Arial" w:cs="Arial"/>
                <w:sz w:val="16"/>
                <w:szCs w:val="16"/>
                <w:lang w:val="fr-FR"/>
              </w:rPr>
              <w:t>(Philippi, 1892)</w:t>
            </w:r>
          </w:p>
          <w:p w14:paraId="3C3042E1"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tc>
        <w:tc>
          <w:tcPr>
            <w:tcW w:w="1185" w:type="dxa"/>
            <w:vMerge w:val="restart"/>
          </w:tcPr>
          <w:p w14:paraId="228281EA"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38 ans</w:t>
            </w:r>
          </w:p>
        </w:tc>
        <w:tc>
          <w:tcPr>
            <w:tcW w:w="1260" w:type="dxa"/>
            <w:shd w:val="clear" w:color="auto" w:fill="F2F2F2"/>
          </w:tcPr>
          <w:p w14:paraId="03BEAF20" w14:textId="77777777" w:rsidR="00E42EB4" w:rsidRPr="00AC7730" w:rsidRDefault="004C1ADE">
            <w:pPr>
              <w:spacing w:after="120"/>
              <w:rPr>
                <w:rFonts w:eastAsia="Arial" w:cs="Arial"/>
                <w:b/>
                <w:sz w:val="16"/>
                <w:szCs w:val="16"/>
              </w:rPr>
            </w:pPr>
            <w:r w:rsidRPr="00AC7730">
              <w:rPr>
                <w:rFonts w:eastAsia="Arial" w:cs="Arial"/>
                <w:b/>
                <w:sz w:val="16"/>
                <w:szCs w:val="16"/>
              </w:rPr>
              <w:t>99 %</w:t>
            </w:r>
            <w:r w:rsidRPr="00AC7730">
              <w:rPr>
                <w:rFonts w:eastAsia="Arial" w:cs="Arial"/>
                <w:sz w:val="16"/>
                <w:szCs w:val="16"/>
              </w:rPr>
              <w:t xml:space="preserve">         (2001</w:t>
            </w:r>
            <w:r w:rsidRPr="00AC7730">
              <w:rPr>
                <w:rFonts w:eastAsia="Arial" w:cs="Arial"/>
                <w:sz w:val="16"/>
                <w:szCs w:val="16"/>
                <w:highlight w:val="white"/>
              </w:rPr>
              <w:t>–</w:t>
            </w:r>
            <w:r w:rsidRPr="00AC7730">
              <w:rPr>
                <w:rFonts w:eastAsia="Arial" w:cs="Arial"/>
                <w:sz w:val="16"/>
                <w:szCs w:val="16"/>
              </w:rPr>
              <w:t>2014)</w:t>
            </w:r>
          </w:p>
        </w:tc>
        <w:tc>
          <w:tcPr>
            <w:tcW w:w="1155" w:type="dxa"/>
            <w:shd w:val="clear" w:color="auto" w:fill="F2F2F2"/>
          </w:tcPr>
          <w:p w14:paraId="45510C2E"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Tanjung Luar, Indonésie</w:t>
            </w:r>
          </w:p>
        </w:tc>
        <w:tc>
          <w:tcPr>
            <w:tcW w:w="1350" w:type="dxa"/>
            <w:shd w:val="clear" w:color="auto" w:fill="F2F2F2"/>
          </w:tcPr>
          <w:p w14:paraId="514D2B55"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Lewis et al, 2015</w:t>
            </w:r>
          </w:p>
        </w:tc>
        <w:tc>
          <w:tcPr>
            <w:tcW w:w="3690" w:type="dxa"/>
            <w:shd w:val="clear" w:color="auto" w:fill="F2F2F2"/>
          </w:tcPr>
          <w:p w14:paraId="188447EE"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Données sur les débarquements/captures.  D’autres sites étudiés ont également montré des déclins importants : </w:t>
            </w:r>
            <w:proofErr w:type="spellStart"/>
            <w:r w:rsidRPr="00AC7730">
              <w:rPr>
                <w:rFonts w:eastAsia="Arial" w:cs="Arial"/>
                <w:sz w:val="16"/>
                <w:szCs w:val="16"/>
                <w:lang w:val="fr-FR"/>
              </w:rPr>
              <w:t>Lakamera</w:t>
            </w:r>
            <w:proofErr w:type="spellEnd"/>
            <w:r w:rsidRPr="00AC7730">
              <w:rPr>
                <w:rFonts w:eastAsia="Arial" w:cs="Arial"/>
                <w:sz w:val="16"/>
                <w:szCs w:val="16"/>
                <w:lang w:val="fr-FR"/>
              </w:rPr>
              <w:t xml:space="preserve"> (75 %) ; Cilacap (77 %). </w:t>
            </w:r>
          </w:p>
        </w:tc>
      </w:tr>
      <w:tr w:rsidR="00E42EB4" w:rsidRPr="00C971E7" w14:paraId="69F057E7" w14:textId="77777777">
        <w:trPr>
          <w:trHeight w:val="510"/>
        </w:trPr>
        <w:tc>
          <w:tcPr>
            <w:tcW w:w="1110" w:type="dxa"/>
            <w:vMerge/>
          </w:tcPr>
          <w:p w14:paraId="0A6A15C7"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22D22978"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tcPr>
          <w:p w14:paraId="738DA094" w14:textId="77777777" w:rsidR="00E42EB4" w:rsidRPr="00AC7730" w:rsidRDefault="004C1ADE">
            <w:pPr>
              <w:spacing w:after="120"/>
              <w:rPr>
                <w:rFonts w:eastAsia="Arial" w:cs="Arial"/>
                <w:b/>
                <w:sz w:val="16"/>
                <w:szCs w:val="16"/>
                <w:lang w:val="fr-FR"/>
              </w:rPr>
            </w:pPr>
            <w:r w:rsidRPr="00AC7730">
              <w:rPr>
                <w:rFonts w:eastAsia="Arial" w:cs="Arial"/>
                <w:b/>
                <w:sz w:val="16"/>
                <w:szCs w:val="16"/>
                <w:lang w:val="fr-FR"/>
              </w:rPr>
              <w:t xml:space="preserve">87 %          </w:t>
            </w:r>
            <w:r w:rsidRPr="00AC7730">
              <w:rPr>
                <w:rFonts w:eastAsia="Arial" w:cs="Arial"/>
                <w:sz w:val="16"/>
                <w:szCs w:val="16"/>
                <w:lang w:val="fr-FR"/>
              </w:rPr>
              <w:t>(2013</w:t>
            </w:r>
            <w:r w:rsidRPr="00AC7730">
              <w:rPr>
                <w:rFonts w:eastAsia="Arial" w:cs="Arial"/>
                <w:sz w:val="16"/>
                <w:szCs w:val="16"/>
                <w:highlight w:val="white"/>
                <w:lang w:val="fr-FR"/>
              </w:rPr>
              <w:t>–</w:t>
            </w:r>
            <w:r w:rsidRPr="00AC7730">
              <w:rPr>
                <w:rFonts w:eastAsia="Arial" w:cs="Arial"/>
                <w:sz w:val="16"/>
                <w:szCs w:val="16"/>
                <w:lang w:val="fr-FR"/>
              </w:rPr>
              <w:t>2015</w:t>
            </w:r>
            <w:r w:rsidRPr="00AC7730">
              <w:rPr>
                <w:rFonts w:eastAsia="Arial" w:cs="Arial"/>
                <w:b/>
                <w:sz w:val="16"/>
                <w:szCs w:val="16"/>
                <w:lang w:val="fr-FR"/>
              </w:rPr>
              <w:t xml:space="preserve"> </w:t>
            </w:r>
            <w:r w:rsidRPr="00AC7730">
              <w:rPr>
                <w:rFonts w:eastAsia="Arial" w:cs="Arial"/>
                <w:sz w:val="16"/>
                <w:szCs w:val="16"/>
                <w:lang w:val="fr-FR"/>
              </w:rPr>
              <w:t>et 2016</w:t>
            </w:r>
            <w:r w:rsidRPr="00AC7730">
              <w:rPr>
                <w:rFonts w:eastAsia="Arial" w:cs="Arial"/>
                <w:sz w:val="16"/>
                <w:szCs w:val="16"/>
                <w:highlight w:val="white"/>
                <w:lang w:val="fr-FR"/>
              </w:rPr>
              <w:t>–</w:t>
            </w:r>
            <w:r w:rsidRPr="00AC7730">
              <w:rPr>
                <w:rFonts w:eastAsia="Arial" w:cs="Arial"/>
                <w:sz w:val="16"/>
                <w:szCs w:val="16"/>
                <w:lang w:val="fr-FR"/>
              </w:rPr>
              <w:t>2018)</w:t>
            </w:r>
          </w:p>
        </w:tc>
        <w:tc>
          <w:tcPr>
            <w:tcW w:w="1155" w:type="dxa"/>
          </w:tcPr>
          <w:p w14:paraId="1B56529E" w14:textId="77777777" w:rsidR="00E42EB4" w:rsidRPr="00AC7730" w:rsidRDefault="004C1ADE">
            <w:pPr>
              <w:spacing w:after="120"/>
              <w:rPr>
                <w:rFonts w:eastAsia="Arial" w:cs="Arial"/>
                <w:sz w:val="16"/>
                <w:szCs w:val="16"/>
              </w:rPr>
            </w:pPr>
            <w:r w:rsidRPr="00AC7730">
              <w:rPr>
                <w:rFonts w:eastAsia="Arial" w:cs="Arial"/>
                <w:sz w:val="16"/>
                <w:szCs w:val="16"/>
              </w:rPr>
              <w:t>Pakistan</w:t>
            </w:r>
          </w:p>
        </w:tc>
        <w:tc>
          <w:tcPr>
            <w:tcW w:w="1350" w:type="dxa"/>
          </w:tcPr>
          <w:p w14:paraId="59AC2CD2" w14:textId="77777777" w:rsidR="00E42EB4" w:rsidRPr="00AC7730" w:rsidRDefault="004C1ADE">
            <w:pPr>
              <w:spacing w:after="120"/>
              <w:rPr>
                <w:rFonts w:eastAsia="Arial" w:cs="Arial"/>
                <w:sz w:val="16"/>
                <w:szCs w:val="16"/>
              </w:rPr>
            </w:pPr>
            <w:r w:rsidRPr="00AC7730">
              <w:rPr>
                <w:rFonts w:eastAsia="Arial" w:cs="Arial"/>
                <w:sz w:val="16"/>
                <w:szCs w:val="16"/>
              </w:rPr>
              <w:t>Moazzam, 2018</w:t>
            </w:r>
          </w:p>
        </w:tc>
        <w:tc>
          <w:tcPr>
            <w:tcW w:w="3690" w:type="dxa"/>
          </w:tcPr>
          <w:p w14:paraId="3D4061AF"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Les déclins ont été calculés sur la base de deux périodes d’enquête durant la période d’étude, à partir des données présentées dans la figure 5 du rapport de la Commission des thons de l'Océan Indien (CTOI). </w:t>
            </w:r>
          </w:p>
        </w:tc>
      </w:tr>
      <w:tr w:rsidR="00E42EB4" w:rsidRPr="00C971E7" w14:paraId="3497086A" w14:textId="77777777">
        <w:trPr>
          <w:trHeight w:val="510"/>
        </w:trPr>
        <w:tc>
          <w:tcPr>
            <w:tcW w:w="1110" w:type="dxa"/>
            <w:vMerge/>
          </w:tcPr>
          <w:p w14:paraId="4469373F"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13794F2B"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2FDEF1F3" w14:textId="77777777" w:rsidR="00E42EB4" w:rsidRPr="00AC7730" w:rsidRDefault="004C1ADE">
            <w:pPr>
              <w:spacing w:after="120"/>
              <w:rPr>
                <w:rFonts w:eastAsia="Arial" w:cs="Arial"/>
                <w:b/>
                <w:sz w:val="16"/>
                <w:szCs w:val="16"/>
              </w:rPr>
            </w:pPr>
            <w:r w:rsidRPr="00AC7730">
              <w:rPr>
                <w:rFonts w:eastAsia="Arial" w:cs="Arial"/>
                <w:b/>
                <w:sz w:val="16"/>
                <w:szCs w:val="16"/>
              </w:rPr>
              <w:t>90 %</w:t>
            </w:r>
            <w:r w:rsidRPr="00AC7730">
              <w:rPr>
                <w:rFonts w:eastAsia="Arial" w:cs="Arial"/>
                <w:sz w:val="16"/>
                <w:szCs w:val="16"/>
              </w:rPr>
              <w:t xml:space="preserve">         (2008</w:t>
            </w:r>
            <w:r w:rsidRPr="00AC7730">
              <w:rPr>
                <w:rFonts w:eastAsia="Arial" w:cs="Arial"/>
                <w:sz w:val="16"/>
                <w:szCs w:val="16"/>
                <w:highlight w:val="white"/>
              </w:rPr>
              <w:t>–</w:t>
            </w:r>
            <w:r w:rsidRPr="00AC7730">
              <w:rPr>
                <w:rFonts w:eastAsia="Arial" w:cs="Arial"/>
                <w:sz w:val="16"/>
                <w:szCs w:val="16"/>
              </w:rPr>
              <w:t>2014)</w:t>
            </w:r>
          </w:p>
        </w:tc>
        <w:tc>
          <w:tcPr>
            <w:tcW w:w="1155" w:type="dxa"/>
            <w:shd w:val="clear" w:color="auto" w:fill="F2F2F2"/>
          </w:tcPr>
          <w:p w14:paraId="16F4BC24"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Zone CITT</w:t>
            </w:r>
          </w:p>
        </w:tc>
        <w:tc>
          <w:tcPr>
            <w:tcW w:w="1350" w:type="dxa"/>
            <w:shd w:val="clear" w:color="auto" w:fill="F2F2F2"/>
          </w:tcPr>
          <w:p w14:paraId="45E261C8" w14:textId="77777777" w:rsidR="00E42EB4" w:rsidRPr="00300DAE" w:rsidRDefault="004C1ADE">
            <w:pPr>
              <w:spacing w:after="120"/>
              <w:rPr>
                <w:rFonts w:eastAsia="Arial" w:cs="Arial"/>
                <w:sz w:val="16"/>
                <w:szCs w:val="16"/>
                <w:lang w:val="es-ES"/>
              </w:rPr>
            </w:pPr>
            <w:r w:rsidRPr="00300DAE">
              <w:rPr>
                <w:rFonts w:eastAsia="Arial" w:cs="Arial"/>
                <w:sz w:val="16"/>
                <w:szCs w:val="16"/>
                <w:lang w:val="es-ES"/>
              </w:rPr>
              <w:t>Lezama-Ochoa et al., 2019b</w:t>
            </w:r>
          </w:p>
        </w:tc>
        <w:tc>
          <w:tcPr>
            <w:tcW w:w="3690" w:type="dxa"/>
            <w:shd w:val="clear" w:color="auto" w:fill="F2F2F2"/>
          </w:tcPr>
          <w:p w14:paraId="18CE120C"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Déclins calculés à partir des données du tableau 1 de l’article </w:t>
            </w:r>
          </w:p>
        </w:tc>
      </w:tr>
      <w:tr w:rsidR="00E42EB4" w:rsidRPr="00C971E7" w14:paraId="687F809F" w14:textId="77777777">
        <w:trPr>
          <w:trHeight w:val="566"/>
        </w:trPr>
        <w:tc>
          <w:tcPr>
            <w:tcW w:w="1110" w:type="dxa"/>
            <w:vMerge/>
          </w:tcPr>
          <w:p w14:paraId="212A8AE0"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781E67F9"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tcPr>
          <w:p w14:paraId="4187A8ED" w14:textId="77777777" w:rsidR="00E42EB4" w:rsidRPr="00AC7730" w:rsidRDefault="004C1ADE">
            <w:pPr>
              <w:spacing w:after="120"/>
              <w:rPr>
                <w:rFonts w:eastAsia="Arial" w:cs="Arial"/>
                <w:b/>
                <w:sz w:val="16"/>
                <w:szCs w:val="16"/>
                <w:lang w:val="fr-FR"/>
              </w:rPr>
            </w:pPr>
            <w:r w:rsidRPr="00AC7730">
              <w:rPr>
                <w:rFonts w:eastAsia="Arial" w:cs="Arial"/>
                <w:b/>
                <w:sz w:val="16"/>
                <w:szCs w:val="16"/>
                <w:lang w:val="fr-FR"/>
              </w:rPr>
              <w:t xml:space="preserve">92 % </w:t>
            </w:r>
            <w:r w:rsidRPr="00AC7730">
              <w:rPr>
                <w:rFonts w:eastAsia="Arial" w:cs="Arial"/>
                <w:sz w:val="16"/>
                <w:szCs w:val="16"/>
                <w:lang w:val="fr-FR"/>
              </w:rPr>
              <w:t>(2013 et 2023)</w:t>
            </w:r>
          </w:p>
        </w:tc>
        <w:tc>
          <w:tcPr>
            <w:tcW w:w="1155" w:type="dxa"/>
          </w:tcPr>
          <w:p w14:paraId="0C68747A" w14:textId="77777777" w:rsidR="00E42EB4" w:rsidRPr="00AC7730" w:rsidRDefault="004C1ADE">
            <w:pPr>
              <w:spacing w:after="120"/>
              <w:rPr>
                <w:rFonts w:eastAsia="Arial" w:cs="Arial"/>
                <w:sz w:val="16"/>
                <w:szCs w:val="16"/>
                <w:lang w:val="fr-FR"/>
              </w:rPr>
            </w:pPr>
            <w:proofErr w:type="spellStart"/>
            <w:r w:rsidRPr="00AC7730">
              <w:rPr>
                <w:rFonts w:eastAsia="Arial" w:cs="Arial"/>
                <w:sz w:val="16"/>
                <w:szCs w:val="16"/>
                <w:lang w:val="fr-FR"/>
              </w:rPr>
              <w:t>Threspuram</w:t>
            </w:r>
            <w:proofErr w:type="spellEnd"/>
            <w:r w:rsidRPr="00AC7730">
              <w:rPr>
                <w:rFonts w:eastAsia="Arial" w:cs="Arial"/>
                <w:sz w:val="16"/>
                <w:szCs w:val="16"/>
                <w:lang w:val="fr-FR"/>
              </w:rPr>
              <w:t>, Inde</w:t>
            </w:r>
          </w:p>
        </w:tc>
        <w:tc>
          <w:tcPr>
            <w:tcW w:w="1350" w:type="dxa"/>
          </w:tcPr>
          <w:p w14:paraId="1E4920C6"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Chopra et al., 2025 (en révision) </w:t>
            </w:r>
          </w:p>
        </w:tc>
        <w:tc>
          <w:tcPr>
            <w:tcW w:w="3690" w:type="dxa"/>
          </w:tcPr>
          <w:p w14:paraId="767B0519"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Évolution des débarquements par navire enregistré entre 2012 et 2023, ajustée pour l'effort de pêche et la saisonnalité.</w:t>
            </w:r>
          </w:p>
        </w:tc>
      </w:tr>
      <w:tr w:rsidR="00E42EB4" w:rsidRPr="00C971E7" w14:paraId="0B775E40" w14:textId="77777777">
        <w:trPr>
          <w:trHeight w:val="510"/>
        </w:trPr>
        <w:tc>
          <w:tcPr>
            <w:tcW w:w="1110" w:type="dxa"/>
            <w:vMerge w:val="restart"/>
          </w:tcPr>
          <w:p w14:paraId="7E764D5E" w14:textId="77777777" w:rsidR="00E42EB4" w:rsidRPr="00AC7730" w:rsidRDefault="004C1ADE">
            <w:pPr>
              <w:spacing w:after="120"/>
              <w:rPr>
                <w:rFonts w:eastAsia="Arial" w:cs="Arial"/>
                <w:sz w:val="16"/>
                <w:szCs w:val="16"/>
                <w:lang w:val="fr-FR"/>
              </w:rPr>
            </w:pPr>
            <w:proofErr w:type="spellStart"/>
            <w:r w:rsidRPr="00AC7730">
              <w:rPr>
                <w:rFonts w:eastAsia="Arial" w:cs="Arial"/>
                <w:b/>
                <w:i/>
                <w:sz w:val="16"/>
                <w:szCs w:val="16"/>
                <w:lang w:val="fr-FR"/>
              </w:rPr>
              <w:t>Mobula</w:t>
            </w:r>
            <w:proofErr w:type="spellEnd"/>
            <w:r w:rsidRPr="00AC7730">
              <w:rPr>
                <w:rFonts w:eastAsia="Arial" w:cs="Arial"/>
                <w:b/>
                <w:i/>
                <w:sz w:val="16"/>
                <w:szCs w:val="16"/>
                <w:lang w:val="fr-FR"/>
              </w:rPr>
              <w:t xml:space="preserve"> mobular </w:t>
            </w:r>
            <w:r w:rsidRPr="00AC7730">
              <w:rPr>
                <w:rFonts w:eastAsia="Arial" w:cs="Arial"/>
                <w:sz w:val="16"/>
                <w:szCs w:val="16"/>
                <w:lang w:val="fr-FR"/>
              </w:rPr>
              <w:t>(Bonnaterre, 1788)</w:t>
            </w:r>
          </w:p>
          <w:p w14:paraId="1B8307C9"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tc>
        <w:tc>
          <w:tcPr>
            <w:tcW w:w="1185" w:type="dxa"/>
            <w:vMerge w:val="restart"/>
          </w:tcPr>
          <w:p w14:paraId="0CCE6E95"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38 ans</w:t>
            </w:r>
          </w:p>
        </w:tc>
        <w:tc>
          <w:tcPr>
            <w:tcW w:w="1260" w:type="dxa"/>
            <w:shd w:val="clear" w:color="auto" w:fill="F2F2F2"/>
          </w:tcPr>
          <w:p w14:paraId="66750552" w14:textId="77777777" w:rsidR="00E42EB4" w:rsidRPr="00AC7730" w:rsidRDefault="004C1ADE">
            <w:pPr>
              <w:spacing w:after="120"/>
              <w:rPr>
                <w:rFonts w:eastAsia="Arial" w:cs="Arial"/>
                <w:sz w:val="16"/>
                <w:szCs w:val="16"/>
                <w:lang w:val="fr-FR"/>
              </w:rPr>
            </w:pPr>
            <w:r w:rsidRPr="00AC7730">
              <w:rPr>
                <w:rFonts w:eastAsia="Arial" w:cs="Arial"/>
                <w:b/>
                <w:sz w:val="16"/>
                <w:szCs w:val="16"/>
                <w:lang w:val="fr-FR"/>
              </w:rPr>
              <w:t>98 %</w:t>
            </w:r>
            <w:r w:rsidRPr="00AC7730">
              <w:rPr>
                <w:rFonts w:eastAsia="Arial" w:cs="Arial"/>
                <w:sz w:val="16"/>
                <w:szCs w:val="16"/>
                <w:lang w:val="fr-FR"/>
              </w:rPr>
              <w:t xml:space="preserve">         </w:t>
            </w:r>
            <w:r w:rsidRPr="00AC7730">
              <w:rPr>
                <w:rFonts w:eastAsia="Arial" w:cs="Arial"/>
                <w:sz w:val="14"/>
                <w:szCs w:val="14"/>
                <w:lang w:val="fr-FR"/>
              </w:rPr>
              <w:t>(2013-2015 et 2016–2018)</w:t>
            </w:r>
          </w:p>
        </w:tc>
        <w:tc>
          <w:tcPr>
            <w:tcW w:w="1155" w:type="dxa"/>
            <w:shd w:val="clear" w:color="auto" w:fill="F2F2F2"/>
          </w:tcPr>
          <w:p w14:paraId="325A07A9" w14:textId="77777777" w:rsidR="00E42EB4" w:rsidRPr="00AC7730" w:rsidRDefault="004C1ADE">
            <w:pPr>
              <w:spacing w:after="120"/>
              <w:rPr>
                <w:rFonts w:eastAsia="Arial" w:cs="Arial"/>
                <w:sz w:val="16"/>
                <w:szCs w:val="16"/>
              </w:rPr>
            </w:pPr>
            <w:r w:rsidRPr="00AC7730">
              <w:rPr>
                <w:rFonts w:eastAsia="Arial" w:cs="Arial"/>
                <w:sz w:val="16"/>
                <w:szCs w:val="16"/>
              </w:rPr>
              <w:t>Pakistan</w:t>
            </w:r>
          </w:p>
        </w:tc>
        <w:tc>
          <w:tcPr>
            <w:tcW w:w="1350" w:type="dxa"/>
            <w:shd w:val="clear" w:color="auto" w:fill="F2F2F2"/>
          </w:tcPr>
          <w:p w14:paraId="42E4B550" w14:textId="77777777" w:rsidR="00E42EB4" w:rsidRPr="00AC7730" w:rsidRDefault="004C1ADE">
            <w:pPr>
              <w:spacing w:after="120"/>
              <w:rPr>
                <w:rFonts w:eastAsia="Arial" w:cs="Arial"/>
                <w:sz w:val="16"/>
                <w:szCs w:val="16"/>
              </w:rPr>
            </w:pPr>
            <w:r w:rsidRPr="00AC7730">
              <w:rPr>
                <w:rFonts w:eastAsia="Arial" w:cs="Arial"/>
                <w:sz w:val="16"/>
                <w:szCs w:val="16"/>
              </w:rPr>
              <w:t>Moazzam, 2018</w:t>
            </w:r>
          </w:p>
        </w:tc>
        <w:tc>
          <w:tcPr>
            <w:tcW w:w="3690" w:type="dxa"/>
            <w:shd w:val="clear" w:color="auto" w:fill="F2F2F2"/>
          </w:tcPr>
          <w:p w14:paraId="5B0C8C83"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Déclins calculés à partir des données présentées à la figure 3 du rapport. </w:t>
            </w:r>
          </w:p>
        </w:tc>
      </w:tr>
      <w:tr w:rsidR="00E42EB4" w:rsidRPr="00C971E7" w14:paraId="2247C36F" w14:textId="77777777">
        <w:trPr>
          <w:trHeight w:val="902"/>
        </w:trPr>
        <w:tc>
          <w:tcPr>
            <w:tcW w:w="1110" w:type="dxa"/>
            <w:vMerge/>
          </w:tcPr>
          <w:p w14:paraId="7D677CDC"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062E0C4C"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tcPr>
          <w:p w14:paraId="2F9A6334" w14:textId="77777777" w:rsidR="00E42EB4" w:rsidRPr="00AC7730" w:rsidRDefault="004C1ADE">
            <w:pPr>
              <w:spacing w:after="120"/>
              <w:rPr>
                <w:rFonts w:eastAsia="Arial" w:cs="Arial"/>
                <w:b/>
                <w:sz w:val="16"/>
                <w:szCs w:val="16"/>
              </w:rPr>
            </w:pPr>
            <w:r w:rsidRPr="00AC7730">
              <w:rPr>
                <w:rFonts w:eastAsia="Arial" w:cs="Arial"/>
                <w:b/>
                <w:sz w:val="16"/>
                <w:szCs w:val="16"/>
              </w:rPr>
              <w:t>93 %</w:t>
            </w:r>
            <w:r w:rsidRPr="00AC7730">
              <w:rPr>
                <w:rFonts w:eastAsia="Arial" w:cs="Arial"/>
                <w:sz w:val="16"/>
                <w:szCs w:val="16"/>
              </w:rPr>
              <w:t xml:space="preserve">         (2015</w:t>
            </w:r>
            <w:r w:rsidRPr="00AC7730">
              <w:rPr>
                <w:rFonts w:eastAsia="Arial" w:cs="Arial"/>
                <w:sz w:val="16"/>
                <w:szCs w:val="16"/>
                <w:highlight w:val="white"/>
              </w:rPr>
              <w:t>–</w:t>
            </w:r>
            <w:r w:rsidRPr="00AC7730">
              <w:rPr>
                <w:rFonts w:eastAsia="Arial" w:cs="Arial"/>
                <w:sz w:val="16"/>
                <w:szCs w:val="16"/>
              </w:rPr>
              <w:t>2023)</w:t>
            </w:r>
          </w:p>
        </w:tc>
        <w:tc>
          <w:tcPr>
            <w:tcW w:w="1155" w:type="dxa"/>
          </w:tcPr>
          <w:p w14:paraId="50DC8015"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Est de Java, Indonésie</w:t>
            </w:r>
          </w:p>
        </w:tc>
        <w:tc>
          <w:tcPr>
            <w:tcW w:w="1350" w:type="dxa"/>
          </w:tcPr>
          <w:p w14:paraId="362A7654" w14:textId="77777777" w:rsidR="00E42EB4" w:rsidRPr="00AC7730" w:rsidRDefault="004C1ADE">
            <w:pPr>
              <w:spacing w:after="120"/>
              <w:rPr>
                <w:rFonts w:eastAsia="Arial" w:cs="Arial"/>
                <w:sz w:val="16"/>
                <w:szCs w:val="16"/>
                <w:lang w:val="fr-FR"/>
              </w:rPr>
            </w:pPr>
            <w:proofErr w:type="spellStart"/>
            <w:r w:rsidRPr="00AC7730">
              <w:rPr>
                <w:rFonts w:eastAsia="Arial" w:cs="Arial"/>
                <w:sz w:val="16"/>
                <w:szCs w:val="16"/>
                <w:lang w:val="fr-FR"/>
              </w:rPr>
              <w:t>Laglbauer</w:t>
            </w:r>
            <w:proofErr w:type="spellEnd"/>
            <w:r w:rsidRPr="00AC7730">
              <w:rPr>
                <w:rFonts w:eastAsia="Arial" w:cs="Arial"/>
                <w:sz w:val="16"/>
                <w:szCs w:val="16"/>
                <w:lang w:val="fr-FR"/>
              </w:rPr>
              <w:t xml:space="preserve"> et al., 2025 (à paraître)</w:t>
            </w:r>
          </w:p>
        </w:tc>
        <w:tc>
          <w:tcPr>
            <w:tcW w:w="3690" w:type="dxa"/>
          </w:tcPr>
          <w:p w14:paraId="160A400C"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Déclin calculé à partir des données de débarquements.  Cette estimation du déclin reste valable lorsque les débarquements sont standardisés par le nombre de navires enregistrés par an.</w:t>
            </w:r>
          </w:p>
        </w:tc>
      </w:tr>
      <w:tr w:rsidR="00E42EB4" w:rsidRPr="00C971E7" w14:paraId="11F66046" w14:textId="77777777">
        <w:trPr>
          <w:trHeight w:val="504"/>
        </w:trPr>
        <w:tc>
          <w:tcPr>
            <w:tcW w:w="1110" w:type="dxa"/>
            <w:vMerge/>
          </w:tcPr>
          <w:p w14:paraId="36214035"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34A904A6"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53243483" w14:textId="77777777" w:rsidR="00E42EB4" w:rsidRPr="00AC7730" w:rsidRDefault="004C1ADE">
            <w:pPr>
              <w:spacing w:after="120"/>
              <w:rPr>
                <w:rFonts w:eastAsia="Arial" w:cs="Arial"/>
                <w:b/>
                <w:sz w:val="16"/>
                <w:szCs w:val="16"/>
              </w:rPr>
            </w:pPr>
            <w:r w:rsidRPr="00AC7730">
              <w:rPr>
                <w:rFonts w:eastAsia="Arial" w:cs="Arial"/>
                <w:b/>
                <w:sz w:val="16"/>
                <w:szCs w:val="16"/>
              </w:rPr>
              <w:t xml:space="preserve">89 %         </w:t>
            </w:r>
            <w:r w:rsidRPr="00AC7730">
              <w:rPr>
                <w:rFonts w:eastAsia="Arial" w:cs="Arial"/>
                <w:sz w:val="16"/>
                <w:szCs w:val="16"/>
              </w:rPr>
              <w:t xml:space="preserve"> (2015</w:t>
            </w:r>
            <w:r w:rsidRPr="00AC7730">
              <w:rPr>
                <w:rFonts w:eastAsia="Arial" w:cs="Arial"/>
                <w:sz w:val="16"/>
                <w:szCs w:val="16"/>
                <w:highlight w:val="white"/>
              </w:rPr>
              <w:t>–</w:t>
            </w:r>
            <w:r w:rsidRPr="00AC7730">
              <w:rPr>
                <w:rFonts w:eastAsia="Arial" w:cs="Arial"/>
                <w:sz w:val="16"/>
                <w:szCs w:val="16"/>
              </w:rPr>
              <w:t>2022)</w:t>
            </w:r>
          </w:p>
        </w:tc>
        <w:tc>
          <w:tcPr>
            <w:tcW w:w="1155" w:type="dxa"/>
            <w:shd w:val="clear" w:color="auto" w:fill="F2F2F2"/>
          </w:tcPr>
          <w:p w14:paraId="2EFF681F" w14:textId="77777777" w:rsidR="00E42EB4" w:rsidRPr="00AC7730" w:rsidRDefault="004C1ADE">
            <w:pPr>
              <w:spacing w:after="120"/>
              <w:rPr>
                <w:rFonts w:eastAsia="Arial" w:cs="Arial"/>
                <w:sz w:val="16"/>
                <w:szCs w:val="16"/>
              </w:rPr>
            </w:pPr>
            <w:r w:rsidRPr="00AC7730">
              <w:rPr>
                <w:rFonts w:eastAsia="Arial" w:cs="Arial"/>
                <w:sz w:val="16"/>
                <w:szCs w:val="16"/>
              </w:rPr>
              <w:t>Sri Lanka</w:t>
            </w:r>
          </w:p>
        </w:tc>
        <w:tc>
          <w:tcPr>
            <w:tcW w:w="1350" w:type="dxa"/>
            <w:shd w:val="clear" w:color="auto" w:fill="F2F2F2"/>
          </w:tcPr>
          <w:p w14:paraId="174A41A2" w14:textId="77777777" w:rsidR="00E42EB4" w:rsidRPr="00AC7730" w:rsidRDefault="004C1ADE">
            <w:pPr>
              <w:spacing w:after="120"/>
              <w:rPr>
                <w:rFonts w:eastAsia="Arial" w:cs="Arial"/>
                <w:sz w:val="15"/>
                <w:szCs w:val="15"/>
                <w:lang w:val="fr-FR"/>
              </w:rPr>
            </w:pPr>
            <w:r w:rsidRPr="00AC7730">
              <w:rPr>
                <w:rFonts w:eastAsia="Arial" w:cs="Arial"/>
                <w:sz w:val="15"/>
                <w:szCs w:val="15"/>
                <w:lang w:val="fr-FR"/>
              </w:rPr>
              <w:t xml:space="preserve">Blue </w:t>
            </w:r>
            <w:proofErr w:type="spellStart"/>
            <w:r w:rsidRPr="00AC7730">
              <w:rPr>
                <w:rFonts w:eastAsia="Arial" w:cs="Arial"/>
                <w:sz w:val="15"/>
                <w:szCs w:val="15"/>
                <w:lang w:val="fr-FR"/>
              </w:rPr>
              <w:t>Resources</w:t>
            </w:r>
            <w:proofErr w:type="spellEnd"/>
            <w:r w:rsidRPr="00AC7730">
              <w:rPr>
                <w:rFonts w:eastAsia="Arial" w:cs="Arial"/>
                <w:sz w:val="15"/>
                <w:szCs w:val="15"/>
                <w:lang w:val="fr-FR"/>
              </w:rPr>
              <w:t xml:space="preserve"> Trust (données non publiées)</w:t>
            </w:r>
          </w:p>
        </w:tc>
        <w:tc>
          <w:tcPr>
            <w:tcW w:w="3690" w:type="dxa"/>
            <w:shd w:val="clear" w:color="auto" w:fill="F2F2F2"/>
          </w:tcPr>
          <w:p w14:paraId="16C4AB90"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Données sur les débarquements issues d'enquêtes fréquentes ou régulières. Pourcentage de déclin basé sur une tendance sur 7 ans (régression linéaire, interpolée). </w:t>
            </w:r>
          </w:p>
        </w:tc>
      </w:tr>
      <w:tr w:rsidR="00E42EB4" w:rsidRPr="00C971E7" w14:paraId="57FC2A2C" w14:textId="77777777">
        <w:trPr>
          <w:trHeight w:val="447"/>
        </w:trPr>
        <w:tc>
          <w:tcPr>
            <w:tcW w:w="1110" w:type="dxa"/>
            <w:vMerge/>
          </w:tcPr>
          <w:p w14:paraId="33D8104F"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02F666FE"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41D9CBE8" w14:textId="77777777" w:rsidR="00E42EB4" w:rsidRPr="00AC7730" w:rsidRDefault="004C1ADE">
            <w:pPr>
              <w:rPr>
                <w:rFonts w:eastAsia="Arial" w:cs="Arial"/>
                <w:sz w:val="16"/>
                <w:szCs w:val="16"/>
              </w:rPr>
            </w:pPr>
            <w:r w:rsidRPr="00AC7730">
              <w:rPr>
                <w:rFonts w:eastAsia="Arial" w:cs="Arial"/>
                <w:b/>
                <w:sz w:val="16"/>
                <w:szCs w:val="16"/>
              </w:rPr>
              <w:t xml:space="preserve">81 % </w:t>
            </w:r>
            <w:r w:rsidRPr="00AC7730">
              <w:rPr>
                <w:rFonts w:eastAsia="Arial" w:cs="Arial"/>
                <w:sz w:val="16"/>
                <w:szCs w:val="16"/>
              </w:rPr>
              <w:t>(2015</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FFFFF"/>
          </w:tcPr>
          <w:p w14:paraId="5B704E83" w14:textId="77777777" w:rsidR="00E42EB4" w:rsidRPr="00AC7730" w:rsidRDefault="004C1ADE">
            <w:pPr>
              <w:rPr>
                <w:rFonts w:eastAsia="Arial" w:cs="Arial"/>
                <w:sz w:val="16"/>
                <w:szCs w:val="16"/>
                <w:lang w:val="fr-FR"/>
              </w:rPr>
            </w:pPr>
            <w:r w:rsidRPr="00AC7730">
              <w:rPr>
                <w:rFonts w:eastAsia="Arial" w:cs="Arial"/>
                <w:sz w:val="16"/>
                <w:szCs w:val="16"/>
                <w:lang w:val="fr-FR"/>
              </w:rPr>
              <w:t>Tumbes, Pérou</w:t>
            </w:r>
          </w:p>
        </w:tc>
        <w:tc>
          <w:tcPr>
            <w:tcW w:w="1350" w:type="dxa"/>
            <w:shd w:val="clear" w:color="auto" w:fill="FFFFFF"/>
          </w:tcPr>
          <w:p w14:paraId="7E80D027" w14:textId="77777777" w:rsidR="00E42EB4" w:rsidRPr="00AC7730" w:rsidRDefault="004C1ADE">
            <w:pPr>
              <w:spacing w:after="120"/>
              <w:rPr>
                <w:rFonts w:eastAsia="Arial" w:cs="Arial"/>
                <w:sz w:val="16"/>
                <w:szCs w:val="16"/>
              </w:rPr>
            </w:pPr>
            <w:r w:rsidRPr="00AC7730">
              <w:rPr>
                <w:rFonts w:eastAsia="Arial" w:cs="Arial"/>
                <w:sz w:val="16"/>
                <w:szCs w:val="16"/>
              </w:rPr>
              <w:t>Rojas-Perea et al., 2024</w:t>
            </w:r>
          </w:p>
        </w:tc>
        <w:tc>
          <w:tcPr>
            <w:tcW w:w="3690" w:type="dxa"/>
            <w:shd w:val="clear" w:color="auto" w:fill="FFFFFF"/>
          </w:tcPr>
          <w:p w14:paraId="2EBE5CD5"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Données de l'IMARPE du Pérou (données gouvernementales).</w:t>
            </w:r>
          </w:p>
        </w:tc>
      </w:tr>
      <w:tr w:rsidR="00E42EB4" w:rsidRPr="00C971E7" w14:paraId="72FC334C" w14:textId="77777777">
        <w:trPr>
          <w:trHeight w:val="510"/>
        </w:trPr>
        <w:tc>
          <w:tcPr>
            <w:tcW w:w="1110" w:type="dxa"/>
            <w:vMerge/>
          </w:tcPr>
          <w:p w14:paraId="7FEACF2B"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6E1AA81E"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0FB07EB6" w14:textId="77777777" w:rsidR="00E42EB4" w:rsidRPr="00AC7730" w:rsidRDefault="004C1ADE">
            <w:pPr>
              <w:spacing w:after="120"/>
              <w:rPr>
                <w:rFonts w:eastAsia="Arial" w:cs="Arial"/>
                <w:sz w:val="16"/>
                <w:szCs w:val="16"/>
                <w:lang w:val="fr-FR"/>
              </w:rPr>
            </w:pPr>
            <w:r w:rsidRPr="00AC7730">
              <w:rPr>
                <w:rFonts w:eastAsia="Arial" w:cs="Arial"/>
                <w:b/>
                <w:sz w:val="16"/>
                <w:szCs w:val="16"/>
                <w:lang w:val="fr-FR"/>
              </w:rPr>
              <w:t xml:space="preserve">87 % </w:t>
            </w:r>
            <w:r w:rsidRPr="00AC7730">
              <w:rPr>
                <w:rFonts w:eastAsia="Arial" w:cs="Arial"/>
                <w:sz w:val="16"/>
                <w:szCs w:val="16"/>
                <w:lang w:val="fr-FR"/>
              </w:rPr>
              <w:t>(2013 et 2023)</w:t>
            </w:r>
          </w:p>
        </w:tc>
        <w:tc>
          <w:tcPr>
            <w:tcW w:w="1155" w:type="dxa"/>
            <w:shd w:val="clear" w:color="auto" w:fill="F2F2F2"/>
          </w:tcPr>
          <w:p w14:paraId="00F9D0AE" w14:textId="77777777" w:rsidR="00E42EB4" w:rsidRPr="00AC7730" w:rsidRDefault="004C1ADE">
            <w:pPr>
              <w:spacing w:after="120"/>
              <w:rPr>
                <w:rFonts w:eastAsia="Arial" w:cs="Arial"/>
                <w:sz w:val="16"/>
                <w:szCs w:val="16"/>
                <w:lang w:val="fr-FR"/>
              </w:rPr>
            </w:pPr>
            <w:proofErr w:type="spellStart"/>
            <w:r w:rsidRPr="00AC7730">
              <w:rPr>
                <w:rFonts w:eastAsia="Arial" w:cs="Arial"/>
                <w:sz w:val="16"/>
                <w:szCs w:val="16"/>
                <w:lang w:val="fr-FR"/>
              </w:rPr>
              <w:t>Threspuram</w:t>
            </w:r>
            <w:proofErr w:type="spellEnd"/>
            <w:r w:rsidRPr="00AC7730">
              <w:rPr>
                <w:rFonts w:eastAsia="Arial" w:cs="Arial"/>
                <w:sz w:val="16"/>
                <w:szCs w:val="16"/>
                <w:lang w:val="fr-FR"/>
              </w:rPr>
              <w:t>, Inde</w:t>
            </w:r>
          </w:p>
        </w:tc>
        <w:tc>
          <w:tcPr>
            <w:tcW w:w="1350" w:type="dxa"/>
            <w:shd w:val="clear" w:color="auto" w:fill="F2F2F2"/>
          </w:tcPr>
          <w:p w14:paraId="0AC75E68"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Chopra et al., 2025 (en révision) </w:t>
            </w:r>
          </w:p>
        </w:tc>
        <w:tc>
          <w:tcPr>
            <w:tcW w:w="3690" w:type="dxa"/>
            <w:shd w:val="clear" w:color="auto" w:fill="F2F2F2"/>
          </w:tcPr>
          <w:p w14:paraId="1D7D824B"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Évolution des débarquements par navire enregistré entre 2012 et 2023, ajustée pour l'effort de pêche et la saisonnalité.</w:t>
            </w:r>
          </w:p>
        </w:tc>
      </w:tr>
      <w:tr w:rsidR="00E42EB4" w:rsidRPr="00C971E7" w14:paraId="622AA2DA" w14:textId="77777777">
        <w:trPr>
          <w:trHeight w:val="510"/>
        </w:trPr>
        <w:tc>
          <w:tcPr>
            <w:tcW w:w="1110" w:type="dxa"/>
            <w:vMerge w:val="restart"/>
          </w:tcPr>
          <w:p w14:paraId="5048EE12" w14:textId="77777777" w:rsidR="00E42EB4" w:rsidRPr="00300DAE" w:rsidRDefault="004C1ADE">
            <w:pPr>
              <w:spacing w:after="120"/>
              <w:rPr>
                <w:rFonts w:eastAsia="Arial" w:cs="Arial"/>
                <w:sz w:val="16"/>
                <w:szCs w:val="16"/>
                <w:lang w:val="fr-FR"/>
              </w:rPr>
            </w:pPr>
            <w:proofErr w:type="spellStart"/>
            <w:r w:rsidRPr="00300DAE">
              <w:rPr>
                <w:rFonts w:eastAsia="Arial" w:cs="Arial"/>
                <w:b/>
                <w:i/>
                <w:sz w:val="16"/>
                <w:szCs w:val="16"/>
                <w:lang w:val="fr-FR"/>
              </w:rPr>
              <w:t>Mobula</w:t>
            </w:r>
            <w:proofErr w:type="spellEnd"/>
            <w:r w:rsidRPr="00300DAE">
              <w:rPr>
                <w:rFonts w:eastAsia="Arial" w:cs="Arial"/>
                <w:b/>
                <w:i/>
                <w:sz w:val="16"/>
                <w:szCs w:val="16"/>
                <w:lang w:val="fr-FR"/>
              </w:rPr>
              <w:t xml:space="preserve"> </w:t>
            </w:r>
            <w:proofErr w:type="spellStart"/>
            <w:r w:rsidRPr="00300DAE">
              <w:rPr>
                <w:rFonts w:eastAsia="Arial" w:cs="Arial"/>
                <w:b/>
                <w:i/>
                <w:sz w:val="16"/>
                <w:szCs w:val="16"/>
                <w:lang w:val="fr-FR"/>
              </w:rPr>
              <w:t>thurstoni</w:t>
            </w:r>
            <w:proofErr w:type="spellEnd"/>
            <w:r w:rsidRPr="00300DAE">
              <w:rPr>
                <w:rFonts w:eastAsia="Arial" w:cs="Arial"/>
                <w:i/>
                <w:sz w:val="16"/>
                <w:szCs w:val="16"/>
                <w:lang w:val="fr-FR"/>
              </w:rPr>
              <w:t xml:space="preserve"> </w:t>
            </w:r>
            <w:r w:rsidRPr="00300DAE">
              <w:rPr>
                <w:rFonts w:eastAsia="Arial" w:cs="Arial"/>
                <w:sz w:val="16"/>
                <w:szCs w:val="16"/>
                <w:lang w:val="fr-FR"/>
              </w:rPr>
              <w:t>(Lloyd, 1908)</w:t>
            </w:r>
          </w:p>
          <w:p w14:paraId="18E209B9"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lastRenderedPageBreak/>
              <w:t xml:space="preserve">Statut sur la Liste rouge de l'UICN : </w:t>
            </w:r>
            <w:r w:rsidRPr="00AC7730">
              <w:rPr>
                <w:rFonts w:eastAsia="Arial" w:cs="Arial"/>
                <w:b/>
                <w:sz w:val="16"/>
                <w:szCs w:val="16"/>
                <w:lang w:val="fr-FR"/>
              </w:rPr>
              <w:t>EN</w:t>
            </w:r>
          </w:p>
        </w:tc>
        <w:tc>
          <w:tcPr>
            <w:tcW w:w="1185" w:type="dxa"/>
            <w:vMerge w:val="restart"/>
          </w:tcPr>
          <w:p w14:paraId="329BC83D" w14:textId="77777777" w:rsidR="00E42EB4" w:rsidRPr="00AC7730" w:rsidRDefault="004C1ADE">
            <w:pPr>
              <w:spacing w:after="120"/>
              <w:rPr>
                <w:rFonts w:eastAsia="Arial" w:cs="Arial"/>
                <w:b/>
                <w:sz w:val="16"/>
                <w:szCs w:val="16"/>
                <w:lang w:val="fr-FR"/>
              </w:rPr>
            </w:pPr>
            <w:r w:rsidRPr="00AC7730">
              <w:rPr>
                <w:rFonts w:eastAsia="Arial" w:cs="Arial"/>
                <w:sz w:val="16"/>
                <w:szCs w:val="16"/>
                <w:lang w:val="fr-FR"/>
              </w:rPr>
              <w:lastRenderedPageBreak/>
              <w:t>38 ans</w:t>
            </w:r>
          </w:p>
        </w:tc>
        <w:tc>
          <w:tcPr>
            <w:tcW w:w="1260" w:type="dxa"/>
          </w:tcPr>
          <w:p w14:paraId="1D5D9152" w14:textId="77777777" w:rsidR="00E42EB4" w:rsidRPr="00AC7730" w:rsidRDefault="004C1ADE">
            <w:pPr>
              <w:spacing w:after="120"/>
              <w:rPr>
                <w:rFonts w:eastAsia="Arial" w:cs="Arial"/>
                <w:b/>
                <w:sz w:val="16"/>
                <w:szCs w:val="16"/>
              </w:rPr>
            </w:pPr>
            <w:r w:rsidRPr="00AC7730">
              <w:rPr>
                <w:rFonts w:eastAsia="Arial" w:cs="Arial"/>
                <w:b/>
                <w:sz w:val="16"/>
                <w:szCs w:val="16"/>
              </w:rPr>
              <w:t>98 %</w:t>
            </w:r>
            <w:r w:rsidRPr="00AC7730">
              <w:rPr>
                <w:rFonts w:eastAsia="Arial" w:cs="Arial"/>
                <w:sz w:val="16"/>
                <w:szCs w:val="16"/>
              </w:rPr>
              <w:t xml:space="preserve">       (2013</w:t>
            </w:r>
            <w:r w:rsidRPr="00AC7730">
              <w:rPr>
                <w:rFonts w:eastAsia="Arial" w:cs="Arial"/>
                <w:sz w:val="16"/>
                <w:szCs w:val="16"/>
                <w:highlight w:val="white"/>
              </w:rPr>
              <w:t>–</w:t>
            </w:r>
            <w:r w:rsidRPr="00AC7730">
              <w:rPr>
                <w:rFonts w:eastAsia="Arial" w:cs="Arial"/>
                <w:sz w:val="16"/>
                <w:szCs w:val="16"/>
              </w:rPr>
              <w:t>2023)</w:t>
            </w:r>
          </w:p>
        </w:tc>
        <w:tc>
          <w:tcPr>
            <w:tcW w:w="1155" w:type="dxa"/>
          </w:tcPr>
          <w:p w14:paraId="299CC35E"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Tumbes, Pérou</w:t>
            </w:r>
          </w:p>
        </w:tc>
        <w:tc>
          <w:tcPr>
            <w:tcW w:w="1350" w:type="dxa"/>
          </w:tcPr>
          <w:p w14:paraId="7DFFB90C" w14:textId="77777777" w:rsidR="00E42EB4" w:rsidRPr="00AC7730" w:rsidRDefault="004C1ADE">
            <w:pPr>
              <w:spacing w:after="120"/>
              <w:rPr>
                <w:rFonts w:eastAsia="Arial" w:cs="Arial"/>
                <w:sz w:val="16"/>
                <w:szCs w:val="16"/>
              </w:rPr>
            </w:pPr>
            <w:r w:rsidRPr="00AC7730">
              <w:rPr>
                <w:rFonts w:eastAsia="Arial" w:cs="Arial"/>
                <w:sz w:val="16"/>
                <w:szCs w:val="16"/>
              </w:rPr>
              <w:t>Rojas-Perea et al., 2024</w:t>
            </w:r>
          </w:p>
        </w:tc>
        <w:tc>
          <w:tcPr>
            <w:tcW w:w="3690" w:type="dxa"/>
          </w:tcPr>
          <w:p w14:paraId="566B01A3"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Données de l'IMARPE du Pérou (données gouvernementales). </w:t>
            </w:r>
          </w:p>
        </w:tc>
      </w:tr>
      <w:tr w:rsidR="00E42EB4" w:rsidRPr="00C971E7" w14:paraId="241525C9" w14:textId="77777777">
        <w:trPr>
          <w:trHeight w:val="510"/>
        </w:trPr>
        <w:tc>
          <w:tcPr>
            <w:tcW w:w="1110" w:type="dxa"/>
            <w:vMerge/>
          </w:tcPr>
          <w:p w14:paraId="18B680D4"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2C79139E"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3BF25CA1" w14:textId="77777777" w:rsidR="00E42EB4" w:rsidRPr="00AC7730" w:rsidRDefault="004C1ADE">
            <w:pPr>
              <w:spacing w:after="120"/>
              <w:rPr>
                <w:rFonts w:eastAsia="Arial" w:cs="Arial"/>
                <w:b/>
                <w:sz w:val="16"/>
                <w:szCs w:val="16"/>
              </w:rPr>
            </w:pPr>
            <w:r w:rsidRPr="00AC7730">
              <w:rPr>
                <w:rFonts w:eastAsia="Arial" w:cs="Arial"/>
                <w:b/>
                <w:sz w:val="16"/>
                <w:szCs w:val="16"/>
              </w:rPr>
              <w:t xml:space="preserve">94 %      </w:t>
            </w:r>
            <w:r w:rsidRPr="00AC7730">
              <w:rPr>
                <w:rFonts w:eastAsia="Arial" w:cs="Arial"/>
                <w:sz w:val="16"/>
                <w:szCs w:val="16"/>
              </w:rPr>
              <w:t>(2002</w:t>
            </w:r>
            <w:r w:rsidRPr="00AC7730">
              <w:rPr>
                <w:rFonts w:eastAsia="Arial" w:cs="Arial"/>
                <w:sz w:val="16"/>
                <w:szCs w:val="16"/>
                <w:highlight w:val="white"/>
              </w:rPr>
              <w:t>–</w:t>
            </w:r>
            <w:r w:rsidRPr="00AC7730">
              <w:rPr>
                <w:rFonts w:eastAsia="Arial" w:cs="Arial"/>
                <w:sz w:val="16"/>
                <w:szCs w:val="16"/>
              </w:rPr>
              <w:t>2014)</w:t>
            </w:r>
          </w:p>
        </w:tc>
        <w:tc>
          <w:tcPr>
            <w:tcW w:w="1155" w:type="dxa"/>
            <w:shd w:val="clear" w:color="auto" w:fill="F2F2F2"/>
          </w:tcPr>
          <w:p w14:paraId="5BD86A39"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Zone CITT</w:t>
            </w:r>
          </w:p>
        </w:tc>
        <w:tc>
          <w:tcPr>
            <w:tcW w:w="1350" w:type="dxa"/>
            <w:shd w:val="clear" w:color="auto" w:fill="F2F2F2"/>
          </w:tcPr>
          <w:p w14:paraId="186FEF77" w14:textId="77777777" w:rsidR="00E42EB4" w:rsidRPr="00300DAE" w:rsidRDefault="004C1ADE">
            <w:pPr>
              <w:spacing w:after="120"/>
              <w:rPr>
                <w:rFonts w:eastAsia="Arial" w:cs="Arial"/>
                <w:sz w:val="16"/>
                <w:szCs w:val="16"/>
                <w:lang w:val="es-ES"/>
              </w:rPr>
            </w:pPr>
            <w:r w:rsidRPr="00300DAE">
              <w:rPr>
                <w:rFonts w:eastAsia="Arial" w:cs="Arial"/>
                <w:sz w:val="16"/>
                <w:szCs w:val="16"/>
                <w:lang w:val="es-ES"/>
              </w:rPr>
              <w:t>Lezama-Ochoa et al., 2019b</w:t>
            </w:r>
          </w:p>
        </w:tc>
        <w:tc>
          <w:tcPr>
            <w:tcW w:w="3690" w:type="dxa"/>
            <w:shd w:val="clear" w:color="auto" w:fill="F2F2F2"/>
          </w:tcPr>
          <w:p w14:paraId="19426B25"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Déclins calculés à partir des données du tableau 1 de l’article </w:t>
            </w:r>
          </w:p>
        </w:tc>
      </w:tr>
      <w:tr w:rsidR="00E42EB4" w:rsidRPr="00C971E7" w14:paraId="35D513C3" w14:textId="77777777">
        <w:trPr>
          <w:trHeight w:val="605"/>
        </w:trPr>
        <w:tc>
          <w:tcPr>
            <w:tcW w:w="1110" w:type="dxa"/>
            <w:vMerge/>
          </w:tcPr>
          <w:p w14:paraId="5A576476"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65B5F7E7"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10F44E7C" w14:textId="77777777" w:rsidR="00E42EB4" w:rsidRPr="00AC7730" w:rsidRDefault="004C1ADE">
            <w:pPr>
              <w:spacing w:after="120"/>
              <w:rPr>
                <w:rFonts w:eastAsia="Arial" w:cs="Arial"/>
                <w:sz w:val="16"/>
                <w:szCs w:val="16"/>
                <w:lang w:val="fr-FR"/>
              </w:rPr>
            </w:pPr>
            <w:r w:rsidRPr="00AC7730">
              <w:rPr>
                <w:rFonts w:eastAsia="Arial" w:cs="Arial"/>
                <w:b/>
                <w:sz w:val="16"/>
                <w:szCs w:val="16"/>
                <w:lang w:val="fr-FR"/>
              </w:rPr>
              <w:t xml:space="preserve">85 % </w:t>
            </w:r>
            <w:r w:rsidRPr="00AC7730">
              <w:rPr>
                <w:rFonts w:eastAsia="Arial" w:cs="Arial"/>
                <w:sz w:val="16"/>
                <w:szCs w:val="16"/>
                <w:lang w:val="fr-FR"/>
              </w:rPr>
              <w:t>(2013 et 2023)</w:t>
            </w:r>
          </w:p>
        </w:tc>
        <w:tc>
          <w:tcPr>
            <w:tcW w:w="1155" w:type="dxa"/>
            <w:shd w:val="clear" w:color="auto" w:fill="FFFFFF"/>
          </w:tcPr>
          <w:p w14:paraId="07739E4D" w14:textId="77777777" w:rsidR="00E42EB4" w:rsidRPr="00AC7730" w:rsidRDefault="004C1ADE">
            <w:pPr>
              <w:spacing w:after="120"/>
              <w:rPr>
                <w:rFonts w:eastAsia="Arial" w:cs="Arial"/>
                <w:sz w:val="14"/>
                <w:szCs w:val="14"/>
                <w:lang w:val="fr-FR"/>
              </w:rPr>
            </w:pPr>
            <w:proofErr w:type="spellStart"/>
            <w:r w:rsidRPr="00AC7730">
              <w:rPr>
                <w:rFonts w:eastAsia="Arial" w:cs="Arial"/>
                <w:sz w:val="14"/>
                <w:szCs w:val="14"/>
                <w:lang w:val="fr-FR"/>
              </w:rPr>
              <w:t>Tharuvaikulam</w:t>
            </w:r>
            <w:proofErr w:type="spellEnd"/>
            <w:r w:rsidRPr="00AC7730">
              <w:rPr>
                <w:rFonts w:eastAsia="Arial" w:cs="Arial"/>
                <w:sz w:val="14"/>
                <w:szCs w:val="14"/>
                <w:lang w:val="fr-FR"/>
              </w:rPr>
              <w:t>, Inde</w:t>
            </w:r>
          </w:p>
        </w:tc>
        <w:tc>
          <w:tcPr>
            <w:tcW w:w="1350" w:type="dxa"/>
            <w:shd w:val="clear" w:color="auto" w:fill="FFFFFF"/>
          </w:tcPr>
          <w:p w14:paraId="798CACBC"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Chopra et al., 2025 (en révision) </w:t>
            </w:r>
          </w:p>
        </w:tc>
        <w:tc>
          <w:tcPr>
            <w:tcW w:w="3690" w:type="dxa"/>
            <w:shd w:val="clear" w:color="auto" w:fill="FFFFFF"/>
          </w:tcPr>
          <w:p w14:paraId="24CBB46A"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Évolution des débarquements par navire enregistré entre 2012 et 2023, ajustée pour l'effort de pêche et la saisonnalité.</w:t>
            </w:r>
          </w:p>
        </w:tc>
      </w:tr>
      <w:tr w:rsidR="00E42EB4" w:rsidRPr="00C971E7" w14:paraId="2559665D" w14:textId="77777777">
        <w:trPr>
          <w:trHeight w:val="765"/>
        </w:trPr>
        <w:tc>
          <w:tcPr>
            <w:tcW w:w="1110" w:type="dxa"/>
            <w:vMerge w:val="restart"/>
          </w:tcPr>
          <w:p w14:paraId="4A63DDBB" w14:textId="77777777" w:rsidR="00E42EB4" w:rsidRPr="00300DAE" w:rsidRDefault="004C1ADE">
            <w:pPr>
              <w:spacing w:after="120"/>
              <w:rPr>
                <w:rFonts w:eastAsia="Arial" w:cs="Arial"/>
                <w:sz w:val="16"/>
                <w:szCs w:val="16"/>
                <w:lang w:val="fr-FR"/>
              </w:rPr>
            </w:pPr>
            <w:proofErr w:type="spellStart"/>
            <w:r w:rsidRPr="00300DAE">
              <w:rPr>
                <w:rFonts w:eastAsia="Arial" w:cs="Arial"/>
                <w:b/>
                <w:i/>
                <w:sz w:val="16"/>
                <w:szCs w:val="16"/>
                <w:lang w:val="fr-FR"/>
              </w:rPr>
              <w:t>Mobula</w:t>
            </w:r>
            <w:proofErr w:type="spellEnd"/>
            <w:r w:rsidRPr="00300DAE">
              <w:rPr>
                <w:rFonts w:eastAsia="Arial" w:cs="Arial"/>
                <w:b/>
                <w:i/>
                <w:sz w:val="16"/>
                <w:szCs w:val="16"/>
                <w:lang w:val="fr-FR"/>
              </w:rPr>
              <w:t xml:space="preserve"> </w:t>
            </w:r>
            <w:proofErr w:type="spellStart"/>
            <w:r w:rsidRPr="00300DAE">
              <w:rPr>
                <w:rFonts w:eastAsia="Arial" w:cs="Arial"/>
                <w:b/>
                <w:i/>
                <w:sz w:val="16"/>
                <w:szCs w:val="16"/>
                <w:lang w:val="fr-FR"/>
              </w:rPr>
              <w:t>eregoodoo</w:t>
            </w:r>
            <w:proofErr w:type="spellEnd"/>
            <w:r w:rsidRPr="00300DAE">
              <w:rPr>
                <w:rFonts w:eastAsia="Arial" w:cs="Arial"/>
                <w:sz w:val="16"/>
                <w:szCs w:val="16"/>
                <w:lang w:val="fr-FR"/>
              </w:rPr>
              <w:t xml:space="preserve"> (Cantor, 1849)</w:t>
            </w:r>
          </w:p>
          <w:p w14:paraId="743E2A1E" w14:textId="77777777" w:rsidR="00E42EB4" w:rsidRPr="00AC7730" w:rsidRDefault="004C1ADE">
            <w:pPr>
              <w:spacing w:after="120"/>
              <w:rPr>
                <w:rFonts w:eastAsia="Arial" w:cs="Arial"/>
                <w:b/>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tc>
        <w:tc>
          <w:tcPr>
            <w:tcW w:w="1185" w:type="dxa"/>
            <w:vMerge w:val="restart"/>
          </w:tcPr>
          <w:p w14:paraId="0FE2C347" w14:textId="77777777" w:rsidR="00E42EB4" w:rsidRPr="00AC7730" w:rsidRDefault="004C1ADE">
            <w:pPr>
              <w:spacing w:after="120"/>
              <w:rPr>
                <w:rFonts w:eastAsia="Arial" w:cs="Arial"/>
                <w:b/>
                <w:sz w:val="16"/>
                <w:szCs w:val="16"/>
                <w:lang w:val="fr-FR"/>
              </w:rPr>
            </w:pPr>
            <w:r w:rsidRPr="00AC7730">
              <w:rPr>
                <w:rFonts w:eastAsia="Arial" w:cs="Arial"/>
                <w:sz w:val="16"/>
                <w:szCs w:val="16"/>
                <w:lang w:val="fr-FR"/>
              </w:rPr>
              <w:t>38 ans</w:t>
            </w:r>
          </w:p>
        </w:tc>
        <w:tc>
          <w:tcPr>
            <w:tcW w:w="1260" w:type="dxa"/>
            <w:shd w:val="clear" w:color="auto" w:fill="F2F2F2"/>
          </w:tcPr>
          <w:p w14:paraId="096A305F" w14:textId="77777777" w:rsidR="00E42EB4" w:rsidRPr="00AC7730" w:rsidRDefault="004C1ADE">
            <w:pPr>
              <w:spacing w:after="120"/>
              <w:rPr>
                <w:rFonts w:eastAsia="Arial" w:cs="Arial"/>
                <w:b/>
                <w:sz w:val="16"/>
                <w:szCs w:val="16"/>
              </w:rPr>
            </w:pPr>
            <w:r w:rsidRPr="00AC7730">
              <w:rPr>
                <w:rFonts w:eastAsia="Arial" w:cs="Arial"/>
                <w:b/>
                <w:sz w:val="16"/>
                <w:szCs w:val="16"/>
              </w:rPr>
              <w:t>78 %</w:t>
            </w:r>
            <w:r w:rsidRPr="00AC7730">
              <w:rPr>
                <w:rFonts w:eastAsia="Arial" w:cs="Arial"/>
                <w:sz w:val="16"/>
                <w:szCs w:val="16"/>
              </w:rPr>
              <w:t xml:space="preserve">      (2016</w:t>
            </w:r>
            <w:r w:rsidRPr="00AC7730">
              <w:rPr>
                <w:rFonts w:eastAsia="Arial" w:cs="Arial"/>
                <w:sz w:val="16"/>
                <w:szCs w:val="16"/>
                <w:highlight w:val="white"/>
              </w:rPr>
              <w:t>–</w:t>
            </w:r>
            <w:r w:rsidRPr="00AC7730">
              <w:rPr>
                <w:rFonts w:eastAsia="Arial" w:cs="Arial"/>
                <w:sz w:val="16"/>
                <w:szCs w:val="16"/>
              </w:rPr>
              <w:t>2018)</w:t>
            </w:r>
          </w:p>
        </w:tc>
        <w:tc>
          <w:tcPr>
            <w:tcW w:w="1155" w:type="dxa"/>
            <w:shd w:val="clear" w:color="auto" w:fill="F2F2F2"/>
          </w:tcPr>
          <w:p w14:paraId="49CE5B1E"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Nouvelle-Galles du Sud, Australie</w:t>
            </w:r>
          </w:p>
        </w:tc>
        <w:tc>
          <w:tcPr>
            <w:tcW w:w="1350" w:type="dxa"/>
            <w:shd w:val="clear" w:color="auto" w:fill="F2F2F2"/>
          </w:tcPr>
          <w:p w14:paraId="0C8A66FE" w14:textId="77777777" w:rsidR="00E42EB4" w:rsidRPr="00AC7730" w:rsidRDefault="004C1ADE">
            <w:pPr>
              <w:spacing w:after="120"/>
              <w:rPr>
                <w:rFonts w:eastAsia="Arial" w:cs="Arial"/>
                <w:sz w:val="16"/>
                <w:szCs w:val="16"/>
                <w:lang w:val="nl-BE"/>
              </w:rPr>
            </w:pPr>
            <w:proofErr w:type="spellStart"/>
            <w:r w:rsidRPr="00AC7730">
              <w:rPr>
                <w:rFonts w:eastAsia="Arial" w:cs="Arial"/>
                <w:sz w:val="16"/>
                <w:szCs w:val="16"/>
                <w:lang w:val="nl-BE"/>
              </w:rPr>
              <w:t>Broadhurst</w:t>
            </w:r>
            <w:proofErr w:type="spellEnd"/>
            <w:r w:rsidRPr="00AC7730">
              <w:rPr>
                <w:rFonts w:eastAsia="Arial" w:cs="Arial"/>
                <w:sz w:val="16"/>
                <w:szCs w:val="16"/>
                <w:lang w:val="nl-BE"/>
              </w:rPr>
              <w:t xml:space="preserve"> et al., 2018; </w:t>
            </w:r>
            <w:proofErr w:type="spellStart"/>
            <w:r w:rsidRPr="00AC7730">
              <w:rPr>
                <w:rFonts w:eastAsia="Arial" w:cs="Arial"/>
                <w:sz w:val="16"/>
                <w:szCs w:val="16"/>
                <w:lang w:val="nl-BE"/>
              </w:rPr>
              <w:t>Broadhurst</w:t>
            </w:r>
            <w:proofErr w:type="spellEnd"/>
            <w:r w:rsidRPr="00AC7730">
              <w:rPr>
                <w:rFonts w:eastAsia="Arial" w:cs="Arial"/>
                <w:sz w:val="16"/>
                <w:szCs w:val="16"/>
                <w:lang w:val="nl-BE"/>
              </w:rPr>
              <w:t xml:space="preserve"> et al., 2019</w:t>
            </w:r>
          </w:p>
        </w:tc>
        <w:tc>
          <w:tcPr>
            <w:tcW w:w="3690" w:type="dxa"/>
            <w:shd w:val="clear" w:color="auto" w:fill="F2F2F2"/>
          </w:tcPr>
          <w:p w14:paraId="349DD0A0"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Déclin du nombre de </w:t>
            </w:r>
            <w:r w:rsidRPr="00AC7730">
              <w:rPr>
                <w:rFonts w:eastAsia="Arial" w:cs="Arial"/>
                <w:i/>
                <w:sz w:val="16"/>
                <w:szCs w:val="16"/>
                <w:lang w:val="fr-FR"/>
              </w:rPr>
              <w:t xml:space="preserve">M. </w:t>
            </w:r>
            <w:proofErr w:type="spellStart"/>
            <w:r w:rsidRPr="00AC7730">
              <w:rPr>
                <w:rFonts w:eastAsia="Arial" w:cs="Arial"/>
                <w:i/>
                <w:sz w:val="16"/>
                <w:szCs w:val="16"/>
                <w:lang w:val="fr-FR"/>
              </w:rPr>
              <w:t>eregoodoo</w:t>
            </w:r>
            <w:proofErr w:type="spellEnd"/>
            <w:r w:rsidRPr="00AC7730">
              <w:rPr>
                <w:rFonts w:eastAsia="Arial" w:cs="Arial"/>
                <w:sz w:val="16"/>
                <w:szCs w:val="16"/>
                <w:lang w:val="fr-FR"/>
              </w:rPr>
              <w:t xml:space="preserve"> capturés dans les filets maillants expérimentaux de 2016</w:t>
            </w:r>
            <w:r w:rsidRPr="00AC7730">
              <w:rPr>
                <w:rFonts w:eastAsia="Arial" w:cs="Arial"/>
                <w:sz w:val="16"/>
                <w:szCs w:val="16"/>
                <w:highlight w:val="white"/>
                <w:lang w:val="fr-FR"/>
              </w:rPr>
              <w:t>–</w:t>
            </w:r>
            <w:r w:rsidRPr="00AC7730">
              <w:rPr>
                <w:rFonts w:eastAsia="Arial" w:cs="Arial"/>
                <w:sz w:val="16"/>
                <w:szCs w:val="16"/>
                <w:lang w:val="fr-FR"/>
              </w:rPr>
              <w:t xml:space="preserve">2018. </w:t>
            </w:r>
          </w:p>
        </w:tc>
      </w:tr>
      <w:tr w:rsidR="00E42EB4" w:rsidRPr="00C971E7" w14:paraId="73350E93" w14:textId="77777777">
        <w:trPr>
          <w:trHeight w:val="855"/>
        </w:trPr>
        <w:tc>
          <w:tcPr>
            <w:tcW w:w="1110" w:type="dxa"/>
            <w:vMerge/>
          </w:tcPr>
          <w:p w14:paraId="71B8C843"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58E7A14F"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49242DFD"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Populations présumées épuisées</w:t>
            </w:r>
          </w:p>
        </w:tc>
        <w:tc>
          <w:tcPr>
            <w:tcW w:w="1155" w:type="dxa"/>
            <w:shd w:val="clear" w:color="auto" w:fill="FFFFFF"/>
          </w:tcPr>
          <w:p w14:paraId="0C051808" w14:textId="77777777" w:rsidR="00E42EB4" w:rsidRPr="00AC7730" w:rsidRDefault="004C1ADE">
            <w:pPr>
              <w:spacing w:after="120"/>
              <w:rPr>
                <w:rFonts w:eastAsia="Arial" w:cs="Arial"/>
                <w:sz w:val="16"/>
                <w:szCs w:val="16"/>
              </w:rPr>
            </w:pPr>
            <w:r w:rsidRPr="00AC7730">
              <w:rPr>
                <w:rFonts w:eastAsia="Arial" w:cs="Arial"/>
                <w:sz w:val="16"/>
                <w:szCs w:val="16"/>
              </w:rPr>
              <w:t>Sri Lanka</w:t>
            </w:r>
          </w:p>
        </w:tc>
        <w:tc>
          <w:tcPr>
            <w:tcW w:w="1350" w:type="dxa"/>
            <w:shd w:val="clear" w:color="auto" w:fill="FFFFFF"/>
          </w:tcPr>
          <w:p w14:paraId="3A77AB92"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Blue </w:t>
            </w:r>
            <w:proofErr w:type="spellStart"/>
            <w:r w:rsidRPr="00AC7730">
              <w:rPr>
                <w:rFonts w:eastAsia="Arial" w:cs="Arial"/>
                <w:sz w:val="16"/>
                <w:szCs w:val="16"/>
                <w:lang w:val="fr-FR"/>
              </w:rPr>
              <w:t>Resources</w:t>
            </w:r>
            <w:proofErr w:type="spellEnd"/>
            <w:r w:rsidRPr="00AC7730">
              <w:rPr>
                <w:rFonts w:eastAsia="Arial" w:cs="Arial"/>
                <w:sz w:val="16"/>
                <w:szCs w:val="16"/>
                <w:lang w:val="fr-FR"/>
              </w:rPr>
              <w:t xml:space="preserve"> Trust (données non publiées)</w:t>
            </w:r>
          </w:p>
        </w:tc>
        <w:tc>
          <w:tcPr>
            <w:tcW w:w="3690" w:type="dxa"/>
            <w:shd w:val="clear" w:color="auto" w:fill="FFFFFF"/>
          </w:tcPr>
          <w:p w14:paraId="1BFDD084"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Présent dans les débarquements au sud-est du Sri Lanka (2021</w:t>
            </w:r>
            <w:r w:rsidRPr="00AC7730">
              <w:rPr>
                <w:rFonts w:eastAsia="Arial" w:cs="Arial"/>
                <w:sz w:val="16"/>
                <w:szCs w:val="16"/>
                <w:highlight w:val="white"/>
                <w:lang w:val="fr-FR"/>
              </w:rPr>
              <w:t>–</w:t>
            </w:r>
            <w:r w:rsidRPr="00AC7730">
              <w:rPr>
                <w:rFonts w:eastAsia="Arial" w:cs="Arial"/>
                <w:sz w:val="16"/>
                <w:szCs w:val="16"/>
                <w:lang w:val="fr-FR"/>
              </w:rPr>
              <w:t xml:space="preserve">2024).  </w:t>
            </w:r>
          </w:p>
        </w:tc>
      </w:tr>
      <w:tr w:rsidR="00E42EB4" w:rsidRPr="00C971E7" w14:paraId="6E87781C" w14:textId="77777777">
        <w:trPr>
          <w:trHeight w:val="510"/>
        </w:trPr>
        <w:tc>
          <w:tcPr>
            <w:tcW w:w="1110" w:type="dxa"/>
            <w:vMerge w:val="restart"/>
          </w:tcPr>
          <w:p w14:paraId="557D0733" w14:textId="77777777" w:rsidR="00E42EB4" w:rsidRPr="00C971E7" w:rsidRDefault="004C1ADE">
            <w:pPr>
              <w:spacing w:after="120"/>
              <w:rPr>
                <w:rFonts w:eastAsia="Arial" w:cs="Arial"/>
                <w:sz w:val="16"/>
                <w:szCs w:val="16"/>
                <w:lang w:val="fr-FR"/>
              </w:rPr>
            </w:pPr>
            <w:proofErr w:type="spellStart"/>
            <w:r w:rsidRPr="00C971E7">
              <w:rPr>
                <w:rFonts w:eastAsia="Arial" w:cs="Arial"/>
                <w:b/>
                <w:i/>
                <w:sz w:val="16"/>
                <w:szCs w:val="16"/>
                <w:lang w:val="fr-FR"/>
              </w:rPr>
              <w:t>Mobula</w:t>
            </w:r>
            <w:proofErr w:type="spellEnd"/>
            <w:r w:rsidRPr="00C971E7">
              <w:rPr>
                <w:rFonts w:eastAsia="Arial" w:cs="Arial"/>
                <w:b/>
                <w:i/>
                <w:sz w:val="16"/>
                <w:szCs w:val="16"/>
                <w:lang w:val="fr-FR"/>
              </w:rPr>
              <w:t xml:space="preserve"> </w:t>
            </w:r>
            <w:proofErr w:type="spellStart"/>
            <w:r w:rsidRPr="00C971E7">
              <w:rPr>
                <w:rFonts w:eastAsia="Arial" w:cs="Arial"/>
                <w:b/>
                <w:i/>
                <w:sz w:val="16"/>
                <w:szCs w:val="16"/>
                <w:lang w:val="fr-FR"/>
              </w:rPr>
              <w:t>kuhlii</w:t>
            </w:r>
            <w:proofErr w:type="spellEnd"/>
            <w:r w:rsidRPr="00C971E7">
              <w:rPr>
                <w:rFonts w:eastAsia="Arial" w:cs="Arial"/>
                <w:sz w:val="16"/>
                <w:szCs w:val="16"/>
                <w:lang w:val="fr-FR"/>
              </w:rPr>
              <w:t xml:space="preserve"> (Müller &amp; Henle, 1841)</w:t>
            </w:r>
          </w:p>
          <w:p w14:paraId="388A1BA6"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tc>
        <w:tc>
          <w:tcPr>
            <w:tcW w:w="1185" w:type="dxa"/>
            <w:vMerge w:val="restart"/>
          </w:tcPr>
          <w:p w14:paraId="25538D44" w14:textId="77777777" w:rsidR="00E42EB4" w:rsidRPr="00AC7730" w:rsidRDefault="004C1ADE">
            <w:pPr>
              <w:spacing w:after="120"/>
              <w:rPr>
                <w:rFonts w:eastAsia="Arial" w:cs="Arial"/>
                <w:b/>
                <w:sz w:val="16"/>
                <w:szCs w:val="16"/>
                <w:lang w:val="fr-FR"/>
              </w:rPr>
            </w:pPr>
            <w:r w:rsidRPr="00AC7730">
              <w:rPr>
                <w:rFonts w:eastAsia="Arial" w:cs="Arial"/>
                <w:sz w:val="16"/>
                <w:szCs w:val="16"/>
                <w:lang w:val="fr-FR"/>
              </w:rPr>
              <w:t>38 ans</w:t>
            </w:r>
          </w:p>
        </w:tc>
        <w:tc>
          <w:tcPr>
            <w:tcW w:w="1260" w:type="dxa"/>
            <w:shd w:val="clear" w:color="auto" w:fill="F2F2F2"/>
          </w:tcPr>
          <w:p w14:paraId="115F3B01" w14:textId="77777777" w:rsidR="00E42EB4" w:rsidRPr="00AC7730" w:rsidRDefault="004C1ADE">
            <w:pPr>
              <w:spacing w:after="120"/>
              <w:rPr>
                <w:rFonts w:eastAsia="Arial" w:cs="Arial"/>
                <w:b/>
                <w:sz w:val="16"/>
                <w:szCs w:val="16"/>
                <w:lang w:val="fr-FR"/>
              </w:rPr>
            </w:pPr>
            <w:r w:rsidRPr="00AC7730">
              <w:rPr>
                <w:rFonts w:eastAsia="Arial" w:cs="Arial"/>
                <w:b/>
                <w:sz w:val="16"/>
                <w:szCs w:val="16"/>
                <w:lang w:val="fr-FR"/>
              </w:rPr>
              <w:t xml:space="preserve">98 %      </w:t>
            </w:r>
            <w:r w:rsidRPr="00AC7730">
              <w:rPr>
                <w:rFonts w:eastAsia="Arial" w:cs="Arial"/>
                <w:sz w:val="16"/>
                <w:szCs w:val="16"/>
                <w:lang w:val="fr-FR"/>
              </w:rPr>
              <w:t>(2013</w:t>
            </w:r>
            <w:r w:rsidRPr="00AC7730">
              <w:rPr>
                <w:rFonts w:eastAsia="Arial" w:cs="Arial"/>
                <w:sz w:val="16"/>
                <w:szCs w:val="16"/>
                <w:highlight w:val="white"/>
                <w:lang w:val="fr-FR"/>
              </w:rPr>
              <w:t>–</w:t>
            </w:r>
            <w:r w:rsidRPr="00AC7730">
              <w:rPr>
                <w:rFonts w:eastAsia="Arial" w:cs="Arial"/>
                <w:sz w:val="16"/>
                <w:szCs w:val="16"/>
                <w:lang w:val="fr-FR"/>
              </w:rPr>
              <w:t>2015 et 2016</w:t>
            </w:r>
            <w:r w:rsidRPr="00AC7730">
              <w:rPr>
                <w:rFonts w:eastAsia="Arial" w:cs="Arial"/>
                <w:sz w:val="16"/>
                <w:szCs w:val="16"/>
                <w:highlight w:val="white"/>
                <w:lang w:val="fr-FR"/>
              </w:rPr>
              <w:t>–</w:t>
            </w:r>
            <w:r w:rsidRPr="00AC7730">
              <w:rPr>
                <w:rFonts w:eastAsia="Arial" w:cs="Arial"/>
                <w:sz w:val="16"/>
                <w:szCs w:val="16"/>
                <w:lang w:val="fr-FR"/>
              </w:rPr>
              <w:t>2018)</w:t>
            </w:r>
          </w:p>
        </w:tc>
        <w:tc>
          <w:tcPr>
            <w:tcW w:w="1155" w:type="dxa"/>
            <w:shd w:val="clear" w:color="auto" w:fill="F2F2F2"/>
          </w:tcPr>
          <w:p w14:paraId="0D674BEA" w14:textId="77777777" w:rsidR="00E42EB4" w:rsidRPr="00AC7730" w:rsidRDefault="004C1ADE">
            <w:pPr>
              <w:spacing w:after="120"/>
              <w:rPr>
                <w:rFonts w:eastAsia="Arial" w:cs="Arial"/>
                <w:sz w:val="16"/>
                <w:szCs w:val="16"/>
              </w:rPr>
            </w:pPr>
            <w:r w:rsidRPr="00AC7730">
              <w:rPr>
                <w:rFonts w:eastAsia="Arial" w:cs="Arial"/>
                <w:sz w:val="16"/>
                <w:szCs w:val="16"/>
              </w:rPr>
              <w:t>Pakistan</w:t>
            </w:r>
          </w:p>
        </w:tc>
        <w:tc>
          <w:tcPr>
            <w:tcW w:w="1350" w:type="dxa"/>
            <w:shd w:val="clear" w:color="auto" w:fill="F2F2F2"/>
          </w:tcPr>
          <w:p w14:paraId="4ED80C79" w14:textId="77777777" w:rsidR="00E42EB4" w:rsidRPr="00AC7730" w:rsidRDefault="004C1ADE">
            <w:pPr>
              <w:spacing w:after="120"/>
              <w:rPr>
                <w:rFonts w:eastAsia="Arial" w:cs="Arial"/>
                <w:sz w:val="16"/>
                <w:szCs w:val="16"/>
              </w:rPr>
            </w:pPr>
            <w:r w:rsidRPr="00AC7730">
              <w:rPr>
                <w:rFonts w:eastAsia="Arial" w:cs="Arial"/>
                <w:sz w:val="16"/>
                <w:szCs w:val="16"/>
              </w:rPr>
              <w:t>Moazzam, 2018</w:t>
            </w:r>
          </w:p>
        </w:tc>
        <w:tc>
          <w:tcPr>
            <w:tcW w:w="3690" w:type="dxa"/>
            <w:shd w:val="clear" w:color="auto" w:fill="F2F2F2"/>
          </w:tcPr>
          <w:p w14:paraId="51636E33"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Le nombre mensuel de captures a été extrait de la figure 4 du rapport.</w:t>
            </w:r>
          </w:p>
        </w:tc>
      </w:tr>
      <w:tr w:rsidR="00E42EB4" w:rsidRPr="00C971E7" w14:paraId="1E058146" w14:textId="77777777">
        <w:trPr>
          <w:trHeight w:val="765"/>
        </w:trPr>
        <w:tc>
          <w:tcPr>
            <w:tcW w:w="1110" w:type="dxa"/>
            <w:vMerge/>
          </w:tcPr>
          <w:p w14:paraId="5E17C55A"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50FAFF36"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481D9B93" w14:textId="77777777" w:rsidR="00E42EB4" w:rsidRPr="00AC7730" w:rsidRDefault="004C1ADE">
            <w:pPr>
              <w:spacing w:after="120"/>
              <w:rPr>
                <w:rFonts w:eastAsia="Arial" w:cs="Arial"/>
                <w:b/>
                <w:sz w:val="16"/>
                <w:szCs w:val="16"/>
              </w:rPr>
            </w:pPr>
            <w:r w:rsidRPr="00AC7730">
              <w:rPr>
                <w:rFonts w:eastAsia="Arial" w:cs="Arial"/>
                <w:b/>
                <w:sz w:val="16"/>
                <w:szCs w:val="16"/>
              </w:rPr>
              <w:t>81 %</w:t>
            </w:r>
            <w:r w:rsidRPr="00AC7730">
              <w:rPr>
                <w:rFonts w:eastAsia="Arial" w:cs="Arial"/>
                <w:sz w:val="16"/>
                <w:szCs w:val="16"/>
              </w:rPr>
              <w:t xml:space="preserve">      (2003</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FFFFF"/>
          </w:tcPr>
          <w:p w14:paraId="32E631E4" w14:textId="77777777" w:rsidR="00E42EB4" w:rsidRPr="00AC7730" w:rsidRDefault="004C1ADE">
            <w:pPr>
              <w:spacing w:after="120"/>
              <w:rPr>
                <w:rFonts w:eastAsia="Arial" w:cs="Arial"/>
                <w:sz w:val="16"/>
                <w:szCs w:val="16"/>
              </w:rPr>
            </w:pPr>
            <w:r w:rsidRPr="00AC7730">
              <w:rPr>
                <w:rFonts w:eastAsia="Arial" w:cs="Arial"/>
                <w:sz w:val="16"/>
                <w:szCs w:val="16"/>
              </w:rPr>
              <w:t>Tofo, Mozambique</w:t>
            </w:r>
          </w:p>
        </w:tc>
        <w:tc>
          <w:tcPr>
            <w:tcW w:w="1350" w:type="dxa"/>
            <w:shd w:val="clear" w:color="auto" w:fill="FFFFFF"/>
          </w:tcPr>
          <w:p w14:paraId="4414C95A"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Venables et al, 2024</w:t>
            </w:r>
          </w:p>
        </w:tc>
        <w:tc>
          <w:tcPr>
            <w:tcW w:w="3690" w:type="dxa"/>
            <w:shd w:val="clear" w:color="auto" w:fill="FFFFFF"/>
          </w:tcPr>
          <w:p w14:paraId="6C7D4D25"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Modélisation des données d’observations à l’aide d’un modèle linéaire mixte hiérarchique. </w:t>
            </w:r>
          </w:p>
        </w:tc>
      </w:tr>
      <w:tr w:rsidR="00E42EB4" w:rsidRPr="00C971E7" w14:paraId="083B14B7" w14:textId="77777777">
        <w:trPr>
          <w:trHeight w:val="915"/>
        </w:trPr>
        <w:tc>
          <w:tcPr>
            <w:tcW w:w="1110" w:type="dxa"/>
            <w:vMerge/>
          </w:tcPr>
          <w:p w14:paraId="543D2595"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48D7A616"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140B757C"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Populations présumées épuisées</w:t>
            </w:r>
          </w:p>
        </w:tc>
        <w:tc>
          <w:tcPr>
            <w:tcW w:w="1155" w:type="dxa"/>
            <w:shd w:val="clear" w:color="auto" w:fill="F2F2F2"/>
          </w:tcPr>
          <w:p w14:paraId="16A6C135" w14:textId="77777777" w:rsidR="00E42EB4" w:rsidRPr="00AC7730" w:rsidRDefault="004C1ADE">
            <w:pPr>
              <w:spacing w:after="120"/>
              <w:rPr>
                <w:rFonts w:eastAsia="Arial" w:cs="Arial"/>
                <w:sz w:val="16"/>
                <w:szCs w:val="16"/>
              </w:rPr>
            </w:pPr>
            <w:r w:rsidRPr="00AC7730">
              <w:rPr>
                <w:rFonts w:eastAsia="Arial" w:cs="Arial"/>
                <w:sz w:val="16"/>
                <w:szCs w:val="16"/>
              </w:rPr>
              <w:t>Sri Lanka</w:t>
            </w:r>
          </w:p>
        </w:tc>
        <w:tc>
          <w:tcPr>
            <w:tcW w:w="1350" w:type="dxa"/>
            <w:shd w:val="clear" w:color="auto" w:fill="F2F2F2"/>
          </w:tcPr>
          <w:p w14:paraId="164ED9B6"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Blue </w:t>
            </w:r>
            <w:proofErr w:type="spellStart"/>
            <w:r w:rsidRPr="00AC7730">
              <w:rPr>
                <w:rFonts w:eastAsia="Arial" w:cs="Arial"/>
                <w:sz w:val="16"/>
                <w:szCs w:val="16"/>
                <w:lang w:val="fr-FR"/>
              </w:rPr>
              <w:t>Resources</w:t>
            </w:r>
            <w:proofErr w:type="spellEnd"/>
            <w:r w:rsidRPr="00AC7730">
              <w:rPr>
                <w:rFonts w:eastAsia="Arial" w:cs="Arial"/>
                <w:sz w:val="16"/>
                <w:szCs w:val="16"/>
                <w:lang w:val="fr-FR"/>
              </w:rPr>
              <w:t xml:space="preserve"> Trust (données non publiées)</w:t>
            </w:r>
          </w:p>
        </w:tc>
        <w:tc>
          <w:tcPr>
            <w:tcW w:w="3690" w:type="dxa"/>
            <w:shd w:val="clear" w:color="auto" w:fill="F2F2F2"/>
          </w:tcPr>
          <w:p w14:paraId="6A02CB38"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Présent dans les débarquements au sud-est du Sri Lanka (2021</w:t>
            </w:r>
            <w:r w:rsidRPr="00AC7730">
              <w:rPr>
                <w:rFonts w:eastAsia="Arial" w:cs="Arial"/>
                <w:sz w:val="16"/>
                <w:szCs w:val="16"/>
                <w:highlight w:val="white"/>
                <w:lang w:val="fr-FR"/>
              </w:rPr>
              <w:t>–</w:t>
            </w:r>
            <w:r w:rsidRPr="00AC7730">
              <w:rPr>
                <w:rFonts w:eastAsia="Arial" w:cs="Arial"/>
                <w:sz w:val="16"/>
                <w:szCs w:val="16"/>
                <w:lang w:val="fr-FR"/>
              </w:rPr>
              <w:t xml:space="preserve">2024).  </w:t>
            </w:r>
          </w:p>
        </w:tc>
      </w:tr>
      <w:tr w:rsidR="00E42EB4" w:rsidRPr="00C971E7" w14:paraId="44BF2EAC" w14:textId="77777777">
        <w:trPr>
          <w:trHeight w:val="765"/>
        </w:trPr>
        <w:tc>
          <w:tcPr>
            <w:tcW w:w="1110" w:type="dxa"/>
            <w:vMerge w:val="restart"/>
            <w:shd w:val="clear" w:color="auto" w:fill="FFFFFF"/>
          </w:tcPr>
          <w:p w14:paraId="5D965D23" w14:textId="77777777" w:rsidR="00E42EB4" w:rsidRPr="00300DAE" w:rsidRDefault="004C1ADE">
            <w:pPr>
              <w:spacing w:after="120"/>
              <w:rPr>
                <w:rFonts w:eastAsia="Arial" w:cs="Arial"/>
                <w:sz w:val="16"/>
                <w:szCs w:val="16"/>
                <w:lang w:val="it-IT"/>
              </w:rPr>
            </w:pPr>
            <w:proofErr w:type="spellStart"/>
            <w:r w:rsidRPr="00300DAE">
              <w:rPr>
                <w:rFonts w:eastAsia="Arial" w:cs="Arial"/>
                <w:b/>
                <w:i/>
                <w:sz w:val="16"/>
                <w:szCs w:val="16"/>
                <w:lang w:val="it-IT"/>
              </w:rPr>
              <w:t>Mobula</w:t>
            </w:r>
            <w:proofErr w:type="spellEnd"/>
            <w:r w:rsidRPr="00300DAE">
              <w:rPr>
                <w:rFonts w:eastAsia="Arial" w:cs="Arial"/>
                <w:b/>
                <w:i/>
                <w:sz w:val="16"/>
                <w:szCs w:val="16"/>
                <w:lang w:val="it-IT"/>
              </w:rPr>
              <w:t xml:space="preserve"> </w:t>
            </w:r>
            <w:proofErr w:type="spellStart"/>
            <w:r w:rsidRPr="00300DAE">
              <w:rPr>
                <w:rFonts w:eastAsia="Arial" w:cs="Arial"/>
                <w:b/>
                <w:i/>
                <w:sz w:val="16"/>
                <w:szCs w:val="16"/>
                <w:lang w:val="it-IT"/>
              </w:rPr>
              <w:t>munkiana</w:t>
            </w:r>
            <w:proofErr w:type="spellEnd"/>
            <w:r w:rsidRPr="00300DAE">
              <w:rPr>
                <w:rFonts w:eastAsia="Arial" w:cs="Arial"/>
                <w:sz w:val="16"/>
                <w:szCs w:val="16"/>
                <w:lang w:val="it-IT"/>
              </w:rPr>
              <w:t xml:space="preserve"> Notarbartolo-di-Sciara, 1987</w:t>
            </w:r>
          </w:p>
          <w:p w14:paraId="6C7FEB71"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VU</w:t>
            </w:r>
          </w:p>
        </w:tc>
        <w:tc>
          <w:tcPr>
            <w:tcW w:w="1185" w:type="dxa"/>
            <w:vMerge w:val="restart"/>
            <w:shd w:val="clear" w:color="auto" w:fill="FFFFFF"/>
          </w:tcPr>
          <w:p w14:paraId="02784531" w14:textId="77777777" w:rsidR="00E42EB4" w:rsidRPr="00AC7730" w:rsidRDefault="004C1ADE">
            <w:pPr>
              <w:spacing w:after="120"/>
              <w:rPr>
                <w:rFonts w:eastAsia="Arial" w:cs="Arial"/>
                <w:b/>
                <w:sz w:val="16"/>
                <w:szCs w:val="16"/>
                <w:lang w:val="fr-FR"/>
              </w:rPr>
            </w:pPr>
            <w:r w:rsidRPr="00AC7730">
              <w:rPr>
                <w:rFonts w:eastAsia="Arial" w:cs="Arial"/>
                <w:sz w:val="16"/>
                <w:szCs w:val="16"/>
                <w:lang w:val="fr-FR"/>
              </w:rPr>
              <w:t>38 ans</w:t>
            </w:r>
          </w:p>
        </w:tc>
        <w:tc>
          <w:tcPr>
            <w:tcW w:w="1260" w:type="dxa"/>
            <w:shd w:val="clear" w:color="auto" w:fill="FFFFFF"/>
          </w:tcPr>
          <w:p w14:paraId="5B031515" w14:textId="77777777" w:rsidR="00E42EB4" w:rsidRPr="00AC7730" w:rsidRDefault="004C1ADE">
            <w:pPr>
              <w:spacing w:after="120"/>
              <w:rPr>
                <w:rFonts w:eastAsia="Arial" w:cs="Arial"/>
                <w:sz w:val="16"/>
                <w:szCs w:val="16"/>
              </w:rPr>
            </w:pPr>
            <w:r w:rsidRPr="00AC7730">
              <w:rPr>
                <w:rFonts w:eastAsia="Arial" w:cs="Arial"/>
                <w:b/>
                <w:sz w:val="16"/>
                <w:szCs w:val="16"/>
              </w:rPr>
              <w:t>85 %</w:t>
            </w:r>
            <w:r w:rsidRPr="00AC7730">
              <w:rPr>
                <w:rFonts w:eastAsia="Arial" w:cs="Arial"/>
                <w:sz w:val="16"/>
                <w:szCs w:val="16"/>
              </w:rPr>
              <w:t xml:space="preserve">        (2008</w:t>
            </w:r>
            <w:r w:rsidRPr="00AC7730">
              <w:rPr>
                <w:rFonts w:eastAsia="Arial" w:cs="Arial"/>
                <w:sz w:val="16"/>
                <w:szCs w:val="16"/>
                <w:highlight w:val="white"/>
              </w:rPr>
              <w:t>–</w:t>
            </w:r>
            <w:r w:rsidRPr="00AC7730">
              <w:rPr>
                <w:rFonts w:eastAsia="Arial" w:cs="Arial"/>
                <w:sz w:val="16"/>
                <w:szCs w:val="16"/>
              </w:rPr>
              <w:t>2014)</w:t>
            </w:r>
          </w:p>
        </w:tc>
        <w:tc>
          <w:tcPr>
            <w:tcW w:w="1155" w:type="dxa"/>
            <w:shd w:val="clear" w:color="auto" w:fill="FFFFFF"/>
          </w:tcPr>
          <w:p w14:paraId="204CADE2"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Zone CITT</w:t>
            </w:r>
          </w:p>
        </w:tc>
        <w:tc>
          <w:tcPr>
            <w:tcW w:w="1350" w:type="dxa"/>
            <w:shd w:val="clear" w:color="auto" w:fill="FFFFFF"/>
          </w:tcPr>
          <w:p w14:paraId="38B78D1F" w14:textId="77777777" w:rsidR="00E42EB4" w:rsidRPr="00AC7730" w:rsidRDefault="004C1ADE">
            <w:pPr>
              <w:spacing w:after="120"/>
              <w:rPr>
                <w:rFonts w:eastAsia="Arial" w:cs="Arial"/>
                <w:sz w:val="16"/>
                <w:szCs w:val="16"/>
              </w:rPr>
            </w:pPr>
            <w:r w:rsidRPr="00AC7730">
              <w:rPr>
                <w:rFonts w:eastAsia="Arial" w:cs="Arial"/>
                <w:sz w:val="16"/>
                <w:szCs w:val="16"/>
              </w:rPr>
              <w:t>Lezama-Ochoa et al., 2019</w:t>
            </w:r>
          </w:p>
        </w:tc>
        <w:tc>
          <w:tcPr>
            <w:tcW w:w="3690" w:type="dxa"/>
            <w:shd w:val="clear" w:color="auto" w:fill="FFFFFF"/>
          </w:tcPr>
          <w:p w14:paraId="74ADA5D1"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Augmentation de 2001 à 2008, suivie d'une diminution constante du nombre total de captures.</w:t>
            </w:r>
          </w:p>
        </w:tc>
      </w:tr>
      <w:tr w:rsidR="00E42EB4" w:rsidRPr="00C971E7" w14:paraId="548BA527" w14:textId="77777777">
        <w:trPr>
          <w:trHeight w:val="510"/>
        </w:trPr>
        <w:tc>
          <w:tcPr>
            <w:tcW w:w="1110" w:type="dxa"/>
            <w:vMerge/>
            <w:shd w:val="clear" w:color="auto" w:fill="FFFFFF"/>
          </w:tcPr>
          <w:p w14:paraId="756E5E1D"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shd w:val="clear" w:color="auto" w:fill="FFFFFF"/>
          </w:tcPr>
          <w:p w14:paraId="261D7260"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52B99FD2" w14:textId="77777777" w:rsidR="00E42EB4" w:rsidRPr="00AC7730" w:rsidRDefault="004C1ADE">
            <w:pPr>
              <w:spacing w:after="120"/>
              <w:rPr>
                <w:rFonts w:eastAsia="Arial" w:cs="Arial"/>
                <w:sz w:val="16"/>
                <w:szCs w:val="16"/>
              </w:rPr>
            </w:pPr>
            <w:r w:rsidRPr="00AC7730">
              <w:rPr>
                <w:rFonts w:eastAsia="Arial" w:cs="Arial"/>
                <w:b/>
                <w:sz w:val="16"/>
                <w:szCs w:val="16"/>
              </w:rPr>
              <w:t>98 %</w:t>
            </w:r>
            <w:r w:rsidRPr="00AC7730">
              <w:rPr>
                <w:rFonts w:eastAsia="Arial" w:cs="Arial"/>
                <w:sz w:val="16"/>
                <w:szCs w:val="16"/>
              </w:rPr>
              <w:t xml:space="preserve">       (2016</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2F2F2"/>
          </w:tcPr>
          <w:p w14:paraId="3635180D"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Tumbes, Pérou</w:t>
            </w:r>
          </w:p>
        </w:tc>
        <w:tc>
          <w:tcPr>
            <w:tcW w:w="1350" w:type="dxa"/>
            <w:shd w:val="clear" w:color="auto" w:fill="F2F2F2"/>
          </w:tcPr>
          <w:p w14:paraId="2DE87F9E" w14:textId="77777777" w:rsidR="00E42EB4" w:rsidRPr="00AC7730" w:rsidRDefault="004C1ADE">
            <w:pPr>
              <w:spacing w:after="120"/>
              <w:rPr>
                <w:rFonts w:eastAsia="Arial" w:cs="Arial"/>
                <w:sz w:val="16"/>
                <w:szCs w:val="16"/>
              </w:rPr>
            </w:pPr>
            <w:r w:rsidRPr="00AC7730">
              <w:rPr>
                <w:rFonts w:eastAsia="Arial" w:cs="Arial"/>
                <w:sz w:val="16"/>
                <w:szCs w:val="16"/>
              </w:rPr>
              <w:t>Rojas-Perea et al., 2024</w:t>
            </w:r>
          </w:p>
        </w:tc>
        <w:tc>
          <w:tcPr>
            <w:tcW w:w="3690" w:type="dxa"/>
            <w:shd w:val="clear" w:color="auto" w:fill="F2F2F2"/>
          </w:tcPr>
          <w:p w14:paraId="4B74A285"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Données de l'IMARPE du Pérou (données gouvernementales). </w:t>
            </w:r>
          </w:p>
        </w:tc>
      </w:tr>
      <w:tr w:rsidR="00E42EB4" w:rsidRPr="00AC7730" w14:paraId="4DA63B46" w14:textId="77777777">
        <w:trPr>
          <w:trHeight w:val="765"/>
        </w:trPr>
        <w:tc>
          <w:tcPr>
            <w:tcW w:w="1110" w:type="dxa"/>
            <w:vMerge w:val="restart"/>
          </w:tcPr>
          <w:p w14:paraId="0C4BA509" w14:textId="77777777" w:rsidR="00E42EB4" w:rsidRPr="00300DAE" w:rsidRDefault="004C1ADE">
            <w:pPr>
              <w:spacing w:after="120"/>
              <w:rPr>
                <w:rFonts w:eastAsia="Arial" w:cs="Arial"/>
                <w:sz w:val="16"/>
                <w:szCs w:val="16"/>
                <w:lang w:val="fr-FR"/>
              </w:rPr>
            </w:pPr>
            <w:proofErr w:type="spellStart"/>
            <w:r w:rsidRPr="00300DAE">
              <w:rPr>
                <w:rFonts w:eastAsia="Arial" w:cs="Arial"/>
                <w:b/>
                <w:i/>
                <w:sz w:val="16"/>
                <w:szCs w:val="16"/>
                <w:lang w:val="fr-FR"/>
              </w:rPr>
              <w:t>Mobula</w:t>
            </w:r>
            <w:proofErr w:type="spellEnd"/>
            <w:r w:rsidRPr="00300DAE">
              <w:rPr>
                <w:rFonts w:eastAsia="Arial" w:cs="Arial"/>
                <w:b/>
                <w:i/>
                <w:sz w:val="16"/>
                <w:szCs w:val="16"/>
                <w:lang w:val="fr-FR"/>
              </w:rPr>
              <w:t xml:space="preserve"> </w:t>
            </w:r>
            <w:proofErr w:type="spellStart"/>
            <w:r w:rsidRPr="00300DAE">
              <w:rPr>
                <w:rFonts w:eastAsia="Arial" w:cs="Arial"/>
                <w:b/>
                <w:i/>
                <w:sz w:val="16"/>
                <w:szCs w:val="16"/>
                <w:lang w:val="fr-FR"/>
              </w:rPr>
              <w:t>hypostoma</w:t>
            </w:r>
            <w:proofErr w:type="spellEnd"/>
            <w:r w:rsidRPr="00300DAE">
              <w:rPr>
                <w:rFonts w:eastAsia="Arial" w:cs="Arial"/>
                <w:sz w:val="16"/>
                <w:szCs w:val="16"/>
                <w:lang w:val="fr-FR"/>
              </w:rPr>
              <w:t xml:space="preserve"> (Bancroft, 1831)</w:t>
            </w:r>
          </w:p>
          <w:p w14:paraId="4D06F1E8"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Statut sur la Liste rouge de l'UICN : </w:t>
            </w:r>
            <w:r w:rsidRPr="00AC7730">
              <w:rPr>
                <w:rFonts w:eastAsia="Arial" w:cs="Arial"/>
                <w:b/>
                <w:sz w:val="16"/>
                <w:szCs w:val="16"/>
                <w:lang w:val="fr-FR"/>
              </w:rPr>
              <w:t>EN</w:t>
            </w:r>
          </w:p>
        </w:tc>
        <w:tc>
          <w:tcPr>
            <w:tcW w:w="1185" w:type="dxa"/>
            <w:vMerge w:val="restart"/>
          </w:tcPr>
          <w:p w14:paraId="1E7B2E7F" w14:textId="77777777" w:rsidR="00E42EB4" w:rsidRPr="00AC7730" w:rsidRDefault="004C1ADE">
            <w:pPr>
              <w:spacing w:after="120"/>
              <w:rPr>
                <w:rFonts w:eastAsia="Arial" w:cs="Arial"/>
                <w:b/>
                <w:sz w:val="16"/>
                <w:szCs w:val="16"/>
                <w:lang w:val="fr-FR"/>
              </w:rPr>
            </w:pPr>
            <w:r w:rsidRPr="00AC7730">
              <w:rPr>
                <w:rFonts w:eastAsia="Arial" w:cs="Arial"/>
                <w:sz w:val="16"/>
                <w:szCs w:val="16"/>
                <w:lang w:val="fr-FR"/>
              </w:rPr>
              <w:t>38 ans</w:t>
            </w:r>
          </w:p>
        </w:tc>
        <w:tc>
          <w:tcPr>
            <w:tcW w:w="1260" w:type="dxa"/>
            <w:shd w:val="clear" w:color="auto" w:fill="FFFFFF"/>
          </w:tcPr>
          <w:p w14:paraId="76B3701C" w14:textId="77777777" w:rsidR="00E42EB4" w:rsidRPr="00AC7730" w:rsidRDefault="004C1ADE">
            <w:pPr>
              <w:spacing w:after="120"/>
              <w:rPr>
                <w:rFonts w:eastAsia="Arial" w:cs="Arial"/>
                <w:b/>
                <w:sz w:val="16"/>
                <w:szCs w:val="16"/>
              </w:rPr>
            </w:pPr>
            <w:r w:rsidRPr="00AC7730">
              <w:rPr>
                <w:rFonts w:eastAsia="Arial" w:cs="Arial"/>
                <w:b/>
                <w:sz w:val="16"/>
                <w:szCs w:val="16"/>
              </w:rPr>
              <w:t>83 %</w:t>
            </w:r>
            <w:r w:rsidRPr="00AC7730">
              <w:rPr>
                <w:rFonts w:eastAsia="Arial" w:cs="Arial"/>
                <w:sz w:val="16"/>
                <w:szCs w:val="16"/>
              </w:rPr>
              <w:t xml:space="preserve">      (2002</w:t>
            </w:r>
            <w:r w:rsidRPr="00AC7730">
              <w:rPr>
                <w:rFonts w:eastAsia="Arial" w:cs="Arial"/>
                <w:sz w:val="16"/>
                <w:szCs w:val="16"/>
                <w:highlight w:val="white"/>
              </w:rPr>
              <w:t>–</w:t>
            </w:r>
            <w:r w:rsidRPr="00AC7730">
              <w:rPr>
                <w:rFonts w:eastAsia="Arial" w:cs="Arial"/>
                <w:sz w:val="16"/>
                <w:szCs w:val="16"/>
              </w:rPr>
              <w:t>2022)</w:t>
            </w:r>
          </w:p>
        </w:tc>
        <w:tc>
          <w:tcPr>
            <w:tcW w:w="1155" w:type="dxa"/>
            <w:shd w:val="clear" w:color="auto" w:fill="FFFFFF"/>
          </w:tcPr>
          <w:p w14:paraId="5CE0E84B"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Sud-est des États-Unis</w:t>
            </w:r>
          </w:p>
        </w:tc>
        <w:tc>
          <w:tcPr>
            <w:tcW w:w="1350" w:type="dxa"/>
            <w:shd w:val="clear" w:color="auto" w:fill="FFFFFF"/>
          </w:tcPr>
          <w:p w14:paraId="3B3C647B"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Boggio-Pascua et al. 2025 (en révision)</w:t>
            </w:r>
          </w:p>
        </w:tc>
        <w:tc>
          <w:tcPr>
            <w:tcW w:w="3690" w:type="dxa"/>
            <w:shd w:val="clear" w:color="auto" w:fill="FFFFFF"/>
          </w:tcPr>
          <w:p w14:paraId="16E7975B"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Déclin dans la base de données à long terme des chaluts de SEAMAP. Calculs basés sur les captures par chalut.</w:t>
            </w:r>
          </w:p>
        </w:tc>
      </w:tr>
      <w:tr w:rsidR="00E42EB4" w:rsidRPr="00C971E7" w14:paraId="5BF22C04" w14:textId="77777777">
        <w:trPr>
          <w:trHeight w:val="1485"/>
        </w:trPr>
        <w:tc>
          <w:tcPr>
            <w:tcW w:w="1110" w:type="dxa"/>
            <w:vMerge/>
          </w:tcPr>
          <w:p w14:paraId="7D3CD5A0"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21DC5C3B"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1DCAF5B7"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Déclin présumé des populations</w:t>
            </w:r>
          </w:p>
        </w:tc>
        <w:tc>
          <w:tcPr>
            <w:tcW w:w="1155" w:type="dxa"/>
            <w:shd w:val="clear" w:color="auto" w:fill="F2F2F2"/>
          </w:tcPr>
          <w:p w14:paraId="0E411C64"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Sénégal</w:t>
            </w:r>
          </w:p>
        </w:tc>
        <w:tc>
          <w:tcPr>
            <w:tcW w:w="1350" w:type="dxa"/>
            <w:shd w:val="clear" w:color="auto" w:fill="F2F2F2"/>
          </w:tcPr>
          <w:p w14:paraId="72EAD090"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De Boer et al, 2024</w:t>
            </w:r>
          </w:p>
        </w:tc>
        <w:tc>
          <w:tcPr>
            <w:tcW w:w="3690" w:type="dxa"/>
            <w:shd w:val="clear" w:color="auto" w:fill="F2F2F2"/>
          </w:tcPr>
          <w:p w14:paraId="355012E8"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L'espèce est maintenant apparemment extrêmement rare ou complètement absente d'une grande partie de son aire de répartition la plus septentrionale, allant du Sahara occidental au Nigeria (R. Jabado pers. </w:t>
            </w:r>
            <w:proofErr w:type="spellStart"/>
            <w:r w:rsidRPr="00AC7730">
              <w:rPr>
                <w:rFonts w:eastAsia="Arial" w:cs="Arial"/>
                <w:sz w:val="16"/>
                <w:szCs w:val="16"/>
                <w:lang w:val="fr-FR"/>
              </w:rPr>
              <w:t>comm</w:t>
            </w:r>
            <w:proofErr w:type="spellEnd"/>
            <w:r w:rsidRPr="00AC7730">
              <w:rPr>
                <w:rFonts w:eastAsia="Arial" w:cs="Arial"/>
                <w:sz w:val="16"/>
                <w:szCs w:val="16"/>
                <w:lang w:val="fr-FR"/>
              </w:rPr>
              <w:t>.), alors qu'elle était considérée comme courante au Sénégal dans les années 1960 (</w:t>
            </w:r>
            <w:proofErr w:type="spellStart"/>
            <w:r w:rsidRPr="00AC7730">
              <w:rPr>
                <w:rFonts w:eastAsia="Arial" w:cs="Arial"/>
                <w:sz w:val="16"/>
                <w:szCs w:val="16"/>
                <w:lang w:val="fr-FR"/>
              </w:rPr>
              <w:t>Cadenat</w:t>
            </w:r>
            <w:proofErr w:type="spellEnd"/>
            <w:r w:rsidRPr="00AC7730">
              <w:rPr>
                <w:rFonts w:eastAsia="Arial" w:cs="Arial"/>
                <w:sz w:val="16"/>
                <w:szCs w:val="16"/>
                <w:lang w:val="fr-FR"/>
              </w:rPr>
              <w:t xml:space="preserve"> 1960).</w:t>
            </w:r>
          </w:p>
        </w:tc>
      </w:tr>
      <w:tr w:rsidR="00E42EB4" w:rsidRPr="00C971E7" w14:paraId="6EF1789D" w14:textId="77777777">
        <w:trPr>
          <w:trHeight w:val="525"/>
        </w:trPr>
        <w:tc>
          <w:tcPr>
            <w:tcW w:w="1110" w:type="dxa"/>
            <w:vMerge/>
          </w:tcPr>
          <w:p w14:paraId="748F7835"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185" w:type="dxa"/>
            <w:vMerge/>
          </w:tcPr>
          <w:p w14:paraId="3F037287"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024D86D4"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Déclin présumé des populations</w:t>
            </w:r>
          </w:p>
        </w:tc>
        <w:tc>
          <w:tcPr>
            <w:tcW w:w="1155" w:type="dxa"/>
            <w:shd w:val="clear" w:color="auto" w:fill="FFFFFF"/>
          </w:tcPr>
          <w:p w14:paraId="733A2810"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Cameroun </w:t>
            </w:r>
          </w:p>
        </w:tc>
        <w:tc>
          <w:tcPr>
            <w:tcW w:w="1350" w:type="dxa"/>
            <w:shd w:val="clear" w:color="auto" w:fill="FFFFFF"/>
          </w:tcPr>
          <w:p w14:paraId="191FDEBC"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Humble et al, 2025</w:t>
            </w:r>
          </w:p>
        </w:tc>
        <w:tc>
          <w:tcPr>
            <w:tcW w:w="3690" w:type="dxa"/>
            <w:shd w:val="clear" w:color="auto" w:fill="FFFFFF"/>
          </w:tcPr>
          <w:p w14:paraId="76B09282"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Populations génétiquement isolées exposées à une intense activité de pêche.</w:t>
            </w:r>
          </w:p>
        </w:tc>
      </w:tr>
      <w:tr w:rsidR="00E42EB4" w:rsidRPr="00C971E7" w14:paraId="07BCECF3" w14:textId="77777777">
        <w:trPr>
          <w:trHeight w:val="510"/>
        </w:trPr>
        <w:tc>
          <w:tcPr>
            <w:tcW w:w="2295" w:type="dxa"/>
            <w:gridSpan w:val="2"/>
            <w:vMerge w:val="restart"/>
          </w:tcPr>
          <w:p w14:paraId="40AD14BF" w14:textId="77777777" w:rsidR="00E42EB4" w:rsidRPr="00AC7730" w:rsidRDefault="004C1ADE">
            <w:pPr>
              <w:spacing w:after="120"/>
              <w:rPr>
                <w:rFonts w:eastAsia="Arial" w:cs="Arial"/>
                <w:b/>
                <w:sz w:val="16"/>
                <w:szCs w:val="16"/>
              </w:rPr>
            </w:pPr>
            <w:proofErr w:type="spellStart"/>
            <w:r w:rsidRPr="00AC7730">
              <w:rPr>
                <w:rFonts w:eastAsia="Arial" w:cs="Arial"/>
                <w:b/>
                <w:i/>
                <w:sz w:val="16"/>
                <w:szCs w:val="16"/>
              </w:rPr>
              <w:t>Mobula</w:t>
            </w:r>
            <w:proofErr w:type="spellEnd"/>
            <w:r w:rsidRPr="00AC7730">
              <w:rPr>
                <w:rFonts w:eastAsia="Arial" w:cs="Arial"/>
                <w:b/>
                <w:i/>
                <w:sz w:val="16"/>
                <w:szCs w:val="16"/>
              </w:rPr>
              <w:t xml:space="preserve"> spp. </w:t>
            </w:r>
          </w:p>
        </w:tc>
        <w:tc>
          <w:tcPr>
            <w:tcW w:w="1260" w:type="dxa"/>
            <w:shd w:val="clear" w:color="auto" w:fill="F2F2F2"/>
          </w:tcPr>
          <w:p w14:paraId="4B01CB03" w14:textId="77777777" w:rsidR="00E42EB4" w:rsidRPr="00AC7730" w:rsidRDefault="004C1ADE">
            <w:pPr>
              <w:spacing w:after="120"/>
              <w:rPr>
                <w:rFonts w:eastAsia="Arial" w:cs="Arial"/>
                <w:b/>
                <w:sz w:val="16"/>
                <w:szCs w:val="16"/>
              </w:rPr>
            </w:pPr>
            <w:r w:rsidRPr="00AC7730">
              <w:rPr>
                <w:rFonts w:eastAsia="Arial" w:cs="Arial"/>
                <w:b/>
                <w:sz w:val="16"/>
                <w:szCs w:val="16"/>
              </w:rPr>
              <w:t>78 %</w:t>
            </w:r>
            <w:r w:rsidRPr="00AC7730">
              <w:rPr>
                <w:rFonts w:eastAsia="Arial" w:cs="Arial"/>
                <w:sz w:val="16"/>
                <w:szCs w:val="16"/>
              </w:rPr>
              <w:t xml:space="preserve">      (1993</w:t>
            </w:r>
            <w:r w:rsidRPr="00AC7730">
              <w:rPr>
                <w:rFonts w:eastAsia="Arial" w:cs="Arial"/>
                <w:sz w:val="16"/>
                <w:szCs w:val="16"/>
                <w:highlight w:val="white"/>
              </w:rPr>
              <w:t>–</w:t>
            </w:r>
            <w:r w:rsidRPr="00AC7730">
              <w:rPr>
                <w:rFonts w:eastAsia="Arial" w:cs="Arial"/>
                <w:sz w:val="16"/>
                <w:szCs w:val="16"/>
              </w:rPr>
              <w:t>2013)</w:t>
            </w:r>
          </w:p>
        </w:tc>
        <w:tc>
          <w:tcPr>
            <w:tcW w:w="1155" w:type="dxa"/>
            <w:shd w:val="clear" w:color="auto" w:fill="F2F2F2"/>
          </w:tcPr>
          <w:p w14:paraId="1ED613F3"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Île Cocos, Costa Rica</w:t>
            </w:r>
          </w:p>
        </w:tc>
        <w:tc>
          <w:tcPr>
            <w:tcW w:w="1350" w:type="dxa"/>
            <w:shd w:val="clear" w:color="auto" w:fill="F2F2F2"/>
          </w:tcPr>
          <w:p w14:paraId="15C80D4C"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White et al, 2015</w:t>
            </w:r>
          </w:p>
        </w:tc>
        <w:tc>
          <w:tcPr>
            <w:tcW w:w="3690" w:type="dxa"/>
            <w:shd w:val="clear" w:color="auto" w:fill="F2F2F2"/>
          </w:tcPr>
          <w:p w14:paraId="36B2E30B"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À partir des données d'observation de 27 527 plongées effectuées en 21 ans sur 17 sites. </w:t>
            </w:r>
          </w:p>
        </w:tc>
      </w:tr>
      <w:tr w:rsidR="00E42EB4" w:rsidRPr="00C971E7" w14:paraId="479C3EF5" w14:textId="77777777">
        <w:trPr>
          <w:trHeight w:val="510"/>
        </w:trPr>
        <w:tc>
          <w:tcPr>
            <w:tcW w:w="2295" w:type="dxa"/>
            <w:gridSpan w:val="2"/>
            <w:vMerge/>
          </w:tcPr>
          <w:p w14:paraId="75DAD27B"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66C9BF54" w14:textId="77777777" w:rsidR="00E42EB4" w:rsidRPr="00AC7730" w:rsidRDefault="004C1ADE">
            <w:pPr>
              <w:spacing w:after="120"/>
              <w:rPr>
                <w:rFonts w:eastAsia="Arial" w:cs="Arial"/>
                <w:b/>
                <w:sz w:val="16"/>
                <w:szCs w:val="16"/>
              </w:rPr>
            </w:pPr>
            <w:r w:rsidRPr="00AC7730">
              <w:rPr>
                <w:rFonts w:eastAsia="Arial" w:cs="Arial"/>
                <w:b/>
                <w:sz w:val="16"/>
                <w:szCs w:val="16"/>
              </w:rPr>
              <w:t>99 %</w:t>
            </w:r>
            <w:r w:rsidRPr="00AC7730">
              <w:rPr>
                <w:rFonts w:eastAsia="Arial" w:cs="Arial"/>
                <w:sz w:val="16"/>
                <w:szCs w:val="16"/>
              </w:rPr>
              <w:t xml:space="preserve">      (2016</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FFFFF"/>
          </w:tcPr>
          <w:p w14:paraId="64BDE316"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Indonésie</w:t>
            </w:r>
          </w:p>
        </w:tc>
        <w:tc>
          <w:tcPr>
            <w:tcW w:w="1350" w:type="dxa"/>
            <w:shd w:val="clear" w:color="auto" w:fill="FFFFFF"/>
          </w:tcPr>
          <w:p w14:paraId="63BDC092"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Données de l’Organisation des Nations Unies pour l'Alimentation et l'Agriculture</w:t>
            </w:r>
          </w:p>
        </w:tc>
        <w:tc>
          <w:tcPr>
            <w:tcW w:w="3690" w:type="dxa"/>
            <w:shd w:val="clear" w:color="auto" w:fill="FFFFFF"/>
          </w:tcPr>
          <w:p w14:paraId="01918B5E"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Calculé à partir des données du domaine public de l'Organisation des Nations Unies pour l'Alimentation et l'Agriculture. </w:t>
            </w:r>
          </w:p>
        </w:tc>
      </w:tr>
      <w:tr w:rsidR="00E42EB4" w:rsidRPr="00C971E7" w14:paraId="50E4038D" w14:textId="77777777">
        <w:trPr>
          <w:trHeight w:val="510"/>
        </w:trPr>
        <w:tc>
          <w:tcPr>
            <w:tcW w:w="2295" w:type="dxa"/>
            <w:gridSpan w:val="2"/>
            <w:vMerge/>
          </w:tcPr>
          <w:p w14:paraId="5028247B"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2F0C6212" w14:textId="77777777" w:rsidR="00E42EB4" w:rsidRPr="00AC7730" w:rsidRDefault="004C1ADE">
            <w:pPr>
              <w:spacing w:after="120"/>
              <w:rPr>
                <w:rFonts w:eastAsia="Arial" w:cs="Arial"/>
                <w:b/>
                <w:sz w:val="16"/>
                <w:szCs w:val="16"/>
              </w:rPr>
            </w:pPr>
            <w:r w:rsidRPr="00AC7730">
              <w:rPr>
                <w:rFonts w:eastAsia="Arial" w:cs="Arial"/>
                <w:b/>
                <w:sz w:val="16"/>
                <w:szCs w:val="16"/>
              </w:rPr>
              <w:t>84 %</w:t>
            </w:r>
            <w:r w:rsidRPr="00AC7730">
              <w:rPr>
                <w:rFonts w:eastAsia="Arial" w:cs="Arial"/>
                <w:sz w:val="16"/>
                <w:szCs w:val="16"/>
              </w:rPr>
              <w:t xml:space="preserve">      (2018</w:t>
            </w:r>
            <w:r w:rsidRPr="00AC7730">
              <w:rPr>
                <w:rFonts w:eastAsia="Arial" w:cs="Arial"/>
                <w:sz w:val="16"/>
                <w:szCs w:val="16"/>
                <w:highlight w:val="white"/>
              </w:rPr>
              <w:t>–</w:t>
            </w:r>
            <w:r w:rsidRPr="00AC7730">
              <w:rPr>
                <w:rFonts w:eastAsia="Arial" w:cs="Arial"/>
                <w:sz w:val="16"/>
                <w:szCs w:val="16"/>
              </w:rPr>
              <w:t xml:space="preserve">2022) </w:t>
            </w:r>
          </w:p>
        </w:tc>
        <w:tc>
          <w:tcPr>
            <w:tcW w:w="1155" w:type="dxa"/>
            <w:shd w:val="clear" w:color="auto" w:fill="F2F2F2"/>
          </w:tcPr>
          <w:p w14:paraId="091B08C9" w14:textId="77777777" w:rsidR="00E42EB4" w:rsidRPr="00AC7730" w:rsidRDefault="004C1ADE">
            <w:pPr>
              <w:spacing w:after="120"/>
              <w:rPr>
                <w:rFonts w:eastAsia="Arial" w:cs="Arial"/>
                <w:sz w:val="16"/>
                <w:szCs w:val="16"/>
              </w:rPr>
            </w:pPr>
            <w:r w:rsidRPr="00AC7730">
              <w:rPr>
                <w:rFonts w:eastAsia="Arial" w:cs="Arial"/>
                <w:sz w:val="16"/>
                <w:szCs w:val="16"/>
              </w:rPr>
              <w:t>Kenya</w:t>
            </w:r>
          </w:p>
        </w:tc>
        <w:tc>
          <w:tcPr>
            <w:tcW w:w="1350" w:type="dxa"/>
            <w:shd w:val="clear" w:color="auto" w:fill="F2F2F2"/>
          </w:tcPr>
          <w:p w14:paraId="6D2CBBFE"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Données de la Commission des thons de l'Océan Indien (CTOI)</w:t>
            </w:r>
          </w:p>
        </w:tc>
        <w:tc>
          <w:tcPr>
            <w:tcW w:w="3690" w:type="dxa"/>
            <w:shd w:val="clear" w:color="auto" w:fill="F2F2F2"/>
          </w:tcPr>
          <w:p w14:paraId="6834E938"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Calculé à partir des données du domaine public de la Commission des thons de l'Océan Indien (CTOI). </w:t>
            </w:r>
          </w:p>
        </w:tc>
      </w:tr>
      <w:tr w:rsidR="00E42EB4" w:rsidRPr="00C971E7" w14:paraId="691C8A81" w14:textId="77777777">
        <w:trPr>
          <w:trHeight w:val="765"/>
        </w:trPr>
        <w:tc>
          <w:tcPr>
            <w:tcW w:w="2295" w:type="dxa"/>
            <w:gridSpan w:val="2"/>
            <w:vMerge/>
          </w:tcPr>
          <w:p w14:paraId="56691BE0"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FFFFF"/>
          </w:tcPr>
          <w:p w14:paraId="195F508C" w14:textId="77777777" w:rsidR="00E42EB4" w:rsidRPr="00AC7730" w:rsidRDefault="004C1ADE">
            <w:pPr>
              <w:spacing w:after="120"/>
              <w:rPr>
                <w:rFonts w:eastAsia="Arial" w:cs="Arial"/>
                <w:sz w:val="16"/>
                <w:szCs w:val="16"/>
              </w:rPr>
            </w:pPr>
            <w:r w:rsidRPr="00AC7730">
              <w:rPr>
                <w:rFonts w:eastAsia="Arial" w:cs="Arial"/>
                <w:b/>
                <w:sz w:val="16"/>
                <w:szCs w:val="16"/>
              </w:rPr>
              <w:t>84 %</w:t>
            </w:r>
            <w:r w:rsidRPr="00AC7730">
              <w:rPr>
                <w:rFonts w:eastAsia="Arial" w:cs="Arial"/>
                <w:sz w:val="16"/>
                <w:szCs w:val="16"/>
              </w:rPr>
              <w:t xml:space="preserve">      (2015</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FFFFF"/>
          </w:tcPr>
          <w:p w14:paraId="78A1BB1C"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Tumbes, Pérou</w:t>
            </w:r>
          </w:p>
        </w:tc>
        <w:tc>
          <w:tcPr>
            <w:tcW w:w="1350" w:type="dxa"/>
            <w:shd w:val="clear" w:color="auto" w:fill="FFFFFF"/>
          </w:tcPr>
          <w:p w14:paraId="6F942079" w14:textId="77777777" w:rsidR="00E42EB4" w:rsidRPr="00300DAE" w:rsidRDefault="004C1ADE">
            <w:pPr>
              <w:spacing w:after="120"/>
              <w:rPr>
                <w:rFonts w:eastAsia="Arial" w:cs="Arial"/>
                <w:sz w:val="16"/>
                <w:szCs w:val="16"/>
                <w:lang w:val="es-ES"/>
              </w:rPr>
            </w:pPr>
            <w:r w:rsidRPr="00300DAE">
              <w:rPr>
                <w:rFonts w:eastAsia="Arial" w:cs="Arial"/>
                <w:sz w:val="16"/>
                <w:szCs w:val="16"/>
                <w:lang w:val="es-ES"/>
              </w:rPr>
              <w:t>Rojas-Perea et al., 2024b</w:t>
            </w:r>
          </w:p>
        </w:tc>
        <w:tc>
          <w:tcPr>
            <w:tcW w:w="3690" w:type="dxa"/>
            <w:shd w:val="clear" w:color="auto" w:fill="FFFFFF"/>
          </w:tcPr>
          <w:p w14:paraId="20AEB32D"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Déclin pour tous les </w:t>
            </w:r>
            <w:proofErr w:type="spellStart"/>
            <w:r w:rsidRPr="00AC7730">
              <w:rPr>
                <w:rFonts w:eastAsia="Arial" w:cs="Arial"/>
                <w:sz w:val="16"/>
                <w:szCs w:val="16"/>
                <w:lang w:val="fr-FR"/>
              </w:rPr>
              <w:t>mobulidés</w:t>
            </w:r>
            <w:proofErr w:type="spellEnd"/>
            <w:r w:rsidRPr="00AC7730">
              <w:rPr>
                <w:rFonts w:eastAsia="Arial" w:cs="Arial"/>
                <w:sz w:val="16"/>
                <w:szCs w:val="16"/>
                <w:lang w:val="fr-FR"/>
              </w:rPr>
              <w:t xml:space="preserve"> de la zone d'étude. Données de l'IMARPE du Pérou (données gouvernementales). </w:t>
            </w:r>
          </w:p>
        </w:tc>
      </w:tr>
      <w:tr w:rsidR="00E42EB4" w:rsidRPr="00C971E7" w14:paraId="7286694D" w14:textId="77777777">
        <w:trPr>
          <w:trHeight w:val="525"/>
        </w:trPr>
        <w:tc>
          <w:tcPr>
            <w:tcW w:w="2295" w:type="dxa"/>
            <w:gridSpan w:val="2"/>
            <w:vMerge/>
          </w:tcPr>
          <w:p w14:paraId="06FA69CF"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shd w:val="clear" w:color="auto" w:fill="F2F2F2"/>
          </w:tcPr>
          <w:p w14:paraId="4FB9CFBD" w14:textId="77777777" w:rsidR="00E42EB4" w:rsidRPr="00AC7730" w:rsidRDefault="004C1ADE">
            <w:pPr>
              <w:spacing w:after="120"/>
              <w:rPr>
                <w:rFonts w:eastAsia="Arial" w:cs="Arial"/>
                <w:sz w:val="16"/>
                <w:szCs w:val="16"/>
              </w:rPr>
            </w:pPr>
            <w:r w:rsidRPr="00AC7730">
              <w:rPr>
                <w:rFonts w:eastAsia="Arial" w:cs="Arial"/>
                <w:b/>
                <w:sz w:val="16"/>
                <w:szCs w:val="16"/>
              </w:rPr>
              <w:t>96 %</w:t>
            </w:r>
            <w:r w:rsidRPr="00AC7730">
              <w:rPr>
                <w:rFonts w:eastAsia="Arial" w:cs="Arial"/>
                <w:sz w:val="16"/>
                <w:szCs w:val="16"/>
              </w:rPr>
              <w:t xml:space="preserve">      (2016</w:t>
            </w:r>
            <w:r w:rsidRPr="00AC7730">
              <w:rPr>
                <w:rFonts w:eastAsia="Arial" w:cs="Arial"/>
                <w:sz w:val="16"/>
                <w:szCs w:val="16"/>
                <w:highlight w:val="white"/>
              </w:rPr>
              <w:t>–</w:t>
            </w:r>
            <w:r w:rsidRPr="00AC7730">
              <w:rPr>
                <w:rFonts w:eastAsia="Arial" w:cs="Arial"/>
                <w:sz w:val="16"/>
                <w:szCs w:val="16"/>
              </w:rPr>
              <w:t>2023)</w:t>
            </w:r>
          </w:p>
        </w:tc>
        <w:tc>
          <w:tcPr>
            <w:tcW w:w="1155" w:type="dxa"/>
            <w:shd w:val="clear" w:color="auto" w:fill="F2F2F2"/>
          </w:tcPr>
          <w:p w14:paraId="26635F93" w14:textId="77777777" w:rsidR="00E42EB4" w:rsidRPr="00AC7730" w:rsidRDefault="004C1ADE">
            <w:pPr>
              <w:spacing w:after="120"/>
              <w:rPr>
                <w:rFonts w:eastAsia="Arial" w:cs="Arial"/>
                <w:sz w:val="16"/>
                <w:szCs w:val="16"/>
              </w:rPr>
            </w:pPr>
            <w:r w:rsidRPr="00AC7730">
              <w:rPr>
                <w:rFonts w:eastAsia="Arial" w:cs="Arial"/>
                <w:sz w:val="16"/>
                <w:szCs w:val="16"/>
              </w:rPr>
              <w:t>Pakistan</w:t>
            </w:r>
          </w:p>
        </w:tc>
        <w:tc>
          <w:tcPr>
            <w:tcW w:w="1350" w:type="dxa"/>
            <w:shd w:val="clear" w:color="auto" w:fill="F2F2F2"/>
          </w:tcPr>
          <w:p w14:paraId="4D56630B"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Données de la Commission des thons de l'Océan Indien (CTOI)</w:t>
            </w:r>
          </w:p>
        </w:tc>
        <w:tc>
          <w:tcPr>
            <w:tcW w:w="3690" w:type="dxa"/>
            <w:shd w:val="clear" w:color="auto" w:fill="F2F2F2"/>
          </w:tcPr>
          <w:p w14:paraId="06227245"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Calculé à partir des données du domaine public de la Commission des thons de l'Océan Indien (CTOI). </w:t>
            </w:r>
          </w:p>
        </w:tc>
      </w:tr>
      <w:tr w:rsidR="00E42EB4" w:rsidRPr="00C971E7" w14:paraId="4A3F4F58" w14:textId="77777777">
        <w:trPr>
          <w:trHeight w:val="525"/>
        </w:trPr>
        <w:tc>
          <w:tcPr>
            <w:tcW w:w="2295" w:type="dxa"/>
            <w:gridSpan w:val="2"/>
            <w:vMerge/>
          </w:tcPr>
          <w:p w14:paraId="29829D92" w14:textId="77777777" w:rsidR="00E42EB4" w:rsidRPr="00AC7730" w:rsidRDefault="00E42EB4">
            <w:pPr>
              <w:widowControl w:val="0"/>
              <w:pBdr>
                <w:top w:val="nil"/>
                <w:left w:val="nil"/>
                <w:bottom w:val="nil"/>
                <w:right w:val="nil"/>
                <w:between w:val="nil"/>
              </w:pBdr>
              <w:spacing w:line="276" w:lineRule="auto"/>
              <w:rPr>
                <w:rFonts w:eastAsia="Arial" w:cs="Arial"/>
                <w:sz w:val="16"/>
                <w:szCs w:val="16"/>
                <w:lang w:val="fr-FR"/>
              </w:rPr>
            </w:pPr>
          </w:p>
        </w:tc>
        <w:tc>
          <w:tcPr>
            <w:tcW w:w="1260" w:type="dxa"/>
          </w:tcPr>
          <w:p w14:paraId="12E3A16A" w14:textId="77777777" w:rsidR="00E42EB4" w:rsidRPr="00AC7730" w:rsidRDefault="004C1ADE">
            <w:pPr>
              <w:rPr>
                <w:rFonts w:eastAsia="Arial" w:cs="Arial"/>
                <w:b/>
                <w:sz w:val="16"/>
                <w:szCs w:val="16"/>
              </w:rPr>
            </w:pPr>
            <w:r w:rsidRPr="00AC7730">
              <w:rPr>
                <w:rFonts w:eastAsia="Arial" w:cs="Arial"/>
                <w:b/>
                <w:sz w:val="16"/>
                <w:szCs w:val="16"/>
              </w:rPr>
              <w:t>99 %</w:t>
            </w:r>
          </w:p>
          <w:p w14:paraId="41B41BE6" w14:textId="77777777" w:rsidR="00E42EB4" w:rsidRPr="00AC7730" w:rsidRDefault="004C1ADE">
            <w:pPr>
              <w:rPr>
                <w:rFonts w:eastAsia="Arial" w:cs="Arial"/>
                <w:b/>
                <w:sz w:val="16"/>
                <w:szCs w:val="16"/>
              </w:rPr>
            </w:pPr>
            <w:r w:rsidRPr="00AC7730">
              <w:rPr>
                <w:rFonts w:eastAsia="Arial" w:cs="Arial"/>
                <w:sz w:val="16"/>
                <w:szCs w:val="16"/>
              </w:rPr>
              <w:t>(2019-2022)</w:t>
            </w:r>
          </w:p>
        </w:tc>
        <w:tc>
          <w:tcPr>
            <w:tcW w:w="1155" w:type="dxa"/>
          </w:tcPr>
          <w:p w14:paraId="359F2FD4" w14:textId="77777777" w:rsidR="00E42EB4" w:rsidRPr="00AC7730" w:rsidRDefault="004C1ADE">
            <w:pPr>
              <w:rPr>
                <w:rFonts w:eastAsia="Arial" w:cs="Arial"/>
                <w:sz w:val="16"/>
                <w:szCs w:val="16"/>
                <w:lang w:val="fr-FR"/>
              </w:rPr>
            </w:pPr>
            <w:r w:rsidRPr="00AC7730">
              <w:rPr>
                <w:rFonts w:eastAsia="Arial" w:cs="Arial"/>
                <w:sz w:val="16"/>
                <w:szCs w:val="16"/>
                <w:lang w:val="fr-FR"/>
              </w:rPr>
              <w:t>Mexique</w:t>
            </w:r>
          </w:p>
        </w:tc>
        <w:tc>
          <w:tcPr>
            <w:tcW w:w="1350" w:type="dxa"/>
          </w:tcPr>
          <w:p w14:paraId="36FAB9B9" w14:textId="77777777" w:rsidR="00E42EB4" w:rsidRPr="00AC7730" w:rsidRDefault="004C1ADE">
            <w:pPr>
              <w:rPr>
                <w:rFonts w:eastAsia="Arial" w:cs="Arial"/>
                <w:sz w:val="16"/>
                <w:szCs w:val="16"/>
                <w:lang w:val="fr-FR"/>
              </w:rPr>
            </w:pPr>
            <w:r w:rsidRPr="00AC7730">
              <w:rPr>
                <w:rFonts w:eastAsia="Arial" w:cs="Arial"/>
                <w:sz w:val="16"/>
                <w:szCs w:val="16"/>
                <w:lang w:val="fr-FR"/>
              </w:rPr>
              <w:t>Données de l’Organisation des Nations Unies pour l'Alimentation et l'Agriculture</w:t>
            </w:r>
          </w:p>
        </w:tc>
        <w:tc>
          <w:tcPr>
            <w:tcW w:w="3690" w:type="dxa"/>
          </w:tcPr>
          <w:p w14:paraId="4BB3C2A7" w14:textId="77777777" w:rsidR="00E42EB4" w:rsidRPr="00AC7730" w:rsidRDefault="004C1ADE">
            <w:pPr>
              <w:spacing w:after="120"/>
              <w:rPr>
                <w:rFonts w:eastAsia="Arial" w:cs="Arial"/>
                <w:sz w:val="16"/>
                <w:szCs w:val="16"/>
                <w:lang w:val="fr-FR"/>
              </w:rPr>
            </w:pPr>
            <w:r w:rsidRPr="00AC7730">
              <w:rPr>
                <w:rFonts w:eastAsia="Arial" w:cs="Arial"/>
                <w:sz w:val="16"/>
                <w:szCs w:val="16"/>
                <w:lang w:val="fr-FR"/>
              </w:rPr>
              <w:t xml:space="preserve">Calculé à partir des données du domaine public de l'Organisation des Nations Unies pour l'Alimentation et l'Agriculture. </w:t>
            </w:r>
          </w:p>
        </w:tc>
      </w:tr>
    </w:tbl>
    <w:p w14:paraId="79D3B22A" w14:textId="77777777" w:rsidR="00E42EB4" w:rsidRPr="00AC7730" w:rsidRDefault="00E42EB4">
      <w:pPr>
        <w:jc w:val="both"/>
        <w:rPr>
          <w:rFonts w:cs="Arial"/>
          <w:lang w:val="fr-FR"/>
        </w:rPr>
      </w:pPr>
    </w:p>
    <w:p w14:paraId="4966F53C" w14:textId="77777777" w:rsidR="00E42EB4" w:rsidRPr="00AC7730" w:rsidRDefault="00E42EB4">
      <w:pPr>
        <w:jc w:val="both"/>
        <w:rPr>
          <w:rFonts w:cs="Arial"/>
          <w:lang w:val="fr-FR"/>
        </w:rPr>
        <w:sectPr w:rsidR="00E42EB4" w:rsidRPr="00AC7730">
          <w:headerReference w:type="default" r:id="rId47"/>
          <w:headerReference w:type="first" r:id="rId48"/>
          <w:pgSz w:w="11906" w:h="16838" w:code="9"/>
          <w:pgMar w:top="1440" w:right="1440" w:bottom="1440" w:left="1440" w:header="720" w:footer="720" w:gutter="0"/>
          <w:cols w:space="720"/>
          <w:titlePg/>
          <w:docGrid w:linePitch="360"/>
        </w:sectPr>
      </w:pPr>
    </w:p>
    <w:p w14:paraId="0DDAE1EE" w14:textId="77777777" w:rsidR="00E42EB4" w:rsidRPr="00AC7730" w:rsidRDefault="00E42EB4">
      <w:pPr>
        <w:jc w:val="both"/>
        <w:rPr>
          <w:rFonts w:cs="Arial"/>
          <w:lang w:val="fr-FR"/>
        </w:rPr>
      </w:pPr>
    </w:p>
    <w:p w14:paraId="211A26DA" w14:textId="77777777" w:rsidR="00E42EB4" w:rsidRPr="00AC7730" w:rsidRDefault="004C1ADE">
      <w:pPr>
        <w:spacing w:after="240"/>
        <w:rPr>
          <w:rFonts w:eastAsia="Arial" w:cs="Arial"/>
          <w:sz w:val="20"/>
          <w:szCs w:val="20"/>
          <w:lang w:val="fr-FR"/>
        </w:rPr>
      </w:pPr>
      <w:r w:rsidRPr="00AC7730">
        <w:rPr>
          <w:rFonts w:cs="Arial"/>
          <w:lang w:val="fr-FR"/>
        </w:rPr>
        <w:t xml:space="preserve">Annexe III - </w:t>
      </w:r>
      <w:r w:rsidRPr="00AC7730">
        <w:rPr>
          <w:rFonts w:eastAsia="Arial" w:cs="Arial"/>
          <w:sz w:val="20"/>
          <w:szCs w:val="20"/>
          <w:lang w:val="fr-FR"/>
        </w:rPr>
        <w:t xml:space="preserve">Cartographie des législations nationales et internationales en matière de protection des raies </w:t>
      </w:r>
      <w:proofErr w:type="spellStart"/>
      <w:r w:rsidRPr="00AC7730">
        <w:rPr>
          <w:rFonts w:eastAsia="Arial" w:cs="Arial"/>
          <w:sz w:val="20"/>
          <w:szCs w:val="20"/>
          <w:lang w:val="fr-FR"/>
        </w:rPr>
        <w:t>manta</w:t>
      </w:r>
      <w:proofErr w:type="spellEnd"/>
      <w:r w:rsidRPr="00AC7730">
        <w:rPr>
          <w:rFonts w:eastAsia="Arial" w:cs="Arial"/>
          <w:sz w:val="20"/>
          <w:szCs w:val="20"/>
          <w:lang w:val="fr-FR"/>
        </w:rPr>
        <w:t xml:space="preserve"> et diable dans le monde. D'après Laglbauer et al. [En révision]).</w:t>
      </w:r>
    </w:p>
    <w:p w14:paraId="0351464D" w14:textId="77777777" w:rsidR="00E42EB4" w:rsidRPr="00AC7730" w:rsidRDefault="00E42EB4">
      <w:pPr>
        <w:spacing w:after="240"/>
        <w:rPr>
          <w:rFonts w:eastAsia="Arial" w:cs="Arial"/>
          <w:sz w:val="20"/>
          <w:szCs w:val="20"/>
          <w:lang w:val="fr-FR"/>
        </w:rPr>
      </w:pPr>
    </w:p>
    <w:p w14:paraId="6002A7ED" w14:textId="77777777" w:rsidR="00E42EB4" w:rsidRPr="00AC7730" w:rsidRDefault="004C1ADE">
      <w:pPr>
        <w:spacing w:after="240"/>
        <w:rPr>
          <w:rFonts w:eastAsia="Arial" w:cs="Arial"/>
          <w:sz w:val="20"/>
          <w:szCs w:val="20"/>
          <w:lang w:val="fr-FR"/>
        </w:rPr>
      </w:pPr>
      <w:r w:rsidRPr="00AC7730">
        <w:rPr>
          <w:rFonts w:eastAsia="Arial" w:cs="Arial"/>
          <w:noProof/>
          <w:lang w:val="fr-FR"/>
        </w:rPr>
        <w:drawing>
          <wp:inline distT="0" distB="0" distL="0" distR="0" wp14:anchorId="736BE318" wp14:editId="0CF3FAA5">
            <wp:extent cx="8826500" cy="3829050"/>
            <wp:effectExtent l="0" t="0" r="0" b="0"/>
            <wp:docPr id="21366348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8827789" cy="3829609"/>
                    </a:xfrm>
                    <a:prstGeom prst="rect">
                      <a:avLst/>
                    </a:prstGeom>
                    <a:ln/>
                  </pic:spPr>
                </pic:pic>
              </a:graphicData>
            </a:graphic>
          </wp:inline>
        </w:drawing>
      </w:r>
    </w:p>
    <w:p w14:paraId="60F11287" w14:textId="77777777" w:rsidR="00E42EB4" w:rsidRPr="00AC7730" w:rsidRDefault="00E42EB4">
      <w:pPr>
        <w:spacing w:after="0" w:line="240" w:lineRule="auto"/>
        <w:jc w:val="both"/>
        <w:rPr>
          <w:rFonts w:cs="Arial"/>
          <w:lang w:val="fr-FR"/>
        </w:rPr>
      </w:pPr>
    </w:p>
    <w:p w14:paraId="1B60B750" w14:textId="77777777" w:rsidR="00E42EB4" w:rsidRPr="00AC7730" w:rsidRDefault="00E42EB4">
      <w:pPr>
        <w:spacing w:after="0" w:line="240" w:lineRule="auto"/>
        <w:jc w:val="both"/>
        <w:rPr>
          <w:rFonts w:cs="Arial"/>
          <w:lang w:val="fr-FR"/>
        </w:rPr>
      </w:pPr>
    </w:p>
    <w:p w14:paraId="68652B9C" w14:textId="40B488ED" w:rsidR="00E42EB4" w:rsidRPr="00AC7730" w:rsidRDefault="00E42EB4">
      <w:pPr>
        <w:tabs>
          <w:tab w:val="left" w:pos="1670"/>
        </w:tabs>
        <w:spacing w:after="0" w:line="240" w:lineRule="auto"/>
        <w:jc w:val="both"/>
        <w:rPr>
          <w:rFonts w:cs="Arial"/>
          <w:lang w:val="fr-FR"/>
        </w:rPr>
      </w:pPr>
    </w:p>
    <w:sectPr w:rsidR="00E42EB4" w:rsidRPr="00AC7730">
      <w:headerReference w:type="first" r:id="rId50"/>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6EFD0" w14:textId="77777777" w:rsidR="007F7BF9" w:rsidRDefault="007F7BF9">
      <w:pPr>
        <w:spacing w:after="0" w:line="240" w:lineRule="auto"/>
        <w:rPr>
          <w:lang w:val="fr-FR"/>
        </w:rPr>
      </w:pPr>
      <w:r>
        <w:rPr>
          <w:lang w:val="fr-FR"/>
        </w:rPr>
        <w:separator/>
      </w:r>
    </w:p>
  </w:endnote>
  <w:endnote w:type="continuationSeparator" w:id="0">
    <w:p w14:paraId="51C36109" w14:textId="77777777" w:rsidR="007F7BF9" w:rsidRDefault="007F7BF9">
      <w:pPr>
        <w:spacing w:after="0" w:line="240" w:lineRule="auto"/>
        <w:rPr>
          <w:lang w:val="fr-FR"/>
        </w:rPr>
      </w:pPr>
      <w:r>
        <w:rPr>
          <w:lang w:val="fr-FR"/>
        </w:rPr>
        <w:continuationSeparator/>
      </w:r>
    </w:p>
  </w:endnote>
  <w:endnote w:type="continuationNotice" w:id="1">
    <w:p w14:paraId="5ADB3353" w14:textId="77777777" w:rsidR="007F7BF9" w:rsidRDefault="007F7BF9">
      <w:pPr>
        <w:spacing w:after="0" w:line="240" w:lineRule="auto"/>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52647A0E" w14:textId="77777777" w:rsidR="003A1362" w:rsidRPr="005A720E" w:rsidRDefault="003A1362">
        <w:pPr>
          <w:pStyle w:val="Footer"/>
          <w:jc w:val="center"/>
          <w:rPr>
            <w:sz w:val="18"/>
            <w:szCs w:val="18"/>
          </w:rPr>
        </w:pPr>
        <w:r w:rsidRPr="005A720E">
          <w:rPr>
            <w:sz w:val="18"/>
            <w:szCs w:val="18"/>
          </w:rPr>
          <w:fldChar w:fldCharType="begin"/>
        </w:r>
        <w:r w:rsidRPr="005A720E">
          <w:rPr>
            <w:sz w:val="18"/>
            <w:szCs w:val="18"/>
          </w:rPr>
          <w:instrText xml:space="preserve"> PAGE   \* MERGEFORMAT </w:instrText>
        </w:r>
        <w:r w:rsidRPr="005A720E">
          <w:rPr>
            <w:sz w:val="18"/>
            <w:szCs w:val="18"/>
          </w:rPr>
          <w:fldChar w:fldCharType="separate"/>
        </w:r>
        <w:r w:rsidRPr="005A720E">
          <w:rPr>
            <w:noProof/>
            <w:sz w:val="18"/>
            <w:szCs w:val="18"/>
          </w:rPr>
          <w:t>2</w:t>
        </w:r>
        <w:r w:rsidRPr="005A720E">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9B2B2" w14:textId="77777777" w:rsidR="003A1362" w:rsidRDefault="003A1362">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FE1B" w14:textId="77777777" w:rsidR="00E42EB4" w:rsidRDefault="00E42EB4">
    <w:pPr>
      <w:pStyle w:val="Footer"/>
      <w:jc w:val="center"/>
      <w:rPr>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6E0D1BE2"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B0CF27F" w14:textId="77777777"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365915"/>
      <w:docPartObj>
        <w:docPartGallery w:val="Page Numbers (Bottom of Page)"/>
        <w:docPartUnique/>
      </w:docPartObj>
    </w:sdtPr>
    <w:sdtEndPr>
      <w:rPr>
        <w:noProof/>
        <w:sz w:val="18"/>
        <w:szCs w:val="18"/>
      </w:rPr>
    </w:sdtEndPr>
    <w:sdtContent>
      <w:p w14:paraId="4641DFAF" w14:textId="77777777" w:rsidR="00302113" w:rsidRPr="00302113" w:rsidRDefault="00302113">
        <w:pPr>
          <w:pStyle w:val="Footer"/>
          <w:jc w:val="center"/>
          <w:rPr>
            <w:sz w:val="18"/>
            <w:szCs w:val="18"/>
          </w:rPr>
        </w:pPr>
        <w:r w:rsidRPr="00302113">
          <w:rPr>
            <w:sz w:val="18"/>
            <w:szCs w:val="18"/>
          </w:rPr>
          <w:fldChar w:fldCharType="begin"/>
        </w:r>
        <w:r w:rsidRPr="00302113">
          <w:rPr>
            <w:sz w:val="18"/>
            <w:szCs w:val="18"/>
          </w:rPr>
          <w:instrText xml:space="preserve"> PAGE   \* MERGEFORMAT </w:instrText>
        </w:r>
        <w:r w:rsidRPr="00302113">
          <w:rPr>
            <w:sz w:val="18"/>
            <w:szCs w:val="18"/>
          </w:rPr>
          <w:fldChar w:fldCharType="separate"/>
        </w:r>
        <w:r w:rsidRPr="00302113">
          <w:rPr>
            <w:noProof/>
            <w:sz w:val="18"/>
            <w:szCs w:val="18"/>
          </w:rPr>
          <w:t>2</w:t>
        </w:r>
        <w:r w:rsidRPr="00302113">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95A93" w14:textId="77777777" w:rsidR="007F7BF9" w:rsidRDefault="007F7BF9">
      <w:pPr>
        <w:spacing w:after="0" w:line="240" w:lineRule="auto"/>
        <w:rPr>
          <w:lang w:val="fr-FR"/>
        </w:rPr>
      </w:pPr>
      <w:r>
        <w:rPr>
          <w:lang w:val="fr-FR"/>
        </w:rPr>
        <w:separator/>
      </w:r>
    </w:p>
  </w:footnote>
  <w:footnote w:type="continuationSeparator" w:id="0">
    <w:p w14:paraId="6A2DEAE1" w14:textId="77777777" w:rsidR="007F7BF9" w:rsidRDefault="007F7BF9">
      <w:pPr>
        <w:spacing w:after="0" w:line="240" w:lineRule="auto"/>
        <w:rPr>
          <w:lang w:val="fr-FR"/>
        </w:rPr>
      </w:pPr>
      <w:r>
        <w:rPr>
          <w:lang w:val="fr-FR"/>
        </w:rPr>
        <w:continuationSeparator/>
      </w:r>
    </w:p>
  </w:footnote>
  <w:footnote w:type="continuationNotice" w:id="1">
    <w:p w14:paraId="42F171EE" w14:textId="77777777" w:rsidR="007F7BF9" w:rsidRDefault="007F7BF9">
      <w:pPr>
        <w:spacing w:after="0" w:line="240" w:lineRule="auto"/>
        <w:rPr>
          <w:lang w:val="fr-FR"/>
        </w:rPr>
      </w:pPr>
    </w:p>
  </w:footnote>
  <w:footnote w:id="2">
    <w:p w14:paraId="150EC024" w14:textId="77777777" w:rsidR="00E42EB4" w:rsidRDefault="004C1ADE">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Le Secrétariat remarque que la </w:t>
      </w:r>
      <w:proofErr w:type="spellStart"/>
      <w:r>
        <w:rPr>
          <w:rFonts w:ascii="Arial" w:hAnsi="Arial" w:cs="Arial"/>
          <w:i/>
          <w:iCs/>
          <w:sz w:val="16"/>
          <w:szCs w:val="16"/>
          <w:lang w:val="fr-FR"/>
        </w:rPr>
        <w:t>Mobula</w:t>
      </w:r>
      <w:proofErr w:type="spellEnd"/>
      <w:r>
        <w:rPr>
          <w:rFonts w:ascii="Arial" w:hAnsi="Arial" w:cs="Arial"/>
          <w:i/>
          <w:iCs/>
          <w:sz w:val="16"/>
          <w:szCs w:val="16"/>
          <w:lang w:val="fr-FR"/>
        </w:rPr>
        <w:t xml:space="preserve"> </w:t>
      </w:r>
      <w:proofErr w:type="spellStart"/>
      <w:r>
        <w:rPr>
          <w:rFonts w:ascii="Arial" w:hAnsi="Arial" w:cs="Arial"/>
          <w:i/>
          <w:iCs/>
          <w:sz w:val="16"/>
          <w:szCs w:val="16"/>
          <w:lang w:val="fr-FR"/>
        </w:rPr>
        <w:t>yarie</w:t>
      </w:r>
      <w:proofErr w:type="spellEnd"/>
      <w:r>
        <w:rPr>
          <w:rFonts w:ascii="Arial" w:hAnsi="Arial" w:cs="Arial"/>
          <w:sz w:val="16"/>
          <w:szCs w:val="16"/>
          <w:lang w:val="fr-FR"/>
        </w:rPr>
        <w:t xml:space="preserve"> n'a été décrit que récemment. Bien que l’ouvrage de référence standard pour les poissons, </w:t>
      </w:r>
      <w:proofErr w:type="spellStart"/>
      <w:r>
        <w:rPr>
          <w:rFonts w:ascii="Arial" w:hAnsi="Arial" w:cs="Arial"/>
          <w:sz w:val="16"/>
          <w:szCs w:val="16"/>
          <w:lang w:val="fr-FR"/>
        </w:rPr>
        <w:t>Eschmeyer</w:t>
      </w:r>
      <w:proofErr w:type="spellEnd"/>
      <w:r>
        <w:rPr>
          <w:rFonts w:ascii="Arial" w:hAnsi="Arial" w:cs="Arial"/>
          <w:sz w:val="16"/>
          <w:szCs w:val="16"/>
          <w:lang w:val="fr-FR"/>
        </w:rPr>
        <w:t xml:space="preserve">, reconnaisse cette espèce, elle n'a pas encore été reflétée comme une espèce distincte au sein de la famille </w:t>
      </w:r>
      <w:proofErr w:type="spellStart"/>
      <w:r>
        <w:rPr>
          <w:rFonts w:ascii="Arial" w:hAnsi="Arial" w:cs="Arial"/>
          <w:sz w:val="16"/>
          <w:szCs w:val="16"/>
          <w:lang w:val="fr-FR"/>
        </w:rPr>
        <w:t>Mobulidae</w:t>
      </w:r>
      <w:proofErr w:type="spellEnd"/>
      <w:r>
        <w:rPr>
          <w:rFonts w:ascii="Arial" w:hAnsi="Arial" w:cs="Arial"/>
          <w:sz w:val="16"/>
          <w:szCs w:val="16"/>
          <w:lang w:val="fr-FR"/>
        </w:rPr>
        <w:t xml:space="preserve"> dans les annexes de la Convention sur la conservation des espèces migratrices appartenant à la faune sauvage. Pour plus de détails sur les mises à jour taxonomiques des espèces inscrites à la Convention sur la conservation des espèces migratrices appartenant à la faune sauvage, </w:t>
      </w:r>
      <w:proofErr w:type="spellStart"/>
      <w:r>
        <w:rPr>
          <w:rFonts w:ascii="Arial" w:hAnsi="Arial" w:cs="Arial"/>
          <w:sz w:val="16"/>
          <w:szCs w:val="16"/>
          <w:lang w:val="fr-FR"/>
        </w:rPr>
        <w:t>veuillez vous</w:t>
      </w:r>
      <w:proofErr w:type="spellEnd"/>
      <w:r>
        <w:rPr>
          <w:rFonts w:ascii="Arial" w:hAnsi="Arial" w:cs="Arial"/>
          <w:sz w:val="16"/>
          <w:szCs w:val="16"/>
          <w:lang w:val="fr-FR"/>
        </w:rPr>
        <w:t xml:space="preserve"> référer au document </w:t>
      </w:r>
      <w:r w:rsidR="00E42EB4">
        <w:fldChar w:fldCharType="begin"/>
      </w:r>
      <w:r w:rsidR="00E42EB4" w:rsidRPr="00C971E7">
        <w:rPr>
          <w:lang w:val="fr-FR"/>
        </w:rPr>
        <w:instrText>HYPERLINK "https://www.cms.int/document/taxonomy-and-nomenclature-updates"</w:instrText>
      </w:r>
      <w:r w:rsidR="00E42EB4">
        <w:fldChar w:fldCharType="separate"/>
      </w:r>
      <w:r w:rsidR="00E42EB4">
        <w:rPr>
          <w:rStyle w:val="Hyperlink"/>
          <w:rFonts w:ascii="Arial" w:hAnsi="Arial" w:cs="Arial"/>
          <w:sz w:val="16"/>
          <w:szCs w:val="16"/>
          <w:lang w:val="fr-FR"/>
        </w:rPr>
        <w:t>UNEP/CMS/COP15/Doc.29.3</w:t>
      </w:r>
      <w:r w:rsidR="00E42EB4">
        <w:fldChar w:fldCharType="end"/>
      </w:r>
      <w:r>
        <w:rPr>
          <w:rFonts w:ascii="Arial" w:hAnsi="Arial" w:cs="Arial"/>
          <w:sz w:val="16"/>
          <w:szCs w:val="16"/>
          <w:lang w:val="fr-FR"/>
        </w:rPr>
        <w:t xml:space="preserve"> </w:t>
      </w:r>
      <w:proofErr w:type="spellStart"/>
      <w:r>
        <w:rPr>
          <w:rFonts w:ascii="Arial" w:hAnsi="Arial" w:cs="Arial"/>
          <w:i/>
          <w:iCs/>
          <w:sz w:val="16"/>
          <w:szCs w:val="16"/>
          <w:lang w:val="fr-FR"/>
        </w:rPr>
        <w:t>Taxonomy</w:t>
      </w:r>
      <w:proofErr w:type="spellEnd"/>
      <w:r>
        <w:rPr>
          <w:rFonts w:ascii="Arial" w:hAnsi="Arial" w:cs="Arial"/>
          <w:i/>
          <w:iCs/>
          <w:sz w:val="16"/>
          <w:szCs w:val="16"/>
          <w:lang w:val="fr-FR"/>
        </w:rPr>
        <w:t xml:space="preserve"> and Nomenclature</w:t>
      </w:r>
      <w:r>
        <w:rPr>
          <w:rFonts w:ascii="Arial" w:hAnsi="Arial" w:cs="Arial"/>
          <w:sz w:val="16"/>
          <w:szCs w:val="16"/>
          <w:lang w:val="fr-FR"/>
        </w:rPr>
        <w:t xml:space="preserve"> (Taxonomie et Nomenclature).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6333" w14:textId="77777777" w:rsidR="00E42EB4" w:rsidRDefault="004C1ADE">
    <w:pPr>
      <w:pStyle w:val="Header"/>
      <w:pBdr>
        <w:bottom w:val="single" w:sz="4" w:space="1" w:color="000000"/>
      </w:pBdr>
    </w:pPr>
    <w:r>
      <w:rPr>
        <w:rFonts w:cs="Arial"/>
        <w:i/>
        <w:sz w:val="18"/>
        <w:szCs w:val="18"/>
        <w:lang w:val="de-DE"/>
      </w:rPr>
      <w:t>UNEP/CMS/COP14/</w:t>
    </w:r>
    <w:proofErr w:type="gramStart"/>
    <w:r>
      <w:rPr>
        <w:rFonts w:cs="Arial"/>
        <w:i/>
        <w:sz w:val="18"/>
        <w:szCs w:val="18"/>
        <w:lang w:val="de-DE"/>
      </w:rPr>
      <w:t>Doc.[  ]</w:t>
    </w:r>
    <w:proofErr w:type="gramEnd"/>
  </w:p>
  <w:p w14:paraId="0294500E" w14:textId="77777777" w:rsidR="00E42EB4" w:rsidRDefault="00E42EB4">
    <w:pPr>
      <w:pStyle w:val="Header"/>
      <w:rPr>
        <w:lang w:val="fr-F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8721B" w14:textId="279219A7" w:rsidR="00E42EB4" w:rsidRDefault="004C1ADE">
    <w:pPr>
      <w:pStyle w:val="Header"/>
      <w:pBdr>
        <w:bottom w:val="single" w:sz="4" w:space="1" w:color="auto"/>
      </w:pBdr>
      <w:jc w:val="right"/>
      <w:rPr>
        <w:i/>
        <w:sz w:val="18"/>
        <w:szCs w:val="18"/>
        <w:lang w:val="fr-FR"/>
      </w:rPr>
    </w:pPr>
    <w:r>
      <w:rPr>
        <w:rFonts w:eastAsia="Times New Roman" w:cs="Arial"/>
        <w:i/>
        <w:sz w:val="18"/>
        <w:szCs w:val="18"/>
        <w:lang w:val="fr-FR"/>
      </w:rPr>
      <w:t>UNEP/CMS/COP15/Doc.31.3.16</w:t>
    </w:r>
    <w:r w:rsidR="00910D6F">
      <w:rPr>
        <w:rFonts w:eastAsia="Times New Roman" w:cs="Arial"/>
        <w:i/>
        <w:sz w:val="18"/>
        <w:szCs w:val="18"/>
      </w:rPr>
      <w:t>/Rev.1</w:t>
    </w:r>
    <w:r>
      <w:rPr>
        <w:rFonts w:eastAsia="Times New Roman" w:cs="Arial"/>
        <w:i/>
        <w:sz w:val="18"/>
        <w:szCs w:val="18"/>
        <w:lang w:val="fr-FR"/>
      </w:rPr>
      <w:t>/Annexe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8D703" w14:textId="066A7DB5" w:rsidR="00E42EB4" w:rsidRDefault="004C1ADE">
    <w:pPr>
      <w:pStyle w:val="Header"/>
      <w:pBdr>
        <w:bottom w:val="single" w:sz="4" w:space="1" w:color="auto"/>
      </w:pBdr>
      <w:rPr>
        <w:i/>
        <w:sz w:val="18"/>
        <w:szCs w:val="18"/>
        <w:lang w:val="fr-FR"/>
      </w:rPr>
    </w:pPr>
    <w:r>
      <w:rPr>
        <w:rFonts w:eastAsia="Times New Roman" w:cs="Arial"/>
        <w:i/>
        <w:sz w:val="18"/>
        <w:szCs w:val="18"/>
        <w:lang w:val="fr-FR"/>
      </w:rPr>
      <w:t>UNEP/CMS/COP15/Doc.31.3.16</w:t>
    </w:r>
    <w:r w:rsidR="00910D6F">
      <w:rPr>
        <w:rFonts w:eastAsia="Times New Roman" w:cs="Arial"/>
        <w:i/>
        <w:sz w:val="18"/>
        <w:szCs w:val="18"/>
      </w:rPr>
      <w:t>/Rev.1</w:t>
    </w:r>
    <w:r>
      <w:rPr>
        <w:rFonts w:eastAsia="Times New Roman" w:cs="Arial"/>
        <w:i/>
        <w:sz w:val="18"/>
        <w:szCs w:val="18"/>
        <w:lang w:val="fr-FR"/>
      </w:rPr>
      <w:t>/Annexe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24FBE" w14:textId="1B6E6BD8" w:rsidR="00E42EB4" w:rsidRDefault="004C1ADE" w:rsidP="00C971E7">
    <w:pPr>
      <w:pStyle w:val="Header"/>
      <w:pBdr>
        <w:bottom w:val="single" w:sz="4" w:space="1" w:color="auto"/>
      </w:pBdr>
      <w:jc w:val="right"/>
      <w:rPr>
        <w:i/>
        <w:sz w:val="18"/>
        <w:szCs w:val="18"/>
        <w:lang w:val="fr-FR"/>
      </w:rPr>
    </w:pPr>
    <w:r>
      <w:rPr>
        <w:rFonts w:eastAsia="Times New Roman" w:cs="Arial"/>
        <w:i/>
        <w:sz w:val="18"/>
        <w:szCs w:val="18"/>
        <w:lang w:val="fr-FR"/>
      </w:rPr>
      <w:t>UNEP/CMS/COP15/Doc.31.3.16</w:t>
    </w:r>
    <w:r>
      <w:rPr>
        <w:rFonts w:eastAsia="Times New Roman" w:cs="Arial"/>
        <w:i/>
        <w:sz w:val="18"/>
        <w:szCs w:val="18"/>
      </w:rPr>
      <w:t>/Rev.1</w:t>
    </w:r>
    <w:r>
      <w:rPr>
        <w:rFonts w:eastAsia="Times New Roman" w:cs="Arial"/>
        <w:i/>
        <w:sz w:val="18"/>
        <w:szCs w:val="18"/>
        <w:lang w:val="fr-FR"/>
      </w:rPr>
      <w:t>/Annexe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1C21" w14:textId="77777777" w:rsidR="003A1362" w:rsidRPr="005C6BB6" w:rsidRDefault="003A1362">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18CB0877" w14:textId="77777777" w:rsidR="003A1362" w:rsidRDefault="003A1362">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6BF1" w14:textId="77777777" w:rsidR="00D47C01" w:rsidRPr="00FF59D5" w:rsidRDefault="00D47C01" w:rsidP="00D47C01">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rPr>
    </w:pPr>
    <w:bookmarkStart w:id="2" w:name="_Hlk208560916"/>
    <w:bookmarkStart w:id="3" w:name="_Hlk208560917"/>
    <w:r>
      <w:rPr>
        <w:noProof/>
      </w:rPr>
      <w:drawing>
        <wp:anchor distT="0" distB="0" distL="114300" distR="114300" simplePos="0" relativeHeight="251658242" behindDoc="0" locked="0" layoutInCell="1" allowOverlap="1" wp14:anchorId="596EE8E5" wp14:editId="0EE98C36">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8240" behindDoc="0" locked="0" layoutInCell="1" allowOverlap="1" wp14:anchorId="30B4A020" wp14:editId="5F850E99">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rPr>
      <w:drawing>
        <wp:anchor distT="0" distB="0" distL="114300" distR="114300" simplePos="0" relativeHeight="251658241" behindDoc="0" locked="0" layoutInCell="1" allowOverlap="1" wp14:anchorId="065BFEE4" wp14:editId="124E1C37">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1D74DBFF" w14:textId="77777777" w:rsidR="00D47C01" w:rsidRDefault="00D47C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1826" w14:textId="1FDD9989" w:rsidR="002E0DE9" w:rsidRPr="002E0DE9" w:rsidRDefault="002E0DE9" w:rsidP="002E0DE9">
    <w:pPr>
      <w:pStyle w:val="Header"/>
      <w:pBdr>
        <w:bottom w:val="single" w:sz="4" w:space="1" w:color="auto"/>
      </w:pBdr>
      <w:rPr>
        <w:i/>
        <w:sz w:val="18"/>
        <w:szCs w:val="18"/>
      </w:rPr>
    </w:pPr>
    <w:r w:rsidRPr="001C6C56">
      <w:rPr>
        <w:rFonts w:eastAsia="Times New Roman" w:cs="Arial"/>
        <w:i/>
        <w:sz w:val="18"/>
        <w:szCs w:val="18"/>
      </w:rPr>
      <w:t>UNEP/CMS/COP1</w:t>
    </w:r>
    <w:r w:rsidR="006A689A">
      <w:rPr>
        <w:rFonts w:eastAsia="Times New Roman" w:cs="Arial"/>
        <w:i/>
        <w:sz w:val="18"/>
        <w:szCs w:val="18"/>
      </w:rPr>
      <w:t>5</w:t>
    </w:r>
    <w:r w:rsidRPr="001C6C56">
      <w:rPr>
        <w:rFonts w:eastAsia="Times New Roman" w:cs="Arial"/>
        <w:i/>
        <w:sz w:val="18"/>
        <w:szCs w:val="18"/>
      </w:rPr>
      <w:t>/</w:t>
    </w:r>
    <w:r w:rsidR="006A7DC4" w:rsidRPr="001C6C56">
      <w:rPr>
        <w:rFonts w:eastAsia="Times New Roman" w:cs="Arial"/>
        <w:i/>
        <w:sz w:val="18"/>
        <w:szCs w:val="18"/>
      </w:rPr>
      <w:t>Doc</w:t>
    </w:r>
    <w:r w:rsidR="0035024E" w:rsidRPr="001C6C56">
      <w:rPr>
        <w:rFonts w:eastAsia="Times New Roman" w:cs="Arial"/>
        <w:i/>
        <w:sz w:val="18"/>
        <w:szCs w:val="18"/>
      </w:rPr>
      <w:t>.</w:t>
    </w:r>
    <w:r w:rsidR="00A43CDA">
      <w:rPr>
        <w:rFonts w:eastAsia="Times New Roman" w:cs="Arial"/>
        <w:i/>
        <w:sz w:val="18"/>
        <w:szCs w:val="18"/>
      </w:rPr>
      <w:t>31</w:t>
    </w:r>
    <w:r w:rsidR="00302113">
      <w:rPr>
        <w:rFonts w:eastAsia="Times New Roman" w:cs="Arial"/>
        <w:i/>
        <w:sz w:val="18"/>
        <w:szCs w:val="18"/>
      </w:rPr>
      <w:t>.3.16</w:t>
    </w:r>
    <w:r w:rsidR="00910D6F">
      <w:rPr>
        <w:rFonts w:eastAsia="Times New Roman" w:cs="Arial"/>
        <w:i/>
        <w:sz w:val="18"/>
        <w:szCs w:val="18"/>
      </w:rPr>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08F4" w14:textId="6179479A"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rPr>
      <w:t>UNEP/CMS/COP1</w:t>
    </w:r>
    <w:r w:rsidR="006A689A">
      <w:rPr>
        <w:rFonts w:eastAsia="Times New Roman" w:cs="Arial"/>
        <w:i/>
        <w:sz w:val="18"/>
        <w:szCs w:val="18"/>
      </w:rPr>
      <w:t>5</w:t>
    </w:r>
    <w:r w:rsidRPr="002E0DE9">
      <w:rPr>
        <w:rFonts w:eastAsia="Times New Roman" w:cs="Arial"/>
        <w:i/>
        <w:sz w:val="18"/>
        <w:szCs w:val="18"/>
      </w:rPr>
      <w:t>/</w:t>
    </w:r>
    <w:r w:rsidR="006A7DC4">
      <w:rPr>
        <w:rFonts w:eastAsia="Times New Roman" w:cs="Arial"/>
        <w:i/>
        <w:sz w:val="18"/>
        <w:szCs w:val="18"/>
      </w:rPr>
      <w:t>Doc</w:t>
    </w:r>
    <w:r w:rsidR="00302113">
      <w:rPr>
        <w:rFonts w:eastAsia="Times New Roman" w:cs="Arial"/>
        <w:i/>
        <w:sz w:val="18"/>
        <w:szCs w:val="18"/>
      </w:rPr>
      <w:t>.31.3.16</w:t>
    </w:r>
    <w:r w:rsidR="00910D6F">
      <w:rPr>
        <w:rFonts w:eastAsia="Times New Roman" w:cs="Arial"/>
        <w:i/>
        <w:sz w:val="18"/>
        <w:szCs w:val="18"/>
      </w:rPr>
      <w:t>/Rev.1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45F7E" w14:textId="197FEEE9" w:rsidR="003A1362" w:rsidRPr="002E0DE9" w:rsidRDefault="003A1362" w:rsidP="003A1362">
    <w:pPr>
      <w:pStyle w:val="Header"/>
      <w:pBdr>
        <w:bottom w:val="single" w:sz="4" w:space="1" w:color="auto"/>
      </w:pBdr>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w:t>
    </w:r>
    <w:r w:rsidR="00302113">
      <w:rPr>
        <w:rFonts w:eastAsia="Times New Roman" w:cs="Arial"/>
        <w:i/>
        <w:sz w:val="18"/>
        <w:szCs w:val="18"/>
      </w:rPr>
      <w:t>31.3.16</w:t>
    </w:r>
    <w:r w:rsidR="00E1756B">
      <w:rPr>
        <w:rFonts w:eastAsia="Times New Roman" w:cs="Arial"/>
        <w:i/>
        <w:sz w:val="18"/>
        <w:szCs w:val="18"/>
      </w:rPr>
      <w:t>/Rev.1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38F5" w14:textId="11480A18" w:rsidR="00E42EB4" w:rsidRDefault="004C1ADE">
    <w:pPr>
      <w:pStyle w:val="Header"/>
      <w:pBdr>
        <w:bottom w:val="single" w:sz="4" w:space="1" w:color="auto"/>
      </w:pBdr>
      <w:rPr>
        <w:i/>
        <w:sz w:val="18"/>
        <w:szCs w:val="18"/>
        <w:lang w:val="fr-FR"/>
      </w:rPr>
    </w:pPr>
    <w:r>
      <w:rPr>
        <w:rFonts w:eastAsia="Times New Roman" w:cs="Arial"/>
        <w:i/>
        <w:sz w:val="18"/>
        <w:szCs w:val="18"/>
        <w:lang w:val="fr-FR"/>
      </w:rPr>
      <w:t>UNEP/CMS/COP15/Doc.31.3.16</w:t>
    </w:r>
    <w:r w:rsidR="00910D6F">
      <w:rPr>
        <w:rFonts w:eastAsia="Times New Roman" w:cs="Arial"/>
        <w:i/>
        <w:sz w:val="18"/>
        <w:szCs w:val="18"/>
      </w:rPr>
      <w:t>/Rev.1/</w:t>
    </w:r>
    <w:r>
      <w:rPr>
        <w:rFonts w:eastAsia="Times New Roman" w:cs="Arial"/>
        <w:i/>
        <w:sz w:val="18"/>
        <w:szCs w:val="18"/>
        <w:lang w:val="fr-FR"/>
      </w:rPr>
      <w:t>Annexe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9336" w14:textId="13E5FCF9" w:rsidR="00E42EB4" w:rsidRDefault="004C1ADE">
    <w:pPr>
      <w:pStyle w:val="Header"/>
      <w:pBdr>
        <w:bottom w:val="single" w:sz="4" w:space="1" w:color="auto"/>
      </w:pBdr>
      <w:jc w:val="right"/>
      <w:rPr>
        <w:i/>
        <w:sz w:val="18"/>
        <w:szCs w:val="18"/>
        <w:lang w:val="fr-FR"/>
      </w:rPr>
    </w:pPr>
    <w:r>
      <w:rPr>
        <w:rFonts w:eastAsia="Times New Roman" w:cs="Arial"/>
        <w:i/>
        <w:sz w:val="18"/>
        <w:szCs w:val="18"/>
        <w:lang w:val="fr-FR"/>
      </w:rPr>
      <w:t>UNEP/CMS/COP15/Doc.31.3.16</w:t>
    </w:r>
    <w:r w:rsidR="00910D6F">
      <w:rPr>
        <w:rFonts w:eastAsia="Times New Roman" w:cs="Arial"/>
        <w:i/>
        <w:sz w:val="18"/>
        <w:szCs w:val="18"/>
      </w:rPr>
      <w:t>/Rev.1</w:t>
    </w:r>
    <w:r>
      <w:rPr>
        <w:rFonts w:eastAsia="Times New Roman" w:cs="Arial"/>
        <w:i/>
        <w:sz w:val="18"/>
        <w:szCs w:val="18"/>
        <w:lang w:val="fr-FR"/>
      </w:rPr>
      <w:t>/Annexe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83E5" w14:textId="703D404C" w:rsidR="00E42EB4" w:rsidRDefault="004C1ADE">
    <w:pPr>
      <w:pStyle w:val="Header"/>
      <w:pBdr>
        <w:bottom w:val="single" w:sz="4" w:space="1" w:color="auto"/>
      </w:pBdr>
      <w:jc w:val="right"/>
      <w:rPr>
        <w:i/>
        <w:sz w:val="18"/>
        <w:szCs w:val="18"/>
        <w:lang w:val="fr-FR"/>
      </w:rPr>
    </w:pPr>
    <w:r>
      <w:rPr>
        <w:rFonts w:eastAsia="Times New Roman" w:cs="Arial"/>
        <w:i/>
        <w:sz w:val="18"/>
        <w:szCs w:val="18"/>
        <w:lang w:val="fr-FR"/>
      </w:rPr>
      <w:t>UNEP/CMS/COP15/Doc.31.3.16</w:t>
    </w:r>
    <w:r w:rsidR="00910D6F">
      <w:rPr>
        <w:rFonts w:eastAsia="Times New Roman" w:cs="Arial"/>
        <w:i/>
        <w:sz w:val="18"/>
        <w:szCs w:val="18"/>
      </w:rPr>
      <w:t>/Rev.1</w:t>
    </w:r>
    <w:r>
      <w:rPr>
        <w:rFonts w:eastAsia="Times New Roman" w:cs="Arial"/>
        <w:i/>
        <w:sz w:val="18"/>
        <w:szCs w:val="18"/>
        <w:lang w:val="fr-FR"/>
      </w:rPr>
      <w:t>/Annexe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ECB"/>
    <w:multiLevelType w:val="hybridMultilevel"/>
    <w:tmpl w:val="9578A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95F2B"/>
    <w:multiLevelType w:val="hybridMultilevel"/>
    <w:tmpl w:val="0FB01004"/>
    <w:lvl w:ilvl="0" w:tplc="75025BEE">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62140"/>
    <w:multiLevelType w:val="hybridMultilevel"/>
    <w:tmpl w:val="7D78D6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2EC42E7"/>
    <w:multiLevelType w:val="hybridMultilevel"/>
    <w:tmpl w:val="8DB012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D61E2"/>
    <w:multiLevelType w:val="hybridMultilevel"/>
    <w:tmpl w:val="2932E51A"/>
    <w:lvl w:ilvl="0" w:tplc="B3764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83CAF"/>
    <w:multiLevelType w:val="hybridMultilevel"/>
    <w:tmpl w:val="0C8EF16E"/>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7E47F3"/>
    <w:multiLevelType w:val="hybridMultilevel"/>
    <w:tmpl w:val="12185F90"/>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06914"/>
    <w:multiLevelType w:val="hybridMultilevel"/>
    <w:tmpl w:val="0CCC4C9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8C6768B"/>
    <w:multiLevelType w:val="hybridMultilevel"/>
    <w:tmpl w:val="EEB66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754D4"/>
    <w:multiLevelType w:val="hybridMultilevel"/>
    <w:tmpl w:val="130E7024"/>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AE3352"/>
    <w:multiLevelType w:val="hybridMultilevel"/>
    <w:tmpl w:val="142E7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06FF0"/>
    <w:multiLevelType w:val="hybridMultilevel"/>
    <w:tmpl w:val="2522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A2BFC"/>
    <w:multiLevelType w:val="hybridMultilevel"/>
    <w:tmpl w:val="6EE01D12"/>
    <w:lvl w:ilvl="0" w:tplc="D08E74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96523"/>
    <w:multiLevelType w:val="hybridMultilevel"/>
    <w:tmpl w:val="7D906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AD3037"/>
    <w:multiLevelType w:val="hybridMultilevel"/>
    <w:tmpl w:val="C644B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250911"/>
    <w:multiLevelType w:val="hybridMultilevel"/>
    <w:tmpl w:val="0040E5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0"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4227C1"/>
    <w:multiLevelType w:val="hybridMultilevel"/>
    <w:tmpl w:val="B4AEF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8D56C1"/>
    <w:multiLevelType w:val="hybridMultilevel"/>
    <w:tmpl w:val="D464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F67C8"/>
    <w:multiLevelType w:val="hybridMultilevel"/>
    <w:tmpl w:val="608A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D6105"/>
    <w:multiLevelType w:val="hybridMultilevel"/>
    <w:tmpl w:val="8D100462"/>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2473CE"/>
    <w:multiLevelType w:val="multilevel"/>
    <w:tmpl w:val="C7824BA4"/>
    <w:lvl w:ilvl="0">
      <w:start w:val="1"/>
      <w:numFmt w:val="decimal"/>
      <w:lvlText w:val="%1."/>
      <w:lvlJc w:val="left"/>
      <w:pPr>
        <w:ind w:left="390" w:hanging="390"/>
      </w:pPr>
      <w:rPr>
        <w:rFonts w:hint="default"/>
      </w:rPr>
    </w:lvl>
    <w:lvl w:ilvl="1">
      <w:start w:val="1"/>
      <w:numFmt w:val="decimal"/>
      <w:lvlText w:val="%2."/>
      <w:lvlJc w:val="left"/>
      <w:pPr>
        <w:ind w:left="720" w:hanging="72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6CAD77AE"/>
    <w:multiLevelType w:val="hybridMultilevel"/>
    <w:tmpl w:val="2376E890"/>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77F42345"/>
    <w:multiLevelType w:val="hybridMultilevel"/>
    <w:tmpl w:val="ABC64CE2"/>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2" w15:restartNumberingAfterBreak="0">
    <w:nsid w:val="7C077EA4"/>
    <w:multiLevelType w:val="hybridMultilevel"/>
    <w:tmpl w:val="6C38FA86"/>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20"/>
  </w:num>
  <w:num w:numId="2" w16cid:durableId="1342467551">
    <w:abstractNumId w:val="29"/>
  </w:num>
  <w:num w:numId="3" w16cid:durableId="1569996155">
    <w:abstractNumId w:val="3"/>
  </w:num>
  <w:num w:numId="4" w16cid:durableId="5037120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5684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14"/>
  </w:num>
  <w:num w:numId="8" w16cid:durableId="657730385">
    <w:abstractNumId w:val="33"/>
  </w:num>
  <w:num w:numId="9" w16cid:durableId="1150515762">
    <w:abstractNumId w:val="22"/>
  </w:num>
  <w:num w:numId="10" w16cid:durableId="627323914">
    <w:abstractNumId w:val="5"/>
  </w:num>
  <w:num w:numId="11" w16cid:durableId="2043245663">
    <w:abstractNumId w:val="1"/>
  </w:num>
  <w:num w:numId="12" w16cid:durableId="1459957478">
    <w:abstractNumId w:val="11"/>
  </w:num>
  <w:num w:numId="13" w16cid:durableId="1883470145">
    <w:abstractNumId w:val="26"/>
  </w:num>
  <w:num w:numId="14" w16cid:durableId="1647002787">
    <w:abstractNumId w:val="0"/>
  </w:num>
  <w:num w:numId="15" w16cid:durableId="1978294094">
    <w:abstractNumId w:val="32"/>
  </w:num>
  <w:num w:numId="16" w16cid:durableId="1780878673">
    <w:abstractNumId w:val="9"/>
  </w:num>
  <w:num w:numId="17" w16cid:durableId="1402946846">
    <w:abstractNumId w:val="24"/>
  </w:num>
  <w:num w:numId="18" w16cid:durableId="1184051712">
    <w:abstractNumId w:val="7"/>
  </w:num>
  <w:num w:numId="19" w16cid:durableId="2099017968">
    <w:abstractNumId w:val="28"/>
  </w:num>
  <w:num w:numId="20" w16cid:durableId="746272380">
    <w:abstractNumId w:val="25"/>
  </w:num>
  <w:num w:numId="21" w16cid:durableId="462427136">
    <w:abstractNumId w:val="30"/>
  </w:num>
  <w:num w:numId="22" w16cid:durableId="355036861">
    <w:abstractNumId w:val="8"/>
  </w:num>
  <w:num w:numId="23" w16cid:durableId="1421173051">
    <w:abstractNumId w:val="6"/>
  </w:num>
  <w:num w:numId="24" w16cid:durableId="1132939808">
    <w:abstractNumId w:val="15"/>
  </w:num>
  <w:num w:numId="25" w16cid:durableId="1525366232">
    <w:abstractNumId w:val="2"/>
  </w:num>
  <w:num w:numId="26" w16cid:durableId="823664141">
    <w:abstractNumId w:val="13"/>
  </w:num>
  <w:num w:numId="27" w16cid:durableId="214661836">
    <w:abstractNumId w:val="16"/>
  </w:num>
  <w:num w:numId="28" w16cid:durableId="646055985">
    <w:abstractNumId w:val="10"/>
  </w:num>
  <w:num w:numId="29" w16cid:durableId="1908958045">
    <w:abstractNumId w:val="17"/>
  </w:num>
  <w:num w:numId="30" w16cid:durableId="254824705">
    <w:abstractNumId w:val="21"/>
  </w:num>
  <w:num w:numId="31" w16cid:durableId="854153738">
    <w:abstractNumId w:val="12"/>
  </w:num>
  <w:num w:numId="32" w16cid:durableId="919753315">
    <w:abstractNumId w:val="23"/>
  </w:num>
  <w:num w:numId="33" w16cid:durableId="657612689">
    <w:abstractNumId w:val="4"/>
  </w:num>
  <w:num w:numId="34" w16cid:durableId="18318674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nl-BE" w:vendorID="64" w:dllVersion="4096" w:nlCheck="1" w:checkStyle="0"/>
  <w:activeWritingStyle w:appName="MSWord" w:lang="de-DE" w:vendorID="64" w:dllVersion="4096"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ctiveWritingStyle w:appName="MSWord" w:lang="pt-PT" w:vendorID="64" w:dllVersion="0" w:nlCheck="1" w:checkStyle="0"/>
  <w:activeWritingStyle w:appName="MSWord" w:lang="de-DE" w:vendorID="64" w:dllVersion="0" w:nlCheck="1" w:checkStyle="0"/>
  <w:activeWritingStyle w:appName="MSWord" w:lang="nl-BE" w:vendorID="64" w:dllVersion="0" w:nlCheck="1" w:checkStyle="0"/>
  <w:activeWritingStyle w:appName="MSWord" w:lang="it-IT" w:vendorID="64" w:dllVersion="0" w:nlCheck="1" w:checkStyle="0"/>
  <w:activeWritingStyle w:appName="MSWord" w:lang="en-US" w:vendorID="64" w:dllVersion="0" w:nlCheck="1" w:checkStyle="0"/>
  <w:activeWritingStyle w:appName="MSWord" w:lang="en-DE" w:vendorID="64" w:dllVersion="0" w:nlCheck="1" w:checkStyle="0"/>
  <w:proofState w:spelling="clean" w:grammar="clean"/>
  <w:defaultTabStop w:val="720"/>
  <w:hyphenationZone w:val="425"/>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4E85"/>
    <w:rsid w:val="00014736"/>
    <w:rsid w:val="000158F7"/>
    <w:rsid w:val="0003325C"/>
    <w:rsid w:val="000339A4"/>
    <w:rsid w:val="000539AB"/>
    <w:rsid w:val="0005492E"/>
    <w:rsid w:val="0006101D"/>
    <w:rsid w:val="00063C40"/>
    <w:rsid w:val="000661B2"/>
    <w:rsid w:val="00070055"/>
    <w:rsid w:val="00072D61"/>
    <w:rsid w:val="000744CE"/>
    <w:rsid w:val="00075344"/>
    <w:rsid w:val="000773E6"/>
    <w:rsid w:val="00080C23"/>
    <w:rsid w:val="00081045"/>
    <w:rsid w:val="00082559"/>
    <w:rsid w:val="0008271D"/>
    <w:rsid w:val="000A656F"/>
    <w:rsid w:val="000C21D7"/>
    <w:rsid w:val="000E5C7F"/>
    <w:rsid w:val="000F13BB"/>
    <w:rsid w:val="000F362E"/>
    <w:rsid w:val="000F5CD0"/>
    <w:rsid w:val="00103A84"/>
    <w:rsid w:val="00103C7C"/>
    <w:rsid w:val="00104F41"/>
    <w:rsid w:val="001110E2"/>
    <w:rsid w:val="0011614C"/>
    <w:rsid w:val="001162F5"/>
    <w:rsid w:val="001348C4"/>
    <w:rsid w:val="00136787"/>
    <w:rsid w:val="00137609"/>
    <w:rsid w:val="0014315E"/>
    <w:rsid w:val="0014673F"/>
    <w:rsid w:val="0015361E"/>
    <w:rsid w:val="00156840"/>
    <w:rsid w:val="00157602"/>
    <w:rsid w:val="00161BCD"/>
    <w:rsid w:val="00166809"/>
    <w:rsid w:val="0017484B"/>
    <w:rsid w:val="00177179"/>
    <w:rsid w:val="00184004"/>
    <w:rsid w:val="00184287"/>
    <w:rsid w:val="00190ADA"/>
    <w:rsid w:val="001A75C9"/>
    <w:rsid w:val="001B1856"/>
    <w:rsid w:val="001B3A23"/>
    <w:rsid w:val="001C6C56"/>
    <w:rsid w:val="001D1C71"/>
    <w:rsid w:val="001F0F27"/>
    <w:rsid w:val="001F4089"/>
    <w:rsid w:val="00203ED8"/>
    <w:rsid w:val="00210523"/>
    <w:rsid w:val="00211382"/>
    <w:rsid w:val="002326AB"/>
    <w:rsid w:val="00235010"/>
    <w:rsid w:val="0023527A"/>
    <w:rsid w:val="00235693"/>
    <w:rsid w:val="002604CC"/>
    <w:rsid w:val="0026156C"/>
    <w:rsid w:val="0028047B"/>
    <w:rsid w:val="00284272"/>
    <w:rsid w:val="00284880"/>
    <w:rsid w:val="00290EF6"/>
    <w:rsid w:val="002A4EAB"/>
    <w:rsid w:val="002B2806"/>
    <w:rsid w:val="002C6CDE"/>
    <w:rsid w:val="002D5914"/>
    <w:rsid w:val="002E0DE9"/>
    <w:rsid w:val="002E0E88"/>
    <w:rsid w:val="002E6A7D"/>
    <w:rsid w:val="002E7EF4"/>
    <w:rsid w:val="002F14F6"/>
    <w:rsid w:val="00300DAE"/>
    <w:rsid w:val="00302113"/>
    <w:rsid w:val="00311812"/>
    <w:rsid w:val="00320194"/>
    <w:rsid w:val="00327666"/>
    <w:rsid w:val="00331D38"/>
    <w:rsid w:val="00334172"/>
    <w:rsid w:val="0035024E"/>
    <w:rsid w:val="003530FD"/>
    <w:rsid w:val="003669FF"/>
    <w:rsid w:val="003748AE"/>
    <w:rsid w:val="00390F1C"/>
    <w:rsid w:val="003A1362"/>
    <w:rsid w:val="003B4B99"/>
    <w:rsid w:val="003B6015"/>
    <w:rsid w:val="003B7514"/>
    <w:rsid w:val="003C569E"/>
    <w:rsid w:val="003E58A7"/>
    <w:rsid w:val="003E78F2"/>
    <w:rsid w:val="003F1A16"/>
    <w:rsid w:val="003F7AEB"/>
    <w:rsid w:val="0040663F"/>
    <w:rsid w:val="00411322"/>
    <w:rsid w:val="00415C89"/>
    <w:rsid w:val="00421B03"/>
    <w:rsid w:val="00422740"/>
    <w:rsid w:val="00431FE3"/>
    <w:rsid w:val="00434BDA"/>
    <w:rsid w:val="00443325"/>
    <w:rsid w:val="00450D2A"/>
    <w:rsid w:val="004516C7"/>
    <w:rsid w:val="004531F1"/>
    <w:rsid w:val="00457A20"/>
    <w:rsid w:val="004608C4"/>
    <w:rsid w:val="00461C93"/>
    <w:rsid w:val="004639CE"/>
    <w:rsid w:val="0046715A"/>
    <w:rsid w:val="004714F5"/>
    <w:rsid w:val="00472BCE"/>
    <w:rsid w:val="004736F6"/>
    <w:rsid w:val="00486840"/>
    <w:rsid w:val="00491477"/>
    <w:rsid w:val="00495B71"/>
    <w:rsid w:val="004C015B"/>
    <w:rsid w:val="004C1ADE"/>
    <w:rsid w:val="004C1FDD"/>
    <w:rsid w:val="004D6CA1"/>
    <w:rsid w:val="004F706C"/>
    <w:rsid w:val="0051196B"/>
    <w:rsid w:val="00515277"/>
    <w:rsid w:val="005158C9"/>
    <w:rsid w:val="00516A25"/>
    <w:rsid w:val="00516C47"/>
    <w:rsid w:val="00521888"/>
    <w:rsid w:val="00531BD1"/>
    <w:rsid w:val="005327FA"/>
    <w:rsid w:val="005330F7"/>
    <w:rsid w:val="0053347E"/>
    <w:rsid w:val="00534295"/>
    <w:rsid w:val="0053716F"/>
    <w:rsid w:val="00542266"/>
    <w:rsid w:val="0055344C"/>
    <w:rsid w:val="00563598"/>
    <w:rsid w:val="00577B2A"/>
    <w:rsid w:val="00583371"/>
    <w:rsid w:val="00583A15"/>
    <w:rsid w:val="00585184"/>
    <w:rsid w:val="0059075E"/>
    <w:rsid w:val="00592455"/>
    <w:rsid w:val="00593F6C"/>
    <w:rsid w:val="00594151"/>
    <w:rsid w:val="00597EB1"/>
    <w:rsid w:val="005A08BE"/>
    <w:rsid w:val="005A2A3E"/>
    <w:rsid w:val="005A7BFE"/>
    <w:rsid w:val="005B23A6"/>
    <w:rsid w:val="005C28E8"/>
    <w:rsid w:val="005C5625"/>
    <w:rsid w:val="005C5C48"/>
    <w:rsid w:val="005E031D"/>
    <w:rsid w:val="005E2FC5"/>
    <w:rsid w:val="005E6D3C"/>
    <w:rsid w:val="005F68CD"/>
    <w:rsid w:val="005F738C"/>
    <w:rsid w:val="00601985"/>
    <w:rsid w:val="00601A10"/>
    <w:rsid w:val="00604F7A"/>
    <w:rsid w:val="00605C9E"/>
    <w:rsid w:val="00610891"/>
    <w:rsid w:val="00611446"/>
    <w:rsid w:val="00611C65"/>
    <w:rsid w:val="0065281B"/>
    <w:rsid w:val="006704FB"/>
    <w:rsid w:val="006715FF"/>
    <w:rsid w:val="00682891"/>
    <w:rsid w:val="006867A3"/>
    <w:rsid w:val="00696C1C"/>
    <w:rsid w:val="006A4FB9"/>
    <w:rsid w:val="006A689A"/>
    <w:rsid w:val="006A7DC4"/>
    <w:rsid w:val="006B51C6"/>
    <w:rsid w:val="006C0316"/>
    <w:rsid w:val="006C1546"/>
    <w:rsid w:val="006C22BE"/>
    <w:rsid w:val="006C66A2"/>
    <w:rsid w:val="006D2054"/>
    <w:rsid w:val="006D71A3"/>
    <w:rsid w:val="006E0DCE"/>
    <w:rsid w:val="006E7FC5"/>
    <w:rsid w:val="006F09FA"/>
    <w:rsid w:val="006F0B3A"/>
    <w:rsid w:val="006F577A"/>
    <w:rsid w:val="006F5814"/>
    <w:rsid w:val="00704E4A"/>
    <w:rsid w:val="00704EF9"/>
    <w:rsid w:val="007057DE"/>
    <w:rsid w:val="0071181A"/>
    <w:rsid w:val="00720BD8"/>
    <w:rsid w:val="007259EC"/>
    <w:rsid w:val="0073233F"/>
    <w:rsid w:val="00746752"/>
    <w:rsid w:val="0075528D"/>
    <w:rsid w:val="007604B5"/>
    <w:rsid w:val="007610DF"/>
    <w:rsid w:val="007620D3"/>
    <w:rsid w:val="0076602D"/>
    <w:rsid w:val="0077287C"/>
    <w:rsid w:val="007820E1"/>
    <w:rsid w:val="00786961"/>
    <w:rsid w:val="00791545"/>
    <w:rsid w:val="007A4747"/>
    <w:rsid w:val="007B4D54"/>
    <w:rsid w:val="007C56AD"/>
    <w:rsid w:val="007D048A"/>
    <w:rsid w:val="007D1ED5"/>
    <w:rsid w:val="007D4776"/>
    <w:rsid w:val="007D6647"/>
    <w:rsid w:val="007E292B"/>
    <w:rsid w:val="007E7445"/>
    <w:rsid w:val="007F3A2E"/>
    <w:rsid w:val="007F7BF9"/>
    <w:rsid w:val="008007E7"/>
    <w:rsid w:val="008015C2"/>
    <w:rsid w:val="00816618"/>
    <w:rsid w:val="00820572"/>
    <w:rsid w:val="008230ED"/>
    <w:rsid w:val="0083317F"/>
    <w:rsid w:val="00837BC1"/>
    <w:rsid w:val="00842B75"/>
    <w:rsid w:val="00843436"/>
    <w:rsid w:val="00845CE1"/>
    <w:rsid w:val="00854F24"/>
    <w:rsid w:val="008619CA"/>
    <w:rsid w:val="00864138"/>
    <w:rsid w:val="0086706F"/>
    <w:rsid w:val="00871567"/>
    <w:rsid w:val="00871E2C"/>
    <w:rsid w:val="0087266E"/>
    <w:rsid w:val="00872FF8"/>
    <w:rsid w:val="00880D22"/>
    <w:rsid w:val="008852CE"/>
    <w:rsid w:val="00886E61"/>
    <w:rsid w:val="008912A8"/>
    <w:rsid w:val="008940E0"/>
    <w:rsid w:val="008B0AC3"/>
    <w:rsid w:val="008C010C"/>
    <w:rsid w:val="008C3A4A"/>
    <w:rsid w:val="008D5F88"/>
    <w:rsid w:val="008D7F9C"/>
    <w:rsid w:val="008E399F"/>
    <w:rsid w:val="008E6292"/>
    <w:rsid w:val="008E7019"/>
    <w:rsid w:val="00904F9F"/>
    <w:rsid w:val="00910D6F"/>
    <w:rsid w:val="00913004"/>
    <w:rsid w:val="0092141A"/>
    <w:rsid w:val="00926518"/>
    <w:rsid w:val="009326FD"/>
    <w:rsid w:val="00933B90"/>
    <w:rsid w:val="0093713A"/>
    <w:rsid w:val="00937A80"/>
    <w:rsid w:val="00940937"/>
    <w:rsid w:val="00941EE5"/>
    <w:rsid w:val="0094760D"/>
    <w:rsid w:val="00950287"/>
    <w:rsid w:val="00957C73"/>
    <w:rsid w:val="009635E0"/>
    <w:rsid w:val="00967D5D"/>
    <w:rsid w:val="00970B66"/>
    <w:rsid w:val="00972B3D"/>
    <w:rsid w:val="009A08AE"/>
    <w:rsid w:val="009A10B0"/>
    <w:rsid w:val="009A2337"/>
    <w:rsid w:val="009A4D8A"/>
    <w:rsid w:val="009A4FCA"/>
    <w:rsid w:val="009A5D8A"/>
    <w:rsid w:val="009A7F73"/>
    <w:rsid w:val="009B28A1"/>
    <w:rsid w:val="009B3CF3"/>
    <w:rsid w:val="009C3229"/>
    <w:rsid w:val="009E458B"/>
    <w:rsid w:val="009F6C60"/>
    <w:rsid w:val="00A00CB5"/>
    <w:rsid w:val="00A04D4A"/>
    <w:rsid w:val="00A15F37"/>
    <w:rsid w:val="00A21055"/>
    <w:rsid w:val="00A33588"/>
    <w:rsid w:val="00A350E8"/>
    <w:rsid w:val="00A43CDA"/>
    <w:rsid w:val="00A44ED2"/>
    <w:rsid w:val="00A45996"/>
    <w:rsid w:val="00A53339"/>
    <w:rsid w:val="00A5442D"/>
    <w:rsid w:val="00A548DE"/>
    <w:rsid w:val="00A56F6E"/>
    <w:rsid w:val="00A6270A"/>
    <w:rsid w:val="00A81C4E"/>
    <w:rsid w:val="00A82434"/>
    <w:rsid w:val="00A834A4"/>
    <w:rsid w:val="00A92B59"/>
    <w:rsid w:val="00A93363"/>
    <w:rsid w:val="00A94797"/>
    <w:rsid w:val="00AA475D"/>
    <w:rsid w:val="00AB2E2F"/>
    <w:rsid w:val="00AB3E09"/>
    <w:rsid w:val="00AB6831"/>
    <w:rsid w:val="00AC0753"/>
    <w:rsid w:val="00AC7730"/>
    <w:rsid w:val="00AD36A0"/>
    <w:rsid w:val="00AD4F4C"/>
    <w:rsid w:val="00AD77C8"/>
    <w:rsid w:val="00AE3F4C"/>
    <w:rsid w:val="00AE4735"/>
    <w:rsid w:val="00AE555A"/>
    <w:rsid w:val="00AE59DC"/>
    <w:rsid w:val="00AF63ED"/>
    <w:rsid w:val="00B00F6A"/>
    <w:rsid w:val="00B12CFA"/>
    <w:rsid w:val="00B17EA8"/>
    <w:rsid w:val="00B2055E"/>
    <w:rsid w:val="00B210F7"/>
    <w:rsid w:val="00B21FD4"/>
    <w:rsid w:val="00B272EB"/>
    <w:rsid w:val="00B3277E"/>
    <w:rsid w:val="00B33183"/>
    <w:rsid w:val="00B3684C"/>
    <w:rsid w:val="00B41970"/>
    <w:rsid w:val="00B51A11"/>
    <w:rsid w:val="00B54303"/>
    <w:rsid w:val="00B57E5B"/>
    <w:rsid w:val="00B609A5"/>
    <w:rsid w:val="00B62557"/>
    <w:rsid w:val="00B665AB"/>
    <w:rsid w:val="00B716CD"/>
    <w:rsid w:val="00B720A9"/>
    <w:rsid w:val="00B76E16"/>
    <w:rsid w:val="00B81CB2"/>
    <w:rsid w:val="00B86FD6"/>
    <w:rsid w:val="00B93B28"/>
    <w:rsid w:val="00BA192A"/>
    <w:rsid w:val="00BA42C5"/>
    <w:rsid w:val="00BB7FAE"/>
    <w:rsid w:val="00BC60DB"/>
    <w:rsid w:val="00BD19A8"/>
    <w:rsid w:val="00BD37E9"/>
    <w:rsid w:val="00BD5E13"/>
    <w:rsid w:val="00BD7D1B"/>
    <w:rsid w:val="00BE0480"/>
    <w:rsid w:val="00BE11B3"/>
    <w:rsid w:val="00BE2691"/>
    <w:rsid w:val="00BE2B05"/>
    <w:rsid w:val="00BE54DD"/>
    <w:rsid w:val="00BF1728"/>
    <w:rsid w:val="00C01ED7"/>
    <w:rsid w:val="00C108C1"/>
    <w:rsid w:val="00C22028"/>
    <w:rsid w:val="00C235F9"/>
    <w:rsid w:val="00C32E9F"/>
    <w:rsid w:val="00C33322"/>
    <w:rsid w:val="00C34F42"/>
    <w:rsid w:val="00C47195"/>
    <w:rsid w:val="00C67ED7"/>
    <w:rsid w:val="00C738E8"/>
    <w:rsid w:val="00C7409D"/>
    <w:rsid w:val="00C7523D"/>
    <w:rsid w:val="00C80614"/>
    <w:rsid w:val="00C912A2"/>
    <w:rsid w:val="00C91763"/>
    <w:rsid w:val="00C9645B"/>
    <w:rsid w:val="00C971E7"/>
    <w:rsid w:val="00C974A1"/>
    <w:rsid w:val="00CA74CA"/>
    <w:rsid w:val="00CB75F1"/>
    <w:rsid w:val="00CC1859"/>
    <w:rsid w:val="00CC20D1"/>
    <w:rsid w:val="00CC29A5"/>
    <w:rsid w:val="00CC52F3"/>
    <w:rsid w:val="00CD1E91"/>
    <w:rsid w:val="00CD6973"/>
    <w:rsid w:val="00CE2FFA"/>
    <w:rsid w:val="00CF5D3B"/>
    <w:rsid w:val="00D0505D"/>
    <w:rsid w:val="00D1567A"/>
    <w:rsid w:val="00D1777D"/>
    <w:rsid w:val="00D258A3"/>
    <w:rsid w:val="00D270AF"/>
    <w:rsid w:val="00D37E30"/>
    <w:rsid w:val="00D40160"/>
    <w:rsid w:val="00D418E6"/>
    <w:rsid w:val="00D42060"/>
    <w:rsid w:val="00D4691A"/>
    <w:rsid w:val="00D47C01"/>
    <w:rsid w:val="00D57C8D"/>
    <w:rsid w:val="00D62FDB"/>
    <w:rsid w:val="00D712A8"/>
    <w:rsid w:val="00D8210B"/>
    <w:rsid w:val="00D90D33"/>
    <w:rsid w:val="00D93628"/>
    <w:rsid w:val="00DA0F26"/>
    <w:rsid w:val="00DB01C0"/>
    <w:rsid w:val="00DB10D1"/>
    <w:rsid w:val="00DD4314"/>
    <w:rsid w:val="00DD57DD"/>
    <w:rsid w:val="00DD758A"/>
    <w:rsid w:val="00DE481B"/>
    <w:rsid w:val="00DF0CAA"/>
    <w:rsid w:val="00E007F1"/>
    <w:rsid w:val="00E01883"/>
    <w:rsid w:val="00E121B6"/>
    <w:rsid w:val="00E1576C"/>
    <w:rsid w:val="00E1756B"/>
    <w:rsid w:val="00E21050"/>
    <w:rsid w:val="00E21AC1"/>
    <w:rsid w:val="00E410C5"/>
    <w:rsid w:val="00E4182C"/>
    <w:rsid w:val="00E42EB4"/>
    <w:rsid w:val="00E56C45"/>
    <w:rsid w:val="00E707BA"/>
    <w:rsid w:val="00E74D77"/>
    <w:rsid w:val="00E77D51"/>
    <w:rsid w:val="00E80841"/>
    <w:rsid w:val="00E842BD"/>
    <w:rsid w:val="00E87A9A"/>
    <w:rsid w:val="00E90932"/>
    <w:rsid w:val="00E97EC1"/>
    <w:rsid w:val="00EA55C0"/>
    <w:rsid w:val="00EB2385"/>
    <w:rsid w:val="00EB3205"/>
    <w:rsid w:val="00EC3F5E"/>
    <w:rsid w:val="00EC4763"/>
    <w:rsid w:val="00EC5F23"/>
    <w:rsid w:val="00EC715D"/>
    <w:rsid w:val="00EE22CC"/>
    <w:rsid w:val="00EE3A6D"/>
    <w:rsid w:val="00EF581E"/>
    <w:rsid w:val="00EF6E52"/>
    <w:rsid w:val="00F034EA"/>
    <w:rsid w:val="00F071CF"/>
    <w:rsid w:val="00F12C0C"/>
    <w:rsid w:val="00F166B9"/>
    <w:rsid w:val="00F231E8"/>
    <w:rsid w:val="00F23755"/>
    <w:rsid w:val="00F24721"/>
    <w:rsid w:val="00F26BA0"/>
    <w:rsid w:val="00F27F3C"/>
    <w:rsid w:val="00F3004D"/>
    <w:rsid w:val="00F3764E"/>
    <w:rsid w:val="00F5021E"/>
    <w:rsid w:val="00F53636"/>
    <w:rsid w:val="00F55B61"/>
    <w:rsid w:val="00F67E81"/>
    <w:rsid w:val="00F7155B"/>
    <w:rsid w:val="00F74F81"/>
    <w:rsid w:val="00F75474"/>
    <w:rsid w:val="00F86FC1"/>
    <w:rsid w:val="00F91BF0"/>
    <w:rsid w:val="00FA29AC"/>
    <w:rsid w:val="00FA5582"/>
    <w:rsid w:val="00FB5F4D"/>
    <w:rsid w:val="00FC14C0"/>
    <w:rsid w:val="00FC6370"/>
    <w:rsid w:val="00FE2CB7"/>
    <w:rsid w:val="00FE321E"/>
    <w:rsid w:val="00FE3DB9"/>
    <w:rsid w:val="00FF5610"/>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31566"/>
  <w15:chartTrackingRefBased/>
  <w15:docId w15:val="{08541AAC-AC1C-4F0F-99D8-D0810FC54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5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2FC5"/>
    <w:rPr>
      <w:color w:val="605E5C"/>
      <w:shd w:val="clear" w:color="auto" w:fill="E1DFDD"/>
    </w:rPr>
  </w:style>
  <w:style w:type="character" w:styleId="FollowedHyperlink">
    <w:name w:val="FollowedHyperlink"/>
    <w:basedOn w:val="DefaultParagraphFont"/>
    <w:uiPriority w:val="99"/>
    <w:semiHidden/>
    <w:unhideWhenUsed/>
    <w:rsid w:val="005F68CD"/>
    <w:rPr>
      <w:color w:val="954F72" w:themeColor="followedHyperlink"/>
      <w:u w:val="single"/>
    </w:rPr>
  </w:style>
  <w:style w:type="paragraph" w:styleId="Revision">
    <w:name w:val="Revision"/>
    <w:hidden/>
    <w:uiPriority w:val="99"/>
    <w:semiHidden/>
    <w:rsid w:val="00EF58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5.xml"/><Relationship Id="rId21" Type="http://schemas.openxmlformats.org/officeDocument/2006/relationships/image" Target="media/image8.jpeg"/><Relationship Id="rId34" Type="http://schemas.openxmlformats.org/officeDocument/2006/relationships/hyperlink" Target="https://static1.squarespace.com/static/5a196500914e6b09132e911f/t/673e2bf4f0dc392d8db45a68/1732127738260/Manta+and+Devil+Ray+Safe+Handling+and+Release+Guidelines.pdf" TargetMode="External"/><Relationship Id="rId42" Type="http://schemas.openxmlformats.org/officeDocument/2006/relationships/header" Target="header6.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sharks.cms.int/sites/default/files/document/CMS_Sharks_MOS2_Outcome_3.pdf" TargetMode="External"/><Relationship Id="rId11" Type="http://schemas.openxmlformats.org/officeDocument/2006/relationships/image" Target="media/image1.wmf"/><Relationship Id="rId24" Type="http://schemas.openxmlformats.org/officeDocument/2006/relationships/image" Target="media/image11.jpeg"/><Relationship Id="rId32" Type="http://schemas.openxmlformats.org/officeDocument/2006/relationships/hyperlink" Target="https://static1.squarespace.com/static/5a196500914e6b09132e911f/t/6571526bbe58ff7dc8e7161e/1701925589968/Conserving+Manta+%26+Devil+Rays+-+A+Global+Strategy+%26+Action+Plan_Compressed.pdf" TargetMode="External"/><Relationship Id="rId37" Type="http://schemas.openxmlformats.org/officeDocument/2006/relationships/hyperlink" Target="https://www.tourism.gov.mv/dms/attachment/158305373540e799bd2833b3f954b4fe.pdf" TargetMode="External"/><Relationship Id="rId40" Type="http://schemas.openxmlformats.org/officeDocument/2006/relationships/footer" Target="footer4.xm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yperlink" Target="https://www.cms.int/sharks/en/document/development-conservation-strategy-and-action-plans-pelagic-sharks-and-rays-0" TargetMode="External"/><Relationship Id="rId36" Type="http://schemas.openxmlformats.org/officeDocument/2006/relationships/hyperlink" Target="https://static1.squarespace.com/static/5a196500914e6b09132e911f/t/5dfe2e70229b17607ddeb2c9/1576939123128/MT_MMRP_Entanglement+Protocol_2019_FINAL.pdf" TargetMode="Externa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cms.int/en/document/chondrichthyan-species-sharks-rays-skates-and-chimaeras-2" TargetMode="External"/><Relationship Id="rId44" Type="http://schemas.openxmlformats.org/officeDocument/2006/relationships/header" Target="header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cms.int/en/page/decisions-1361-1363-bycatch" TargetMode="External"/><Relationship Id="rId35" Type="http://schemas.openxmlformats.org/officeDocument/2006/relationships/hyperlink" Target="https://swimwithmantas.org/" TargetMode="External"/><Relationship Id="rId43" Type="http://schemas.openxmlformats.org/officeDocument/2006/relationships/footer" Target="footer6.xm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hyperlink" Target="https://static1.squarespace.com/static/5a196500914e6b09132e911f/t/68d69547b9333a3906defa38/1758893384011/Manta+Trust+5+Year+Plan_Final_Web.pdf" TargetMode="External"/><Relationship Id="rId38" Type="http://schemas.openxmlformats.org/officeDocument/2006/relationships/header" Target="header4.xml"/><Relationship Id="rId46" Type="http://schemas.openxmlformats.org/officeDocument/2006/relationships/header" Target="header9.xml"/><Relationship Id="rId20" Type="http://schemas.openxmlformats.org/officeDocument/2006/relationships/image" Target="media/image7.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2.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3.xml><?xml version="1.0" encoding="utf-8"?>
<ds:datastoreItem xmlns:ds="http://schemas.openxmlformats.org/officeDocument/2006/customXml" ds:itemID="{F6FB93A2-2BB4-464D-AFAB-9B39CE114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2</TotalTime>
  <Pages>31</Pages>
  <Words>11417</Words>
  <Characters>65081</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76346</CharactersWithSpaces>
  <SharedDoc>false</SharedDoc>
  <HLinks>
    <vt:vector size="66" baseType="variant">
      <vt:variant>
        <vt:i4>7012469</vt:i4>
      </vt:variant>
      <vt:variant>
        <vt:i4>27</vt:i4>
      </vt:variant>
      <vt:variant>
        <vt:i4>0</vt:i4>
      </vt:variant>
      <vt:variant>
        <vt:i4>5</vt:i4>
      </vt:variant>
      <vt:variant>
        <vt:lpwstr>https://www.tourism.gov.mv/dms/attachment/158305373540e799bd2833b3f954b4fe.pdf</vt:lpwstr>
      </vt:variant>
      <vt:variant>
        <vt:lpwstr/>
      </vt:variant>
      <vt:variant>
        <vt:i4>131081</vt:i4>
      </vt:variant>
      <vt:variant>
        <vt:i4>24</vt:i4>
      </vt:variant>
      <vt:variant>
        <vt:i4>0</vt:i4>
      </vt:variant>
      <vt:variant>
        <vt:i4>5</vt:i4>
      </vt:variant>
      <vt:variant>
        <vt:lpwstr>https://static1.squarespace.com/static/5a196500914e6b09132e911f/t/5dfe2e70229b17607ddeb2c9/1576939123128/MT_MMRP_Entanglement+Protocol_2019_FINAL.pdf</vt:lpwstr>
      </vt:variant>
      <vt:variant>
        <vt:lpwstr/>
      </vt:variant>
      <vt:variant>
        <vt:i4>6553703</vt:i4>
      </vt:variant>
      <vt:variant>
        <vt:i4>21</vt:i4>
      </vt:variant>
      <vt:variant>
        <vt:i4>0</vt:i4>
      </vt:variant>
      <vt:variant>
        <vt:i4>5</vt:i4>
      </vt:variant>
      <vt:variant>
        <vt:lpwstr>https://swimwithmantas.org/</vt:lpwstr>
      </vt:variant>
      <vt:variant>
        <vt:lpwstr/>
      </vt:variant>
      <vt:variant>
        <vt:i4>1441857</vt:i4>
      </vt:variant>
      <vt:variant>
        <vt:i4>18</vt:i4>
      </vt:variant>
      <vt:variant>
        <vt:i4>0</vt:i4>
      </vt:variant>
      <vt:variant>
        <vt:i4>5</vt:i4>
      </vt:variant>
      <vt:variant>
        <vt:lpwstr>https://static1.squarespace.com/static/5a196500914e6b09132e911f/t/673e2bf4f0dc392d8db45a68/1732127738260/Manta+and+Devil+Ray+Safe+Handling+and+Release+Guidelines.pdf</vt:lpwstr>
      </vt:variant>
      <vt:variant>
        <vt:lpwstr/>
      </vt:variant>
      <vt:variant>
        <vt:i4>2293861</vt:i4>
      </vt:variant>
      <vt:variant>
        <vt:i4>15</vt:i4>
      </vt:variant>
      <vt:variant>
        <vt:i4>0</vt:i4>
      </vt:variant>
      <vt:variant>
        <vt:i4>5</vt:i4>
      </vt:variant>
      <vt:variant>
        <vt:lpwstr>https://static1.squarespace.com/static/5a196500914e6b09132e911f/t/68d69547b9333a3906defa38/1758893384011/Manta+Trust+5+Year+Plan_Final_Web.pdf</vt:lpwstr>
      </vt:variant>
      <vt:variant>
        <vt:lpwstr/>
      </vt:variant>
      <vt:variant>
        <vt:i4>7864386</vt:i4>
      </vt:variant>
      <vt:variant>
        <vt:i4>12</vt:i4>
      </vt:variant>
      <vt:variant>
        <vt:i4>0</vt:i4>
      </vt:variant>
      <vt:variant>
        <vt:i4>5</vt:i4>
      </vt:variant>
      <vt:variant>
        <vt:lpwstr>https://static1.squarespace.com/static/5a196500914e6b09132e911f/t/6571526bbe58ff7dc8e7161e/1701925589968/Conserving+Manta+%26+Devil+Rays+-+A+Global+Strategy+%26+Action+Plan_Compressed.pdf</vt:lpwstr>
      </vt:variant>
      <vt:variant>
        <vt:lpwstr/>
      </vt:variant>
      <vt:variant>
        <vt:i4>262230</vt:i4>
      </vt:variant>
      <vt:variant>
        <vt:i4>9</vt:i4>
      </vt:variant>
      <vt:variant>
        <vt:i4>0</vt:i4>
      </vt:variant>
      <vt:variant>
        <vt:i4>5</vt:i4>
      </vt:variant>
      <vt:variant>
        <vt:lpwstr>https://www.cms.int/en/document/chondrichthyan-species-sharks-rays-skates-and-chimaeras-2</vt:lpwstr>
      </vt:variant>
      <vt:variant>
        <vt:lpwstr/>
      </vt:variant>
      <vt:variant>
        <vt:i4>6881332</vt:i4>
      </vt:variant>
      <vt:variant>
        <vt:i4>6</vt:i4>
      </vt:variant>
      <vt:variant>
        <vt:i4>0</vt:i4>
      </vt:variant>
      <vt:variant>
        <vt:i4>5</vt:i4>
      </vt:variant>
      <vt:variant>
        <vt:lpwstr>https://www.cms.int/en/page/decisions-1361-1363-bycatch</vt:lpwstr>
      </vt:variant>
      <vt:variant>
        <vt:lpwstr/>
      </vt:variant>
      <vt:variant>
        <vt:i4>2359392</vt:i4>
      </vt:variant>
      <vt:variant>
        <vt:i4>3</vt:i4>
      </vt:variant>
      <vt:variant>
        <vt:i4>0</vt:i4>
      </vt:variant>
      <vt:variant>
        <vt:i4>5</vt:i4>
      </vt:variant>
      <vt:variant>
        <vt:lpwstr>https://sharks.cms.int/sites/default/files/document/CMS_Sharks_MOS2_Outcome_3.pdf</vt:lpwstr>
      </vt:variant>
      <vt:variant>
        <vt:lpwstr/>
      </vt:variant>
      <vt:variant>
        <vt:i4>2818160</vt:i4>
      </vt:variant>
      <vt:variant>
        <vt:i4>0</vt:i4>
      </vt:variant>
      <vt:variant>
        <vt:i4>0</vt:i4>
      </vt:variant>
      <vt:variant>
        <vt:i4>5</vt:i4>
      </vt:variant>
      <vt:variant>
        <vt:lpwstr>https://www.cms.int/sharks/en/document/development-conservation-strategy-and-action-plans-pelagic-sharks-and-rays-0</vt:lpwstr>
      </vt:variant>
      <vt:variant>
        <vt:lpwstr/>
      </vt:variant>
      <vt:variant>
        <vt:i4>3014693</vt:i4>
      </vt:variant>
      <vt:variant>
        <vt:i4>0</vt:i4>
      </vt:variant>
      <vt:variant>
        <vt:i4>0</vt:i4>
      </vt:variant>
      <vt:variant>
        <vt:i4>5</vt:i4>
      </vt:variant>
      <vt:variant>
        <vt:lpwstr>https://www.cms.int/document/taxonomy-and-nomenclature-updates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2</cp:revision>
  <dcterms:created xsi:type="dcterms:W3CDTF">2026-01-12T07:45:00Z</dcterms:created>
  <dcterms:modified xsi:type="dcterms:W3CDTF">2026-01-12T07:45:00Z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docLang">
    <vt:lpwstr>fr</vt:lpwstr>
  </property>
</Properties>
</file>