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1039B7" w:rsidRPr="00BE6C85" w14:paraId="76D348DA" w14:textId="77777777" w:rsidTr="00B25E23">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67A298F3" w14:textId="77777777" w:rsidR="001039B7" w:rsidRPr="00002A97" w:rsidRDefault="001039B7" w:rsidP="00B25E23">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cs="Arial"/>
                <w:noProof/>
                <w:szCs w:val="24"/>
              </w:rPr>
              <w:drawing>
                <wp:inline distT="0" distB="0" distL="0" distR="0" wp14:anchorId="229EC8AF" wp14:editId="4085B438">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63D28C73" w14:textId="77777777" w:rsidR="001039B7" w:rsidRPr="00002A97" w:rsidRDefault="001039B7" w:rsidP="00B25E23">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1F630061" w14:textId="77777777" w:rsidR="001039B7" w:rsidRPr="00002A97" w:rsidRDefault="001039B7" w:rsidP="00B25E2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14:paraId="34125298" w14:textId="77777777" w:rsidR="001039B7" w:rsidRPr="00002A97" w:rsidRDefault="001039B7" w:rsidP="00B25E2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14:paraId="3DF76464" w14:textId="77777777" w:rsidR="001039B7" w:rsidRPr="00002A97" w:rsidRDefault="001039B7" w:rsidP="00B25E2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56D31BA1" w14:textId="612E8CA2" w:rsidR="001039B7" w:rsidRPr="006C26A2" w:rsidRDefault="001039B7" w:rsidP="006C26A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ind w:left="-105"/>
              <w:textAlignment w:val="baseline"/>
              <w:rPr>
                <w:rFonts w:ascii="Calibri" w:eastAsia="Calibri" w:hAnsi="Calibri" w:cs="Times New Roman"/>
              </w:rPr>
            </w:pPr>
            <w:r w:rsidRPr="006C26A2">
              <w:rPr>
                <w:rFonts w:eastAsia="Times New Roman" w:cs="Arial"/>
                <w:szCs w:val="24"/>
                <w:lang w:eastAsia="es-ES"/>
              </w:rPr>
              <w:t>UNEP/CMS/COP15/Doc.</w:t>
            </w:r>
            <w:r w:rsidR="008D3608" w:rsidRPr="006C26A2">
              <w:rPr>
                <w:rFonts w:eastAsia="Times New Roman" w:cs="Arial"/>
                <w:szCs w:val="24"/>
                <w:lang w:eastAsia="es-ES"/>
              </w:rPr>
              <w:t>31.3.15</w:t>
            </w:r>
            <w:r w:rsidR="006C26A2" w:rsidRPr="006C26A2">
              <w:rPr>
                <w:rFonts w:eastAsia="Times New Roman" w:cs="Arial"/>
                <w:szCs w:val="24"/>
                <w:lang w:eastAsia="es-ES"/>
              </w:rPr>
              <w:t>/Rev</w:t>
            </w:r>
            <w:r w:rsidR="006C26A2">
              <w:rPr>
                <w:rFonts w:eastAsia="Times New Roman" w:cs="Arial"/>
                <w:szCs w:val="24"/>
                <w:lang w:eastAsia="es-ES"/>
              </w:rPr>
              <w:t>.1</w:t>
            </w:r>
          </w:p>
          <w:p w14:paraId="7BD7DE61" w14:textId="30CA3300" w:rsidR="001039B7" w:rsidRPr="00EC198A" w:rsidRDefault="006C26A2" w:rsidP="00B25E23">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es-ES"/>
              </w:rPr>
            </w:pPr>
            <w:r>
              <w:rPr>
                <w:rFonts w:eastAsia="Times New Roman" w:cs="Arial"/>
                <w:szCs w:val="24"/>
                <w:lang w:val="es-ES" w:eastAsia="es-ES"/>
              </w:rPr>
              <w:t>22 de enero 2026</w:t>
            </w:r>
          </w:p>
          <w:p w14:paraId="237B28D9" w14:textId="77777777" w:rsidR="001039B7" w:rsidRPr="00002A97" w:rsidRDefault="001039B7" w:rsidP="00B25E23">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14:paraId="46DADF2E" w14:textId="77777777" w:rsidR="001039B7" w:rsidRPr="000F4BDA" w:rsidRDefault="001039B7" w:rsidP="00B25E23">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Original: Inglés</w:t>
            </w:r>
          </w:p>
          <w:p w14:paraId="55B0B316" w14:textId="77777777" w:rsidR="001039B7" w:rsidRPr="00002A97" w:rsidRDefault="001039B7" w:rsidP="00B25E23">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76799867" w14:textId="77777777" w:rsidR="005E759A" w:rsidRPr="00002A97" w:rsidRDefault="005E759A" w:rsidP="005E759A">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31D89FAE" w14:textId="77777777" w:rsidR="005E759A" w:rsidRPr="00002A97" w:rsidRDefault="005E759A" w:rsidP="005E759A">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w:t>
      </w:r>
      <w:r>
        <w:rPr>
          <w:rFonts w:eastAsia="Times New Roman" w:cs="Arial"/>
          <w:szCs w:val="24"/>
          <w:lang w:val="es-ES" w:eastAsia="es-ES"/>
        </w:rPr>
        <w:t>5</w:t>
      </w:r>
      <w:r w:rsidRPr="00002A97">
        <w:rPr>
          <w:rFonts w:eastAsia="Times New Roman" w:cs="Arial"/>
          <w:szCs w:val="24"/>
          <w:lang w:val="es-ES" w:eastAsia="es-ES"/>
        </w:rPr>
        <w:t>ª REUNIÓN DE LA CONFERENCIA DE LAS PARTES</w:t>
      </w:r>
    </w:p>
    <w:p w14:paraId="5E729E37" w14:textId="77777777" w:rsidR="005E759A" w:rsidRPr="00002A97" w:rsidRDefault="005E759A" w:rsidP="005E759A">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Pr>
          <w:rFonts w:eastAsia="Times New Roman" w:cs="Arial"/>
          <w:bCs/>
          <w:szCs w:val="24"/>
          <w:lang w:val="es-ES" w:eastAsia="es-ES"/>
        </w:rPr>
        <w:t>Campo Grande, Brasil, 23 al 29 marzo</w:t>
      </w:r>
      <w:r w:rsidRPr="00002A97">
        <w:rPr>
          <w:rFonts w:eastAsia="Times New Roman" w:cs="Arial"/>
          <w:bCs/>
          <w:szCs w:val="24"/>
          <w:lang w:val="es-ES" w:eastAsia="es-ES"/>
        </w:rPr>
        <w:t xml:space="preserve"> 202</w:t>
      </w:r>
      <w:r>
        <w:rPr>
          <w:rFonts w:eastAsia="Times New Roman" w:cs="Arial"/>
          <w:bCs/>
          <w:szCs w:val="24"/>
          <w:lang w:val="es-ES" w:eastAsia="es-ES"/>
        </w:rPr>
        <w:t>6</w:t>
      </w:r>
    </w:p>
    <w:p w14:paraId="258B44F2" w14:textId="54A45B58" w:rsidR="002E0DE9" w:rsidRPr="00671C88" w:rsidRDefault="005E759A" w:rsidP="005E759A">
      <w:pPr>
        <w:widowControl w:val="0"/>
        <w:suppressAutoHyphens/>
        <w:autoSpaceDE w:val="0"/>
        <w:autoSpaceDN w:val="0"/>
        <w:spacing w:after="0" w:line="240" w:lineRule="auto"/>
        <w:jc w:val="both"/>
        <w:textAlignment w:val="baseline"/>
        <w:rPr>
          <w:rFonts w:eastAsia="Calibri" w:cs="Arial"/>
          <w:i/>
          <w:lang w:val="es-ES"/>
        </w:rPr>
      </w:pPr>
      <w:r w:rsidRPr="00002A97">
        <w:rPr>
          <w:rFonts w:eastAsia="Times New Roman" w:cs="Arial"/>
          <w:szCs w:val="24"/>
          <w:lang w:val="es-ES" w:eastAsia="es-ES"/>
        </w:rPr>
        <w:t>Punto</w:t>
      </w:r>
      <w:r w:rsidR="008D3608">
        <w:rPr>
          <w:rFonts w:eastAsia="Times New Roman" w:cs="Arial"/>
          <w:szCs w:val="24"/>
          <w:lang w:val="es-ES" w:eastAsia="es-ES"/>
        </w:rPr>
        <w:t xml:space="preserve"> 31.3.15</w:t>
      </w:r>
      <w:r w:rsidRPr="00002A97">
        <w:rPr>
          <w:rFonts w:eastAsia="Times New Roman" w:cs="Arial"/>
          <w:szCs w:val="24"/>
          <w:lang w:val="es-ES" w:eastAsia="es-ES"/>
        </w:rPr>
        <w:t xml:space="preserve"> del orden del día</w:t>
      </w:r>
    </w:p>
    <w:p w14:paraId="7EE0BA66" w14:textId="77777777" w:rsidR="00985501" w:rsidRPr="00671C88" w:rsidRDefault="00985501" w:rsidP="009A2337">
      <w:pPr>
        <w:widowControl w:val="0"/>
        <w:suppressAutoHyphens/>
        <w:autoSpaceDE w:val="0"/>
        <w:autoSpaceDN w:val="0"/>
        <w:spacing w:after="0" w:line="240" w:lineRule="auto"/>
        <w:jc w:val="both"/>
        <w:textAlignment w:val="baseline"/>
        <w:rPr>
          <w:rFonts w:eastAsia="Times New Roman" w:cs="Arial"/>
          <w:lang w:val="es-ES"/>
        </w:rPr>
      </w:pPr>
    </w:p>
    <w:p w14:paraId="6AE0B701"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2C8B086F" w14:textId="77777777" w:rsidR="00AE555A" w:rsidRPr="00671C88"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s-ES"/>
        </w:rPr>
      </w:pPr>
      <w:bookmarkStart w:id="0" w:name="_Hlk213154959"/>
      <w:r w:rsidRPr="00671C88">
        <w:rPr>
          <w:rFonts w:eastAsia="Times New Roman" w:cs="Arial"/>
          <w:b/>
          <w:bCs/>
          <w:lang w:val="es-ES"/>
        </w:rPr>
        <w:t>PROPUESTA DE ACCIÓN CONCERTADA PARA</w:t>
      </w:r>
    </w:p>
    <w:p w14:paraId="6CCF539A" w14:textId="72B8F054" w:rsidR="00AE555A" w:rsidRPr="00671C88"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es-ES"/>
        </w:rPr>
      </w:pPr>
      <w:r w:rsidRPr="00671C88">
        <w:rPr>
          <w:rFonts w:eastAsia="Times New Roman" w:cs="Arial"/>
          <w:b/>
          <w:bCs/>
          <w:lang w:val="es-ES"/>
        </w:rPr>
        <w:t>EL TIBURÓN AZUL (</w:t>
      </w:r>
      <w:r w:rsidR="00440E04" w:rsidRPr="00671C88">
        <w:rPr>
          <w:rFonts w:eastAsia="Times New Roman" w:cs="Arial"/>
          <w:b/>
          <w:bCs/>
          <w:i/>
          <w:lang w:val="es-ES"/>
        </w:rPr>
        <w:t>Prionace glauca</w:t>
      </w:r>
      <w:r w:rsidRPr="00671C88">
        <w:rPr>
          <w:rFonts w:eastAsia="Times New Roman" w:cs="Arial"/>
          <w:b/>
          <w:bCs/>
          <w:lang w:val="es-ES"/>
        </w:rPr>
        <w:t xml:space="preserve">) YA INCLUIDO </w:t>
      </w:r>
    </w:p>
    <w:p w14:paraId="68C72D82" w14:textId="38F08ADA" w:rsidR="00AE555A" w:rsidRPr="00671C88"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es-ES"/>
        </w:rPr>
      </w:pPr>
      <w:r w:rsidRPr="00671C88">
        <w:rPr>
          <w:rFonts w:eastAsia="Times New Roman" w:cs="Arial"/>
          <w:b/>
          <w:bCs/>
          <w:lang w:val="es-ES"/>
        </w:rPr>
        <w:t>EN EL APÉNDICE II DE LA CONVENCIÓN</w:t>
      </w:r>
      <w:bookmarkEnd w:id="0"/>
      <w:r w:rsidRPr="00671C88">
        <w:rPr>
          <w:rFonts w:eastAsia="Times New Roman" w:cs="Arial"/>
          <w:sz w:val="21"/>
          <w:szCs w:val="21"/>
          <w:lang w:val="es-ES"/>
        </w:rPr>
        <w:t>*</w:t>
      </w:r>
    </w:p>
    <w:p w14:paraId="22A41750" w14:textId="4C447520" w:rsidR="00AD4F4C" w:rsidRPr="00671C88" w:rsidRDefault="00AD4F4C" w:rsidP="009B3CF3">
      <w:pPr>
        <w:widowControl w:val="0"/>
        <w:suppressAutoHyphens/>
        <w:autoSpaceDE w:val="0"/>
        <w:autoSpaceDN w:val="0"/>
        <w:spacing w:after="0" w:line="240" w:lineRule="auto"/>
        <w:jc w:val="center"/>
        <w:textAlignment w:val="baseline"/>
        <w:rPr>
          <w:rFonts w:eastAsia="Calibri" w:cs="Arial"/>
          <w:lang w:val="es-ES"/>
        </w:rPr>
      </w:pPr>
    </w:p>
    <w:p w14:paraId="2843937F" w14:textId="52129AE0" w:rsidR="002E0DE9" w:rsidRPr="00671C88"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s-ES"/>
        </w:rPr>
      </w:pPr>
    </w:p>
    <w:p w14:paraId="554A67C2" w14:textId="14B93BB8" w:rsidR="002E0DE9" w:rsidRPr="00671C88" w:rsidRDefault="008D3608" w:rsidP="009A2337">
      <w:pPr>
        <w:widowControl w:val="0"/>
        <w:suppressAutoHyphens/>
        <w:autoSpaceDE w:val="0"/>
        <w:autoSpaceDN w:val="0"/>
        <w:spacing w:after="0" w:line="240" w:lineRule="auto"/>
        <w:jc w:val="both"/>
        <w:textAlignment w:val="baseline"/>
        <w:rPr>
          <w:rFonts w:eastAsia="Times New Roman" w:cs="Arial"/>
          <w:sz w:val="21"/>
          <w:szCs w:val="21"/>
          <w:lang w:val="es-ES"/>
        </w:rPr>
      </w:pPr>
      <w:r w:rsidRPr="00671C88">
        <w:rPr>
          <w:rFonts w:eastAsia="Times New Roman" w:cs="Arial"/>
          <w:noProof/>
          <w:sz w:val="21"/>
          <w:szCs w:val="21"/>
          <w:lang w:val="es-ES" w:eastAsia="es-ES"/>
        </w:rPr>
        <mc:AlternateContent>
          <mc:Choice Requires="wps">
            <w:drawing>
              <wp:anchor distT="0" distB="0" distL="114300" distR="114300" simplePos="0" relativeHeight="251658240" behindDoc="1" locked="0" layoutInCell="1" allowOverlap="1" wp14:anchorId="6AF39586" wp14:editId="5DA68604">
                <wp:simplePos x="0" y="0"/>
                <wp:positionH relativeFrom="margin">
                  <wp:posOffset>809625</wp:posOffset>
                </wp:positionH>
                <wp:positionV relativeFrom="margin">
                  <wp:posOffset>2876550</wp:posOffset>
                </wp:positionV>
                <wp:extent cx="4304665" cy="2066925"/>
                <wp:effectExtent l="0" t="0" r="19685" b="2857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2066925"/>
                        </a:xfrm>
                        <a:prstGeom prst="rect">
                          <a:avLst/>
                        </a:prstGeom>
                        <a:solidFill>
                          <a:srgbClr val="FFFFFF"/>
                        </a:solidFill>
                        <a:ln w="3172">
                          <a:solidFill>
                            <a:srgbClr val="000000"/>
                          </a:solidFill>
                          <a:prstDash val="solid"/>
                        </a:ln>
                      </wps:spPr>
                      <wps:txbx>
                        <w:txbxContent>
                          <w:p w14:paraId="361301A9" w14:textId="77777777" w:rsidR="002E0DE9" w:rsidRPr="006D7C6F" w:rsidRDefault="002E0DE9" w:rsidP="00F75474">
                            <w:pPr>
                              <w:spacing w:after="0"/>
                              <w:jc w:val="both"/>
                              <w:rPr>
                                <w:rFonts w:cs="Arial"/>
                                <w:lang w:val="es-ES"/>
                              </w:rPr>
                            </w:pPr>
                            <w:r w:rsidRPr="006D7C6F">
                              <w:rPr>
                                <w:rFonts w:cs="Arial"/>
                                <w:lang w:val="es-ES"/>
                              </w:rPr>
                              <w:t>Resumen:</w:t>
                            </w:r>
                          </w:p>
                          <w:p w14:paraId="02EDE934" w14:textId="77777777" w:rsidR="00B76E16" w:rsidRPr="006D7C6F" w:rsidRDefault="00B76E16" w:rsidP="00B76E16">
                            <w:pPr>
                              <w:spacing w:after="0"/>
                              <w:jc w:val="both"/>
                              <w:rPr>
                                <w:rFonts w:cs="Arial"/>
                                <w:lang w:val="es-ES"/>
                              </w:rPr>
                            </w:pPr>
                          </w:p>
                          <w:p w14:paraId="1F138FF3" w14:textId="589E9FA7" w:rsidR="00FE71A6" w:rsidRDefault="00674323" w:rsidP="008D3608">
                            <w:pPr>
                              <w:spacing w:after="0" w:line="240" w:lineRule="auto"/>
                              <w:jc w:val="both"/>
                              <w:rPr>
                                <w:rFonts w:cs="Arial"/>
                                <w:lang w:val="es-ES"/>
                              </w:rPr>
                            </w:pPr>
                            <w:r w:rsidRPr="006D7C6F">
                              <w:rPr>
                                <w:rFonts w:cs="Arial"/>
                                <w:lang w:val="es-ES"/>
                              </w:rPr>
                              <w:t>La Fundación para la Investigación y Conservación Marina (MARECO) ha presentado la propuesta adjunta* para la continuación de la Acción Concertada para el tiburón azul (</w:t>
                            </w:r>
                            <w:r w:rsidR="00C34E3C" w:rsidRPr="006D7C6F">
                              <w:rPr>
                                <w:rFonts w:cs="Arial"/>
                                <w:i/>
                                <w:iCs/>
                                <w:lang w:val="es-ES"/>
                              </w:rPr>
                              <w:t>Prionace glauca</w:t>
                            </w:r>
                            <w:r w:rsidRPr="006D7C6F">
                              <w:rPr>
                                <w:rFonts w:cs="Arial"/>
                                <w:lang w:val="es-ES"/>
                              </w:rPr>
                              <w:t>) de acuerdo con el proceso detallado en la Resolución 12.28 (Rev. COP14).</w:t>
                            </w:r>
                          </w:p>
                          <w:p w14:paraId="618062FE" w14:textId="77777777" w:rsidR="006C26A2" w:rsidRDefault="006C26A2" w:rsidP="008D3608">
                            <w:pPr>
                              <w:spacing w:after="0" w:line="240" w:lineRule="auto"/>
                              <w:jc w:val="both"/>
                              <w:rPr>
                                <w:rFonts w:cs="Arial"/>
                                <w:lang w:val="es-ES"/>
                              </w:rPr>
                            </w:pPr>
                          </w:p>
                          <w:p w14:paraId="02C3180F" w14:textId="3D69B438" w:rsidR="006C26A2" w:rsidRPr="006D7C6F" w:rsidRDefault="001F3664" w:rsidP="008D3608">
                            <w:pPr>
                              <w:spacing w:after="0" w:line="240" w:lineRule="auto"/>
                              <w:jc w:val="both"/>
                              <w:rPr>
                                <w:rFonts w:cs="Arial"/>
                                <w:lang w:val="es-ES"/>
                              </w:rPr>
                            </w:pPr>
                            <w:r w:rsidRPr="001F3664">
                              <w:rPr>
                                <w:rFonts w:cs="Arial"/>
                                <w:lang w:val="es-ES"/>
                              </w:rPr>
                              <w:t>La revisión 1 implementa las recomendaciones formuladas por el Consejo Científico en su octava reunión del Comité de Sesión celebrada en diciembre de 2025.</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63.75pt;margin-top:226.5pt;width:338.95pt;height:162.7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" strokeweight=".08811mm">
                <v:textbox>
                  <w:txbxContent>
                    <w:p w14:paraId="361301A9" w14:textId="77777777" w:rsidR="002E0DE9" w:rsidRPr="006D7C6F" w:rsidRDefault="002E0DE9" w:rsidP="00F75474">
                      <w:pPr>
                        <w:spacing w:after="0"/>
                        <w:jc w:val="both"/>
                        <w:rPr>
                          <w:rFonts w:cs="Arial"/>
                          <w:lang w:val="es-ES"/>
                        </w:rPr>
                      </w:pPr>
                      <w:r w:rsidRPr="006D7C6F">
                        <w:rPr>
                          <w:rFonts w:cs="Arial"/>
                          <w:lang w:val="es-ES"/>
                        </w:rPr>
                        <w:t>Resumen:</w:t>
                      </w:r>
                    </w:p>
                    <w:p w14:paraId="02EDE934" w14:textId="77777777" w:rsidR="00B76E16" w:rsidRPr="006D7C6F" w:rsidRDefault="00B76E16" w:rsidP="00B76E16">
                      <w:pPr>
                        <w:spacing w:after="0"/>
                        <w:jc w:val="both"/>
                        <w:rPr>
                          <w:rFonts w:cs="Arial"/>
                          <w:lang w:val="es-ES"/>
                        </w:rPr>
                      </w:pPr>
                    </w:p>
                    <w:p w14:paraId="1F138FF3" w14:textId="589E9FA7" w:rsidR="00FE71A6" w:rsidRDefault="00674323" w:rsidP="008D3608">
                      <w:pPr>
                        <w:spacing w:after="0" w:line="240" w:lineRule="auto"/>
                        <w:jc w:val="both"/>
                        <w:rPr>
                          <w:rFonts w:cs="Arial"/>
                          <w:lang w:val="es-ES"/>
                        </w:rPr>
                      </w:pPr>
                      <w:r w:rsidRPr="006D7C6F">
                        <w:rPr>
                          <w:rFonts w:cs="Arial"/>
                          <w:lang w:val="es-ES"/>
                        </w:rPr>
                        <w:t>La Fundación para la Investigación y Conservación Marina (MARECO) ha presentado la propuesta adjunta* para la continuación de la Acción Concertada para el tiburón azul (</w:t>
                      </w:r>
                      <w:r w:rsidR="00C34E3C" w:rsidRPr="006D7C6F">
                        <w:rPr>
                          <w:rFonts w:cs="Arial"/>
                          <w:i/>
                          <w:iCs/>
                          <w:lang w:val="es-ES"/>
                        </w:rPr>
                        <w:t>Prionace glauca</w:t>
                      </w:r>
                      <w:r w:rsidRPr="006D7C6F">
                        <w:rPr>
                          <w:rFonts w:cs="Arial"/>
                          <w:lang w:val="es-ES"/>
                        </w:rPr>
                        <w:t>) de acuerdo con el proceso detallado en la Resolución 12.28 (Rev. COP14).</w:t>
                      </w:r>
                    </w:p>
                    <w:p w14:paraId="618062FE" w14:textId="77777777" w:rsidR="006C26A2" w:rsidRDefault="006C26A2" w:rsidP="008D3608">
                      <w:pPr>
                        <w:spacing w:after="0" w:line="240" w:lineRule="auto"/>
                        <w:jc w:val="both"/>
                        <w:rPr>
                          <w:rFonts w:cs="Arial"/>
                          <w:lang w:val="es-ES"/>
                        </w:rPr>
                      </w:pPr>
                    </w:p>
                    <w:p w14:paraId="02C3180F" w14:textId="3D69B438" w:rsidR="006C26A2" w:rsidRPr="006D7C6F" w:rsidRDefault="001F3664" w:rsidP="008D3608">
                      <w:pPr>
                        <w:spacing w:after="0" w:line="240" w:lineRule="auto"/>
                        <w:jc w:val="both"/>
                        <w:rPr>
                          <w:rFonts w:cs="Arial"/>
                          <w:lang w:val="es-ES"/>
                        </w:rPr>
                      </w:pPr>
                      <w:r w:rsidRPr="001F3664">
                        <w:rPr>
                          <w:rFonts w:cs="Arial"/>
                          <w:lang w:val="es-ES"/>
                        </w:rPr>
                        <w:t>La revisión 1 implementa las recomendaciones formuladas por el Consejo Científico en su octava reunión del Comité de Sesión celebrada en diciembre de 2025.</w:t>
                      </w:r>
                    </w:p>
                  </w:txbxContent>
                </v:textbox>
                <w10:wrap type="square" anchorx="margin" anchory="margin"/>
              </v:shape>
            </w:pict>
          </mc:Fallback>
        </mc:AlternateContent>
      </w:r>
    </w:p>
    <w:p w14:paraId="48B85236" w14:textId="1B48742D"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236BDED" w14:textId="10FDD22D"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92124E8" w14:textId="6400FB65"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3791C321" w14:textId="0CA19E96"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DF7A393" w14:textId="7E78953F"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04B2F65"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6F660C3B"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38F02BC5"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70CBF39D"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B4DC013"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50CE846C"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1DBB162D"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2D4E8840" w14:textId="77777777" w:rsidR="002E0DE9" w:rsidRPr="00671C88"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s-ES"/>
        </w:rPr>
      </w:pPr>
    </w:p>
    <w:p w14:paraId="38CDD92A"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4C10F8E6" w14:textId="77777777" w:rsidR="002E0DE9" w:rsidRPr="00671C88"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422964D3" w14:textId="77777777" w:rsidR="005330F7" w:rsidRPr="00671C88" w:rsidRDefault="005330F7" w:rsidP="009A2337">
      <w:pPr>
        <w:spacing w:after="0" w:line="240" w:lineRule="auto"/>
        <w:jc w:val="both"/>
        <w:rPr>
          <w:rFonts w:cs="Arial"/>
          <w:lang w:val="es-ES"/>
        </w:rPr>
      </w:pPr>
    </w:p>
    <w:p w14:paraId="490DC140" w14:textId="77777777" w:rsidR="002E0DE9" w:rsidRPr="00671C88" w:rsidRDefault="002E0DE9" w:rsidP="009A2337">
      <w:pPr>
        <w:spacing w:after="0" w:line="240" w:lineRule="auto"/>
        <w:jc w:val="both"/>
        <w:rPr>
          <w:rFonts w:cs="Arial"/>
          <w:lang w:val="es-ES"/>
        </w:rPr>
      </w:pPr>
    </w:p>
    <w:p w14:paraId="2FBBA2D8" w14:textId="77777777" w:rsidR="002E0DE9" w:rsidRPr="00671C88" w:rsidRDefault="002E0DE9" w:rsidP="009A2337">
      <w:pPr>
        <w:spacing w:after="0" w:line="240" w:lineRule="auto"/>
        <w:jc w:val="both"/>
        <w:rPr>
          <w:rFonts w:cs="Arial"/>
          <w:lang w:val="es-ES"/>
        </w:rPr>
      </w:pPr>
    </w:p>
    <w:p w14:paraId="4C631634" w14:textId="77777777" w:rsidR="002E0DE9" w:rsidRPr="00671C88" w:rsidRDefault="002E0DE9" w:rsidP="009A2337">
      <w:pPr>
        <w:spacing w:after="0" w:line="240" w:lineRule="auto"/>
        <w:jc w:val="both"/>
        <w:rPr>
          <w:rFonts w:cs="Arial"/>
          <w:lang w:val="es-ES"/>
        </w:rPr>
      </w:pPr>
    </w:p>
    <w:p w14:paraId="1057ABA6" w14:textId="77777777" w:rsidR="002E0DE9" w:rsidRPr="00671C88" w:rsidRDefault="002E0DE9" w:rsidP="009A2337">
      <w:pPr>
        <w:spacing w:after="0" w:line="240" w:lineRule="auto"/>
        <w:jc w:val="both"/>
        <w:rPr>
          <w:rFonts w:cs="Arial"/>
          <w:lang w:val="es-ES"/>
        </w:rPr>
      </w:pPr>
    </w:p>
    <w:p w14:paraId="0E60C238" w14:textId="77777777" w:rsidR="002E0DE9" w:rsidRPr="00671C88" w:rsidRDefault="002E0DE9" w:rsidP="009A2337">
      <w:pPr>
        <w:spacing w:after="0" w:line="240" w:lineRule="auto"/>
        <w:jc w:val="both"/>
        <w:rPr>
          <w:rFonts w:cs="Arial"/>
          <w:lang w:val="es-ES"/>
        </w:rPr>
      </w:pPr>
    </w:p>
    <w:p w14:paraId="310799B0" w14:textId="77777777" w:rsidR="002E0DE9" w:rsidRPr="00671C88" w:rsidRDefault="002E0DE9" w:rsidP="009A2337">
      <w:pPr>
        <w:spacing w:after="0" w:line="240" w:lineRule="auto"/>
        <w:jc w:val="both"/>
        <w:rPr>
          <w:rFonts w:cs="Arial"/>
          <w:lang w:val="es-ES"/>
        </w:rPr>
      </w:pPr>
    </w:p>
    <w:p w14:paraId="0B9FC963" w14:textId="77777777" w:rsidR="002E0DE9" w:rsidRPr="00671C88" w:rsidRDefault="002E0DE9" w:rsidP="009A2337">
      <w:pPr>
        <w:spacing w:after="0" w:line="240" w:lineRule="auto"/>
        <w:jc w:val="both"/>
        <w:rPr>
          <w:rFonts w:cs="Arial"/>
          <w:lang w:val="es-ES"/>
        </w:rPr>
      </w:pPr>
    </w:p>
    <w:p w14:paraId="0BFD8348" w14:textId="77777777" w:rsidR="002E0DE9" w:rsidRPr="00671C88" w:rsidRDefault="002E0DE9" w:rsidP="009A2337">
      <w:pPr>
        <w:spacing w:after="0" w:line="240" w:lineRule="auto"/>
        <w:jc w:val="both"/>
        <w:rPr>
          <w:rFonts w:cs="Arial"/>
          <w:lang w:val="es-ES"/>
        </w:rPr>
      </w:pPr>
    </w:p>
    <w:p w14:paraId="5A4B3EF1"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532E3391"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12B4B02F"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49411B80"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729AC386"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3509EDC4" w14:textId="77777777" w:rsidR="003A1362" w:rsidRPr="00671C88" w:rsidRDefault="003A1362" w:rsidP="003A1362">
      <w:pPr>
        <w:widowControl w:val="0"/>
        <w:suppressAutoHyphens/>
        <w:autoSpaceDE w:val="0"/>
        <w:autoSpaceDN w:val="0"/>
        <w:spacing w:after="0" w:line="240" w:lineRule="auto"/>
        <w:textAlignment w:val="baseline"/>
        <w:rPr>
          <w:rFonts w:eastAsia="Times New Roman" w:cs="Arial"/>
          <w:lang w:val="es-ES"/>
        </w:rPr>
      </w:pPr>
    </w:p>
    <w:p w14:paraId="29B500E0" w14:textId="77777777" w:rsidR="00D06D71" w:rsidRPr="00671C88" w:rsidRDefault="00D06D71" w:rsidP="003A1362">
      <w:pPr>
        <w:widowControl w:val="0"/>
        <w:suppressAutoHyphens/>
        <w:autoSpaceDE w:val="0"/>
        <w:autoSpaceDN w:val="0"/>
        <w:spacing w:after="0" w:line="240" w:lineRule="auto"/>
        <w:textAlignment w:val="baseline"/>
        <w:rPr>
          <w:rFonts w:eastAsia="Times New Roman" w:cs="Arial"/>
          <w:lang w:val="es-ES"/>
        </w:rPr>
      </w:pPr>
    </w:p>
    <w:p w14:paraId="3E0DD8DF" w14:textId="77777777" w:rsidR="00D06D71" w:rsidRPr="00671C88" w:rsidRDefault="00D06D71" w:rsidP="003A1362">
      <w:pPr>
        <w:widowControl w:val="0"/>
        <w:suppressAutoHyphens/>
        <w:autoSpaceDE w:val="0"/>
        <w:autoSpaceDN w:val="0"/>
        <w:spacing w:after="0" w:line="240" w:lineRule="auto"/>
        <w:textAlignment w:val="baseline"/>
        <w:rPr>
          <w:rFonts w:eastAsia="Times New Roman" w:cs="Arial"/>
          <w:lang w:val="es-ES"/>
        </w:rPr>
      </w:pPr>
    </w:p>
    <w:p w14:paraId="6F658BA7" w14:textId="77777777" w:rsidR="00D06D71" w:rsidRPr="00671C88" w:rsidRDefault="00D06D71" w:rsidP="003A1362">
      <w:pPr>
        <w:widowControl w:val="0"/>
        <w:suppressAutoHyphens/>
        <w:autoSpaceDE w:val="0"/>
        <w:autoSpaceDN w:val="0"/>
        <w:spacing w:after="0" w:line="240" w:lineRule="auto"/>
        <w:textAlignment w:val="baseline"/>
        <w:rPr>
          <w:rFonts w:eastAsia="Times New Roman" w:cs="Arial"/>
          <w:lang w:val="es-ES"/>
        </w:rPr>
      </w:pPr>
    </w:p>
    <w:p w14:paraId="13BA9C7D" w14:textId="4A002D79" w:rsidR="003A1362" w:rsidRPr="00D97D0C" w:rsidRDefault="00D97D0C" w:rsidP="003A1362">
      <w:pPr>
        <w:widowControl w:val="0"/>
        <w:suppressAutoHyphens/>
        <w:autoSpaceDE w:val="0"/>
        <w:autoSpaceDN w:val="0"/>
        <w:spacing w:after="0" w:line="240" w:lineRule="auto"/>
        <w:jc w:val="both"/>
        <w:textAlignment w:val="baseline"/>
        <w:rPr>
          <w:rFonts w:eastAsia="Calibri" w:cs="Arial"/>
          <w:lang w:val="es-ES"/>
        </w:rPr>
        <w:sectPr w:rsidR="003A1362" w:rsidRPr="00D97D0C" w:rsidSect="003A1362">
          <w:headerReference w:type="even" r:id="rId12"/>
          <w:headerReference w:type="default" r:id="rId13"/>
          <w:footerReference w:type="even" r:id="rId14"/>
          <w:footerReference w:type="default" r:id="rId15"/>
          <w:headerReference w:type="first" r:id="rId16"/>
          <w:endnotePr>
            <w:numFmt w:val="decimal"/>
          </w:endnotePr>
          <w:pgSz w:w="11905" w:h="16837"/>
          <w:pgMar w:top="1440" w:right="1440" w:bottom="1440" w:left="1440" w:header="432" w:footer="432" w:gutter="0"/>
          <w:cols w:space="720"/>
          <w:titlePg/>
          <w:docGrid w:linePitch="299"/>
        </w:sectPr>
      </w:pPr>
      <w:r w:rsidRPr="00074B50">
        <w:rPr>
          <w:rFonts w:eastAsia="Times New Roman" w:cs="Arial"/>
          <w:sz w:val="18"/>
          <w:szCs w:val="18"/>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r w:rsidR="00BC26D1" w:rsidRPr="00D97D0C">
        <w:rPr>
          <w:rFonts w:eastAsia="Times New Roman" w:cs="Arial"/>
          <w:sz w:val="18"/>
          <w:szCs w:val="18"/>
          <w:lang w:val="es-ES"/>
        </w:rPr>
        <w:t>.</w:t>
      </w:r>
    </w:p>
    <w:p w14:paraId="452ABD59" w14:textId="5115ED06" w:rsidR="009F2185" w:rsidRPr="00671C88" w:rsidRDefault="009F2185" w:rsidP="009F2185">
      <w:pPr>
        <w:suppressAutoHyphens/>
        <w:spacing w:after="0" w:line="240" w:lineRule="auto"/>
        <w:ind w:left="720"/>
        <w:contextualSpacing/>
        <w:jc w:val="center"/>
        <w:rPr>
          <w:rFonts w:eastAsia="MS Mincho" w:cs="Arial"/>
          <w:b/>
          <w:lang w:val="es-ES" w:eastAsia="ja-JP"/>
        </w:rPr>
      </w:pPr>
      <w:r w:rsidRPr="00671C88">
        <w:rPr>
          <w:rFonts w:eastAsia="MS Mincho" w:cs="Arial"/>
          <w:b/>
          <w:lang w:val="es-ES" w:eastAsia="ja-JP"/>
        </w:rPr>
        <w:lastRenderedPageBreak/>
        <w:t>PROPUESTA DE ACCIÓN CONCERTADA PARA</w:t>
      </w:r>
    </w:p>
    <w:p w14:paraId="13AED414" w14:textId="77777777" w:rsidR="009F2185" w:rsidRPr="00671C88" w:rsidRDefault="009F2185" w:rsidP="009F2185">
      <w:pPr>
        <w:suppressAutoHyphens/>
        <w:spacing w:after="0" w:line="240" w:lineRule="auto"/>
        <w:ind w:left="720"/>
        <w:contextualSpacing/>
        <w:jc w:val="center"/>
        <w:rPr>
          <w:rFonts w:eastAsia="MS Mincho" w:cs="Arial"/>
          <w:b/>
          <w:lang w:val="es-ES" w:eastAsia="ja-JP"/>
        </w:rPr>
      </w:pPr>
      <w:r w:rsidRPr="00671C88">
        <w:rPr>
          <w:rFonts w:eastAsia="MS Mincho" w:cs="Arial"/>
          <w:b/>
          <w:lang w:val="es-ES" w:eastAsia="ja-JP"/>
        </w:rPr>
        <w:t xml:space="preserve">EL TIBURÓN AZUL (Prionace glauca) YA INCLUIDO </w:t>
      </w:r>
    </w:p>
    <w:p w14:paraId="4C797174" w14:textId="350AC774" w:rsidR="00843436" w:rsidRPr="00671C88" w:rsidRDefault="009F2185" w:rsidP="009F2185">
      <w:pPr>
        <w:suppressAutoHyphens/>
        <w:spacing w:after="0" w:line="240" w:lineRule="auto"/>
        <w:ind w:left="720"/>
        <w:contextualSpacing/>
        <w:jc w:val="center"/>
        <w:rPr>
          <w:rFonts w:eastAsia="MS Mincho" w:cs="Arial"/>
          <w:b/>
          <w:lang w:val="es-ES" w:eastAsia="ja-JP"/>
        </w:rPr>
      </w:pPr>
      <w:r w:rsidRPr="00671C88">
        <w:rPr>
          <w:rFonts w:eastAsia="MS Mincho" w:cs="Arial"/>
          <w:b/>
          <w:lang w:val="es-ES" w:eastAsia="ja-JP"/>
        </w:rPr>
        <w:t>EN EL APÉNDICE II DE LA CONVENCIÓN</w:t>
      </w:r>
    </w:p>
    <w:p w14:paraId="7BAF97E9" w14:textId="77777777" w:rsidR="00843436" w:rsidRPr="00671C88" w:rsidRDefault="00843436" w:rsidP="00843436">
      <w:pPr>
        <w:suppressAutoHyphens/>
        <w:spacing w:after="0" w:line="240" w:lineRule="auto"/>
        <w:contextualSpacing/>
        <w:jc w:val="both"/>
        <w:rPr>
          <w:rFonts w:eastAsia="MS Mincho" w:cs="Arial"/>
          <w:lang w:val="es-ES" w:eastAsia="en-GB"/>
        </w:rPr>
      </w:pPr>
    </w:p>
    <w:p w14:paraId="111AB446" w14:textId="77777777" w:rsidR="009F2185" w:rsidRPr="00671C88" w:rsidRDefault="009F2185" w:rsidP="00843436">
      <w:pPr>
        <w:widowControl w:val="0"/>
        <w:suppressAutoHyphens/>
        <w:autoSpaceDE w:val="0"/>
        <w:autoSpaceDN w:val="0"/>
        <w:spacing w:after="0" w:line="240" w:lineRule="auto"/>
        <w:jc w:val="both"/>
        <w:textAlignment w:val="baseline"/>
        <w:rPr>
          <w:rFonts w:eastAsia="MS Mincho" w:cs="Arial"/>
          <w:b/>
          <w:lang w:val="es-ES" w:eastAsia="en-GB"/>
        </w:rPr>
      </w:pPr>
    </w:p>
    <w:p w14:paraId="1A63CF24" w14:textId="2058FE26"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Proponente(s)</w:t>
      </w:r>
    </w:p>
    <w:p w14:paraId="3630072E" w14:textId="77777777" w:rsidR="00343812" w:rsidRPr="00671C88" w:rsidRDefault="00343812" w:rsidP="00843436">
      <w:pPr>
        <w:widowControl w:val="0"/>
        <w:suppressAutoHyphens/>
        <w:autoSpaceDE w:val="0"/>
        <w:autoSpaceDN w:val="0"/>
        <w:spacing w:after="0" w:line="240" w:lineRule="auto"/>
        <w:jc w:val="both"/>
        <w:textAlignment w:val="baseline"/>
        <w:rPr>
          <w:rFonts w:eastAsia="MS Mincho" w:cs="Arial"/>
          <w:iCs/>
          <w:lang w:val="es-ES" w:eastAsia="en-GB"/>
        </w:rPr>
      </w:pPr>
    </w:p>
    <w:p w14:paraId="7AD24300" w14:textId="6553BE85" w:rsidR="00343812" w:rsidRPr="00671C88" w:rsidRDefault="00343812" w:rsidP="00843436">
      <w:pPr>
        <w:widowControl w:val="0"/>
        <w:suppressAutoHyphens/>
        <w:autoSpaceDE w:val="0"/>
        <w:autoSpaceDN w:val="0"/>
        <w:spacing w:after="0" w:line="240" w:lineRule="auto"/>
        <w:jc w:val="both"/>
        <w:textAlignment w:val="baseline"/>
        <w:rPr>
          <w:rFonts w:eastAsia="MS Mincho" w:cs="Arial"/>
          <w:iCs/>
          <w:lang w:val="es-ES" w:eastAsia="en-GB"/>
        </w:rPr>
      </w:pPr>
      <w:r w:rsidRPr="00671C88">
        <w:rPr>
          <w:rFonts w:eastAsia="MS Mincho" w:cs="Arial"/>
          <w:iCs/>
          <w:lang w:val="es-ES" w:eastAsia="es-ES"/>
        </w:rPr>
        <w:t>Fundación para la Investigación y Conservación Marina (MARECO)</w:t>
      </w:r>
    </w:p>
    <w:p w14:paraId="7B414390"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ja-JP"/>
        </w:rPr>
      </w:pPr>
    </w:p>
    <w:p w14:paraId="11C9E3E1"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Especies objetivo, taxón inferior o población, o grupo de taxones con necesidades en común</w:t>
      </w:r>
    </w:p>
    <w:p w14:paraId="2E17D86E" w14:textId="77777777" w:rsidR="00343812" w:rsidRPr="00671C88" w:rsidRDefault="00343812" w:rsidP="00843436">
      <w:pPr>
        <w:widowControl w:val="0"/>
        <w:suppressAutoHyphens/>
        <w:autoSpaceDE w:val="0"/>
        <w:autoSpaceDN w:val="0"/>
        <w:spacing w:after="0" w:line="240" w:lineRule="auto"/>
        <w:jc w:val="both"/>
        <w:textAlignment w:val="baseline"/>
        <w:rPr>
          <w:rFonts w:eastAsia="MS Mincho" w:cs="Arial"/>
          <w:lang w:val="es-ES" w:eastAsia="en-GB"/>
        </w:rPr>
      </w:pPr>
    </w:p>
    <w:p w14:paraId="3E0A3CE8" w14:textId="527E13E9" w:rsidR="00343812" w:rsidRPr="00671C88" w:rsidRDefault="00343812" w:rsidP="009F2185">
      <w:pPr>
        <w:widowControl w:val="0"/>
        <w:suppressAutoHyphens/>
        <w:autoSpaceDE w:val="0"/>
        <w:autoSpaceDN w:val="0"/>
        <w:spacing w:after="80" w:line="240" w:lineRule="auto"/>
        <w:ind w:left="720" w:hanging="720"/>
        <w:jc w:val="both"/>
        <w:textAlignment w:val="baseline"/>
        <w:rPr>
          <w:rFonts w:eastAsia="MS Mincho" w:cs="Arial"/>
          <w:lang w:val="es-ES" w:eastAsia="en-GB"/>
        </w:rPr>
      </w:pPr>
      <w:r w:rsidRPr="00671C88">
        <w:rPr>
          <w:rFonts w:eastAsia="MS Mincho" w:cs="Arial"/>
          <w:lang w:val="es-ES" w:eastAsia="es-ES"/>
        </w:rPr>
        <w:t>Clase: Condrictios</w:t>
      </w:r>
    </w:p>
    <w:p w14:paraId="60E109F1" w14:textId="0BA123E2" w:rsidR="00343812" w:rsidRPr="00671C88" w:rsidRDefault="00343812" w:rsidP="009F2185">
      <w:pPr>
        <w:widowControl w:val="0"/>
        <w:suppressAutoHyphens/>
        <w:autoSpaceDE w:val="0"/>
        <w:autoSpaceDN w:val="0"/>
        <w:spacing w:after="80" w:line="240" w:lineRule="auto"/>
        <w:ind w:left="720" w:hanging="720"/>
        <w:jc w:val="both"/>
        <w:textAlignment w:val="baseline"/>
        <w:rPr>
          <w:rFonts w:eastAsia="MS Mincho" w:cs="Arial"/>
          <w:lang w:val="es-ES" w:eastAsia="en-GB"/>
        </w:rPr>
      </w:pPr>
      <w:r w:rsidRPr="00671C88">
        <w:rPr>
          <w:rFonts w:eastAsia="MS Mincho" w:cs="Arial"/>
          <w:lang w:val="es-ES" w:eastAsia="es-ES"/>
        </w:rPr>
        <w:t>Subclase: Elasmobranchii</w:t>
      </w:r>
    </w:p>
    <w:p w14:paraId="219682CA" w14:textId="46096327" w:rsidR="00343812" w:rsidRPr="00671C88" w:rsidRDefault="00343812" w:rsidP="009F2185">
      <w:pPr>
        <w:widowControl w:val="0"/>
        <w:suppressAutoHyphens/>
        <w:autoSpaceDE w:val="0"/>
        <w:autoSpaceDN w:val="0"/>
        <w:spacing w:after="80" w:line="240" w:lineRule="auto"/>
        <w:ind w:left="720" w:hanging="720"/>
        <w:jc w:val="both"/>
        <w:textAlignment w:val="baseline"/>
        <w:rPr>
          <w:rFonts w:eastAsia="MS Mincho" w:cs="Arial"/>
          <w:lang w:val="es-ES" w:eastAsia="en-GB"/>
        </w:rPr>
      </w:pPr>
      <w:r w:rsidRPr="00671C88">
        <w:rPr>
          <w:rFonts w:eastAsia="MS Mincho" w:cs="Arial"/>
          <w:lang w:val="es-ES" w:eastAsia="es-ES"/>
        </w:rPr>
        <w:t>Orden: Carcharhiniformes</w:t>
      </w:r>
    </w:p>
    <w:p w14:paraId="7C11C076" w14:textId="1594BD34" w:rsidR="00343812" w:rsidRPr="00671C88" w:rsidRDefault="00343812" w:rsidP="009F2185">
      <w:pPr>
        <w:widowControl w:val="0"/>
        <w:suppressAutoHyphens/>
        <w:autoSpaceDE w:val="0"/>
        <w:autoSpaceDN w:val="0"/>
        <w:spacing w:after="80" w:line="240" w:lineRule="auto"/>
        <w:ind w:left="720" w:hanging="720"/>
        <w:jc w:val="both"/>
        <w:textAlignment w:val="baseline"/>
        <w:rPr>
          <w:rFonts w:eastAsia="MS Mincho" w:cs="Arial"/>
          <w:lang w:val="es-ES" w:eastAsia="en-GB"/>
        </w:rPr>
      </w:pPr>
      <w:r w:rsidRPr="00671C88">
        <w:rPr>
          <w:rFonts w:eastAsia="MS Mincho" w:cs="Arial"/>
          <w:lang w:val="es-ES" w:eastAsia="es-ES"/>
        </w:rPr>
        <w:t>Familia: Carcharhinidae</w:t>
      </w:r>
    </w:p>
    <w:p w14:paraId="06AC3434" w14:textId="1A834747" w:rsidR="00343812" w:rsidRPr="00671C88" w:rsidRDefault="00343812" w:rsidP="009F2185">
      <w:pPr>
        <w:widowControl w:val="0"/>
        <w:suppressAutoHyphens/>
        <w:autoSpaceDE w:val="0"/>
        <w:autoSpaceDN w:val="0"/>
        <w:spacing w:after="80" w:line="240" w:lineRule="auto"/>
        <w:ind w:left="720" w:hanging="720"/>
        <w:jc w:val="both"/>
        <w:textAlignment w:val="baseline"/>
        <w:rPr>
          <w:rFonts w:eastAsia="MS Mincho" w:cs="Arial"/>
          <w:lang w:val="es-ES" w:eastAsia="en-GB"/>
        </w:rPr>
      </w:pPr>
      <w:r w:rsidRPr="00671C88">
        <w:rPr>
          <w:rFonts w:eastAsia="MS Mincho" w:cs="Arial"/>
          <w:lang w:val="es-ES" w:eastAsia="es-ES"/>
        </w:rPr>
        <w:t xml:space="preserve">Género: </w:t>
      </w:r>
      <w:r w:rsidRPr="00671C88">
        <w:rPr>
          <w:rFonts w:eastAsia="MS Mincho" w:cs="Arial"/>
          <w:i/>
          <w:iCs/>
          <w:lang w:val="es-ES" w:eastAsia="es-ES"/>
        </w:rPr>
        <w:t>Prionace</w:t>
      </w:r>
    </w:p>
    <w:p w14:paraId="642A1C60" w14:textId="28C3DD5C" w:rsidR="00343812" w:rsidRPr="00671C88" w:rsidRDefault="00343812" w:rsidP="009F2185">
      <w:pPr>
        <w:widowControl w:val="0"/>
        <w:suppressAutoHyphens/>
        <w:autoSpaceDE w:val="0"/>
        <w:autoSpaceDN w:val="0"/>
        <w:spacing w:after="0" w:line="240" w:lineRule="auto"/>
        <w:ind w:left="720" w:hanging="720"/>
        <w:jc w:val="both"/>
        <w:textAlignment w:val="baseline"/>
        <w:rPr>
          <w:rFonts w:eastAsia="MS Mincho" w:cs="Arial"/>
          <w:i/>
          <w:iCs/>
          <w:lang w:val="es-ES" w:eastAsia="en-GB"/>
        </w:rPr>
      </w:pPr>
      <w:r w:rsidRPr="00671C88">
        <w:rPr>
          <w:rFonts w:eastAsia="MS Mincho" w:cs="Arial"/>
          <w:lang w:val="es-ES" w:eastAsia="es-ES"/>
        </w:rPr>
        <w:t xml:space="preserve">Especie: </w:t>
      </w:r>
      <w:r w:rsidRPr="00671C88">
        <w:rPr>
          <w:rFonts w:eastAsia="MS Mincho" w:cs="Arial"/>
          <w:i/>
          <w:iCs/>
          <w:lang w:val="es-ES" w:eastAsia="es-ES"/>
        </w:rPr>
        <w:t>Prionace glauca</w:t>
      </w:r>
    </w:p>
    <w:p w14:paraId="475B9EE6" w14:textId="77777777" w:rsidR="00343812" w:rsidRPr="00671C88" w:rsidRDefault="00343812" w:rsidP="00843436">
      <w:pPr>
        <w:widowControl w:val="0"/>
        <w:suppressAutoHyphens/>
        <w:autoSpaceDE w:val="0"/>
        <w:autoSpaceDN w:val="0"/>
        <w:spacing w:after="0" w:line="240" w:lineRule="auto"/>
        <w:jc w:val="both"/>
        <w:textAlignment w:val="baseline"/>
        <w:rPr>
          <w:rFonts w:eastAsia="MS Mincho" w:cs="Arial"/>
          <w:i/>
          <w:iCs/>
          <w:lang w:val="es-ES" w:eastAsia="en-GB"/>
        </w:rPr>
      </w:pPr>
    </w:p>
    <w:p w14:paraId="426E2E4E" w14:textId="6A4BA7B9" w:rsidR="00343812" w:rsidRPr="00671C88" w:rsidRDefault="00343812" w:rsidP="00843436">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Incluido en el Apéndice II de la CMS.</w:t>
      </w:r>
    </w:p>
    <w:p w14:paraId="2AF2FCEE"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ja-JP"/>
        </w:rPr>
      </w:pPr>
    </w:p>
    <w:p w14:paraId="46DE1013"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Ámbito geográfico</w:t>
      </w:r>
    </w:p>
    <w:p w14:paraId="2FD87808" w14:textId="77777777" w:rsidR="00C44620" w:rsidRPr="00671C88" w:rsidRDefault="00C44620" w:rsidP="00843436">
      <w:pPr>
        <w:widowControl w:val="0"/>
        <w:suppressAutoHyphens/>
        <w:autoSpaceDE w:val="0"/>
        <w:autoSpaceDN w:val="0"/>
        <w:spacing w:after="0" w:line="240" w:lineRule="auto"/>
        <w:jc w:val="both"/>
        <w:textAlignment w:val="baseline"/>
        <w:rPr>
          <w:rFonts w:eastAsia="MS Mincho" w:cs="Arial"/>
          <w:lang w:val="es-ES" w:eastAsia="en-GB"/>
        </w:rPr>
      </w:pPr>
    </w:p>
    <w:p w14:paraId="4573B646" w14:textId="77777777" w:rsidR="00AA2E8B" w:rsidRPr="00671C88" w:rsidRDefault="008A3F39" w:rsidP="00843436">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 xml:space="preserve">El tiburón azul es una de las especies de tiburones pelágicos más ampliamente distribuidas, presente en aguas tropicales y templadas de todas las principales cuencas oceánicas. Por lo general, el tiburón azul habita en aguas con temperaturas de entre 12 y 18 °C, pero puede tolerar un rango de temperaturas de entre 10 y 30 °C, desde la superficie hasta profundidades superiores a los 1100 m (Ebert et al. 2021). </w:t>
      </w:r>
    </w:p>
    <w:p w14:paraId="117F7D48" w14:textId="77777777" w:rsidR="00AA2E8B" w:rsidRPr="00671C88" w:rsidRDefault="00AA2E8B" w:rsidP="00843436">
      <w:pPr>
        <w:widowControl w:val="0"/>
        <w:suppressAutoHyphens/>
        <w:autoSpaceDE w:val="0"/>
        <w:autoSpaceDN w:val="0"/>
        <w:spacing w:after="0" w:line="240" w:lineRule="auto"/>
        <w:jc w:val="both"/>
        <w:textAlignment w:val="baseline"/>
        <w:rPr>
          <w:rFonts w:eastAsia="MS Mincho" w:cs="Arial"/>
          <w:lang w:val="es-ES" w:eastAsia="en-GB"/>
        </w:rPr>
      </w:pPr>
    </w:p>
    <w:p w14:paraId="6BD88F86" w14:textId="483B6DF2" w:rsidR="00C44620" w:rsidRPr="00671C88" w:rsidRDefault="001D6D5D" w:rsidP="00843436">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Su amplia distribución, junto con las extensas migraciones estacionales y verticales, están determinadas por la disponibilidad de presas, los frentes térmicos y los ciclos reproductivos (Howey et al. 2017). A nivel mundial, la población muestra poca o ninguna variación genética debido a la amplia conectividad migratoria (Bailleul et al. 2018; Verissimo et al. 2017), sin embargo, se han identificado dos grupos genéticos en el norte del Atlántico/Mediterráneo y en el Indo-Pacífico (Nikolic et al. 2023).</w:t>
      </w:r>
    </w:p>
    <w:p w14:paraId="4419F9C1" w14:textId="77777777" w:rsidR="00C44620" w:rsidRPr="00671C88" w:rsidRDefault="00C44620" w:rsidP="00843436">
      <w:pPr>
        <w:widowControl w:val="0"/>
        <w:suppressAutoHyphens/>
        <w:autoSpaceDE w:val="0"/>
        <w:autoSpaceDN w:val="0"/>
        <w:spacing w:after="0" w:line="240" w:lineRule="auto"/>
        <w:jc w:val="both"/>
        <w:textAlignment w:val="baseline"/>
        <w:rPr>
          <w:rFonts w:eastAsia="MS Mincho" w:cs="Arial"/>
          <w:lang w:val="es-ES" w:eastAsia="en-GB"/>
        </w:rPr>
      </w:pPr>
    </w:p>
    <w:p w14:paraId="5A936DC3" w14:textId="412D3284" w:rsidR="00C44620" w:rsidRPr="00671C88" w:rsidRDefault="00C44620" w:rsidP="009F2185">
      <w:pPr>
        <w:widowControl w:val="0"/>
        <w:suppressAutoHyphens/>
        <w:autoSpaceDE w:val="0"/>
        <w:autoSpaceDN w:val="0"/>
        <w:spacing w:after="0" w:line="240" w:lineRule="auto"/>
        <w:jc w:val="both"/>
        <w:textAlignment w:val="baseline"/>
        <w:rPr>
          <w:rFonts w:eastAsia="MS Mincho" w:cs="Arial"/>
          <w:b/>
          <w:bCs/>
          <w:sz w:val="20"/>
          <w:szCs w:val="20"/>
          <w:lang w:val="es-ES" w:eastAsia="en-GB"/>
        </w:rPr>
      </w:pPr>
      <w:r w:rsidRPr="00671C88">
        <w:rPr>
          <w:rFonts w:eastAsia="Calibri" w:cs="Arial"/>
          <w:noProof/>
          <w:lang w:val="es-ES" w:eastAsia="es-ES"/>
        </w:rPr>
        <w:lastRenderedPageBreak/>
        <w:drawing>
          <wp:anchor distT="0" distB="0" distL="114300" distR="114300" simplePos="0" relativeHeight="251660288" behindDoc="1" locked="0" layoutInCell="1" allowOverlap="1" wp14:anchorId="6D96BF3D" wp14:editId="43DB64B4">
            <wp:simplePos x="0" y="0"/>
            <wp:positionH relativeFrom="column">
              <wp:posOffset>-32385</wp:posOffset>
            </wp:positionH>
            <wp:positionV relativeFrom="paragraph">
              <wp:posOffset>106045</wp:posOffset>
            </wp:positionV>
            <wp:extent cx="5964555" cy="4334510"/>
            <wp:effectExtent l="0" t="0" r="4445" b="0"/>
            <wp:wrapTight wrapText="bothSides">
              <wp:wrapPolygon edited="0">
                <wp:start x="0" y="0"/>
                <wp:lineTo x="0" y="21518"/>
                <wp:lineTo x="21570" y="21518"/>
                <wp:lineTo x="21570" y="0"/>
                <wp:lineTo x="0" y="0"/>
              </wp:wrapPolygon>
            </wp:wrapTight>
            <wp:docPr id="1913275495" name="Picture 191327549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75495" name="Picture 1" descr="A map of the world&#10;&#10;Description automatically generated"/>
                    <pic:cNvPicPr/>
                  </pic:nvPicPr>
                  <pic:blipFill rotWithShape="1">
                    <a:blip r:embed="rId17" cstate="print">
                      <a:extLst>
                        <a:ext uri="{28A0092B-C50C-407E-A947-70E740481C1C}">
                          <a14:useLocalDpi xmlns:a14="http://schemas.microsoft.com/office/drawing/2010/main" val="0"/>
                        </a:ext>
                      </a:extLst>
                    </a:blip>
                    <a:srcRect t="5928" b="4946"/>
                    <a:stretch/>
                  </pic:blipFill>
                  <pic:spPr bwMode="auto">
                    <a:xfrm>
                      <a:off x="0" y="0"/>
                      <a:ext cx="5964555" cy="433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1C88">
        <w:rPr>
          <w:rFonts w:eastAsia="MS Mincho" w:cs="Arial"/>
          <w:b/>
          <w:bCs/>
          <w:sz w:val="20"/>
          <w:szCs w:val="20"/>
          <w:lang w:val="es-ES" w:eastAsia="es-ES"/>
        </w:rPr>
        <w:t xml:space="preserve">Figura 1: </w:t>
      </w:r>
      <w:r w:rsidR="006D7C6F" w:rsidRPr="00671C88">
        <w:rPr>
          <w:rFonts w:eastAsia="MS Mincho" w:cs="Arial"/>
          <w:sz w:val="20"/>
          <w:szCs w:val="20"/>
          <w:lang w:val="es-ES" w:eastAsia="es-ES"/>
        </w:rPr>
        <w:t>Distribución</w:t>
      </w:r>
      <w:r w:rsidRPr="00671C88">
        <w:rPr>
          <w:rFonts w:eastAsia="MS Mincho" w:cs="Arial"/>
          <w:sz w:val="20"/>
          <w:szCs w:val="20"/>
          <w:lang w:val="es-ES" w:eastAsia="es-ES"/>
        </w:rPr>
        <w:t xml:space="preserve"> geográfica del tiburón azul (© Lista Roja de la UICN).</w:t>
      </w:r>
    </w:p>
    <w:p w14:paraId="6A53C5AE" w14:textId="77777777" w:rsidR="005A7A22" w:rsidRPr="00671C88" w:rsidRDefault="005A7A22" w:rsidP="00843436">
      <w:pPr>
        <w:widowControl w:val="0"/>
        <w:suppressAutoHyphens/>
        <w:autoSpaceDE w:val="0"/>
        <w:autoSpaceDN w:val="0"/>
        <w:spacing w:after="0" w:line="240" w:lineRule="auto"/>
        <w:jc w:val="both"/>
        <w:textAlignment w:val="baseline"/>
        <w:rPr>
          <w:rFonts w:eastAsia="MS Mincho" w:cs="Arial"/>
          <w:b/>
          <w:bCs/>
          <w:lang w:val="es-ES" w:eastAsia="en-GB"/>
        </w:rPr>
      </w:pPr>
    </w:p>
    <w:p w14:paraId="36D1C47F" w14:textId="6EEBE241"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bCs/>
          <w:lang w:val="es-ES" w:eastAsia="en-GB"/>
        </w:rPr>
      </w:pPr>
      <w:r w:rsidRPr="00671C88">
        <w:rPr>
          <w:rFonts w:eastAsia="MS Mincho" w:cs="Arial"/>
          <w:b/>
          <w:bCs/>
          <w:lang w:val="es-ES" w:eastAsia="es-ES"/>
        </w:rPr>
        <w:t>Resumen de actividades</w:t>
      </w:r>
    </w:p>
    <w:p w14:paraId="541A86BD" w14:textId="77777777" w:rsidR="00796196" w:rsidRPr="00671C88" w:rsidRDefault="00796196" w:rsidP="00843436">
      <w:pPr>
        <w:widowControl w:val="0"/>
        <w:suppressAutoHyphens/>
        <w:autoSpaceDE w:val="0"/>
        <w:autoSpaceDN w:val="0"/>
        <w:spacing w:after="0" w:line="240" w:lineRule="auto"/>
        <w:jc w:val="both"/>
        <w:textAlignment w:val="baseline"/>
        <w:rPr>
          <w:rFonts w:eastAsia="MS Mincho" w:cs="Arial"/>
          <w:lang w:val="es-ES" w:eastAsia="en-GB"/>
        </w:rPr>
      </w:pPr>
    </w:p>
    <w:p w14:paraId="58A37D89" w14:textId="548CB7DD" w:rsidR="00796196" w:rsidRPr="00671C88" w:rsidRDefault="00FB473B" w:rsidP="00061C86">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Esta Acción Concertada propone continuar trabajando en las actividades adoptadas para el tiburón azul en la COP14:</w:t>
      </w:r>
    </w:p>
    <w:p w14:paraId="3CEF6D89" w14:textId="77777777" w:rsidR="002D1632" w:rsidRPr="00671C88" w:rsidRDefault="002D1632" w:rsidP="00061C86">
      <w:pPr>
        <w:widowControl w:val="0"/>
        <w:suppressAutoHyphens/>
        <w:autoSpaceDE w:val="0"/>
        <w:autoSpaceDN w:val="0"/>
        <w:spacing w:after="0" w:line="240" w:lineRule="auto"/>
        <w:jc w:val="both"/>
        <w:textAlignment w:val="baseline"/>
        <w:rPr>
          <w:rFonts w:eastAsia="MS Mincho" w:cs="Arial"/>
          <w:lang w:val="es-ES" w:eastAsia="en-GB"/>
        </w:rPr>
      </w:pPr>
    </w:p>
    <w:p w14:paraId="44CCDD89" w14:textId="2585BC35" w:rsidR="00674D8A" w:rsidRDefault="00D84984" w:rsidP="00061C86">
      <w:pPr>
        <w:pStyle w:val="p1"/>
        <w:numPr>
          <w:ilvl w:val="0"/>
          <w:numId w:val="20"/>
        </w:numPr>
        <w:ind w:left="540" w:hanging="450"/>
        <w:jc w:val="both"/>
        <w:rPr>
          <w:color w:val="auto"/>
          <w:sz w:val="22"/>
          <w:szCs w:val="22"/>
          <w:lang w:val="es-ES"/>
        </w:rPr>
      </w:pPr>
      <w:r w:rsidRPr="00061C86">
        <w:rPr>
          <w:color w:val="auto"/>
          <w:sz w:val="22"/>
          <w:szCs w:val="22"/>
          <w:lang w:val="es-ES"/>
        </w:rPr>
        <w:t>A</w:t>
      </w:r>
      <w:r w:rsidR="008179D3" w:rsidRPr="00061C86">
        <w:rPr>
          <w:color w:val="auto"/>
          <w:sz w:val="22"/>
          <w:szCs w:val="22"/>
          <w:lang w:val="es-ES"/>
        </w:rPr>
        <w:t>nimar a las partes a continuar colaborando con otros AMUMA, ORP y otras</w:t>
      </w:r>
      <w:r w:rsidR="00061C86" w:rsidRPr="00061C86">
        <w:rPr>
          <w:color w:val="auto"/>
          <w:sz w:val="22"/>
          <w:szCs w:val="22"/>
          <w:lang w:val="es-ES"/>
        </w:rPr>
        <w:t xml:space="preserve"> </w:t>
      </w:r>
      <w:r w:rsidR="008179D3" w:rsidRPr="00061C86">
        <w:rPr>
          <w:color w:val="auto"/>
          <w:sz w:val="22"/>
          <w:szCs w:val="22"/>
          <w:lang w:val="es-ES"/>
        </w:rPr>
        <w:t>entidades pertinentes para mejorar la gestión del tiburón azul, incluido el desarrollo de</w:t>
      </w:r>
      <w:r w:rsidR="00061C86" w:rsidRPr="00061C86">
        <w:rPr>
          <w:color w:val="auto"/>
          <w:sz w:val="22"/>
          <w:szCs w:val="22"/>
          <w:lang w:val="es-ES"/>
        </w:rPr>
        <w:t xml:space="preserve"> </w:t>
      </w:r>
      <w:r w:rsidR="008179D3" w:rsidRPr="00061C86">
        <w:rPr>
          <w:color w:val="auto"/>
          <w:sz w:val="22"/>
          <w:szCs w:val="22"/>
          <w:lang w:val="es-ES"/>
        </w:rPr>
        <w:t>una Estrategia de Conservación y Plan de Acción para Tiburones y Rayas Pelágicos del Grupo de Especialistas en Tiburones de la Comisión de Supervivencia de Especies de la Unión Internacional para la Conservación de la Naturaleza (SSG de la CSE de la UICN),</w:t>
      </w:r>
      <w:r w:rsidR="00061C86">
        <w:rPr>
          <w:color w:val="auto"/>
          <w:sz w:val="22"/>
          <w:szCs w:val="22"/>
          <w:lang w:val="es-ES"/>
        </w:rPr>
        <w:t xml:space="preserve"> </w:t>
      </w:r>
      <w:r w:rsidR="008179D3" w:rsidRPr="00061C86">
        <w:rPr>
          <w:color w:val="auto"/>
          <w:sz w:val="22"/>
          <w:szCs w:val="22"/>
          <w:lang w:val="es-ES"/>
        </w:rPr>
        <w:t>en cooperación con el MdE sobre los tiburones;</w:t>
      </w:r>
    </w:p>
    <w:p w14:paraId="61CB7F8F" w14:textId="77777777" w:rsidR="003C31EC" w:rsidRDefault="003C31EC" w:rsidP="003C31EC">
      <w:pPr>
        <w:pStyle w:val="p1"/>
        <w:ind w:left="540"/>
        <w:jc w:val="both"/>
        <w:rPr>
          <w:color w:val="auto"/>
          <w:sz w:val="22"/>
          <w:szCs w:val="22"/>
          <w:lang w:val="es-ES"/>
        </w:rPr>
      </w:pPr>
    </w:p>
    <w:p w14:paraId="1BFB8533" w14:textId="77777777" w:rsidR="003C31EC" w:rsidRPr="003C31EC" w:rsidRDefault="003C31EC" w:rsidP="003C31EC">
      <w:pPr>
        <w:pStyle w:val="p1"/>
        <w:numPr>
          <w:ilvl w:val="0"/>
          <w:numId w:val="20"/>
        </w:numPr>
        <w:ind w:left="540" w:hanging="450"/>
        <w:jc w:val="both"/>
        <w:rPr>
          <w:color w:val="auto"/>
          <w:sz w:val="22"/>
          <w:szCs w:val="22"/>
          <w:lang w:val="es-ES"/>
        </w:rPr>
      </w:pPr>
      <w:r w:rsidRPr="003C31EC">
        <w:rPr>
          <w:color w:val="auto"/>
          <w:sz w:val="22"/>
          <w:szCs w:val="22"/>
          <w:lang w:val="es-ES"/>
        </w:rPr>
        <w:t xml:space="preserve">Apoyar las evaluaciones sobre los impactos de la pesca en las interacciones con el tiburón azul </w:t>
      </w:r>
    </w:p>
    <w:p w14:paraId="3DFE0130" w14:textId="77777777" w:rsidR="003C31EC" w:rsidRDefault="008179D3" w:rsidP="003C31EC">
      <w:pPr>
        <w:pStyle w:val="p1"/>
        <w:numPr>
          <w:ilvl w:val="1"/>
          <w:numId w:val="18"/>
        </w:numPr>
        <w:spacing w:after="80"/>
        <w:ind w:left="900"/>
        <w:jc w:val="both"/>
        <w:rPr>
          <w:color w:val="auto"/>
          <w:sz w:val="22"/>
          <w:szCs w:val="22"/>
          <w:lang w:val="es-ES"/>
        </w:rPr>
      </w:pPr>
      <w:r w:rsidRPr="00671C88">
        <w:rPr>
          <w:color w:val="auto"/>
          <w:sz w:val="22"/>
          <w:szCs w:val="22"/>
          <w:lang w:val="es-ES"/>
        </w:rPr>
        <w:t>mortalidad inducida por la pesc</w:t>
      </w:r>
      <w:r w:rsidRPr="003C31EC">
        <w:rPr>
          <w:color w:val="auto"/>
          <w:sz w:val="22"/>
          <w:szCs w:val="22"/>
          <w:lang w:val="es-ES"/>
        </w:rPr>
        <w:t xml:space="preserve">a, </w:t>
      </w:r>
    </w:p>
    <w:p w14:paraId="39BBABE4" w14:textId="4E168C54" w:rsidR="008179D3" w:rsidRPr="003C31EC" w:rsidRDefault="00647E28" w:rsidP="003C31EC">
      <w:pPr>
        <w:pStyle w:val="p1"/>
        <w:numPr>
          <w:ilvl w:val="1"/>
          <w:numId w:val="18"/>
        </w:numPr>
        <w:spacing w:after="80"/>
        <w:ind w:left="900"/>
        <w:jc w:val="both"/>
        <w:rPr>
          <w:color w:val="auto"/>
          <w:sz w:val="22"/>
          <w:szCs w:val="22"/>
          <w:lang w:val="es-ES"/>
        </w:rPr>
      </w:pPr>
      <w:r>
        <w:rPr>
          <w:color w:val="auto"/>
          <w:sz w:val="22"/>
          <w:szCs w:val="22"/>
          <w:lang w:val="es-ES"/>
        </w:rPr>
        <w:t>d</w:t>
      </w:r>
      <w:r w:rsidRPr="00647E28">
        <w:rPr>
          <w:color w:val="auto"/>
          <w:sz w:val="22"/>
          <w:szCs w:val="22"/>
          <w:lang w:val="es-ES"/>
        </w:rPr>
        <w:t>escartes de la pesca para diseñar estrategias de mitigación cuando no hay retención.</w:t>
      </w:r>
    </w:p>
    <w:p w14:paraId="6FBE137B" w14:textId="3CAB0CFC" w:rsidR="008179D3" w:rsidRPr="00671C88" w:rsidRDefault="00430A55" w:rsidP="001D2A35">
      <w:pPr>
        <w:pStyle w:val="p1"/>
        <w:numPr>
          <w:ilvl w:val="1"/>
          <w:numId w:val="18"/>
        </w:numPr>
        <w:spacing w:after="80"/>
        <w:ind w:left="900"/>
        <w:jc w:val="both"/>
        <w:rPr>
          <w:color w:val="auto"/>
          <w:sz w:val="22"/>
          <w:szCs w:val="22"/>
          <w:lang w:val="es-ES"/>
        </w:rPr>
      </w:pPr>
      <w:r>
        <w:rPr>
          <w:color w:val="auto"/>
          <w:sz w:val="22"/>
          <w:szCs w:val="22"/>
          <w:lang w:val="es-ES"/>
        </w:rPr>
        <w:t>a</w:t>
      </w:r>
      <w:r w:rsidR="00BB1083" w:rsidRPr="00BB1083">
        <w:rPr>
          <w:color w:val="auto"/>
          <w:sz w:val="22"/>
          <w:szCs w:val="22"/>
          <w:lang w:val="es-ES"/>
        </w:rPr>
        <w:t>poyar la evaluación de la mortalidad post</w:t>
      </w:r>
      <w:r w:rsidR="00BB1083">
        <w:rPr>
          <w:color w:val="auto"/>
          <w:sz w:val="22"/>
          <w:szCs w:val="22"/>
          <w:lang w:val="es-ES"/>
        </w:rPr>
        <w:t xml:space="preserve"> </w:t>
      </w:r>
      <w:r w:rsidR="00BB1083" w:rsidRPr="00BB1083">
        <w:rPr>
          <w:color w:val="auto"/>
          <w:sz w:val="22"/>
          <w:szCs w:val="22"/>
          <w:lang w:val="es-ES"/>
        </w:rPr>
        <w:t>liberación de los tiburones azules en todas las regiones (por pesca recreativa y industrial), y</w:t>
      </w:r>
      <w:r w:rsidR="008179D3" w:rsidRPr="00671C88">
        <w:rPr>
          <w:color w:val="auto"/>
          <w:sz w:val="22"/>
          <w:szCs w:val="22"/>
          <w:lang w:val="es-ES"/>
        </w:rPr>
        <w:t>,</w:t>
      </w:r>
    </w:p>
    <w:p w14:paraId="69FE44BA" w14:textId="5A9103B1" w:rsidR="008179D3" w:rsidRPr="00671C88" w:rsidRDefault="00430A55" w:rsidP="001D2A35">
      <w:pPr>
        <w:pStyle w:val="p1"/>
        <w:numPr>
          <w:ilvl w:val="1"/>
          <w:numId w:val="18"/>
        </w:numPr>
        <w:ind w:left="900"/>
        <w:jc w:val="both"/>
        <w:rPr>
          <w:color w:val="auto"/>
          <w:sz w:val="22"/>
          <w:szCs w:val="22"/>
          <w:lang w:val="es-ES"/>
        </w:rPr>
      </w:pPr>
      <w:r>
        <w:rPr>
          <w:color w:val="auto"/>
          <w:sz w:val="22"/>
          <w:szCs w:val="22"/>
          <w:lang w:val="es-ES"/>
        </w:rPr>
        <w:t>d</w:t>
      </w:r>
      <w:r w:rsidRPr="00430A55">
        <w:rPr>
          <w:color w:val="auto"/>
          <w:sz w:val="22"/>
          <w:szCs w:val="22"/>
          <w:lang w:val="es-ES"/>
        </w:rPr>
        <w:t>iferencias, si las hubiera, en la demografía y los artes de pesca.</w:t>
      </w:r>
      <w:r w:rsidR="008179D3" w:rsidRPr="00671C88">
        <w:rPr>
          <w:color w:val="auto"/>
          <w:sz w:val="22"/>
          <w:szCs w:val="22"/>
          <w:lang w:val="es-ES"/>
        </w:rPr>
        <w:t>;</w:t>
      </w:r>
    </w:p>
    <w:p w14:paraId="0D7BC524" w14:textId="77777777" w:rsidR="00F05F12" w:rsidRPr="00671C88" w:rsidRDefault="00F05F12" w:rsidP="001D2A35">
      <w:pPr>
        <w:pStyle w:val="p1"/>
        <w:ind w:left="900"/>
        <w:jc w:val="both"/>
        <w:rPr>
          <w:color w:val="auto"/>
          <w:sz w:val="22"/>
          <w:szCs w:val="22"/>
          <w:lang w:val="es-ES"/>
        </w:rPr>
      </w:pPr>
    </w:p>
    <w:p w14:paraId="324EDA25" w14:textId="6A382513" w:rsidR="008179D3" w:rsidRPr="00671C88" w:rsidRDefault="00D84984" w:rsidP="00061C86">
      <w:pPr>
        <w:pStyle w:val="p1"/>
        <w:numPr>
          <w:ilvl w:val="0"/>
          <w:numId w:val="20"/>
        </w:numPr>
        <w:jc w:val="both"/>
        <w:rPr>
          <w:color w:val="auto"/>
          <w:sz w:val="22"/>
          <w:szCs w:val="22"/>
          <w:lang w:val="es-ES"/>
        </w:rPr>
      </w:pPr>
      <w:r w:rsidRPr="00671C88">
        <w:rPr>
          <w:color w:val="auto"/>
          <w:sz w:val="22"/>
          <w:szCs w:val="22"/>
          <w:lang w:val="es-ES"/>
        </w:rPr>
        <w:t>A</w:t>
      </w:r>
      <w:r w:rsidR="008179D3" w:rsidRPr="00671C88">
        <w:rPr>
          <w:color w:val="auto"/>
          <w:sz w:val="22"/>
          <w:szCs w:val="22"/>
          <w:lang w:val="es-ES"/>
        </w:rPr>
        <w:t>poyar la identificación de poblaciones y diferencias genéticas (</w:t>
      </w:r>
      <w:r w:rsidR="00313799">
        <w:rPr>
          <w:color w:val="auto"/>
          <w:sz w:val="22"/>
          <w:szCs w:val="22"/>
          <w:lang w:val="es-ES"/>
        </w:rPr>
        <w:t xml:space="preserve">en </w:t>
      </w:r>
      <w:r w:rsidR="008179D3" w:rsidRPr="00671C88">
        <w:rPr>
          <w:color w:val="auto"/>
          <w:sz w:val="22"/>
          <w:szCs w:val="22"/>
          <w:lang w:val="es-ES"/>
        </w:rPr>
        <w:t>respald</w:t>
      </w:r>
      <w:r w:rsidR="00313799">
        <w:rPr>
          <w:color w:val="auto"/>
          <w:sz w:val="22"/>
          <w:szCs w:val="22"/>
          <w:lang w:val="es-ES"/>
        </w:rPr>
        <w:t>o a</w:t>
      </w:r>
      <w:r w:rsidR="008179D3" w:rsidRPr="00671C88">
        <w:rPr>
          <w:color w:val="auto"/>
          <w:sz w:val="22"/>
          <w:szCs w:val="22"/>
          <w:lang w:val="es-ES"/>
        </w:rPr>
        <w:t xml:space="preserve"> los TAC regionales</w:t>
      </w:r>
      <w:r w:rsidR="00312F68">
        <w:rPr>
          <w:color w:val="auto"/>
          <w:sz w:val="22"/>
          <w:szCs w:val="22"/>
          <w:lang w:val="es-ES"/>
        </w:rPr>
        <w:t>)</w:t>
      </w:r>
      <w:r w:rsidR="008179D3" w:rsidRPr="00671C88">
        <w:rPr>
          <w:color w:val="auto"/>
          <w:sz w:val="22"/>
          <w:szCs w:val="22"/>
          <w:lang w:val="es-ES"/>
        </w:rPr>
        <w:t>;</w:t>
      </w:r>
    </w:p>
    <w:p w14:paraId="3CCE114B" w14:textId="77777777" w:rsidR="00F05F12" w:rsidRPr="00671C88" w:rsidRDefault="00F05F12" w:rsidP="001D2A35">
      <w:pPr>
        <w:pStyle w:val="p1"/>
        <w:jc w:val="both"/>
        <w:rPr>
          <w:color w:val="auto"/>
          <w:sz w:val="22"/>
          <w:szCs w:val="22"/>
          <w:lang w:val="es-ES"/>
        </w:rPr>
      </w:pPr>
    </w:p>
    <w:p w14:paraId="05861A87" w14:textId="445E3C4C" w:rsidR="008179D3" w:rsidRPr="00671C88" w:rsidRDefault="00D84984" w:rsidP="00061C86">
      <w:pPr>
        <w:pStyle w:val="p1"/>
        <w:numPr>
          <w:ilvl w:val="0"/>
          <w:numId w:val="20"/>
        </w:numPr>
        <w:jc w:val="both"/>
        <w:rPr>
          <w:color w:val="auto"/>
          <w:sz w:val="22"/>
          <w:szCs w:val="22"/>
          <w:lang w:val="es-ES"/>
        </w:rPr>
      </w:pPr>
      <w:r w:rsidRPr="00671C88">
        <w:rPr>
          <w:color w:val="auto"/>
          <w:sz w:val="22"/>
          <w:szCs w:val="22"/>
          <w:lang w:val="es-ES"/>
        </w:rPr>
        <w:lastRenderedPageBreak/>
        <w:t>I</w:t>
      </w:r>
      <w:r w:rsidR="008179D3" w:rsidRPr="00671C88">
        <w:rPr>
          <w:color w:val="auto"/>
          <w:sz w:val="22"/>
          <w:szCs w:val="22"/>
          <w:lang w:val="es-ES"/>
        </w:rPr>
        <w:t xml:space="preserve">dentificar incoherencias en el nivel de </w:t>
      </w:r>
      <w:r w:rsidR="00D56009">
        <w:rPr>
          <w:color w:val="auto"/>
          <w:sz w:val="22"/>
          <w:szCs w:val="22"/>
          <w:lang w:val="es-ES"/>
        </w:rPr>
        <w:t>manejo</w:t>
      </w:r>
      <w:r w:rsidR="008179D3" w:rsidRPr="00671C88">
        <w:rPr>
          <w:color w:val="auto"/>
          <w:sz w:val="22"/>
          <w:szCs w:val="22"/>
          <w:lang w:val="es-ES"/>
        </w:rPr>
        <w:t xml:space="preserve"> garantizado por los distintos Estados Partes del área de distribución;</w:t>
      </w:r>
    </w:p>
    <w:p w14:paraId="7667E3F3" w14:textId="77777777" w:rsidR="00F05F12" w:rsidRPr="00671C88" w:rsidRDefault="00F05F12" w:rsidP="001D2A35">
      <w:pPr>
        <w:pStyle w:val="ListParagraph"/>
        <w:spacing w:after="0" w:line="240" w:lineRule="auto"/>
        <w:jc w:val="both"/>
        <w:rPr>
          <w:lang w:val="es-ES"/>
        </w:rPr>
      </w:pPr>
    </w:p>
    <w:p w14:paraId="04B45296" w14:textId="394CE4FB" w:rsidR="008179D3" w:rsidRPr="00671C88" w:rsidRDefault="00D84984" w:rsidP="00061C86">
      <w:pPr>
        <w:pStyle w:val="p1"/>
        <w:numPr>
          <w:ilvl w:val="0"/>
          <w:numId w:val="20"/>
        </w:numPr>
        <w:jc w:val="both"/>
        <w:rPr>
          <w:color w:val="auto"/>
          <w:sz w:val="22"/>
          <w:szCs w:val="22"/>
          <w:lang w:val="es-ES"/>
        </w:rPr>
      </w:pPr>
      <w:r w:rsidRPr="00671C88">
        <w:rPr>
          <w:color w:val="auto"/>
          <w:sz w:val="22"/>
          <w:szCs w:val="22"/>
          <w:lang w:val="es-ES"/>
        </w:rPr>
        <w:t>I</w:t>
      </w:r>
      <w:r w:rsidR="008179D3" w:rsidRPr="00671C88">
        <w:rPr>
          <w:color w:val="auto"/>
          <w:sz w:val="22"/>
          <w:szCs w:val="22"/>
          <w:lang w:val="es-ES"/>
        </w:rPr>
        <w:t>dentificar hábitats críticos y comprender la conectividad y las migraciones;</w:t>
      </w:r>
    </w:p>
    <w:p w14:paraId="32AA712F" w14:textId="77777777" w:rsidR="001D2A35" w:rsidRPr="00671C88" w:rsidRDefault="001D2A35" w:rsidP="001D2A35">
      <w:pPr>
        <w:pStyle w:val="p1"/>
        <w:jc w:val="both"/>
        <w:rPr>
          <w:color w:val="auto"/>
          <w:sz w:val="22"/>
          <w:szCs w:val="22"/>
          <w:lang w:val="es-ES"/>
        </w:rPr>
      </w:pPr>
    </w:p>
    <w:p w14:paraId="2FC896A3" w14:textId="7C67F478" w:rsidR="008179D3" w:rsidRDefault="008179D3" w:rsidP="00061C86">
      <w:pPr>
        <w:pStyle w:val="p1"/>
        <w:numPr>
          <w:ilvl w:val="0"/>
          <w:numId w:val="20"/>
        </w:numPr>
        <w:jc w:val="both"/>
        <w:rPr>
          <w:color w:val="auto"/>
          <w:sz w:val="22"/>
          <w:szCs w:val="22"/>
          <w:lang w:val="es-ES"/>
        </w:rPr>
      </w:pPr>
      <w:r w:rsidRPr="00671C88">
        <w:rPr>
          <w:color w:val="auto"/>
          <w:sz w:val="22"/>
          <w:szCs w:val="22"/>
          <w:lang w:val="es-ES"/>
        </w:rPr>
        <w:t>Apoyar las evaluaciones de los efectos del cambio climático en los tiburones azules por población o región</w:t>
      </w:r>
      <w:r w:rsidR="00BA1957">
        <w:rPr>
          <w:color w:val="auto"/>
          <w:sz w:val="22"/>
          <w:szCs w:val="22"/>
          <w:lang w:val="es-ES"/>
        </w:rPr>
        <w:t>, y</w:t>
      </w:r>
    </w:p>
    <w:p w14:paraId="0B38EAFB" w14:textId="77777777" w:rsidR="00BA1957" w:rsidRDefault="00BA1957" w:rsidP="004D5245">
      <w:pPr>
        <w:pStyle w:val="ListParagraph"/>
        <w:spacing w:after="0" w:line="240" w:lineRule="auto"/>
        <w:rPr>
          <w:lang w:val="es-ES"/>
        </w:rPr>
      </w:pPr>
    </w:p>
    <w:p w14:paraId="0720AA7B" w14:textId="3B1CAAD4" w:rsidR="00BA1957" w:rsidRPr="00671C88" w:rsidRDefault="004D5245" w:rsidP="00061C86">
      <w:pPr>
        <w:pStyle w:val="p1"/>
        <w:numPr>
          <w:ilvl w:val="0"/>
          <w:numId w:val="20"/>
        </w:numPr>
        <w:jc w:val="both"/>
        <w:rPr>
          <w:color w:val="auto"/>
          <w:sz w:val="22"/>
          <w:szCs w:val="22"/>
          <w:lang w:val="es-ES"/>
        </w:rPr>
      </w:pPr>
      <w:r w:rsidRPr="004D5245">
        <w:rPr>
          <w:color w:val="auto"/>
          <w:sz w:val="22"/>
          <w:szCs w:val="22"/>
          <w:lang w:val="es-ES"/>
        </w:rPr>
        <w:t>Elaborar directrices internacionales a partir de los países con un turismo de tiburones azules consolidado (por ejemplo, Azores, Reino Unido, Sudáfrica), utilizando las aportaciones del turismo de la CMS.</w:t>
      </w:r>
    </w:p>
    <w:p w14:paraId="4E4218B4" w14:textId="77777777" w:rsidR="00A60DE0" w:rsidRPr="00671C88" w:rsidRDefault="00A60DE0" w:rsidP="00A60DE0">
      <w:pPr>
        <w:pStyle w:val="p1"/>
        <w:ind w:left="540"/>
        <w:jc w:val="both"/>
        <w:rPr>
          <w:color w:val="auto"/>
          <w:sz w:val="22"/>
          <w:szCs w:val="22"/>
          <w:lang w:val="es-ES"/>
        </w:rPr>
      </w:pPr>
    </w:p>
    <w:p w14:paraId="4EC552CF" w14:textId="35768BC7" w:rsidR="002575D5"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Ventajas asociadas</w:t>
      </w:r>
    </w:p>
    <w:p w14:paraId="4EAE3C2B" w14:textId="77777777" w:rsidR="004A5842" w:rsidRPr="00671C88" w:rsidRDefault="004A5842" w:rsidP="00843436">
      <w:pPr>
        <w:widowControl w:val="0"/>
        <w:suppressAutoHyphens/>
        <w:autoSpaceDE w:val="0"/>
        <w:autoSpaceDN w:val="0"/>
        <w:spacing w:after="0" w:line="240" w:lineRule="auto"/>
        <w:jc w:val="both"/>
        <w:textAlignment w:val="baseline"/>
        <w:rPr>
          <w:rFonts w:eastAsia="MS Mincho" w:cs="Arial"/>
          <w:lang w:val="es-ES" w:eastAsia="en-GB"/>
        </w:rPr>
      </w:pPr>
    </w:p>
    <w:p w14:paraId="31F171E9" w14:textId="5ECFC211" w:rsidR="002575D5" w:rsidRPr="00671C88" w:rsidRDefault="002575D5" w:rsidP="00843436">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La aplicación continuada de esta Acción Concertada generará amplios beneficios, no solo para el tiburón azul, sino también para otras especies migratorias i</w:t>
      </w:r>
      <w:r w:rsidR="006D7C6F" w:rsidRPr="00671C88">
        <w:rPr>
          <w:rFonts w:eastAsia="MS Mincho" w:cs="Arial"/>
          <w:lang w:val="es-ES" w:eastAsia="es-ES"/>
        </w:rPr>
        <w:t>ncluidas en la CMS que ocupan la misma</w:t>
      </w:r>
      <w:r w:rsidRPr="00671C88">
        <w:rPr>
          <w:rFonts w:eastAsia="MS Mincho" w:cs="Arial"/>
          <w:lang w:val="es-ES" w:eastAsia="es-ES"/>
        </w:rPr>
        <w:t xml:space="preserve"> área de distribución. Una mejor coordinación bajo la CMS promueve la difusión de datos sobre la distribución de los tiburones, las interacciones pesqueras y la mortalidad tras la liberación, mejorando así las decisiones de gestión basadas en datos objetivos en todos los Estados Partes del área de distribución. </w:t>
      </w:r>
    </w:p>
    <w:p w14:paraId="2163A425" w14:textId="77777777" w:rsidR="00FE3850" w:rsidRPr="00671C88" w:rsidRDefault="00FE3850" w:rsidP="00843436">
      <w:pPr>
        <w:widowControl w:val="0"/>
        <w:suppressAutoHyphens/>
        <w:autoSpaceDE w:val="0"/>
        <w:autoSpaceDN w:val="0"/>
        <w:spacing w:after="0" w:line="240" w:lineRule="auto"/>
        <w:jc w:val="both"/>
        <w:textAlignment w:val="baseline"/>
        <w:rPr>
          <w:rFonts w:eastAsia="MS Mincho" w:cs="Arial"/>
          <w:lang w:val="es-ES" w:eastAsia="en-GB"/>
        </w:rPr>
      </w:pPr>
    </w:p>
    <w:p w14:paraId="069A0A66" w14:textId="73692CCD" w:rsidR="00FE3850" w:rsidRPr="00671C88" w:rsidRDefault="001963A0" w:rsidP="00D240CD">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 xml:space="preserve">Al alinearse con la Estrategia de Conservación y Plan de Acción para Tiburones y Rayas Pelágicos que está desarrollando el Grupo de Especialistas en Tiburones de la Comisión de Supervivencia de Especies de la Unión Internacional para la Conservación de la Naturaleza (SSG de la CSE de la UICN) y extrayendo conclusiones de la evaluación del Estado Verde del tiburón azul realizada por la UICN, esta iniciativa reforzará la planificación de la recuperación mundial y permitirá realizar un seguimiento futuro de los avances en materia de conservación (Polo-Silva et al. 2025). </w:t>
      </w:r>
      <w:r w:rsidR="00DD0168" w:rsidRPr="00DD0168">
        <w:rPr>
          <w:rFonts w:eastAsia="MS Mincho" w:cs="Arial"/>
          <w:lang w:val="es-ES" w:eastAsia="es-ES"/>
        </w:rPr>
        <w:t>También es fundamental reconocer la importancia de gestionar la especie de forma sostenible para la seguridad alimentaria futura (Simpfendorfer y Dulvy, 2017).</w:t>
      </w:r>
      <w:r w:rsidR="00DD0168">
        <w:rPr>
          <w:rFonts w:eastAsia="MS Mincho" w:cs="Arial"/>
          <w:lang w:val="es-ES" w:eastAsia="es-ES"/>
        </w:rPr>
        <w:t xml:space="preserve"> </w:t>
      </w:r>
      <w:r w:rsidRPr="00671C88">
        <w:rPr>
          <w:rFonts w:eastAsia="MS Mincho" w:cs="Arial"/>
          <w:lang w:val="es-ES" w:eastAsia="es-ES"/>
        </w:rPr>
        <w:t>Los Signatarios del Memorando de Entendimiento sobre la Conservación de los Tiburones Migratorios (MdE sobre tiburones) acogieron con satisfacción esta iniciativa y acordaron respaldar el planteamiento esbozado en CMS/Sharks/MOS4/Doc 10.2/Rev.1.</w:t>
      </w:r>
    </w:p>
    <w:p w14:paraId="0A63355F" w14:textId="77777777" w:rsidR="005252D3" w:rsidRPr="00671C88" w:rsidRDefault="005252D3" w:rsidP="00D240CD">
      <w:pPr>
        <w:widowControl w:val="0"/>
        <w:suppressAutoHyphens/>
        <w:autoSpaceDE w:val="0"/>
        <w:autoSpaceDN w:val="0"/>
        <w:spacing w:after="0" w:line="240" w:lineRule="auto"/>
        <w:jc w:val="both"/>
        <w:textAlignment w:val="baseline"/>
        <w:rPr>
          <w:rFonts w:eastAsia="MS Mincho" w:cs="Arial"/>
          <w:lang w:val="es-ES" w:eastAsia="en-GB"/>
        </w:rPr>
      </w:pPr>
    </w:p>
    <w:p w14:paraId="78AA172B" w14:textId="6DB9C3C6" w:rsidR="00EC7BAC" w:rsidRPr="00671C88" w:rsidRDefault="00C51F07" w:rsidP="00D240CD">
      <w:pPr>
        <w:spacing w:after="0" w:line="240" w:lineRule="auto"/>
        <w:jc w:val="both"/>
        <w:rPr>
          <w:rFonts w:eastAsia="Times New Roman" w:cs="Arial"/>
          <w:lang w:val="es-ES" w:eastAsia="en-GB"/>
        </w:rPr>
      </w:pPr>
      <w:r w:rsidRPr="00671C88">
        <w:rPr>
          <w:rFonts w:eastAsia="Times New Roman" w:cs="Arial"/>
          <w:lang w:val="es-ES" w:eastAsia="es-ES"/>
        </w:rPr>
        <w:t>Al ser una de las especies de tiburones más ampliamente distribuidas, cualquier recomendación para mejorar las perspectivas de conservación del tiburón azul podría tener repercusiones positivas para otras especies amenazadas e incluidas e</w:t>
      </w:r>
      <w:r w:rsidR="006D7C6F" w:rsidRPr="00671C88">
        <w:rPr>
          <w:rFonts w:eastAsia="Times New Roman" w:cs="Arial"/>
          <w:lang w:val="es-ES" w:eastAsia="es-ES"/>
        </w:rPr>
        <w:t>n la CMS que se encuentran en la misma</w:t>
      </w:r>
      <w:r w:rsidRPr="00671C88">
        <w:rPr>
          <w:rFonts w:eastAsia="Times New Roman" w:cs="Arial"/>
          <w:lang w:val="es-ES" w:eastAsia="es-ES"/>
        </w:rPr>
        <w:t xml:space="preserve"> área de distribución y son capturadas por las mismas pesquerías y artes de pesca, como los tiburones marrajo, zorro y martillo. La Acción Concertada contribuirá aún más al desarrollo de capacidades y a la concienciación entre las Partes de la CMS y los Estados no-Parte del área de distribución, favoreciendo las buenas prácticas en materia de gestión</w:t>
      </w:r>
      <w:r w:rsidR="00554D0D">
        <w:rPr>
          <w:rFonts w:eastAsia="Times New Roman" w:cs="Arial"/>
          <w:lang w:val="es-ES" w:eastAsia="es-ES"/>
        </w:rPr>
        <w:t xml:space="preserve"> de pesca</w:t>
      </w:r>
      <w:r w:rsidRPr="00671C88">
        <w:rPr>
          <w:rFonts w:eastAsia="Times New Roman" w:cs="Arial"/>
          <w:lang w:val="es-ES" w:eastAsia="es-ES"/>
        </w:rPr>
        <w:t xml:space="preserve"> y turismo sostenible</w:t>
      </w:r>
      <w:r w:rsidR="00C67945">
        <w:rPr>
          <w:rFonts w:eastAsia="Times New Roman" w:cs="Arial"/>
          <w:lang w:val="es-ES" w:eastAsia="es-ES"/>
        </w:rPr>
        <w:t xml:space="preserve"> en línea con </w:t>
      </w:r>
      <w:r w:rsidR="008B769D">
        <w:rPr>
          <w:rFonts w:eastAsia="Times New Roman" w:cs="Arial"/>
          <w:lang w:val="es-ES" w:eastAsia="es-ES"/>
        </w:rPr>
        <w:t>las Directrices sobre Turismo de la CMS</w:t>
      </w:r>
      <w:r w:rsidR="00525339">
        <w:rPr>
          <w:rFonts w:eastAsia="Times New Roman" w:cs="Arial"/>
          <w:lang w:val="es-ES" w:eastAsia="es-ES"/>
        </w:rPr>
        <w:t xml:space="preserve"> </w:t>
      </w:r>
      <w:r w:rsidR="00525339" w:rsidRPr="00525339">
        <w:rPr>
          <w:rFonts w:eastAsia="Times New Roman" w:cs="Arial"/>
          <w:lang w:val="es-ES" w:eastAsia="es-ES"/>
        </w:rPr>
        <w:t>(UNEP/CMS/COP14/Doc.27.3.1/Anex</w:t>
      </w:r>
      <w:r w:rsidR="00525339">
        <w:rPr>
          <w:rFonts w:eastAsia="Times New Roman" w:cs="Arial"/>
          <w:lang w:val="es-ES" w:eastAsia="es-ES"/>
        </w:rPr>
        <w:t>o</w:t>
      </w:r>
      <w:r w:rsidR="00525339" w:rsidRPr="00525339">
        <w:rPr>
          <w:rFonts w:eastAsia="Times New Roman" w:cs="Arial"/>
          <w:lang w:val="es-ES" w:eastAsia="es-ES"/>
        </w:rPr>
        <w:t xml:space="preserve"> 2)</w:t>
      </w:r>
      <w:r w:rsidRPr="00671C88">
        <w:rPr>
          <w:rFonts w:eastAsia="Times New Roman" w:cs="Arial"/>
          <w:lang w:val="es-ES" w:eastAsia="es-ES"/>
        </w:rPr>
        <w:t xml:space="preserve">. El compromiso continuo a través del MdE sobre tiburones y la colaboración con las OROP garantizarán que cualquier avance logrado en el marco de esta iniciativa contribuya a la gestión ecosistémica a largo plazo de las especies migratorias. </w:t>
      </w:r>
    </w:p>
    <w:p w14:paraId="464271BD" w14:textId="77777777" w:rsidR="007D6962" w:rsidRPr="00671C88" w:rsidRDefault="007D6962" w:rsidP="00D240CD">
      <w:pPr>
        <w:spacing w:after="0" w:line="240" w:lineRule="auto"/>
        <w:jc w:val="both"/>
        <w:rPr>
          <w:rFonts w:eastAsia="Times New Roman" w:cs="Arial"/>
          <w:lang w:val="es-ES" w:eastAsia="en-GB"/>
        </w:rPr>
      </w:pPr>
    </w:p>
    <w:p w14:paraId="4BC31A5A" w14:textId="31AA8A60" w:rsidR="009F7AE8" w:rsidRPr="00671C88" w:rsidRDefault="007D6962" w:rsidP="00D240CD">
      <w:pPr>
        <w:spacing w:after="0" w:line="240" w:lineRule="auto"/>
        <w:jc w:val="both"/>
        <w:rPr>
          <w:rFonts w:eastAsia="Times New Roman" w:cs="Arial"/>
          <w:highlight w:val="yellow"/>
          <w:lang w:val="es-ES" w:eastAsia="en-GB"/>
        </w:rPr>
      </w:pPr>
      <w:r w:rsidRPr="00671C88">
        <w:rPr>
          <w:rFonts w:eastAsia="Times New Roman" w:cs="Arial"/>
          <w:lang w:val="es-ES" w:eastAsia="es-ES"/>
        </w:rPr>
        <w:t>En conjunto, estos resultados proporcionarán un modelo replicable para otras especies de tiburones migratorios y ayudarán a las Partes de la CMS a cumplir sus obligaciones en virtud de la Convención por medio de una cooperación eficaz y basada en criterios científicos. El Anexo proporciona una fuente de medidas que las Partes podrían, cuando proceda, seguir y adoptar para la gestión adecuada del tiburón azul (véase el paso 6 del NDF en Mundy-Taylor et al. 2014). El Anexo no es exhaustivo y, si fuera necesario, podría utilizarse como modelo para elaborar un plan de acción para la conservación de especies.</w:t>
      </w:r>
    </w:p>
    <w:p w14:paraId="12224B76"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lang w:val="es-ES" w:eastAsia="en-GB"/>
        </w:rPr>
      </w:pPr>
    </w:p>
    <w:p w14:paraId="13B59186" w14:textId="77777777" w:rsidR="00525339" w:rsidRDefault="00525339" w:rsidP="00843436">
      <w:pPr>
        <w:widowControl w:val="0"/>
        <w:suppressAutoHyphens/>
        <w:autoSpaceDE w:val="0"/>
        <w:autoSpaceDN w:val="0"/>
        <w:spacing w:after="0" w:line="240" w:lineRule="auto"/>
        <w:jc w:val="both"/>
        <w:textAlignment w:val="baseline"/>
        <w:rPr>
          <w:rFonts w:eastAsia="MS Mincho" w:cs="Arial"/>
          <w:b/>
          <w:lang w:val="es-ES" w:eastAsia="es-ES"/>
        </w:rPr>
      </w:pPr>
    </w:p>
    <w:p w14:paraId="48B59CD9" w14:textId="0A98670A"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lastRenderedPageBreak/>
        <w:t>Calendario</w:t>
      </w:r>
    </w:p>
    <w:p w14:paraId="36E9317F" w14:textId="77777777" w:rsidR="002134F1" w:rsidRPr="00671C88" w:rsidRDefault="002134F1" w:rsidP="00843436">
      <w:pPr>
        <w:widowControl w:val="0"/>
        <w:suppressAutoHyphens/>
        <w:autoSpaceDE w:val="0"/>
        <w:autoSpaceDN w:val="0"/>
        <w:spacing w:after="0" w:line="240" w:lineRule="auto"/>
        <w:jc w:val="both"/>
        <w:textAlignment w:val="baseline"/>
        <w:rPr>
          <w:rFonts w:eastAsia="MS Mincho" w:cs="Arial"/>
          <w:lang w:val="es-ES" w:eastAsia="en-GB"/>
        </w:rPr>
      </w:pPr>
    </w:p>
    <w:p w14:paraId="0C6CBF0D" w14:textId="379C7F92" w:rsidR="002134F1" w:rsidRPr="00671C88" w:rsidRDefault="002134F1" w:rsidP="00843436">
      <w:pPr>
        <w:widowControl w:val="0"/>
        <w:suppressAutoHyphens/>
        <w:autoSpaceDE w:val="0"/>
        <w:autoSpaceDN w:val="0"/>
        <w:spacing w:after="0" w:line="240" w:lineRule="auto"/>
        <w:jc w:val="both"/>
        <w:textAlignment w:val="baseline"/>
        <w:rPr>
          <w:rFonts w:eastAsia="MS Mincho" w:cs="Arial"/>
          <w:lang w:val="es-ES" w:eastAsia="en-GB"/>
        </w:rPr>
      </w:pPr>
      <w:r w:rsidRPr="00671C88">
        <w:rPr>
          <w:rFonts w:eastAsia="MS Mincho" w:cs="Arial"/>
          <w:lang w:val="es-ES" w:eastAsia="es-ES"/>
        </w:rPr>
        <w:t>Consulte el Anexo  para ver una panorámica.</w:t>
      </w:r>
    </w:p>
    <w:p w14:paraId="44B56187"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lang w:val="es-ES" w:eastAsia="en-GB"/>
        </w:rPr>
      </w:pPr>
    </w:p>
    <w:p w14:paraId="7D6B5639"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Relación con otras acciones de la CMS</w:t>
      </w:r>
    </w:p>
    <w:p w14:paraId="3295E46F" w14:textId="77777777" w:rsidR="00EF28D8" w:rsidRPr="00671C88" w:rsidRDefault="00EF28D8" w:rsidP="00843436">
      <w:pPr>
        <w:widowControl w:val="0"/>
        <w:suppressAutoHyphens/>
        <w:autoSpaceDE w:val="0"/>
        <w:autoSpaceDN w:val="0"/>
        <w:spacing w:after="0" w:line="240" w:lineRule="auto"/>
        <w:jc w:val="both"/>
        <w:textAlignment w:val="baseline"/>
        <w:rPr>
          <w:rFonts w:eastAsia="MS Mincho" w:cs="Arial"/>
          <w:lang w:val="es-ES" w:eastAsia="en-GB"/>
        </w:rPr>
      </w:pPr>
    </w:p>
    <w:p w14:paraId="199BB452" w14:textId="03F02682" w:rsidR="00E2494F" w:rsidRPr="00671C88" w:rsidRDefault="00E2494F" w:rsidP="00ED041C">
      <w:pPr>
        <w:pStyle w:val="p1"/>
        <w:jc w:val="both"/>
        <w:rPr>
          <w:color w:val="auto"/>
          <w:sz w:val="22"/>
          <w:szCs w:val="22"/>
          <w:lang w:val="es-ES"/>
        </w:rPr>
      </w:pPr>
      <w:r w:rsidRPr="00671C88">
        <w:rPr>
          <w:color w:val="auto"/>
          <w:sz w:val="22"/>
          <w:szCs w:val="22"/>
          <w:lang w:val="es-ES"/>
        </w:rPr>
        <w:t>Esta Acción Concertada contribuiría significativamente a la aplicación de los siguientes mandatos</w:t>
      </w:r>
      <w:r w:rsidR="00ED041C" w:rsidRPr="00671C88">
        <w:rPr>
          <w:color w:val="auto"/>
          <w:sz w:val="22"/>
          <w:szCs w:val="22"/>
          <w:lang w:val="es-ES"/>
        </w:rPr>
        <w:t xml:space="preserve"> </w:t>
      </w:r>
      <w:r w:rsidRPr="00671C88">
        <w:rPr>
          <w:color w:val="auto"/>
          <w:sz w:val="22"/>
          <w:szCs w:val="22"/>
          <w:lang w:val="es-ES"/>
        </w:rPr>
        <w:t>establecidos en el marco de la CMS y del MdE sobre tiburones:</w:t>
      </w:r>
    </w:p>
    <w:p w14:paraId="05615BF3" w14:textId="71000A71" w:rsidR="00E2494F" w:rsidRPr="00671C88" w:rsidRDefault="00E2494F" w:rsidP="00221D9A">
      <w:pPr>
        <w:pStyle w:val="p1"/>
        <w:numPr>
          <w:ilvl w:val="0"/>
          <w:numId w:val="12"/>
        </w:numPr>
        <w:spacing w:after="80"/>
        <w:jc w:val="both"/>
        <w:rPr>
          <w:color w:val="auto"/>
          <w:sz w:val="22"/>
          <w:szCs w:val="22"/>
          <w:lang w:val="es-ES"/>
        </w:rPr>
      </w:pPr>
      <w:r w:rsidRPr="00671C88">
        <w:rPr>
          <w:color w:val="auto"/>
          <w:sz w:val="22"/>
          <w:szCs w:val="22"/>
          <w:lang w:val="es-ES"/>
        </w:rPr>
        <w:t>Resolución 12.22 y Decisiones 13.62 a 13.63 sobre capturas incidentales</w:t>
      </w:r>
    </w:p>
    <w:p w14:paraId="03112890" w14:textId="670A09A9" w:rsidR="00E2494F" w:rsidRPr="00671C88" w:rsidRDefault="00E2494F" w:rsidP="00221D9A">
      <w:pPr>
        <w:pStyle w:val="p1"/>
        <w:numPr>
          <w:ilvl w:val="0"/>
          <w:numId w:val="12"/>
        </w:numPr>
        <w:spacing w:after="80"/>
        <w:jc w:val="both"/>
        <w:rPr>
          <w:color w:val="auto"/>
          <w:sz w:val="22"/>
          <w:szCs w:val="22"/>
          <w:lang w:val="es-ES"/>
        </w:rPr>
      </w:pPr>
      <w:r w:rsidRPr="00671C88">
        <w:rPr>
          <w:color w:val="auto"/>
          <w:sz w:val="22"/>
          <w:szCs w:val="22"/>
          <w:lang w:val="es-ES"/>
        </w:rPr>
        <w:t>Resolución 13.3 y Decisiones 13.71 a 13.73 sobre especies de condrictios</w:t>
      </w:r>
    </w:p>
    <w:p w14:paraId="444DC107" w14:textId="0B6CAC01" w:rsidR="00E2494F" w:rsidRPr="00671C88" w:rsidRDefault="00E2494F" w:rsidP="00221D9A">
      <w:pPr>
        <w:pStyle w:val="p1"/>
        <w:numPr>
          <w:ilvl w:val="0"/>
          <w:numId w:val="12"/>
        </w:numPr>
        <w:spacing w:after="80"/>
        <w:jc w:val="both"/>
        <w:rPr>
          <w:color w:val="auto"/>
          <w:sz w:val="22"/>
          <w:szCs w:val="22"/>
          <w:lang w:val="es-ES"/>
        </w:rPr>
      </w:pPr>
      <w:r w:rsidRPr="00671C88">
        <w:rPr>
          <w:color w:val="auto"/>
          <w:sz w:val="22"/>
          <w:szCs w:val="22"/>
          <w:lang w:val="es-ES"/>
        </w:rPr>
        <w:t>Decisiones 13.66 a 13.68 sobre la observación de la fauna marina</w:t>
      </w:r>
    </w:p>
    <w:p w14:paraId="06DB6F06" w14:textId="7C62A917" w:rsidR="00E2494F" w:rsidRPr="00671C88" w:rsidRDefault="00E2494F" w:rsidP="00E113F1">
      <w:pPr>
        <w:pStyle w:val="p1"/>
        <w:numPr>
          <w:ilvl w:val="0"/>
          <w:numId w:val="12"/>
        </w:numPr>
        <w:jc w:val="both"/>
        <w:rPr>
          <w:color w:val="auto"/>
          <w:sz w:val="22"/>
          <w:szCs w:val="22"/>
          <w:lang w:val="es-ES"/>
        </w:rPr>
      </w:pPr>
      <w:r w:rsidRPr="00671C88">
        <w:rPr>
          <w:color w:val="auto"/>
          <w:sz w:val="22"/>
          <w:szCs w:val="22"/>
          <w:lang w:val="es-ES"/>
        </w:rPr>
        <w:t>Programa de trabajo del MdE sobre tiburones 2023-2025: Desarrollo de una estrategia mundial y de planes de acción regionales para los tiburones pelágicos</w:t>
      </w:r>
    </w:p>
    <w:p w14:paraId="1397864D" w14:textId="77777777" w:rsidR="00EF28D8" w:rsidRPr="00671C88" w:rsidRDefault="00EF28D8" w:rsidP="00843436">
      <w:pPr>
        <w:widowControl w:val="0"/>
        <w:suppressAutoHyphens/>
        <w:autoSpaceDE w:val="0"/>
        <w:autoSpaceDN w:val="0"/>
        <w:spacing w:after="0" w:line="240" w:lineRule="auto"/>
        <w:jc w:val="both"/>
        <w:textAlignment w:val="baseline"/>
        <w:rPr>
          <w:rFonts w:eastAsia="MS Mincho" w:cs="Arial"/>
          <w:lang w:val="es-ES" w:eastAsia="en-GB"/>
        </w:rPr>
      </w:pPr>
    </w:p>
    <w:p w14:paraId="3A9FE3E1" w14:textId="61B9B42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ja-JP"/>
        </w:rPr>
      </w:pPr>
      <w:r w:rsidRPr="00671C88">
        <w:rPr>
          <w:rFonts w:eastAsia="MS Mincho" w:cs="Arial"/>
          <w:b/>
          <w:lang w:val="es-ES" w:eastAsia="ja-JP"/>
        </w:rPr>
        <w:t>Prioridad de la conservación</w:t>
      </w:r>
    </w:p>
    <w:p w14:paraId="7DA08169" w14:textId="77777777" w:rsidR="004A5842" w:rsidRPr="00671C88" w:rsidRDefault="004A5842" w:rsidP="00210864">
      <w:pPr>
        <w:pStyle w:val="p1"/>
        <w:jc w:val="both"/>
        <w:rPr>
          <w:color w:val="auto"/>
          <w:sz w:val="22"/>
          <w:szCs w:val="22"/>
          <w:lang w:val="es-ES"/>
        </w:rPr>
      </w:pPr>
    </w:p>
    <w:p w14:paraId="3A0AA56C" w14:textId="63CFA25B" w:rsidR="003D7709" w:rsidRPr="00671C88" w:rsidRDefault="00C305C4" w:rsidP="00210864">
      <w:pPr>
        <w:pStyle w:val="p1"/>
        <w:jc w:val="both"/>
        <w:rPr>
          <w:color w:val="auto"/>
          <w:sz w:val="22"/>
          <w:szCs w:val="22"/>
          <w:highlight w:val="yellow"/>
          <w:lang w:val="es-ES"/>
        </w:rPr>
      </w:pPr>
      <w:r w:rsidRPr="00671C88">
        <w:rPr>
          <w:color w:val="auto"/>
          <w:sz w:val="22"/>
          <w:szCs w:val="22"/>
          <w:lang w:val="es-ES"/>
        </w:rPr>
        <w:t>El tiburón azul sigue siendo una de las especies de tiburones más explotadas en todo el mundo y continúa enfrentándose a importantes retos de conservación y gestión en toda su área de distribución. Se estima que cada año se capturan alrededor de 10 millones de tiburones azules, a menudo en pesquerías pluri</w:t>
      </w:r>
      <w:r w:rsidR="000F0B7E">
        <w:rPr>
          <w:color w:val="auto"/>
          <w:sz w:val="22"/>
          <w:szCs w:val="22"/>
          <w:lang w:val="es-ES"/>
        </w:rPr>
        <w:t xml:space="preserve"> </w:t>
      </w:r>
      <w:r w:rsidRPr="00671C88">
        <w:rPr>
          <w:color w:val="auto"/>
          <w:sz w:val="22"/>
          <w:szCs w:val="22"/>
          <w:lang w:val="es-ES"/>
        </w:rPr>
        <w:t>específicas</w:t>
      </w:r>
      <w:r w:rsidR="00F5349E">
        <w:rPr>
          <w:color w:val="auto"/>
          <w:sz w:val="22"/>
          <w:szCs w:val="22"/>
          <w:lang w:val="es-ES"/>
        </w:rPr>
        <w:t xml:space="preserve"> y </w:t>
      </w:r>
      <w:r w:rsidR="000F0B7E">
        <w:rPr>
          <w:color w:val="auto"/>
          <w:sz w:val="22"/>
          <w:szCs w:val="22"/>
          <w:lang w:val="es-ES"/>
        </w:rPr>
        <w:t>objetivos</w:t>
      </w:r>
      <w:r w:rsidRPr="00671C88">
        <w:rPr>
          <w:color w:val="auto"/>
          <w:sz w:val="22"/>
          <w:szCs w:val="22"/>
          <w:lang w:val="es-ES"/>
        </w:rPr>
        <w:t xml:space="preserve"> (Poseidon, 2022). Esta pesca intensiva de tiburones azules realiza capturas incidentales de otros tiburones pelágicos gravemente mermados que figuran en los Apéndices de la CMS (Pacoreau et al. 2021), cuya recuperación también depende de las medidas de conservación del tiburón azul (Estado Verde de la UICN, Polo-Silva et al. 2025). </w:t>
      </w:r>
    </w:p>
    <w:p w14:paraId="69E0764A" w14:textId="4578EFE2" w:rsidR="00E05CF3" w:rsidRPr="00671C88" w:rsidRDefault="00E05CF3" w:rsidP="00210864">
      <w:pPr>
        <w:pStyle w:val="p1"/>
        <w:jc w:val="both"/>
        <w:rPr>
          <w:color w:val="auto"/>
          <w:sz w:val="22"/>
          <w:szCs w:val="22"/>
          <w:lang w:val="es-ES"/>
        </w:rPr>
      </w:pPr>
    </w:p>
    <w:p w14:paraId="5D1E70B8" w14:textId="3F5C2508" w:rsidR="00E05CF3" w:rsidRPr="00671C88" w:rsidRDefault="001B3583" w:rsidP="00210864">
      <w:pPr>
        <w:pStyle w:val="p1"/>
        <w:jc w:val="both"/>
        <w:rPr>
          <w:color w:val="auto"/>
          <w:sz w:val="22"/>
          <w:szCs w:val="22"/>
          <w:lang w:val="es-ES"/>
        </w:rPr>
      </w:pPr>
      <w:r w:rsidRPr="00671C88">
        <w:rPr>
          <w:color w:val="auto"/>
          <w:sz w:val="22"/>
          <w:szCs w:val="22"/>
          <w:lang w:val="es-ES"/>
        </w:rPr>
        <w:t xml:space="preserve">Los tiburones azules del Mediterráneo están en peligro crítico de extinción, y su número ha disminuido entre un 78 % y un 90 % en tres generaciones (Sims et al. 2016). Se cree que las poblaciones del Atlántico </w:t>
      </w:r>
      <w:r w:rsidR="00D5490E">
        <w:rPr>
          <w:color w:val="auto"/>
          <w:sz w:val="22"/>
          <w:szCs w:val="22"/>
          <w:lang w:val="es-ES"/>
        </w:rPr>
        <w:t xml:space="preserve">del tiburón azul están en </w:t>
      </w:r>
      <w:r w:rsidRPr="00671C88">
        <w:rPr>
          <w:color w:val="auto"/>
          <w:sz w:val="22"/>
          <w:szCs w:val="22"/>
          <w:lang w:val="es-ES"/>
        </w:rPr>
        <w:t>riesgo, con solapamientos espaciales cercanos al 80 % con la pesca con palangre</w:t>
      </w:r>
      <w:r w:rsidR="000409A9">
        <w:rPr>
          <w:color w:val="auto"/>
          <w:sz w:val="22"/>
          <w:szCs w:val="22"/>
          <w:lang w:val="es-ES"/>
        </w:rPr>
        <w:t xml:space="preserve">, </w:t>
      </w:r>
      <w:r w:rsidR="00F56BD6" w:rsidRPr="00F56BD6">
        <w:rPr>
          <w:color w:val="auto"/>
          <w:sz w:val="22"/>
          <w:szCs w:val="22"/>
          <w:lang w:val="es-ES"/>
        </w:rPr>
        <w:t>muchas de las cuales se centran en los tiburones azules</w:t>
      </w:r>
      <w:r w:rsidRPr="00671C88">
        <w:rPr>
          <w:color w:val="auto"/>
          <w:sz w:val="22"/>
          <w:szCs w:val="22"/>
          <w:lang w:val="es-ES"/>
        </w:rPr>
        <w:t xml:space="preserve"> (Queiroz et al. 2019), y un cambio poblacional medio para los tiburones azules del Atlántico Norte a lo largo de tres generaciones del -53,9 % en 2018 (Rigby et al. 2019). Aunque la Comisión Internacional para la Conservación del Atún Atlántico (ICCAT) ha adoptado una captura total admisible (TAC), </w:t>
      </w:r>
      <w:r w:rsidR="00AD42A1">
        <w:rPr>
          <w:color w:val="auto"/>
          <w:sz w:val="22"/>
          <w:szCs w:val="22"/>
          <w:lang w:val="es-ES"/>
        </w:rPr>
        <w:t xml:space="preserve">para los </w:t>
      </w:r>
      <w:r w:rsidR="00944528">
        <w:rPr>
          <w:color w:val="auto"/>
          <w:sz w:val="22"/>
          <w:szCs w:val="22"/>
          <w:lang w:val="es-ES"/>
        </w:rPr>
        <w:t>tiburones azules del Norte y Sur del Atlántico</w:t>
      </w:r>
      <w:r w:rsidRPr="00671C88">
        <w:rPr>
          <w:color w:val="auto"/>
          <w:sz w:val="22"/>
          <w:szCs w:val="22"/>
          <w:lang w:val="es-ES"/>
        </w:rPr>
        <w:t xml:space="preserve"> los marcos de gestión similares siguen siendo limitados o incoherentes en otras cuencas oceánicas. En el océano Índico, el nivel de población continúa disminuyendo (Rigby et al. 2019), </w:t>
      </w:r>
      <w:r w:rsidR="00FE1C2F" w:rsidRPr="00FE1C2F">
        <w:rPr>
          <w:color w:val="auto"/>
          <w:sz w:val="22"/>
          <w:szCs w:val="22"/>
          <w:lang w:val="es-ES"/>
        </w:rPr>
        <w:t>aunque una reciente evaluación de las poblaciones realizada por la CAOI indicó que no se está sobreexplotando la población (CAOI, 2025)</w:t>
      </w:r>
      <w:r w:rsidRPr="00671C88">
        <w:rPr>
          <w:color w:val="auto"/>
          <w:sz w:val="22"/>
          <w:szCs w:val="22"/>
          <w:lang w:val="es-ES"/>
        </w:rPr>
        <w:t xml:space="preserve">mientras que las tendencias en el océano Pacífico son comparativamente estables, pero inciertas (Li et al. 2020; evaluaciones de poblaciones de la WCPFC, 2022). </w:t>
      </w:r>
    </w:p>
    <w:p w14:paraId="6D579D46" w14:textId="77777777" w:rsidR="006130F3" w:rsidRPr="00671C88" w:rsidRDefault="006130F3" w:rsidP="00210864">
      <w:pPr>
        <w:pStyle w:val="p1"/>
        <w:jc w:val="both"/>
        <w:rPr>
          <w:color w:val="auto"/>
          <w:sz w:val="22"/>
          <w:szCs w:val="22"/>
          <w:lang w:val="es-ES"/>
        </w:rPr>
      </w:pPr>
    </w:p>
    <w:p w14:paraId="63B481B5" w14:textId="10659EEF" w:rsidR="006130F3" w:rsidRPr="00671C88" w:rsidRDefault="006130F3" w:rsidP="00210864">
      <w:pPr>
        <w:pStyle w:val="p1"/>
        <w:jc w:val="both"/>
        <w:rPr>
          <w:color w:val="auto"/>
          <w:sz w:val="22"/>
          <w:szCs w:val="22"/>
          <w:lang w:val="es-ES"/>
        </w:rPr>
      </w:pPr>
      <w:r w:rsidRPr="00671C88">
        <w:rPr>
          <w:color w:val="auto"/>
          <w:sz w:val="22"/>
          <w:szCs w:val="22"/>
          <w:lang w:val="es-ES"/>
        </w:rPr>
        <w:t>La reciente evaluación del Estado Verde de la UICN para el tiburón azul (Polo-Silva et al. 2025) identificó una tasa de recuperación del 43 % (muy mermado) debido a su estado «Amenazado» o «Casi Amenazado» en cuatro de las seis unidades espaciales dentro de su área de distribución mundial. Esto pone de relieve la urgente necesidad de adoptar medidas de recuperación coordinadas con el fin de reforzar la gestión a nivel regional y mundial.</w:t>
      </w:r>
    </w:p>
    <w:p w14:paraId="2284C86F" w14:textId="77777777" w:rsidR="00E05CF3" w:rsidRPr="00671C88" w:rsidRDefault="00E05CF3" w:rsidP="00C305C4">
      <w:pPr>
        <w:pStyle w:val="p1"/>
        <w:rPr>
          <w:color w:val="auto"/>
          <w:sz w:val="22"/>
          <w:szCs w:val="22"/>
          <w:highlight w:val="yellow"/>
          <w:lang w:val="es-ES"/>
        </w:rPr>
      </w:pPr>
    </w:p>
    <w:p w14:paraId="356939DD" w14:textId="3A82F529" w:rsidR="005B6A43" w:rsidRPr="00671C88" w:rsidRDefault="00843436" w:rsidP="00F014DF">
      <w:pPr>
        <w:autoSpaceDN w:val="0"/>
        <w:spacing w:after="0" w:line="254" w:lineRule="auto"/>
        <w:textAlignment w:val="baseline"/>
        <w:rPr>
          <w:rFonts w:eastAsia="MS Mincho" w:cs="Arial"/>
          <w:lang w:val="es-ES" w:eastAsia="ja-JP"/>
        </w:rPr>
      </w:pPr>
      <w:r w:rsidRPr="00671C88">
        <w:rPr>
          <w:rFonts w:eastAsia="MS Mincho" w:cs="Arial"/>
          <w:b/>
          <w:lang w:val="es-ES" w:eastAsia="ja-JP"/>
        </w:rPr>
        <w:t>Pertinencia</w:t>
      </w:r>
    </w:p>
    <w:p w14:paraId="15E6E6DB" w14:textId="77777777" w:rsidR="005B6A43" w:rsidRPr="00671C88" w:rsidRDefault="005B6A43" w:rsidP="005B6A43">
      <w:pPr>
        <w:pStyle w:val="p1"/>
        <w:jc w:val="both"/>
        <w:rPr>
          <w:color w:val="auto"/>
          <w:sz w:val="22"/>
          <w:szCs w:val="22"/>
          <w:lang w:val="es-ES"/>
        </w:rPr>
      </w:pPr>
    </w:p>
    <w:p w14:paraId="171A90F9" w14:textId="4DBFA890" w:rsidR="007E5420" w:rsidRPr="00671C88" w:rsidRDefault="007E5420" w:rsidP="005B6A43">
      <w:pPr>
        <w:pStyle w:val="p1"/>
        <w:jc w:val="both"/>
        <w:rPr>
          <w:color w:val="auto"/>
          <w:sz w:val="22"/>
          <w:szCs w:val="22"/>
          <w:lang w:val="es-ES"/>
        </w:rPr>
      </w:pPr>
      <w:r w:rsidRPr="00671C88">
        <w:rPr>
          <w:color w:val="auto"/>
          <w:sz w:val="22"/>
          <w:szCs w:val="22"/>
          <w:lang w:val="es-ES"/>
        </w:rPr>
        <w:t xml:space="preserve">La CMS proporciona una plataforma mundial para la conservación de los animales migratorios y sus hábitats, con el objetivo de garantizar que su consumo no supere los niveles sostenibles. El tiburón azul es una de las especies de tiburones más migratorias (si no la que más), lo que requiere medidas de conservación más estrictas. Esta AC contribuirá significativamente a: i) reforzar la voluntad política de aplicar medidas </w:t>
      </w:r>
      <w:r w:rsidR="00832514">
        <w:rPr>
          <w:color w:val="auto"/>
          <w:sz w:val="22"/>
          <w:szCs w:val="22"/>
          <w:lang w:val="es-ES"/>
        </w:rPr>
        <w:t xml:space="preserve">de manejo </w:t>
      </w:r>
      <w:r w:rsidRPr="00671C88">
        <w:rPr>
          <w:color w:val="auto"/>
          <w:sz w:val="22"/>
          <w:szCs w:val="22"/>
          <w:lang w:val="es-ES"/>
        </w:rPr>
        <w:t xml:space="preserve">de conservación de forma </w:t>
      </w:r>
      <w:r w:rsidRPr="00671C88">
        <w:rPr>
          <w:color w:val="auto"/>
          <w:sz w:val="22"/>
          <w:szCs w:val="22"/>
          <w:lang w:val="es-ES"/>
        </w:rPr>
        <w:lastRenderedPageBreak/>
        <w:t>coordinada y oportuna; ii) tender puentes entre la pesca de tiburones migratorios y los intereses de conservación; y iii) contribuir a la aplicación del PAI-Tiburones (IPOA-Sharks) de la FAO para los tiburones más pescados del mundo.</w:t>
      </w:r>
    </w:p>
    <w:p w14:paraId="2AA11501" w14:textId="77777777" w:rsidR="006C6ECE" w:rsidRPr="00671C88" w:rsidRDefault="006C6ECE" w:rsidP="00843436">
      <w:pPr>
        <w:widowControl w:val="0"/>
        <w:suppressAutoHyphens/>
        <w:autoSpaceDE w:val="0"/>
        <w:autoSpaceDN w:val="0"/>
        <w:spacing w:after="0" w:line="240" w:lineRule="auto"/>
        <w:jc w:val="both"/>
        <w:textAlignment w:val="baseline"/>
        <w:rPr>
          <w:rFonts w:eastAsia="MS Mincho" w:cs="Arial"/>
          <w:lang w:val="es-ES" w:eastAsia="ja-JP"/>
        </w:rPr>
      </w:pPr>
    </w:p>
    <w:p w14:paraId="0299D3CC"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ja-JP"/>
        </w:rPr>
      </w:pPr>
      <w:r w:rsidRPr="00671C88">
        <w:rPr>
          <w:rFonts w:eastAsia="MS Mincho" w:cs="Arial"/>
          <w:b/>
          <w:lang w:val="es-ES" w:eastAsia="ja-JP"/>
        </w:rPr>
        <w:t>Ausencia de medidas mejores</w:t>
      </w:r>
    </w:p>
    <w:p w14:paraId="17140C49" w14:textId="77777777" w:rsidR="00BB7B69" w:rsidRPr="00671C88" w:rsidRDefault="00BB7B69" w:rsidP="00843436">
      <w:pPr>
        <w:widowControl w:val="0"/>
        <w:suppressAutoHyphens/>
        <w:autoSpaceDE w:val="0"/>
        <w:autoSpaceDN w:val="0"/>
        <w:spacing w:after="0" w:line="240" w:lineRule="auto"/>
        <w:jc w:val="both"/>
        <w:textAlignment w:val="baseline"/>
        <w:rPr>
          <w:rFonts w:eastAsia="MS Mincho" w:cs="Arial"/>
          <w:iCs/>
          <w:lang w:val="es-ES" w:eastAsia="ja-JP"/>
        </w:rPr>
      </w:pPr>
    </w:p>
    <w:p w14:paraId="5431C147" w14:textId="65138437" w:rsidR="00BB7B69" w:rsidRPr="00671C88" w:rsidRDefault="00BB7B69" w:rsidP="00221D9A">
      <w:pPr>
        <w:pStyle w:val="p1"/>
        <w:shd w:val="clear" w:color="auto" w:fill="FFFFFF" w:themeFill="background1"/>
        <w:jc w:val="both"/>
        <w:rPr>
          <w:color w:val="auto"/>
          <w:sz w:val="22"/>
          <w:szCs w:val="22"/>
          <w:lang w:val="es-ES"/>
        </w:rPr>
      </w:pPr>
      <w:r w:rsidRPr="00671C88">
        <w:rPr>
          <w:color w:val="auto"/>
          <w:sz w:val="22"/>
          <w:szCs w:val="22"/>
          <w:lang w:val="es-ES"/>
        </w:rPr>
        <w:t>Solo unas pocas OROP-t han adoptado medidas de gestión para esta especie</w:t>
      </w:r>
      <w:r w:rsidR="000D4512">
        <w:rPr>
          <w:color w:val="auto"/>
          <w:sz w:val="22"/>
          <w:szCs w:val="22"/>
          <w:lang w:val="es-ES"/>
        </w:rPr>
        <w:t>. E</w:t>
      </w:r>
      <w:r w:rsidRPr="00671C88">
        <w:rPr>
          <w:color w:val="auto"/>
          <w:sz w:val="22"/>
          <w:szCs w:val="22"/>
          <w:lang w:val="es-ES"/>
        </w:rPr>
        <w:t>l mandato de la Convención sobre el comercio internacional de especies amenazadas de fauna y flora silvestres (CITES) se centra estrictamente en garantizar que el comercio internacional no ponga aún más en peligro a la especie. Por lo tanto, la Acción Concertada que aquí se propone facilita una vía importante para abordar las amenazas y la falta de gestión cooperativa de esta especie y para promover una mayor investigación y conservación.</w:t>
      </w:r>
    </w:p>
    <w:p w14:paraId="70E5EE4C"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iCs/>
          <w:lang w:val="es-ES" w:eastAsia="ja-JP"/>
        </w:rPr>
      </w:pPr>
    </w:p>
    <w:p w14:paraId="3FF3DDC9"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Preparación y viabilidad</w:t>
      </w:r>
    </w:p>
    <w:p w14:paraId="75A1AC43" w14:textId="77777777" w:rsidR="00BB7B69" w:rsidRPr="00671C88" w:rsidRDefault="00BB7B69" w:rsidP="00843436">
      <w:pPr>
        <w:widowControl w:val="0"/>
        <w:suppressAutoHyphens/>
        <w:autoSpaceDE w:val="0"/>
        <w:autoSpaceDN w:val="0"/>
        <w:spacing w:after="0" w:line="240" w:lineRule="auto"/>
        <w:jc w:val="both"/>
        <w:textAlignment w:val="baseline"/>
        <w:rPr>
          <w:rFonts w:eastAsia="MS Mincho" w:cs="Arial"/>
          <w:lang w:val="es-ES" w:eastAsia="en-GB"/>
        </w:rPr>
      </w:pPr>
    </w:p>
    <w:p w14:paraId="067BC072" w14:textId="3DC4E6B1" w:rsidR="004A5842" w:rsidRPr="00671C88" w:rsidRDefault="0005109C" w:rsidP="00221D9A">
      <w:pPr>
        <w:pStyle w:val="p1"/>
        <w:jc w:val="both"/>
        <w:rPr>
          <w:rFonts w:eastAsia="MS Mincho"/>
          <w:b/>
          <w:lang w:val="es-ES"/>
        </w:rPr>
      </w:pPr>
      <w:r w:rsidRPr="00671C88">
        <w:rPr>
          <w:color w:val="auto"/>
          <w:sz w:val="22"/>
          <w:szCs w:val="22"/>
          <w:lang w:val="es-ES"/>
        </w:rPr>
        <w:t>Hay ONG, expertos y organizaciones comunitarias comprometidos dispuestos a ayudar a los Estados del área de distribución a desarrollar, financiar y poner en práctica el trabajo en colaboración. Iniciativas recientes en otros foros internacionales muestran que existen redes de expertos que podrían apoyar a los Estados del área de distribución a la hora de ejecutar las actividades propuestas. Además, se agradecerá la asistencia del MdE sobre tiburones y de los socios colaboradores para apoyar el desarrollo y la aplicación de los planes de acción.</w:t>
      </w:r>
    </w:p>
    <w:p w14:paraId="72D334DE" w14:textId="77777777" w:rsidR="00ED041C" w:rsidRPr="00671C88" w:rsidRDefault="00ED041C" w:rsidP="00843436">
      <w:pPr>
        <w:widowControl w:val="0"/>
        <w:suppressAutoHyphens/>
        <w:autoSpaceDE w:val="0"/>
        <w:autoSpaceDN w:val="0"/>
        <w:spacing w:after="0" w:line="240" w:lineRule="auto"/>
        <w:jc w:val="both"/>
        <w:textAlignment w:val="baseline"/>
        <w:rPr>
          <w:rFonts w:eastAsia="MS Mincho" w:cs="Arial"/>
          <w:b/>
          <w:lang w:val="es-ES" w:eastAsia="es-ES"/>
        </w:rPr>
      </w:pPr>
    </w:p>
    <w:p w14:paraId="0D57976A" w14:textId="411F8F8F"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Probabilidad de éxito</w:t>
      </w:r>
    </w:p>
    <w:p w14:paraId="7FE3E616" w14:textId="77777777" w:rsidR="00CF7EBE" w:rsidRPr="00671C88" w:rsidRDefault="00CF7EBE" w:rsidP="00843436">
      <w:pPr>
        <w:widowControl w:val="0"/>
        <w:suppressAutoHyphens/>
        <w:autoSpaceDE w:val="0"/>
        <w:autoSpaceDN w:val="0"/>
        <w:spacing w:after="0" w:line="240" w:lineRule="auto"/>
        <w:jc w:val="both"/>
        <w:textAlignment w:val="baseline"/>
        <w:rPr>
          <w:rFonts w:eastAsia="MS Mincho" w:cs="Arial"/>
          <w:lang w:val="es-ES" w:eastAsia="en-GB"/>
        </w:rPr>
      </w:pPr>
    </w:p>
    <w:p w14:paraId="5463CF71" w14:textId="040B9010" w:rsidR="001A01DB" w:rsidRPr="00671C88" w:rsidRDefault="001A01DB" w:rsidP="006453C5">
      <w:pPr>
        <w:spacing w:after="0" w:line="240" w:lineRule="auto"/>
        <w:jc w:val="both"/>
        <w:rPr>
          <w:rFonts w:eastAsia="Times New Roman" w:cs="Arial"/>
          <w:lang w:val="es-ES" w:eastAsia="en-GB"/>
        </w:rPr>
      </w:pPr>
      <w:r w:rsidRPr="00671C88">
        <w:rPr>
          <w:rFonts w:eastAsia="Times New Roman" w:cs="Arial"/>
          <w:lang w:val="es-ES" w:eastAsia="es-ES"/>
        </w:rPr>
        <w:t xml:space="preserve">Con el apoyo de ONG, expertos y organizaciones comprometidos, y de estas Acciones Concertadas, está abocada al éxito. Además, la armonización de algunas de las Acciones Concertadas que aquí se presentan con la Estrategia de Conservación y los Planes de Acción para Tiburones y Rayas Pelágicos al amparo del MdE sobre tiburones significa que ya existe un compromiso activo de las partes interesadas. </w:t>
      </w:r>
      <w:r w:rsidR="0017135C" w:rsidRPr="0017135C">
        <w:rPr>
          <w:rFonts w:eastAsia="Times New Roman" w:cs="Arial"/>
          <w:lang w:val="es-ES" w:eastAsia="es-ES"/>
        </w:rPr>
        <w:t>Puede haber algunos riesgos asociados con el interés comercial en los tiburones azules, aunque esto se ve compensado por la creciente adopción de una gestión basada en la ciencia a través de las OROP. El desarrollo de las conclusiones de no perjuicio de la CITES reforzaría aún más la oportunidad de comerciar únicamente con pesquerías gestionadas de forma sostenible.</w:t>
      </w:r>
    </w:p>
    <w:p w14:paraId="66AD18A1" w14:textId="77777777" w:rsidR="00CF7EBE" w:rsidRPr="00671C88" w:rsidRDefault="00CF7EBE" w:rsidP="00843436">
      <w:pPr>
        <w:widowControl w:val="0"/>
        <w:suppressAutoHyphens/>
        <w:autoSpaceDE w:val="0"/>
        <w:autoSpaceDN w:val="0"/>
        <w:spacing w:after="0" w:line="240" w:lineRule="auto"/>
        <w:jc w:val="both"/>
        <w:textAlignment w:val="baseline"/>
        <w:rPr>
          <w:rFonts w:eastAsia="MS Mincho" w:cs="Arial"/>
          <w:lang w:val="es-ES" w:eastAsia="en-GB"/>
        </w:rPr>
      </w:pPr>
    </w:p>
    <w:p w14:paraId="5E3E7FA2"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Magnitud del posible impacto</w:t>
      </w:r>
    </w:p>
    <w:p w14:paraId="176056FA" w14:textId="77777777" w:rsidR="006328FF" w:rsidRPr="00671C88" w:rsidRDefault="006328FF" w:rsidP="00843436">
      <w:pPr>
        <w:widowControl w:val="0"/>
        <w:suppressAutoHyphens/>
        <w:autoSpaceDE w:val="0"/>
        <w:autoSpaceDN w:val="0"/>
        <w:spacing w:after="0" w:line="240" w:lineRule="auto"/>
        <w:jc w:val="both"/>
        <w:textAlignment w:val="baseline"/>
        <w:rPr>
          <w:rFonts w:eastAsia="MS Mincho" w:cs="Arial"/>
          <w:lang w:val="es-ES" w:eastAsia="en-GB"/>
        </w:rPr>
      </w:pPr>
    </w:p>
    <w:p w14:paraId="28B0C6A4" w14:textId="472A1C7C" w:rsidR="00742A75" w:rsidRPr="00671C88" w:rsidRDefault="00742A75" w:rsidP="006453C5">
      <w:pPr>
        <w:pStyle w:val="p1"/>
        <w:jc w:val="both"/>
        <w:rPr>
          <w:color w:val="auto"/>
          <w:sz w:val="22"/>
          <w:szCs w:val="22"/>
          <w:lang w:val="es-ES"/>
        </w:rPr>
      </w:pPr>
      <w:r w:rsidRPr="00671C88">
        <w:rPr>
          <w:color w:val="auto"/>
          <w:sz w:val="22"/>
          <w:szCs w:val="22"/>
          <w:lang w:val="es-ES"/>
        </w:rPr>
        <w:t>Se prevé que estas Acciones Concertadas puedan mejorar la gestión de las prácticas relacionadas con</w:t>
      </w:r>
      <w:r w:rsidR="0090434C">
        <w:rPr>
          <w:color w:val="auto"/>
          <w:sz w:val="22"/>
          <w:szCs w:val="22"/>
          <w:lang w:val="es-ES"/>
        </w:rPr>
        <w:t xml:space="preserve"> la pesca</w:t>
      </w:r>
      <w:r w:rsidRPr="00671C88">
        <w:rPr>
          <w:color w:val="auto"/>
          <w:sz w:val="22"/>
          <w:szCs w:val="22"/>
          <w:lang w:val="es-ES"/>
        </w:rPr>
        <w:t xml:space="preserve"> </w:t>
      </w:r>
      <w:r w:rsidR="0090434C">
        <w:rPr>
          <w:color w:val="auto"/>
          <w:sz w:val="22"/>
          <w:szCs w:val="22"/>
          <w:lang w:val="es-ES"/>
        </w:rPr>
        <w:t>d</w:t>
      </w:r>
      <w:r w:rsidRPr="00671C88">
        <w:rPr>
          <w:color w:val="auto"/>
          <w:sz w:val="22"/>
          <w:szCs w:val="22"/>
          <w:lang w:val="es-ES"/>
        </w:rPr>
        <w:t>el tiburón azul</w:t>
      </w:r>
      <w:r w:rsidR="0090434C">
        <w:rPr>
          <w:color w:val="auto"/>
          <w:sz w:val="22"/>
          <w:szCs w:val="22"/>
          <w:lang w:val="es-ES"/>
        </w:rPr>
        <w:t xml:space="preserve"> </w:t>
      </w:r>
      <w:r w:rsidRPr="00671C88">
        <w:rPr>
          <w:color w:val="auto"/>
          <w:sz w:val="22"/>
          <w:szCs w:val="22"/>
          <w:lang w:val="es-ES"/>
        </w:rPr>
        <w:t>en toda su área de distribución geográfica al garantizar que todas las partes de la CMS participen en estas actividades. Al mismo tiempo, puede allanar el camino para una mayor consideración d</w:t>
      </w:r>
      <w:r w:rsidR="00E62692">
        <w:rPr>
          <w:color w:val="auto"/>
          <w:sz w:val="22"/>
          <w:szCs w:val="22"/>
          <w:lang w:val="es-ES"/>
        </w:rPr>
        <w:t xml:space="preserve">el manejo basado en la ciencia </w:t>
      </w:r>
      <w:r w:rsidRPr="00671C88">
        <w:rPr>
          <w:color w:val="auto"/>
          <w:sz w:val="22"/>
          <w:szCs w:val="22"/>
          <w:lang w:val="es-ES"/>
        </w:rPr>
        <w:t>en alta mar trabajando conjuntamente con las OROP. El turismo es una industria en rápido crecimiento (por ejemplo, en el Reino Unido y México), y los tiburones azules son cada vez más populares. Se prevé que la demanda de turismo para ver tiburones azules aumente en todo el mundo, convirtiéndose tanto en una amenaza como en una oportunidad. Si se administra bien, esta actividad económica puede ayudar a la gestión de la especie, contribuir a la sensibilización y facilitar la investigación. La CMS puede facilitar pautas eficaces para garantizar que esta práctica sea sostenible y equitativa</w:t>
      </w:r>
      <w:r w:rsidR="00E62692">
        <w:rPr>
          <w:color w:val="auto"/>
          <w:sz w:val="22"/>
          <w:szCs w:val="22"/>
          <w:lang w:val="es-ES"/>
        </w:rPr>
        <w:t xml:space="preserve"> para las comunidades involucradas</w:t>
      </w:r>
      <w:r w:rsidRPr="00671C88">
        <w:rPr>
          <w:color w:val="auto"/>
          <w:sz w:val="22"/>
          <w:szCs w:val="22"/>
          <w:lang w:val="es-ES"/>
        </w:rPr>
        <w:t>, con un modelo replicable a otras especies.</w:t>
      </w:r>
    </w:p>
    <w:p w14:paraId="615D8AC2"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lang w:val="es-ES" w:eastAsia="en-GB"/>
        </w:rPr>
      </w:pPr>
    </w:p>
    <w:p w14:paraId="5CA1313B" w14:textId="77777777" w:rsidR="00843436" w:rsidRPr="00671C88" w:rsidRDefault="00843436" w:rsidP="00843436">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t>Rentabilidad</w:t>
      </w:r>
    </w:p>
    <w:p w14:paraId="02761062" w14:textId="77777777" w:rsidR="007E5033" w:rsidRPr="00671C88" w:rsidRDefault="007E5033" w:rsidP="00843436">
      <w:pPr>
        <w:widowControl w:val="0"/>
        <w:suppressAutoHyphens/>
        <w:autoSpaceDE w:val="0"/>
        <w:autoSpaceDN w:val="0"/>
        <w:spacing w:after="0" w:line="240" w:lineRule="auto"/>
        <w:jc w:val="both"/>
        <w:textAlignment w:val="baseline"/>
        <w:rPr>
          <w:rFonts w:eastAsia="MS Mincho" w:cs="Arial"/>
          <w:lang w:val="es-ES" w:eastAsia="en-GB"/>
        </w:rPr>
      </w:pPr>
    </w:p>
    <w:p w14:paraId="72911B12" w14:textId="68B01033" w:rsidR="009C3582" w:rsidRPr="00671C88" w:rsidRDefault="009C3582" w:rsidP="006453C5">
      <w:pPr>
        <w:pStyle w:val="p1"/>
        <w:jc w:val="both"/>
        <w:rPr>
          <w:color w:val="auto"/>
          <w:sz w:val="22"/>
          <w:szCs w:val="22"/>
          <w:lang w:val="es-ES"/>
        </w:rPr>
      </w:pPr>
      <w:r w:rsidRPr="00671C88">
        <w:rPr>
          <w:color w:val="auto"/>
          <w:sz w:val="22"/>
          <w:szCs w:val="22"/>
          <w:lang w:val="es-ES"/>
        </w:rPr>
        <w:t xml:space="preserve">Esta AC es de especial importancia dado que los Signatarios del MdE sobre tiburones aún no han incluido al tiburón azul en el Anexo 1 del MdE. Uno de los componentes clave de las Acciones Concertadas es fomentar la cooperación entre las Partes, el intercambio de información y conocimientos, y el desarrollo de estrategias eficaces. Si se pueden repetir los </w:t>
      </w:r>
      <w:r w:rsidRPr="00671C88">
        <w:rPr>
          <w:color w:val="auto"/>
          <w:sz w:val="22"/>
          <w:szCs w:val="22"/>
          <w:lang w:val="es-ES"/>
        </w:rPr>
        <w:lastRenderedPageBreak/>
        <w:t>resultados positivos de conservación y establecer buenas prácticas (como directrices turísticas), esta colaboración resultará mucho más rentable que si cada país labra su propio camino por separado.</w:t>
      </w:r>
    </w:p>
    <w:p w14:paraId="35EE2050" w14:textId="77777777" w:rsidR="0042356F" w:rsidRPr="00671C88" w:rsidRDefault="0042356F" w:rsidP="00843436">
      <w:pPr>
        <w:widowControl w:val="0"/>
        <w:suppressAutoHyphens/>
        <w:autoSpaceDE w:val="0"/>
        <w:autoSpaceDN w:val="0"/>
        <w:spacing w:after="0" w:line="240" w:lineRule="auto"/>
        <w:jc w:val="both"/>
        <w:textAlignment w:val="baseline"/>
        <w:rPr>
          <w:rFonts w:eastAsia="MS Mincho" w:cs="Arial"/>
          <w:b/>
          <w:bCs/>
          <w:lang w:val="es-ES" w:eastAsia="en-GB"/>
        </w:rPr>
      </w:pPr>
    </w:p>
    <w:p w14:paraId="63CE3EB5" w14:textId="536CF1F3" w:rsidR="007E5033" w:rsidRPr="003F0349" w:rsidRDefault="007E5033" w:rsidP="00F0263D">
      <w:pPr>
        <w:widowControl w:val="0"/>
        <w:suppressAutoHyphens/>
        <w:autoSpaceDE w:val="0"/>
        <w:autoSpaceDN w:val="0"/>
        <w:spacing w:after="0" w:line="240" w:lineRule="auto"/>
        <w:jc w:val="both"/>
        <w:textAlignment w:val="baseline"/>
        <w:rPr>
          <w:rFonts w:eastAsia="MS Mincho" w:cs="Arial"/>
          <w:b/>
          <w:bCs/>
          <w:lang w:val="fr-FR" w:eastAsia="en-GB"/>
        </w:rPr>
      </w:pPr>
      <w:r w:rsidRPr="003F0349">
        <w:rPr>
          <w:rFonts w:eastAsia="MS Mincho" w:cs="Arial"/>
          <w:b/>
          <w:bCs/>
          <w:lang w:val="fr-FR" w:eastAsia="es-ES"/>
        </w:rPr>
        <w:t>Referenc</w:t>
      </w:r>
      <w:r w:rsidR="0074394B" w:rsidRPr="003F0349">
        <w:rPr>
          <w:rFonts w:eastAsia="MS Mincho" w:cs="Arial"/>
          <w:b/>
          <w:bCs/>
          <w:lang w:val="fr-FR" w:eastAsia="es-ES"/>
        </w:rPr>
        <w:t>ias</w:t>
      </w:r>
    </w:p>
    <w:p w14:paraId="681F9960" w14:textId="77777777" w:rsidR="00D7498A" w:rsidRPr="003F0349" w:rsidRDefault="00D7498A" w:rsidP="00F0263D">
      <w:pPr>
        <w:widowControl w:val="0"/>
        <w:suppressAutoHyphens/>
        <w:autoSpaceDE w:val="0"/>
        <w:autoSpaceDN w:val="0"/>
        <w:spacing w:after="0" w:line="240" w:lineRule="auto"/>
        <w:jc w:val="both"/>
        <w:textAlignment w:val="baseline"/>
        <w:rPr>
          <w:rFonts w:eastAsia="MS Mincho" w:cs="Arial"/>
          <w:b/>
          <w:bCs/>
          <w:sz w:val="20"/>
          <w:szCs w:val="20"/>
          <w:lang w:val="fr-FR" w:eastAsia="en-GB"/>
        </w:rPr>
      </w:pPr>
    </w:p>
    <w:p w14:paraId="7AE4E852" w14:textId="14EA7A9D" w:rsidR="00D7498A" w:rsidRPr="0074394B" w:rsidRDefault="00D7498A" w:rsidP="00F0263D">
      <w:pPr>
        <w:spacing w:after="80" w:line="240" w:lineRule="auto"/>
        <w:ind w:left="540" w:hanging="540"/>
        <w:jc w:val="both"/>
        <w:rPr>
          <w:rFonts w:eastAsia="Times New Roman" w:cs="Arial"/>
          <w:sz w:val="20"/>
          <w:szCs w:val="20"/>
          <w:lang w:eastAsia="en-GB"/>
        </w:rPr>
      </w:pPr>
      <w:r w:rsidRPr="0074394B">
        <w:rPr>
          <w:rFonts w:eastAsia="Times New Roman" w:cs="Arial"/>
          <w:sz w:val="20"/>
          <w:szCs w:val="20"/>
          <w:lang w:val="fr-FR" w:eastAsia="es-ES"/>
        </w:rPr>
        <w:t>Bailleul, D., Mackenzie, A., Sacchi, O., Poisson, F., Bierne, N., &amp; Arnaud</w:t>
      </w:r>
      <w:r w:rsidRPr="0074394B">
        <w:rPr>
          <w:rFonts w:ascii="Cambria Math" w:eastAsia="Times New Roman" w:hAnsi="Cambria Math" w:cs="Cambria Math"/>
          <w:sz w:val="20"/>
          <w:szCs w:val="20"/>
          <w:lang w:val="fr-FR" w:eastAsia="es-ES"/>
        </w:rPr>
        <w:t>‐</w:t>
      </w:r>
      <w:r w:rsidRPr="0074394B">
        <w:rPr>
          <w:rFonts w:eastAsia="Times New Roman" w:cs="Arial"/>
          <w:sz w:val="20"/>
          <w:szCs w:val="20"/>
          <w:lang w:val="fr-FR" w:eastAsia="es-ES"/>
        </w:rPr>
        <w:t xml:space="preserve">Haond, S. (2018). </w:t>
      </w:r>
      <w:r w:rsidRPr="0074394B">
        <w:rPr>
          <w:rFonts w:eastAsia="Times New Roman" w:cs="Arial"/>
          <w:sz w:val="20"/>
          <w:szCs w:val="20"/>
          <w:lang w:eastAsia="es-ES"/>
        </w:rPr>
        <w:t>Large</w:t>
      </w:r>
      <w:r w:rsidRPr="0074394B">
        <w:rPr>
          <w:rFonts w:ascii="Cambria Math" w:eastAsia="Times New Roman" w:hAnsi="Cambria Math" w:cs="Cambria Math"/>
          <w:sz w:val="20"/>
          <w:szCs w:val="20"/>
          <w:lang w:eastAsia="es-ES"/>
        </w:rPr>
        <w:t>‐</w:t>
      </w:r>
      <w:r w:rsidRPr="0074394B">
        <w:rPr>
          <w:rFonts w:eastAsia="Times New Roman" w:cs="Arial"/>
          <w:sz w:val="20"/>
          <w:szCs w:val="20"/>
          <w:lang w:eastAsia="es-ES"/>
        </w:rPr>
        <w:t>scale</w:t>
      </w:r>
      <w:r w:rsidR="00AB1268" w:rsidRPr="0074394B">
        <w:rPr>
          <w:rFonts w:eastAsia="Times New Roman" w:cs="Arial"/>
          <w:sz w:val="20"/>
          <w:szCs w:val="20"/>
          <w:lang w:eastAsia="es-ES"/>
        </w:rPr>
        <w:t xml:space="preserve"> </w:t>
      </w:r>
      <w:r w:rsidRPr="0074394B">
        <w:rPr>
          <w:rFonts w:eastAsia="Times New Roman" w:cs="Arial"/>
          <w:sz w:val="20"/>
          <w:szCs w:val="20"/>
          <w:lang w:eastAsia="es-ES"/>
        </w:rPr>
        <w:t>genetic panmixia in the blue shark (Prionace glauca): a single worldwide population, or a genetic</w:t>
      </w:r>
      <w:r w:rsidR="00AB1268" w:rsidRPr="0074394B">
        <w:rPr>
          <w:rFonts w:eastAsia="Times New Roman" w:cs="Arial"/>
          <w:sz w:val="20"/>
          <w:szCs w:val="20"/>
          <w:lang w:eastAsia="es-ES"/>
        </w:rPr>
        <w:t xml:space="preserve"> </w:t>
      </w:r>
      <w:r w:rsidRPr="0074394B">
        <w:rPr>
          <w:rFonts w:eastAsia="Times New Roman" w:cs="Arial"/>
          <w:sz w:val="20"/>
          <w:szCs w:val="20"/>
          <w:lang w:eastAsia="es-ES"/>
        </w:rPr>
        <w:t>lag</w:t>
      </w:r>
      <w:r w:rsidRPr="0074394B">
        <w:rPr>
          <w:rFonts w:ascii="Cambria Math" w:eastAsia="Times New Roman" w:hAnsi="Cambria Math" w:cs="Cambria Math"/>
          <w:sz w:val="20"/>
          <w:szCs w:val="20"/>
          <w:lang w:eastAsia="es-ES"/>
        </w:rPr>
        <w:t>‐</w:t>
      </w:r>
      <w:r w:rsidRPr="0074394B">
        <w:rPr>
          <w:rFonts w:eastAsia="Times New Roman" w:cs="Arial"/>
          <w:sz w:val="20"/>
          <w:szCs w:val="20"/>
          <w:lang w:eastAsia="es-ES"/>
        </w:rPr>
        <w:t xml:space="preserve">time effect of the “grey zone” of differentiation?. </w:t>
      </w:r>
      <w:r w:rsidRPr="0074394B">
        <w:rPr>
          <w:rFonts w:eastAsia="Times New Roman" w:cs="Arial"/>
          <w:i/>
          <w:iCs/>
          <w:sz w:val="20"/>
          <w:szCs w:val="20"/>
          <w:lang w:eastAsia="es-ES"/>
        </w:rPr>
        <w:t>Evolutionary Applications</w:t>
      </w:r>
      <w:r w:rsidRPr="0074394B">
        <w:rPr>
          <w:rFonts w:eastAsia="Times New Roman" w:cs="Arial"/>
          <w:sz w:val="20"/>
          <w:szCs w:val="20"/>
          <w:lang w:eastAsia="es-ES"/>
        </w:rPr>
        <w:t xml:space="preserve">, </w:t>
      </w:r>
      <w:r w:rsidRPr="0074394B">
        <w:rPr>
          <w:rFonts w:eastAsia="Times New Roman" w:cs="Arial"/>
          <w:i/>
          <w:iCs/>
          <w:sz w:val="20"/>
          <w:szCs w:val="20"/>
          <w:lang w:eastAsia="es-ES"/>
        </w:rPr>
        <w:t>11</w:t>
      </w:r>
      <w:r w:rsidRPr="0074394B">
        <w:rPr>
          <w:rFonts w:eastAsia="Times New Roman" w:cs="Arial"/>
          <w:sz w:val="20"/>
          <w:szCs w:val="20"/>
          <w:lang w:eastAsia="es-ES"/>
        </w:rPr>
        <w:t>(5), 614-630.</w:t>
      </w:r>
    </w:p>
    <w:p w14:paraId="45D15F33" w14:textId="3FF2E267" w:rsidR="007E5033" w:rsidRPr="0074394B" w:rsidRDefault="007E5033" w:rsidP="00F0263D">
      <w:pPr>
        <w:spacing w:after="80" w:line="240" w:lineRule="auto"/>
        <w:ind w:left="540" w:hanging="540"/>
        <w:jc w:val="both"/>
        <w:rPr>
          <w:rFonts w:eastAsia="Times New Roman" w:cs="Arial"/>
          <w:sz w:val="20"/>
          <w:szCs w:val="20"/>
          <w:lang w:eastAsia="en-GB"/>
        </w:rPr>
      </w:pPr>
      <w:r w:rsidRPr="0074394B">
        <w:rPr>
          <w:rFonts w:eastAsia="Times New Roman" w:cs="Arial"/>
          <w:sz w:val="20"/>
          <w:szCs w:val="20"/>
          <w:lang w:eastAsia="es-ES"/>
        </w:rPr>
        <w:t xml:space="preserve">Ebert, D. A., Dando, M., &amp; Fowler, S. (2021). </w:t>
      </w:r>
      <w:r w:rsidRPr="0074394B">
        <w:rPr>
          <w:rFonts w:eastAsia="Times New Roman" w:cs="Arial"/>
          <w:i/>
          <w:iCs/>
          <w:sz w:val="20"/>
          <w:szCs w:val="20"/>
          <w:lang w:eastAsia="es-ES"/>
        </w:rPr>
        <w:t>Sharks of the world: a complete guide</w:t>
      </w:r>
      <w:r w:rsidRPr="0074394B">
        <w:rPr>
          <w:rFonts w:eastAsia="Times New Roman" w:cs="Arial"/>
          <w:sz w:val="20"/>
          <w:szCs w:val="20"/>
          <w:lang w:eastAsia="es-ES"/>
        </w:rPr>
        <w:t xml:space="preserve"> (Vol. 19). Princeton University Press.</w:t>
      </w:r>
    </w:p>
    <w:p w14:paraId="062F51DC" w14:textId="2F4CA837" w:rsidR="005371FE" w:rsidRPr="0074394B" w:rsidRDefault="005371FE" w:rsidP="00F0263D">
      <w:pPr>
        <w:spacing w:after="80" w:line="240" w:lineRule="auto"/>
        <w:ind w:left="540" w:hanging="540"/>
        <w:jc w:val="both"/>
        <w:rPr>
          <w:rFonts w:cs="Arial"/>
          <w:sz w:val="20"/>
          <w:szCs w:val="20"/>
          <w:shd w:val="clear" w:color="auto" w:fill="FFFFFF"/>
          <w:lang w:val="es-ES"/>
        </w:rPr>
      </w:pPr>
      <w:r w:rsidRPr="0074394B">
        <w:rPr>
          <w:rFonts w:cs="Arial"/>
          <w:sz w:val="20"/>
          <w:szCs w:val="20"/>
          <w:shd w:val="clear" w:color="auto" w:fill="FFFFFF"/>
        </w:rPr>
        <w:t>Howey, L. A., Wetherbee, B. M., Tolentino, E. R., &amp; Shivji, M. S. (2017). Biogeophysical and physiological processes drive movement patterns in a marine predator.</w:t>
      </w:r>
      <w:r w:rsidRPr="0074394B">
        <w:rPr>
          <w:rStyle w:val="apple-converted-space"/>
          <w:rFonts w:cs="Arial"/>
          <w:sz w:val="20"/>
          <w:szCs w:val="20"/>
          <w:shd w:val="clear" w:color="auto" w:fill="FFFFFF"/>
        </w:rPr>
        <w:t> </w:t>
      </w:r>
      <w:r w:rsidRPr="0074394B">
        <w:rPr>
          <w:rFonts w:cs="Arial"/>
          <w:i/>
          <w:iCs/>
          <w:sz w:val="20"/>
          <w:szCs w:val="20"/>
          <w:lang w:val="es-ES"/>
        </w:rPr>
        <w:t>Movement Ecology</w:t>
      </w:r>
      <w:r w:rsidRPr="0074394B">
        <w:rPr>
          <w:rFonts w:cs="Arial"/>
          <w:sz w:val="20"/>
          <w:szCs w:val="20"/>
          <w:shd w:val="clear" w:color="auto" w:fill="FFFFFF"/>
          <w:lang w:val="es-ES"/>
        </w:rPr>
        <w:t>,</w:t>
      </w:r>
      <w:r w:rsidRPr="0074394B">
        <w:rPr>
          <w:rStyle w:val="apple-converted-space"/>
          <w:rFonts w:cs="Arial"/>
          <w:sz w:val="20"/>
          <w:szCs w:val="20"/>
          <w:shd w:val="clear" w:color="auto" w:fill="FFFFFF"/>
          <w:lang w:val="es-ES"/>
        </w:rPr>
        <w:t> </w:t>
      </w:r>
      <w:r w:rsidRPr="0074394B">
        <w:rPr>
          <w:rFonts w:cs="Arial"/>
          <w:i/>
          <w:iCs/>
          <w:sz w:val="20"/>
          <w:szCs w:val="20"/>
          <w:lang w:val="es-ES"/>
        </w:rPr>
        <w:t>5</w:t>
      </w:r>
      <w:r w:rsidRPr="0074394B">
        <w:rPr>
          <w:rFonts w:cs="Arial"/>
          <w:sz w:val="20"/>
          <w:szCs w:val="20"/>
          <w:shd w:val="clear" w:color="auto" w:fill="FFFFFF"/>
          <w:lang w:val="es-ES"/>
        </w:rPr>
        <w:t>(1), 16.</w:t>
      </w:r>
    </w:p>
    <w:p w14:paraId="556B8275" w14:textId="2A53EB7B" w:rsidR="002B6190" w:rsidRPr="00EC198A" w:rsidRDefault="002B6190" w:rsidP="00F0263D">
      <w:pPr>
        <w:spacing w:after="80" w:line="240" w:lineRule="auto"/>
        <w:ind w:left="540" w:hanging="540"/>
        <w:jc w:val="both"/>
        <w:rPr>
          <w:rFonts w:cs="Arial"/>
          <w:sz w:val="20"/>
          <w:szCs w:val="20"/>
        </w:rPr>
      </w:pPr>
      <w:r w:rsidRPr="0074394B">
        <w:rPr>
          <w:rFonts w:cs="Arial"/>
          <w:sz w:val="20"/>
          <w:szCs w:val="20"/>
          <w:lang w:val="es-ES"/>
        </w:rPr>
        <w:t xml:space="preserve">Queiroz, N., Humphries, N. E., Couto, A., Vedor, M., Da Costa, I., Sequeira, A. M., ... </w:t>
      </w:r>
      <w:r w:rsidRPr="0074394B">
        <w:rPr>
          <w:rFonts w:cs="Arial"/>
          <w:sz w:val="20"/>
          <w:szCs w:val="20"/>
        </w:rPr>
        <w:t xml:space="preserve">&amp; Sousa, L. L. (2019). Global spatial risk assessment of sharks under the footprint of fisheries. </w:t>
      </w:r>
      <w:r w:rsidRPr="00EC198A">
        <w:rPr>
          <w:rFonts w:cs="Arial"/>
          <w:sz w:val="20"/>
          <w:szCs w:val="20"/>
        </w:rPr>
        <w:t>Nature, 572(7770), 461-466.</w:t>
      </w:r>
    </w:p>
    <w:p w14:paraId="7BE7BCDE" w14:textId="70499D46" w:rsidR="0084078E" w:rsidRPr="0074394B" w:rsidRDefault="000B79AE" w:rsidP="00F0263D">
      <w:pPr>
        <w:spacing w:after="80" w:line="240" w:lineRule="auto"/>
        <w:ind w:left="540" w:hanging="540"/>
        <w:jc w:val="both"/>
        <w:rPr>
          <w:rFonts w:cs="Arial"/>
          <w:sz w:val="20"/>
          <w:szCs w:val="20"/>
          <w:shd w:val="clear" w:color="auto" w:fill="FFFFFF"/>
        </w:rPr>
      </w:pPr>
      <w:r w:rsidRPr="0074394B">
        <w:rPr>
          <w:rFonts w:cs="Arial"/>
          <w:sz w:val="20"/>
          <w:szCs w:val="20"/>
        </w:rPr>
        <w:t>Li, W. W., Kindong, R., Wu, F., Tian, S. Q., &amp; Dai, X. J. (2020). Catch rate and stock status of blue shark in the Pacific Ocean inferred from fishery-independent data.</w:t>
      </w:r>
    </w:p>
    <w:p w14:paraId="294F9BF1" w14:textId="3C45143A" w:rsidR="008F6053" w:rsidRPr="0074394B" w:rsidRDefault="008F6053" w:rsidP="00F0263D">
      <w:pPr>
        <w:spacing w:after="80" w:line="240" w:lineRule="auto"/>
        <w:ind w:left="540" w:hanging="540"/>
        <w:jc w:val="both"/>
        <w:rPr>
          <w:rFonts w:cs="Arial"/>
          <w:sz w:val="20"/>
          <w:szCs w:val="20"/>
          <w:shd w:val="clear" w:color="auto" w:fill="FFFFFF"/>
        </w:rPr>
      </w:pPr>
      <w:r w:rsidRPr="0074394B">
        <w:rPr>
          <w:rFonts w:cs="Arial"/>
          <w:sz w:val="20"/>
          <w:szCs w:val="20"/>
        </w:rPr>
        <w:t xml:space="preserve">Mundy-Taylor, V., Crook, V., Foster, S., Fowler, S., Sant, G., &amp; Rice, J. (2014). CITES </w:t>
      </w:r>
      <w:r w:rsidR="004A5842" w:rsidRPr="0074394B">
        <w:rPr>
          <w:rFonts w:cs="Arial"/>
          <w:sz w:val="20"/>
          <w:szCs w:val="20"/>
        </w:rPr>
        <w:br/>
      </w:r>
      <w:r w:rsidRPr="0074394B">
        <w:rPr>
          <w:rFonts w:cs="Arial"/>
          <w:sz w:val="20"/>
          <w:szCs w:val="20"/>
        </w:rPr>
        <w:t>Non-detriment findings guidance for shark species. A Framework to assist Authorities in making Non-detriment Findings (NDFs) for species listed in CITES Appendix II. Report prepared for the Germany Federal Agency for Nature Conservation (Bundesamt für Naturschutz, BfN).</w:t>
      </w:r>
    </w:p>
    <w:p w14:paraId="399C5792" w14:textId="21C14255" w:rsidR="00AB1268" w:rsidRPr="0074394B" w:rsidRDefault="00AB1268" w:rsidP="00F0263D">
      <w:pPr>
        <w:spacing w:after="80" w:line="240" w:lineRule="auto"/>
        <w:ind w:left="540" w:hanging="540"/>
        <w:jc w:val="both"/>
        <w:rPr>
          <w:rFonts w:eastAsia="Times New Roman" w:cs="Arial"/>
          <w:sz w:val="20"/>
          <w:szCs w:val="20"/>
          <w:lang w:val="es-ES" w:eastAsia="en-GB"/>
        </w:rPr>
      </w:pPr>
      <w:r w:rsidRPr="0074394B">
        <w:rPr>
          <w:rFonts w:eastAsia="Times New Roman" w:cs="Arial"/>
          <w:sz w:val="20"/>
          <w:szCs w:val="20"/>
          <w:lang w:eastAsia="es-ES"/>
        </w:rPr>
        <w:t>Nikolic, N., Devloo</w:t>
      </w:r>
      <w:r w:rsidRPr="0074394B">
        <w:rPr>
          <w:rFonts w:ascii="Cambria Math" w:eastAsia="Times New Roman" w:hAnsi="Cambria Math" w:cs="Cambria Math"/>
          <w:sz w:val="20"/>
          <w:szCs w:val="20"/>
          <w:lang w:eastAsia="es-ES"/>
        </w:rPr>
        <w:t>‐</w:t>
      </w:r>
      <w:r w:rsidRPr="0074394B">
        <w:rPr>
          <w:rFonts w:eastAsia="Times New Roman" w:cs="Arial"/>
          <w:sz w:val="20"/>
          <w:szCs w:val="20"/>
          <w:lang w:eastAsia="es-ES"/>
        </w:rPr>
        <w:t>Delva, F., Bailleul, D., Noskova, E., Rougeux, C., Delord, C., &amp; Arnaud</w:t>
      </w:r>
      <w:r w:rsidRPr="0074394B">
        <w:rPr>
          <w:rFonts w:ascii="Cambria Math" w:eastAsia="Times New Roman" w:hAnsi="Cambria Math" w:cs="Cambria Math"/>
          <w:sz w:val="20"/>
          <w:szCs w:val="20"/>
          <w:lang w:eastAsia="es-ES"/>
        </w:rPr>
        <w:t>‐</w:t>
      </w:r>
      <w:r w:rsidRPr="0074394B">
        <w:rPr>
          <w:rFonts w:eastAsia="Times New Roman" w:cs="Arial"/>
          <w:sz w:val="20"/>
          <w:szCs w:val="20"/>
          <w:lang w:eastAsia="es-ES"/>
        </w:rPr>
        <w:t>Haond, S.</w:t>
      </w:r>
      <w:r w:rsidR="00995A6E" w:rsidRPr="0074394B">
        <w:rPr>
          <w:rFonts w:eastAsia="Times New Roman" w:cs="Arial"/>
          <w:sz w:val="20"/>
          <w:szCs w:val="20"/>
          <w:lang w:eastAsia="es-ES"/>
        </w:rPr>
        <w:t xml:space="preserve"> </w:t>
      </w:r>
      <w:r w:rsidRPr="0074394B">
        <w:rPr>
          <w:rFonts w:eastAsia="Times New Roman" w:cs="Arial"/>
          <w:sz w:val="20"/>
          <w:szCs w:val="20"/>
          <w:lang w:eastAsia="es-ES"/>
        </w:rPr>
        <w:t>(2023). Stepping up to genome scan allows stock differentiation in the worldwide distributed blue</w:t>
      </w:r>
      <w:r w:rsidR="00995A6E" w:rsidRPr="0074394B">
        <w:rPr>
          <w:rFonts w:eastAsia="Times New Roman" w:cs="Arial"/>
          <w:sz w:val="20"/>
          <w:szCs w:val="20"/>
          <w:lang w:eastAsia="es-ES"/>
        </w:rPr>
        <w:t xml:space="preserve"> </w:t>
      </w:r>
      <w:r w:rsidRPr="0074394B">
        <w:rPr>
          <w:rFonts w:eastAsia="Times New Roman" w:cs="Arial"/>
          <w:sz w:val="20"/>
          <w:szCs w:val="20"/>
          <w:lang w:eastAsia="es-ES"/>
        </w:rPr>
        <w:t xml:space="preserve">shark Prionace glauca. </w:t>
      </w:r>
      <w:r w:rsidRPr="0074394B">
        <w:rPr>
          <w:rFonts w:eastAsia="Times New Roman" w:cs="Arial"/>
          <w:i/>
          <w:iCs/>
          <w:sz w:val="20"/>
          <w:szCs w:val="20"/>
          <w:lang w:val="es-ES" w:eastAsia="es-ES"/>
        </w:rPr>
        <w:t>Molecular Ecology</w:t>
      </w:r>
      <w:r w:rsidRPr="0074394B">
        <w:rPr>
          <w:rFonts w:eastAsia="Times New Roman" w:cs="Arial"/>
          <w:sz w:val="20"/>
          <w:szCs w:val="20"/>
          <w:lang w:val="es-ES" w:eastAsia="es-ES"/>
        </w:rPr>
        <w:t xml:space="preserve">, </w:t>
      </w:r>
      <w:r w:rsidRPr="0074394B">
        <w:rPr>
          <w:rFonts w:eastAsia="Times New Roman" w:cs="Arial"/>
          <w:i/>
          <w:iCs/>
          <w:sz w:val="20"/>
          <w:szCs w:val="20"/>
          <w:lang w:val="es-ES" w:eastAsia="es-ES"/>
        </w:rPr>
        <w:t>32</w:t>
      </w:r>
      <w:r w:rsidRPr="0074394B">
        <w:rPr>
          <w:rFonts w:eastAsia="Times New Roman" w:cs="Arial"/>
          <w:sz w:val="20"/>
          <w:szCs w:val="20"/>
          <w:lang w:val="es-ES" w:eastAsia="es-ES"/>
        </w:rPr>
        <w:t>(5), 1000-1019.</w:t>
      </w:r>
    </w:p>
    <w:p w14:paraId="1207A9E8" w14:textId="180DB557" w:rsidR="00995A6E" w:rsidRPr="0074394B" w:rsidRDefault="00995A6E" w:rsidP="00F0263D">
      <w:pPr>
        <w:spacing w:after="80" w:line="240" w:lineRule="auto"/>
        <w:ind w:left="540" w:hanging="540"/>
        <w:jc w:val="both"/>
        <w:rPr>
          <w:rFonts w:cs="Arial"/>
          <w:sz w:val="20"/>
          <w:szCs w:val="20"/>
          <w:shd w:val="clear" w:color="auto" w:fill="FFFFFF"/>
        </w:rPr>
      </w:pPr>
      <w:r w:rsidRPr="0074394B">
        <w:rPr>
          <w:rFonts w:cs="Arial"/>
          <w:sz w:val="20"/>
          <w:szCs w:val="20"/>
          <w:bdr w:val="none" w:sz="0" w:space="0" w:color="auto" w:frame="1"/>
          <w:lang w:val="es-ES"/>
        </w:rPr>
        <w:t>Polo-Silva, C.J., Blanco-Parra, M.P., Barrera-Garcia, A., Araujo, G. &amp; Scotts, G. 2025.</w:t>
      </w:r>
      <w:r w:rsidRPr="0074394B">
        <w:rPr>
          <w:rStyle w:val="apple-converted-space"/>
          <w:rFonts w:cs="Arial"/>
          <w:sz w:val="20"/>
          <w:szCs w:val="20"/>
          <w:bdr w:val="none" w:sz="0" w:space="0" w:color="auto" w:frame="1"/>
          <w:lang w:val="es-ES"/>
        </w:rPr>
        <w:t> </w:t>
      </w:r>
      <w:r w:rsidRPr="0074394B">
        <w:rPr>
          <w:rFonts w:cs="Arial"/>
          <w:i/>
          <w:iCs/>
          <w:sz w:val="20"/>
          <w:szCs w:val="20"/>
          <w:bdr w:val="none" w:sz="0" w:space="0" w:color="auto" w:frame="1"/>
        </w:rPr>
        <w:t>Prionace glauca</w:t>
      </w:r>
      <w:r w:rsidRPr="0074394B">
        <w:rPr>
          <w:rStyle w:val="apple-converted-space"/>
          <w:rFonts w:cs="Arial"/>
          <w:sz w:val="20"/>
          <w:szCs w:val="20"/>
          <w:bdr w:val="none" w:sz="0" w:space="0" w:color="auto" w:frame="1"/>
        </w:rPr>
        <w:t> </w:t>
      </w:r>
      <w:r w:rsidRPr="0074394B">
        <w:rPr>
          <w:rFonts w:cs="Arial"/>
          <w:sz w:val="20"/>
          <w:szCs w:val="20"/>
          <w:bdr w:val="none" w:sz="0" w:space="0" w:color="auto" w:frame="1"/>
        </w:rPr>
        <w:t>(Green Status assessment).</w:t>
      </w:r>
      <w:r w:rsidRPr="0074394B">
        <w:rPr>
          <w:rStyle w:val="apple-converted-space"/>
          <w:rFonts w:cs="Arial"/>
          <w:sz w:val="20"/>
          <w:szCs w:val="20"/>
          <w:bdr w:val="none" w:sz="0" w:space="0" w:color="auto" w:frame="1"/>
        </w:rPr>
        <w:t> </w:t>
      </w:r>
      <w:r w:rsidRPr="0074394B">
        <w:rPr>
          <w:rFonts w:cs="Arial"/>
          <w:i/>
          <w:iCs/>
          <w:sz w:val="20"/>
          <w:szCs w:val="20"/>
          <w:bdr w:val="none" w:sz="0" w:space="0" w:color="auto" w:frame="1"/>
        </w:rPr>
        <w:t>The IUCN Red List of Threatened Species</w:t>
      </w:r>
      <w:r w:rsidRPr="0074394B">
        <w:rPr>
          <w:rStyle w:val="apple-converted-space"/>
          <w:rFonts w:cs="Arial"/>
          <w:sz w:val="20"/>
          <w:szCs w:val="20"/>
          <w:bdr w:val="none" w:sz="0" w:space="0" w:color="auto" w:frame="1"/>
        </w:rPr>
        <w:t> </w:t>
      </w:r>
      <w:r w:rsidRPr="0074394B">
        <w:rPr>
          <w:rFonts w:cs="Arial"/>
          <w:sz w:val="20"/>
          <w:szCs w:val="20"/>
          <w:bdr w:val="none" w:sz="0" w:space="0" w:color="auto" w:frame="1"/>
        </w:rPr>
        <w:t>2025: e.T39381A3938120252.</w:t>
      </w:r>
      <w:r w:rsidR="0084078E" w:rsidRPr="0074394B">
        <w:rPr>
          <w:rFonts w:cs="Arial"/>
          <w:sz w:val="20"/>
          <w:szCs w:val="20"/>
          <w:bdr w:val="none" w:sz="0" w:space="0" w:color="auto" w:frame="1"/>
        </w:rPr>
        <w:t xml:space="preserve"> </w:t>
      </w:r>
      <w:r w:rsidRPr="0074394B">
        <w:rPr>
          <w:rFonts w:cs="Arial"/>
          <w:sz w:val="20"/>
          <w:szCs w:val="20"/>
          <w:shd w:val="clear" w:color="auto" w:fill="FFFFFF"/>
        </w:rPr>
        <w:t>Accessed on</w:t>
      </w:r>
      <w:r w:rsidRPr="0074394B">
        <w:rPr>
          <w:rStyle w:val="apple-converted-space"/>
          <w:rFonts w:cs="Arial"/>
          <w:sz w:val="20"/>
          <w:szCs w:val="20"/>
          <w:shd w:val="clear" w:color="auto" w:fill="FFFFFF"/>
        </w:rPr>
        <w:t> </w:t>
      </w:r>
      <w:r w:rsidRPr="0074394B">
        <w:rPr>
          <w:rFonts w:cs="Arial"/>
          <w:sz w:val="20"/>
          <w:szCs w:val="20"/>
          <w:shd w:val="clear" w:color="auto" w:fill="FFFFFF"/>
        </w:rPr>
        <w:t>20 October 2025.</w:t>
      </w:r>
    </w:p>
    <w:p w14:paraId="2128F081" w14:textId="05776060" w:rsidR="0084078E" w:rsidRDefault="0084078E" w:rsidP="00F0263D">
      <w:pPr>
        <w:spacing w:after="80" w:line="240" w:lineRule="auto"/>
        <w:ind w:left="540" w:hanging="540"/>
        <w:jc w:val="both"/>
        <w:rPr>
          <w:rFonts w:cs="Arial"/>
          <w:sz w:val="20"/>
          <w:szCs w:val="20"/>
        </w:rPr>
      </w:pPr>
      <w:r w:rsidRPr="0074394B">
        <w:rPr>
          <w:rFonts w:cs="Arial"/>
          <w:sz w:val="20"/>
          <w:szCs w:val="20"/>
        </w:rPr>
        <w:t>Rigby, C. L., Barreto, R., Carlson, J., Fernando, D., Fordham, S., Francis, M. P., ... &amp; Winker, H. (2019). Prionace glauca. The IUCN Red List of Threatened Species, 2019-3.</w:t>
      </w:r>
    </w:p>
    <w:p w14:paraId="37DB7E4D" w14:textId="7A8914D4" w:rsidR="000D257B" w:rsidRPr="0074394B" w:rsidRDefault="000D257B" w:rsidP="00F0263D">
      <w:pPr>
        <w:spacing w:after="80" w:line="240" w:lineRule="auto"/>
        <w:ind w:left="540" w:hanging="540"/>
        <w:jc w:val="both"/>
        <w:rPr>
          <w:rFonts w:eastAsia="Times New Roman" w:cs="Arial"/>
          <w:sz w:val="20"/>
          <w:szCs w:val="20"/>
          <w:lang w:eastAsia="en-GB"/>
        </w:rPr>
      </w:pPr>
      <w:r w:rsidRPr="000D257B">
        <w:rPr>
          <w:rFonts w:eastAsia="Times New Roman" w:cs="Arial"/>
          <w:sz w:val="20"/>
          <w:szCs w:val="20"/>
          <w:lang w:val="de-DE" w:eastAsia="en-GB"/>
        </w:rPr>
        <w:t xml:space="preserve">Simpfendorfer, C. A., &amp; Dulvy, N. K. (2017). </w:t>
      </w:r>
      <w:r w:rsidRPr="00FC70F6">
        <w:rPr>
          <w:rFonts w:eastAsia="Times New Roman" w:cs="Arial"/>
          <w:sz w:val="20"/>
          <w:szCs w:val="20"/>
          <w:lang w:val="en-GB" w:eastAsia="en-GB"/>
        </w:rPr>
        <w:t>Bright spots of sustainable shark fishing. Current Biology, 27(3), R97-R98</w:t>
      </w:r>
    </w:p>
    <w:p w14:paraId="21F30FB5" w14:textId="45CEAACC" w:rsidR="00AB1268" w:rsidRPr="00671C88" w:rsidRDefault="00AB1268" w:rsidP="00F0263D">
      <w:pPr>
        <w:spacing w:after="0" w:line="240" w:lineRule="auto"/>
        <w:ind w:left="540" w:hanging="540"/>
        <w:jc w:val="both"/>
        <w:rPr>
          <w:rFonts w:eastAsia="Times New Roman" w:cs="Arial"/>
          <w:sz w:val="20"/>
          <w:szCs w:val="20"/>
          <w:lang w:val="es-ES" w:eastAsia="en-GB"/>
        </w:rPr>
      </w:pPr>
      <w:r w:rsidRPr="003F0349">
        <w:rPr>
          <w:rFonts w:eastAsia="Times New Roman" w:cs="Arial"/>
          <w:sz w:val="20"/>
          <w:szCs w:val="20"/>
          <w:lang w:eastAsia="es-ES"/>
        </w:rPr>
        <w:t xml:space="preserve">Veríssimo, A., Sampaio, Í., McDowell, J. R., Alexandrino, P., Mucientes, G., Queiroz, N., ... </w:t>
      </w:r>
      <w:r w:rsidRPr="0074394B">
        <w:rPr>
          <w:rFonts w:eastAsia="Times New Roman" w:cs="Arial"/>
          <w:sz w:val="20"/>
          <w:szCs w:val="20"/>
          <w:lang w:eastAsia="es-ES"/>
        </w:rPr>
        <w:t>&amp; Noble, L.</w:t>
      </w:r>
      <w:r w:rsidR="00995A6E" w:rsidRPr="0074394B">
        <w:rPr>
          <w:rFonts w:eastAsia="Times New Roman" w:cs="Arial"/>
          <w:sz w:val="20"/>
          <w:szCs w:val="20"/>
          <w:lang w:eastAsia="es-ES"/>
        </w:rPr>
        <w:t xml:space="preserve"> </w:t>
      </w:r>
      <w:r w:rsidRPr="0074394B">
        <w:rPr>
          <w:rFonts w:eastAsia="Times New Roman" w:cs="Arial"/>
          <w:sz w:val="20"/>
          <w:szCs w:val="20"/>
          <w:lang w:eastAsia="es-ES"/>
        </w:rPr>
        <w:t>R. (2017). World without borders—genetic population structure of a highly migratory marine</w:t>
      </w:r>
      <w:r w:rsidR="00995A6E" w:rsidRPr="0074394B">
        <w:rPr>
          <w:rFonts w:eastAsia="Times New Roman" w:cs="Arial"/>
          <w:sz w:val="20"/>
          <w:szCs w:val="20"/>
          <w:lang w:eastAsia="es-ES"/>
        </w:rPr>
        <w:t xml:space="preserve"> </w:t>
      </w:r>
      <w:r w:rsidRPr="0074394B">
        <w:rPr>
          <w:rFonts w:eastAsia="Times New Roman" w:cs="Arial"/>
          <w:sz w:val="20"/>
          <w:szCs w:val="20"/>
          <w:lang w:eastAsia="es-ES"/>
        </w:rPr>
        <w:t xml:space="preserve">predator, the blue shark (Prionace glauca). </w:t>
      </w:r>
      <w:r w:rsidRPr="0074394B">
        <w:rPr>
          <w:rFonts w:eastAsia="Times New Roman" w:cs="Arial"/>
          <w:i/>
          <w:iCs/>
          <w:sz w:val="20"/>
          <w:szCs w:val="20"/>
          <w:lang w:val="es-ES" w:eastAsia="es-ES"/>
        </w:rPr>
        <w:t>Ecology and Evolution</w:t>
      </w:r>
      <w:r w:rsidRPr="0074394B">
        <w:rPr>
          <w:rFonts w:eastAsia="Times New Roman" w:cs="Arial"/>
          <w:sz w:val="20"/>
          <w:szCs w:val="20"/>
          <w:lang w:val="es-ES" w:eastAsia="es-ES"/>
        </w:rPr>
        <w:t xml:space="preserve">, </w:t>
      </w:r>
      <w:r w:rsidRPr="0074394B">
        <w:rPr>
          <w:rFonts w:eastAsia="Times New Roman" w:cs="Arial"/>
          <w:i/>
          <w:iCs/>
          <w:sz w:val="20"/>
          <w:szCs w:val="20"/>
          <w:lang w:val="es-ES" w:eastAsia="es-ES"/>
        </w:rPr>
        <w:t>7</w:t>
      </w:r>
      <w:r w:rsidRPr="0074394B">
        <w:rPr>
          <w:rFonts w:eastAsia="Times New Roman" w:cs="Arial"/>
          <w:sz w:val="20"/>
          <w:szCs w:val="20"/>
          <w:lang w:val="es-ES" w:eastAsia="es-ES"/>
        </w:rPr>
        <w:t>(13), 4768-4781.</w:t>
      </w:r>
    </w:p>
    <w:p w14:paraId="4E732B6D" w14:textId="6817A657" w:rsidR="00F0263D" w:rsidRPr="00671C88" w:rsidRDefault="00F0263D" w:rsidP="00F0263D">
      <w:pPr>
        <w:spacing w:after="0" w:line="240" w:lineRule="auto"/>
        <w:rPr>
          <w:rFonts w:eastAsia="Times New Roman" w:cs="Arial"/>
          <w:lang w:val="es-ES" w:eastAsia="en-GB"/>
        </w:rPr>
      </w:pPr>
    </w:p>
    <w:p w14:paraId="4D126670" w14:textId="77777777" w:rsidR="00560225" w:rsidRPr="00671C88" w:rsidRDefault="00560225">
      <w:pPr>
        <w:rPr>
          <w:rFonts w:eastAsia="MS Mincho" w:cs="Arial"/>
          <w:b/>
          <w:lang w:val="es-ES" w:eastAsia="en-GB"/>
        </w:rPr>
      </w:pPr>
      <w:r w:rsidRPr="00671C88">
        <w:rPr>
          <w:rFonts w:eastAsia="MS Mincho" w:cs="Arial"/>
          <w:b/>
          <w:lang w:val="es-ES" w:eastAsia="es-ES"/>
        </w:rPr>
        <w:br w:type="page"/>
      </w:r>
    </w:p>
    <w:p w14:paraId="74D17B09" w14:textId="6DAAD09F" w:rsidR="00130068" w:rsidRPr="00671C88" w:rsidRDefault="00843436" w:rsidP="00F0263D">
      <w:pPr>
        <w:widowControl w:val="0"/>
        <w:suppressAutoHyphens/>
        <w:autoSpaceDE w:val="0"/>
        <w:autoSpaceDN w:val="0"/>
        <w:spacing w:after="0" w:line="240" w:lineRule="auto"/>
        <w:jc w:val="both"/>
        <w:textAlignment w:val="baseline"/>
        <w:rPr>
          <w:rFonts w:eastAsia="MS Mincho" w:cs="Arial"/>
          <w:b/>
          <w:lang w:val="es-ES" w:eastAsia="en-GB"/>
        </w:rPr>
      </w:pPr>
      <w:r w:rsidRPr="00671C88">
        <w:rPr>
          <w:rFonts w:eastAsia="MS Mincho" w:cs="Arial"/>
          <w:b/>
          <w:lang w:val="es-ES" w:eastAsia="es-ES"/>
        </w:rPr>
        <w:lastRenderedPageBreak/>
        <w:t>Consultas previstas/realizadas</w:t>
      </w:r>
    </w:p>
    <w:p w14:paraId="68ED8D4D" w14:textId="77777777" w:rsidR="00130068" w:rsidRPr="00671C88" w:rsidRDefault="00130068" w:rsidP="00F0263D">
      <w:pPr>
        <w:widowControl w:val="0"/>
        <w:suppressAutoHyphens/>
        <w:autoSpaceDE w:val="0"/>
        <w:autoSpaceDN w:val="0"/>
        <w:spacing w:after="0" w:line="240" w:lineRule="auto"/>
        <w:jc w:val="both"/>
        <w:textAlignment w:val="baseline"/>
        <w:rPr>
          <w:rFonts w:eastAsia="MS Mincho" w:cs="Arial"/>
          <w:b/>
          <w:lang w:val="es-ES" w:eastAsia="en-GB"/>
        </w:rPr>
      </w:pPr>
    </w:p>
    <w:p w14:paraId="7B333C22" w14:textId="67B6D72C" w:rsidR="00843436" w:rsidRPr="00671C88" w:rsidRDefault="00D240CD" w:rsidP="00F0263D">
      <w:pPr>
        <w:widowControl w:val="0"/>
        <w:suppressAutoHyphens/>
        <w:autoSpaceDE w:val="0"/>
        <w:autoSpaceDN w:val="0"/>
        <w:spacing w:after="0" w:line="240" w:lineRule="auto"/>
        <w:jc w:val="both"/>
        <w:textAlignment w:val="baseline"/>
        <w:rPr>
          <w:rFonts w:eastAsia="Times New Roman" w:cs="Arial"/>
          <w:lang w:val="es-ES"/>
        </w:rPr>
      </w:pPr>
      <w:r w:rsidRPr="00671C88">
        <w:rPr>
          <w:rFonts w:eastAsia="Times New Roman" w:cs="Arial"/>
          <w:bCs/>
          <w:lang w:val="es-ES"/>
        </w:rPr>
        <w:t>Las actividades se pusieron en marcha tras la Acción Concertada inicial, adoptada durante la COP14 (UNEP/CMS/Acción Concertada 14.6). Aún están en curso las consultas con expertos para obtener información sobre las actividades específicas y los resultados que se describen a continuación. El plazo para la aplicación de la AC es breve, por lo que se propone la prórroga o renovación de todas las actividades en el marco de esta nueva propuesta de AC.</w:t>
      </w:r>
    </w:p>
    <w:p w14:paraId="29BCB2F0" w14:textId="77777777" w:rsidR="00995A6E" w:rsidRPr="00671C88" w:rsidRDefault="00995A6E" w:rsidP="00843436">
      <w:pPr>
        <w:widowControl w:val="0"/>
        <w:suppressAutoHyphens/>
        <w:autoSpaceDE w:val="0"/>
        <w:autoSpaceDN w:val="0"/>
        <w:spacing w:after="0" w:line="240" w:lineRule="auto"/>
        <w:jc w:val="both"/>
        <w:textAlignment w:val="baseline"/>
        <w:rPr>
          <w:rFonts w:eastAsia="Times New Roman" w:cs="Arial"/>
          <w:b/>
          <w:bCs/>
          <w:u w:val="single"/>
          <w:lang w:val="es-ES"/>
        </w:rPr>
      </w:pPr>
    </w:p>
    <w:p w14:paraId="30ADDFEB" w14:textId="77777777" w:rsidR="006453C5" w:rsidRPr="00671C88" w:rsidRDefault="006453C5" w:rsidP="00843436">
      <w:pPr>
        <w:widowControl w:val="0"/>
        <w:suppressAutoHyphens/>
        <w:autoSpaceDE w:val="0"/>
        <w:autoSpaceDN w:val="0"/>
        <w:spacing w:after="0" w:line="240" w:lineRule="auto"/>
        <w:jc w:val="both"/>
        <w:textAlignment w:val="baseline"/>
        <w:rPr>
          <w:rFonts w:eastAsia="Times New Roman" w:cs="Arial"/>
          <w:b/>
          <w:bCs/>
          <w:u w:val="single"/>
          <w:lang w:val="es-ES"/>
        </w:rPr>
        <w:sectPr w:rsidR="006453C5" w:rsidRPr="00671C88" w:rsidSect="00D93628">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20" w:footer="720" w:gutter="0"/>
          <w:cols w:space="720"/>
          <w:titlePg/>
          <w:docGrid w:linePitch="360"/>
        </w:sectPr>
      </w:pPr>
    </w:p>
    <w:p w14:paraId="7796D9E9" w14:textId="52AFEA2C" w:rsidR="00843436" w:rsidRPr="00671C88" w:rsidRDefault="006A5E4C" w:rsidP="00843436">
      <w:pPr>
        <w:widowControl w:val="0"/>
        <w:suppressAutoHyphens/>
        <w:autoSpaceDE w:val="0"/>
        <w:autoSpaceDN w:val="0"/>
        <w:spacing w:after="0" w:line="240" w:lineRule="auto"/>
        <w:jc w:val="both"/>
        <w:textAlignment w:val="baseline"/>
        <w:rPr>
          <w:rFonts w:eastAsia="Times New Roman" w:cs="Arial"/>
          <w:b/>
          <w:bCs/>
          <w:u w:val="single"/>
          <w:lang w:val="es-ES"/>
        </w:rPr>
      </w:pPr>
      <w:r w:rsidRPr="00671C88">
        <w:rPr>
          <w:rFonts w:eastAsia="Times New Roman" w:cs="Arial"/>
          <w:b/>
          <w:bCs/>
          <w:u w:val="single"/>
          <w:lang w:val="es-ES"/>
        </w:rPr>
        <w:lastRenderedPageBreak/>
        <w:t>Anexo: Actividades y resultados previstos</w:t>
      </w:r>
    </w:p>
    <w:p w14:paraId="7132BFB2" w14:textId="77777777" w:rsidR="00843436" w:rsidRPr="00671C88" w:rsidRDefault="00843436" w:rsidP="00843436">
      <w:pPr>
        <w:widowControl w:val="0"/>
        <w:suppressAutoHyphens/>
        <w:autoSpaceDE w:val="0"/>
        <w:autoSpaceDN w:val="0"/>
        <w:spacing w:after="0" w:line="240" w:lineRule="auto"/>
        <w:jc w:val="both"/>
        <w:textAlignment w:val="baseline"/>
        <w:rPr>
          <w:rFonts w:eastAsia="Times New Roman" w:cs="Arial"/>
          <w:lang w:val="es-ES"/>
        </w:rPr>
      </w:pPr>
    </w:p>
    <w:tbl>
      <w:tblPr>
        <w:tblStyle w:val="TableGrid1"/>
        <w:tblW w:w="14035" w:type="dxa"/>
        <w:tblLayout w:type="fixed"/>
        <w:tblCellMar>
          <w:top w:w="28" w:type="dxa"/>
          <w:left w:w="28" w:type="dxa"/>
          <w:bottom w:w="28" w:type="dxa"/>
          <w:right w:w="28" w:type="dxa"/>
        </w:tblCellMar>
        <w:tblLook w:val="04A0" w:firstRow="1" w:lastRow="0" w:firstColumn="1" w:lastColumn="0" w:noHBand="0" w:noVBand="1"/>
      </w:tblPr>
      <w:tblGrid>
        <w:gridCol w:w="587"/>
        <w:gridCol w:w="4808"/>
        <w:gridCol w:w="3600"/>
        <w:gridCol w:w="1348"/>
        <w:gridCol w:w="1985"/>
        <w:gridCol w:w="1707"/>
      </w:tblGrid>
      <w:tr w:rsidR="004A5842" w:rsidRPr="00671C88" w14:paraId="6642AE67" w14:textId="77777777" w:rsidTr="006A5E4C">
        <w:trPr>
          <w:tblHeader/>
        </w:trPr>
        <w:tc>
          <w:tcPr>
            <w:tcW w:w="5395" w:type="dxa"/>
            <w:gridSpan w:val="2"/>
          </w:tcPr>
          <w:p w14:paraId="42F0F9D6" w14:textId="285D9181"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Actividad</w:t>
            </w:r>
          </w:p>
        </w:tc>
        <w:tc>
          <w:tcPr>
            <w:tcW w:w="3600" w:type="dxa"/>
          </w:tcPr>
          <w:p w14:paraId="31AD6F6B" w14:textId="77777777"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Realizaciones/Resultados</w:t>
            </w:r>
          </w:p>
        </w:tc>
        <w:tc>
          <w:tcPr>
            <w:tcW w:w="1348" w:type="dxa"/>
          </w:tcPr>
          <w:p w14:paraId="65982C31" w14:textId="77777777"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Calendario</w:t>
            </w:r>
          </w:p>
        </w:tc>
        <w:tc>
          <w:tcPr>
            <w:tcW w:w="1985" w:type="dxa"/>
          </w:tcPr>
          <w:p w14:paraId="19E44937" w14:textId="77777777"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Responsabilidad</w:t>
            </w:r>
          </w:p>
        </w:tc>
        <w:tc>
          <w:tcPr>
            <w:tcW w:w="1707" w:type="dxa"/>
          </w:tcPr>
          <w:p w14:paraId="65D98EA8" w14:textId="77777777"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Fondos</w:t>
            </w:r>
          </w:p>
        </w:tc>
      </w:tr>
      <w:tr w:rsidR="004A5842" w:rsidRPr="00671C88" w14:paraId="59290219" w14:textId="77777777" w:rsidTr="006453C5">
        <w:tc>
          <w:tcPr>
            <w:tcW w:w="14035" w:type="dxa"/>
            <w:gridSpan w:val="6"/>
          </w:tcPr>
          <w:p w14:paraId="604BDB4D" w14:textId="4479E128" w:rsidR="00C84318" w:rsidRPr="00671C88" w:rsidRDefault="00C84318" w:rsidP="006453C5">
            <w:pPr>
              <w:rPr>
                <w:rFonts w:ascii="Arial" w:hAnsi="Arial" w:cs="Arial"/>
                <w:b/>
                <w:bCs/>
                <w:sz w:val="22"/>
                <w:szCs w:val="22"/>
                <w:lang w:val="es-ES"/>
              </w:rPr>
            </w:pPr>
            <w:r w:rsidRPr="00671C88">
              <w:rPr>
                <w:rFonts w:ascii="Arial" w:hAnsi="Arial" w:cs="Arial"/>
                <w:b/>
                <w:bCs/>
                <w:sz w:val="22"/>
                <w:szCs w:val="22"/>
                <w:lang w:val="es-ES"/>
              </w:rPr>
              <w:t>Gestión</w:t>
            </w:r>
          </w:p>
        </w:tc>
      </w:tr>
      <w:tr w:rsidR="004A5842" w:rsidRPr="00671C88" w14:paraId="20B4DE38" w14:textId="77777777" w:rsidTr="006A5E4C">
        <w:tc>
          <w:tcPr>
            <w:tcW w:w="587" w:type="dxa"/>
          </w:tcPr>
          <w:p w14:paraId="0BFFB357" w14:textId="4D72057A" w:rsidR="00C84318" w:rsidRPr="00671C88" w:rsidRDefault="00C84318" w:rsidP="003D5895">
            <w:pPr>
              <w:jc w:val="both"/>
              <w:rPr>
                <w:rFonts w:ascii="Arial" w:hAnsi="Arial" w:cs="Arial"/>
                <w:sz w:val="22"/>
                <w:szCs w:val="22"/>
                <w:lang w:val="es-ES"/>
              </w:rPr>
            </w:pPr>
            <w:r w:rsidRPr="00671C88">
              <w:rPr>
                <w:rFonts w:ascii="Arial" w:hAnsi="Arial" w:cs="Arial"/>
                <w:sz w:val="22"/>
                <w:szCs w:val="22"/>
                <w:lang w:val="es-ES"/>
              </w:rPr>
              <w:t>1.</w:t>
            </w:r>
          </w:p>
        </w:tc>
        <w:tc>
          <w:tcPr>
            <w:tcW w:w="4808" w:type="dxa"/>
          </w:tcPr>
          <w:p w14:paraId="15424CDB" w14:textId="5FB5EFBC" w:rsidR="00C84318" w:rsidRPr="00671C88" w:rsidRDefault="00C84318" w:rsidP="003D5895">
            <w:pPr>
              <w:jc w:val="both"/>
              <w:rPr>
                <w:rFonts w:ascii="Arial" w:hAnsi="Arial" w:cs="Arial"/>
                <w:sz w:val="22"/>
                <w:szCs w:val="22"/>
                <w:lang w:val="es-ES"/>
              </w:rPr>
            </w:pPr>
            <w:r w:rsidRPr="00671C88">
              <w:rPr>
                <w:rFonts w:ascii="Arial" w:hAnsi="Arial" w:cs="Arial"/>
                <w:sz w:val="22"/>
                <w:szCs w:val="22"/>
                <w:lang w:val="es-ES"/>
              </w:rPr>
              <w:t>Alentar a las Partes a seguir colaborando con otros acuerdos multilaterales sobre medioambiente, órganos regionales de pesca y otras entidades pertinentes para mejorar la gestión del tiburón azul, incluido el desarrollo de una Estrategia y Plan de Acción para la Conservación de Tiburones y Rayas Pelágicos del Grupo de Especialistas en Tiburones de la Comisión de Supervivencia de Especies de la UICN (SSG de la CSE de la UICN), en cooperación con el Memorando de Entendimiento sobre los Tiburones (MdE sobre tiburones).</w:t>
            </w:r>
          </w:p>
        </w:tc>
        <w:tc>
          <w:tcPr>
            <w:tcW w:w="3600" w:type="dxa"/>
          </w:tcPr>
          <w:p w14:paraId="2B8B23E2" w14:textId="109BDAF1" w:rsidR="00C84318" w:rsidRPr="00671C88" w:rsidRDefault="006453C5" w:rsidP="003D5895">
            <w:pPr>
              <w:jc w:val="both"/>
              <w:rPr>
                <w:rFonts w:ascii="Arial" w:hAnsi="Arial" w:cs="Arial"/>
                <w:sz w:val="22"/>
                <w:szCs w:val="22"/>
                <w:lang w:val="es-ES"/>
              </w:rPr>
            </w:pPr>
            <w:r w:rsidRPr="00671C88">
              <w:rPr>
                <w:rFonts w:ascii="Arial" w:hAnsi="Arial" w:cs="Arial"/>
                <w:sz w:val="22"/>
                <w:szCs w:val="22"/>
                <w:lang w:val="es-ES"/>
              </w:rPr>
              <w:t>Mayor atención a las necesidades de conservación del tiburón azul.</w:t>
            </w:r>
          </w:p>
        </w:tc>
        <w:tc>
          <w:tcPr>
            <w:tcW w:w="1348" w:type="dxa"/>
          </w:tcPr>
          <w:p w14:paraId="13EC6308" w14:textId="2C123102" w:rsidR="00C84318" w:rsidRPr="00671C88" w:rsidRDefault="008042C3" w:rsidP="003D5895">
            <w:pPr>
              <w:jc w:val="both"/>
              <w:rPr>
                <w:rFonts w:ascii="Arial" w:hAnsi="Arial" w:cs="Arial"/>
                <w:sz w:val="22"/>
                <w:szCs w:val="22"/>
                <w:lang w:val="es-ES"/>
              </w:rPr>
            </w:pPr>
            <w:r w:rsidRPr="00671C88">
              <w:rPr>
                <w:rFonts w:ascii="Arial" w:hAnsi="Arial" w:cs="Arial"/>
                <w:sz w:val="22"/>
                <w:szCs w:val="22"/>
                <w:lang w:val="es-ES"/>
              </w:rPr>
              <w:t>2026-2029</w:t>
            </w:r>
          </w:p>
        </w:tc>
        <w:tc>
          <w:tcPr>
            <w:tcW w:w="1985" w:type="dxa"/>
          </w:tcPr>
          <w:p w14:paraId="6E9FD9C8" w14:textId="42D269BD" w:rsidR="00C84318" w:rsidRPr="00671C88" w:rsidRDefault="008042C3" w:rsidP="003D5895">
            <w:pPr>
              <w:jc w:val="both"/>
              <w:rPr>
                <w:rFonts w:ascii="Arial" w:hAnsi="Arial" w:cs="Arial"/>
                <w:sz w:val="22"/>
                <w:szCs w:val="22"/>
                <w:lang w:val="es-ES"/>
              </w:rPr>
            </w:pPr>
            <w:r w:rsidRPr="00671C88">
              <w:rPr>
                <w:rFonts w:ascii="Arial" w:hAnsi="Arial" w:cs="Arial"/>
                <w:sz w:val="22"/>
                <w:szCs w:val="22"/>
                <w:lang w:val="es-ES"/>
              </w:rPr>
              <w:t>ONG, expertos</w:t>
            </w:r>
          </w:p>
        </w:tc>
        <w:tc>
          <w:tcPr>
            <w:tcW w:w="1707" w:type="dxa"/>
          </w:tcPr>
          <w:p w14:paraId="0572D07C" w14:textId="75691F29" w:rsidR="00C84318" w:rsidRPr="00671C88" w:rsidRDefault="009731EE" w:rsidP="003D5895">
            <w:pPr>
              <w:jc w:val="both"/>
              <w:rPr>
                <w:rFonts w:ascii="Arial" w:hAnsi="Arial" w:cs="Arial"/>
                <w:sz w:val="22"/>
                <w:szCs w:val="22"/>
                <w:lang w:val="es-ES"/>
              </w:rPr>
            </w:pPr>
            <w:r w:rsidRPr="00671C88">
              <w:rPr>
                <w:rFonts w:ascii="Arial" w:hAnsi="Arial" w:cs="Arial"/>
                <w:sz w:val="22"/>
                <w:szCs w:val="22"/>
                <w:lang w:val="es-ES"/>
              </w:rPr>
              <w:t>n. a.</w:t>
            </w:r>
          </w:p>
        </w:tc>
      </w:tr>
      <w:tr w:rsidR="004A5842" w:rsidRPr="00671C88" w14:paraId="4793C46F" w14:textId="77777777" w:rsidTr="006453C5">
        <w:tc>
          <w:tcPr>
            <w:tcW w:w="14035" w:type="dxa"/>
            <w:gridSpan w:val="6"/>
          </w:tcPr>
          <w:p w14:paraId="6C81B899" w14:textId="535D770D" w:rsidR="0083085C" w:rsidRPr="00671C88" w:rsidRDefault="0083085C" w:rsidP="003D5895">
            <w:pPr>
              <w:jc w:val="both"/>
              <w:rPr>
                <w:rFonts w:ascii="Arial" w:hAnsi="Arial" w:cs="Arial"/>
                <w:b/>
                <w:bCs/>
                <w:sz w:val="22"/>
                <w:szCs w:val="22"/>
                <w:lang w:val="es-ES"/>
              </w:rPr>
            </w:pPr>
            <w:r w:rsidRPr="00671C88">
              <w:rPr>
                <w:rFonts w:ascii="Arial" w:hAnsi="Arial" w:cs="Arial"/>
                <w:b/>
                <w:bCs/>
                <w:sz w:val="22"/>
                <w:szCs w:val="22"/>
                <w:lang w:val="es-ES"/>
              </w:rPr>
              <w:t>Turismo sostenible</w:t>
            </w:r>
          </w:p>
        </w:tc>
      </w:tr>
      <w:tr w:rsidR="004A5842" w:rsidRPr="00671C88" w14:paraId="31907A37" w14:textId="77777777" w:rsidTr="006A5E4C">
        <w:tc>
          <w:tcPr>
            <w:tcW w:w="587" w:type="dxa"/>
          </w:tcPr>
          <w:p w14:paraId="75E6D353" w14:textId="7206F7AE" w:rsidR="0083085C" w:rsidRPr="00671C88" w:rsidRDefault="0083085C" w:rsidP="003D5895">
            <w:pPr>
              <w:jc w:val="both"/>
              <w:rPr>
                <w:rFonts w:ascii="Arial" w:hAnsi="Arial" w:cs="Arial"/>
                <w:sz w:val="22"/>
                <w:szCs w:val="22"/>
                <w:lang w:val="es-ES"/>
              </w:rPr>
            </w:pPr>
            <w:r w:rsidRPr="00671C88">
              <w:rPr>
                <w:rFonts w:ascii="Arial" w:hAnsi="Arial" w:cs="Arial"/>
                <w:sz w:val="22"/>
                <w:szCs w:val="22"/>
                <w:lang w:val="es-ES"/>
              </w:rPr>
              <w:t>2.</w:t>
            </w:r>
          </w:p>
        </w:tc>
        <w:tc>
          <w:tcPr>
            <w:tcW w:w="4808" w:type="dxa"/>
          </w:tcPr>
          <w:p w14:paraId="33460BAB" w14:textId="53F176BC" w:rsidR="0083085C" w:rsidRPr="00671C88" w:rsidRDefault="0013188F" w:rsidP="003D5895">
            <w:pPr>
              <w:jc w:val="both"/>
              <w:rPr>
                <w:rFonts w:ascii="Arial" w:hAnsi="Arial" w:cs="Arial"/>
                <w:sz w:val="22"/>
                <w:szCs w:val="22"/>
                <w:lang w:val="es-ES"/>
              </w:rPr>
            </w:pPr>
            <w:r w:rsidRPr="00671C88">
              <w:rPr>
                <w:rFonts w:ascii="Arial" w:hAnsi="Arial" w:cs="Arial"/>
                <w:sz w:val="22"/>
                <w:szCs w:val="22"/>
                <w:lang w:val="es-ES"/>
              </w:rPr>
              <w:t>Desarrollar directrices internacionales de países con turismo de tiburones azules consolidado (por ejemplo, Azores, Reino Unido, Sudáfrica)</w:t>
            </w:r>
            <w:r w:rsidR="006634BD">
              <w:rPr>
                <w:rFonts w:ascii="Arial" w:hAnsi="Arial" w:cs="Arial"/>
                <w:sz w:val="22"/>
                <w:szCs w:val="22"/>
                <w:lang w:val="es-ES"/>
              </w:rPr>
              <w:t xml:space="preserve"> en línea con las directrices de Turismo de la CMS</w:t>
            </w:r>
            <w:r w:rsidRPr="00671C88">
              <w:rPr>
                <w:rFonts w:ascii="Arial" w:hAnsi="Arial" w:cs="Arial"/>
                <w:sz w:val="22"/>
                <w:szCs w:val="22"/>
                <w:lang w:val="es-ES"/>
              </w:rPr>
              <w:t>.</w:t>
            </w:r>
          </w:p>
        </w:tc>
        <w:tc>
          <w:tcPr>
            <w:tcW w:w="3600" w:type="dxa"/>
          </w:tcPr>
          <w:p w14:paraId="213A63FB" w14:textId="56B3560E" w:rsidR="0083085C" w:rsidRPr="00671C88" w:rsidRDefault="0013188F" w:rsidP="003D5895">
            <w:pPr>
              <w:jc w:val="both"/>
              <w:rPr>
                <w:rFonts w:ascii="Arial" w:hAnsi="Arial" w:cs="Arial"/>
                <w:sz w:val="22"/>
                <w:szCs w:val="22"/>
                <w:lang w:val="es-ES"/>
              </w:rPr>
            </w:pPr>
            <w:r w:rsidRPr="00671C88">
              <w:rPr>
                <w:rFonts w:ascii="Arial" w:hAnsi="Arial" w:cs="Arial"/>
                <w:sz w:val="22"/>
                <w:szCs w:val="22"/>
                <w:lang w:val="es-ES"/>
              </w:rPr>
              <w:t xml:space="preserve">Establecer protocolos para una interacción turística responsable con el tiburón </w:t>
            </w:r>
            <w:r w:rsidR="006634BD">
              <w:rPr>
                <w:rFonts w:ascii="Arial" w:hAnsi="Arial" w:cs="Arial"/>
                <w:sz w:val="22"/>
                <w:szCs w:val="22"/>
                <w:lang w:val="es-ES"/>
              </w:rPr>
              <w:t xml:space="preserve">azul en </w:t>
            </w:r>
            <w:r w:rsidR="008E4973">
              <w:rPr>
                <w:rFonts w:ascii="Arial" w:hAnsi="Arial" w:cs="Arial"/>
                <w:sz w:val="22"/>
                <w:szCs w:val="22"/>
                <w:lang w:val="es-ES"/>
              </w:rPr>
              <w:t>línea con las directrices de Turismo de la CMS</w:t>
            </w:r>
            <w:r w:rsidRPr="00671C88">
              <w:rPr>
                <w:rFonts w:ascii="Arial" w:hAnsi="Arial" w:cs="Arial"/>
                <w:sz w:val="22"/>
                <w:szCs w:val="22"/>
                <w:lang w:val="es-ES"/>
              </w:rPr>
              <w:t>.</w:t>
            </w:r>
          </w:p>
        </w:tc>
        <w:tc>
          <w:tcPr>
            <w:tcW w:w="1348" w:type="dxa"/>
          </w:tcPr>
          <w:p w14:paraId="581A6B40" w14:textId="50EED90A" w:rsidR="0083085C" w:rsidRPr="00671C88" w:rsidRDefault="00C274B7" w:rsidP="003D5895">
            <w:pPr>
              <w:jc w:val="both"/>
              <w:rPr>
                <w:rFonts w:ascii="Arial" w:hAnsi="Arial" w:cs="Arial"/>
                <w:sz w:val="22"/>
                <w:szCs w:val="22"/>
                <w:lang w:val="es-ES"/>
              </w:rPr>
            </w:pPr>
            <w:r w:rsidRPr="00671C88">
              <w:rPr>
                <w:rFonts w:ascii="Arial" w:hAnsi="Arial" w:cs="Arial"/>
                <w:sz w:val="22"/>
                <w:szCs w:val="22"/>
                <w:lang w:val="es-ES"/>
              </w:rPr>
              <w:t>2026-2029</w:t>
            </w:r>
          </w:p>
        </w:tc>
        <w:tc>
          <w:tcPr>
            <w:tcW w:w="1985" w:type="dxa"/>
          </w:tcPr>
          <w:p w14:paraId="089152A4" w14:textId="48925CA5" w:rsidR="0083085C" w:rsidRPr="00671C88" w:rsidRDefault="00C274B7" w:rsidP="003D5895">
            <w:pPr>
              <w:jc w:val="both"/>
              <w:rPr>
                <w:rFonts w:ascii="Arial" w:hAnsi="Arial" w:cs="Arial"/>
                <w:sz w:val="22"/>
                <w:szCs w:val="22"/>
                <w:lang w:val="es-ES"/>
              </w:rPr>
            </w:pPr>
            <w:r w:rsidRPr="00671C88">
              <w:rPr>
                <w:rFonts w:ascii="Arial" w:hAnsi="Arial" w:cs="Arial"/>
                <w:sz w:val="22"/>
                <w:szCs w:val="22"/>
                <w:lang w:val="es-ES"/>
              </w:rPr>
              <w:t>ONG, expertos</w:t>
            </w:r>
          </w:p>
        </w:tc>
        <w:tc>
          <w:tcPr>
            <w:tcW w:w="1707" w:type="dxa"/>
          </w:tcPr>
          <w:p w14:paraId="4A1C0FA1" w14:textId="673243C8" w:rsidR="0083085C" w:rsidRPr="00671C88" w:rsidRDefault="009731EE" w:rsidP="003D5895">
            <w:pPr>
              <w:jc w:val="both"/>
              <w:rPr>
                <w:rFonts w:ascii="Arial" w:hAnsi="Arial" w:cs="Arial"/>
                <w:sz w:val="22"/>
                <w:szCs w:val="22"/>
                <w:lang w:val="es-ES"/>
              </w:rPr>
            </w:pPr>
            <w:r w:rsidRPr="00671C88">
              <w:rPr>
                <w:rFonts w:ascii="Arial" w:hAnsi="Arial" w:cs="Arial"/>
                <w:sz w:val="22"/>
                <w:szCs w:val="22"/>
                <w:lang w:val="es-ES"/>
              </w:rPr>
              <w:t>Garfield Weston Foundation/</w:t>
            </w:r>
            <w:r w:rsidRPr="00671C88">
              <w:rPr>
                <w:rFonts w:ascii="Arial" w:hAnsi="Arial" w:cs="Arial"/>
                <w:sz w:val="22"/>
                <w:szCs w:val="22"/>
                <w:lang w:val="es-ES"/>
              </w:rPr>
              <w:br/>
              <w:t>MARECO</w:t>
            </w:r>
          </w:p>
        </w:tc>
      </w:tr>
      <w:tr w:rsidR="004A5842" w:rsidRPr="00671C88" w14:paraId="6998B920" w14:textId="77777777" w:rsidTr="006453C5">
        <w:tc>
          <w:tcPr>
            <w:tcW w:w="14035" w:type="dxa"/>
            <w:gridSpan w:val="6"/>
          </w:tcPr>
          <w:p w14:paraId="68D90B70" w14:textId="187DFA82" w:rsidR="005D3709" w:rsidRPr="00671C88" w:rsidRDefault="005D3709" w:rsidP="003D5895">
            <w:pPr>
              <w:jc w:val="both"/>
              <w:rPr>
                <w:rFonts w:ascii="Arial" w:hAnsi="Arial" w:cs="Arial"/>
                <w:b/>
                <w:bCs/>
                <w:sz w:val="22"/>
                <w:szCs w:val="22"/>
                <w:lang w:val="es-ES"/>
              </w:rPr>
            </w:pPr>
            <w:r w:rsidRPr="00671C88">
              <w:rPr>
                <w:rFonts w:ascii="Arial" w:hAnsi="Arial" w:cs="Arial"/>
                <w:b/>
                <w:bCs/>
                <w:sz w:val="22"/>
                <w:szCs w:val="22"/>
                <w:lang w:val="es-ES"/>
              </w:rPr>
              <w:t>Investigación</w:t>
            </w:r>
          </w:p>
        </w:tc>
      </w:tr>
      <w:tr w:rsidR="004A5842" w:rsidRPr="00671C88" w14:paraId="3465F8A9" w14:textId="77777777" w:rsidTr="006A5E4C">
        <w:tc>
          <w:tcPr>
            <w:tcW w:w="587" w:type="dxa"/>
          </w:tcPr>
          <w:p w14:paraId="6ED3C9D7" w14:textId="4555B81C" w:rsidR="005D3709" w:rsidRPr="00671C88" w:rsidRDefault="003562AB" w:rsidP="003D5895">
            <w:pPr>
              <w:jc w:val="both"/>
              <w:rPr>
                <w:rFonts w:ascii="Arial" w:hAnsi="Arial" w:cs="Arial"/>
                <w:sz w:val="22"/>
                <w:szCs w:val="22"/>
                <w:lang w:val="es-ES"/>
              </w:rPr>
            </w:pPr>
            <w:r w:rsidRPr="00671C88">
              <w:rPr>
                <w:rFonts w:ascii="Arial" w:hAnsi="Arial" w:cs="Arial"/>
                <w:sz w:val="22"/>
                <w:szCs w:val="22"/>
                <w:lang w:val="es-ES"/>
              </w:rPr>
              <w:t>3.</w:t>
            </w:r>
          </w:p>
        </w:tc>
        <w:tc>
          <w:tcPr>
            <w:tcW w:w="4808" w:type="dxa"/>
          </w:tcPr>
          <w:p w14:paraId="4DF33045" w14:textId="364A195E" w:rsidR="005D3709" w:rsidRPr="00671C88" w:rsidRDefault="00B469C3" w:rsidP="003D5895">
            <w:pPr>
              <w:jc w:val="both"/>
              <w:rPr>
                <w:rFonts w:ascii="Arial" w:hAnsi="Arial" w:cs="Arial"/>
                <w:sz w:val="22"/>
                <w:szCs w:val="22"/>
                <w:lang w:val="es-ES"/>
              </w:rPr>
            </w:pPr>
            <w:r w:rsidRPr="00671C88">
              <w:rPr>
                <w:rFonts w:ascii="Arial" w:hAnsi="Arial" w:cs="Arial"/>
                <w:sz w:val="22"/>
                <w:szCs w:val="22"/>
                <w:lang w:val="es-ES"/>
              </w:rPr>
              <w:t>Apoyar la evaluación del impacto de la pesca en las interacciones con el tiburón azul (mortalidad inducida por la pesca, descartes</w:t>
            </w:r>
            <w:r w:rsidR="00D06541">
              <w:rPr>
                <w:rFonts w:ascii="Arial" w:hAnsi="Arial" w:cs="Arial"/>
                <w:sz w:val="22"/>
                <w:szCs w:val="22"/>
                <w:lang w:val="es-ES"/>
              </w:rPr>
              <w:t xml:space="preserve"> de la pesca no objetivo</w:t>
            </w:r>
            <w:r w:rsidRPr="00671C88">
              <w:rPr>
                <w:rFonts w:ascii="Arial" w:hAnsi="Arial" w:cs="Arial"/>
                <w:sz w:val="22"/>
                <w:szCs w:val="22"/>
                <w:lang w:val="es-ES"/>
              </w:rPr>
              <w:t xml:space="preserve"> para diseñar estrategias de mitigación y facilitar la evaluación de la mortalidad tras su liberación en todas las regiones, grupos demográficos y artes de pesca.</w:t>
            </w:r>
          </w:p>
        </w:tc>
        <w:tc>
          <w:tcPr>
            <w:tcW w:w="3600" w:type="dxa"/>
          </w:tcPr>
          <w:p w14:paraId="1AFFA8F3" w14:textId="0B53FD7B" w:rsidR="00B469C3" w:rsidRPr="00671C88" w:rsidRDefault="00751341" w:rsidP="003D5895">
            <w:pPr>
              <w:pStyle w:val="ListParagraph"/>
              <w:numPr>
                <w:ilvl w:val="0"/>
                <w:numId w:val="17"/>
              </w:numPr>
              <w:ind w:hanging="612"/>
              <w:jc w:val="both"/>
              <w:rPr>
                <w:rFonts w:ascii="Arial" w:hAnsi="Arial" w:cs="Arial"/>
                <w:sz w:val="22"/>
                <w:szCs w:val="22"/>
                <w:lang w:val="es-ES"/>
              </w:rPr>
            </w:pPr>
            <w:r w:rsidRPr="00671C88">
              <w:rPr>
                <w:rFonts w:ascii="Arial" w:hAnsi="Arial" w:cs="Arial"/>
                <w:sz w:val="22"/>
                <w:szCs w:val="22"/>
                <w:lang w:val="es-ES"/>
              </w:rPr>
              <w:t>Determinación de las tasas de incidencia y mortalidad de las interacciones.</w:t>
            </w:r>
          </w:p>
          <w:p w14:paraId="4E7B29B2" w14:textId="701F5008" w:rsidR="00B469C3" w:rsidRPr="00671C88" w:rsidRDefault="00B469C3" w:rsidP="003D5895">
            <w:pPr>
              <w:pStyle w:val="ListParagraph"/>
              <w:numPr>
                <w:ilvl w:val="0"/>
                <w:numId w:val="17"/>
              </w:numPr>
              <w:ind w:hanging="612"/>
              <w:jc w:val="both"/>
              <w:rPr>
                <w:rFonts w:ascii="Arial" w:hAnsi="Arial" w:cs="Arial"/>
                <w:sz w:val="22"/>
                <w:szCs w:val="22"/>
                <w:lang w:val="es-ES"/>
              </w:rPr>
            </w:pPr>
            <w:r w:rsidRPr="00671C88">
              <w:rPr>
                <w:rFonts w:ascii="Arial" w:hAnsi="Arial" w:cs="Arial"/>
                <w:sz w:val="22"/>
                <w:szCs w:val="22"/>
                <w:lang w:val="es-ES"/>
              </w:rPr>
              <w:t>Propuestas para reducir el riesgo de interacciones producidas con los tiburones azules</w:t>
            </w:r>
            <w:r w:rsidR="008F664D">
              <w:rPr>
                <w:rFonts w:ascii="Arial" w:hAnsi="Arial" w:cs="Arial"/>
                <w:sz w:val="22"/>
                <w:szCs w:val="22"/>
                <w:lang w:val="es-ES"/>
              </w:rPr>
              <w:t xml:space="preserve"> que no son pesca objetivo</w:t>
            </w:r>
            <w:r w:rsidRPr="00671C88">
              <w:rPr>
                <w:rFonts w:ascii="Arial" w:hAnsi="Arial" w:cs="Arial"/>
                <w:sz w:val="22"/>
                <w:szCs w:val="22"/>
                <w:lang w:val="es-ES"/>
              </w:rPr>
              <w:t>.</w:t>
            </w:r>
          </w:p>
          <w:p w14:paraId="1BFFE7C7" w14:textId="2AAF976E" w:rsidR="00B469C3" w:rsidRPr="00671C88" w:rsidRDefault="00B469C3" w:rsidP="003D5895">
            <w:pPr>
              <w:pStyle w:val="ListParagraph"/>
              <w:numPr>
                <w:ilvl w:val="0"/>
                <w:numId w:val="17"/>
              </w:numPr>
              <w:ind w:hanging="612"/>
              <w:jc w:val="both"/>
              <w:rPr>
                <w:rFonts w:ascii="Arial" w:hAnsi="Arial" w:cs="Arial"/>
                <w:sz w:val="22"/>
                <w:szCs w:val="22"/>
                <w:lang w:val="es-ES"/>
              </w:rPr>
            </w:pPr>
            <w:r w:rsidRPr="00671C88">
              <w:rPr>
                <w:rFonts w:ascii="Arial" w:hAnsi="Arial" w:cs="Arial"/>
                <w:sz w:val="22"/>
                <w:szCs w:val="22"/>
                <w:lang w:val="es-ES"/>
              </w:rPr>
              <w:t xml:space="preserve">Evaluación de los efectos de la interacción pesquera en </w:t>
            </w:r>
            <w:r w:rsidRPr="00671C88">
              <w:rPr>
                <w:rFonts w:ascii="Arial" w:hAnsi="Arial" w:cs="Arial"/>
                <w:sz w:val="22"/>
                <w:szCs w:val="22"/>
                <w:lang w:val="es-ES"/>
              </w:rPr>
              <w:lastRenderedPageBreak/>
              <w:t>las poblaciones de tiburón azul.</w:t>
            </w:r>
          </w:p>
          <w:p w14:paraId="058FA7F4" w14:textId="29125125" w:rsidR="005D3709" w:rsidRPr="00671C88" w:rsidRDefault="00B469C3" w:rsidP="003D5895">
            <w:pPr>
              <w:pStyle w:val="ListParagraph"/>
              <w:numPr>
                <w:ilvl w:val="0"/>
                <w:numId w:val="17"/>
              </w:numPr>
              <w:ind w:hanging="612"/>
              <w:jc w:val="both"/>
              <w:rPr>
                <w:rFonts w:ascii="Arial" w:hAnsi="Arial" w:cs="Arial"/>
                <w:sz w:val="22"/>
                <w:szCs w:val="22"/>
                <w:lang w:val="es-ES"/>
              </w:rPr>
            </w:pPr>
            <w:r w:rsidRPr="00671C88">
              <w:rPr>
                <w:rFonts w:ascii="Arial" w:hAnsi="Arial" w:cs="Arial"/>
                <w:sz w:val="22"/>
                <w:szCs w:val="22"/>
                <w:lang w:val="es-ES"/>
              </w:rPr>
              <w:t>Determinación de la supervivencia de los tiburones azules tras su liberación.</w:t>
            </w:r>
          </w:p>
        </w:tc>
        <w:tc>
          <w:tcPr>
            <w:tcW w:w="1348" w:type="dxa"/>
          </w:tcPr>
          <w:p w14:paraId="732AE9CB" w14:textId="5C14696D" w:rsidR="005D3709" w:rsidRPr="00671C88" w:rsidRDefault="00751341" w:rsidP="003D5895">
            <w:pPr>
              <w:jc w:val="both"/>
              <w:rPr>
                <w:rFonts w:ascii="Arial" w:hAnsi="Arial" w:cs="Arial"/>
                <w:sz w:val="22"/>
                <w:szCs w:val="22"/>
                <w:lang w:val="es-ES"/>
              </w:rPr>
            </w:pPr>
            <w:r w:rsidRPr="00671C88">
              <w:rPr>
                <w:rFonts w:ascii="Arial" w:hAnsi="Arial" w:cs="Arial"/>
                <w:sz w:val="22"/>
                <w:szCs w:val="22"/>
                <w:lang w:val="es-ES"/>
              </w:rPr>
              <w:lastRenderedPageBreak/>
              <w:t>2026-2029</w:t>
            </w:r>
          </w:p>
        </w:tc>
        <w:tc>
          <w:tcPr>
            <w:tcW w:w="1985" w:type="dxa"/>
          </w:tcPr>
          <w:p w14:paraId="50580CC0" w14:textId="10949252" w:rsidR="005D3709" w:rsidRPr="00671C88" w:rsidRDefault="00751341" w:rsidP="003D5895">
            <w:pPr>
              <w:jc w:val="both"/>
              <w:rPr>
                <w:rFonts w:ascii="Arial" w:hAnsi="Arial" w:cs="Arial"/>
                <w:sz w:val="22"/>
                <w:szCs w:val="22"/>
                <w:lang w:val="es-ES"/>
              </w:rPr>
            </w:pPr>
            <w:r w:rsidRPr="00671C88">
              <w:rPr>
                <w:rFonts w:ascii="Arial" w:hAnsi="Arial" w:cs="Arial"/>
                <w:sz w:val="22"/>
                <w:szCs w:val="22"/>
                <w:lang w:val="es-ES"/>
              </w:rPr>
              <w:t xml:space="preserve">Partes de la CMS </w:t>
            </w:r>
            <w:r w:rsidRPr="00671C88">
              <w:rPr>
                <w:rFonts w:ascii="Arial" w:hAnsi="Arial" w:cs="Arial"/>
                <w:sz w:val="22"/>
                <w:szCs w:val="22"/>
                <w:lang w:val="es-ES"/>
              </w:rPr>
              <w:br/>
              <w:t>(y Estados no-Parte del área de distribución)</w:t>
            </w:r>
            <w:r w:rsidR="00111476">
              <w:rPr>
                <w:rFonts w:ascii="Arial" w:hAnsi="Arial" w:cs="Arial"/>
                <w:sz w:val="22"/>
                <w:szCs w:val="22"/>
                <w:lang w:val="es-ES"/>
              </w:rPr>
              <w:t xml:space="preserve">, </w:t>
            </w:r>
            <w:r w:rsidR="00111476" w:rsidRPr="00111476">
              <w:rPr>
                <w:rFonts w:ascii="Arial" w:hAnsi="Arial" w:cs="Arial"/>
                <w:sz w:val="22"/>
                <w:szCs w:val="22"/>
                <w:lang w:val="es-ES"/>
              </w:rPr>
              <w:t>Órganos científicos de las OROP y grupos de trabajo sobre tiburones.</w:t>
            </w:r>
          </w:p>
        </w:tc>
        <w:tc>
          <w:tcPr>
            <w:tcW w:w="1707" w:type="dxa"/>
          </w:tcPr>
          <w:p w14:paraId="5CEE1344" w14:textId="27BC1007" w:rsidR="005D3709" w:rsidRPr="00671C88" w:rsidRDefault="009731EE" w:rsidP="003D5895">
            <w:pPr>
              <w:jc w:val="both"/>
              <w:rPr>
                <w:rFonts w:ascii="Arial" w:hAnsi="Arial" w:cs="Arial"/>
                <w:sz w:val="22"/>
                <w:szCs w:val="22"/>
                <w:lang w:val="es-ES"/>
              </w:rPr>
            </w:pPr>
            <w:r w:rsidRPr="00671C88">
              <w:rPr>
                <w:rFonts w:ascii="Arial" w:hAnsi="Arial" w:cs="Arial"/>
                <w:sz w:val="22"/>
                <w:szCs w:val="22"/>
                <w:lang w:val="es-ES"/>
              </w:rPr>
              <w:t>n. a.</w:t>
            </w:r>
          </w:p>
        </w:tc>
      </w:tr>
      <w:tr w:rsidR="004A5842" w:rsidRPr="00671C88" w14:paraId="07D3C254" w14:textId="77777777" w:rsidTr="006A5E4C">
        <w:tc>
          <w:tcPr>
            <w:tcW w:w="587" w:type="dxa"/>
          </w:tcPr>
          <w:p w14:paraId="74625915" w14:textId="58BB2DD2" w:rsidR="003562AB" w:rsidRPr="00671C88" w:rsidRDefault="003562AB" w:rsidP="003D5895">
            <w:pPr>
              <w:jc w:val="both"/>
              <w:rPr>
                <w:rFonts w:ascii="Arial" w:hAnsi="Arial" w:cs="Arial"/>
                <w:sz w:val="22"/>
                <w:szCs w:val="22"/>
                <w:lang w:val="es-ES"/>
              </w:rPr>
            </w:pPr>
            <w:r w:rsidRPr="00671C88">
              <w:rPr>
                <w:rFonts w:ascii="Arial" w:hAnsi="Arial" w:cs="Arial"/>
                <w:sz w:val="22"/>
                <w:szCs w:val="22"/>
                <w:lang w:val="es-ES"/>
              </w:rPr>
              <w:t>4.</w:t>
            </w:r>
          </w:p>
        </w:tc>
        <w:tc>
          <w:tcPr>
            <w:tcW w:w="4808" w:type="dxa"/>
          </w:tcPr>
          <w:p w14:paraId="7C008219" w14:textId="61C98DF8" w:rsidR="003562AB" w:rsidRPr="00671C88" w:rsidRDefault="00AD7A32" w:rsidP="003D5895">
            <w:pPr>
              <w:jc w:val="both"/>
              <w:rPr>
                <w:rFonts w:ascii="Arial" w:hAnsi="Arial" w:cs="Arial"/>
                <w:sz w:val="22"/>
                <w:szCs w:val="22"/>
                <w:lang w:val="es-ES"/>
              </w:rPr>
            </w:pPr>
            <w:r w:rsidRPr="00671C88">
              <w:rPr>
                <w:rFonts w:ascii="Arial" w:hAnsi="Arial" w:cs="Arial"/>
                <w:sz w:val="22"/>
                <w:szCs w:val="22"/>
                <w:lang w:val="es-ES"/>
              </w:rPr>
              <w:t>Apoyar la identificación de subpoblaciones y diferencias genéticas (para respaldar los TAC regionales mediante datos independientes de la pesca)</w:t>
            </w:r>
            <w:r w:rsidR="00B82E5F" w:rsidRPr="00671C88">
              <w:rPr>
                <w:rFonts w:ascii="Arial" w:hAnsi="Arial" w:cs="Arial"/>
                <w:sz w:val="22"/>
                <w:szCs w:val="22"/>
                <w:lang w:val="es-ES"/>
              </w:rPr>
              <w:t>.</w:t>
            </w:r>
            <w:r w:rsidRPr="00671C88">
              <w:rPr>
                <w:rFonts w:ascii="Arial" w:hAnsi="Arial" w:cs="Arial"/>
                <w:sz w:val="22"/>
                <w:szCs w:val="22"/>
                <w:lang w:val="es-ES"/>
              </w:rPr>
              <w:t xml:space="preserve"> </w:t>
            </w:r>
          </w:p>
        </w:tc>
        <w:tc>
          <w:tcPr>
            <w:tcW w:w="3600" w:type="dxa"/>
          </w:tcPr>
          <w:p w14:paraId="3A8BE282" w14:textId="2E01E106" w:rsidR="003562AB" w:rsidRPr="00671C88" w:rsidRDefault="00AD7A32" w:rsidP="003D5895">
            <w:pPr>
              <w:jc w:val="both"/>
              <w:rPr>
                <w:rFonts w:ascii="Arial" w:hAnsi="Arial" w:cs="Arial"/>
                <w:sz w:val="22"/>
                <w:szCs w:val="22"/>
                <w:lang w:val="es-ES"/>
              </w:rPr>
            </w:pPr>
            <w:r w:rsidRPr="00671C88">
              <w:rPr>
                <w:rFonts w:ascii="Arial" w:hAnsi="Arial" w:cs="Arial"/>
                <w:sz w:val="22"/>
                <w:szCs w:val="22"/>
                <w:lang w:val="es-ES"/>
              </w:rPr>
              <w:t>Subpoblaciones identificadas.</w:t>
            </w:r>
          </w:p>
        </w:tc>
        <w:tc>
          <w:tcPr>
            <w:tcW w:w="1348" w:type="dxa"/>
          </w:tcPr>
          <w:p w14:paraId="237D5E95" w14:textId="11A02216" w:rsidR="003562AB" w:rsidRPr="00671C88" w:rsidRDefault="008A42C6" w:rsidP="003D5895">
            <w:pPr>
              <w:jc w:val="both"/>
              <w:rPr>
                <w:rFonts w:ascii="Arial" w:hAnsi="Arial" w:cs="Arial"/>
                <w:sz w:val="22"/>
                <w:szCs w:val="22"/>
                <w:lang w:val="es-ES"/>
              </w:rPr>
            </w:pPr>
            <w:r w:rsidRPr="00671C88">
              <w:rPr>
                <w:rFonts w:ascii="Arial" w:hAnsi="Arial" w:cs="Arial"/>
                <w:sz w:val="22"/>
                <w:szCs w:val="22"/>
                <w:lang w:val="es-ES"/>
              </w:rPr>
              <w:t>2027</w:t>
            </w:r>
          </w:p>
        </w:tc>
        <w:tc>
          <w:tcPr>
            <w:tcW w:w="1985" w:type="dxa"/>
          </w:tcPr>
          <w:p w14:paraId="1BA24D4D" w14:textId="4329AC0F" w:rsidR="003562AB" w:rsidRPr="00671C88" w:rsidRDefault="004B43FD" w:rsidP="003D5895">
            <w:pPr>
              <w:jc w:val="both"/>
              <w:rPr>
                <w:rFonts w:ascii="Arial" w:hAnsi="Arial" w:cs="Arial"/>
                <w:sz w:val="22"/>
                <w:szCs w:val="22"/>
                <w:lang w:val="es-ES"/>
              </w:rPr>
            </w:pPr>
            <w:r w:rsidRPr="00671C88">
              <w:rPr>
                <w:rFonts w:ascii="Arial" w:hAnsi="Arial" w:cs="Arial"/>
                <w:sz w:val="22"/>
                <w:szCs w:val="22"/>
                <w:lang w:val="es-ES"/>
              </w:rPr>
              <w:t xml:space="preserve">Partes de la CMS (y Estados no-Parte del área de distribución) </w:t>
            </w:r>
          </w:p>
        </w:tc>
        <w:tc>
          <w:tcPr>
            <w:tcW w:w="1707" w:type="dxa"/>
          </w:tcPr>
          <w:p w14:paraId="3C7C4E47" w14:textId="30BA840E" w:rsidR="003562AB" w:rsidRPr="00671C88" w:rsidRDefault="009731EE" w:rsidP="003D5895">
            <w:pPr>
              <w:jc w:val="both"/>
              <w:rPr>
                <w:rFonts w:ascii="Arial" w:hAnsi="Arial" w:cs="Arial"/>
                <w:sz w:val="22"/>
                <w:szCs w:val="22"/>
                <w:lang w:val="es-ES"/>
              </w:rPr>
            </w:pPr>
            <w:r w:rsidRPr="00671C88">
              <w:rPr>
                <w:rFonts w:ascii="Arial" w:hAnsi="Arial" w:cs="Arial"/>
                <w:sz w:val="22"/>
                <w:szCs w:val="22"/>
                <w:lang w:val="es-ES"/>
              </w:rPr>
              <w:t>Shark Foundation/</w:t>
            </w:r>
            <w:r w:rsidRPr="00671C88">
              <w:rPr>
                <w:rFonts w:ascii="Arial" w:hAnsi="Arial" w:cs="Arial"/>
                <w:sz w:val="22"/>
                <w:szCs w:val="22"/>
                <w:lang w:val="es-ES"/>
              </w:rPr>
              <w:br/>
              <w:t>MARECO</w:t>
            </w:r>
          </w:p>
        </w:tc>
      </w:tr>
      <w:tr w:rsidR="004A5842" w:rsidRPr="00671C88" w14:paraId="21AEF796" w14:textId="77777777" w:rsidTr="006A5E4C">
        <w:tc>
          <w:tcPr>
            <w:tcW w:w="587" w:type="dxa"/>
          </w:tcPr>
          <w:p w14:paraId="2B3E6002" w14:textId="25E4BD5D" w:rsidR="003562AB" w:rsidRPr="00671C88" w:rsidRDefault="003562AB" w:rsidP="003D5895">
            <w:pPr>
              <w:jc w:val="both"/>
              <w:rPr>
                <w:rFonts w:ascii="Arial" w:hAnsi="Arial" w:cs="Arial"/>
                <w:sz w:val="22"/>
                <w:szCs w:val="22"/>
                <w:lang w:val="es-ES"/>
              </w:rPr>
            </w:pPr>
            <w:r w:rsidRPr="00671C88">
              <w:rPr>
                <w:rFonts w:ascii="Arial" w:hAnsi="Arial" w:cs="Arial"/>
                <w:sz w:val="22"/>
                <w:szCs w:val="22"/>
                <w:lang w:val="es-ES"/>
              </w:rPr>
              <w:t>5.</w:t>
            </w:r>
          </w:p>
        </w:tc>
        <w:tc>
          <w:tcPr>
            <w:tcW w:w="4808" w:type="dxa"/>
          </w:tcPr>
          <w:p w14:paraId="12F5ED78" w14:textId="447A571D" w:rsidR="003562AB" w:rsidRPr="00671C88" w:rsidRDefault="00884FAD" w:rsidP="003D5895">
            <w:pPr>
              <w:jc w:val="both"/>
              <w:rPr>
                <w:rFonts w:ascii="Arial" w:hAnsi="Arial" w:cs="Arial"/>
                <w:sz w:val="22"/>
                <w:szCs w:val="22"/>
                <w:lang w:val="es-ES"/>
              </w:rPr>
            </w:pPr>
            <w:r w:rsidRPr="00671C88">
              <w:rPr>
                <w:rFonts w:ascii="Arial" w:hAnsi="Arial" w:cs="Arial"/>
                <w:sz w:val="22"/>
                <w:szCs w:val="22"/>
                <w:lang w:val="es-ES"/>
              </w:rPr>
              <w:t xml:space="preserve">Identificar incoherencias en el nivel de protección garantizado por los distintos Estados Partes del área de distribución. </w:t>
            </w:r>
          </w:p>
        </w:tc>
        <w:tc>
          <w:tcPr>
            <w:tcW w:w="3600" w:type="dxa"/>
          </w:tcPr>
          <w:p w14:paraId="7FA3C5AB" w14:textId="2D075A37" w:rsidR="00884FAD" w:rsidRPr="00671C88" w:rsidRDefault="00884FAD" w:rsidP="003D5895">
            <w:pPr>
              <w:jc w:val="both"/>
              <w:rPr>
                <w:rFonts w:ascii="Arial" w:hAnsi="Arial" w:cs="Arial"/>
                <w:sz w:val="22"/>
                <w:szCs w:val="22"/>
                <w:lang w:val="es-ES"/>
              </w:rPr>
            </w:pPr>
            <w:r w:rsidRPr="00671C88">
              <w:rPr>
                <w:rFonts w:ascii="Arial" w:hAnsi="Arial" w:cs="Arial"/>
                <w:sz w:val="22"/>
                <w:szCs w:val="22"/>
                <w:lang w:val="es-ES"/>
              </w:rPr>
              <w:t xml:space="preserve">Análisis de las carencias en materia de protección. </w:t>
            </w:r>
          </w:p>
        </w:tc>
        <w:tc>
          <w:tcPr>
            <w:tcW w:w="1348" w:type="dxa"/>
          </w:tcPr>
          <w:p w14:paraId="48E33059" w14:textId="4A91343B" w:rsidR="003562AB" w:rsidRPr="00671C88" w:rsidRDefault="00712EEF" w:rsidP="003D5895">
            <w:pPr>
              <w:jc w:val="both"/>
              <w:rPr>
                <w:rFonts w:ascii="Arial" w:hAnsi="Arial" w:cs="Arial"/>
                <w:sz w:val="22"/>
                <w:szCs w:val="22"/>
                <w:lang w:val="es-ES"/>
              </w:rPr>
            </w:pPr>
            <w:r w:rsidRPr="00671C88">
              <w:rPr>
                <w:rFonts w:ascii="Arial" w:hAnsi="Arial" w:cs="Arial"/>
                <w:sz w:val="22"/>
                <w:szCs w:val="22"/>
                <w:lang w:val="es-ES"/>
              </w:rPr>
              <w:t>202</w:t>
            </w:r>
            <w:r w:rsidR="00111476">
              <w:rPr>
                <w:rFonts w:ascii="Arial" w:hAnsi="Arial" w:cs="Arial"/>
                <w:sz w:val="22"/>
                <w:szCs w:val="22"/>
                <w:lang w:val="es-ES"/>
              </w:rPr>
              <w:t>7</w:t>
            </w:r>
          </w:p>
        </w:tc>
        <w:tc>
          <w:tcPr>
            <w:tcW w:w="1985" w:type="dxa"/>
          </w:tcPr>
          <w:p w14:paraId="4EC2B081" w14:textId="2DFC01E5" w:rsidR="003562AB" w:rsidRPr="00671C88" w:rsidRDefault="004B43FD" w:rsidP="003D5895">
            <w:pPr>
              <w:jc w:val="both"/>
              <w:rPr>
                <w:rFonts w:ascii="Arial" w:hAnsi="Arial" w:cs="Arial"/>
                <w:sz w:val="22"/>
                <w:szCs w:val="22"/>
                <w:lang w:val="es-ES"/>
              </w:rPr>
            </w:pPr>
            <w:r w:rsidRPr="00671C88">
              <w:rPr>
                <w:rFonts w:ascii="Arial" w:hAnsi="Arial" w:cs="Arial"/>
                <w:sz w:val="22"/>
                <w:szCs w:val="22"/>
                <w:lang w:val="es-ES"/>
              </w:rPr>
              <w:t>ONG</w:t>
            </w:r>
          </w:p>
        </w:tc>
        <w:tc>
          <w:tcPr>
            <w:tcW w:w="1707" w:type="dxa"/>
          </w:tcPr>
          <w:p w14:paraId="1DFA2D77" w14:textId="7E098C66" w:rsidR="003562AB" w:rsidRPr="00AB073D" w:rsidRDefault="009731EE" w:rsidP="003D5895">
            <w:pPr>
              <w:jc w:val="both"/>
              <w:rPr>
                <w:rFonts w:ascii="Arial" w:hAnsi="Arial" w:cs="Arial"/>
                <w:sz w:val="22"/>
                <w:szCs w:val="22"/>
                <w:highlight w:val="yellow"/>
              </w:rPr>
            </w:pPr>
            <w:r w:rsidRPr="00AB073D">
              <w:rPr>
                <w:rFonts w:ascii="Arial" w:hAnsi="Arial" w:cs="Arial"/>
                <w:sz w:val="22"/>
                <w:szCs w:val="22"/>
              </w:rPr>
              <w:t>Law of the Wild/MARECO</w:t>
            </w:r>
          </w:p>
        </w:tc>
      </w:tr>
      <w:tr w:rsidR="004A5842" w:rsidRPr="00671C88" w14:paraId="5B5C70EF" w14:textId="77777777" w:rsidTr="006A5E4C">
        <w:tc>
          <w:tcPr>
            <w:tcW w:w="587" w:type="dxa"/>
          </w:tcPr>
          <w:p w14:paraId="30E53372" w14:textId="1AE5B9FA" w:rsidR="003562AB" w:rsidRPr="00671C88" w:rsidRDefault="003562AB" w:rsidP="003D5895">
            <w:pPr>
              <w:jc w:val="both"/>
              <w:rPr>
                <w:rFonts w:ascii="Arial" w:hAnsi="Arial" w:cs="Arial"/>
                <w:sz w:val="22"/>
                <w:szCs w:val="22"/>
                <w:lang w:val="es-ES"/>
              </w:rPr>
            </w:pPr>
            <w:r w:rsidRPr="00671C88">
              <w:rPr>
                <w:rFonts w:ascii="Arial" w:hAnsi="Arial" w:cs="Arial"/>
                <w:sz w:val="22"/>
                <w:szCs w:val="22"/>
                <w:lang w:val="es-ES"/>
              </w:rPr>
              <w:t xml:space="preserve">6. </w:t>
            </w:r>
          </w:p>
        </w:tc>
        <w:tc>
          <w:tcPr>
            <w:tcW w:w="4808" w:type="dxa"/>
          </w:tcPr>
          <w:p w14:paraId="63F3780D" w14:textId="7D716925" w:rsidR="003562AB" w:rsidRPr="00671C88" w:rsidRDefault="004B43FD" w:rsidP="003D5895">
            <w:pPr>
              <w:jc w:val="both"/>
              <w:rPr>
                <w:rFonts w:ascii="Arial" w:hAnsi="Arial" w:cs="Arial"/>
                <w:sz w:val="22"/>
                <w:szCs w:val="22"/>
                <w:lang w:val="es-ES"/>
              </w:rPr>
            </w:pPr>
            <w:r w:rsidRPr="00671C88">
              <w:rPr>
                <w:rFonts w:ascii="Arial" w:hAnsi="Arial" w:cs="Arial"/>
                <w:sz w:val="22"/>
                <w:szCs w:val="22"/>
                <w:lang w:val="es-ES"/>
              </w:rPr>
              <w:t>Identificar hábitats críticos y comprender la conectividad y las migraciones.</w:t>
            </w:r>
          </w:p>
        </w:tc>
        <w:tc>
          <w:tcPr>
            <w:tcW w:w="3600" w:type="dxa"/>
          </w:tcPr>
          <w:p w14:paraId="3E59EBAB" w14:textId="4F754DA4" w:rsidR="004B43FD" w:rsidRPr="00671C88" w:rsidRDefault="004B43FD" w:rsidP="003D5895">
            <w:pPr>
              <w:pStyle w:val="ListParagraph"/>
              <w:numPr>
                <w:ilvl w:val="0"/>
                <w:numId w:val="17"/>
              </w:numPr>
              <w:ind w:left="699" w:hanging="561"/>
              <w:jc w:val="both"/>
              <w:rPr>
                <w:rFonts w:ascii="Arial" w:hAnsi="Arial" w:cs="Arial"/>
                <w:sz w:val="22"/>
                <w:szCs w:val="22"/>
                <w:lang w:val="es-ES"/>
              </w:rPr>
            </w:pPr>
            <w:r w:rsidRPr="00671C88">
              <w:rPr>
                <w:rFonts w:ascii="Arial" w:hAnsi="Arial" w:cs="Arial"/>
                <w:sz w:val="22"/>
                <w:szCs w:val="22"/>
                <w:lang w:val="es-ES"/>
              </w:rPr>
              <w:t>Identificación de las áreas críticas.</w:t>
            </w:r>
          </w:p>
          <w:p w14:paraId="5C00529B" w14:textId="76CD1D6B" w:rsidR="004B43FD" w:rsidRPr="00671C88" w:rsidRDefault="004B43FD" w:rsidP="003D5895">
            <w:pPr>
              <w:pStyle w:val="ListParagraph"/>
              <w:numPr>
                <w:ilvl w:val="0"/>
                <w:numId w:val="17"/>
              </w:numPr>
              <w:ind w:left="699" w:hanging="561"/>
              <w:jc w:val="both"/>
              <w:rPr>
                <w:rFonts w:ascii="Arial" w:hAnsi="Arial" w:cs="Arial"/>
                <w:sz w:val="22"/>
                <w:szCs w:val="22"/>
                <w:lang w:val="es-ES"/>
              </w:rPr>
            </w:pPr>
            <w:r w:rsidRPr="00671C88">
              <w:rPr>
                <w:rFonts w:ascii="Arial" w:hAnsi="Arial" w:cs="Arial"/>
                <w:sz w:val="22"/>
                <w:szCs w:val="22"/>
                <w:lang w:val="es-ES"/>
              </w:rPr>
              <w:t>Identificar las rutas migratorias.</w:t>
            </w:r>
          </w:p>
          <w:p w14:paraId="22A755D6" w14:textId="1AF6C535" w:rsidR="004B43FD" w:rsidRPr="00671C88" w:rsidRDefault="004B43FD" w:rsidP="003D5895">
            <w:pPr>
              <w:pStyle w:val="ListParagraph"/>
              <w:numPr>
                <w:ilvl w:val="0"/>
                <w:numId w:val="17"/>
              </w:numPr>
              <w:ind w:left="699" w:hanging="561"/>
              <w:jc w:val="both"/>
              <w:rPr>
                <w:rFonts w:ascii="Arial" w:hAnsi="Arial" w:cs="Arial"/>
                <w:sz w:val="22"/>
                <w:szCs w:val="22"/>
                <w:lang w:val="es-ES"/>
              </w:rPr>
            </w:pPr>
            <w:r w:rsidRPr="00671C88">
              <w:rPr>
                <w:rFonts w:ascii="Arial" w:hAnsi="Arial" w:cs="Arial"/>
                <w:sz w:val="22"/>
                <w:szCs w:val="22"/>
                <w:lang w:val="es-ES"/>
              </w:rPr>
              <w:t>Identificar las áreas prioritarias para la conservación (PAC).</w:t>
            </w:r>
          </w:p>
          <w:p w14:paraId="0E516A2F" w14:textId="7B0DCE53" w:rsidR="003562AB" w:rsidRPr="00671C88" w:rsidRDefault="009731EE" w:rsidP="003D5895">
            <w:pPr>
              <w:pStyle w:val="ListParagraph"/>
              <w:numPr>
                <w:ilvl w:val="0"/>
                <w:numId w:val="17"/>
              </w:numPr>
              <w:ind w:left="699" w:hanging="561"/>
              <w:jc w:val="both"/>
              <w:rPr>
                <w:rFonts w:ascii="Arial" w:hAnsi="Arial" w:cs="Arial"/>
                <w:sz w:val="22"/>
                <w:szCs w:val="22"/>
                <w:lang w:val="es-ES"/>
              </w:rPr>
            </w:pPr>
            <w:r w:rsidRPr="00671C88">
              <w:rPr>
                <w:rFonts w:ascii="Arial" w:hAnsi="Arial" w:cs="Arial"/>
                <w:sz w:val="22"/>
                <w:szCs w:val="22"/>
                <w:lang w:val="es-ES"/>
              </w:rPr>
              <w:t>E-Atlas de ISRA/otros resultados del Sistema de Información Geográfica (SIG) de hábitats críticos.</w:t>
            </w:r>
          </w:p>
        </w:tc>
        <w:tc>
          <w:tcPr>
            <w:tcW w:w="1348" w:type="dxa"/>
          </w:tcPr>
          <w:p w14:paraId="64635048" w14:textId="7FA18E52" w:rsidR="003562AB" w:rsidRPr="00671C88" w:rsidRDefault="004B43FD" w:rsidP="003D5895">
            <w:pPr>
              <w:jc w:val="both"/>
              <w:rPr>
                <w:rFonts w:ascii="Arial" w:hAnsi="Arial" w:cs="Arial"/>
                <w:sz w:val="22"/>
                <w:szCs w:val="22"/>
                <w:lang w:val="es-ES"/>
              </w:rPr>
            </w:pPr>
            <w:r w:rsidRPr="00671C88">
              <w:rPr>
                <w:rFonts w:ascii="Arial" w:hAnsi="Arial" w:cs="Arial"/>
                <w:sz w:val="22"/>
                <w:szCs w:val="22"/>
                <w:lang w:val="es-ES"/>
              </w:rPr>
              <w:t>2026-2029</w:t>
            </w:r>
          </w:p>
        </w:tc>
        <w:tc>
          <w:tcPr>
            <w:tcW w:w="1985" w:type="dxa"/>
          </w:tcPr>
          <w:p w14:paraId="082BB4C7" w14:textId="660278A0" w:rsidR="006766B1" w:rsidRPr="00671C88" w:rsidRDefault="006766B1" w:rsidP="003D5895">
            <w:pPr>
              <w:jc w:val="both"/>
              <w:rPr>
                <w:rFonts w:ascii="Arial" w:hAnsi="Arial" w:cs="Arial"/>
                <w:sz w:val="22"/>
                <w:szCs w:val="22"/>
                <w:lang w:val="es-ES"/>
              </w:rPr>
            </w:pPr>
            <w:r w:rsidRPr="00671C88">
              <w:rPr>
                <w:rFonts w:ascii="Arial" w:hAnsi="Arial" w:cs="Arial"/>
                <w:sz w:val="22"/>
                <w:szCs w:val="22"/>
                <w:lang w:val="es-ES"/>
              </w:rPr>
              <w:t>ONG/grupos de investigación/SSG de la UICN</w:t>
            </w:r>
          </w:p>
          <w:p w14:paraId="510BD7BC" w14:textId="0CDFC5A1" w:rsidR="003562AB" w:rsidRPr="00671C88" w:rsidRDefault="006766B1" w:rsidP="003D5895">
            <w:pPr>
              <w:jc w:val="both"/>
              <w:rPr>
                <w:rFonts w:ascii="Arial" w:hAnsi="Arial" w:cs="Arial"/>
                <w:sz w:val="22"/>
                <w:szCs w:val="22"/>
                <w:lang w:val="es-ES"/>
              </w:rPr>
            </w:pPr>
            <w:r w:rsidRPr="00671C88">
              <w:rPr>
                <w:rFonts w:ascii="Arial" w:hAnsi="Arial" w:cs="Arial"/>
                <w:sz w:val="22"/>
                <w:szCs w:val="22"/>
                <w:lang w:val="es-ES"/>
              </w:rPr>
              <w:t>Área Importante para Tiburones y Rayas (ISRA)</w:t>
            </w:r>
          </w:p>
        </w:tc>
        <w:tc>
          <w:tcPr>
            <w:tcW w:w="1707" w:type="dxa"/>
          </w:tcPr>
          <w:p w14:paraId="4E60319F" w14:textId="3290949B" w:rsidR="003562AB" w:rsidRPr="00671C88" w:rsidRDefault="006A5E4C" w:rsidP="003D5895">
            <w:pPr>
              <w:jc w:val="both"/>
              <w:rPr>
                <w:rFonts w:ascii="Arial" w:hAnsi="Arial" w:cs="Arial"/>
                <w:sz w:val="22"/>
                <w:szCs w:val="22"/>
                <w:lang w:val="es-ES"/>
              </w:rPr>
            </w:pPr>
            <w:r w:rsidRPr="00671C88">
              <w:rPr>
                <w:rFonts w:ascii="Arial" w:hAnsi="Arial" w:cs="Arial"/>
                <w:sz w:val="22"/>
                <w:szCs w:val="22"/>
                <w:lang w:val="es-ES"/>
              </w:rPr>
              <w:t>n. a.</w:t>
            </w:r>
          </w:p>
        </w:tc>
      </w:tr>
      <w:tr w:rsidR="004A5842" w:rsidRPr="00671C88" w14:paraId="169802D5" w14:textId="77777777" w:rsidTr="006A5E4C">
        <w:tc>
          <w:tcPr>
            <w:tcW w:w="587" w:type="dxa"/>
          </w:tcPr>
          <w:p w14:paraId="26FDA78F" w14:textId="7E7D2F20" w:rsidR="003562AB" w:rsidRPr="00671C88" w:rsidRDefault="003562AB" w:rsidP="003D5895">
            <w:pPr>
              <w:jc w:val="both"/>
              <w:rPr>
                <w:rFonts w:ascii="Arial" w:hAnsi="Arial" w:cs="Arial"/>
                <w:sz w:val="22"/>
                <w:szCs w:val="22"/>
                <w:lang w:val="es-ES"/>
              </w:rPr>
            </w:pPr>
            <w:r w:rsidRPr="00671C88">
              <w:rPr>
                <w:rFonts w:ascii="Arial" w:hAnsi="Arial" w:cs="Arial"/>
                <w:sz w:val="22"/>
                <w:szCs w:val="22"/>
                <w:lang w:val="es-ES"/>
              </w:rPr>
              <w:t>7.</w:t>
            </w:r>
          </w:p>
        </w:tc>
        <w:tc>
          <w:tcPr>
            <w:tcW w:w="4808" w:type="dxa"/>
          </w:tcPr>
          <w:p w14:paraId="6C11E17A" w14:textId="0848D5F2" w:rsidR="003562AB" w:rsidRPr="00671C88" w:rsidRDefault="00F072E0" w:rsidP="003D5895">
            <w:pPr>
              <w:jc w:val="both"/>
              <w:rPr>
                <w:rFonts w:ascii="Arial" w:hAnsi="Arial" w:cs="Arial"/>
                <w:sz w:val="22"/>
                <w:szCs w:val="22"/>
                <w:lang w:val="es-ES"/>
              </w:rPr>
            </w:pPr>
            <w:r w:rsidRPr="00671C88">
              <w:rPr>
                <w:rFonts w:ascii="Arial" w:hAnsi="Arial" w:cs="Arial"/>
                <w:sz w:val="22"/>
                <w:szCs w:val="22"/>
                <w:lang w:val="es-ES"/>
              </w:rPr>
              <w:t>Apoyar las evaluaciones de los efectos del cambio climático en los tiburones azules por población o región.</w:t>
            </w:r>
          </w:p>
        </w:tc>
        <w:tc>
          <w:tcPr>
            <w:tcW w:w="3600" w:type="dxa"/>
          </w:tcPr>
          <w:p w14:paraId="0503FEEF" w14:textId="2E250F37" w:rsidR="003562AB" w:rsidRPr="00671C88" w:rsidRDefault="00F072E0" w:rsidP="003D5895">
            <w:pPr>
              <w:jc w:val="both"/>
              <w:rPr>
                <w:rFonts w:ascii="Arial" w:hAnsi="Arial" w:cs="Arial"/>
                <w:sz w:val="22"/>
                <w:szCs w:val="22"/>
                <w:lang w:val="es-ES"/>
              </w:rPr>
            </w:pPr>
            <w:r w:rsidRPr="00671C88">
              <w:rPr>
                <w:rFonts w:ascii="Arial" w:hAnsi="Arial" w:cs="Arial"/>
                <w:sz w:val="22"/>
                <w:szCs w:val="22"/>
                <w:lang w:val="es-ES"/>
              </w:rPr>
              <w:t xml:space="preserve">Mejor comprensión de la vulnerabilidad y los efectos del cambio climático en las poblaciones de tiburón azul. </w:t>
            </w:r>
          </w:p>
        </w:tc>
        <w:tc>
          <w:tcPr>
            <w:tcW w:w="1348" w:type="dxa"/>
          </w:tcPr>
          <w:p w14:paraId="0557C2D0" w14:textId="73DDD340" w:rsidR="003562AB" w:rsidRPr="00671C88" w:rsidRDefault="00F072E0" w:rsidP="003D5895">
            <w:pPr>
              <w:jc w:val="both"/>
              <w:rPr>
                <w:rFonts w:ascii="Arial" w:hAnsi="Arial" w:cs="Arial"/>
                <w:sz w:val="22"/>
                <w:szCs w:val="22"/>
                <w:lang w:val="es-ES"/>
              </w:rPr>
            </w:pPr>
            <w:r w:rsidRPr="00671C88">
              <w:rPr>
                <w:rFonts w:ascii="Arial" w:hAnsi="Arial" w:cs="Arial"/>
                <w:sz w:val="22"/>
                <w:szCs w:val="22"/>
                <w:lang w:val="es-ES"/>
              </w:rPr>
              <w:t>2029</w:t>
            </w:r>
          </w:p>
        </w:tc>
        <w:tc>
          <w:tcPr>
            <w:tcW w:w="1985" w:type="dxa"/>
          </w:tcPr>
          <w:p w14:paraId="12D94A95" w14:textId="44235ADA" w:rsidR="003562AB" w:rsidRPr="00671C88" w:rsidRDefault="00F072E0" w:rsidP="003D5895">
            <w:pPr>
              <w:jc w:val="both"/>
              <w:rPr>
                <w:rFonts w:ascii="Arial" w:hAnsi="Arial" w:cs="Arial"/>
                <w:sz w:val="22"/>
                <w:szCs w:val="22"/>
                <w:lang w:val="es-ES"/>
              </w:rPr>
            </w:pPr>
            <w:r w:rsidRPr="00671C88">
              <w:rPr>
                <w:rFonts w:ascii="Arial" w:hAnsi="Arial" w:cs="Arial"/>
                <w:sz w:val="22"/>
                <w:szCs w:val="22"/>
                <w:lang w:val="es-ES"/>
              </w:rPr>
              <w:t>ONG/grupos de investigación</w:t>
            </w:r>
          </w:p>
        </w:tc>
        <w:tc>
          <w:tcPr>
            <w:tcW w:w="1707" w:type="dxa"/>
          </w:tcPr>
          <w:p w14:paraId="350EDF44" w14:textId="7445934F" w:rsidR="003562AB" w:rsidRPr="00671C88" w:rsidRDefault="006A5E4C" w:rsidP="003D5895">
            <w:pPr>
              <w:jc w:val="both"/>
              <w:rPr>
                <w:rFonts w:ascii="Arial" w:hAnsi="Arial" w:cs="Arial"/>
                <w:sz w:val="22"/>
                <w:szCs w:val="22"/>
                <w:lang w:val="es-ES"/>
              </w:rPr>
            </w:pPr>
            <w:r w:rsidRPr="00671C88">
              <w:rPr>
                <w:rFonts w:ascii="Arial" w:hAnsi="Arial" w:cs="Arial"/>
                <w:sz w:val="22"/>
                <w:szCs w:val="22"/>
                <w:lang w:val="es-ES"/>
              </w:rPr>
              <w:t>n. a.</w:t>
            </w:r>
          </w:p>
        </w:tc>
      </w:tr>
    </w:tbl>
    <w:p w14:paraId="3E662EE3" w14:textId="0A1CEBE9" w:rsidR="006A7DC4" w:rsidRPr="00671C88" w:rsidRDefault="006A7DC4" w:rsidP="003D5895">
      <w:pPr>
        <w:widowControl w:val="0"/>
        <w:suppressAutoHyphens/>
        <w:autoSpaceDE w:val="0"/>
        <w:autoSpaceDN w:val="0"/>
        <w:spacing w:before="40" w:after="40" w:line="240" w:lineRule="auto"/>
        <w:jc w:val="both"/>
        <w:textAlignment w:val="baseline"/>
        <w:rPr>
          <w:rFonts w:cs="Arial"/>
          <w:lang w:val="es-ES"/>
        </w:rPr>
      </w:pPr>
    </w:p>
    <w:sectPr w:rsidR="006A7DC4" w:rsidRPr="00671C88" w:rsidSect="006453C5">
      <w:headerReference w:type="even" r:id="rId24"/>
      <w:headerReference w:type="first" r:id="rId25"/>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DDCD8" w14:textId="77777777" w:rsidR="00565BF4" w:rsidRDefault="00565BF4" w:rsidP="002E0DE9">
      <w:pPr>
        <w:spacing w:after="0" w:line="240" w:lineRule="auto"/>
      </w:pPr>
      <w:r>
        <w:separator/>
      </w:r>
    </w:p>
  </w:endnote>
  <w:endnote w:type="continuationSeparator" w:id="0">
    <w:p w14:paraId="5DFBBA3E" w14:textId="77777777" w:rsidR="00565BF4" w:rsidRDefault="00565BF4" w:rsidP="002E0DE9">
      <w:pPr>
        <w:spacing w:after="0" w:line="240" w:lineRule="auto"/>
      </w:pPr>
      <w:r>
        <w:continuationSeparator/>
      </w:r>
    </w:p>
  </w:endnote>
  <w:endnote w:type="continuationNotice" w:id="1">
    <w:p w14:paraId="29124A4E" w14:textId="77777777" w:rsidR="00565BF4" w:rsidRDefault="00565B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77777777" w:rsidR="003A1362" w:rsidRPr="00DF7254" w:rsidRDefault="003A1362">
        <w:pPr>
          <w:pStyle w:val="Footer"/>
          <w:jc w:val="center"/>
          <w:rPr>
            <w:sz w:val="18"/>
            <w:szCs w:val="18"/>
          </w:rPr>
        </w:pPr>
        <w:r w:rsidRPr="00DF7254">
          <w:rPr>
            <w:sz w:val="18"/>
            <w:szCs w:val="18"/>
          </w:rPr>
          <w:fldChar w:fldCharType="begin"/>
        </w:r>
        <w:r w:rsidRPr="00DF7254">
          <w:rPr>
            <w:sz w:val="18"/>
            <w:szCs w:val="18"/>
          </w:rPr>
          <w:instrText xml:space="preserve"> PAGE   \* MERGEFORMAT </w:instrText>
        </w:r>
        <w:r w:rsidRPr="00DF7254">
          <w:rPr>
            <w:sz w:val="18"/>
            <w:szCs w:val="18"/>
          </w:rPr>
          <w:fldChar w:fldCharType="separate"/>
        </w:r>
        <w:r w:rsidRPr="00DF7254">
          <w:rPr>
            <w:noProof/>
            <w:sz w:val="18"/>
            <w:szCs w:val="18"/>
          </w:rPr>
          <w:t>2</w:t>
        </w:r>
        <w:r w:rsidRPr="00DF7254">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3A1362" w:rsidRPr="00DF7254" w:rsidRDefault="003A1362">
    <w:pPr>
      <w:pStyle w:val="Footer"/>
      <w:ind w:right="-367"/>
      <w:jc w:val="center"/>
    </w:pPr>
    <w:r w:rsidRPr="00DF7254">
      <w:rPr>
        <w:rFonts w:cs="Arial"/>
      </w:rPr>
      <w:fldChar w:fldCharType="begin"/>
    </w:r>
    <w:r w:rsidRPr="00DF7254">
      <w:rPr>
        <w:rFonts w:cs="Arial"/>
      </w:rPr>
      <w:instrText xml:space="preserve"> PAGE </w:instrText>
    </w:r>
    <w:r w:rsidRPr="00DF7254">
      <w:rPr>
        <w:rFonts w:cs="Arial"/>
      </w:rPr>
      <w:fldChar w:fldCharType="separate"/>
    </w:r>
    <w:r w:rsidRPr="00DF7254">
      <w:rPr>
        <w:rFonts w:cs="Arial"/>
      </w:rPr>
      <w:t>7</w:t>
    </w:r>
    <w:r w:rsidRPr="00DF7254">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38924ECD" w:rsidR="002E0DE9" w:rsidRPr="00DF7254" w:rsidRDefault="002E0DE9">
        <w:pPr>
          <w:pStyle w:val="Footer"/>
          <w:jc w:val="center"/>
          <w:rPr>
            <w:sz w:val="18"/>
            <w:szCs w:val="18"/>
          </w:rPr>
        </w:pPr>
        <w:r w:rsidRPr="00DF7254">
          <w:rPr>
            <w:sz w:val="18"/>
            <w:szCs w:val="18"/>
          </w:rPr>
          <w:fldChar w:fldCharType="begin"/>
        </w:r>
        <w:r w:rsidRPr="00DF7254">
          <w:rPr>
            <w:sz w:val="18"/>
            <w:szCs w:val="18"/>
          </w:rPr>
          <w:instrText xml:space="preserve"> PAGE   \* MERGEFORMAT </w:instrText>
        </w:r>
        <w:r w:rsidRPr="00DF7254">
          <w:rPr>
            <w:sz w:val="18"/>
            <w:szCs w:val="18"/>
          </w:rPr>
          <w:fldChar w:fldCharType="separate"/>
        </w:r>
        <w:r w:rsidR="001D23B4">
          <w:rPr>
            <w:noProof/>
            <w:sz w:val="18"/>
            <w:szCs w:val="18"/>
          </w:rPr>
          <w:t>10</w:t>
        </w:r>
        <w:r w:rsidRPr="00DF7254">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6C49A885" w:rsidR="0035024E" w:rsidRPr="00DF7254" w:rsidRDefault="0035024E" w:rsidP="0035024E">
        <w:pPr>
          <w:pStyle w:val="Footer"/>
          <w:jc w:val="center"/>
          <w:rPr>
            <w:sz w:val="18"/>
            <w:szCs w:val="18"/>
          </w:rPr>
        </w:pPr>
        <w:r w:rsidRPr="00DF7254">
          <w:rPr>
            <w:sz w:val="18"/>
            <w:szCs w:val="18"/>
          </w:rPr>
          <w:fldChar w:fldCharType="begin"/>
        </w:r>
        <w:r w:rsidRPr="00DF7254">
          <w:rPr>
            <w:sz w:val="18"/>
            <w:szCs w:val="18"/>
          </w:rPr>
          <w:instrText xml:space="preserve"> PAGE   \* MERGEFORMAT </w:instrText>
        </w:r>
        <w:r w:rsidRPr="00DF7254">
          <w:rPr>
            <w:sz w:val="18"/>
            <w:szCs w:val="18"/>
          </w:rPr>
          <w:fldChar w:fldCharType="separate"/>
        </w:r>
        <w:r w:rsidR="001D23B4">
          <w:rPr>
            <w:noProof/>
            <w:sz w:val="18"/>
            <w:szCs w:val="18"/>
          </w:rPr>
          <w:t>7</w:t>
        </w:r>
        <w:r w:rsidRPr="00DF7254">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949772"/>
      <w:docPartObj>
        <w:docPartGallery w:val="Page Numbers (Bottom of Page)"/>
        <w:docPartUnique/>
      </w:docPartObj>
    </w:sdtPr>
    <w:sdtEndPr>
      <w:rPr>
        <w:noProof/>
        <w:sz w:val="18"/>
        <w:szCs w:val="18"/>
      </w:rPr>
    </w:sdtEndPr>
    <w:sdtContent>
      <w:p w14:paraId="4B8F192B" w14:textId="6388EE45" w:rsidR="00560225" w:rsidRPr="00560225" w:rsidRDefault="00560225">
        <w:pPr>
          <w:pStyle w:val="Footer"/>
          <w:jc w:val="center"/>
          <w:rPr>
            <w:sz w:val="18"/>
            <w:szCs w:val="18"/>
          </w:rPr>
        </w:pPr>
        <w:r w:rsidRPr="00560225">
          <w:rPr>
            <w:sz w:val="18"/>
            <w:szCs w:val="18"/>
          </w:rPr>
          <w:fldChar w:fldCharType="begin"/>
        </w:r>
        <w:r w:rsidRPr="00560225">
          <w:rPr>
            <w:sz w:val="18"/>
            <w:szCs w:val="18"/>
          </w:rPr>
          <w:instrText xml:space="preserve"> PAGE   \* MERGEFORMAT </w:instrText>
        </w:r>
        <w:r w:rsidRPr="00560225">
          <w:rPr>
            <w:sz w:val="18"/>
            <w:szCs w:val="18"/>
          </w:rPr>
          <w:fldChar w:fldCharType="separate"/>
        </w:r>
        <w:r w:rsidR="001D23B4">
          <w:rPr>
            <w:noProof/>
            <w:sz w:val="18"/>
            <w:szCs w:val="18"/>
          </w:rPr>
          <w:t>9</w:t>
        </w:r>
        <w:r w:rsidRPr="0056022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44CB3" w14:textId="77777777" w:rsidR="00565BF4" w:rsidRDefault="00565BF4" w:rsidP="002E0DE9">
      <w:pPr>
        <w:spacing w:after="0" w:line="240" w:lineRule="auto"/>
      </w:pPr>
      <w:r>
        <w:separator/>
      </w:r>
    </w:p>
  </w:footnote>
  <w:footnote w:type="continuationSeparator" w:id="0">
    <w:p w14:paraId="37C59DCA" w14:textId="77777777" w:rsidR="00565BF4" w:rsidRDefault="00565BF4" w:rsidP="002E0DE9">
      <w:pPr>
        <w:spacing w:after="0" w:line="240" w:lineRule="auto"/>
      </w:pPr>
      <w:r>
        <w:continuationSeparator/>
      </w:r>
    </w:p>
  </w:footnote>
  <w:footnote w:type="continuationNotice" w:id="1">
    <w:p w14:paraId="2EE16D1E" w14:textId="77777777" w:rsidR="00565BF4" w:rsidRDefault="00565B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3A1362" w:rsidRPr="00DF7254" w:rsidRDefault="003A1362" w:rsidP="005A720E">
    <w:pPr>
      <w:pStyle w:val="Header"/>
      <w:pBdr>
        <w:bottom w:val="single" w:sz="4" w:space="1" w:color="000000"/>
      </w:pBdr>
    </w:pPr>
    <w:r w:rsidRPr="00DF7254">
      <w:rPr>
        <w:rFonts w:cs="Arial"/>
        <w:i/>
        <w:sz w:val="18"/>
        <w:szCs w:val="18"/>
        <w:lang w:val="de-DE"/>
      </w:rPr>
      <w:t>UNEP/CMS/COP14/Doc.[  ]</w:t>
    </w:r>
  </w:p>
  <w:p w14:paraId="47957D04" w14:textId="77777777" w:rsidR="003A1362" w:rsidRPr="00DF7254" w:rsidRDefault="003A13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3A1362" w:rsidRPr="00DF7254" w:rsidRDefault="003A1362">
    <w:pPr>
      <w:pStyle w:val="Heading1"/>
      <w:keepNext w:val="0"/>
      <w:pBdr>
        <w:bottom w:val="single" w:sz="4" w:space="1" w:color="000000"/>
      </w:pBdr>
      <w:ind w:left="261" w:right="-277" w:hanging="261"/>
      <w:jc w:val="right"/>
      <w:rPr>
        <w:lang w:val="fr-FR"/>
      </w:rPr>
    </w:pPr>
    <w:r w:rsidRPr="00DF7254">
      <w:rPr>
        <w:rFonts w:cs="Arial"/>
        <w:i/>
        <w:sz w:val="18"/>
        <w:szCs w:val="18"/>
        <w:lang w:val="fr-FR"/>
      </w:rPr>
      <w:t>UNEP/CMS/COP12/Doc.x/x</w:t>
    </w:r>
  </w:p>
  <w:p w14:paraId="10D5F0C2" w14:textId="77777777" w:rsidR="003A1362" w:rsidRPr="00DF7254" w:rsidRDefault="003A1362">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287F" w14:textId="3F4303A6" w:rsidR="00AB073D" w:rsidRPr="00002A97" w:rsidRDefault="00AB073D" w:rsidP="00AB073D">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sidRPr="00002A97">
      <w:rPr>
        <w:rFonts w:eastAsia="Times New Roman" w:cs="Times New Roman"/>
        <w:noProof/>
        <w:sz w:val="18"/>
        <w:szCs w:val="20"/>
      </w:rPr>
      <w:drawing>
        <wp:anchor distT="0" distB="0" distL="114300" distR="114300" simplePos="0" relativeHeight="251659264" behindDoc="0" locked="0" layoutInCell="1" allowOverlap="1" wp14:anchorId="2B7AD582" wp14:editId="4A2EE5E5">
          <wp:simplePos x="0" y="0"/>
          <wp:positionH relativeFrom="column">
            <wp:posOffset>819162</wp:posOffset>
          </wp:positionH>
          <wp:positionV relativeFrom="paragraph">
            <wp:posOffset>79710</wp:posOffset>
          </wp:positionV>
          <wp:extent cx="431167" cy="441326"/>
          <wp:effectExtent l="0" t="0" r="6983" b="0"/>
          <wp:wrapTight wrapText="bothSides">
            <wp:wrapPolygon edited="0">
              <wp:start x="0" y="0"/>
              <wp:lineTo x="0" y="20512"/>
              <wp:lineTo x="20995" y="20512"/>
              <wp:lineTo x="20995" y="0"/>
              <wp:lineTo x="0" y="0"/>
            </wp:wrapPolygon>
          </wp:wrapTight>
          <wp:docPr id="11"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Picture 2" descr="A black and white logo&#10;&#10;AI-generated content may be incorrect."/>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rFonts w:eastAsia="Times New Roman" w:cs="Times New Roman"/>
        <w:noProof/>
        <w:sz w:val="18"/>
        <w:szCs w:val="20"/>
        <w:lang w:val="es-ES" w:eastAsia="es-ES"/>
      </w:rPr>
      <w:drawing>
        <wp:anchor distT="0" distB="0" distL="114300" distR="114300" simplePos="0" relativeHeight="251661312" behindDoc="1" locked="0" layoutInCell="1" allowOverlap="1" wp14:anchorId="437C438A" wp14:editId="0B6EE130">
          <wp:simplePos x="0" y="0"/>
          <wp:positionH relativeFrom="column">
            <wp:posOffset>-11430</wp:posOffset>
          </wp:positionH>
          <wp:positionV relativeFrom="paragraph">
            <wp:posOffset>-76020</wp:posOffset>
          </wp:positionV>
          <wp:extent cx="731520" cy="731520"/>
          <wp:effectExtent l="0" t="0" r="0" b="0"/>
          <wp:wrapTight wrapText="bothSides">
            <wp:wrapPolygon edited="0">
              <wp:start x="0" y="0"/>
              <wp:lineTo x="0" y="20813"/>
              <wp:lineTo x="20813" y="20813"/>
              <wp:lineTo x="20813" y="0"/>
              <wp:lineTo x="0" y="0"/>
            </wp:wrapPolygon>
          </wp:wrapTight>
          <wp:docPr id="2"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002A97">
      <w:rPr>
        <w:rFonts w:eastAsia="Times New Roman" w:cs="Times New Roman"/>
        <w:noProof/>
        <w:sz w:val="18"/>
        <w:szCs w:val="20"/>
        <w:lang w:val="es-ES" w:eastAsia="es-ES"/>
      </w:rPr>
      <w:drawing>
        <wp:anchor distT="0" distB="0" distL="114300" distR="114300" simplePos="0" relativeHeight="251660288" behindDoc="0" locked="0" layoutInCell="1" allowOverlap="1" wp14:anchorId="252D2241" wp14:editId="5A2D59B8">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619121" cy="288922"/>
                  </a:xfrm>
                  <a:prstGeom prst="rect">
                    <a:avLst/>
                  </a:prstGeom>
                  <a:noFill/>
                  <a:ln>
                    <a:noFill/>
                    <a:prstDash/>
                  </a:ln>
                </pic:spPr>
              </pic:pic>
            </a:graphicData>
          </a:graphic>
        </wp:anchor>
      </w:drawing>
    </w:r>
  </w:p>
  <w:p w14:paraId="38DB9D43" w14:textId="77777777" w:rsidR="00AB073D" w:rsidRDefault="00AB07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27ECC645" w:rsidR="002E0DE9" w:rsidRPr="006C26A2" w:rsidRDefault="002E0DE9" w:rsidP="002E0DE9">
    <w:pPr>
      <w:pStyle w:val="Header"/>
      <w:pBdr>
        <w:bottom w:val="single" w:sz="4" w:space="1" w:color="auto"/>
      </w:pBdr>
      <w:rPr>
        <w:i/>
        <w:sz w:val="18"/>
        <w:szCs w:val="18"/>
      </w:rPr>
    </w:pPr>
    <w:r w:rsidRPr="006C26A2">
      <w:rPr>
        <w:rFonts w:eastAsia="Times New Roman" w:cs="Arial"/>
        <w:i/>
        <w:sz w:val="18"/>
        <w:szCs w:val="18"/>
      </w:rPr>
      <w:t>UNEP/CMS/COP15/Doc.31.3.15</w:t>
    </w:r>
    <w:r w:rsidR="006C26A2" w:rsidRPr="006C26A2">
      <w:rPr>
        <w:rFonts w:eastAsia="Times New Roman" w:cs="Arial"/>
        <w:i/>
        <w:sz w:val="18"/>
        <w:szCs w:val="18"/>
      </w:rPr>
      <w:t>/Rev.</w:t>
    </w:r>
    <w:r w:rsidR="006C26A2">
      <w:rPr>
        <w:rFonts w:eastAsia="Times New Roman" w:cs="Arial"/>
        <w:i/>
        <w:sz w:val="18"/>
        <w:szCs w:val="18"/>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42E15A0F" w:rsidR="002E0DE9" w:rsidRPr="006C26A2" w:rsidRDefault="002E0DE9" w:rsidP="00842B75">
    <w:pPr>
      <w:pStyle w:val="Header"/>
      <w:pBdr>
        <w:bottom w:val="single" w:sz="4" w:space="1" w:color="auto"/>
      </w:pBdr>
      <w:jc w:val="right"/>
      <w:rPr>
        <w:i/>
        <w:sz w:val="18"/>
        <w:szCs w:val="18"/>
      </w:rPr>
    </w:pPr>
    <w:r w:rsidRPr="006C26A2">
      <w:rPr>
        <w:rFonts w:eastAsia="Times New Roman" w:cs="Arial"/>
        <w:i/>
        <w:sz w:val="18"/>
        <w:szCs w:val="18"/>
      </w:rPr>
      <w:t>UNEP/CMS/COP15/Doc.31.3.15</w:t>
    </w:r>
    <w:r w:rsidR="006C26A2" w:rsidRPr="006C26A2">
      <w:rPr>
        <w:rFonts w:eastAsia="Times New Roman" w:cs="Arial"/>
        <w:i/>
        <w:sz w:val="18"/>
        <w:szCs w:val="18"/>
      </w:rPr>
      <w:t>/Rev.</w:t>
    </w:r>
    <w:r w:rsidR="006C26A2">
      <w:rPr>
        <w:rFonts w:eastAsia="Times New Roman" w:cs="Arial"/>
        <w:i/>
        <w:sz w:val="18"/>
        <w:szCs w:val="18"/>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00F86551" w:rsidR="003A1362" w:rsidRPr="006C26A2" w:rsidRDefault="003A1362" w:rsidP="003A1362">
    <w:pPr>
      <w:pStyle w:val="Header"/>
      <w:pBdr>
        <w:bottom w:val="single" w:sz="4" w:space="1" w:color="auto"/>
      </w:pBdr>
      <w:rPr>
        <w:i/>
        <w:sz w:val="18"/>
        <w:szCs w:val="18"/>
      </w:rPr>
    </w:pPr>
    <w:r w:rsidRPr="006C26A2">
      <w:rPr>
        <w:rFonts w:eastAsia="Times New Roman" w:cs="Arial"/>
        <w:i/>
        <w:sz w:val="18"/>
        <w:szCs w:val="18"/>
      </w:rPr>
      <w:t>UNEP/CMS/COP15/Doc.31.3.15</w:t>
    </w:r>
    <w:r w:rsidR="006C26A2" w:rsidRPr="006C26A2">
      <w:rPr>
        <w:rFonts w:eastAsia="Times New Roman" w:cs="Arial"/>
        <w:i/>
        <w:sz w:val="18"/>
        <w:szCs w:val="18"/>
      </w:rPr>
      <w:t>/Rev.</w:t>
    </w:r>
    <w:r w:rsidR="006C26A2">
      <w:rPr>
        <w:rFonts w:eastAsia="Times New Roman" w:cs="Arial"/>
        <w:i/>
        <w:sz w:val="18"/>
        <w:szCs w:val="18"/>
      </w:rPr>
      <w:t>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94922" w14:textId="328A878E" w:rsidR="003D5895" w:rsidRPr="00DF7254" w:rsidRDefault="003D5895" w:rsidP="002E0DE9">
    <w:pPr>
      <w:pStyle w:val="Header"/>
      <w:pBdr>
        <w:bottom w:val="single" w:sz="4" w:space="1" w:color="auto"/>
      </w:pBdr>
      <w:rPr>
        <w:i/>
        <w:sz w:val="18"/>
        <w:szCs w:val="18"/>
      </w:rPr>
    </w:pPr>
    <w:r w:rsidRPr="006C26A2">
      <w:rPr>
        <w:rFonts w:eastAsia="Times New Roman" w:cs="Arial"/>
        <w:i/>
        <w:sz w:val="18"/>
        <w:szCs w:val="18"/>
      </w:rPr>
      <w:t>UNEP/CMS/COP15/Doc.31.3.15/</w:t>
    </w:r>
    <w:r w:rsidR="006C26A2" w:rsidRPr="006C26A2">
      <w:rPr>
        <w:rFonts w:eastAsia="Times New Roman" w:cs="Arial"/>
        <w:i/>
        <w:sz w:val="18"/>
        <w:szCs w:val="18"/>
      </w:rPr>
      <w:t>Rev.1/</w:t>
    </w:r>
    <w:r w:rsidRPr="006C26A2">
      <w:rPr>
        <w:rFonts w:eastAsia="Times New Roman" w:cs="Arial"/>
        <w:i/>
        <w:sz w:val="18"/>
        <w:szCs w:val="18"/>
      </w:rPr>
      <w:t>Anexo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6627" w14:textId="709BB2A8" w:rsidR="006453C5" w:rsidRPr="002E0DE9" w:rsidRDefault="006453C5" w:rsidP="00560225">
    <w:pPr>
      <w:pStyle w:val="Header"/>
      <w:pBdr>
        <w:bottom w:val="single" w:sz="4" w:space="1" w:color="auto"/>
      </w:pBdr>
      <w:jc w:val="right"/>
      <w:rPr>
        <w:i/>
        <w:sz w:val="18"/>
        <w:szCs w:val="18"/>
      </w:rPr>
    </w:pPr>
    <w:r w:rsidRPr="006C26A2">
      <w:rPr>
        <w:rFonts w:eastAsia="Times New Roman" w:cs="Arial"/>
        <w:i/>
        <w:sz w:val="18"/>
        <w:szCs w:val="18"/>
      </w:rPr>
      <w:t>UNEP/CMS/COP15/Doc.31.3.15</w:t>
    </w:r>
    <w:r w:rsidR="005B759C" w:rsidRPr="006C26A2">
      <w:rPr>
        <w:rFonts w:eastAsia="Times New Roman" w:cs="Arial"/>
        <w:i/>
        <w:sz w:val="18"/>
        <w:szCs w:val="18"/>
      </w:rPr>
      <w:t>/</w:t>
    </w:r>
    <w:r w:rsidR="006C26A2" w:rsidRPr="006C26A2">
      <w:rPr>
        <w:rFonts w:eastAsia="Times New Roman" w:cs="Arial"/>
        <w:i/>
        <w:sz w:val="18"/>
        <w:szCs w:val="18"/>
      </w:rPr>
      <w:t>Rev.1/</w:t>
    </w:r>
    <w:r w:rsidR="005B759C" w:rsidRPr="006C26A2">
      <w:rPr>
        <w:rFonts w:eastAsia="Times New Roman" w:cs="Arial"/>
        <w:i/>
        <w:sz w:val="18"/>
        <w:szCs w:val="18"/>
      </w:rPr>
      <w:t>Anexo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70DD6"/>
    <w:multiLevelType w:val="hybridMultilevel"/>
    <w:tmpl w:val="4210E95A"/>
    <w:lvl w:ilvl="0" w:tplc="425E8502">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174C"/>
    <w:multiLevelType w:val="hybridMultilevel"/>
    <w:tmpl w:val="A14431C8"/>
    <w:lvl w:ilvl="0" w:tplc="90B6395A">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6E49"/>
    <w:multiLevelType w:val="hybridMultilevel"/>
    <w:tmpl w:val="B312622C"/>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14974"/>
    <w:multiLevelType w:val="hybridMultilevel"/>
    <w:tmpl w:val="BC524D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B53896"/>
    <w:multiLevelType w:val="hybridMultilevel"/>
    <w:tmpl w:val="8B38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44D678EE"/>
    <w:multiLevelType w:val="hybridMultilevel"/>
    <w:tmpl w:val="2D14D142"/>
    <w:lvl w:ilvl="0" w:tplc="49B4F204">
      <w:start w:val="1"/>
      <w:numFmt w:val="decimal"/>
      <w:lvlText w:val="%1."/>
      <w:lvlJc w:val="left"/>
      <w:pPr>
        <w:ind w:left="720" w:hanging="360"/>
      </w:pPr>
      <w:rPr>
        <w:rFonts w:ascii="Arial" w:hAnsi="Arial" w:hint="default"/>
        <w:b w:val="0"/>
        <w:i w:val="0"/>
        <w:spacing w:val="20"/>
        <w:sz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D3F13"/>
    <w:multiLevelType w:val="hybridMultilevel"/>
    <w:tmpl w:val="1A102D7E"/>
    <w:lvl w:ilvl="0" w:tplc="2384C758">
      <w:start w:val="1"/>
      <w:numFmt w:val="bullet"/>
      <w:lvlText w:val=""/>
      <w:lvlJc w:val="left"/>
      <w:pPr>
        <w:ind w:left="720" w:hanging="360"/>
      </w:pPr>
      <w:rPr>
        <w:rFonts w:ascii="Symbol" w:hAnsi="Symbol" w:hint="default"/>
      </w:rPr>
    </w:lvl>
    <w:lvl w:ilvl="1" w:tplc="7F0444C4">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1DE505D"/>
    <w:multiLevelType w:val="hybridMultilevel"/>
    <w:tmpl w:val="DE5CEA1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78812FEF"/>
    <w:multiLevelType w:val="hybridMultilevel"/>
    <w:tmpl w:val="6728F96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8"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3985386">
    <w:abstractNumId w:val="10"/>
  </w:num>
  <w:num w:numId="2" w16cid:durableId="1989898149">
    <w:abstractNumId w:val="15"/>
  </w:num>
  <w:num w:numId="3" w16cid:durableId="1003968073">
    <w:abstractNumId w:val="0"/>
  </w:num>
  <w:num w:numId="4" w16cid:durableId="19723935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62112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10036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3132056">
    <w:abstractNumId w:val="7"/>
  </w:num>
  <w:num w:numId="8" w16cid:durableId="536040486">
    <w:abstractNumId w:val="18"/>
  </w:num>
  <w:num w:numId="9" w16cid:durableId="865024897">
    <w:abstractNumId w:val="11"/>
  </w:num>
  <w:num w:numId="10" w16cid:durableId="1333533800">
    <w:abstractNumId w:val="1"/>
  </w:num>
  <w:num w:numId="11" w16cid:durableId="35471821">
    <w:abstractNumId w:val="14"/>
  </w:num>
  <w:num w:numId="12" w16cid:durableId="1278634669">
    <w:abstractNumId w:val="6"/>
  </w:num>
  <w:num w:numId="13" w16cid:durableId="646007631">
    <w:abstractNumId w:val="5"/>
  </w:num>
  <w:num w:numId="14" w16cid:durableId="237984011">
    <w:abstractNumId w:val="4"/>
  </w:num>
  <w:num w:numId="15" w16cid:durableId="744762700">
    <w:abstractNumId w:val="2"/>
  </w:num>
  <w:num w:numId="16" w16cid:durableId="1225877401">
    <w:abstractNumId w:val="3"/>
  </w:num>
  <w:num w:numId="17" w16cid:durableId="688024685">
    <w:abstractNumId w:val="12"/>
  </w:num>
  <w:num w:numId="18" w16cid:durableId="63770168">
    <w:abstractNumId w:val="9"/>
  </w:num>
  <w:num w:numId="19" w16cid:durableId="25065286">
    <w:abstractNumId w:val="16"/>
  </w:num>
  <w:num w:numId="20" w16cid:durableId="1071201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3159D"/>
    <w:rsid w:val="00031CA2"/>
    <w:rsid w:val="00032FE7"/>
    <w:rsid w:val="0003325C"/>
    <w:rsid w:val="000409A9"/>
    <w:rsid w:val="00041A65"/>
    <w:rsid w:val="0005109C"/>
    <w:rsid w:val="00052106"/>
    <w:rsid w:val="000539AB"/>
    <w:rsid w:val="00056EB5"/>
    <w:rsid w:val="0006101D"/>
    <w:rsid w:val="00061C86"/>
    <w:rsid w:val="00063C40"/>
    <w:rsid w:val="000661B2"/>
    <w:rsid w:val="0007041F"/>
    <w:rsid w:val="00077273"/>
    <w:rsid w:val="00081045"/>
    <w:rsid w:val="000A0BEF"/>
    <w:rsid w:val="000B0775"/>
    <w:rsid w:val="000B28E0"/>
    <w:rsid w:val="000B79AE"/>
    <w:rsid w:val="000C6A6E"/>
    <w:rsid w:val="000D257B"/>
    <w:rsid w:val="000D4512"/>
    <w:rsid w:val="000E0CF3"/>
    <w:rsid w:val="000E174C"/>
    <w:rsid w:val="000E35EE"/>
    <w:rsid w:val="000E42D0"/>
    <w:rsid w:val="000E495A"/>
    <w:rsid w:val="000F0B7E"/>
    <w:rsid w:val="000F13BB"/>
    <w:rsid w:val="000F2F06"/>
    <w:rsid w:val="000F3018"/>
    <w:rsid w:val="001039B7"/>
    <w:rsid w:val="00103C7C"/>
    <w:rsid w:val="00111476"/>
    <w:rsid w:val="00130068"/>
    <w:rsid w:val="0013188F"/>
    <w:rsid w:val="00137609"/>
    <w:rsid w:val="0015361E"/>
    <w:rsid w:val="00162E02"/>
    <w:rsid w:val="0017135C"/>
    <w:rsid w:val="00176F38"/>
    <w:rsid w:val="00177179"/>
    <w:rsid w:val="00184004"/>
    <w:rsid w:val="00184287"/>
    <w:rsid w:val="00190ADA"/>
    <w:rsid w:val="00190C73"/>
    <w:rsid w:val="001963A0"/>
    <w:rsid w:val="001A01DB"/>
    <w:rsid w:val="001B3583"/>
    <w:rsid w:val="001C55B0"/>
    <w:rsid w:val="001C6C56"/>
    <w:rsid w:val="001D1F16"/>
    <w:rsid w:val="001D23B4"/>
    <w:rsid w:val="001D2A35"/>
    <w:rsid w:val="001D6D5D"/>
    <w:rsid w:val="001E6A65"/>
    <w:rsid w:val="001E7D92"/>
    <w:rsid w:val="001F3664"/>
    <w:rsid w:val="001F41DC"/>
    <w:rsid w:val="001F57C1"/>
    <w:rsid w:val="00210864"/>
    <w:rsid w:val="002121C9"/>
    <w:rsid w:val="002134F1"/>
    <w:rsid w:val="00221D9A"/>
    <w:rsid w:val="002326AB"/>
    <w:rsid w:val="00235010"/>
    <w:rsid w:val="002358F1"/>
    <w:rsid w:val="00242073"/>
    <w:rsid w:val="002575D5"/>
    <w:rsid w:val="0026310A"/>
    <w:rsid w:val="00280BE9"/>
    <w:rsid w:val="00284272"/>
    <w:rsid w:val="00284880"/>
    <w:rsid w:val="002909A5"/>
    <w:rsid w:val="002941DF"/>
    <w:rsid w:val="002974E4"/>
    <w:rsid w:val="002B1DDF"/>
    <w:rsid w:val="002B2806"/>
    <w:rsid w:val="002B6190"/>
    <w:rsid w:val="002B6ECD"/>
    <w:rsid w:val="002D1632"/>
    <w:rsid w:val="002D51B3"/>
    <w:rsid w:val="002E0DE9"/>
    <w:rsid w:val="002E1EE5"/>
    <w:rsid w:val="002E6A7D"/>
    <w:rsid w:val="002F6EA9"/>
    <w:rsid w:val="0030031D"/>
    <w:rsid w:val="00302BB1"/>
    <w:rsid w:val="00303E16"/>
    <w:rsid w:val="003116D4"/>
    <w:rsid w:val="00312F68"/>
    <w:rsid w:val="00313799"/>
    <w:rsid w:val="0031584C"/>
    <w:rsid w:val="00327666"/>
    <w:rsid w:val="00331D38"/>
    <w:rsid w:val="0033320D"/>
    <w:rsid w:val="003354A0"/>
    <w:rsid w:val="00336AA2"/>
    <w:rsid w:val="00336B4C"/>
    <w:rsid w:val="0034011D"/>
    <w:rsid w:val="00343812"/>
    <w:rsid w:val="0035024E"/>
    <w:rsid w:val="00350C57"/>
    <w:rsid w:val="003562AB"/>
    <w:rsid w:val="0036372B"/>
    <w:rsid w:val="003669FF"/>
    <w:rsid w:val="00371285"/>
    <w:rsid w:val="0039543C"/>
    <w:rsid w:val="00396617"/>
    <w:rsid w:val="003A1362"/>
    <w:rsid w:val="003A4FDD"/>
    <w:rsid w:val="003C2436"/>
    <w:rsid w:val="003C31EC"/>
    <w:rsid w:val="003C569E"/>
    <w:rsid w:val="003D5895"/>
    <w:rsid w:val="003D7709"/>
    <w:rsid w:val="003E78F2"/>
    <w:rsid w:val="003F0349"/>
    <w:rsid w:val="0040501F"/>
    <w:rsid w:val="00405D43"/>
    <w:rsid w:val="0040663F"/>
    <w:rsid w:val="0042356F"/>
    <w:rsid w:val="00425A74"/>
    <w:rsid w:val="00430A55"/>
    <w:rsid w:val="00431FE3"/>
    <w:rsid w:val="00432D81"/>
    <w:rsid w:val="00434BDA"/>
    <w:rsid w:val="00440E04"/>
    <w:rsid w:val="00443325"/>
    <w:rsid w:val="004531F1"/>
    <w:rsid w:val="00457A20"/>
    <w:rsid w:val="004608C4"/>
    <w:rsid w:val="004639CE"/>
    <w:rsid w:val="00470915"/>
    <w:rsid w:val="004714F5"/>
    <w:rsid w:val="00472BCE"/>
    <w:rsid w:val="00484A3C"/>
    <w:rsid w:val="004908E9"/>
    <w:rsid w:val="0049469C"/>
    <w:rsid w:val="00495B71"/>
    <w:rsid w:val="004A4270"/>
    <w:rsid w:val="004A5842"/>
    <w:rsid w:val="004A6F0D"/>
    <w:rsid w:val="004B0E85"/>
    <w:rsid w:val="004B43FD"/>
    <w:rsid w:val="004C015B"/>
    <w:rsid w:val="004C12B8"/>
    <w:rsid w:val="004C1FDD"/>
    <w:rsid w:val="004D5245"/>
    <w:rsid w:val="004E3D60"/>
    <w:rsid w:val="00502617"/>
    <w:rsid w:val="00516A25"/>
    <w:rsid w:val="00522427"/>
    <w:rsid w:val="00522DD9"/>
    <w:rsid w:val="005252D3"/>
    <w:rsid w:val="00525339"/>
    <w:rsid w:val="0052732C"/>
    <w:rsid w:val="00527C48"/>
    <w:rsid w:val="00531BD1"/>
    <w:rsid w:val="005330F7"/>
    <w:rsid w:val="005371FE"/>
    <w:rsid w:val="0054087B"/>
    <w:rsid w:val="0055344C"/>
    <w:rsid w:val="00554D0D"/>
    <w:rsid w:val="00560225"/>
    <w:rsid w:val="00563598"/>
    <w:rsid w:val="005645A9"/>
    <w:rsid w:val="00565BF4"/>
    <w:rsid w:val="00583906"/>
    <w:rsid w:val="0059075E"/>
    <w:rsid w:val="00594151"/>
    <w:rsid w:val="0059467B"/>
    <w:rsid w:val="00597EB1"/>
    <w:rsid w:val="005A2A3E"/>
    <w:rsid w:val="005A4272"/>
    <w:rsid w:val="005A46AC"/>
    <w:rsid w:val="005A7A22"/>
    <w:rsid w:val="005B23A6"/>
    <w:rsid w:val="005B2C28"/>
    <w:rsid w:val="005B6A43"/>
    <w:rsid w:val="005B759C"/>
    <w:rsid w:val="005C28E8"/>
    <w:rsid w:val="005C5625"/>
    <w:rsid w:val="005C5C48"/>
    <w:rsid w:val="005D3709"/>
    <w:rsid w:val="005D644E"/>
    <w:rsid w:val="005E031D"/>
    <w:rsid w:val="005E4E96"/>
    <w:rsid w:val="005E6D3C"/>
    <w:rsid w:val="005E759A"/>
    <w:rsid w:val="005F45F7"/>
    <w:rsid w:val="005F738C"/>
    <w:rsid w:val="0060143A"/>
    <w:rsid w:val="00605C9E"/>
    <w:rsid w:val="00610891"/>
    <w:rsid w:val="006130F3"/>
    <w:rsid w:val="006328FF"/>
    <w:rsid w:val="0063295C"/>
    <w:rsid w:val="00633D17"/>
    <w:rsid w:val="006453C5"/>
    <w:rsid w:val="00647E28"/>
    <w:rsid w:val="006634BD"/>
    <w:rsid w:val="00664C8E"/>
    <w:rsid w:val="006704FB"/>
    <w:rsid w:val="00671C88"/>
    <w:rsid w:val="00674323"/>
    <w:rsid w:val="00674D8A"/>
    <w:rsid w:val="00675DA1"/>
    <w:rsid w:val="006766B1"/>
    <w:rsid w:val="00682891"/>
    <w:rsid w:val="0068486B"/>
    <w:rsid w:val="006867A3"/>
    <w:rsid w:val="006A5E4C"/>
    <w:rsid w:val="006A689A"/>
    <w:rsid w:val="006A7DC4"/>
    <w:rsid w:val="006C0316"/>
    <w:rsid w:val="006C1546"/>
    <w:rsid w:val="006C19FB"/>
    <w:rsid w:val="006C26A2"/>
    <w:rsid w:val="006C6ECE"/>
    <w:rsid w:val="006D2054"/>
    <w:rsid w:val="006D7C6F"/>
    <w:rsid w:val="006E16B9"/>
    <w:rsid w:val="00704E4A"/>
    <w:rsid w:val="0071181A"/>
    <w:rsid w:val="00712EEF"/>
    <w:rsid w:val="007259EC"/>
    <w:rsid w:val="0073233F"/>
    <w:rsid w:val="00742A75"/>
    <w:rsid w:val="0074394B"/>
    <w:rsid w:val="00743A65"/>
    <w:rsid w:val="007457D1"/>
    <w:rsid w:val="00746752"/>
    <w:rsid w:val="00751341"/>
    <w:rsid w:val="007610DF"/>
    <w:rsid w:val="00761A01"/>
    <w:rsid w:val="00762D23"/>
    <w:rsid w:val="00766724"/>
    <w:rsid w:val="0077068B"/>
    <w:rsid w:val="00775BAA"/>
    <w:rsid w:val="00786961"/>
    <w:rsid w:val="00787036"/>
    <w:rsid w:val="00790F4D"/>
    <w:rsid w:val="00795F19"/>
    <w:rsid w:val="00796196"/>
    <w:rsid w:val="007A0EA9"/>
    <w:rsid w:val="007B7B9E"/>
    <w:rsid w:val="007C4643"/>
    <w:rsid w:val="007D0724"/>
    <w:rsid w:val="007D6962"/>
    <w:rsid w:val="007E5033"/>
    <w:rsid w:val="007E5420"/>
    <w:rsid w:val="007F78EC"/>
    <w:rsid w:val="008042C3"/>
    <w:rsid w:val="00810FEA"/>
    <w:rsid w:val="00816618"/>
    <w:rsid w:val="008179D3"/>
    <w:rsid w:val="00820572"/>
    <w:rsid w:val="00824CC1"/>
    <w:rsid w:val="0082759B"/>
    <w:rsid w:val="0083085C"/>
    <w:rsid w:val="00832514"/>
    <w:rsid w:val="008349F2"/>
    <w:rsid w:val="00837BC1"/>
    <w:rsid w:val="0084078E"/>
    <w:rsid w:val="00842B75"/>
    <w:rsid w:val="00843436"/>
    <w:rsid w:val="0084783D"/>
    <w:rsid w:val="0085410E"/>
    <w:rsid w:val="008619CA"/>
    <w:rsid w:val="0086480E"/>
    <w:rsid w:val="00871567"/>
    <w:rsid w:val="00871E2C"/>
    <w:rsid w:val="00872FF8"/>
    <w:rsid w:val="00884FAD"/>
    <w:rsid w:val="008852CE"/>
    <w:rsid w:val="008868ED"/>
    <w:rsid w:val="008940E0"/>
    <w:rsid w:val="008A3F39"/>
    <w:rsid w:val="008A42C6"/>
    <w:rsid w:val="008B0AC3"/>
    <w:rsid w:val="008B769D"/>
    <w:rsid w:val="008C3A4A"/>
    <w:rsid w:val="008D3608"/>
    <w:rsid w:val="008D7F9C"/>
    <w:rsid w:val="008E399F"/>
    <w:rsid w:val="008E4973"/>
    <w:rsid w:val="008E6292"/>
    <w:rsid w:val="008F04B1"/>
    <w:rsid w:val="008F6053"/>
    <w:rsid w:val="008F664D"/>
    <w:rsid w:val="00901008"/>
    <w:rsid w:val="0090150F"/>
    <w:rsid w:val="0090434C"/>
    <w:rsid w:val="00905C3E"/>
    <w:rsid w:val="0092141A"/>
    <w:rsid w:val="00933B90"/>
    <w:rsid w:val="009363C0"/>
    <w:rsid w:val="00936467"/>
    <w:rsid w:val="0093713A"/>
    <w:rsid w:val="00944528"/>
    <w:rsid w:val="009672A3"/>
    <w:rsid w:val="009731EE"/>
    <w:rsid w:val="009767EB"/>
    <w:rsid w:val="00985501"/>
    <w:rsid w:val="00994316"/>
    <w:rsid w:val="00995A6E"/>
    <w:rsid w:val="009A08AE"/>
    <w:rsid w:val="009A2337"/>
    <w:rsid w:val="009A4FCA"/>
    <w:rsid w:val="009A6AA7"/>
    <w:rsid w:val="009B1F41"/>
    <w:rsid w:val="009B28A1"/>
    <w:rsid w:val="009B3CF3"/>
    <w:rsid w:val="009C03CC"/>
    <w:rsid w:val="009C3582"/>
    <w:rsid w:val="009F2185"/>
    <w:rsid w:val="009F6C60"/>
    <w:rsid w:val="009F7AE8"/>
    <w:rsid w:val="00A0602B"/>
    <w:rsid w:val="00A13175"/>
    <w:rsid w:val="00A15D68"/>
    <w:rsid w:val="00A20896"/>
    <w:rsid w:val="00A3101E"/>
    <w:rsid w:val="00A32F7C"/>
    <w:rsid w:val="00A350E8"/>
    <w:rsid w:val="00A36352"/>
    <w:rsid w:val="00A44ED2"/>
    <w:rsid w:val="00A45996"/>
    <w:rsid w:val="00A46308"/>
    <w:rsid w:val="00A5442D"/>
    <w:rsid w:val="00A56F6E"/>
    <w:rsid w:val="00A60DE0"/>
    <w:rsid w:val="00A62BB6"/>
    <w:rsid w:val="00A63AA9"/>
    <w:rsid w:val="00A82E07"/>
    <w:rsid w:val="00A93363"/>
    <w:rsid w:val="00AA2E8B"/>
    <w:rsid w:val="00AB073D"/>
    <w:rsid w:val="00AB1268"/>
    <w:rsid w:val="00AB3AA3"/>
    <w:rsid w:val="00AC0CF7"/>
    <w:rsid w:val="00AD244C"/>
    <w:rsid w:val="00AD2B19"/>
    <w:rsid w:val="00AD42A1"/>
    <w:rsid w:val="00AD4F4C"/>
    <w:rsid w:val="00AD7A32"/>
    <w:rsid w:val="00AE555A"/>
    <w:rsid w:val="00AF0526"/>
    <w:rsid w:val="00AF3C15"/>
    <w:rsid w:val="00AF63ED"/>
    <w:rsid w:val="00B00F6A"/>
    <w:rsid w:val="00B0226B"/>
    <w:rsid w:val="00B03BEC"/>
    <w:rsid w:val="00B2055E"/>
    <w:rsid w:val="00B22CD6"/>
    <w:rsid w:val="00B234A0"/>
    <w:rsid w:val="00B23CB8"/>
    <w:rsid w:val="00B33183"/>
    <w:rsid w:val="00B469C3"/>
    <w:rsid w:val="00B519AA"/>
    <w:rsid w:val="00B51A11"/>
    <w:rsid w:val="00B609A5"/>
    <w:rsid w:val="00B665AB"/>
    <w:rsid w:val="00B671F6"/>
    <w:rsid w:val="00B716CD"/>
    <w:rsid w:val="00B76E16"/>
    <w:rsid w:val="00B81CB2"/>
    <w:rsid w:val="00B82E5F"/>
    <w:rsid w:val="00B842F0"/>
    <w:rsid w:val="00B86FD6"/>
    <w:rsid w:val="00B93B28"/>
    <w:rsid w:val="00BA192A"/>
    <w:rsid w:val="00BA1957"/>
    <w:rsid w:val="00BA2B39"/>
    <w:rsid w:val="00BA7659"/>
    <w:rsid w:val="00BB1083"/>
    <w:rsid w:val="00BB7B69"/>
    <w:rsid w:val="00BB7FAE"/>
    <w:rsid w:val="00BC26D1"/>
    <w:rsid w:val="00BC60DB"/>
    <w:rsid w:val="00BE543C"/>
    <w:rsid w:val="00BE54DD"/>
    <w:rsid w:val="00BF0610"/>
    <w:rsid w:val="00C01ED7"/>
    <w:rsid w:val="00C108C1"/>
    <w:rsid w:val="00C1760C"/>
    <w:rsid w:val="00C22028"/>
    <w:rsid w:val="00C235F9"/>
    <w:rsid w:val="00C23D9A"/>
    <w:rsid w:val="00C274B7"/>
    <w:rsid w:val="00C305C4"/>
    <w:rsid w:val="00C32E9F"/>
    <w:rsid w:val="00C34E3C"/>
    <w:rsid w:val="00C34F42"/>
    <w:rsid w:val="00C44620"/>
    <w:rsid w:val="00C51F07"/>
    <w:rsid w:val="00C53E81"/>
    <w:rsid w:val="00C67945"/>
    <w:rsid w:val="00C7409D"/>
    <w:rsid w:val="00C80D58"/>
    <w:rsid w:val="00C82890"/>
    <w:rsid w:val="00C84318"/>
    <w:rsid w:val="00C928DB"/>
    <w:rsid w:val="00C9645B"/>
    <w:rsid w:val="00C974A1"/>
    <w:rsid w:val="00CC20D1"/>
    <w:rsid w:val="00CE2165"/>
    <w:rsid w:val="00CF5D3B"/>
    <w:rsid w:val="00CF7EBE"/>
    <w:rsid w:val="00D01276"/>
    <w:rsid w:val="00D0426A"/>
    <w:rsid w:val="00D06541"/>
    <w:rsid w:val="00D06D71"/>
    <w:rsid w:val="00D140B0"/>
    <w:rsid w:val="00D1567A"/>
    <w:rsid w:val="00D20514"/>
    <w:rsid w:val="00D240CD"/>
    <w:rsid w:val="00D40160"/>
    <w:rsid w:val="00D418E6"/>
    <w:rsid w:val="00D4691A"/>
    <w:rsid w:val="00D5464B"/>
    <w:rsid w:val="00D5490E"/>
    <w:rsid w:val="00D56009"/>
    <w:rsid w:val="00D62FDB"/>
    <w:rsid w:val="00D73656"/>
    <w:rsid w:val="00D7498A"/>
    <w:rsid w:val="00D8210B"/>
    <w:rsid w:val="00D84984"/>
    <w:rsid w:val="00D86D86"/>
    <w:rsid w:val="00D93628"/>
    <w:rsid w:val="00D97D0C"/>
    <w:rsid w:val="00DA02C1"/>
    <w:rsid w:val="00DA6A7C"/>
    <w:rsid w:val="00DB1D01"/>
    <w:rsid w:val="00DB2336"/>
    <w:rsid w:val="00DB5146"/>
    <w:rsid w:val="00DD0168"/>
    <w:rsid w:val="00DD4314"/>
    <w:rsid w:val="00DD54F9"/>
    <w:rsid w:val="00DD57DD"/>
    <w:rsid w:val="00DE481B"/>
    <w:rsid w:val="00DF3259"/>
    <w:rsid w:val="00DF7254"/>
    <w:rsid w:val="00DF7E74"/>
    <w:rsid w:val="00E01CC4"/>
    <w:rsid w:val="00E05CF3"/>
    <w:rsid w:val="00E177E7"/>
    <w:rsid w:val="00E2494F"/>
    <w:rsid w:val="00E25A5C"/>
    <w:rsid w:val="00E31365"/>
    <w:rsid w:val="00E34E0F"/>
    <w:rsid w:val="00E4182C"/>
    <w:rsid w:val="00E56C45"/>
    <w:rsid w:val="00E62692"/>
    <w:rsid w:val="00E77D51"/>
    <w:rsid w:val="00E80841"/>
    <w:rsid w:val="00E84614"/>
    <w:rsid w:val="00EB2663"/>
    <w:rsid w:val="00EB3205"/>
    <w:rsid w:val="00EC1702"/>
    <w:rsid w:val="00EC198A"/>
    <w:rsid w:val="00EC1FBC"/>
    <w:rsid w:val="00EC3C7D"/>
    <w:rsid w:val="00EC6580"/>
    <w:rsid w:val="00EC7BAC"/>
    <w:rsid w:val="00ED041C"/>
    <w:rsid w:val="00EF006D"/>
    <w:rsid w:val="00EF02FE"/>
    <w:rsid w:val="00EF28D8"/>
    <w:rsid w:val="00EF3E9A"/>
    <w:rsid w:val="00F014DF"/>
    <w:rsid w:val="00F0263D"/>
    <w:rsid w:val="00F04771"/>
    <w:rsid w:val="00F04C15"/>
    <w:rsid w:val="00F05F12"/>
    <w:rsid w:val="00F071CF"/>
    <w:rsid w:val="00F072E0"/>
    <w:rsid w:val="00F15B7B"/>
    <w:rsid w:val="00F166B9"/>
    <w:rsid w:val="00F215AC"/>
    <w:rsid w:val="00F231E8"/>
    <w:rsid w:val="00F26BA0"/>
    <w:rsid w:val="00F40AA5"/>
    <w:rsid w:val="00F41E26"/>
    <w:rsid w:val="00F5349E"/>
    <w:rsid w:val="00F53636"/>
    <w:rsid w:val="00F54655"/>
    <w:rsid w:val="00F56BD6"/>
    <w:rsid w:val="00F62B17"/>
    <w:rsid w:val="00F67E81"/>
    <w:rsid w:val="00F7155B"/>
    <w:rsid w:val="00F74F81"/>
    <w:rsid w:val="00F75474"/>
    <w:rsid w:val="00F86394"/>
    <w:rsid w:val="00F9367F"/>
    <w:rsid w:val="00FA29AC"/>
    <w:rsid w:val="00FA41D4"/>
    <w:rsid w:val="00FA5582"/>
    <w:rsid w:val="00FB473B"/>
    <w:rsid w:val="00FC458F"/>
    <w:rsid w:val="00FD3488"/>
    <w:rsid w:val="00FE1C2F"/>
    <w:rsid w:val="00FE321E"/>
    <w:rsid w:val="00FE3850"/>
    <w:rsid w:val="00FE71A6"/>
    <w:rsid w:val="00FF5B36"/>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ECF4F"/>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0E04"/>
    <w:pPr>
      <w:spacing w:after="0" w:line="240" w:lineRule="auto"/>
    </w:pPr>
  </w:style>
  <w:style w:type="paragraph" w:customStyle="1" w:styleId="p1">
    <w:name w:val="p1"/>
    <w:basedOn w:val="Normal"/>
    <w:rsid w:val="00E2494F"/>
    <w:pPr>
      <w:spacing w:after="0" w:line="240" w:lineRule="auto"/>
    </w:pPr>
    <w:rPr>
      <w:rFonts w:eastAsia="Times New Roman" w:cs="Arial"/>
      <w:color w:val="000000"/>
      <w:sz w:val="17"/>
      <w:szCs w:val="17"/>
      <w:lang w:val="en-GB" w:eastAsia="en-GB"/>
    </w:rPr>
  </w:style>
  <w:style w:type="character" w:customStyle="1" w:styleId="s1">
    <w:name w:val="s1"/>
    <w:basedOn w:val="DefaultParagraphFont"/>
    <w:rsid w:val="00E2494F"/>
    <w:rPr>
      <w:rFonts w:ascii="Courier New" w:hAnsi="Courier New" w:cs="Courier New" w:hint="default"/>
      <w:sz w:val="17"/>
      <w:szCs w:val="17"/>
    </w:rPr>
  </w:style>
  <w:style w:type="character" w:customStyle="1" w:styleId="apple-converted-space">
    <w:name w:val="apple-converted-space"/>
    <w:basedOn w:val="DefaultParagraphFont"/>
    <w:rsid w:val="005371FE"/>
  </w:style>
  <w:style w:type="paragraph" w:customStyle="1" w:styleId="p2">
    <w:name w:val="p2"/>
    <w:basedOn w:val="Normal"/>
    <w:rsid w:val="00C305C4"/>
    <w:pPr>
      <w:spacing w:after="0" w:line="240" w:lineRule="auto"/>
    </w:pPr>
    <w:rPr>
      <w:rFonts w:eastAsia="Times New Roman" w:cs="Arial"/>
      <w:color w:val="000000"/>
      <w:sz w:val="14"/>
      <w:szCs w:val="1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9929416AA0540C42B015682282C961AD" ma:contentTypeVersion="26" ma:contentTypeDescription="Crear nuevo documento." ma:contentTypeScope="" ma:versionID="9bc1cafe4360f20b5afaadcb79868c66">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9a5c408459f1deb54f1dd1f0ce43320"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Palabras clave de empresa"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2.xml><?xml version="1.0" encoding="utf-8"?>
<ds:datastoreItem xmlns:ds="http://schemas.openxmlformats.org/officeDocument/2006/customXml" ds:itemID="{795811A7-E4FD-41DF-ABFB-8F36C6E65754}">
  <ds:schemaRefs>
    <ds:schemaRef ds:uri="http://schemas.openxmlformats.org/officeDocument/2006/bibliography"/>
  </ds:schemaRefs>
</ds:datastoreItem>
</file>

<file path=customXml/itemProps3.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4.xml><?xml version="1.0" encoding="utf-8"?>
<ds:datastoreItem xmlns:ds="http://schemas.openxmlformats.org/officeDocument/2006/customXml" ds:itemID="{A2BE9C96-532E-4FB3-8D30-E01C0F7700A9}"/>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Template>
  <TotalTime>58</TotalTime>
  <Pages>10</Pages>
  <Words>3038</Words>
  <Characters>17320</Characters>
  <Application>Microsoft Office Word</Application>
  <DocSecurity>0</DocSecurity>
  <Lines>144</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63</cp:revision>
  <dcterms:created xsi:type="dcterms:W3CDTF">2025-11-06T12:16:00Z</dcterms:created>
  <dcterms:modified xsi:type="dcterms:W3CDTF">2026-01-27T12:38:00Z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