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F87117"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5DE56D72" w:rsidR="00002A97" w:rsidRPr="00B26725"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B26725">
              <w:rPr>
                <w:rFonts w:eastAsia="Times New Roman" w:cs="Arial"/>
                <w:szCs w:val="24"/>
                <w:lang w:val="es-ES" w:eastAsia="es-ES"/>
              </w:rPr>
              <w:t>UNEP/CMS/COP1</w:t>
            </w:r>
            <w:r w:rsidR="00C22155" w:rsidRPr="00B26725">
              <w:rPr>
                <w:rFonts w:eastAsia="Times New Roman" w:cs="Arial"/>
                <w:szCs w:val="24"/>
                <w:lang w:val="es-ES" w:eastAsia="es-ES"/>
              </w:rPr>
              <w:t>5</w:t>
            </w:r>
            <w:r w:rsidRPr="00B26725">
              <w:rPr>
                <w:rFonts w:eastAsia="Times New Roman" w:cs="Arial"/>
                <w:szCs w:val="24"/>
                <w:lang w:val="es-ES" w:eastAsia="es-ES"/>
              </w:rPr>
              <w:t>/</w:t>
            </w:r>
            <w:r w:rsidR="00800CB3" w:rsidRPr="00B26725">
              <w:rPr>
                <w:rFonts w:eastAsia="Times New Roman" w:cs="Arial"/>
                <w:szCs w:val="24"/>
                <w:lang w:val="es-ES" w:eastAsia="es-ES"/>
              </w:rPr>
              <w:t>Doc</w:t>
            </w:r>
            <w:r w:rsidRPr="00B26725">
              <w:rPr>
                <w:rFonts w:eastAsia="Times New Roman" w:cs="Arial"/>
                <w:szCs w:val="24"/>
                <w:lang w:val="es-ES" w:eastAsia="es-ES"/>
              </w:rPr>
              <w:t>.</w:t>
            </w:r>
            <w:r w:rsidR="00F87117">
              <w:rPr>
                <w:rFonts w:eastAsia="Times New Roman" w:cs="Arial"/>
                <w:szCs w:val="24"/>
                <w:lang w:val="es-ES" w:eastAsia="es-ES"/>
              </w:rPr>
              <w:t>25.6.2</w:t>
            </w:r>
          </w:p>
          <w:p w14:paraId="5F9B9DE6" w14:textId="43FB7EF6" w:rsidR="00002A97" w:rsidRPr="00B26725" w:rsidRDefault="00F8711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 xml:space="preserve">27 de octubre </w:t>
            </w:r>
            <w:r w:rsidR="00002A97" w:rsidRPr="00B26725">
              <w:rPr>
                <w:rFonts w:eastAsia="Times New Roman" w:cs="Arial"/>
                <w:szCs w:val="24"/>
                <w:lang w:val="es-ES" w:eastAsia="es-ES"/>
              </w:rPr>
              <w:t>20</w:t>
            </w:r>
            <w:r w:rsidR="000F4BDA" w:rsidRPr="00B26725">
              <w:rPr>
                <w:rFonts w:eastAsia="Times New Roman" w:cs="Arial"/>
                <w:szCs w:val="24"/>
                <w:lang w:val="es-ES" w:eastAsia="es-ES"/>
              </w:rPr>
              <w:t>2</w:t>
            </w:r>
            <w:r w:rsidR="00BE6C85" w:rsidRPr="00B26725">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5F1C897F"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F87117">
        <w:rPr>
          <w:rFonts w:eastAsia="Times New Roman" w:cs="Arial"/>
          <w:szCs w:val="24"/>
          <w:lang w:val="es-ES" w:eastAsia="es-ES"/>
        </w:rPr>
        <w:t>25.6.2</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44CBB940" w:rsidR="00002A97" w:rsidRPr="00790422" w:rsidRDefault="00F87117"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E937ED">
        <w:rPr>
          <w:rFonts w:eastAsia="Times New Roman" w:cs="Arial"/>
          <w:b/>
          <w:lang w:val="es-ES"/>
        </w:rPr>
        <w:t>ANGUILA EUROPEA</w:t>
      </w:r>
    </w:p>
    <w:p w14:paraId="649BC530" w14:textId="62EED1DF"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E77A9F">
        <w:rPr>
          <w:rFonts w:eastAsia="Times New Roman" w:cs="Arial"/>
          <w:i/>
          <w:szCs w:val="24"/>
          <w:lang w:val="es-ES" w:eastAsia="es-ES"/>
        </w:rPr>
        <w:t xml:space="preserve">(Preparado por la </w:t>
      </w:r>
      <w:r w:rsidR="00800CB3">
        <w:rPr>
          <w:rFonts w:eastAsia="Times New Roman" w:cs="Arial"/>
          <w:i/>
          <w:szCs w:val="24"/>
          <w:lang w:val="es-ES" w:eastAsia="es-ES"/>
        </w:rPr>
        <w:t>Secretaría</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458B1388">
                <wp:simplePos x="0" y="0"/>
                <wp:positionH relativeFrom="column">
                  <wp:posOffset>974785</wp:posOffset>
                </wp:positionH>
                <wp:positionV relativeFrom="paragraph">
                  <wp:posOffset>147679</wp:posOffset>
                </wp:positionV>
                <wp:extent cx="4304666" cy="2191110"/>
                <wp:effectExtent l="0" t="0" r="19685" b="19050"/>
                <wp:wrapNone/>
                <wp:docPr id="5" name="Text Box 4"/>
                <wp:cNvGraphicFramePr/>
                <a:graphic xmlns:a="http://schemas.openxmlformats.org/drawingml/2006/main">
                  <a:graphicData uri="http://schemas.microsoft.com/office/word/2010/wordprocessingShape">
                    <wps:wsp>
                      <wps:cNvSpPr txBox="1"/>
                      <wps:spPr>
                        <a:xfrm>
                          <a:off x="0" y="0"/>
                          <a:ext cx="4304666" cy="2191110"/>
                        </a:xfrm>
                        <a:prstGeom prst="rect">
                          <a:avLst/>
                        </a:prstGeom>
                        <a:solidFill>
                          <a:srgbClr val="FFFFFF"/>
                        </a:solidFill>
                        <a:ln w="3172">
                          <a:solidFill>
                            <a:srgbClr val="000000"/>
                          </a:solidFill>
                          <a:prstDash val="solid"/>
                        </a:ln>
                      </wps:spPr>
                      <wps:txbx>
                        <w:txbxContent>
                          <w:p w14:paraId="78EFDF6D" w14:textId="1DCE26E8" w:rsidR="002D5F2A" w:rsidRPr="008373C7" w:rsidRDefault="002D5F2A" w:rsidP="002D5F2A">
                            <w:pPr>
                              <w:spacing w:after="0"/>
                              <w:rPr>
                                <w:lang w:val="fr-FR"/>
                              </w:rPr>
                            </w:pPr>
                            <w:r>
                              <w:rPr>
                                <w:rFonts w:eastAsia="Arial" w:cs="Arial"/>
                                <w:lang w:val="fr-FR"/>
                              </w:rPr>
                              <w:t>Resumen:</w:t>
                            </w:r>
                          </w:p>
                          <w:p w14:paraId="255B4E63" w14:textId="77777777" w:rsidR="002D5F2A" w:rsidRDefault="002D5F2A" w:rsidP="002D5F2A">
                            <w:pPr>
                              <w:spacing w:after="0"/>
                              <w:rPr>
                                <w:rFonts w:cs="Arial"/>
                                <w:lang w:val="fr-FR"/>
                              </w:rPr>
                            </w:pPr>
                          </w:p>
                          <w:p w14:paraId="45020A3A" w14:textId="77777777" w:rsidR="00F87117" w:rsidRPr="0068085C" w:rsidRDefault="00F87117" w:rsidP="00F87117">
                            <w:pPr>
                              <w:spacing w:after="0" w:line="240" w:lineRule="auto"/>
                              <w:jc w:val="both"/>
                              <w:rPr>
                                <w:rFonts w:cs="Arial"/>
                                <w:lang w:val="es-ES"/>
                              </w:rPr>
                            </w:pPr>
                            <w:r w:rsidRPr="0068085C">
                              <w:rPr>
                                <w:rFonts w:cs="Arial"/>
                                <w:lang w:val="es-ES"/>
                              </w:rPr>
                              <w:t>En el presente documento informa sobre el avance en la aplicación de las Decisiones 14.106</w:t>
                            </w:r>
                            <w:r w:rsidRPr="0068085C">
                              <w:rPr>
                                <w:rFonts w:cs="Arial"/>
                                <w:sz w:val="21"/>
                                <w:szCs w:val="21"/>
                                <w:lang w:val="es-ES"/>
                              </w:rPr>
                              <w:t>–</w:t>
                            </w:r>
                            <w:r w:rsidRPr="0068085C">
                              <w:rPr>
                                <w:rFonts w:cs="Arial"/>
                                <w:lang w:val="es-ES"/>
                              </w:rPr>
                              <w:t xml:space="preserve">14.109 </w:t>
                            </w:r>
                            <w:r w:rsidRPr="0068085C">
                              <w:rPr>
                                <w:rFonts w:cs="Arial"/>
                                <w:i/>
                                <w:iCs/>
                                <w:lang w:val="es-ES"/>
                              </w:rPr>
                              <w:t xml:space="preserve">Anguila europea </w:t>
                            </w:r>
                            <w:r w:rsidRPr="0068085C">
                              <w:rPr>
                                <w:rFonts w:cs="Arial"/>
                                <w:lang w:val="es-ES"/>
                              </w:rPr>
                              <w:t>y propone nuevos proyectos de Decisión para su adopción. También propone un proyecto de Resolución y un proyecto de Plan de Acción de Especies Únicas para la anguila europea.</w:t>
                            </w:r>
                          </w:p>
                          <w:p w14:paraId="7A4F3F57" w14:textId="77777777" w:rsidR="00F87117" w:rsidRPr="0068085C" w:rsidRDefault="00F87117" w:rsidP="00F87117">
                            <w:pPr>
                              <w:spacing w:after="0" w:line="240" w:lineRule="auto"/>
                              <w:jc w:val="both"/>
                              <w:rPr>
                                <w:rFonts w:cs="Arial"/>
                                <w:lang w:val="es-ES"/>
                              </w:rPr>
                            </w:pPr>
                          </w:p>
                          <w:p w14:paraId="4D3DD880" w14:textId="77777777" w:rsidR="00F87117" w:rsidRPr="0068085C" w:rsidRDefault="00F87117" w:rsidP="00F87117">
                            <w:pPr>
                              <w:spacing w:after="0" w:line="240" w:lineRule="auto"/>
                              <w:jc w:val="both"/>
                              <w:rPr>
                                <w:rFonts w:cs="Arial"/>
                                <w:sz w:val="21"/>
                                <w:szCs w:val="21"/>
                                <w:lang w:val="es-ES"/>
                              </w:rPr>
                            </w:pPr>
                            <w:r w:rsidRPr="0068085C">
                              <w:rPr>
                                <w:rFonts w:cs="Arial"/>
                                <w:sz w:val="21"/>
                                <w:szCs w:val="21"/>
                                <w:lang w:val="es-ES"/>
                              </w:rPr>
                              <w:t>Los proyectos adjuntos de Resolución, de Plan de Acción y de Decisiones apoyarían la consecución de las Metas 1.1, 2.3, 3.1, 4.1 y 5.4 del Plan Estratégico de Samarcanda para las Especies Migratorias 2024–2032.</w:t>
                            </w:r>
                          </w:p>
                          <w:p w14:paraId="3598E125" w14:textId="77777777" w:rsidR="00F87117" w:rsidRPr="00F87117" w:rsidRDefault="00F87117" w:rsidP="002D5F2A">
                            <w:pPr>
                              <w:spacing w:after="0"/>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75pt;margin-top:11.65pt;width:338.95pt;height:172.5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" strokeweight=".08811mm">
                <v:textbox>
                  <w:txbxContent>
                    <w:p w14:paraId="78EFDF6D" w14:textId="1DCE26E8" w:rsidR="002D5F2A" w:rsidRPr="008373C7" w:rsidRDefault="002D5F2A" w:rsidP="002D5F2A">
                      <w:pPr>
                        <w:spacing w:after="0"/>
                        <w:rPr>
                          <w:lang w:val="fr-FR"/>
                        </w:rPr>
                      </w:pPr>
                      <w:r>
                        <w:rPr>
                          <w:rFonts w:eastAsia="Arial" w:cs="Arial"/>
                          <w:lang w:val="fr-FR"/>
                        </w:rPr>
                        <w:t>Resumen:</w:t>
                      </w:r>
                    </w:p>
                    <w:p w14:paraId="255B4E63" w14:textId="77777777" w:rsidR="002D5F2A" w:rsidRDefault="002D5F2A" w:rsidP="002D5F2A">
                      <w:pPr>
                        <w:spacing w:after="0"/>
                        <w:rPr>
                          <w:rFonts w:cs="Arial"/>
                          <w:lang w:val="fr-FR"/>
                        </w:rPr>
                      </w:pPr>
                    </w:p>
                    <w:p w14:paraId="45020A3A" w14:textId="77777777" w:rsidR="00F87117" w:rsidRPr="0068085C" w:rsidRDefault="00F87117" w:rsidP="00F87117">
                      <w:pPr>
                        <w:spacing w:after="0" w:line="240" w:lineRule="auto"/>
                        <w:jc w:val="both"/>
                        <w:rPr>
                          <w:rFonts w:cs="Arial"/>
                          <w:lang w:val="es-ES"/>
                        </w:rPr>
                      </w:pPr>
                      <w:r w:rsidRPr="0068085C">
                        <w:rPr>
                          <w:rFonts w:cs="Arial"/>
                          <w:lang w:val="es-ES"/>
                        </w:rPr>
                        <w:t>En el presente documento informa sobre el avance en la aplicación de las Decisiones 14.106</w:t>
                      </w:r>
                      <w:r w:rsidRPr="0068085C">
                        <w:rPr>
                          <w:rFonts w:cs="Arial"/>
                          <w:sz w:val="21"/>
                          <w:szCs w:val="21"/>
                          <w:lang w:val="es-ES"/>
                        </w:rPr>
                        <w:t>–</w:t>
                      </w:r>
                      <w:r w:rsidRPr="0068085C">
                        <w:rPr>
                          <w:rFonts w:cs="Arial"/>
                          <w:lang w:val="es-ES"/>
                        </w:rPr>
                        <w:t xml:space="preserve">14.109 </w:t>
                      </w:r>
                      <w:r w:rsidRPr="0068085C">
                        <w:rPr>
                          <w:rFonts w:cs="Arial"/>
                          <w:i/>
                          <w:iCs/>
                          <w:lang w:val="es-ES"/>
                        </w:rPr>
                        <w:t xml:space="preserve">Anguila europea </w:t>
                      </w:r>
                      <w:r w:rsidRPr="0068085C">
                        <w:rPr>
                          <w:rFonts w:cs="Arial"/>
                          <w:lang w:val="es-ES"/>
                        </w:rPr>
                        <w:t>y propone nuevos proyectos de Decisión para su adopción. También propone un proyecto de Resolución y un proyecto de Plan de Acción de Especies Únicas para la anguila europea.</w:t>
                      </w:r>
                    </w:p>
                    <w:p w14:paraId="7A4F3F57" w14:textId="77777777" w:rsidR="00F87117" w:rsidRPr="0068085C" w:rsidRDefault="00F87117" w:rsidP="00F87117">
                      <w:pPr>
                        <w:spacing w:after="0" w:line="240" w:lineRule="auto"/>
                        <w:jc w:val="both"/>
                        <w:rPr>
                          <w:rFonts w:cs="Arial"/>
                          <w:lang w:val="es-ES"/>
                        </w:rPr>
                      </w:pPr>
                    </w:p>
                    <w:p w14:paraId="4D3DD880" w14:textId="77777777" w:rsidR="00F87117" w:rsidRPr="0068085C" w:rsidRDefault="00F87117" w:rsidP="00F87117">
                      <w:pPr>
                        <w:spacing w:after="0" w:line="240" w:lineRule="auto"/>
                        <w:jc w:val="both"/>
                        <w:rPr>
                          <w:rFonts w:cs="Arial"/>
                          <w:sz w:val="21"/>
                          <w:szCs w:val="21"/>
                          <w:lang w:val="es-ES"/>
                        </w:rPr>
                      </w:pPr>
                      <w:r w:rsidRPr="0068085C">
                        <w:rPr>
                          <w:rFonts w:cs="Arial"/>
                          <w:sz w:val="21"/>
                          <w:szCs w:val="21"/>
                          <w:lang w:val="es-ES"/>
                        </w:rPr>
                        <w:t>Los proyectos adjuntos de Resolución, de Plan de Acción y de Decisiones apoyarían la consecución de las Metas 1.1, 2.3, 3.1, 4.1 y 5.4 del Plan Estratégico de Samarcanda para las Especies Migratorias 2024–2032.</w:t>
                      </w:r>
                    </w:p>
                    <w:p w14:paraId="3598E125" w14:textId="77777777" w:rsidR="00F87117" w:rsidRPr="00F87117" w:rsidRDefault="00F87117" w:rsidP="002D5F2A">
                      <w:pPr>
                        <w:spacing w:after="0"/>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363D607C" w14:textId="77777777" w:rsidR="00F87117" w:rsidRPr="00E937ED" w:rsidRDefault="00F87117" w:rsidP="00F87117">
      <w:pPr>
        <w:pStyle w:val="Title1"/>
        <w:rPr>
          <w:caps w:val="0"/>
        </w:rPr>
      </w:pPr>
      <w:r w:rsidRPr="00E937ED">
        <w:rPr>
          <w:caps w:val="0"/>
        </w:rPr>
        <w:lastRenderedPageBreak/>
        <w:t>ANGUILA EUROPEA</w:t>
      </w:r>
    </w:p>
    <w:p w14:paraId="6BAB57CD" w14:textId="77777777" w:rsidR="00F87117" w:rsidRPr="00E937ED" w:rsidRDefault="00F87117" w:rsidP="00F87117">
      <w:pPr>
        <w:spacing w:after="0" w:line="240" w:lineRule="auto"/>
        <w:jc w:val="both"/>
        <w:rPr>
          <w:rFonts w:cs="Arial"/>
          <w:i/>
          <w:lang w:val="es-ES"/>
        </w:rPr>
      </w:pPr>
    </w:p>
    <w:p w14:paraId="27543CC0" w14:textId="77777777" w:rsidR="00F87117" w:rsidRPr="00E937ED" w:rsidRDefault="00F87117" w:rsidP="00F87117">
      <w:pPr>
        <w:spacing w:after="0" w:line="240" w:lineRule="auto"/>
        <w:jc w:val="both"/>
        <w:rPr>
          <w:rFonts w:cs="Arial"/>
          <w:i/>
          <w:lang w:val="es-ES"/>
        </w:rPr>
      </w:pPr>
    </w:p>
    <w:p w14:paraId="65AB4D2B" w14:textId="77777777" w:rsidR="00F87117" w:rsidRPr="00E937ED" w:rsidRDefault="00F87117" w:rsidP="00F87117">
      <w:pPr>
        <w:suppressAutoHyphens/>
        <w:autoSpaceDN w:val="0"/>
        <w:spacing w:after="0" w:line="240" w:lineRule="auto"/>
        <w:textAlignment w:val="baseline"/>
        <w:rPr>
          <w:rFonts w:eastAsia="Calibri" w:cs="Arial"/>
          <w:u w:val="single"/>
          <w:lang w:val="es-ES"/>
        </w:rPr>
      </w:pPr>
      <w:r w:rsidRPr="00E937ED">
        <w:rPr>
          <w:rFonts w:eastAsia="Calibri" w:cs="Arial"/>
          <w:u w:val="single"/>
          <w:lang w:val="es-ES"/>
        </w:rPr>
        <w:t>Antecedentes</w:t>
      </w:r>
    </w:p>
    <w:p w14:paraId="77BC4608" w14:textId="77777777" w:rsidR="00F87117" w:rsidRPr="00E937ED" w:rsidRDefault="00F87117" w:rsidP="00F87117">
      <w:pPr>
        <w:widowControl w:val="0"/>
        <w:autoSpaceDE w:val="0"/>
        <w:autoSpaceDN w:val="0"/>
        <w:adjustRightInd w:val="0"/>
        <w:spacing w:after="0" w:line="240" w:lineRule="auto"/>
        <w:contextualSpacing/>
        <w:jc w:val="both"/>
        <w:rPr>
          <w:lang w:val="es-ES"/>
        </w:rPr>
      </w:pPr>
    </w:p>
    <w:p w14:paraId="0CD791D4" w14:textId="77777777" w:rsidR="00F87117" w:rsidRPr="00E937ED" w:rsidRDefault="00F87117" w:rsidP="00F87117">
      <w:pPr>
        <w:widowControl w:val="0"/>
        <w:numPr>
          <w:ilvl w:val="0"/>
          <w:numId w:val="14"/>
        </w:numPr>
        <w:autoSpaceDE w:val="0"/>
        <w:autoSpaceDN w:val="0"/>
        <w:adjustRightInd w:val="0"/>
        <w:spacing w:after="0" w:line="240" w:lineRule="auto"/>
        <w:ind w:left="567" w:hanging="567"/>
        <w:contextualSpacing/>
        <w:jc w:val="both"/>
        <w:rPr>
          <w:rFonts w:cs="Arial"/>
          <w:lang w:val="es-ES"/>
        </w:rPr>
      </w:pPr>
      <w:r w:rsidRPr="00E937ED">
        <w:rPr>
          <w:rFonts w:cs="Arial"/>
          <w:lang w:val="es-ES"/>
        </w:rPr>
        <w:t>La COP12 (2017) adoptó la Acción Concertada para la anguila europea (</w:t>
      </w:r>
      <w:r w:rsidRPr="00E937ED">
        <w:rPr>
          <w:rFonts w:cs="Arial"/>
          <w:i/>
          <w:iCs/>
          <w:lang w:val="es-ES"/>
        </w:rPr>
        <w:t>Anguilla anguilla</w:t>
      </w:r>
      <w:r w:rsidRPr="00E937ED">
        <w:rPr>
          <w:rFonts w:cs="Arial"/>
          <w:lang w:val="es-ES"/>
        </w:rPr>
        <w:t>), tras su inclusión en el Apéndice II de la CMS durante la COP11. La Acción Concertada fue propuesta por el Principado de Mónaco en colaboración con la Comisión del Mar de los Sargazos y la Secretaría de la CMS.</w:t>
      </w:r>
    </w:p>
    <w:p w14:paraId="45021B4D" w14:textId="77777777" w:rsidR="00F87117" w:rsidRPr="00E937ED" w:rsidRDefault="00F87117" w:rsidP="00F87117">
      <w:pPr>
        <w:widowControl w:val="0"/>
        <w:autoSpaceDE w:val="0"/>
        <w:autoSpaceDN w:val="0"/>
        <w:adjustRightInd w:val="0"/>
        <w:spacing w:after="0" w:line="240" w:lineRule="auto"/>
        <w:contextualSpacing/>
        <w:jc w:val="both"/>
        <w:rPr>
          <w:rFonts w:cs="Arial"/>
          <w:lang w:val="es-ES"/>
        </w:rPr>
      </w:pPr>
    </w:p>
    <w:p w14:paraId="7CDE3608" w14:textId="77777777" w:rsidR="00F87117" w:rsidRPr="00E937ED" w:rsidRDefault="00F87117" w:rsidP="00F87117">
      <w:pPr>
        <w:widowControl w:val="0"/>
        <w:numPr>
          <w:ilvl w:val="0"/>
          <w:numId w:val="14"/>
        </w:numPr>
        <w:autoSpaceDE w:val="0"/>
        <w:autoSpaceDN w:val="0"/>
        <w:adjustRightInd w:val="0"/>
        <w:spacing w:after="0" w:line="240" w:lineRule="auto"/>
        <w:ind w:left="567" w:hanging="567"/>
        <w:contextualSpacing/>
        <w:jc w:val="both"/>
        <w:rPr>
          <w:rFonts w:cs="Arial"/>
          <w:lang w:val="es-ES"/>
        </w:rPr>
      </w:pPr>
      <w:r w:rsidRPr="00E937ED">
        <w:rPr>
          <w:rFonts w:cs="Arial"/>
          <w:lang w:val="es-ES"/>
        </w:rPr>
        <w:t>La COP14 adoptó las siguientes Decisiones sobre este asunto:</w:t>
      </w:r>
    </w:p>
    <w:p w14:paraId="73CBC1AC" w14:textId="77777777" w:rsidR="00F87117" w:rsidRPr="00E937ED" w:rsidRDefault="00F87117" w:rsidP="00F87117">
      <w:pPr>
        <w:widowControl w:val="0"/>
        <w:autoSpaceDE w:val="0"/>
        <w:autoSpaceDN w:val="0"/>
        <w:adjustRightInd w:val="0"/>
        <w:spacing w:after="0" w:line="240" w:lineRule="auto"/>
        <w:contextualSpacing/>
        <w:jc w:val="both"/>
        <w:rPr>
          <w:rFonts w:cs="Arial"/>
          <w:lang w:val="es-ES"/>
        </w:rPr>
      </w:pPr>
    </w:p>
    <w:p w14:paraId="6AD1CB8F" w14:textId="52821F5C" w:rsidR="00F87117" w:rsidRPr="00F87117" w:rsidRDefault="00F87117" w:rsidP="00F87117">
      <w:pPr>
        <w:widowControl w:val="0"/>
        <w:autoSpaceDE w:val="0"/>
        <w:autoSpaceDN w:val="0"/>
        <w:adjustRightInd w:val="0"/>
        <w:spacing w:after="0" w:line="240" w:lineRule="auto"/>
        <w:ind w:left="851"/>
        <w:rPr>
          <w:rFonts w:cs="Arial"/>
          <w:i/>
          <w:sz w:val="20"/>
          <w:szCs w:val="20"/>
          <w:lang w:val="es-ES"/>
        </w:rPr>
      </w:pPr>
      <w:r w:rsidRPr="00F87117">
        <w:rPr>
          <w:rFonts w:cs="Arial"/>
          <w:b/>
          <w:i/>
          <w:sz w:val="20"/>
          <w:szCs w:val="20"/>
          <w:lang w:val="es-ES"/>
        </w:rPr>
        <w:t>14.106</w:t>
      </w:r>
      <w:r w:rsidRPr="00F87117">
        <w:rPr>
          <w:rFonts w:cs="Arial"/>
          <w:iCs/>
          <w:szCs w:val="20"/>
          <w:lang w:val="es-ES_tradnl"/>
        </w:rPr>
        <w:t xml:space="preserve"> </w:t>
      </w:r>
      <w:r>
        <w:rPr>
          <w:rFonts w:cs="Arial"/>
          <w:b/>
          <w:i/>
          <w:iCs/>
          <w:sz w:val="20"/>
          <w:szCs w:val="20"/>
          <w:lang w:val="es-ES_tradnl"/>
        </w:rPr>
        <w:t>d</w:t>
      </w:r>
      <w:r w:rsidRPr="00F87117">
        <w:rPr>
          <w:rFonts w:cs="Arial"/>
          <w:b/>
          <w:i/>
          <w:iCs/>
          <w:sz w:val="20"/>
          <w:szCs w:val="20"/>
          <w:lang w:val="es-ES_tradnl"/>
        </w:rPr>
        <w:t>irigid</w:t>
      </w:r>
      <w:r>
        <w:rPr>
          <w:rFonts w:cs="Arial"/>
          <w:b/>
          <w:i/>
          <w:iCs/>
          <w:sz w:val="20"/>
          <w:szCs w:val="20"/>
          <w:lang w:val="es-ES_tradnl"/>
        </w:rPr>
        <w:t>a</w:t>
      </w:r>
      <w:r w:rsidRPr="00F87117">
        <w:rPr>
          <w:rFonts w:cs="Arial"/>
          <w:b/>
          <w:i/>
          <w:iCs/>
          <w:sz w:val="20"/>
          <w:szCs w:val="20"/>
          <w:lang w:val="es-ES_tradnl"/>
        </w:rPr>
        <w:t xml:space="preserve"> a las Partes</w:t>
      </w:r>
    </w:p>
    <w:p w14:paraId="0D7B1255" w14:textId="77777777" w:rsidR="00F87117" w:rsidRPr="00F87117" w:rsidRDefault="00F87117" w:rsidP="00F87117">
      <w:pPr>
        <w:widowControl w:val="0"/>
        <w:autoSpaceDE w:val="0"/>
        <w:autoSpaceDN w:val="0"/>
        <w:adjustRightInd w:val="0"/>
        <w:spacing w:after="0" w:line="240" w:lineRule="auto"/>
        <w:ind w:left="851"/>
        <w:contextualSpacing/>
        <w:rPr>
          <w:rFonts w:cs="Arial"/>
          <w:i/>
          <w:sz w:val="20"/>
          <w:szCs w:val="20"/>
          <w:lang w:val="es-ES"/>
        </w:rPr>
      </w:pPr>
    </w:p>
    <w:p w14:paraId="457AF137" w14:textId="0BE5C1EC" w:rsidR="00F87117" w:rsidRPr="00F87117" w:rsidRDefault="00F87117" w:rsidP="00F87117">
      <w:pPr>
        <w:widowControl w:val="0"/>
        <w:autoSpaceDE w:val="0"/>
        <w:autoSpaceDN w:val="0"/>
        <w:adjustRightInd w:val="0"/>
        <w:spacing w:after="0" w:line="240" w:lineRule="auto"/>
        <w:ind w:left="851"/>
        <w:contextualSpacing/>
        <w:jc w:val="both"/>
        <w:rPr>
          <w:rFonts w:cs="Arial"/>
          <w:i/>
          <w:iCs/>
          <w:sz w:val="20"/>
          <w:szCs w:val="20"/>
          <w:lang w:val="es-ES"/>
        </w:rPr>
      </w:pPr>
      <w:r w:rsidRPr="00F87117">
        <w:rPr>
          <w:rFonts w:cs="Arial"/>
          <w:i/>
          <w:iCs/>
          <w:sz w:val="20"/>
          <w:szCs w:val="20"/>
          <w:lang w:val="es-ES"/>
        </w:rPr>
        <w:t>Se insta a las Partes que conforman los Estados del área de distribución para la Anguila Europea que ofrezcan apoyo para desarrollar el Plan de Acción, incluida la organización de la reunión de los Estados del área de distribución para finalizarlo.</w:t>
      </w:r>
    </w:p>
    <w:p w14:paraId="18849683" w14:textId="77777777" w:rsidR="00F87117" w:rsidRPr="00F87117" w:rsidRDefault="00F87117" w:rsidP="00F87117">
      <w:pPr>
        <w:widowControl w:val="0"/>
        <w:autoSpaceDE w:val="0"/>
        <w:autoSpaceDN w:val="0"/>
        <w:adjustRightInd w:val="0"/>
        <w:spacing w:after="0" w:line="240" w:lineRule="auto"/>
        <w:ind w:left="851"/>
        <w:contextualSpacing/>
        <w:jc w:val="both"/>
        <w:rPr>
          <w:rFonts w:cs="Arial"/>
          <w:lang w:val="es-ES"/>
        </w:rPr>
      </w:pPr>
    </w:p>
    <w:p w14:paraId="318ED6AA" w14:textId="1468C8DC" w:rsidR="00F87117" w:rsidRPr="00F87117" w:rsidRDefault="00F87117" w:rsidP="00F87117">
      <w:pPr>
        <w:widowControl w:val="0"/>
        <w:autoSpaceDE w:val="0"/>
        <w:autoSpaceDN w:val="0"/>
        <w:adjustRightInd w:val="0"/>
        <w:spacing w:after="0" w:line="240" w:lineRule="auto"/>
        <w:ind w:left="851"/>
        <w:rPr>
          <w:rFonts w:cs="Arial"/>
          <w:i/>
          <w:sz w:val="20"/>
          <w:szCs w:val="20"/>
          <w:lang w:val="es-ES"/>
        </w:rPr>
      </w:pPr>
      <w:r w:rsidRPr="00F87117">
        <w:rPr>
          <w:rFonts w:cs="Arial"/>
          <w:b/>
          <w:i/>
          <w:sz w:val="20"/>
          <w:szCs w:val="20"/>
          <w:lang w:val="es-ES"/>
        </w:rPr>
        <w:t xml:space="preserve">14.107 </w:t>
      </w:r>
      <w:r>
        <w:rPr>
          <w:rFonts w:cs="Arial"/>
          <w:b/>
          <w:i/>
          <w:sz w:val="20"/>
          <w:szCs w:val="20"/>
          <w:lang w:val="es-ES"/>
        </w:rPr>
        <w:t>d</w:t>
      </w:r>
      <w:r w:rsidRPr="00F87117">
        <w:rPr>
          <w:rFonts w:cs="Arial"/>
          <w:b/>
          <w:i/>
          <w:sz w:val="20"/>
          <w:szCs w:val="20"/>
          <w:lang w:val="es-ES"/>
        </w:rPr>
        <w:t>irigid</w:t>
      </w:r>
      <w:r>
        <w:rPr>
          <w:rFonts w:cs="Arial"/>
          <w:b/>
          <w:i/>
          <w:sz w:val="20"/>
          <w:szCs w:val="20"/>
          <w:lang w:val="es-ES"/>
        </w:rPr>
        <w:t>a</w:t>
      </w:r>
      <w:r w:rsidRPr="00F87117">
        <w:rPr>
          <w:rFonts w:cs="Arial"/>
          <w:b/>
          <w:i/>
          <w:sz w:val="20"/>
          <w:szCs w:val="20"/>
          <w:lang w:val="es-ES"/>
        </w:rPr>
        <w:t xml:space="preserve"> a las organizaciones intergubernamentales y no gubernamentales</w:t>
      </w:r>
    </w:p>
    <w:p w14:paraId="4FCDFEA4" w14:textId="77777777" w:rsidR="00F87117" w:rsidRPr="00F87117" w:rsidRDefault="00F87117" w:rsidP="00F87117">
      <w:pPr>
        <w:widowControl w:val="0"/>
        <w:autoSpaceDE w:val="0"/>
        <w:autoSpaceDN w:val="0"/>
        <w:adjustRightInd w:val="0"/>
        <w:spacing w:after="0" w:line="240" w:lineRule="auto"/>
        <w:ind w:left="851"/>
        <w:contextualSpacing/>
        <w:rPr>
          <w:rFonts w:cs="Arial"/>
          <w:i/>
          <w:sz w:val="20"/>
          <w:szCs w:val="20"/>
          <w:lang w:val="es-ES"/>
        </w:rPr>
      </w:pPr>
    </w:p>
    <w:p w14:paraId="2CAEACFA" w14:textId="39147E02" w:rsidR="00F87117" w:rsidRPr="00F87117" w:rsidRDefault="00F87117" w:rsidP="00F87117">
      <w:pPr>
        <w:widowControl w:val="0"/>
        <w:autoSpaceDE w:val="0"/>
        <w:autoSpaceDN w:val="0"/>
        <w:adjustRightInd w:val="0"/>
        <w:spacing w:after="0" w:line="240" w:lineRule="auto"/>
        <w:ind w:left="851"/>
        <w:contextualSpacing/>
        <w:jc w:val="both"/>
        <w:rPr>
          <w:rFonts w:cs="Arial"/>
          <w:i/>
          <w:sz w:val="20"/>
          <w:szCs w:val="20"/>
          <w:lang w:val="es-ES"/>
        </w:rPr>
      </w:pPr>
      <w:r w:rsidRPr="00F87117">
        <w:rPr>
          <w:rFonts w:cs="Arial"/>
          <w:i/>
          <w:sz w:val="20"/>
          <w:szCs w:val="20"/>
          <w:lang w:val="es-ES"/>
        </w:rPr>
        <w:t>Se insta a las organizaciones intergubernamentales y no gubernamentales a proporcionar conocimientos y financiación para el desarrollo del plan, incluida la convocatoria de una reunión de Estados del área de distribución para finalizar el plan.</w:t>
      </w:r>
    </w:p>
    <w:p w14:paraId="442EACAA" w14:textId="77777777" w:rsidR="00F87117" w:rsidRPr="00F87117" w:rsidRDefault="00F87117" w:rsidP="00F87117">
      <w:pPr>
        <w:widowControl w:val="0"/>
        <w:autoSpaceDE w:val="0"/>
        <w:autoSpaceDN w:val="0"/>
        <w:adjustRightInd w:val="0"/>
        <w:spacing w:after="0" w:line="240" w:lineRule="auto"/>
        <w:ind w:left="851" w:firstLine="397"/>
        <w:contextualSpacing/>
        <w:jc w:val="both"/>
        <w:rPr>
          <w:rFonts w:cs="Arial"/>
          <w:lang w:val="es-ES"/>
        </w:rPr>
      </w:pPr>
    </w:p>
    <w:p w14:paraId="4DA2D84A" w14:textId="1B8A39AA" w:rsidR="00F87117" w:rsidRPr="00F87117" w:rsidRDefault="00F87117" w:rsidP="00F87117">
      <w:pPr>
        <w:widowControl w:val="0"/>
        <w:autoSpaceDE w:val="0"/>
        <w:autoSpaceDN w:val="0"/>
        <w:adjustRightInd w:val="0"/>
        <w:spacing w:after="0" w:line="240" w:lineRule="auto"/>
        <w:ind w:left="851"/>
        <w:jc w:val="both"/>
        <w:rPr>
          <w:rFonts w:cs="Arial"/>
          <w:b/>
          <w:bCs/>
          <w:i/>
          <w:iCs/>
          <w:sz w:val="20"/>
          <w:szCs w:val="20"/>
          <w:lang w:val="es-ES"/>
        </w:rPr>
      </w:pPr>
      <w:r w:rsidRPr="00F87117">
        <w:rPr>
          <w:rFonts w:cs="Arial"/>
          <w:b/>
          <w:bCs/>
          <w:i/>
          <w:iCs/>
          <w:sz w:val="20"/>
          <w:szCs w:val="20"/>
          <w:lang w:val="es-ES"/>
        </w:rPr>
        <w:t>14.108 dirigida al Comité Permanente</w:t>
      </w:r>
    </w:p>
    <w:p w14:paraId="7B506340" w14:textId="77777777" w:rsidR="00F87117" w:rsidRPr="00F87117" w:rsidRDefault="00F87117" w:rsidP="00F87117">
      <w:pPr>
        <w:widowControl w:val="0"/>
        <w:autoSpaceDE w:val="0"/>
        <w:autoSpaceDN w:val="0"/>
        <w:adjustRightInd w:val="0"/>
        <w:spacing w:after="0" w:line="240" w:lineRule="auto"/>
        <w:ind w:left="851"/>
        <w:jc w:val="both"/>
        <w:rPr>
          <w:sz w:val="20"/>
          <w:szCs w:val="20"/>
          <w:lang w:val="es-ES"/>
        </w:rPr>
      </w:pPr>
    </w:p>
    <w:p w14:paraId="55FC7C52" w14:textId="27B37E2E" w:rsidR="00F87117" w:rsidRPr="00F87117" w:rsidRDefault="00F87117" w:rsidP="00F87117">
      <w:pPr>
        <w:widowControl w:val="0"/>
        <w:autoSpaceDE w:val="0"/>
        <w:autoSpaceDN w:val="0"/>
        <w:adjustRightInd w:val="0"/>
        <w:spacing w:after="0" w:line="240" w:lineRule="auto"/>
        <w:ind w:left="851"/>
        <w:contextualSpacing/>
        <w:jc w:val="both"/>
        <w:rPr>
          <w:i/>
          <w:iCs/>
          <w:sz w:val="20"/>
          <w:szCs w:val="20"/>
          <w:lang w:val="es-ES"/>
        </w:rPr>
      </w:pPr>
      <w:r w:rsidRPr="00F87117">
        <w:rPr>
          <w:i/>
          <w:iCs/>
          <w:sz w:val="20"/>
          <w:szCs w:val="20"/>
          <w:lang w:val="es-ES"/>
        </w:rPr>
        <w:t>El Comité Permanente examinará el Plan de Acción para su adopción en una de sus reuniones antes de la COP15.</w:t>
      </w:r>
    </w:p>
    <w:p w14:paraId="523A292F" w14:textId="77777777" w:rsidR="00F87117" w:rsidRPr="00F87117" w:rsidRDefault="00F87117" w:rsidP="00F87117">
      <w:pPr>
        <w:widowControl w:val="0"/>
        <w:autoSpaceDE w:val="0"/>
        <w:autoSpaceDN w:val="0"/>
        <w:adjustRightInd w:val="0"/>
        <w:spacing w:after="0" w:line="240" w:lineRule="auto"/>
        <w:ind w:left="851"/>
        <w:contextualSpacing/>
        <w:jc w:val="both"/>
        <w:rPr>
          <w:rFonts w:cs="Arial"/>
          <w:lang w:val="es-ES"/>
        </w:rPr>
      </w:pPr>
    </w:p>
    <w:p w14:paraId="1C4AD049" w14:textId="474E738B" w:rsidR="00F87117" w:rsidRPr="008373C7" w:rsidRDefault="00F87117" w:rsidP="00F87117">
      <w:pPr>
        <w:spacing w:after="0" w:line="240" w:lineRule="auto"/>
        <w:ind w:left="851"/>
        <w:rPr>
          <w:b/>
          <w:bCs/>
          <w:i/>
          <w:iCs/>
          <w:sz w:val="20"/>
          <w:szCs w:val="20"/>
          <w:lang w:val="fr-FR"/>
        </w:rPr>
      </w:pPr>
      <w:r w:rsidRPr="008373C7">
        <w:rPr>
          <w:b/>
          <w:bCs/>
          <w:i/>
          <w:iCs/>
          <w:sz w:val="20"/>
          <w:szCs w:val="20"/>
          <w:lang w:val="fr-FR"/>
        </w:rPr>
        <w:t>14.109 Dirigido a la Secretaría</w:t>
      </w:r>
    </w:p>
    <w:p w14:paraId="7D253CAF" w14:textId="77777777" w:rsidR="00F87117" w:rsidRPr="008373C7" w:rsidRDefault="00F87117" w:rsidP="00F87117">
      <w:pPr>
        <w:spacing w:after="0" w:line="240" w:lineRule="auto"/>
        <w:ind w:left="851"/>
        <w:rPr>
          <w:b/>
          <w:bCs/>
          <w:i/>
          <w:iCs/>
          <w:sz w:val="20"/>
          <w:szCs w:val="20"/>
          <w:lang w:val="fr-FR"/>
        </w:rPr>
      </w:pPr>
    </w:p>
    <w:p w14:paraId="74D26A3F" w14:textId="77777777" w:rsidR="00F87117" w:rsidRPr="00F87117" w:rsidRDefault="00F87117" w:rsidP="00F87117">
      <w:pPr>
        <w:widowControl w:val="0"/>
        <w:autoSpaceDE w:val="0"/>
        <w:autoSpaceDN w:val="0"/>
        <w:adjustRightInd w:val="0"/>
        <w:spacing w:after="0" w:line="240" w:lineRule="auto"/>
        <w:ind w:left="927"/>
        <w:contextualSpacing/>
        <w:jc w:val="both"/>
        <w:rPr>
          <w:i/>
          <w:iCs/>
          <w:sz w:val="20"/>
          <w:szCs w:val="20"/>
          <w:lang w:val="es-ES"/>
        </w:rPr>
      </w:pPr>
      <w:r w:rsidRPr="00F87117">
        <w:rPr>
          <w:i/>
          <w:iCs/>
          <w:sz w:val="20"/>
          <w:szCs w:val="20"/>
          <w:lang w:val="es-ES"/>
        </w:rPr>
        <w:t>La Secretaría, sujeta a la disponibilidad de recursos, deberá:</w:t>
      </w:r>
    </w:p>
    <w:p w14:paraId="4742F2CA" w14:textId="77777777" w:rsidR="00F87117" w:rsidRPr="00F87117" w:rsidRDefault="00F87117" w:rsidP="00F87117">
      <w:pPr>
        <w:widowControl w:val="0"/>
        <w:autoSpaceDE w:val="0"/>
        <w:autoSpaceDN w:val="0"/>
        <w:adjustRightInd w:val="0"/>
        <w:spacing w:after="0" w:line="240" w:lineRule="auto"/>
        <w:ind w:left="927"/>
        <w:contextualSpacing/>
        <w:jc w:val="both"/>
        <w:rPr>
          <w:i/>
          <w:iCs/>
          <w:sz w:val="20"/>
          <w:szCs w:val="20"/>
          <w:lang w:val="es-ES"/>
        </w:rPr>
      </w:pPr>
    </w:p>
    <w:p w14:paraId="6E690B9E" w14:textId="149B80D1" w:rsidR="00F87117" w:rsidRPr="00F87117" w:rsidRDefault="00F87117" w:rsidP="00F87117">
      <w:pPr>
        <w:widowControl w:val="0"/>
        <w:numPr>
          <w:ilvl w:val="0"/>
          <w:numId w:val="16"/>
        </w:numPr>
        <w:autoSpaceDE w:val="0"/>
        <w:autoSpaceDN w:val="0"/>
        <w:adjustRightInd w:val="0"/>
        <w:spacing w:after="80" w:line="240" w:lineRule="auto"/>
        <w:ind w:left="1267"/>
        <w:jc w:val="both"/>
        <w:rPr>
          <w:i/>
          <w:iCs/>
          <w:sz w:val="20"/>
          <w:szCs w:val="20"/>
          <w:lang w:val="es-ES"/>
        </w:rPr>
      </w:pPr>
      <w:r w:rsidRPr="00F87117">
        <w:rPr>
          <w:i/>
          <w:iCs/>
          <w:sz w:val="20"/>
          <w:szCs w:val="20"/>
          <w:lang w:val="es-ES"/>
        </w:rPr>
        <w:t>apoyar la terminación de un borrador de un Plan de Acción para la Anguila Europea (Anguilla anguilla);</w:t>
      </w:r>
    </w:p>
    <w:p w14:paraId="59701C47" w14:textId="7F3480BC" w:rsidR="00F87117" w:rsidRPr="00F87117" w:rsidRDefault="00F87117" w:rsidP="00F87117">
      <w:pPr>
        <w:widowControl w:val="0"/>
        <w:numPr>
          <w:ilvl w:val="0"/>
          <w:numId w:val="16"/>
        </w:numPr>
        <w:autoSpaceDE w:val="0"/>
        <w:autoSpaceDN w:val="0"/>
        <w:adjustRightInd w:val="0"/>
        <w:spacing w:after="80" w:line="240" w:lineRule="auto"/>
        <w:ind w:left="1267"/>
        <w:jc w:val="both"/>
        <w:rPr>
          <w:i/>
          <w:iCs/>
          <w:sz w:val="20"/>
          <w:szCs w:val="20"/>
          <w:lang w:val="es-ES"/>
        </w:rPr>
      </w:pPr>
      <w:r w:rsidRPr="00F87117">
        <w:rPr>
          <w:i/>
          <w:iCs/>
          <w:sz w:val="20"/>
          <w:szCs w:val="20"/>
          <w:lang w:val="es-ES"/>
        </w:rPr>
        <w:t>llevar a cabo consultas entre los Estados del área de distribución y organizaciones intergubernamentales y no gubernamentales pertinentes acerca del borrador del Plan de Acción por correspondencia convocando o apoyando otra reunión de los Estados del área de distribución, si los fondos lo permiten;</w:t>
      </w:r>
    </w:p>
    <w:p w14:paraId="531284D2" w14:textId="63AE3334" w:rsidR="00F87117" w:rsidRPr="00F87117" w:rsidRDefault="00F87117" w:rsidP="00F87117">
      <w:pPr>
        <w:widowControl w:val="0"/>
        <w:numPr>
          <w:ilvl w:val="0"/>
          <w:numId w:val="16"/>
        </w:numPr>
        <w:autoSpaceDE w:val="0"/>
        <w:autoSpaceDN w:val="0"/>
        <w:adjustRightInd w:val="0"/>
        <w:spacing w:after="80" w:line="240" w:lineRule="auto"/>
        <w:ind w:left="1267"/>
        <w:jc w:val="both"/>
        <w:rPr>
          <w:i/>
          <w:iCs/>
          <w:sz w:val="20"/>
          <w:szCs w:val="20"/>
          <w:lang w:val="es-ES"/>
        </w:rPr>
      </w:pPr>
      <w:r w:rsidRPr="00F87117">
        <w:rPr>
          <w:i/>
          <w:iCs/>
          <w:sz w:val="20"/>
          <w:szCs w:val="20"/>
          <w:lang w:val="es-ES"/>
        </w:rPr>
        <w:t>colaborar con la Secretaría de la CITES en sus respectivas actividades entre sesiones relativas a la anguila europea; y</w:t>
      </w:r>
    </w:p>
    <w:p w14:paraId="28D80CCE" w14:textId="6C09B075" w:rsidR="00F87117" w:rsidRPr="00F87117" w:rsidRDefault="00F87117" w:rsidP="00F87117">
      <w:pPr>
        <w:widowControl w:val="0"/>
        <w:numPr>
          <w:ilvl w:val="0"/>
          <w:numId w:val="16"/>
        </w:numPr>
        <w:autoSpaceDE w:val="0"/>
        <w:autoSpaceDN w:val="0"/>
        <w:adjustRightInd w:val="0"/>
        <w:spacing w:after="0" w:line="240" w:lineRule="auto"/>
        <w:ind w:left="1260"/>
        <w:contextualSpacing/>
        <w:jc w:val="both"/>
        <w:rPr>
          <w:i/>
          <w:iCs/>
          <w:sz w:val="20"/>
          <w:szCs w:val="20"/>
          <w:lang w:val="es-ES"/>
        </w:rPr>
      </w:pPr>
      <w:r w:rsidRPr="00F87117">
        <w:rPr>
          <w:i/>
          <w:iCs/>
          <w:sz w:val="20"/>
          <w:szCs w:val="20"/>
          <w:lang w:val="es-ES"/>
        </w:rPr>
        <w:t>enviar el borrador del plan al Comité Permanente durante una reunión antes de la COP15 para su adopción.</w:t>
      </w:r>
    </w:p>
    <w:p w14:paraId="0370034C" w14:textId="77777777" w:rsidR="00F87117" w:rsidRPr="00F87117" w:rsidRDefault="00F87117" w:rsidP="00F87117">
      <w:pPr>
        <w:spacing w:after="0" w:line="240" w:lineRule="auto"/>
        <w:rPr>
          <w:rFonts w:cs="Arial"/>
          <w:u w:val="single"/>
          <w:lang w:val="es-ES"/>
        </w:rPr>
      </w:pPr>
    </w:p>
    <w:p w14:paraId="7B3B2085" w14:textId="77777777" w:rsidR="00F87117" w:rsidRPr="00E937ED" w:rsidRDefault="00F87117" w:rsidP="00F87117">
      <w:pPr>
        <w:spacing w:after="0" w:line="240" w:lineRule="auto"/>
        <w:rPr>
          <w:rFonts w:cs="Arial"/>
          <w:u w:val="single"/>
          <w:lang w:val="es-ES"/>
        </w:rPr>
      </w:pPr>
      <w:r w:rsidRPr="00E937ED">
        <w:rPr>
          <w:rFonts w:cs="Arial"/>
          <w:u w:val="single"/>
          <w:lang w:val="es-ES"/>
        </w:rPr>
        <w:t>Actividades</w:t>
      </w:r>
    </w:p>
    <w:p w14:paraId="265B8B13" w14:textId="77777777" w:rsidR="00F87117" w:rsidRPr="00E937ED" w:rsidRDefault="00F87117" w:rsidP="00F87117">
      <w:pPr>
        <w:spacing w:after="0" w:line="240" w:lineRule="auto"/>
        <w:rPr>
          <w:rFonts w:cs="Arial"/>
          <w:u w:val="single"/>
          <w:lang w:val="es-ES"/>
        </w:rPr>
      </w:pPr>
    </w:p>
    <w:p w14:paraId="20F31C04" w14:textId="77777777" w:rsidR="00F87117" w:rsidRPr="00E937ED" w:rsidRDefault="00F87117" w:rsidP="00F87117">
      <w:pPr>
        <w:widowControl w:val="0"/>
        <w:numPr>
          <w:ilvl w:val="0"/>
          <w:numId w:val="14"/>
        </w:numPr>
        <w:autoSpaceDE w:val="0"/>
        <w:autoSpaceDN w:val="0"/>
        <w:adjustRightInd w:val="0"/>
        <w:spacing w:after="0" w:line="240" w:lineRule="auto"/>
        <w:ind w:left="567" w:hanging="567"/>
        <w:jc w:val="both"/>
        <w:rPr>
          <w:rFonts w:cs="Arial"/>
          <w:lang w:val="es-ES"/>
        </w:rPr>
      </w:pPr>
      <w:r w:rsidRPr="00E937ED">
        <w:rPr>
          <w:rFonts w:cs="Arial"/>
          <w:lang w:val="es-ES"/>
        </w:rPr>
        <w:t>Se revisó el calendario para la finalización del Plan de Acción de Especies Únicas (SSAP) para la anguila europea (</w:t>
      </w:r>
      <w:r w:rsidRPr="00E937ED">
        <w:rPr>
          <w:rFonts w:cs="Arial"/>
          <w:i/>
          <w:lang w:val="es-ES"/>
        </w:rPr>
        <w:t>Anguilla anguilla</w:t>
      </w:r>
      <w:r w:rsidRPr="00E937ED">
        <w:rPr>
          <w:rFonts w:cs="Arial"/>
          <w:lang w:val="es-ES"/>
        </w:rPr>
        <w:t>). Inicialmente estaba previsto que el proceso se presentara al Comité Permanente antes de la COP15, pero se retrasó debido al acortamiento del período entre sesiones y a la falta de recursos financieros. Por tanto, no fue posible completar el proyecto a tiempo para su consideración previa por parte del Comité Permanente.</w:t>
      </w:r>
    </w:p>
    <w:p w14:paraId="29867D34" w14:textId="77777777" w:rsidR="00F87117" w:rsidRPr="00E937ED" w:rsidRDefault="00F87117" w:rsidP="00F87117">
      <w:pPr>
        <w:widowControl w:val="0"/>
        <w:autoSpaceDE w:val="0"/>
        <w:autoSpaceDN w:val="0"/>
        <w:adjustRightInd w:val="0"/>
        <w:spacing w:after="0" w:line="240" w:lineRule="auto"/>
        <w:ind w:left="567"/>
        <w:jc w:val="both"/>
        <w:rPr>
          <w:rFonts w:cs="Arial"/>
          <w:lang w:val="es-ES"/>
        </w:rPr>
      </w:pPr>
    </w:p>
    <w:p w14:paraId="277DECC3" w14:textId="77777777" w:rsidR="00F87117" w:rsidRPr="00E937ED" w:rsidRDefault="00F87117" w:rsidP="00F87117">
      <w:pPr>
        <w:widowControl w:val="0"/>
        <w:numPr>
          <w:ilvl w:val="0"/>
          <w:numId w:val="14"/>
        </w:numPr>
        <w:autoSpaceDE w:val="0"/>
        <w:autoSpaceDN w:val="0"/>
        <w:adjustRightInd w:val="0"/>
        <w:spacing w:after="0" w:line="240" w:lineRule="auto"/>
        <w:ind w:left="567" w:hanging="567"/>
        <w:jc w:val="both"/>
        <w:rPr>
          <w:rFonts w:cs="Arial"/>
          <w:lang w:val="es-ES"/>
        </w:rPr>
      </w:pPr>
      <w:r w:rsidRPr="00E937ED">
        <w:rPr>
          <w:rFonts w:cs="Arial"/>
          <w:lang w:val="es-ES"/>
        </w:rPr>
        <w:t>La 4.a reunión de los Estados del área de distribución, programada para mayo de 2025, contó con el apoyo de la Comisión del Mar de los Sargazos, el Gobierno de Suecia, que organizó la reunión en Malmö, y el Gobierno del Principado de Mónaco.</w:t>
      </w:r>
    </w:p>
    <w:p w14:paraId="24F0C983" w14:textId="57315DC8" w:rsidR="00F87117" w:rsidRPr="00E937ED" w:rsidRDefault="00F87117" w:rsidP="00F87117">
      <w:pPr>
        <w:pStyle w:val="ListParagraph"/>
        <w:spacing w:after="0" w:line="240" w:lineRule="auto"/>
        <w:contextualSpacing w:val="0"/>
        <w:rPr>
          <w:rFonts w:cs="Arial"/>
          <w:lang w:val="es-ES"/>
        </w:rPr>
      </w:pPr>
    </w:p>
    <w:p w14:paraId="446F63CE" w14:textId="77777777" w:rsidR="00F87117" w:rsidRPr="00E937ED" w:rsidRDefault="00F87117" w:rsidP="00F87117">
      <w:pPr>
        <w:widowControl w:val="0"/>
        <w:numPr>
          <w:ilvl w:val="0"/>
          <w:numId w:val="14"/>
        </w:numPr>
        <w:autoSpaceDE w:val="0"/>
        <w:autoSpaceDN w:val="0"/>
        <w:adjustRightInd w:val="0"/>
        <w:spacing w:after="0" w:line="240" w:lineRule="auto"/>
        <w:ind w:left="567" w:hanging="567"/>
        <w:jc w:val="both"/>
        <w:rPr>
          <w:rFonts w:cs="Arial"/>
          <w:lang w:val="es-ES"/>
        </w:rPr>
      </w:pPr>
      <w:r w:rsidRPr="00E937ED">
        <w:rPr>
          <w:rFonts w:cs="Arial"/>
          <w:lang w:val="es-ES"/>
        </w:rPr>
        <w:t>La reunión se trasladó a los días 14 y 15 de octubre de 2025 para que hubiese tiempo suficiente de consultar por escrito el proyecto del Plan de Acción. En mayo de 2025, se distribuyó un proyecto revisado con el fin de recabar comentarios antes de finales de junio de 2025. En la 4.a reunión se presentó un segundo proyecto, que se completó durante dicha reunión. La reunión constituyó el espacio principal para la revisión definitiva del documento y para alcanzar un consenso entre los Estados del área de distribución antes de presentarlo en la COP15 para su adopción oficial.</w:t>
      </w:r>
    </w:p>
    <w:p w14:paraId="0054BF0A" w14:textId="77777777" w:rsidR="00F87117" w:rsidRPr="00E937ED" w:rsidRDefault="00F87117" w:rsidP="00F87117">
      <w:pPr>
        <w:spacing w:after="0" w:line="240" w:lineRule="auto"/>
        <w:rPr>
          <w:rFonts w:cs="Arial"/>
          <w:u w:val="single"/>
          <w:lang w:val="es-ES"/>
        </w:rPr>
      </w:pPr>
    </w:p>
    <w:p w14:paraId="4E319702" w14:textId="77777777" w:rsidR="00F87117" w:rsidRPr="00E937ED" w:rsidRDefault="00F87117" w:rsidP="00F87117">
      <w:pPr>
        <w:spacing w:after="0" w:line="240" w:lineRule="auto"/>
        <w:rPr>
          <w:rFonts w:cs="Arial"/>
          <w:u w:val="single"/>
          <w:lang w:val="es-ES"/>
        </w:rPr>
      </w:pPr>
      <w:r w:rsidRPr="00E937ED">
        <w:rPr>
          <w:rFonts w:cs="Arial"/>
          <w:u w:val="single"/>
          <w:lang w:val="es-ES"/>
        </w:rPr>
        <w:t>Debate y análisis</w:t>
      </w:r>
    </w:p>
    <w:p w14:paraId="5F7B004B" w14:textId="77777777" w:rsidR="00F87117" w:rsidRPr="00E937ED" w:rsidRDefault="00F87117" w:rsidP="00F87117">
      <w:pPr>
        <w:spacing w:after="0" w:line="240" w:lineRule="auto"/>
        <w:rPr>
          <w:rFonts w:cs="Arial"/>
          <w:lang w:val="es-ES"/>
        </w:rPr>
      </w:pPr>
    </w:p>
    <w:p w14:paraId="0CC719F0" w14:textId="77777777" w:rsidR="00F87117" w:rsidRPr="00E937ED" w:rsidRDefault="00F87117" w:rsidP="00F87117">
      <w:pPr>
        <w:widowControl w:val="0"/>
        <w:numPr>
          <w:ilvl w:val="0"/>
          <w:numId w:val="14"/>
        </w:numPr>
        <w:autoSpaceDE w:val="0"/>
        <w:autoSpaceDN w:val="0"/>
        <w:adjustRightInd w:val="0"/>
        <w:spacing w:after="0" w:line="240" w:lineRule="auto"/>
        <w:ind w:left="567" w:hanging="567"/>
        <w:jc w:val="both"/>
        <w:rPr>
          <w:rFonts w:cs="Arial"/>
          <w:lang w:val="es-ES"/>
        </w:rPr>
      </w:pPr>
      <w:r w:rsidRPr="00E937ED">
        <w:rPr>
          <w:rFonts w:cs="Arial"/>
          <w:lang w:val="es-ES"/>
        </w:rPr>
        <w:t xml:space="preserve">Sigue existiendo una gran preocupación por la anguila europea, catalogada como En peligro crítico en la Lista Roja de la UICN, y requiere una acción internacional de conservación coordinada. El traslado de la reunión de los Estados del área de distribución a octubre de 2025 proporcionó la oportunidad de finalizar el proyecto del SSAP con las aportaciones de dichos Estados. Esta versión se incluye en el Anexo 2 del presente documento. En el Anexo 1 se ofrece una Resolución para la adopción del SSAP. </w:t>
      </w:r>
    </w:p>
    <w:p w14:paraId="4D3AB3C0" w14:textId="77777777" w:rsidR="00F87117" w:rsidRPr="00E937ED" w:rsidRDefault="00F87117" w:rsidP="00F87117">
      <w:pPr>
        <w:spacing w:after="0" w:line="240" w:lineRule="auto"/>
        <w:jc w:val="both"/>
        <w:rPr>
          <w:rFonts w:cs="Arial"/>
          <w:lang w:val="es-ES"/>
        </w:rPr>
      </w:pPr>
    </w:p>
    <w:p w14:paraId="600EA2FE" w14:textId="77777777" w:rsidR="00F87117" w:rsidRPr="00E937ED" w:rsidRDefault="00F87117" w:rsidP="00F87117">
      <w:pPr>
        <w:spacing w:after="0" w:line="240" w:lineRule="auto"/>
        <w:rPr>
          <w:rFonts w:cs="Arial"/>
          <w:lang w:val="es-ES"/>
        </w:rPr>
      </w:pPr>
      <w:r w:rsidRPr="00E937ED">
        <w:rPr>
          <w:rFonts w:cs="Arial"/>
          <w:u w:val="single"/>
          <w:lang w:val="es-ES"/>
        </w:rPr>
        <w:t>Acciones recomendadas</w:t>
      </w:r>
    </w:p>
    <w:p w14:paraId="2C8FC6BD" w14:textId="77777777" w:rsidR="00F87117" w:rsidRPr="00E937ED" w:rsidRDefault="00F87117" w:rsidP="00F87117">
      <w:pPr>
        <w:spacing w:after="0" w:line="240" w:lineRule="auto"/>
        <w:rPr>
          <w:rFonts w:cs="Arial"/>
          <w:lang w:val="es-ES"/>
        </w:rPr>
      </w:pPr>
    </w:p>
    <w:p w14:paraId="22C7F9AF" w14:textId="77777777" w:rsidR="00F87117" w:rsidRPr="00E937ED" w:rsidRDefault="00F87117" w:rsidP="00F87117">
      <w:pPr>
        <w:widowControl w:val="0"/>
        <w:numPr>
          <w:ilvl w:val="0"/>
          <w:numId w:val="14"/>
        </w:numPr>
        <w:autoSpaceDE w:val="0"/>
        <w:autoSpaceDN w:val="0"/>
        <w:adjustRightInd w:val="0"/>
        <w:spacing w:after="0" w:line="240" w:lineRule="auto"/>
        <w:ind w:left="567" w:hanging="567"/>
        <w:jc w:val="both"/>
        <w:rPr>
          <w:rFonts w:cs="Arial"/>
          <w:lang w:val="es-ES"/>
        </w:rPr>
      </w:pPr>
      <w:r w:rsidRPr="00E937ED">
        <w:rPr>
          <w:rFonts w:cs="Arial"/>
          <w:lang w:val="es-ES" w:eastAsia="es-US"/>
        </w:rPr>
        <w:t>Se recomienda a la Conferencia de las Partes que:</w:t>
      </w:r>
    </w:p>
    <w:p w14:paraId="6CC26AD0" w14:textId="77777777" w:rsidR="00F87117" w:rsidRPr="00E937ED" w:rsidRDefault="00F87117" w:rsidP="00F87117">
      <w:pPr>
        <w:pStyle w:val="Secondnumbering"/>
        <w:numPr>
          <w:ilvl w:val="0"/>
          <w:numId w:val="0"/>
        </w:numPr>
        <w:jc w:val="both"/>
        <w:rPr>
          <w:lang w:val="es-ES"/>
        </w:rPr>
      </w:pPr>
    </w:p>
    <w:p w14:paraId="7988AF43" w14:textId="77777777" w:rsidR="00F87117" w:rsidRPr="00E937ED" w:rsidRDefault="00F87117" w:rsidP="00F87117">
      <w:pPr>
        <w:pStyle w:val="Secondnumbering"/>
        <w:ind w:left="1080" w:hanging="513"/>
        <w:jc w:val="both"/>
        <w:rPr>
          <w:lang w:val="es-ES"/>
        </w:rPr>
      </w:pPr>
      <w:r w:rsidRPr="00E937ED">
        <w:rPr>
          <w:lang w:val="es-ES"/>
        </w:rPr>
        <w:t>adopte el proyecto de Resolución que figura en el Anexo 1 del presente documento;</w:t>
      </w:r>
    </w:p>
    <w:p w14:paraId="0BB8875E" w14:textId="77777777" w:rsidR="00F87117" w:rsidRPr="00E937ED" w:rsidRDefault="00F87117" w:rsidP="00F87117">
      <w:pPr>
        <w:pStyle w:val="Secondnumbering"/>
        <w:numPr>
          <w:ilvl w:val="0"/>
          <w:numId w:val="0"/>
        </w:numPr>
        <w:ind w:left="1080" w:hanging="513"/>
        <w:jc w:val="both"/>
        <w:rPr>
          <w:lang w:val="es-ES"/>
        </w:rPr>
      </w:pPr>
    </w:p>
    <w:p w14:paraId="412DD586" w14:textId="77777777" w:rsidR="00F87117" w:rsidRPr="00E937ED" w:rsidRDefault="00F87117" w:rsidP="00F87117">
      <w:pPr>
        <w:pStyle w:val="Secondnumbering"/>
        <w:ind w:left="1080" w:hanging="513"/>
        <w:jc w:val="both"/>
        <w:rPr>
          <w:lang w:val="es-ES"/>
        </w:rPr>
      </w:pPr>
      <w:r w:rsidRPr="00E937ED">
        <w:rPr>
          <w:lang w:val="es-ES"/>
        </w:rPr>
        <w:t>adopte el proyecto de Plan de Acción de Especies Únicas incluido en el Anexo 2 del presente documento;</w:t>
      </w:r>
    </w:p>
    <w:p w14:paraId="16654E3F" w14:textId="77777777" w:rsidR="00F87117" w:rsidRPr="00E937ED" w:rsidRDefault="00F87117" w:rsidP="00F87117">
      <w:pPr>
        <w:pStyle w:val="Secondnumbering"/>
        <w:numPr>
          <w:ilvl w:val="0"/>
          <w:numId w:val="0"/>
        </w:numPr>
        <w:ind w:left="1080" w:hanging="513"/>
        <w:jc w:val="both"/>
        <w:rPr>
          <w:lang w:val="es-ES"/>
        </w:rPr>
      </w:pPr>
    </w:p>
    <w:p w14:paraId="47779530" w14:textId="77777777" w:rsidR="00F87117" w:rsidRDefault="00F87117" w:rsidP="00F87117">
      <w:pPr>
        <w:pStyle w:val="Secondnumbering"/>
        <w:ind w:left="1080" w:hanging="513"/>
        <w:jc w:val="both"/>
        <w:rPr>
          <w:lang w:val="es-ES"/>
        </w:rPr>
      </w:pPr>
      <w:r w:rsidRPr="00E937ED">
        <w:rPr>
          <w:lang w:val="es-ES"/>
        </w:rPr>
        <w:t>adopte los proyectos de Decisión que se muestran en el Anexo 3 del presente documento; y</w:t>
      </w:r>
    </w:p>
    <w:p w14:paraId="2D8847F8" w14:textId="77777777" w:rsidR="00F87117" w:rsidRDefault="00F87117" w:rsidP="00F87117">
      <w:pPr>
        <w:pStyle w:val="ListParagraph"/>
        <w:spacing w:after="0" w:line="240" w:lineRule="auto"/>
        <w:ind w:left="1080" w:hanging="513"/>
        <w:jc w:val="both"/>
        <w:rPr>
          <w:lang w:val="es-ES"/>
        </w:rPr>
      </w:pPr>
    </w:p>
    <w:p w14:paraId="559E8564" w14:textId="5D5748BC" w:rsidR="002D5F2A" w:rsidRPr="00F87117" w:rsidRDefault="00F87117" w:rsidP="00F87117">
      <w:pPr>
        <w:pStyle w:val="Secondnumbering"/>
        <w:ind w:left="1080" w:hanging="513"/>
        <w:jc w:val="both"/>
        <w:rPr>
          <w:lang w:val="es-ES"/>
        </w:rPr>
      </w:pPr>
      <w:r w:rsidRPr="00F87117">
        <w:rPr>
          <w:rFonts w:cs="Arial"/>
          <w:lang w:val="es-ES"/>
        </w:rPr>
        <w:t>derogue las Decisiones 14.106</w:t>
      </w:r>
      <w:r w:rsidRPr="00F87117">
        <w:rPr>
          <w:rFonts w:cs="Arial"/>
          <w:sz w:val="21"/>
          <w:szCs w:val="21"/>
          <w:lang w:val="es-ES"/>
        </w:rPr>
        <w:t>–</w:t>
      </w:r>
      <w:r w:rsidRPr="00F87117">
        <w:rPr>
          <w:rFonts w:cs="Arial"/>
          <w:lang w:val="es-ES"/>
        </w:rPr>
        <w:t>14.109.</w:t>
      </w:r>
    </w:p>
    <w:p w14:paraId="68BB8433" w14:textId="77777777" w:rsidR="00F87117" w:rsidRDefault="00F87117" w:rsidP="00F87117">
      <w:pPr>
        <w:pStyle w:val="ListParagraph"/>
        <w:rPr>
          <w:lang w:val="es-ES"/>
        </w:rPr>
      </w:pPr>
    </w:p>
    <w:p w14:paraId="7CCB8DB6" w14:textId="77777777" w:rsidR="00F87117" w:rsidRDefault="00F87117" w:rsidP="00F87117">
      <w:pPr>
        <w:pStyle w:val="Secondnumbering"/>
        <w:numPr>
          <w:ilvl w:val="0"/>
          <w:numId w:val="0"/>
        </w:numPr>
        <w:ind w:left="360" w:hanging="360"/>
        <w:jc w:val="both"/>
        <w:rPr>
          <w:lang w:val="es-ES"/>
        </w:rPr>
        <w:sectPr w:rsidR="00F87117" w:rsidSect="00323406">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746B03F8" w14:textId="79CB7D64" w:rsidR="00F87117" w:rsidRPr="00E937ED" w:rsidRDefault="00F87117" w:rsidP="00F87117">
      <w:pPr>
        <w:pStyle w:val="Secondnumbering"/>
        <w:numPr>
          <w:ilvl w:val="0"/>
          <w:numId w:val="0"/>
        </w:numPr>
        <w:jc w:val="right"/>
        <w:rPr>
          <w:lang w:val="es-ES"/>
        </w:rPr>
      </w:pPr>
      <w:r w:rsidRPr="00E937ED">
        <w:rPr>
          <w:rFonts w:cs="Arial"/>
          <w:b/>
          <w:lang w:val="es-ES"/>
        </w:rPr>
        <w:lastRenderedPageBreak/>
        <w:t>ANEXO 1</w:t>
      </w:r>
    </w:p>
    <w:p w14:paraId="48843921" w14:textId="77777777" w:rsidR="00F87117" w:rsidRDefault="00F87117" w:rsidP="00F87117">
      <w:pPr>
        <w:pStyle w:val="Secondnumbering"/>
        <w:numPr>
          <w:ilvl w:val="0"/>
          <w:numId w:val="0"/>
        </w:numPr>
        <w:rPr>
          <w:lang w:val="es-ES"/>
        </w:rPr>
      </w:pPr>
    </w:p>
    <w:p w14:paraId="371BAE42" w14:textId="77777777" w:rsidR="00F87117" w:rsidRPr="00E937ED" w:rsidRDefault="00F87117" w:rsidP="00F87117">
      <w:pPr>
        <w:pStyle w:val="Secondnumbering"/>
        <w:numPr>
          <w:ilvl w:val="0"/>
          <w:numId w:val="0"/>
        </w:numPr>
        <w:rPr>
          <w:lang w:val="es-ES"/>
        </w:rPr>
      </w:pPr>
    </w:p>
    <w:p w14:paraId="13908088" w14:textId="77777777" w:rsidR="00F87117" w:rsidRPr="00E937ED" w:rsidRDefault="00F87117" w:rsidP="00F87117">
      <w:pPr>
        <w:spacing w:after="0" w:line="240" w:lineRule="auto"/>
        <w:jc w:val="center"/>
        <w:rPr>
          <w:rFonts w:cs="Arial"/>
          <w:lang w:val="es-ES"/>
        </w:rPr>
      </w:pPr>
      <w:r w:rsidRPr="00E937ED">
        <w:rPr>
          <w:rFonts w:cs="Arial"/>
          <w:lang w:val="es-ES"/>
        </w:rPr>
        <w:t>PROYECTO DE RESOLUCIÓN</w:t>
      </w:r>
    </w:p>
    <w:p w14:paraId="6A788FC3" w14:textId="77777777" w:rsidR="00F87117" w:rsidRPr="00E937ED" w:rsidRDefault="00F87117" w:rsidP="00F87117">
      <w:pPr>
        <w:spacing w:after="0" w:line="240" w:lineRule="auto"/>
        <w:rPr>
          <w:rFonts w:cs="Arial"/>
          <w:lang w:val="es-ES"/>
        </w:rPr>
      </w:pPr>
    </w:p>
    <w:p w14:paraId="2E301EEE" w14:textId="77777777" w:rsidR="00F87117" w:rsidRPr="00E937ED" w:rsidRDefault="00F87117" w:rsidP="00F87117">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lang w:val="es-ES"/>
        </w:rPr>
      </w:pPr>
      <w:r w:rsidRPr="00E937ED">
        <w:rPr>
          <w:rFonts w:cs="Arial"/>
          <w:b/>
          <w:lang w:val="es-ES"/>
        </w:rPr>
        <w:t>PLAN DE ACCIÓN DE ESPECIES ÚNICAS para la anguila europea (</w:t>
      </w:r>
      <w:r w:rsidRPr="00E937ED">
        <w:rPr>
          <w:rFonts w:cs="Arial"/>
          <w:b/>
          <w:i/>
          <w:iCs/>
          <w:lang w:val="es-ES"/>
        </w:rPr>
        <w:t>Anguilla anguilla</w:t>
      </w:r>
      <w:r w:rsidRPr="00E937ED">
        <w:rPr>
          <w:rFonts w:cs="Arial"/>
          <w:b/>
          <w:lang w:val="es-ES"/>
        </w:rPr>
        <w:t>)</w:t>
      </w:r>
    </w:p>
    <w:p w14:paraId="071F6A4E" w14:textId="77777777" w:rsidR="00F87117" w:rsidRPr="00E937ED" w:rsidRDefault="00F87117" w:rsidP="00F87117">
      <w:pPr>
        <w:spacing w:after="0" w:line="240" w:lineRule="auto"/>
        <w:rPr>
          <w:rFonts w:cs="Arial"/>
          <w:b/>
          <w:lang w:val="es-ES"/>
        </w:rPr>
      </w:pPr>
    </w:p>
    <w:p w14:paraId="5B3DDDA5" w14:textId="77777777" w:rsidR="00F87117" w:rsidRPr="00E937ED" w:rsidRDefault="00F87117" w:rsidP="00F87117">
      <w:pPr>
        <w:spacing w:after="0" w:line="240" w:lineRule="auto"/>
        <w:rPr>
          <w:rFonts w:cs="Arial"/>
          <w:b/>
          <w:lang w:val="es-ES"/>
        </w:rPr>
      </w:pPr>
    </w:p>
    <w:p w14:paraId="6F6CDC54" w14:textId="77777777" w:rsidR="00F87117" w:rsidRPr="00E937ED" w:rsidRDefault="00F87117" w:rsidP="00F87117">
      <w:pPr>
        <w:spacing w:after="0" w:line="240" w:lineRule="auto"/>
        <w:jc w:val="both"/>
        <w:rPr>
          <w:rFonts w:eastAsia="Times New Roman" w:cs="Arial"/>
          <w:lang w:val="es-ES" w:eastAsia="en-GB"/>
        </w:rPr>
      </w:pPr>
      <w:r w:rsidRPr="00E937ED">
        <w:rPr>
          <w:rFonts w:eastAsia="Times New Roman" w:cs="Arial"/>
          <w:i/>
          <w:lang w:val="es-ES" w:eastAsia="es-US"/>
        </w:rPr>
        <w:t>Observando</w:t>
      </w:r>
      <w:r w:rsidRPr="00E937ED">
        <w:rPr>
          <w:rFonts w:eastAsia="Times New Roman" w:cs="Arial"/>
          <w:lang w:val="es-ES" w:eastAsia="es-US"/>
        </w:rPr>
        <w:t xml:space="preserve"> que la anguila europea (</w:t>
      </w:r>
      <w:r w:rsidRPr="00E937ED">
        <w:rPr>
          <w:rFonts w:eastAsia="Times New Roman" w:cs="Arial"/>
          <w:i/>
          <w:lang w:val="es-ES" w:eastAsia="es-US"/>
        </w:rPr>
        <w:t>Anguilla anguilla</w:t>
      </w:r>
      <w:r w:rsidRPr="00E937ED">
        <w:rPr>
          <w:rFonts w:eastAsia="Times New Roman" w:cs="Arial"/>
          <w:lang w:val="es-ES" w:eastAsia="es-US"/>
        </w:rPr>
        <w:t>) fue incluida en el Apéndice II de la CMS durante la 11.a reunión de la Conferencia de las Partes (COP11),</w:t>
      </w:r>
    </w:p>
    <w:p w14:paraId="3E4D771B" w14:textId="77777777" w:rsidR="00F87117" w:rsidRPr="00E937ED" w:rsidRDefault="00F87117" w:rsidP="00F87117">
      <w:pPr>
        <w:spacing w:after="0" w:line="240" w:lineRule="auto"/>
        <w:jc w:val="both"/>
        <w:rPr>
          <w:rFonts w:eastAsia="Times New Roman" w:cs="Arial"/>
          <w:lang w:val="es-ES" w:eastAsia="en-GB"/>
        </w:rPr>
      </w:pPr>
    </w:p>
    <w:p w14:paraId="3CDF1290" w14:textId="77777777" w:rsidR="00F87117" w:rsidRPr="00E937ED" w:rsidRDefault="00F87117" w:rsidP="00F87117">
      <w:pPr>
        <w:spacing w:after="0" w:line="240" w:lineRule="auto"/>
        <w:jc w:val="both"/>
        <w:rPr>
          <w:rFonts w:eastAsia="Times New Roman" w:cs="Arial"/>
          <w:lang w:val="es-ES" w:eastAsia="en-GB"/>
        </w:rPr>
      </w:pPr>
      <w:r w:rsidRPr="00E937ED">
        <w:rPr>
          <w:rFonts w:eastAsia="Times New Roman" w:cs="Arial"/>
          <w:i/>
          <w:lang w:val="es-ES" w:eastAsia="es-US"/>
        </w:rPr>
        <w:t>Alarmada</w:t>
      </w:r>
      <w:r w:rsidRPr="00E937ED">
        <w:rPr>
          <w:rFonts w:eastAsia="Times New Roman" w:cs="Arial"/>
          <w:lang w:val="es-ES" w:eastAsia="es-US"/>
        </w:rPr>
        <w:t xml:space="preserve"> por el continuo descenso de la población de la anguila europea en toda su área de distribución y por la compleja combinación de amenazas a la que se enfrenta, entre ellas las barreras a la migración, la sobreexplotación, la captura incidental, la pérdida y degradación de su hábitat, la contaminación, las infecciones parasitarias y los cambios en las condiciones oceánicas,</w:t>
      </w:r>
    </w:p>
    <w:p w14:paraId="54D7EA4A" w14:textId="77777777" w:rsidR="00F87117" w:rsidRPr="00E937ED" w:rsidRDefault="00F87117" w:rsidP="00F87117">
      <w:pPr>
        <w:spacing w:after="0" w:line="240" w:lineRule="auto"/>
        <w:jc w:val="both"/>
        <w:rPr>
          <w:rFonts w:eastAsia="Times New Roman" w:cs="Arial"/>
          <w:lang w:val="es-ES" w:eastAsia="en-GB"/>
        </w:rPr>
      </w:pPr>
    </w:p>
    <w:p w14:paraId="7A43F9C3" w14:textId="77777777" w:rsidR="00F87117" w:rsidRPr="00E937ED" w:rsidRDefault="00F87117" w:rsidP="00F87117">
      <w:pPr>
        <w:spacing w:after="0" w:line="240" w:lineRule="auto"/>
        <w:jc w:val="both"/>
        <w:rPr>
          <w:rFonts w:eastAsia="Times New Roman" w:cs="Arial"/>
          <w:lang w:val="es-ES" w:eastAsia="en-GB"/>
        </w:rPr>
      </w:pPr>
      <w:r w:rsidRPr="00E937ED">
        <w:rPr>
          <w:rFonts w:eastAsia="Times New Roman" w:cs="Arial"/>
          <w:i/>
          <w:lang w:val="es-ES" w:eastAsia="es-US"/>
        </w:rPr>
        <w:t>Preocupada</w:t>
      </w:r>
      <w:r w:rsidRPr="00E937ED">
        <w:rPr>
          <w:rFonts w:eastAsia="Times New Roman" w:cs="Arial"/>
          <w:lang w:val="es-ES" w:eastAsia="es-US"/>
        </w:rPr>
        <w:t xml:space="preserve"> por el hecho de que la especie esté clasificada como En peligro crítico en la Lista Roja de la UICN y que los niveles de incorporación de nuevos ejemplares se mantengan en mínimos históricos a pesar de las medidas de gestión aplicadas en varios Estados del área de distribución,</w:t>
      </w:r>
    </w:p>
    <w:p w14:paraId="1CD1A8BA" w14:textId="77777777" w:rsidR="00F87117" w:rsidRPr="00E937ED" w:rsidRDefault="00F87117" w:rsidP="00F87117">
      <w:pPr>
        <w:spacing w:after="0" w:line="240" w:lineRule="auto"/>
        <w:jc w:val="both"/>
        <w:rPr>
          <w:rFonts w:eastAsia="Times New Roman" w:cs="Arial"/>
          <w:lang w:val="es-ES" w:eastAsia="en-GB"/>
        </w:rPr>
      </w:pPr>
    </w:p>
    <w:p w14:paraId="324296DA" w14:textId="77777777" w:rsidR="00F87117" w:rsidRPr="00E937ED" w:rsidRDefault="00F87117" w:rsidP="00F87117">
      <w:pPr>
        <w:spacing w:after="0" w:line="240" w:lineRule="auto"/>
        <w:jc w:val="both"/>
        <w:rPr>
          <w:rFonts w:eastAsia="Times New Roman" w:cs="Arial"/>
          <w:lang w:val="es-ES" w:eastAsia="en-GB"/>
        </w:rPr>
      </w:pPr>
      <w:r w:rsidRPr="00E937ED">
        <w:rPr>
          <w:rFonts w:eastAsia="Times New Roman" w:cs="Arial"/>
          <w:i/>
          <w:lang w:val="es-ES" w:eastAsia="es-US"/>
        </w:rPr>
        <w:t>Reconociendo</w:t>
      </w:r>
      <w:r w:rsidRPr="00E937ED">
        <w:rPr>
          <w:rFonts w:eastAsia="Times New Roman" w:cs="Arial"/>
          <w:lang w:val="es-ES" w:eastAsia="es-US"/>
        </w:rPr>
        <w:t xml:space="preserve"> que la anguila europea es una especie migratoria catádroma única, que conecta las aguas continentales y costeras de Europa y el norte de África con las del mar de los Sargazos, y que desempeña un papel ecológico, económico y cultural fundamental,</w:t>
      </w:r>
    </w:p>
    <w:p w14:paraId="3FA1F446" w14:textId="77777777" w:rsidR="00F87117" w:rsidRPr="00E937ED" w:rsidRDefault="00F87117" w:rsidP="00F87117">
      <w:pPr>
        <w:spacing w:after="0" w:line="240" w:lineRule="auto"/>
        <w:jc w:val="both"/>
        <w:rPr>
          <w:rFonts w:eastAsia="Times New Roman" w:cs="Arial"/>
          <w:lang w:val="es-ES" w:eastAsia="en-GB"/>
        </w:rPr>
      </w:pPr>
    </w:p>
    <w:p w14:paraId="4324FB6B" w14:textId="77777777" w:rsidR="00F87117" w:rsidRPr="00E937ED" w:rsidRDefault="00F87117" w:rsidP="00F87117">
      <w:pPr>
        <w:spacing w:after="0" w:line="240" w:lineRule="auto"/>
        <w:jc w:val="both"/>
        <w:rPr>
          <w:rFonts w:eastAsia="Times New Roman" w:cs="Arial"/>
          <w:lang w:val="es-ES" w:eastAsia="en-GB"/>
        </w:rPr>
      </w:pPr>
      <w:r w:rsidRPr="00E937ED">
        <w:rPr>
          <w:rFonts w:eastAsia="Times New Roman" w:cs="Arial"/>
          <w:i/>
          <w:lang w:val="es-ES" w:eastAsia="es-US"/>
        </w:rPr>
        <w:t xml:space="preserve">Observando </w:t>
      </w:r>
      <w:r w:rsidRPr="00E937ED">
        <w:rPr>
          <w:rFonts w:eastAsia="Times New Roman" w:cs="Arial"/>
          <w:lang w:val="es-ES" w:eastAsia="es-US"/>
        </w:rPr>
        <w:t>el trabajo complementario realizado en el marco de otros organismos pertinentes, entre ellos la Unión Europea, la Comisión General de Pesca del Mediterráneo (CGPM), el Consejo Internacional para la Exploración del Mar (CIEM), la CITES y la Comisión del Mar de los Sargazos,</w:t>
      </w:r>
    </w:p>
    <w:p w14:paraId="7CCE177A" w14:textId="77777777" w:rsidR="00F87117" w:rsidRPr="00E937ED" w:rsidRDefault="00F87117" w:rsidP="00F87117">
      <w:pPr>
        <w:spacing w:after="0" w:line="240" w:lineRule="auto"/>
        <w:jc w:val="both"/>
        <w:rPr>
          <w:rFonts w:eastAsia="Times New Roman" w:cs="Arial"/>
          <w:lang w:val="es-ES" w:eastAsia="en-GB"/>
        </w:rPr>
      </w:pPr>
    </w:p>
    <w:p w14:paraId="09679AD6" w14:textId="77777777" w:rsidR="00F87117" w:rsidRPr="00E937ED" w:rsidRDefault="00F87117" w:rsidP="00F87117">
      <w:pPr>
        <w:spacing w:after="0" w:line="240" w:lineRule="auto"/>
        <w:jc w:val="both"/>
        <w:rPr>
          <w:rFonts w:eastAsia="Times New Roman" w:cs="Arial"/>
          <w:lang w:val="es-ES" w:eastAsia="en-GB"/>
        </w:rPr>
      </w:pPr>
    </w:p>
    <w:p w14:paraId="66ABAC6D" w14:textId="77777777" w:rsidR="00F87117" w:rsidRPr="00E937ED" w:rsidRDefault="00F87117" w:rsidP="00F87117">
      <w:pPr>
        <w:spacing w:after="0" w:line="240" w:lineRule="auto"/>
        <w:jc w:val="center"/>
        <w:rPr>
          <w:rFonts w:eastAsia="Times New Roman" w:cs="Arial"/>
          <w:i/>
          <w:lang w:val="es-ES" w:eastAsia="en-GB"/>
        </w:rPr>
      </w:pPr>
      <w:r w:rsidRPr="00E937ED">
        <w:rPr>
          <w:rFonts w:eastAsia="Times New Roman" w:cs="Arial"/>
          <w:i/>
          <w:lang w:val="es-ES" w:eastAsia="es-US"/>
        </w:rPr>
        <w:t>La Conferencia de las Partes de la Convención sobre la Conservación de las Especies Migratorias de Animales Silvestres</w:t>
      </w:r>
    </w:p>
    <w:p w14:paraId="6302C3A3" w14:textId="77777777" w:rsidR="00F87117" w:rsidRPr="00E937ED" w:rsidRDefault="00F87117" w:rsidP="00F87117">
      <w:pPr>
        <w:spacing w:after="0" w:line="240" w:lineRule="auto"/>
        <w:jc w:val="center"/>
        <w:rPr>
          <w:rFonts w:eastAsia="Times New Roman" w:cs="Arial"/>
          <w:i/>
          <w:lang w:val="es-ES" w:eastAsia="en-GB"/>
        </w:rPr>
      </w:pPr>
    </w:p>
    <w:p w14:paraId="7C182F95" w14:textId="77777777" w:rsidR="00F87117" w:rsidRPr="00E937ED" w:rsidRDefault="00F87117" w:rsidP="00F87117">
      <w:pPr>
        <w:spacing w:after="0" w:line="240" w:lineRule="auto"/>
        <w:jc w:val="center"/>
        <w:rPr>
          <w:rFonts w:eastAsia="Times New Roman" w:cs="Arial"/>
          <w:i/>
          <w:lang w:val="es-ES" w:eastAsia="en-GB"/>
        </w:rPr>
      </w:pPr>
    </w:p>
    <w:p w14:paraId="46E6727F" w14:textId="77777777" w:rsidR="00F87117" w:rsidRPr="00E937ED" w:rsidRDefault="00F87117" w:rsidP="00F87117">
      <w:pPr>
        <w:pStyle w:val="ListParagraph"/>
        <w:numPr>
          <w:ilvl w:val="0"/>
          <w:numId w:val="17"/>
        </w:numPr>
        <w:spacing w:after="0" w:line="240" w:lineRule="auto"/>
        <w:ind w:left="567" w:hanging="567"/>
        <w:contextualSpacing w:val="0"/>
        <w:jc w:val="both"/>
        <w:rPr>
          <w:lang w:val="es-ES" w:eastAsia="en-GB"/>
        </w:rPr>
      </w:pPr>
      <w:r w:rsidRPr="00E937ED">
        <w:rPr>
          <w:i/>
          <w:lang w:val="es-ES" w:eastAsia="es-US"/>
        </w:rPr>
        <w:t>Adopta</w:t>
      </w:r>
      <w:r w:rsidRPr="00E937ED">
        <w:rPr>
          <w:lang w:val="es-ES" w:eastAsia="es-US"/>
        </w:rPr>
        <w:t xml:space="preserve"> el Plan de Acción de Especies Únicas para la anguila europea </w:t>
      </w:r>
      <w:r w:rsidRPr="00E937ED">
        <w:rPr>
          <w:i/>
          <w:lang w:val="es-ES" w:eastAsia="es-US"/>
        </w:rPr>
        <w:t>anexo</w:t>
      </w:r>
      <w:r w:rsidRPr="00E937ED">
        <w:rPr>
          <w:lang w:val="es-ES" w:eastAsia="es-US"/>
        </w:rPr>
        <w:t xml:space="preserve"> a esta Resolución;</w:t>
      </w:r>
    </w:p>
    <w:p w14:paraId="11C34649" w14:textId="77777777" w:rsidR="00F87117" w:rsidRPr="00E937ED" w:rsidRDefault="00F87117" w:rsidP="00F87117">
      <w:pPr>
        <w:pStyle w:val="ListParagraph"/>
        <w:spacing w:after="0" w:line="240" w:lineRule="auto"/>
        <w:ind w:left="567" w:hanging="567"/>
        <w:contextualSpacing w:val="0"/>
        <w:jc w:val="both"/>
        <w:rPr>
          <w:lang w:val="es-ES" w:eastAsia="en-GB"/>
        </w:rPr>
      </w:pPr>
    </w:p>
    <w:p w14:paraId="0B6C1153" w14:textId="77777777" w:rsidR="00F87117" w:rsidRPr="00E937ED" w:rsidRDefault="00F87117" w:rsidP="00F87117">
      <w:pPr>
        <w:pStyle w:val="ListParagraph"/>
        <w:numPr>
          <w:ilvl w:val="0"/>
          <w:numId w:val="17"/>
        </w:numPr>
        <w:spacing w:after="0" w:line="240" w:lineRule="auto"/>
        <w:ind w:left="567" w:hanging="567"/>
        <w:contextualSpacing w:val="0"/>
        <w:jc w:val="both"/>
        <w:rPr>
          <w:lang w:val="es-ES" w:eastAsia="en-GB"/>
        </w:rPr>
      </w:pPr>
      <w:r w:rsidRPr="00E937ED">
        <w:rPr>
          <w:i/>
          <w:lang w:val="es-ES" w:eastAsia="es-US"/>
        </w:rPr>
        <w:t>Insta</w:t>
      </w:r>
      <w:r w:rsidRPr="00E937ED">
        <w:rPr>
          <w:lang w:val="es-ES" w:eastAsia="es-US"/>
        </w:rPr>
        <w:t xml:space="preserve"> a las Partes e </w:t>
      </w:r>
      <w:r w:rsidRPr="00E937ED">
        <w:rPr>
          <w:i/>
          <w:lang w:val="es-ES" w:eastAsia="es-US"/>
        </w:rPr>
        <w:t>invita</w:t>
      </w:r>
      <w:r w:rsidRPr="00E937ED">
        <w:rPr>
          <w:lang w:val="es-ES" w:eastAsia="es-US"/>
        </w:rPr>
        <w:t xml:space="preserve"> a los Estados del área de distribución no Partes a aplicar las disposiciones pertinentes del Plan de Acción e integrar sus objetivos en los marcos nacionales y regionales de gestión;</w:t>
      </w:r>
    </w:p>
    <w:p w14:paraId="4BE15679" w14:textId="77777777" w:rsidR="00F87117" w:rsidRPr="00E937ED" w:rsidRDefault="00F87117" w:rsidP="00F87117">
      <w:pPr>
        <w:pStyle w:val="ListParagraph"/>
        <w:spacing w:after="0" w:line="240" w:lineRule="auto"/>
        <w:ind w:left="567" w:hanging="567"/>
        <w:contextualSpacing w:val="0"/>
        <w:jc w:val="both"/>
        <w:rPr>
          <w:lang w:val="es-ES" w:eastAsia="en-GB"/>
        </w:rPr>
      </w:pPr>
    </w:p>
    <w:p w14:paraId="1EBF3813" w14:textId="77777777" w:rsidR="00F87117" w:rsidRPr="00E937ED" w:rsidRDefault="00F87117" w:rsidP="00F87117">
      <w:pPr>
        <w:pStyle w:val="ListParagraph"/>
        <w:numPr>
          <w:ilvl w:val="0"/>
          <w:numId w:val="17"/>
        </w:numPr>
        <w:spacing w:after="0" w:line="240" w:lineRule="auto"/>
        <w:ind w:left="567" w:hanging="567"/>
        <w:contextualSpacing w:val="0"/>
        <w:jc w:val="both"/>
        <w:rPr>
          <w:lang w:val="es-ES" w:eastAsia="en-GB"/>
        </w:rPr>
      </w:pPr>
      <w:r w:rsidRPr="00E937ED">
        <w:rPr>
          <w:i/>
          <w:lang w:val="es-ES" w:eastAsia="es-US"/>
        </w:rPr>
        <w:t>Hace un llamamiento</w:t>
      </w:r>
      <w:r w:rsidRPr="00E937ED">
        <w:rPr>
          <w:lang w:val="es-ES" w:eastAsia="es-US"/>
        </w:rPr>
        <w:t xml:space="preserve"> a los Estados del área de distribución para que promuevan una colaboración activa entre las partes interesadas gubernamentales, científicas y no gubernamentales, a fin de optimizar el uso eficaz de los recursos y garantizar que los resultados de la investigación y el seguimiento orienten la gestión y las políticas adaptativas;</w:t>
      </w:r>
    </w:p>
    <w:p w14:paraId="28D6FBC2" w14:textId="77777777" w:rsidR="00F87117" w:rsidRPr="00E937ED" w:rsidRDefault="00F87117" w:rsidP="00F87117">
      <w:pPr>
        <w:pStyle w:val="ListParagraph"/>
        <w:spacing w:after="0" w:line="240" w:lineRule="auto"/>
        <w:ind w:left="567" w:hanging="567"/>
        <w:contextualSpacing w:val="0"/>
        <w:jc w:val="both"/>
        <w:rPr>
          <w:lang w:val="es-ES" w:eastAsia="en-GB"/>
        </w:rPr>
      </w:pPr>
    </w:p>
    <w:p w14:paraId="5A85068F" w14:textId="77777777" w:rsidR="00F87117" w:rsidRPr="00E937ED" w:rsidRDefault="00F87117" w:rsidP="00F87117">
      <w:pPr>
        <w:pStyle w:val="ListParagraph"/>
        <w:numPr>
          <w:ilvl w:val="0"/>
          <w:numId w:val="17"/>
        </w:numPr>
        <w:spacing w:after="0" w:line="240" w:lineRule="auto"/>
        <w:ind w:left="567" w:hanging="567"/>
        <w:contextualSpacing w:val="0"/>
        <w:jc w:val="both"/>
        <w:rPr>
          <w:i/>
          <w:lang w:val="es-ES" w:eastAsia="en-GB"/>
        </w:rPr>
      </w:pPr>
      <w:r w:rsidRPr="00E937ED">
        <w:rPr>
          <w:i/>
          <w:lang w:val="es-ES" w:eastAsia="es-US"/>
        </w:rPr>
        <w:t>Llama también</w:t>
      </w:r>
      <w:r w:rsidRPr="00E937ED">
        <w:rPr>
          <w:lang w:val="es-ES" w:eastAsia="es-US"/>
        </w:rPr>
        <w:t xml:space="preserve"> </w:t>
      </w:r>
      <w:r w:rsidRPr="00E937ED">
        <w:rPr>
          <w:i/>
          <w:lang w:val="es-ES" w:eastAsia="es-US"/>
        </w:rPr>
        <w:t>a los</w:t>
      </w:r>
      <w:r w:rsidRPr="00E937ED">
        <w:rPr>
          <w:lang w:val="es-ES" w:eastAsia="es-US"/>
        </w:rPr>
        <w:t xml:space="preserve"> Estados del área de distribución y a sus asociados a que faciliten la colaboración regional, en particular entre las partes involucradas de Europa, el norte de África, el Mediterráneo oriental y el mar de los Sargazos, con el fin de coordinar las medidas a lo largo de toda la zona de migración de la especie;</w:t>
      </w:r>
    </w:p>
    <w:p w14:paraId="3C5987EC" w14:textId="77777777" w:rsidR="00F87117" w:rsidRPr="00E937ED" w:rsidRDefault="00F87117" w:rsidP="00F87117">
      <w:pPr>
        <w:pStyle w:val="ListParagraph"/>
        <w:spacing w:after="0" w:line="240" w:lineRule="auto"/>
        <w:ind w:left="567" w:hanging="567"/>
        <w:contextualSpacing w:val="0"/>
        <w:jc w:val="both"/>
        <w:rPr>
          <w:i/>
          <w:lang w:val="es-ES" w:eastAsia="en-GB"/>
        </w:rPr>
      </w:pPr>
    </w:p>
    <w:p w14:paraId="51C038C2" w14:textId="77777777" w:rsidR="00F87117" w:rsidRPr="00E937ED" w:rsidRDefault="00F87117" w:rsidP="00F87117">
      <w:pPr>
        <w:pStyle w:val="ListParagraph"/>
        <w:numPr>
          <w:ilvl w:val="0"/>
          <w:numId w:val="17"/>
        </w:numPr>
        <w:spacing w:after="0" w:line="240" w:lineRule="auto"/>
        <w:ind w:left="567" w:hanging="567"/>
        <w:contextualSpacing w:val="0"/>
        <w:jc w:val="both"/>
        <w:rPr>
          <w:lang w:val="es-ES" w:eastAsia="en-GB"/>
        </w:rPr>
      </w:pPr>
      <w:r w:rsidRPr="00E937ED">
        <w:rPr>
          <w:i/>
          <w:lang w:val="es-ES" w:eastAsia="es-US"/>
        </w:rPr>
        <w:lastRenderedPageBreak/>
        <w:t xml:space="preserve">Solicita </w:t>
      </w:r>
      <w:r w:rsidRPr="00E937ED">
        <w:rPr>
          <w:lang w:val="es-ES" w:eastAsia="es-US"/>
        </w:rPr>
        <w:t>a los Estados del área de distribución que consideren mecanismos de coordinación adecuados;</w:t>
      </w:r>
    </w:p>
    <w:p w14:paraId="564E4404" w14:textId="77777777" w:rsidR="00F87117" w:rsidRPr="00E937ED" w:rsidRDefault="00F87117" w:rsidP="00F87117">
      <w:pPr>
        <w:pStyle w:val="ListParagraph"/>
        <w:spacing w:after="0" w:line="240" w:lineRule="auto"/>
        <w:ind w:left="567" w:hanging="567"/>
        <w:contextualSpacing w:val="0"/>
        <w:jc w:val="both"/>
        <w:rPr>
          <w:lang w:val="es-ES" w:eastAsia="en-GB"/>
        </w:rPr>
      </w:pPr>
    </w:p>
    <w:p w14:paraId="1394299E" w14:textId="77777777" w:rsidR="00F87117" w:rsidRPr="00E937ED" w:rsidRDefault="00F87117" w:rsidP="00F87117">
      <w:pPr>
        <w:pStyle w:val="ListParagraph"/>
        <w:numPr>
          <w:ilvl w:val="0"/>
          <w:numId w:val="17"/>
        </w:numPr>
        <w:spacing w:after="0" w:line="240" w:lineRule="auto"/>
        <w:ind w:left="567" w:hanging="567"/>
        <w:contextualSpacing w:val="0"/>
        <w:jc w:val="both"/>
        <w:rPr>
          <w:lang w:val="es-ES" w:eastAsia="en-GB"/>
        </w:rPr>
      </w:pPr>
      <w:r w:rsidRPr="00E937ED">
        <w:rPr>
          <w:i/>
          <w:lang w:val="es-ES" w:eastAsia="es-US"/>
        </w:rPr>
        <w:t>Solicita</w:t>
      </w:r>
      <w:r w:rsidRPr="00E937ED">
        <w:rPr>
          <w:lang w:val="es-ES" w:eastAsia="es-US"/>
        </w:rPr>
        <w:t xml:space="preserve"> a los Estados del área de distribución que informen del progreso y la aplicación de este Plan de Acción para futuras Conferencias de las Partes; </w:t>
      </w:r>
    </w:p>
    <w:p w14:paraId="360D55E9" w14:textId="77777777" w:rsidR="00F87117" w:rsidRPr="00E937ED" w:rsidRDefault="00F87117" w:rsidP="00F87117">
      <w:pPr>
        <w:pStyle w:val="ListParagraph"/>
        <w:spacing w:after="0" w:line="240" w:lineRule="auto"/>
        <w:ind w:left="567" w:hanging="567"/>
        <w:contextualSpacing w:val="0"/>
        <w:jc w:val="both"/>
        <w:rPr>
          <w:lang w:val="es-ES" w:eastAsia="en-GB"/>
        </w:rPr>
      </w:pPr>
    </w:p>
    <w:p w14:paraId="38A5985F" w14:textId="77777777" w:rsidR="00F87117" w:rsidRPr="00E937ED" w:rsidRDefault="00F87117" w:rsidP="00F87117">
      <w:pPr>
        <w:pStyle w:val="ListParagraph"/>
        <w:numPr>
          <w:ilvl w:val="0"/>
          <w:numId w:val="17"/>
        </w:numPr>
        <w:spacing w:after="0" w:line="240" w:lineRule="auto"/>
        <w:ind w:left="567" w:hanging="567"/>
        <w:contextualSpacing w:val="0"/>
        <w:jc w:val="both"/>
        <w:rPr>
          <w:lang w:val="es-ES" w:eastAsia="en-GB"/>
        </w:rPr>
      </w:pPr>
      <w:r w:rsidRPr="00E937ED">
        <w:rPr>
          <w:i/>
          <w:lang w:val="es-ES" w:eastAsia="es-US"/>
        </w:rPr>
        <w:t>Anima</w:t>
      </w:r>
      <w:r w:rsidRPr="00E937ED">
        <w:rPr>
          <w:lang w:val="es-ES" w:eastAsia="es-US"/>
        </w:rPr>
        <w:t xml:space="preserve"> a crear sinergias con los acuerdos multilaterales sobre el medio ambiente y las iniciativas regionales pertinentes para reforzar las medidas de conservación y gestión de la anguila europea; </w:t>
      </w:r>
    </w:p>
    <w:p w14:paraId="43D34E5A" w14:textId="77777777" w:rsidR="00F87117" w:rsidRPr="00E937ED" w:rsidRDefault="00F87117" w:rsidP="00F87117">
      <w:pPr>
        <w:pStyle w:val="ListParagraph"/>
        <w:spacing w:after="0" w:line="240" w:lineRule="auto"/>
        <w:ind w:left="567" w:hanging="567"/>
        <w:contextualSpacing w:val="0"/>
        <w:jc w:val="both"/>
        <w:rPr>
          <w:lang w:val="es-ES" w:eastAsia="en-GB"/>
        </w:rPr>
      </w:pPr>
    </w:p>
    <w:p w14:paraId="1C71A45F" w14:textId="77777777" w:rsidR="00F87117" w:rsidRPr="00E937ED" w:rsidRDefault="00F87117" w:rsidP="00F87117">
      <w:pPr>
        <w:pStyle w:val="ListParagraph"/>
        <w:numPr>
          <w:ilvl w:val="0"/>
          <w:numId w:val="17"/>
        </w:numPr>
        <w:spacing w:after="0" w:line="240" w:lineRule="auto"/>
        <w:ind w:left="567" w:hanging="567"/>
        <w:contextualSpacing w:val="0"/>
        <w:jc w:val="both"/>
        <w:rPr>
          <w:lang w:val="es-ES" w:eastAsia="en-GB"/>
        </w:rPr>
      </w:pPr>
      <w:r w:rsidRPr="00E937ED">
        <w:rPr>
          <w:i/>
          <w:lang w:val="es-ES" w:eastAsia="es-US"/>
        </w:rPr>
        <w:t xml:space="preserve">También anima </w:t>
      </w:r>
      <w:r w:rsidRPr="00E937ED">
        <w:rPr>
          <w:lang w:val="es-ES" w:eastAsia="es-US"/>
        </w:rPr>
        <w:t>a las Partes a compartir su experiencia, conocimiento y buenas prácticas las unas con las otras; y</w:t>
      </w:r>
    </w:p>
    <w:p w14:paraId="4EBB838A" w14:textId="77777777" w:rsidR="00F87117" w:rsidRPr="00E937ED" w:rsidRDefault="00F87117" w:rsidP="00F87117">
      <w:pPr>
        <w:pStyle w:val="ListParagraph"/>
        <w:spacing w:after="0" w:line="240" w:lineRule="auto"/>
        <w:ind w:left="567" w:hanging="567"/>
        <w:contextualSpacing w:val="0"/>
        <w:jc w:val="both"/>
        <w:rPr>
          <w:lang w:val="es-ES" w:eastAsia="en-GB"/>
        </w:rPr>
      </w:pPr>
    </w:p>
    <w:p w14:paraId="0AB2135D" w14:textId="77777777" w:rsidR="00F87117" w:rsidRPr="00E937ED" w:rsidRDefault="00F87117" w:rsidP="00F87117">
      <w:pPr>
        <w:pStyle w:val="ListParagraph"/>
        <w:numPr>
          <w:ilvl w:val="0"/>
          <w:numId w:val="17"/>
        </w:numPr>
        <w:spacing w:after="0" w:line="240" w:lineRule="auto"/>
        <w:ind w:left="567" w:hanging="567"/>
        <w:contextualSpacing w:val="0"/>
        <w:jc w:val="both"/>
        <w:rPr>
          <w:lang w:val="es-ES" w:eastAsia="en-GB"/>
        </w:rPr>
      </w:pPr>
      <w:r w:rsidRPr="00E937ED">
        <w:rPr>
          <w:i/>
          <w:lang w:val="es-ES" w:eastAsia="es-US"/>
        </w:rPr>
        <w:t>Hace un llamamiento</w:t>
      </w:r>
      <w:r w:rsidRPr="00E937ED">
        <w:rPr>
          <w:lang w:val="es-ES" w:eastAsia="es-US"/>
        </w:rPr>
        <w:t xml:space="preserve"> a las Partes, donantes y otras partes interesadas implicadas para que proporcionen apoyo financiero y técnico para la aplicación del Plan de Acción de Especies Únicas.</w:t>
      </w:r>
    </w:p>
    <w:p w14:paraId="52C05F01" w14:textId="77777777" w:rsidR="00F87117" w:rsidRDefault="00F87117" w:rsidP="00F87117">
      <w:pPr>
        <w:pStyle w:val="Secondnumbering"/>
        <w:numPr>
          <w:ilvl w:val="0"/>
          <w:numId w:val="0"/>
        </w:numPr>
        <w:ind w:left="360" w:hanging="360"/>
        <w:jc w:val="both"/>
        <w:rPr>
          <w:lang w:val="es-ES"/>
        </w:rPr>
        <w:sectPr w:rsidR="00F87117" w:rsidSect="00323406">
          <w:headerReference w:type="default" r:id="rId18"/>
          <w:headerReference w:type="first" r:id="rId19"/>
          <w:footerReference w:type="first" r:id="rId20"/>
          <w:pgSz w:w="11906" w:h="16838" w:code="9"/>
          <w:pgMar w:top="1440" w:right="1440" w:bottom="1440" w:left="1440" w:header="720" w:footer="720" w:gutter="0"/>
          <w:cols w:space="720"/>
          <w:titlePg/>
          <w:docGrid w:linePitch="360"/>
        </w:sectPr>
      </w:pPr>
    </w:p>
    <w:p w14:paraId="3C15A564" w14:textId="4A8CFA72" w:rsidR="00F87117" w:rsidRPr="00E937ED" w:rsidRDefault="00FB45CA" w:rsidP="00F87117">
      <w:pPr>
        <w:spacing w:after="0" w:line="240" w:lineRule="auto"/>
        <w:jc w:val="right"/>
        <w:rPr>
          <w:rFonts w:cs="Arial"/>
          <w:b/>
          <w:bCs/>
          <w:lang w:val="es-ES"/>
        </w:rPr>
      </w:pPr>
      <w:r w:rsidRPr="00E937ED">
        <w:rPr>
          <w:rFonts w:cs="Arial"/>
          <w:b/>
          <w:lang w:val="es-ES"/>
        </w:rPr>
        <w:lastRenderedPageBreak/>
        <w:t>ANEXO</w:t>
      </w:r>
      <w:r w:rsidR="00F87117" w:rsidRPr="00E937ED">
        <w:rPr>
          <w:rFonts w:cs="Arial"/>
          <w:b/>
          <w:lang w:val="es-ES"/>
        </w:rPr>
        <w:t> 2</w:t>
      </w:r>
    </w:p>
    <w:p w14:paraId="2576CF69" w14:textId="77777777" w:rsidR="00F87117" w:rsidRDefault="00F87117" w:rsidP="00F87117">
      <w:pPr>
        <w:spacing w:after="0" w:line="240" w:lineRule="auto"/>
        <w:rPr>
          <w:rFonts w:cs="Arial"/>
          <w:lang w:val="es-ES"/>
        </w:rPr>
      </w:pPr>
    </w:p>
    <w:p w14:paraId="416D6045" w14:textId="77777777" w:rsidR="00FB45CA" w:rsidRPr="00E937ED" w:rsidRDefault="00FB45CA" w:rsidP="00F87117">
      <w:pPr>
        <w:spacing w:after="0" w:line="240" w:lineRule="auto"/>
        <w:rPr>
          <w:rFonts w:cs="Arial"/>
          <w:lang w:val="es-ES"/>
        </w:rPr>
      </w:pPr>
    </w:p>
    <w:p w14:paraId="59FFC011" w14:textId="77777777" w:rsidR="00F87117" w:rsidRPr="00FB45CA" w:rsidRDefault="00F87117" w:rsidP="00F87117">
      <w:pPr>
        <w:widowControl w:val="0"/>
        <w:autoSpaceDE w:val="0"/>
        <w:autoSpaceDN w:val="0"/>
        <w:adjustRightInd w:val="0"/>
        <w:spacing w:after="0" w:line="240" w:lineRule="auto"/>
        <w:jc w:val="center"/>
        <w:rPr>
          <w:rFonts w:eastAsia="Times New Roman" w:cs="Arial"/>
          <w:b/>
          <w:bCs/>
          <w:lang w:val="es-ES"/>
        </w:rPr>
      </w:pPr>
      <w:r w:rsidRPr="00FB45CA">
        <w:rPr>
          <w:rFonts w:eastAsia="Times New Roman" w:cs="Arial"/>
          <w:b/>
          <w:bCs/>
          <w:lang w:val="es-ES"/>
        </w:rPr>
        <w:t>PROYECTO DEL PLAN DE ACCIÓN</w:t>
      </w:r>
    </w:p>
    <w:p w14:paraId="43782C9C" w14:textId="77777777" w:rsidR="00F87117" w:rsidRPr="00E937ED" w:rsidRDefault="00F87117" w:rsidP="00F87117">
      <w:pPr>
        <w:widowControl w:val="0"/>
        <w:autoSpaceDE w:val="0"/>
        <w:autoSpaceDN w:val="0"/>
        <w:adjustRightInd w:val="0"/>
        <w:spacing w:after="0" w:line="240" w:lineRule="auto"/>
        <w:rPr>
          <w:rFonts w:eastAsia="Times New Roman" w:cs="Arial"/>
          <w:lang w:val="es-ES"/>
        </w:rPr>
      </w:pPr>
    </w:p>
    <w:p w14:paraId="74542DBE" w14:textId="77777777" w:rsidR="00F87117" w:rsidRPr="00E937ED" w:rsidRDefault="00F87117" w:rsidP="00F87117">
      <w:pPr>
        <w:spacing w:after="0" w:line="240" w:lineRule="auto"/>
        <w:rPr>
          <w:rFonts w:cs="Arial"/>
          <w:lang w:val="es-ES"/>
        </w:rPr>
      </w:pPr>
    </w:p>
    <w:p w14:paraId="5C6BC064" w14:textId="77777777" w:rsidR="00F87117" w:rsidRPr="00E937ED" w:rsidRDefault="00F87117" w:rsidP="00F87117">
      <w:pPr>
        <w:widowControl w:val="0"/>
        <w:spacing w:after="0" w:line="240" w:lineRule="auto"/>
        <w:ind w:right="283"/>
        <w:jc w:val="center"/>
        <w:rPr>
          <w:rFonts w:eastAsia="Times New Roman" w:cs="Arial"/>
          <w:b/>
          <w:snapToGrid w:val="0"/>
          <w:sz w:val="24"/>
          <w:szCs w:val="24"/>
          <w:lang w:val="es-ES"/>
        </w:rPr>
      </w:pPr>
      <w:r w:rsidRPr="00E937ED">
        <w:rPr>
          <w:rFonts w:eastAsia="Times New Roman" w:cs="Arial"/>
          <w:b/>
          <w:snapToGrid w:val="0"/>
          <w:sz w:val="24"/>
          <w:szCs w:val="24"/>
          <w:lang w:val="es-ES"/>
        </w:rPr>
        <w:t>PLAN DE ACCIÓN DE ESPECIES ÚNICAS DE LA CMS</w:t>
      </w:r>
    </w:p>
    <w:p w14:paraId="2CC0AB99" w14:textId="77777777" w:rsidR="00F87117" w:rsidRPr="00E937ED" w:rsidRDefault="00F87117" w:rsidP="00F87117">
      <w:pPr>
        <w:widowControl w:val="0"/>
        <w:spacing w:after="0" w:line="240" w:lineRule="auto"/>
        <w:ind w:right="283"/>
        <w:jc w:val="center"/>
        <w:rPr>
          <w:rFonts w:eastAsia="Times New Roman" w:cs="Arial"/>
          <w:b/>
          <w:snapToGrid w:val="0"/>
          <w:sz w:val="24"/>
          <w:szCs w:val="24"/>
          <w:lang w:val="es-ES"/>
        </w:rPr>
      </w:pPr>
      <w:r w:rsidRPr="00E937ED">
        <w:rPr>
          <w:rFonts w:eastAsia="Times New Roman" w:cs="Arial"/>
          <w:b/>
          <w:snapToGrid w:val="0"/>
          <w:sz w:val="24"/>
          <w:szCs w:val="24"/>
          <w:lang w:val="es-ES"/>
        </w:rPr>
        <w:t>PARA LA ANGUILA EUROPEA (</w:t>
      </w:r>
      <w:r w:rsidRPr="00E937ED">
        <w:rPr>
          <w:rFonts w:eastAsia="Times New Roman" w:cs="Arial"/>
          <w:b/>
          <w:i/>
          <w:snapToGrid w:val="0"/>
          <w:sz w:val="24"/>
          <w:szCs w:val="24"/>
          <w:lang w:val="es-ES"/>
        </w:rPr>
        <w:t>Anguilla anguilla</w:t>
      </w:r>
      <w:r w:rsidRPr="00E937ED">
        <w:rPr>
          <w:rFonts w:eastAsia="Times New Roman" w:cs="Arial"/>
          <w:b/>
          <w:snapToGrid w:val="0"/>
          <w:sz w:val="24"/>
          <w:szCs w:val="24"/>
          <w:lang w:val="es-ES"/>
        </w:rPr>
        <w:t>)</w:t>
      </w:r>
    </w:p>
    <w:p w14:paraId="7683DC4D" w14:textId="77777777" w:rsidR="00F87117" w:rsidRPr="00E937ED" w:rsidRDefault="00F87117" w:rsidP="00F87117">
      <w:pPr>
        <w:widowControl w:val="0"/>
        <w:spacing w:after="0" w:line="240" w:lineRule="auto"/>
        <w:ind w:right="283"/>
        <w:jc w:val="center"/>
        <w:rPr>
          <w:rFonts w:eastAsia="Times New Roman" w:cs="Arial"/>
          <w:b/>
          <w:snapToGrid w:val="0"/>
          <w:sz w:val="24"/>
          <w:szCs w:val="24"/>
          <w:lang w:val="es-ES"/>
        </w:rPr>
      </w:pPr>
    </w:p>
    <w:p w14:paraId="3BA7805E" w14:textId="77777777" w:rsidR="00F87117" w:rsidRPr="00E937ED" w:rsidRDefault="00F87117" w:rsidP="00F87117">
      <w:pPr>
        <w:widowControl w:val="0"/>
        <w:spacing w:after="0" w:line="240" w:lineRule="auto"/>
        <w:ind w:right="283"/>
        <w:jc w:val="center"/>
        <w:rPr>
          <w:rFonts w:eastAsia="Times New Roman" w:cs="Arial"/>
          <w:b/>
          <w:snapToGrid w:val="0"/>
          <w:sz w:val="24"/>
          <w:szCs w:val="24"/>
          <w:lang w:val="es-ES"/>
        </w:rPr>
      </w:pPr>
    </w:p>
    <w:p w14:paraId="4BBE9088" w14:textId="4E1EAC5B" w:rsidR="00F87117" w:rsidRDefault="00F87117" w:rsidP="008373C7">
      <w:pPr>
        <w:pStyle w:val="Secondnumbering"/>
        <w:numPr>
          <w:ilvl w:val="0"/>
          <w:numId w:val="0"/>
        </w:numPr>
        <w:ind w:left="360" w:hanging="360"/>
        <w:jc w:val="center"/>
        <w:rPr>
          <w:rFonts w:eastAsia="Times New Roman" w:cs="Arial"/>
          <w:i/>
          <w:lang w:val="es-ES"/>
        </w:rPr>
      </w:pPr>
      <w:r w:rsidRPr="00E937ED">
        <w:rPr>
          <w:rFonts w:eastAsia="Times New Roman" w:cs="Arial"/>
          <w:i/>
          <w:lang w:val="es-ES"/>
        </w:rPr>
        <w:t>NB: El anexo se presenta en un archivo aparte</w:t>
      </w:r>
      <w:r w:rsidRPr="008373C7">
        <w:rPr>
          <w:rFonts w:eastAsia="Times New Roman" w:cs="Arial"/>
          <w:i/>
          <w:lang w:val="es-ES"/>
        </w:rPr>
        <w:t xml:space="preserve"> </w:t>
      </w:r>
      <w:hyperlink r:id="rId21" w:history="1">
        <w:r w:rsidRPr="008373C7">
          <w:rPr>
            <w:rStyle w:val="Hyperlink"/>
            <w:rFonts w:eastAsia="Times New Roman" w:cs="Arial"/>
            <w:i/>
            <w:lang w:val="es-ES"/>
          </w:rPr>
          <w:t>aquí</w:t>
        </w:r>
      </w:hyperlink>
      <w:r w:rsidRPr="00E937ED">
        <w:rPr>
          <w:rFonts w:eastAsia="Times New Roman" w:cs="Arial"/>
          <w:i/>
          <w:lang w:val="es-ES"/>
        </w:rPr>
        <w:t>.</w:t>
      </w:r>
    </w:p>
    <w:p w14:paraId="733F0694" w14:textId="77777777" w:rsidR="00F87117" w:rsidRDefault="00F87117" w:rsidP="00F87117">
      <w:pPr>
        <w:pStyle w:val="Secondnumbering"/>
        <w:numPr>
          <w:ilvl w:val="0"/>
          <w:numId w:val="0"/>
        </w:numPr>
        <w:ind w:left="360" w:hanging="360"/>
        <w:jc w:val="both"/>
        <w:rPr>
          <w:lang w:val="es-ES"/>
        </w:rPr>
        <w:sectPr w:rsidR="00F87117" w:rsidSect="00323406">
          <w:headerReference w:type="first" r:id="rId22"/>
          <w:footerReference w:type="first" r:id="rId23"/>
          <w:pgSz w:w="11906" w:h="16838" w:code="9"/>
          <w:pgMar w:top="1440" w:right="1440" w:bottom="1440" w:left="1440" w:header="720" w:footer="720" w:gutter="0"/>
          <w:cols w:space="720"/>
          <w:titlePg/>
          <w:docGrid w:linePitch="360"/>
        </w:sectPr>
      </w:pPr>
    </w:p>
    <w:p w14:paraId="2CA99810" w14:textId="731B6756" w:rsidR="00F87117" w:rsidRPr="00E937ED" w:rsidRDefault="00FB45CA" w:rsidP="00F87117">
      <w:pPr>
        <w:spacing w:after="0" w:line="240" w:lineRule="auto"/>
        <w:jc w:val="right"/>
        <w:rPr>
          <w:rFonts w:cs="Arial"/>
          <w:b/>
          <w:bCs/>
          <w:lang w:val="es-ES"/>
        </w:rPr>
      </w:pPr>
      <w:r w:rsidRPr="00E937ED">
        <w:rPr>
          <w:rFonts w:cs="Arial"/>
          <w:b/>
          <w:lang w:val="es-ES"/>
        </w:rPr>
        <w:lastRenderedPageBreak/>
        <w:t>ANEXO </w:t>
      </w:r>
      <w:r w:rsidR="00F87117" w:rsidRPr="00E937ED">
        <w:rPr>
          <w:rFonts w:cs="Arial"/>
          <w:b/>
          <w:lang w:val="es-ES"/>
        </w:rPr>
        <w:t>3</w:t>
      </w:r>
    </w:p>
    <w:p w14:paraId="013B62D3" w14:textId="77777777" w:rsidR="00F87117" w:rsidRDefault="00F87117" w:rsidP="00F87117">
      <w:pPr>
        <w:widowControl w:val="0"/>
        <w:autoSpaceDE w:val="0"/>
        <w:autoSpaceDN w:val="0"/>
        <w:adjustRightInd w:val="0"/>
        <w:spacing w:after="0" w:line="240" w:lineRule="auto"/>
        <w:ind w:left="1418"/>
        <w:jc w:val="both"/>
        <w:rPr>
          <w:lang w:val="es-ES"/>
        </w:rPr>
      </w:pPr>
    </w:p>
    <w:p w14:paraId="1DEB41ED" w14:textId="77777777" w:rsidR="00FB45CA" w:rsidRPr="00E937ED" w:rsidRDefault="00FB45CA" w:rsidP="00F87117">
      <w:pPr>
        <w:widowControl w:val="0"/>
        <w:autoSpaceDE w:val="0"/>
        <w:autoSpaceDN w:val="0"/>
        <w:adjustRightInd w:val="0"/>
        <w:spacing w:after="0" w:line="240" w:lineRule="auto"/>
        <w:ind w:left="1418"/>
        <w:jc w:val="both"/>
        <w:rPr>
          <w:lang w:val="es-ES"/>
        </w:rPr>
      </w:pPr>
    </w:p>
    <w:p w14:paraId="5E4AF74A" w14:textId="77777777" w:rsidR="00F87117" w:rsidRPr="00E937ED" w:rsidRDefault="00F87117" w:rsidP="00F87117">
      <w:pPr>
        <w:spacing w:after="0" w:line="240" w:lineRule="auto"/>
        <w:jc w:val="center"/>
        <w:rPr>
          <w:rFonts w:cs="Arial"/>
          <w:lang w:val="es-ES"/>
        </w:rPr>
      </w:pPr>
      <w:r w:rsidRPr="00E937ED">
        <w:rPr>
          <w:rFonts w:cs="Arial"/>
          <w:lang w:val="es-ES"/>
        </w:rPr>
        <w:t xml:space="preserve">PROYECTO DE DECISIÓN </w:t>
      </w:r>
    </w:p>
    <w:p w14:paraId="2F96FCF5" w14:textId="77777777" w:rsidR="00F87117" w:rsidRPr="00E937ED" w:rsidRDefault="00F87117" w:rsidP="00F87117">
      <w:pPr>
        <w:pBdr>
          <w:top w:val="single" w:sz="6" w:space="0" w:color="FFFFFF"/>
          <w:left w:val="single" w:sz="6" w:space="0" w:color="FFFFFF"/>
          <w:bottom w:val="single" w:sz="6" w:space="0" w:color="FFFFFF"/>
          <w:right w:val="single" w:sz="6" w:space="0" w:color="FFFFFF"/>
        </w:pBdr>
        <w:spacing w:after="0" w:line="240" w:lineRule="auto"/>
        <w:outlineLvl w:val="1"/>
        <w:rPr>
          <w:rFonts w:cs="Arial"/>
          <w:b/>
          <w:bCs/>
          <w:lang w:val="es-ES"/>
        </w:rPr>
      </w:pPr>
    </w:p>
    <w:p w14:paraId="4E731ABF" w14:textId="77777777" w:rsidR="00F87117" w:rsidRPr="00E937ED" w:rsidRDefault="00F87117" w:rsidP="00F87117">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bCs/>
          <w:lang w:val="es-ES"/>
        </w:rPr>
      </w:pPr>
      <w:r w:rsidRPr="00E937ED">
        <w:rPr>
          <w:rFonts w:cs="Arial"/>
          <w:b/>
          <w:bCs/>
          <w:lang w:val="es-ES"/>
        </w:rPr>
        <w:t xml:space="preserve">PLAN DE ACCIÓN DE ESPECIES ÚNICAS </w:t>
      </w:r>
    </w:p>
    <w:p w14:paraId="30D5DFC3" w14:textId="77777777" w:rsidR="00F87117" w:rsidRPr="00E937ED" w:rsidRDefault="00F87117" w:rsidP="00F87117">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bCs/>
          <w:lang w:val="es-ES"/>
        </w:rPr>
      </w:pPr>
      <w:r w:rsidRPr="00E937ED">
        <w:rPr>
          <w:rFonts w:cs="Arial"/>
          <w:b/>
          <w:bCs/>
          <w:lang w:val="es-ES"/>
        </w:rPr>
        <w:t xml:space="preserve">PARA LA ANGUILA EUROPEA </w:t>
      </w:r>
      <w:r w:rsidRPr="00E937ED">
        <w:rPr>
          <w:rFonts w:cs="Arial"/>
          <w:b/>
          <w:bCs/>
          <w:i/>
          <w:iCs/>
          <w:lang w:val="es-ES"/>
        </w:rPr>
        <w:t xml:space="preserve">(Anguilla anguilla) </w:t>
      </w:r>
    </w:p>
    <w:p w14:paraId="17F61588" w14:textId="77777777" w:rsidR="00F87117" w:rsidRPr="00E937ED" w:rsidRDefault="00F87117" w:rsidP="00F87117">
      <w:pPr>
        <w:spacing w:after="0" w:line="240" w:lineRule="auto"/>
        <w:jc w:val="both"/>
        <w:rPr>
          <w:rFonts w:cs="Arial"/>
          <w:i/>
          <w:lang w:val="es-ES"/>
        </w:rPr>
      </w:pPr>
    </w:p>
    <w:p w14:paraId="56A4C624" w14:textId="77777777" w:rsidR="00F87117" w:rsidRPr="00E937ED" w:rsidRDefault="00F87117" w:rsidP="00F87117">
      <w:pPr>
        <w:spacing w:after="0" w:line="240" w:lineRule="auto"/>
        <w:jc w:val="both"/>
        <w:rPr>
          <w:rFonts w:cs="Arial"/>
          <w:i/>
          <w:lang w:val="es-ES"/>
        </w:rPr>
      </w:pPr>
    </w:p>
    <w:p w14:paraId="0A5234B7" w14:textId="77777777" w:rsidR="00F87117" w:rsidRPr="00E937ED" w:rsidRDefault="00F87117" w:rsidP="00F87117">
      <w:pPr>
        <w:spacing w:after="0" w:line="240" w:lineRule="auto"/>
        <w:jc w:val="both"/>
        <w:rPr>
          <w:rFonts w:cs="Arial"/>
          <w:b/>
          <w:i/>
          <w:lang w:val="es-ES"/>
        </w:rPr>
      </w:pPr>
      <w:r w:rsidRPr="00E937ED">
        <w:rPr>
          <w:rFonts w:cs="Arial"/>
          <w:b/>
          <w:i/>
          <w:lang w:val="es-ES"/>
        </w:rPr>
        <w:t xml:space="preserve">Dirigido a las Partes </w:t>
      </w:r>
    </w:p>
    <w:p w14:paraId="0EBCF799" w14:textId="77777777" w:rsidR="00F87117" w:rsidRPr="00E937ED" w:rsidRDefault="00F87117" w:rsidP="00F87117">
      <w:pPr>
        <w:spacing w:after="0" w:line="240" w:lineRule="auto"/>
        <w:jc w:val="both"/>
        <w:rPr>
          <w:rFonts w:cs="Arial"/>
          <w:lang w:val="es-ES"/>
        </w:rPr>
      </w:pPr>
    </w:p>
    <w:p w14:paraId="02735505" w14:textId="77777777" w:rsidR="00F87117" w:rsidRPr="00E937ED" w:rsidRDefault="00F87117" w:rsidP="00F87117">
      <w:pPr>
        <w:spacing w:after="0" w:line="240" w:lineRule="auto"/>
        <w:ind w:left="851" w:hanging="851"/>
        <w:jc w:val="both"/>
        <w:rPr>
          <w:rFonts w:cs="Arial"/>
          <w:lang w:val="es-ES"/>
        </w:rPr>
      </w:pPr>
      <w:r w:rsidRPr="00E937ED">
        <w:rPr>
          <w:rFonts w:cs="Arial"/>
          <w:lang w:val="es-ES"/>
        </w:rPr>
        <w:t>15.AA</w:t>
      </w:r>
      <w:r w:rsidRPr="00E937ED">
        <w:rPr>
          <w:rFonts w:cs="Arial"/>
          <w:lang w:val="es-ES"/>
        </w:rPr>
        <w:tab/>
        <w:t>Se solicita a las Partes que sean Estados del área de distribución que:</w:t>
      </w:r>
    </w:p>
    <w:p w14:paraId="1D914948" w14:textId="77777777" w:rsidR="00F87117" w:rsidRPr="00E937ED" w:rsidRDefault="00F87117" w:rsidP="00F87117">
      <w:pPr>
        <w:spacing w:after="0" w:line="240" w:lineRule="auto"/>
        <w:jc w:val="both"/>
        <w:rPr>
          <w:rFonts w:cs="Arial"/>
          <w:lang w:val="es-ES"/>
        </w:rPr>
      </w:pPr>
    </w:p>
    <w:p w14:paraId="69B505EE" w14:textId="77777777" w:rsidR="00F87117" w:rsidRPr="00E937ED" w:rsidRDefault="00F87117" w:rsidP="00F87117">
      <w:pPr>
        <w:widowControl w:val="0"/>
        <w:numPr>
          <w:ilvl w:val="0"/>
          <w:numId w:val="18"/>
        </w:numPr>
        <w:autoSpaceDE w:val="0"/>
        <w:autoSpaceDN w:val="0"/>
        <w:adjustRightInd w:val="0"/>
        <w:spacing w:after="0" w:line="240" w:lineRule="auto"/>
        <w:ind w:left="1418" w:hanging="567"/>
        <w:jc w:val="both"/>
        <w:rPr>
          <w:rFonts w:cs="Arial"/>
          <w:lang w:val="es-ES"/>
        </w:rPr>
      </w:pPr>
      <w:r w:rsidRPr="00E937ED">
        <w:rPr>
          <w:rFonts w:cs="Arial"/>
          <w:lang w:val="es-ES"/>
        </w:rPr>
        <w:t xml:space="preserve">rellenen la matriz de amenazas nacionales, señalada en el Plan de Acción de Especies Únicas (SSAP) para la anguila europea </w:t>
      </w:r>
      <w:r w:rsidRPr="00E937ED">
        <w:rPr>
          <w:rFonts w:cs="Arial"/>
          <w:i/>
          <w:iCs/>
          <w:lang w:val="es-ES"/>
        </w:rPr>
        <w:t xml:space="preserve">(Anguilla anguilla) </w:t>
      </w:r>
      <w:r w:rsidRPr="00E937ED">
        <w:rPr>
          <w:rFonts w:cs="Arial"/>
          <w:lang w:val="es-ES"/>
        </w:rPr>
        <w:t>contenido en el Anexo 2 del documento UNEP/CMS/COP15/Doc.25.6.2;</w:t>
      </w:r>
      <w:r w:rsidRPr="00E937ED">
        <w:rPr>
          <w:rFonts w:cs="Arial"/>
          <w:i/>
          <w:iCs/>
          <w:lang w:val="es-ES"/>
        </w:rPr>
        <w:t xml:space="preserve"> </w:t>
      </w:r>
    </w:p>
    <w:p w14:paraId="60B163D6" w14:textId="77777777" w:rsidR="00F87117" w:rsidRPr="00E937ED" w:rsidRDefault="00F87117" w:rsidP="00F87117">
      <w:pPr>
        <w:widowControl w:val="0"/>
        <w:autoSpaceDE w:val="0"/>
        <w:autoSpaceDN w:val="0"/>
        <w:adjustRightInd w:val="0"/>
        <w:spacing w:after="0" w:line="240" w:lineRule="auto"/>
        <w:ind w:left="1418"/>
        <w:jc w:val="both"/>
        <w:rPr>
          <w:rFonts w:cs="Arial"/>
          <w:lang w:val="es-ES"/>
        </w:rPr>
      </w:pPr>
    </w:p>
    <w:p w14:paraId="104FE38F" w14:textId="77777777" w:rsidR="00F87117" w:rsidRPr="00E937ED" w:rsidRDefault="00F87117" w:rsidP="00F87117">
      <w:pPr>
        <w:widowControl w:val="0"/>
        <w:numPr>
          <w:ilvl w:val="0"/>
          <w:numId w:val="18"/>
        </w:numPr>
        <w:autoSpaceDE w:val="0"/>
        <w:autoSpaceDN w:val="0"/>
        <w:adjustRightInd w:val="0"/>
        <w:spacing w:after="0" w:line="240" w:lineRule="auto"/>
        <w:ind w:left="1418" w:hanging="567"/>
        <w:jc w:val="both"/>
        <w:rPr>
          <w:rFonts w:cs="Arial"/>
          <w:lang w:val="es-ES"/>
        </w:rPr>
      </w:pPr>
      <w:r w:rsidRPr="00E937ED">
        <w:rPr>
          <w:rFonts w:cs="Arial"/>
          <w:lang w:val="es-ES"/>
        </w:rPr>
        <w:t xml:space="preserve">faciliten información a la Secretaría sobre la legislación nacional específica relativa a la anguila europea, para su inclusión en el Anexo 2 del SSAP; </w:t>
      </w:r>
    </w:p>
    <w:p w14:paraId="63D99E1E" w14:textId="77777777" w:rsidR="00F87117" w:rsidRPr="00E937ED" w:rsidRDefault="00F87117" w:rsidP="00F87117">
      <w:pPr>
        <w:widowControl w:val="0"/>
        <w:autoSpaceDE w:val="0"/>
        <w:autoSpaceDN w:val="0"/>
        <w:adjustRightInd w:val="0"/>
        <w:spacing w:after="0" w:line="240" w:lineRule="auto"/>
        <w:ind w:left="1418"/>
        <w:jc w:val="both"/>
        <w:rPr>
          <w:rFonts w:cs="Arial"/>
          <w:lang w:val="es-ES"/>
        </w:rPr>
      </w:pPr>
    </w:p>
    <w:p w14:paraId="2E93D571" w14:textId="77777777" w:rsidR="00F87117" w:rsidRPr="00E937ED" w:rsidRDefault="00F87117" w:rsidP="00F87117">
      <w:pPr>
        <w:widowControl w:val="0"/>
        <w:numPr>
          <w:ilvl w:val="0"/>
          <w:numId w:val="18"/>
        </w:numPr>
        <w:autoSpaceDE w:val="0"/>
        <w:autoSpaceDN w:val="0"/>
        <w:adjustRightInd w:val="0"/>
        <w:spacing w:after="0" w:line="240" w:lineRule="auto"/>
        <w:ind w:left="1418" w:hanging="567"/>
        <w:jc w:val="both"/>
        <w:rPr>
          <w:rFonts w:cs="Arial"/>
          <w:lang w:val="es-ES"/>
        </w:rPr>
      </w:pPr>
      <w:r w:rsidRPr="00E937ED">
        <w:rPr>
          <w:rFonts w:cs="Arial"/>
          <w:lang w:val="es-ES"/>
        </w:rPr>
        <w:t xml:space="preserve">lleven a cabo aquellas acciones del SSAP cuya aplicación deba ser inmediata o a corto plazo, y las completen en un plazo de tres años como prioridad; </w:t>
      </w:r>
    </w:p>
    <w:p w14:paraId="78702325" w14:textId="77777777" w:rsidR="00F87117" w:rsidRPr="00E937ED" w:rsidRDefault="00F87117" w:rsidP="00F87117">
      <w:pPr>
        <w:widowControl w:val="0"/>
        <w:autoSpaceDE w:val="0"/>
        <w:autoSpaceDN w:val="0"/>
        <w:adjustRightInd w:val="0"/>
        <w:spacing w:after="0" w:line="240" w:lineRule="auto"/>
        <w:ind w:left="1418"/>
        <w:jc w:val="both"/>
        <w:rPr>
          <w:rFonts w:cs="Arial"/>
          <w:lang w:val="es-ES"/>
        </w:rPr>
      </w:pPr>
    </w:p>
    <w:p w14:paraId="01012D25" w14:textId="77777777" w:rsidR="00F87117" w:rsidRPr="00E937ED" w:rsidRDefault="00F87117" w:rsidP="00F87117">
      <w:pPr>
        <w:widowControl w:val="0"/>
        <w:numPr>
          <w:ilvl w:val="0"/>
          <w:numId w:val="18"/>
        </w:numPr>
        <w:autoSpaceDE w:val="0"/>
        <w:autoSpaceDN w:val="0"/>
        <w:adjustRightInd w:val="0"/>
        <w:spacing w:after="0" w:line="240" w:lineRule="auto"/>
        <w:ind w:left="1418" w:hanging="567"/>
        <w:jc w:val="both"/>
        <w:rPr>
          <w:rFonts w:cs="Arial"/>
          <w:lang w:val="es-ES"/>
        </w:rPr>
      </w:pPr>
      <w:r w:rsidRPr="00E937ED">
        <w:rPr>
          <w:rFonts w:cs="Arial"/>
          <w:lang w:val="es-ES"/>
        </w:rPr>
        <w:t>continúen con las actividades en curso y a medio plazo, y comiencen a aplicar las actividades a largo plazo en un plazo de cinco años;</w:t>
      </w:r>
    </w:p>
    <w:p w14:paraId="252D8ABB" w14:textId="77777777" w:rsidR="00F87117" w:rsidRPr="00E937ED" w:rsidRDefault="00F87117" w:rsidP="00F87117">
      <w:pPr>
        <w:widowControl w:val="0"/>
        <w:autoSpaceDE w:val="0"/>
        <w:autoSpaceDN w:val="0"/>
        <w:adjustRightInd w:val="0"/>
        <w:spacing w:after="0" w:line="240" w:lineRule="auto"/>
        <w:ind w:left="1418"/>
        <w:jc w:val="both"/>
        <w:rPr>
          <w:rFonts w:cs="Arial"/>
          <w:lang w:val="es-ES"/>
        </w:rPr>
      </w:pPr>
    </w:p>
    <w:p w14:paraId="5F2FFACE" w14:textId="77777777" w:rsidR="00F87117" w:rsidRPr="00E937ED" w:rsidRDefault="00F87117" w:rsidP="00F87117">
      <w:pPr>
        <w:widowControl w:val="0"/>
        <w:numPr>
          <w:ilvl w:val="0"/>
          <w:numId w:val="18"/>
        </w:numPr>
        <w:autoSpaceDE w:val="0"/>
        <w:autoSpaceDN w:val="0"/>
        <w:adjustRightInd w:val="0"/>
        <w:spacing w:after="0" w:line="240" w:lineRule="auto"/>
        <w:ind w:left="1418" w:hanging="567"/>
        <w:jc w:val="both"/>
        <w:rPr>
          <w:rFonts w:cs="Arial"/>
          <w:lang w:val="es-ES"/>
        </w:rPr>
      </w:pPr>
      <w:r w:rsidRPr="00E937ED">
        <w:rPr>
          <w:rFonts w:cs="Arial"/>
          <w:lang w:val="es-ES"/>
        </w:rPr>
        <w:t>establezcan una estructura de gobernanza, incluido un grupo de trabajo de los Estados del área de distribución, que se encargue de apoyar y supervisar la aplicación y facilitar la cooperación y la comunicación entre dichos Estados;</w:t>
      </w:r>
    </w:p>
    <w:p w14:paraId="4EB59221" w14:textId="77777777" w:rsidR="00F87117" w:rsidRPr="00E937ED" w:rsidRDefault="00F87117" w:rsidP="00F87117">
      <w:pPr>
        <w:widowControl w:val="0"/>
        <w:autoSpaceDE w:val="0"/>
        <w:autoSpaceDN w:val="0"/>
        <w:adjustRightInd w:val="0"/>
        <w:spacing w:after="0" w:line="240" w:lineRule="auto"/>
        <w:ind w:left="1418"/>
        <w:jc w:val="both"/>
        <w:rPr>
          <w:rFonts w:cs="Arial"/>
          <w:lang w:val="es-ES"/>
        </w:rPr>
      </w:pPr>
    </w:p>
    <w:p w14:paraId="26B3E3B1" w14:textId="77777777" w:rsidR="00F87117" w:rsidRPr="00E937ED" w:rsidRDefault="00F87117" w:rsidP="00F87117">
      <w:pPr>
        <w:widowControl w:val="0"/>
        <w:numPr>
          <w:ilvl w:val="0"/>
          <w:numId w:val="18"/>
        </w:numPr>
        <w:autoSpaceDE w:val="0"/>
        <w:autoSpaceDN w:val="0"/>
        <w:adjustRightInd w:val="0"/>
        <w:spacing w:after="0" w:line="240" w:lineRule="auto"/>
        <w:ind w:left="1418" w:hanging="567"/>
        <w:jc w:val="both"/>
        <w:rPr>
          <w:rFonts w:cs="Arial"/>
          <w:lang w:val="es-ES"/>
        </w:rPr>
      </w:pPr>
      <w:r w:rsidRPr="00E937ED">
        <w:rPr>
          <w:rFonts w:cs="Arial"/>
          <w:lang w:val="es-ES"/>
        </w:rPr>
        <w:t>proporcionen un informe breve sobre la aplicación del SSAP a tiempo para la última reunión del Comité del Período de Sesiones antes de la 16.a reunión de la Conferencia de las Partes usando una plantilla facilitada por la Secretaría; y</w:t>
      </w:r>
    </w:p>
    <w:p w14:paraId="5E32BFC3" w14:textId="77777777" w:rsidR="00F87117" w:rsidRPr="00E937ED" w:rsidRDefault="00F87117" w:rsidP="00F87117">
      <w:pPr>
        <w:widowControl w:val="0"/>
        <w:autoSpaceDE w:val="0"/>
        <w:autoSpaceDN w:val="0"/>
        <w:adjustRightInd w:val="0"/>
        <w:spacing w:after="0" w:line="240" w:lineRule="auto"/>
        <w:ind w:left="1418"/>
        <w:jc w:val="both"/>
        <w:rPr>
          <w:rFonts w:cs="Arial"/>
          <w:lang w:val="es-ES"/>
        </w:rPr>
      </w:pPr>
    </w:p>
    <w:p w14:paraId="5BF37A19" w14:textId="77777777" w:rsidR="00F87117" w:rsidRPr="00E937ED" w:rsidRDefault="00F87117" w:rsidP="00F87117">
      <w:pPr>
        <w:widowControl w:val="0"/>
        <w:numPr>
          <w:ilvl w:val="0"/>
          <w:numId w:val="18"/>
        </w:numPr>
        <w:autoSpaceDE w:val="0"/>
        <w:autoSpaceDN w:val="0"/>
        <w:adjustRightInd w:val="0"/>
        <w:spacing w:after="0" w:line="240" w:lineRule="auto"/>
        <w:ind w:left="1418" w:hanging="567"/>
        <w:jc w:val="both"/>
        <w:rPr>
          <w:rFonts w:cs="Arial"/>
          <w:lang w:val="es-ES"/>
        </w:rPr>
      </w:pPr>
      <w:r w:rsidRPr="00E937ED">
        <w:rPr>
          <w:rFonts w:cs="Arial"/>
          <w:lang w:val="es-ES"/>
        </w:rPr>
        <w:t xml:space="preserve">animen a los Estados del área de distribución no Partes a </w:t>
      </w:r>
      <w:r w:rsidRPr="00E937ED">
        <w:rPr>
          <w:rFonts w:cs="Arial"/>
          <w:iCs/>
          <w:lang w:val="es-ES"/>
        </w:rPr>
        <w:t>colaborar con los que sí lo son en la aplicación de las actividades previstas en el SSAP</w:t>
      </w:r>
      <w:r w:rsidRPr="00E937ED">
        <w:rPr>
          <w:rFonts w:cs="Arial"/>
          <w:lang w:val="es-ES"/>
        </w:rPr>
        <w:t>.</w:t>
      </w:r>
    </w:p>
    <w:p w14:paraId="269FFE41" w14:textId="77777777" w:rsidR="00F87117" w:rsidRPr="00E937ED" w:rsidRDefault="00F87117" w:rsidP="00F87117">
      <w:pPr>
        <w:widowControl w:val="0"/>
        <w:autoSpaceDE w:val="0"/>
        <w:autoSpaceDN w:val="0"/>
        <w:adjustRightInd w:val="0"/>
        <w:spacing w:after="0" w:line="240" w:lineRule="auto"/>
        <w:jc w:val="both"/>
        <w:rPr>
          <w:rFonts w:cs="Arial"/>
          <w:lang w:val="es-ES"/>
        </w:rPr>
      </w:pPr>
    </w:p>
    <w:p w14:paraId="62E9D00A" w14:textId="77777777" w:rsidR="00F87117" w:rsidRPr="00E937ED" w:rsidRDefault="00F87117" w:rsidP="00F87117">
      <w:pPr>
        <w:widowControl w:val="0"/>
        <w:autoSpaceDE w:val="0"/>
        <w:autoSpaceDN w:val="0"/>
        <w:adjustRightInd w:val="0"/>
        <w:spacing w:after="0" w:line="240" w:lineRule="auto"/>
        <w:jc w:val="both"/>
        <w:rPr>
          <w:rFonts w:cs="Arial"/>
          <w:b/>
          <w:bCs/>
          <w:i/>
          <w:iCs/>
          <w:lang w:val="es-ES"/>
        </w:rPr>
      </w:pPr>
      <w:r w:rsidRPr="00E937ED">
        <w:rPr>
          <w:rFonts w:cs="Arial"/>
          <w:b/>
          <w:bCs/>
          <w:i/>
          <w:iCs/>
          <w:lang w:val="es-ES"/>
        </w:rPr>
        <w:t>Dirigido a Estados del área de distribución no Partes</w:t>
      </w:r>
    </w:p>
    <w:p w14:paraId="3EDEF3F6" w14:textId="77777777" w:rsidR="00F87117" w:rsidRPr="00E937ED" w:rsidRDefault="00F87117" w:rsidP="00F87117">
      <w:pPr>
        <w:widowControl w:val="0"/>
        <w:autoSpaceDE w:val="0"/>
        <w:autoSpaceDN w:val="0"/>
        <w:adjustRightInd w:val="0"/>
        <w:spacing w:after="0" w:line="240" w:lineRule="auto"/>
        <w:jc w:val="both"/>
        <w:rPr>
          <w:rFonts w:cs="Arial"/>
          <w:lang w:val="es-ES"/>
        </w:rPr>
      </w:pPr>
    </w:p>
    <w:p w14:paraId="0A420687" w14:textId="77777777" w:rsidR="00F87117" w:rsidRPr="00E937ED" w:rsidRDefault="00F87117" w:rsidP="00FB45CA">
      <w:pPr>
        <w:widowControl w:val="0"/>
        <w:autoSpaceDE w:val="0"/>
        <w:autoSpaceDN w:val="0"/>
        <w:adjustRightInd w:val="0"/>
        <w:spacing w:after="0" w:line="240" w:lineRule="auto"/>
        <w:ind w:left="900" w:hanging="900"/>
        <w:jc w:val="both"/>
        <w:rPr>
          <w:rFonts w:cs="Arial"/>
          <w:iCs/>
          <w:lang w:val="es-ES"/>
        </w:rPr>
      </w:pPr>
      <w:r w:rsidRPr="00E937ED">
        <w:rPr>
          <w:rFonts w:cs="Arial"/>
          <w:lang w:val="es-ES"/>
        </w:rPr>
        <w:t xml:space="preserve">15.BB </w:t>
      </w:r>
      <w:r w:rsidRPr="00E937ED">
        <w:rPr>
          <w:rFonts w:cs="Arial"/>
          <w:lang w:val="es-ES"/>
        </w:rPr>
        <w:tab/>
        <w:t xml:space="preserve">Se anima a </w:t>
      </w:r>
      <w:r w:rsidRPr="00E937ED">
        <w:rPr>
          <w:rFonts w:cs="Arial"/>
          <w:iCs/>
          <w:lang w:val="es-ES"/>
        </w:rPr>
        <w:t>los Estados del área de distribución no Partes a colaborar con los que sí lo son en la aplicación de las actividades descritas en el SSAP.</w:t>
      </w:r>
    </w:p>
    <w:p w14:paraId="22011A93" w14:textId="77777777" w:rsidR="00F87117" w:rsidRPr="00E937ED" w:rsidRDefault="00F87117" w:rsidP="00F87117">
      <w:pPr>
        <w:widowControl w:val="0"/>
        <w:autoSpaceDE w:val="0"/>
        <w:autoSpaceDN w:val="0"/>
        <w:adjustRightInd w:val="0"/>
        <w:spacing w:after="0" w:line="240" w:lineRule="auto"/>
        <w:jc w:val="both"/>
        <w:rPr>
          <w:rFonts w:cs="Arial"/>
          <w:iCs/>
          <w:lang w:val="es-ES"/>
        </w:rPr>
      </w:pPr>
    </w:p>
    <w:p w14:paraId="1F652F5A" w14:textId="77777777" w:rsidR="00F87117" w:rsidRPr="00E937ED" w:rsidRDefault="00F87117" w:rsidP="00F87117">
      <w:pPr>
        <w:widowControl w:val="0"/>
        <w:autoSpaceDE w:val="0"/>
        <w:autoSpaceDN w:val="0"/>
        <w:adjustRightInd w:val="0"/>
        <w:spacing w:after="0" w:line="240" w:lineRule="auto"/>
        <w:jc w:val="both"/>
        <w:rPr>
          <w:rFonts w:cs="Arial"/>
          <w:b/>
          <w:bCs/>
          <w:i/>
          <w:lang w:val="es-ES"/>
        </w:rPr>
      </w:pPr>
      <w:r w:rsidRPr="00E937ED">
        <w:rPr>
          <w:rFonts w:cs="Arial"/>
          <w:b/>
          <w:bCs/>
          <w:i/>
          <w:lang w:val="es-ES"/>
        </w:rPr>
        <w:t>Dirigido a organizaciones intergubernamentales</w:t>
      </w:r>
    </w:p>
    <w:p w14:paraId="07D66125" w14:textId="77777777" w:rsidR="00F87117" w:rsidRPr="00E937ED" w:rsidRDefault="00F87117" w:rsidP="00F87117">
      <w:pPr>
        <w:widowControl w:val="0"/>
        <w:autoSpaceDE w:val="0"/>
        <w:autoSpaceDN w:val="0"/>
        <w:adjustRightInd w:val="0"/>
        <w:spacing w:after="0" w:line="240" w:lineRule="auto"/>
        <w:jc w:val="both"/>
        <w:rPr>
          <w:rFonts w:cs="Arial"/>
          <w:iCs/>
          <w:lang w:val="es-ES"/>
        </w:rPr>
      </w:pPr>
    </w:p>
    <w:p w14:paraId="46598CED" w14:textId="120EE692" w:rsidR="00F87117" w:rsidRPr="00E937ED" w:rsidRDefault="00F87117" w:rsidP="00FB45CA">
      <w:pPr>
        <w:widowControl w:val="0"/>
        <w:autoSpaceDE w:val="0"/>
        <w:autoSpaceDN w:val="0"/>
        <w:adjustRightInd w:val="0"/>
        <w:spacing w:after="0" w:line="240" w:lineRule="auto"/>
        <w:ind w:left="900" w:hanging="900"/>
        <w:jc w:val="both"/>
        <w:rPr>
          <w:rFonts w:cs="Arial"/>
          <w:iCs/>
          <w:lang w:val="es-ES"/>
        </w:rPr>
      </w:pPr>
      <w:r w:rsidRPr="00E937ED">
        <w:rPr>
          <w:rFonts w:cs="Arial"/>
          <w:lang w:val="es-ES"/>
        </w:rPr>
        <w:t>15.CC</w:t>
      </w:r>
      <w:r w:rsidR="00FB45CA">
        <w:rPr>
          <w:rFonts w:cs="Arial"/>
          <w:lang w:val="es-ES"/>
        </w:rPr>
        <w:tab/>
      </w:r>
      <w:r w:rsidRPr="00E937ED">
        <w:rPr>
          <w:rFonts w:cs="Arial"/>
          <w:lang w:val="es-ES"/>
        </w:rPr>
        <w:t xml:space="preserve">Se anima a las organizaciones intergubernamentales, en particular a la Comisión Europea, la Comisión Asesora Europea sobre Pesca Continental y Acuicultura (EIFAAC), el Consejo Internacional para la Exploración del Mar (CIEM), la Comisión General de Pesca del Mediterráneo (CGPM) y su Comité Asesor, y la Unión Internacional para la Conservación de la Naturaleza (UICN) a </w:t>
      </w:r>
      <w:r w:rsidRPr="00E937ED">
        <w:rPr>
          <w:rFonts w:cs="Arial"/>
          <w:iCs/>
          <w:lang w:val="es-ES"/>
        </w:rPr>
        <w:t>colaborar en la aplicación de las actividades descritas en el SSAP.</w:t>
      </w:r>
    </w:p>
    <w:p w14:paraId="74803AAF" w14:textId="26234626" w:rsidR="00FB45CA" w:rsidRDefault="00FB45CA">
      <w:pPr>
        <w:rPr>
          <w:rFonts w:cs="Arial"/>
          <w:iCs/>
          <w:lang w:val="es-ES"/>
        </w:rPr>
      </w:pPr>
      <w:r>
        <w:rPr>
          <w:rFonts w:cs="Arial"/>
          <w:iCs/>
          <w:lang w:val="es-ES"/>
        </w:rPr>
        <w:br w:type="page"/>
      </w:r>
    </w:p>
    <w:p w14:paraId="3246DDD9" w14:textId="77777777" w:rsidR="00F87117" w:rsidRPr="00E937ED" w:rsidRDefault="00F87117" w:rsidP="00F87117">
      <w:pPr>
        <w:widowControl w:val="0"/>
        <w:autoSpaceDE w:val="0"/>
        <w:autoSpaceDN w:val="0"/>
        <w:adjustRightInd w:val="0"/>
        <w:spacing w:after="0" w:line="240" w:lineRule="auto"/>
        <w:jc w:val="both"/>
        <w:rPr>
          <w:rFonts w:cs="Arial"/>
          <w:iCs/>
          <w:lang w:val="es-ES"/>
        </w:rPr>
      </w:pPr>
    </w:p>
    <w:p w14:paraId="76583C90" w14:textId="77777777" w:rsidR="00F87117" w:rsidRPr="00E937ED" w:rsidRDefault="00F87117" w:rsidP="00F87117">
      <w:pPr>
        <w:widowControl w:val="0"/>
        <w:autoSpaceDE w:val="0"/>
        <w:autoSpaceDN w:val="0"/>
        <w:adjustRightInd w:val="0"/>
        <w:spacing w:after="0" w:line="240" w:lineRule="auto"/>
        <w:jc w:val="both"/>
        <w:rPr>
          <w:rFonts w:cs="Arial"/>
          <w:b/>
          <w:bCs/>
          <w:i/>
          <w:iCs/>
          <w:lang w:val="es-ES"/>
        </w:rPr>
      </w:pPr>
      <w:r w:rsidRPr="00E937ED">
        <w:rPr>
          <w:rFonts w:cs="Arial"/>
          <w:b/>
          <w:bCs/>
          <w:i/>
          <w:iCs/>
          <w:lang w:val="es-ES"/>
        </w:rPr>
        <w:t>Dirigido a las organizaciones no gubernamentales</w:t>
      </w:r>
    </w:p>
    <w:p w14:paraId="32185D38" w14:textId="77777777" w:rsidR="00F87117" w:rsidRPr="00E937ED" w:rsidRDefault="00F87117" w:rsidP="00F87117">
      <w:pPr>
        <w:widowControl w:val="0"/>
        <w:autoSpaceDE w:val="0"/>
        <w:autoSpaceDN w:val="0"/>
        <w:adjustRightInd w:val="0"/>
        <w:spacing w:after="0" w:line="240" w:lineRule="auto"/>
        <w:jc w:val="both"/>
        <w:rPr>
          <w:rFonts w:cs="Arial"/>
          <w:b/>
          <w:bCs/>
          <w:i/>
          <w:iCs/>
          <w:lang w:val="es-ES"/>
        </w:rPr>
      </w:pPr>
    </w:p>
    <w:p w14:paraId="6BBCFF63" w14:textId="7CE9B78B" w:rsidR="00F87117" w:rsidRPr="00E937ED" w:rsidRDefault="00F87117" w:rsidP="00FB45CA">
      <w:pPr>
        <w:spacing w:after="0"/>
        <w:ind w:left="900" w:hanging="900"/>
        <w:jc w:val="both"/>
        <w:rPr>
          <w:rFonts w:cs="Arial"/>
          <w:lang w:val="es-ES"/>
        </w:rPr>
      </w:pPr>
      <w:r w:rsidRPr="00E937ED">
        <w:rPr>
          <w:rFonts w:cs="Arial"/>
          <w:lang w:val="es-ES"/>
        </w:rPr>
        <w:t>15.DD</w:t>
      </w:r>
      <w:r w:rsidR="00FB45CA">
        <w:rPr>
          <w:rFonts w:cs="Arial"/>
          <w:lang w:val="es-ES"/>
        </w:rPr>
        <w:tab/>
      </w:r>
      <w:r w:rsidRPr="00E937ED">
        <w:rPr>
          <w:rFonts w:cs="Arial"/>
          <w:lang w:val="es-ES"/>
        </w:rPr>
        <w:t xml:space="preserve">Se anima a las organizaciones no gubernamentales, en particular a la Comisión del Mar de los Sargazos, a apoyar la aplicación del SSAP, entre otras formas, mediante la investigación y la sensibilización. </w:t>
      </w:r>
    </w:p>
    <w:p w14:paraId="4C9E7532" w14:textId="77777777" w:rsidR="00F87117" w:rsidRPr="00E937ED" w:rsidRDefault="00F87117" w:rsidP="00F87117">
      <w:pPr>
        <w:widowControl w:val="0"/>
        <w:autoSpaceDE w:val="0"/>
        <w:autoSpaceDN w:val="0"/>
        <w:adjustRightInd w:val="0"/>
        <w:spacing w:after="0" w:line="240" w:lineRule="auto"/>
        <w:jc w:val="both"/>
        <w:rPr>
          <w:rFonts w:cs="Arial"/>
          <w:b/>
          <w:bCs/>
          <w:i/>
          <w:iCs/>
          <w:lang w:val="es-ES"/>
        </w:rPr>
      </w:pPr>
    </w:p>
    <w:p w14:paraId="7602DF4B" w14:textId="77777777" w:rsidR="00F87117" w:rsidRPr="00E937ED" w:rsidRDefault="00F87117" w:rsidP="00F87117">
      <w:pPr>
        <w:widowControl w:val="0"/>
        <w:autoSpaceDE w:val="0"/>
        <w:autoSpaceDN w:val="0"/>
        <w:adjustRightInd w:val="0"/>
        <w:spacing w:after="0" w:line="240" w:lineRule="auto"/>
        <w:jc w:val="both"/>
        <w:rPr>
          <w:rFonts w:cs="Arial"/>
          <w:b/>
          <w:bCs/>
          <w:i/>
          <w:iCs/>
          <w:lang w:val="es-ES"/>
        </w:rPr>
      </w:pPr>
      <w:r w:rsidRPr="00E937ED">
        <w:rPr>
          <w:rFonts w:cs="Arial"/>
          <w:b/>
          <w:bCs/>
          <w:i/>
          <w:iCs/>
          <w:lang w:val="es-ES"/>
        </w:rPr>
        <w:t xml:space="preserve">Dirigido al Consejo Científico </w:t>
      </w:r>
    </w:p>
    <w:p w14:paraId="673D422B" w14:textId="77777777" w:rsidR="00F87117" w:rsidRPr="00E937ED" w:rsidRDefault="00F87117" w:rsidP="00F87117">
      <w:pPr>
        <w:widowControl w:val="0"/>
        <w:autoSpaceDE w:val="0"/>
        <w:autoSpaceDN w:val="0"/>
        <w:adjustRightInd w:val="0"/>
        <w:spacing w:after="0" w:line="240" w:lineRule="auto"/>
        <w:jc w:val="both"/>
        <w:rPr>
          <w:rFonts w:cs="Arial"/>
          <w:b/>
          <w:bCs/>
          <w:i/>
          <w:iCs/>
          <w:lang w:val="es-ES"/>
        </w:rPr>
      </w:pPr>
    </w:p>
    <w:p w14:paraId="34206AA0" w14:textId="25EF877B" w:rsidR="00F87117" w:rsidRPr="00E937ED" w:rsidRDefault="00F87117" w:rsidP="00FB45CA">
      <w:pPr>
        <w:widowControl w:val="0"/>
        <w:autoSpaceDE w:val="0"/>
        <w:autoSpaceDN w:val="0"/>
        <w:adjustRightInd w:val="0"/>
        <w:spacing w:after="0" w:line="240" w:lineRule="auto"/>
        <w:ind w:left="900" w:hanging="900"/>
        <w:jc w:val="both"/>
        <w:rPr>
          <w:rFonts w:cs="Arial"/>
          <w:b/>
          <w:bCs/>
          <w:i/>
          <w:iCs/>
          <w:lang w:val="es-ES"/>
        </w:rPr>
      </w:pPr>
      <w:r w:rsidRPr="00E937ED">
        <w:rPr>
          <w:rFonts w:cs="Arial"/>
          <w:lang w:val="es-ES"/>
        </w:rPr>
        <w:t>15.EE</w:t>
      </w:r>
      <w:r w:rsidR="00FB45CA">
        <w:rPr>
          <w:rFonts w:cs="Arial"/>
          <w:lang w:val="es-ES"/>
        </w:rPr>
        <w:tab/>
      </w:r>
      <w:r w:rsidRPr="00E937ED">
        <w:rPr>
          <w:rFonts w:cs="Arial"/>
          <w:lang w:val="es-ES"/>
        </w:rPr>
        <w:t>Se solicita al Consejo Científico que, en función de la disponibilidad de recursos, revise el resumen de la información proporcionada por los Estados del área de distribución sobre la aplicación del SSAP y formule recomendaciones para dicha aplicación de cara a la 16.a reunión de la Conferencia de las Partes.</w:t>
      </w:r>
    </w:p>
    <w:p w14:paraId="5AA75164" w14:textId="77777777" w:rsidR="00F87117" w:rsidRPr="00E937ED" w:rsidRDefault="00F87117" w:rsidP="00F87117">
      <w:pPr>
        <w:spacing w:after="0" w:line="240" w:lineRule="auto"/>
        <w:jc w:val="both"/>
        <w:rPr>
          <w:rFonts w:cs="Arial"/>
          <w:b/>
          <w:i/>
          <w:lang w:val="es-ES"/>
        </w:rPr>
      </w:pPr>
    </w:p>
    <w:p w14:paraId="5FEA5E4A" w14:textId="77777777" w:rsidR="00F87117" w:rsidRPr="00E937ED" w:rsidRDefault="00F87117" w:rsidP="00F87117">
      <w:pPr>
        <w:spacing w:after="0" w:line="240" w:lineRule="auto"/>
        <w:jc w:val="both"/>
        <w:rPr>
          <w:rFonts w:cs="Arial"/>
          <w:b/>
          <w:i/>
          <w:lang w:val="es-ES"/>
        </w:rPr>
      </w:pPr>
      <w:r w:rsidRPr="00E937ED">
        <w:rPr>
          <w:rFonts w:cs="Arial"/>
          <w:b/>
          <w:i/>
          <w:lang w:val="es-ES"/>
        </w:rPr>
        <w:t>Dirigido a la Secretaría</w:t>
      </w:r>
    </w:p>
    <w:p w14:paraId="3D302B7A" w14:textId="77777777" w:rsidR="00F87117" w:rsidRPr="00E937ED" w:rsidRDefault="00F87117" w:rsidP="00F87117">
      <w:pPr>
        <w:spacing w:after="0" w:line="240" w:lineRule="auto"/>
        <w:jc w:val="both"/>
        <w:rPr>
          <w:rFonts w:cs="Arial"/>
          <w:lang w:val="es-ES"/>
        </w:rPr>
      </w:pPr>
    </w:p>
    <w:p w14:paraId="7C00C50D" w14:textId="77777777" w:rsidR="00F87117" w:rsidRPr="00E937ED" w:rsidRDefault="00F87117" w:rsidP="00F87117">
      <w:pPr>
        <w:spacing w:after="0" w:line="240" w:lineRule="auto"/>
        <w:ind w:left="851" w:hanging="851"/>
        <w:jc w:val="both"/>
        <w:rPr>
          <w:rFonts w:cs="Arial"/>
          <w:iCs/>
          <w:lang w:val="es-ES"/>
        </w:rPr>
      </w:pPr>
      <w:r w:rsidRPr="00E937ED">
        <w:rPr>
          <w:rFonts w:cs="Arial"/>
          <w:lang w:val="es-ES"/>
        </w:rPr>
        <w:t>15.FF</w:t>
      </w:r>
      <w:r w:rsidRPr="00E937ED">
        <w:rPr>
          <w:rFonts w:cs="Arial"/>
          <w:lang w:val="es-ES"/>
        </w:rPr>
        <w:tab/>
        <w:t>La Secretaría deberá, en función de la disponibilidad de recursos:</w:t>
      </w:r>
    </w:p>
    <w:p w14:paraId="44948CD7" w14:textId="77777777" w:rsidR="00F87117" w:rsidRPr="00E937ED" w:rsidRDefault="00F87117" w:rsidP="00F87117">
      <w:pPr>
        <w:spacing w:after="0" w:line="240" w:lineRule="auto"/>
        <w:ind w:left="720" w:hanging="720"/>
        <w:jc w:val="both"/>
        <w:rPr>
          <w:rFonts w:cs="Arial"/>
          <w:iCs/>
          <w:lang w:val="es-ES"/>
        </w:rPr>
      </w:pPr>
    </w:p>
    <w:p w14:paraId="11EBFD88" w14:textId="77777777" w:rsidR="00F87117" w:rsidRPr="00E937ED" w:rsidRDefault="00F87117" w:rsidP="00F87117">
      <w:pPr>
        <w:numPr>
          <w:ilvl w:val="0"/>
          <w:numId w:val="19"/>
        </w:numPr>
        <w:spacing w:after="0" w:line="240" w:lineRule="auto"/>
        <w:ind w:left="1418" w:hanging="567"/>
        <w:jc w:val="both"/>
        <w:rPr>
          <w:rFonts w:cs="Arial"/>
          <w:lang w:val="es-ES"/>
        </w:rPr>
      </w:pPr>
      <w:r w:rsidRPr="00E937ED">
        <w:rPr>
          <w:rFonts w:cs="Arial"/>
          <w:lang w:val="es-ES"/>
        </w:rPr>
        <w:t>animar a los Estados del área de distribución no Partes a contribuir a la aplicación del SSAP;</w:t>
      </w:r>
    </w:p>
    <w:p w14:paraId="256A13B0" w14:textId="77777777" w:rsidR="00F87117" w:rsidRPr="00E937ED" w:rsidRDefault="00F87117" w:rsidP="00F87117">
      <w:pPr>
        <w:spacing w:after="0" w:line="240" w:lineRule="auto"/>
        <w:ind w:left="1418"/>
        <w:jc w:val="both"/>
        <w:rPr>
          <w:rFonts w:cs="Arial"/>
          <w:lang w:val="es-ES"/>
        </w:rPr>
      </w:pPr>
    </w:p>
    <w:p w14:paraId="71821323" w14:textId="77777777" w:rsidR="00F87117" w:rsidRPr="00E937ED" w:rsidRDefault="00F87117" w:rsidP="00F87117">
      <w:pPr>
        <w:numPr>
          <w:ilvl w:val="0"/>
          <w:numId w:val="19"/>
        </w:numPr>
        <w:spacing w:after="0" w:line="240" w:lineRule="auto"/>
        <w:ind w:left="1418" w:hanging="567"/>
        <w:jc w:val="both"/>
        <w:rPr>
          <w:rFonts w:cs="Arial"/>
          <w:lang w:val="es-ES"/>
        </w:rPr>
      </w:pPr>
      <w:r w:rsidRPr="00E937ED">
        <w:rPr>
          <w:rFonts w:cs="Arial"/>
          <w:lang w:val="es-ES"/>
        </w:rPr>
        <w:t>desarrollar y difundir entre los Estados del área de distribución un formulario sencillo que permita evaluar los avances en la aplicación del SSAP y facilite la presentación de informes antes de la 16.a reunión de la Conferencia de las Partes, así como elaborar un resumen para que lo revise el Consejo Científico y sea considerado en la 16.a reunión de la Conferencia de las Partes;</w:t>
      </w:r>
    </w:p>
    <w:p w14:paraId="26251B81" w14:textId="77777777" w:rsidR="00F87117" w:rsidRPr="00E937ED" w:rsidRDefault="00F87117" w:rsidP="00F87117">
      <w:pPr>
        <w:spacing w:after="0" w:line="240" w:lineRule="auto"/>
        <w:ind w:left="1418"/>
        <w:jc w:val="both"/>
        <w:rPr>
          <w:rFonts w:cs="Arial"/>
          <w:lang w:val="es-ES"/>
        </w:rPr>
      </w:pPr>
    </w:p>
    <w:p w14:paraId="789CEC04" w14:textId="77777777" w:rsidR="00F87117" w:rsidRPr="00E937ED" w:rsidRDefault="00F87117" w:rsidP="00F87117">
      <w:pPr>
        <w:numPr>
          <w:ilvl w:val="0"/>
          <w:numId w:val="19"/>
        </w:numPr>
        <w:spacing w:after="0" w:line="240" w:lineRule="auto"/>
        <w:ind w:left="1418" w:hanging="567"/>
        <w:jc w:val="both"/>
        <w:rPr>
          <w:rFonts w:cs="Arial"/>
          <w:lang w:val="es-ES"/>
        </w:rPr>
      </w:pPr>
      <w:r w:rsidRPr="00E937ED">
        <w:rPr>
          <w:rFonts w:cs="Arial"/>
          <w:lang w:val="es-ES"/>
        </w:rPr>
        <w:t>ayudar a los Estados del área de distribución a establecer una estructura de gobernanza y un sistema de seguimiento y proporcionarles, si lo solicitan, una plataforma para la comunicación; y</w:t>
      </w:r>
    </w:p>
    <w:p w14:paraId="37175296" w14:textId="77777777" w:rsidR="00F87117" w:rsidRPr="00E937ED" w:rsidRDefault="00F87117" w:rsidP="00F87117">
      <w:pPr>
        <w:spacing w:after="0" w:line="240" w:lineRule="auto"/>
        <w:ind w:left="1418"/>
        <w:jc w:val="both"/>
        <w:rPr>
          <w:rFonts w:cs="Arial"/>
          <w:lang w:val="es-ES"/>
        </w:rPr>
      </w:pPr>
    </w:p>
    <w:p w14:paraId="14C80529" w14:textId="77777777" w:rsidR="00F87117" w:rsidRPr="00E937ED" w:rsidRDefault="00F87117" w:rsidP="00F87117">
      <w:pPr>
        <w:numPr>
          <w:ilvl w:val="0"/>
          <w:numId w:val="19"/>
        </w:numPr>
        <w:spacing w:after="0" w:line="240" w:lineRule="auto"/>
        <w:ind w:left="1418" w:hanging="567"/>
        <w:jc w:val="both"/>
        <w:rPr>
          <w:rFonts w:cs="Arial"/>
          <w:lang w:val="es-ES"/>
        </w:rPr>
      </w:pPr>
      <w:r w:rsidRPr="00E937ED">
        <w:rPr>
          <w:rFonts w:cs="Arial"/>
          <w:lang w:val="es-ES"/>
        </w:rPr>
        <w:t>colaborar con la Secretaría de la CITES en las actividades pertinentes para la inclusión de la anguila europea en el próximo Programa de Trabajo Conjunto de la CMS</w:t>
      </w:r>
      <w:r w:rsidRPr="00E937ED">
        <w:rPr>
          <w:rFonts w:cs="Arial"/>
          <w:sz w:val="21"/>
          <w:szCs w:val="21"/>
          <w:lang w:val="es-ES"/>
        </w:rPr>
        <w:t>–</w:t>
      </w:r>
      <w:r w:rsidRPr="00E937ED">
        <w:rPr>
          <w:rFonts w:cs="Arial"/>
          <w:lang w:val="es-ES"/>
        </w:rPr>
        <w:t xml:space="preserve">CITES. </w:t>
      </w:r>
    </w:p>
    <w:p w14:paraId="587AA001" w14:textId="77777777" w:rsidR="00F87117" w:rsidRPr="00E937ED" w:rsidRDefault="00F87117" w:rsidP="00F87117">
      <w:pPr>
        <w:widowControl w:val="0"/>
        <w:autoSpaceDE w:val="0"/>
        <w:autoSpaceDN w:val="0"/>
        <w:adjustRightInd w:val="0"/>
        <w:spacing w:after="0" w:line="240" w:lineRule="auto"/>
        <w:jc w:val="both"/>
        <w:rPr>
          <w:lang w:val="es-ES"/>
        </w:rPr>
      </w:pPr>
    </w:p>
    <w:p w14:paraId="230433AC" w14:textId="77777777" w:rsidR="00F87117" w:rsidRPr="00F87117" w:rsidRDefault="00F87117" w:rsidP="00F87117">
      <w:pPr>
        <w:pStyle w:val="Secondnumbering"/>
        <w:numPr>
          <w:ilvl w:val="0"/>
          <w:numId w:val="0"/>
        </w:numPr>
        <w:ind w:left="360" w:hanging="360"/>
        <w:jc w:val="both"/>
        <w:rPr>
          <w:lang w:val="es-ES"/>
        </w:rPr>
      </w:pPr>
    </w:p>
    <w:sectPr w:rsidR="00F87117" w:rsidRPr="00F87117" w:rsidSect="00323406">
      <w:headerReference w:type="even" r:id="rId24"/>
      <w:headerReference w:type="first" r:id="rId2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7F276" w14:textId="77777777" w:rsidR="00100018" w:rsidRDefault="00100018" w:rsidP="00002A97">
      <w:pPr>
        <w:spacing w:after="0" w:line="240" w:lineRule="auto"/>
      </w:pPr>
      <w:r>
        <w:separator/>
      </w:r>
    </w:p>
  </w:endnote>
  <w:endnote w:type="continuationSeparator" w:id="0">
    <w:p w14:paraId="5E1A99BA" w14:textId="77777777" w:rsidR="00100018" w:rsidRDefault="00100018"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786E1829"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264208"/>
      <w:docPartObj>
        <w:docPartGallery w:val="Page Numbers (Bottom of Page)"/>
        <w:docPartUnique/>
      </w:docPartObj>
    </w:sdtPr>
    <w:sdtEndPr>
      <w:rPr>
        <w:noProof/>
        <w:sz w:val="18"/>
        <w:szCs w:val="18"/>
      </w:rPr>
    </w:sdtEndPr>
    <w:sdtContent>
      <w:p w14:paraId="616855AC" w14:textId="40F0CF49" w:rsidR="00FB45CA" w:rsidRPr="00FB45CA" w:rsidRDefault="00FB45CA">
        <w:pPr>
          <w:pStyle w:val="Footer"/>
          <w:jc w:val="center"/>
          <w:rPr>
            <w:sz w:val="18"/>
            <w:szCs w:val="18"/>
          </w:rPr>
        </w:pPr>
        <w:r w:rsidRPr="00FB45CA">
          <w:rPr>
            <w:sz w:val="18"/>
            <w:szCs w:val="18"/>
          </w:rPr>
          <w:fldChar w:fldCharType="begin"/>
        </w:r>
        <w:r w:rsidRPr="00FB45CA">
          <w:rPr>
            <w:sz w:val="18"/>
            <w:szCs w:val="18"/>
          </w:rPr>
          <w:instrText xml:space="preserve"> PAGE   \* MERGEFORMAT </w:instrText>
        </w:r>
        <w:r w:rsidRPr="00FB45CA">
          <w:rPr>
            <w:sz w:val="18"/>
            <w:szCs w:val="18"/>
          </w:rPr>
          <w:fldChar w:fldCharType="separate"/>
        </w:r>
        <w:r w:rsidRPr="00FB45CA">
          <w:rPr>
            <w:noProof/>
            <w:sz w:val="18"/>
            <w:szCs w:val="18"/>
          </w:rPr>
          <w:t>2</w:t>
        </w:r>
        <w:r w:rsidRPr="00FB45CA">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171956"/>
      <w:docPartObj>
        <w:docPartGallery w:val="Page Numbers (Bottom of Page)"/>
        <w:docPartUnique/>
      </w:docPartObj>
    </w:sdtPr>
    <w:sdtEndPr>
      <w:rPr>
        <w:noProof/>
        <w:sz w:val="18"/>
        <w:szCs w:val="18"/>
      </w:rPr>
    </w:sdtEndPr>
    <w:sdtContent>
      <w:p w14:paraId="7B95285B" w14:textId="73752D40" w:rsidR="00FB45CA" w:rsidRPr="00FB45CA" w:rsidRDefault="00FB45CA">
        <w:pPr>
          <w:pStyle w:val="Footer"/>
          <w:jc w:val="center"/>
          <w:rPr>
            <w:sz w:val="18"/>
            <w:szCs w:val="18"/>
          </w:rPr>
        </w:pPr>
        <w:r w:rsidRPr="00FB45CA">
          <w:rPr>
            <w:sz w:val="18"/>
            <w:szCs w:val="18"/>
          </w:rPr>
          <w:fldChar w:fldCharType="begin"/>
        </w:r>
        <w:r w:rsidRPr="00FB45CA">
          <w:rPr>
            <w:sz w:val="18"/>
            <w:szCs w:val="18"/>
          </w:rPr>
          <w:instrText xml:space="preserve"> PAGE   \* MERGEFORMAT </w:instrText>
        </w:r>
        <w:r w:rsidRPr="00FB45CA">
          <w:rPr>
            <w:sz w:val="18"/>
            <w:szCs w:val="18"/>
          </w:rPr>
          <w:fldChar w:fldCharType="separate"/>
        </w:r>
        <w:r w:rsidRPr="00FB45CA">
          <w:rPr>
            <w:noProof/>
            <w:sz w:val="18"/>
            <w:szCs w:val="18"/>
          </w:rPr>
          <w:t>2</w:t>
        </w:r>
        <w:r w:rsidRPr="00FB45C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8BB80" w14:textId="77777777" w:rsidR="00100018" w:rsidRDefault="00100018" w:rsidP="00002A97">
      <w:pPr>
        <w:spacing w:after="0" w:line="240" w:lineRule="auto"/>
      </w:pPr>
      <w:r>
        <w:separator/>
      </w:r>
    </w:p>
  </w:footnote>
  <w:footnote w:type="continuationSeparator" w:id="0">
    <w:p w14:paraId="64498E30" w14:textId="77777777" w:rsidR="00100018" w:rsidRDefault="00100018" w:rsidP="0000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7325BDD9" w:rsidR="00D70275" w:rsidRPr="00002A97"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0"/>
    <w:bookmarkEnd w:id="1"/>
    <w:bookmarkEnd w:id="2"/>
    <w:bookmarkEnd w:id="3"/>
    <w:bookmarkEnd w:id="4"/>
    <w:bookmarkEnd w:id="5"/>
    <w:bookmarkEnd w:id="6"/>
    <w:bookmarkEnd w:id="7"/>
    <w:r w:rsidR="00FB45CA">
      <w:rPr>
        <w:rFonts w:eastAsia="Times New Roman" w:cs="Arial"/>
        <w:i/>
        <w:sz w:val="18"/>
        <w:szCs w:val="18"/>
        <w:lang w:val="fr-FR" w:eastAsia="es-ES"/>
      </w:rPr>
      <w:t>25.6.2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2A7F684B"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FB45CA">
      <w:rPr>
        <w:rFonts w:eastAsia="Times New Roman" w:cs="Arial"/>
        <w:i/>
        <w:sz w:val="18"/>
        <w:szCs w:val="18"/>
        <w:lang w:val="fr-FR" w:eastAsia="es-ES"/>
      </w:rPr>
      <w:t>25.6.2</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9540" w14:textId="140805D0" w:rsidR="00FB45CA" w:rsidRPr="00002A97" w:rsidRDefault="00FB45C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Doc.25.6.2/Anexo 1</w:t>
    </w:r>
  </w:p>
  <w:p w14:paraId="4F86BB99" w14:textId="77777777" w:rsidR="00FB45CA" w:rsidRDefault="00FB45C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84A5" w14:textId="77777777" w:rsidR="00F87117" w:rsidRPr="005D160F" w:rsidRDefault="00F87117" w:rsidP="00F87117">
    <w:pPr>
      <w:pStyle w:val="Header"/>
      <w:pBdr>
        <w:bottom w:val="single" w:sz="4" w:space="1" w:color="auto"/>
      </w:pBdr>
      <w:rPr>
        <w:rFonts w:cs="Arial"/>
        <w:i/>
        <w:sz w:val="18"/>
        <w:szCs w:val="18"/>
      </w:rPr>
    </w:pPr>
    <w:r w:rsidRPr="005D160F">
      <w:rPr>
        <w:rFonts w:cs="Arial"/>
        <w:i/>
        <w:sz w:val="18"/>
        <w:szCs w:val="18"/>
        <w:lang w:val="es-US"/>
      </w:rPr>
      <w:t>UNEP/CMS/COP15/Doc.25.6.2/Anexo 1</w:t>
    </w:r>
  </w:p>
  <w:p w14:paraId="668374E4" w14:textId="77777777" w:rsidR="00F87117" w:rsidRPr="006F22B0" w:rsidRDefault="00F87117" w:rsidP="006F22B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EEDB" w14:textId="7CE4BB85" w:rsidR="00FB45CA" w:rsidRPr="005D160F" w:rsidRDefault="00FB45CA" w:rsidP="00F87117">
    <w:pPr>
      <w:pStyle w:val="Header"/>
      <w:pBdr>
        <w:bottom w:val="single" w:sz="4" w:space="1" w:color="auto"/>
      </w:pBdr>
      <w:rPr>
        <w:rFonts w:cs="Arial"/>
        <w:i/>
        <w:sz w:val="18"/>
        <w:szCs w:val="18"/>
      </w:rPr>
    </w:pPr>
    <w:r w:rsidRPr="005D160F">
      <w:rPr>
        <w:rFonts w:cs="Arial"/>
        <w:i/>
        <w:sz w:val="18"/>
        <w:szCs w:val="18"/>
        <w:lang w:val="es-US"/>
      </w:rPr>
      <w:t xml:space="preserve">UNEP/CMS/COP15/Doc.25.6.2/Anexo </w:t>
    </w:r>
    <w:r>
      <w:rPr>
        <w:rFonts w:cs="Arial"/>
        <w:i/>
        <w:sz w:val="18"/>
        <w:szCs w:val="18"/>
        <w:lang w:val="es-US"/>
      </w:rPr>
      <w:t>2</w:t>
    </w:r>
  </w:p>
  <w:p w14:paraId="104A21B3" w14:textId="77777777" w:rsidR="00FB45CA" w:rsidRPr="006F22B0" w:rsidRDefault="00FB45CA" w:rsidP="006F22B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4B1FE" w14:textId="176F3607" w:rsidR="00FB45CA" w:rsidRPr="00002A97" w:rsidRDefault="00FB45CA"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25.6.2/Anexo 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54AB" w14:textId="69DF64DC" w:rsidR="00FB45CA" w:rsidRPr="005D160F" w:rsidRDefault="00FB45CA" w:rsidP="00FB45CA">
    <w:pPr>
      <w:pStyle w:val="Header"/>
      <w:pBdr>
        <w:bottom w:val="single" w:sz="4" w:space="1" w:color="auto"/>
      </w:pBdr>
      <w:jc w:val="right"/>
      <w:rPr>
        <w:rFonts w:cs="Arial"/>
        <w:i/>
        <w:sz w:val="18"/>
        <w:szCs w:val="18"/>
      </w:rPr>
    </w:pPr>
    <w:r w:rsidRPr="005D160F">
      <w:rPr>
        <w:rFonts w:cs="Arial"/>
        <w:i/>
        <w:sz w:val="18"/>
        <w:szCs w:val="18"/>
        <w:lang w:val="es-US"/>
      </w:rPr>
      <w:t xml:space="preserve">UNEP/CMS/COP15/Doc.25.6.2/Anexo </w:t>
    </w:r>
    <w:r>
      <w:rPr>
        <w:rFonts w:cs="Arial"/>
        <w:i/>
        <w:sz w:val="18"/>
        <w:szCs w:val="18"/>
        <w:lang w:val="es-U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12B9B"/>
    <w:multiLevelType w:val="hybridMultilevel"/>
    <w:tmpl w:val="112C28A4"/>
    <w:lvl w:ilvl="0" w:tplc="7EDC1F94">
      <w:start w:val="1"/>
      <w:numFmt w:val="decimal"/>
      <w:lvlText w:val="%1."/>
      <w:lvlJc w:val="left"/>
      <w:pPr>
        <w:ind w:left="360" w:hanging="360"/>
      </w:pPr>
      <w:rPr>
        <w:i w:val="0"/>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A62060"/>
    <w:multiLevelType w:val="hybridMultilevel"/>
    <w:tmpl w:val="E45C30C4"/>
    <w:lvl w:ilvl="0" w:tplc="5046ED82">
      <w:start w:val="1"/>
      <w:numFmt w:val="lowerRoman"/>
      <w:pStyle w:val="Thirdnumberingi0"/>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1"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6B6017D3"/>
    <w:multiLevelType w:val="hybridMultilevel"/>
    <w:tmpl w:val="CD421D30"/>
    <w:lvl w:ilvl="0" w:tplc="36E2FFB2">
      <w:start w:val="1"/>
      <w:numFmt w:val="lowerLetter"/>
      <w:lvlText w:val="%1)"/>
      <w:lvlJc w:val="left"/>
      <w:pPr>
        <w:ind w:left="927" w:hanging="360"/>
      </w:pPr>
      <w:rPr>
        <w:rFonts w:hint="default"/>
        <w:b w:val="0"/>
        <w:bCs/>
        <w:i/>
        <w:iCs w:val="0"/>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18"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9"/>
  </w:num>
  <w:num w:numId="5" w16cid:durableId="37974177">
    <w:abstractNumId w:val="5"/>
  </w:num>
  <w:num w:numId="6" w16cid:durableId="1958830237">
    <w:abstractNumId w:val="11"/>
  </w:num>
  <w:num w:numId="7" w16cid:durableId="396439182">
    <w:abstractNumId w:val="14"/>
  </w:num>
  <w:num w:numId="8" w16cid:durableId="260603560">
    <w:abstractNumId w:val="8"/>
  </w:num>
  <w:num w:numId="9" w16cid:durableId="1356272424">
    <w:abstractNumId w:val="6"/>
  </w:num>
  <w:num w:numId="10" w16cid:durableId="630594039">
    <w:abstractNumId w:val="18"/>
  </w:num>
  <w:num w:numId="11" w16cid:durableId="2069759870">
    <w:abstractNumId w:val="13"/>
  </w:num>
  <w:num w:numId="12" w16cid:durableId="904724938">
    <w:abstractNumId w:val="15"/>
  </w:num>
  <w:num w:numId="13" w16cid:durableId="1556818299">
    <w:abstractNumId w:val="10"/>
  </w:num>
  <w:num w:numId="14" w16cid:durableId="10866075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061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4198642">
    <w:abstractNumId w:val="17"/>
  </w:num>
  <w:num w:numId="17" w16cid:durableId="481385322">
    <w:abstractNumId w:val="3"/>
  </w:num>
  <w:num w:numId="18" w16cid:durableId="59080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04338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E192F"/>
    <w:rsid w:val="000F4BDA"/>
    <w:rsid w:val="00100018"/>
    <w:rsid w:val="00127CCF"/>
    <w:rsid w:val="00154A11"/>
    <w:rsid w:val="00166CB7"/>
    <w:rsid w:val="001722A0"/>
    <w:rsid w:val="00192411"/>
    <w:rsid w:val="001E6CDF"/>
    <w:rsid w:val="0024152C"/>
    <w:rsid w:val="00256158"/>
    <w:rsid w:val="002A40B8"/>
    <w:rsid w:val="002A5ABE"/>
    <w:rsid w:val="002D5F2A"/>
    <w:rsid w:val="002F43C9"/>
    <w:rsid w:val="002F7EC2"/>
    <w:rsid w:val="00310600"/>
    <w:rsid w:val="003133A7"/>
    <w:rsid w:val="00323406"/>
    <w:rsid w:val="00430A25"/>
    <w:rsid w:val="00457C8A"/>
    <w:rsid w:val="004C7808"/>
    <w:rsid w:val="00515163"/>
    <w:rsid w:val="005330F7"/>
    <w:rsid w:val="00563598"/>
    <w:rsid w:val="00591364"/>
    <w:rsid w:val="0059243E"/>
    <w:rsid w:val="005C39FC"/>
    <w:rsid w:val="006114FC"/>
    <w:rsid w:val="006C2EF5"/>
    <w:rsid w:val="006F22B0"/>
    <w:rsid w:val="00790422"/>
    <w:rsid w:val="0079237D"/>
    <w:rsid w:val="007B53CC"/>
    <w:rsid w:val="007C212E"/>
    <w:rsid w:val="007E5A82"/>
    <w:rsid w:val="00800CB3"/>
    <w:rsid w:val="00810C64"/>
    <w:rsid w:val="008373C7"/>
    <w:rsid w:val="008D686F"/>
    <w:rsid w:val="009059D0"/>
    <w:rsid w:val="00943D15"/>
    <w:rsid w:val="00A656E5"/>
    <w:rsid w:val="00A96EB9"/>
    <w:rsid w:val="00AC09AE"/>
    <w:rsid w:val="00B104EC"/>
    <w:rsid w:val="00B26725"/>
    <w:rsid w:val="00B40E07"/>
    <w:rsid w:val="00BA2F55"/>
    <w:rsid w:val="00BC5707"/>
    <w:rsid w:val="00BE6C85"/>
    <w:rsid w:val="00BF7838"/>
    <w:rsid w:val="00C1548E"/>
    <w:rsid w:val="00C22155"/>
    <w:rsid w:val="00C41DAD"/>
    <w:rsid w:val="00C56D8F"/>
    <w:rsid w:val="00C664E8"/>
    <w:rsid w:val="00CF660D"/>
    <w:rsid w:val="00D70275"/>
    <w:rsid w:val="00D84650"/>
    <w:rsid w:val="00DA2728"/>
    <w:rsid w:val="00E14AF0"/>
    <w:rsid w:val="00E607BD"/>
    <w:rsid w:val="00E77A9F"/>
    <w:rsid w:val="00E81B4A"/>
    <w:rsid w:val="00EF1D13"/>
    <w:rsid w:val="00F147ED"/>
    <w:rsid w:val="00F87117"/>
    <w:rsid w:val="00F973DB"/>
    <w:rsid w:val="00FB4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Secondnumbering">
    <w:name w:val="Second numbering"/>
    <w:basedOn w:val="Normal"/>
    <w:link w:val="SecondnumberingChar"/>
    <w:qFormat/>
    <w:rsid w:val="00F87117"/>
    <w:pPr>
      <w:numPr>
        <w:numId w:val="15"/>
      </w:numPr>
      <w:spacing w:after="0" w:line="240" w:lineRule="auto"/>
    </w:pPr>
    <w:rPr>
      <w:lang w:val="en-GB"/>
    </w:rPr>
  </w:style>
  <w:style w:type="paragraph" w:customStyle="1" w:styleId="Thirdnumberingi0">
    <w:name w:val="Third numbering i)"/>
    <w:basedOn w:val="Secondnumbering"/>
    <w:qFormat/>
    <w:rsid w:val="00F87117"/>
    <w:pPr>
      <w:numPr>
        <w:numId w:val="13"/>
      </w:numPr>
      <w:ind w:left="1701" w:hanging="283"/>
    </w:pPr>
  </w:style>
  <w:style w:type="character" w:customStyle="1" w:styleId="SecondnumberingChar">
    <w:name w:val="Second numbering Char"/>
    <w:basedOn w:val="DefaultParagraphFont"/>
    <w:link w:val="Secondnumbering"/>
    <w:rsid w:val="00F87117"/>
    <w:rPr>
      <w:lang w:val="en-GB"/>
    </w:rPr>
  </w:style>
  <w:style w:type="paragraph" w:styleId="EndnoteText">
    <w:name w:val="endnote text"/>
    <w:basedOn w:val="Normal"/>
    <w:link w:val="EndnoteTextChar"/>
    <w:uiPriority w:val="99"/>
    <w:semiHidden/>
    <w:unhideWhenUsed/>
    <w:rsid w:val="00F87117"/>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F87117"/>
    <w:rPr>
      <w:sz w:val="20"/>
      <w:szCs w:val="20"/>
      <w:lang w:val="en-GB"/>
    </w:rPr>
  </w:style>
  <w:style w:type="character" w:styleId="UnresolvedMention">
    <w:name w:val="Unresolved Mention"/>
    <w:basedOn w:val="DefaultParagraphFont"/>
    <w:uiPriority w:val="99"/>
    <w:semiHidden/>
    <w:unhideWhenUsed/>
    <w:rsid w:val="00837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ms.int/es/node/46373"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2.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4.xml><?xml version="1.0" encoding="utf-8"?>
<ds:datastoreItem xmlns:ds="http://schemas.openxmlformats.org/officeDocument/2006/customXml" ds:itemID="{F596B276-0B9F-4CAA-AB99-30E90367605D}"/>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1755</Words>
  <Characters>10005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Daan de Leur</cp:lastModifiedBy>
  <cp:revision>3</cp:revision>
  <dcterms:created xsi:type="dcterms:W3CDTF">2025-11-10T14:12:00Z</dcterms:created>
  <dcterms:modified xsi:type="dcterms:W3CDTF">2026-01-28T15:02:00Z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